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4D74A2" w:rsidRPr="00B86E29" w:rsidRDefault="004D74A2" w:rsidP="003F7560">
      <w:pPr>
        <w:spacing w:after="0"/>
        <w:jc w:val="both"/>
        <w:rPr>
          <w:rFonts w:ascii="Times New Roman" w:hAnsi="Times New Roman" w:cs="Times New Roman"/>
          <w:lang w:val="es-ES_tradnl"/>
        </w:rPr>
      </w:pPr>
    </w:p>
    <w:p w14:paraId="6D632DA8" w14:textId="7115CDB4" w:rsidR="004D74A2" w:rsidRPr="00B86E29" w:rsidRDefault="29143BBF" w:rsidP="003F7560">
      <w:pPr>
        <w:spacing w:after="0"/>
        <w:jc w:val="right"/>
        <w:rPr>
          <w:rFonts w:ascii="Times New Roman" w:hAnsi="Times New Roman" w:cs="Times New Roman"/>
          <w:lang w:val="es-ES_tradnl"/>
        </w:rPr>
      </w:pPr>
      <w:r w:rsidRPr="00B86E29">
        <w:rPr>
          <w:rFonts w:ascii="Times New Roman" w:hAnsi="Times New Roman" w:cs="Times New Roman"/>
          <w:lang w:val="es-ES_tradnl"/>
        </w:rPr>
        <w:t>Bogot</w:t>
      </w:r>
      <w:r w:rsidRPr="00B86E29">
        <w:rPr>
          <w:rFonts w:ascii="Times New Roman" w:eastAsia="Helvetica" w:hAnsi="Times New Roman" w:cs="Times New Roman"/>
          <w:lang w:val="es-ES_tradnl"/>
        </w:rPr>
        <w:t xml:space="preserve">á D.C., </w:t>
      </w:r>
      <w:r w:rsidR="00F24EF6" w:rsidRPr="00B86E29">
        <w:rPr>
          <w:rFonts w:ascii="Times New Roman" w:hAnsi="Times New Roman" w:cs="Times New Roman"/>
          <w:lang w:val="es-ES_tradnl"/>
        </w:rPr>
        <w:t>septiembre</w:t>
      </w:r>
      <w:r w:rsidR="00E56BFD" w:rsidRPr="00B86E29">
        <w:rPr>
          <w:rFonts w:ascii="Times New Roman" w:hAnsi="Times New Roman" w:cs="Times New Roman"/>
          <w:lang w:val="es-ES_tradnl"/>
        </w:rPr>
        <w:t xml:space="preserve"> de</w:t>
      </w:r>
      <w:r w:rsidRPr="00B86E29">
        <w:rPr>
          <w:rFonts w:ascii="Times New Roman" w:hAnsi="Times New Roman" w:cs="Times New Roman"/>
          <w:lang w:val="es-ES_tradnl"/>
        </w:rPr>
        <w:t xml:space="preserve"> 2021</w:t>
      </w:r>
    </w:p>
    <w:p w14:paraId="0A37501D" w14:textId="77777777" w:rsidR="00E332DD" w:rsidRPr="00B86E29" w:rsidRDefault="00E332DD" w:rsidP="003F7560">
      <w:pPr>
        <w:spacing w:after="0"/>
        <w:jc w:val="both"/>
        <w:rPr>
          <w:rFonts w:ascii="Times New Roman" w:hAnsi="Times New Roman" w:cs="Times New Roman"/>
          <w:lang w:val="es-ES_tradnl"/>
        </w:rPr>
      </w:pPr>
    </w:p>
    <w:p w14:paraId="5DAB6C7B" w14:textId="77777777" w:rsidR="00E332DD" w:rsidRPr="00B86E29" w:rsidRDefault="00E332DD" w:rsidP="003F7560">
      <w:pPr>
        <w:spacing w:after="0"/>
        <w:jc w:val="both"/>
        <w:rPr>
          <w:rFonts w:ascii="Times New Roman" w:hAnsi="Times New Roman" w:cs="Times New Roman"/>
          <w:lang w:val="es-ES_tradnl"/>
        </w:rPr>
      </w:pPr>
    </w:p>
    <w:p w14:paraId="19E75594" w14:textId="77777777" w:rsidR="00461F25" w:rsidRPr="00B86E29" w:rsidRDefault="29143BBF" w:rsidP="003F7560">
      <w:pPr>
        <w:spacing w:after="0"/>
        <w:jc w:val="both"/>
        <w:rPr>
          <w:rFonts w:ascii="Times New Roman" w:hAnsi="Times New Roman" w:cs="Times New Roman"/>
          <w:lang w:val="es-ES_tradnl"/>
        </w:rPr>
      </w:pPr>
      <w:r w:rsidRPr="00B86E29">
        <w:rPr>
          <w:rFonts w:ascii="Times New Roman" w:hAnsi="Times New Roman" w:cs="Times New Roman"/>
          <w:lang w:val="es-ES_tradnl"/>
        </w:rPr>
        <w:t>Presidente</w:t>
      </w:r>
    </w:p>
    <w:p w14:paraId="31927E41" w14:textId="2C01FEE3" w:rsidR="004D74A2" w:rsidRPr="00B86E29" w:rsidRDefault="009E5AAB" w:rsidP="003F7560">
      <w:pPr>
        <w:spacing w:after="0"/>
        <w:jc w:val="both"/>
        <w:rPr>
          <w:rFonts w:ascii="Times New Roman" w:hAnsi="Times New Roman" w:cs="Times New Roman"/>
          <w:b/>
          <w:bCs/>
          <w:lang w:val="es-ES_tradnl"/>
        </w:rPr>
      </w:pPr>
      <w:r w:rsidRPr="00B86E29">
        <w:rPr>
          <w:rFonts w:ascii="Times New Roman" w:hAnsi="Times New Roman" w:cs="Times New Roman"/>
          <w:b/>
          <w:bCs/>
          <w:lang w:val="es-ES_tradnl"/>
        </w:rPr>
        <w:t>JULIO CÉSAR TRIANA QUINTERO</w:t>
      </w:r>
    </w:p>
    <w:p w14:paraId="11BA2CC9" w14:textId="55882BD1" w:rsidR="004D74A2" w:rsidRPr="00B86E29" w:rsidRDefault="008B7E92" w:rsidP="003F7560">
      <w:pPr>
        <w:pStyle w:val="Sinespaciado"/>
        <w:spacing w:line="276" w:lineRule="auto"/>
        <w:rPr>
          <w:rFonts w:cs="Times New Roman"/>
          <w:b/>
          <w:sz w:val="22"/>
          <w:szCs w:val="22"/>
        </w:rPr>
      </w:pPr>
      <w:r w:rsidRPr="00B86E29">
        <w:rPr>
          <w:rFonts w:cs="Times New Roman"/>
          <w:b/>
          <w:sz w:val="22"/>
          <w:szCs w:val="22"/>
        </w:rPr>
        <w:t>Comisi</w:t>
      </w:r>
      <w:r w:rsidRPr="00B86E29">
        <w:rPr>
          <w:rFonts w:eastAsia="Helvetica" w:cs="Times New Roman"/>
          <w:b/>
          <w:sz w:val="22"/>
          <w:szCs w:val="22"/>
        </w:rPr>
        <w:t>ón Primera</w:t>
      </w:r>
      <w:r w:rsidR="29143BBF" w:rsidRPr="00B86E29">
        <w:rPr>
          <w:rFonts w:cs="Times New Roman"/>
          <w:b/>
          <w:sz w:val="22"/>
          <w:szCs w:val="22"/>
        </w:rPr>
        <w:t xml:space="preserve"> Constitucional Permanente</w:t>
      </w:r>
    </w:p>
    <w:p w14:paraId="6E3E6F0B" w14:textId="77777777" w:rsidR="004D74A2" w:rsidRPr="00B86E29" w:rsidRDefault="29143BBF" w:rsidP="003F7560">
      <w:pPr>
        <w:spacing w:after="0"/>
        <w:jc w:val="both"/>
        <w:rPr>
          <w:rFonts w:ascii="Times New Roman" w:hAnsi="Times New Roman" w:cs="Times New Roman"/>
          <w:lang w:val="es-ES_tradnl"/>
        </w:rPr>
      </w:pPr>
      <w:r w:rsidRPr="00B86E29">
        <w:rPr>
          <w:rFonts w:ascii="Times New Roman" w:hAnsi="Times New Roman" w:cs="Times New Roman"/>
          <w:lang w:val="es-ES_tradnl"/>
        </w:rPr>
        <w:t>C</w:t>
      </w:r>
      <w:r w:rsidRPr="00B86E29">
        <w:rPr>
          <w:rFonts w:ascii="Times New Roman" w:eastAsia="Helvetica" w:hAnsi="Times New Roman" w:cs="Times New Roman"/>
          <w:lang w:val="es-ES_tradnl"/>
        </w:rPr>
        <w:t>ámara de Representantes</w:t>
      </w:r>
    </w:p>
    <w:p w14:paraId="02EB378F" w14:textId="77777777" w:rsidR="004D74A2" w:rsidRPr="00B86E29" w:rsidRDefault="004D74A2" w:rsidP="003F7560">
      <w:pPr>
        <w:spacing w:after="0"/>
        <w:jc w:val="both"/>
        <w:rPr>
          <w:rFonts w:ascii="Times New Roman" w:hAnsi="Times New Roman" w:cs="Times New Roman"/>
          <w:b/>
          <w:bCs/>
          <w:lang w:val="es-ES_tradnl"/>
        </w:rPr>
      </w:pPr>
    </w:p>
    <w:p w14:paraId="6A05A809" w14:textId="77777777" w:rsidR="00E332DD" w:rsidRPr="00B86E29" w:rsidRDefault="00E332DD" w:rsidP="00E33F59">
      <w:pPr>
        <w:spacing w:after="0"/>
        <w:jc w:val="right"/>
        <w:rPr>
          <w:rFonts w:ascii="Times New Roman" w:hAnsi="Times New Roman" w:cs="Times New Roman"/>
          <w:b/>
          <w:bCs/>
          <w:lang w:val="es-ES_tradnl"/>
        </w:rPr>
      </w:pPr>
    </w:p>
    <w:p w14:paraId="69E7AE0A" w14:textId="03214082" w:rsidR="004D74A2" w:rsidRPr="00B86E29" w:rsidRDefault="29143BBF" w:rsidP="001422C1">
      <w:pPr>
        <w:jc w:val="right"/>
        <w:rPr>
          <w:rFonts w:ascii="Times New Roman" w:hAnsi="Times New Roman" w:cs="Times New Roman"/>
        </w:rPr>
      </w:pPr>
      <w:r w:rsidRPr="00B86E29">
        <w:rPr>
          <w:rFonts w:ascii="Times New Roman" w:hAnsi="Times New Roman" w:cs="Times New Roman"/>
          <w:b/>
        </w:rPr>
        <w:t xml:space="preserve">Ref. </w:t>
      </w:r>
      <w:r w:rsidRPr="00B86E29">
        <w:rPr>
          <w:rFonts w:ascii="Times New Roman" w:hAnsi="Times New Roman" w:cs="Times New Roman"/>
        </w:rPr>
        <w:t>Informe de ponencia para primer debate del Proyecto de Ley n</w:t>
      </w:r>
      <w:r w:rsidR="001C452B" w:rsidRPr="00B86E29">
        <w:rPr>
          <w:rFonts w:ascii="Times New Roman" w:hAnsi="Times New Roman" w:cs="Times New Roman"/>
        </w:rPr>
        <w:t>úmero 094</w:t>
      </w:r>
      <w:r w:rsidR="009E5AAB" w:rsidRPr="00B86E29">
        <w:rPr>
          <w:rFonts w:ascii="Times New Roman" w:hAnsi="Times New Roman" w:cs="Times New Roman"/>
        </w:rPr>
        <w:t xml:space="preserve"> de 2021 </w:t>
      </w:r>
      <w:r w:rsidR="00E33F59" w:rsidRPr="00B86E29">
        <w:rPr>
          <w:rFonts w:ascii="Times New Roman" w:hAnsi="Times New Roman" w:cs="Times New Roman"/>
        </w:rPr>
        <w:t xml:space="preserve">Cámara </w:t>
      </w:r>
      <w:r w:rsidRPr="00B86E29">
        <w:rPr>
          <w:rFonts w:ascii="Times New Roman" w:hAnsi="Times New Roman" w:cs="Times New Roman"/>
        </w:rPr>
        <w:t>“</w:t>
      </w:r>
      <w:r w:rsidR="001C452B" w:rsidRPr="00B86E29">
        <w:rPr>
          <w:rFonts w:ascii="Times New Roman" w:hAnsi="Times New Roman" w:cs="Times New Roman"/>
        </w:rPr>
        <w:t>Por medio de la cual se modifica el código de extinción de dominio</w:t>
      </w:r>
      <w:r w:rsidRPr="00B86E29">
        <w:rPr>
          <w:rFonts w:ascii="Times New Roman" w:hAnsi="Times New Roman" w:cs="Times New Roman"/>
        </w:rPr>
        <w:t>”</w:t>
      </w:r>
      <w:r w:rsidR="00E33F59" w:rsidRPr="00B86E29">
        <w:rPr>
          <w:rFonts w:ascii="Times New Roman" w:hAnsi="Times New Roman" w:cs="Times New Roman"/>
        </w:rPr>
        <w:t xml:space="preserve"> acumulado con el Proyecto de Ley número 138 de 2021 Cámara “Por medio de la cual se establece un término de duración </w:t>
      </w:r>
      <w:r w:rsidR="001422C1" w:rsidRPr="00B86E29">
        <w:rPr>
          <w:rFonts w:ascii="Times New Roman" w:hAnsi="Times New Roman" w:cs="Times New Roman"/>
        </w:rPr>
        <w:br/>
      </w:r>
      <w:r w:rsidR="00E33F59" w:rsidRPr="00B86E29">
        <w:rPr>
          <w:rFonts w:ascii="Times New Roman" w:hAnsi="Times New Roman" w:cs="Times New Roman"/>
        </w:rPr>
        <w:t>para la fase inicial del proceso de Extinción de Dominio y se dictan otras disposiciones”.</w:t>
      </w:r>
    </w:p>
    <w:p w14:paraId="5A39BBE3" w14:textId="77777777" w:rsidR="00E332DD" w:rsidRPr="00B86E29" w:rsidRDefault="00E332DD" w:rsidP="003F7560">
      <w:pPr>
        <w:spacing w:after="0"/>
        <w:jc w:val="both"/>
        <w:rPr>
          <w:rFonts w:ascii="Times New Roman" w:hAnsi="Times New Roman" w:cs="Times New Roman"/>
          <w:lang w:val="es-ES_tradnl"/>
        </w:rPr>
      </w:pPr>
    </w:p>
    <w:p w14:paraId="05DC141D" w14:textId="77777777" w:rsidR="004D74A2" w:rsidRPr="00B86E29" w:rsidRDefault="29143BBF" w:rsidP="003F7560">
      <w:pPr>
        <w:spacing w:after="0"/>
        <w:jc w:val="both"/>
        <w:rPr>
          <w:rFonts w:ascii="Times New Roman" w:hAnsi="Times New Roman" w:cs="Times New Roman"/>
          <w:lang w:val="es-ES_tradnl"/>
        </w:rPr>
      </w:pPr>
      <w:r w:rsidRPr="00B86E29">
        <w:rPr>
          <w:rFonts w:ascii="Times New Roman" w:hAnsi="Times New Roman" w:cs="Times New Roman"/>
          <w:lang w:val="es-ES_tradnl"/>
        </w:rPr>
        <w:t>Respetado Presidente:</w:t>
      </w:r>
    </w:p>
    <w:p w14:paraId="41C8F396" w14:textId="77777777" w:rsidR="00E332DD" w:rsidRPr="00B86E29" w:rsidRDefault="00E332DD" w:rsidP="003F7560">
      <w:pPr>
        <w:spacing w:after="0"/>
        <w:jc w:val="both"/>
        <w:rPr>
          <w:rFonts w:ascii="Times New Roman" w:hAnsi="Times New Roman" w:cs="Times New Roman"/>
          <w:lang w:val="es-ES_tradnl"/>
        </w:rPr>
      </w:pPr>
    </w:p>
    <w:p w14:paraId="055ADBBA" w14:textId="6F8EA06A" w:rsidR="004D74A2" w:rsidRPr="00B86E29" w:rsidRDefault="29143BBF" w:rsidP="003F7560">
      <w:pPr>
        <w:spacing w:after="0"/>
        <w:jc w:val="both"/>
        <w:rPr>
          <w:rStyle w:val="SinespaciadoCar"/>
          <w:rFonts w:eastAsia="Helvetica" w:cs="Times New Roman"/>
          <w:sz w:val="22"/>
          <w:szCs w:val="22"/>
        </w:rPr>
      </w:pPr>
      <w:r w:rsidRPr="00B86E29">
        <w:rPr>
          <w:rFonts w:ascii="Times New Roman" w:hAnsi="Times New Roman" w:cs="Times New Roman"/>
          <w:lang w:val="es-ES_tradnl"/>
        </w:rPr>
        <w:t>En cumplimiento de la designaci</w:t>
      </w:r>
      <w:r w:rsidRPr="00B86E29">
        <w:rPr>
          <w:rFonts w:ascii="Times New Roman" w:eastAsia="Helvetica" w:hAnsi="Times New Roman" w:cs="Times New Roman"/>
          <w:lang w:val="es-ES_tradnl"/>
        </w:rPr>
        <w:t>ón hecha por la Mesa Directiva de la Comisión Primera Constitucional de la Cámara de Representantes y de acuerdo con las disposiciones contenidas en la Ley 5ª de 1992, me permito rendir informe de</w:t>
      </w:r>
      <w:r w:rsidRPr="00B86E29">
        <w:rPr>
          <w:rFonts w:ascii="Times New Roman" w:hAnsi="Times New Roman" w:cs="Times New Roman"/>
          <w:lang w:val="es-ES_tradnl"/>
        </w:rPr>
        <w:t xml:space="preserve"> ponencia para </w:t>
      </w:r>
      <w:r w:rsidR="002646F3" w:rsidRPr="00B86E29">
        <w:rPr>
          <w:rFonts w:ascii="Times New Roman" w:hAnsi="Times New Roman" w:cs="Times New Roman"/>
          <w:lang w:val="es-ES_tradnl"/>
        </w:rPr>
        <w:t xml:space="preserve">primer </w:t>
      </w:r>
      <w:r w:rsidRPr="00B86E29">
        <w:rPr>
          <w:rFonts w:ascii="Times New Roman" w:hAnsi="Times New Roman" w:cs="Times New Roman"/>
          <w:lang w:val="es-ES_tradnl"/>
        </w:rPr>
        <w:t xml:space="preserve">debate del </w:t>
      </w:r>
      <w:r w:rsidRPr="00B86E29">
        <w:rPr>
          <w:rStyle w:val="SinespaciadoCar"/>
          <w:rFonts w:cs="Times New Roman"/>
          <w:sz w:val="22"/>
          <w:szCs w:val="22"/>
        </w:rPr>
        <w:t>Proyecto de Ley n</w:t>
      </w:r>
      <w:r w:rsidR="001C452B" w:rsidRPr="00B86E29">
        <w:rPr>
          <w:rStyle w:val="SinespaciadoCar"/>
          <w:rFonts w:eastAsia="Helvetica" w:cs="Times New Roman"/>
          <w:sz w:val="22"/>
          <w:szCs w:val="22"/>
        </w:rPr>
        <w:t>úmero 094</w:t>
      </w:r>
      <w:r w:rsidR="009E5AAB" w:rsidRPr="00B86E29">
        <w:rPr>
          <w:rStyle w:val="SinespaciadoCar"/>
          <w:rFonts w:eastAsia="Helvetica" w:cs="Times New Roman"/>
          <w:sz w:val="22"/>
          <w:szCs w:val="22"/>
        </w:rPr>
        <w:t xml:space="preserve"> de 2021</w:t>
      </w:r>
      <w:r w:rsidR="002B2F6A" w:rsidRPr="00B86E29">
        <w:rPr>
          <w:rStyle w:val="SinespaciadoCar"/>
          <w:rFonts w:eastAsia="Helvetica" w:cs="Times New Roman"/>
          <w:sz w:val="22"/>
          <w:szCs w:val="22"/>
        </w:rPr>
        <w:t xml:space="preserve"> </w:t>
      </w:r>
      <w:r w:rsidRPr="00B86E29">
        <w:rPr>
          <w:rStyle w:val="SinespaciadoCar"/>
          <w:rFonts w:cs="Times New Roman"/>
          <w:sz w:val="22"/>
          <w:szCs w:val="22"/>
        </w:rPr>
        <w:t>C</w:t>
      </w:r>
      <w:r w:rsidRPr="00B86E29">
        <w:rPr>
          <w:rStyle w:val="SinespaciadoCar"/>
          <w:rFonts w:eastAsia="Helvetica" w:cs="Times New Roman"/>
          <w:sz w:val="22"/>
          <w:szCs w:val="22"/>
        </w:rPr>
        <w:t>ámara “</w:t>
      </w:r>
      <w:r w:rsidR="001C452B" w:rsidRPr="00B86E29">
        <w:rPr>
          <w:rFonts w:ascii="Times New Roman" w:hAnsi="Times New Roman" w:cs="Times New Roman"/>
        </w:rPr>
        <w:t>Por medio de la cual se modifica el código de extinción de dominio</w:t>
      </w:r>
      <w:r w:rsidR="00E33F59" w:rsidRPr="00B86E29">
        <w:rPr>
          <w:rStyle w:val="SinespaciadoCar"/>
          <w:rFonts w:eastAsia="Helvetica" w:cs="Times New Roman"/>
          <w:sz w:val="22"/>
          <w:szCs w:val="22"/>
        </w:rPr>
        <w:t xml:space="preserve">” </w:t>
      </w:r>
      <w:r w:rsidR="00E33F59" w:rsidRPr="00B86E29">
        <w:rPr>
          <w:rFonts w:ascii="Times New Roman" w:hAnsi="Times New Roman" w:cs="Times New Roman"/>
        </w:rPr>
        <w:t>acumulado con el Proyecto de Ley número 138 de 2021 Cámara “Por medio de la cual se establece un término de duración para la fase inicial del proceso de Extinción de Dominio y se dictan otras disposiciones”.</w:t>
      </w:r>
    </w:p>
    <w:p w14:paraId="23680853" w14:textId="77777777" w:rsidR="003F7560" w:rsidRPr="00B86E29" w:rsidRDefault="003F7560" w:rsidP="003F7560">
      <w:pPr>
        <w:spacing w:after="0"/>
        <w:jc w:val="both"/>
        <w:rPr>
          <w:rStyle w:val="SinespaciadoCar"/>
          <w:rFonts w:eastAsia="Helvetica" w:cs="Times New Roman"/>
          <w:sz w:val="22"/>
          <w:szCs w:val="22"/>
        </w:rPr>
      </w:pPr>
    </w:p>
    <w:p w14:paraId="5CCAD0F5" w14:textId="77777777" w:rsidR="003F7560" w:rsidRPr="00B86E29" w:rsidRDefault="003F7560" w:rsidP="003F7560">
      <w:pPr>
        <w:rPr>
          <w:rFonts w:ascii="Times New Roman" w:hAnsi="Times New Roman" w:cs="Times New Roman"/>
          <w:lang w:val="es-ES_tradnl"/>
        </w:rPr>
      </w:pPr>
      <w:r w:rsidRPr="00B86E29">
        <w:rPr>
          <w:rFonts w:ascii="Times New Roman" w:hAnsi="Times New Roman" w:cs="Times New Roman"/>
          <w:lang w:val="es-ES_tradnl"/>
        </w:rPr>
        <w:t xml:space="preserve">Cordialmente, </w:t>
      </w:r>
    </w:p>
    <w:p w14:paraId="6BBF2470" w14:textId="1069C89D" w:rsidR="003F7560" w:rsidRPr="00B86E29" w:rsidRDefault="003F7560" w:rsidP="003F7560">
      <w:pPr>
        <w:rPr>
          <w:rFonts w:ascii="Times New Roman" w:hAnsi="Times New Roman" w:cs="Times New Roman"/>
          <w:bCs/>
          <w:lang w:val="es-ES_tradnl"/>
        </w:rPr>
      </w:pPr>
    </w:p>
    <w:p w14:paraId="4541FAF0" w14:textId="77777777" w:rsidR="009E5AAB" w:rsidRPr="00B86E29" w:rsidRDefault="009E5AAB" w:rsidP="003F7560">
      <w:pPr>
        <w:rPr>
          <w:rFonts w:ascii="Times New Roman" w:hAnsi="Times New Roman" w:cs="Times New Roman"/>
          <w:bCs/>
          <w:lang w:val="es-ES_tradnl"/>
        </w:rPr>
      </w:pPr>
    </w:p>
    <w:p w14:paraId="69141CB6" w14:textId="551224B2" w:rsidR="003F7560" w:rsidRPr="00B86E29" w:rsidRDefault="009E5AAB" w:rsidP="003F7560">
      <w:pPr>
        <w:rPr>
          <w:rStyle w:val="SinespaciadoCar"/>
          <w:rFonts w:cs="Times New Roman"/>
          <w:bCs/>
          <w:sz w:val="22"/>
          <w:szCs w:val="22"/>
          <w:lang w:val="es-ES_tradnl"/>
        </w:rPr>
      </w:pPr>
      <w:r w:rsidRPr="00B86E29">
        <w:rPr>
          <w:rFonts w:ascii="Times New Roman" w:hAnsi="Times New Roman" w:cs="Times New Roman"/>
          <w:b/>
          <w:bCs/>
          <w:lang w:val="es-ES_tradnl"/>
        </w:rPr>
        <w:t>JUAN CARLOS WILLS OSPINA</w:t>
      </w:r>
      <w:r w:rsidRPr="00B86E29">
        <w:rPr>
          <w:rFonts w:ascii="Times New Roman" w:hAnsi="Times New Roman" w:cs="Times New Roman"/>
          <w:bCs/>
          <w:lang w:val="es-ES_tradnl"/>
        </w:rPr>
        <w:br/>
      </w:r>
      <w:r w:rsidR="003F7560" w:rsidRPr="00B86E29">
        <w:rPr>
          <w:rFonts w:ascii="Times New Roman" w:hAnsi="Times New Roman" w:cs="Times New Roman"/>
          <w:bCs/>
          <w:lang w:val="es-ES_tradnl"/>
        </w:rPr>
        <w:t>Representante a la C</w:t>
      </w:r>
      <w:r w:rsidR="003F7560" w:rsidRPr="00B86E29">
        <w:rPr>
          <w:rFonts w:ascii="Times New Roman" w:eastAsia="Helvetica" w:hAnsi="Times New Roman" w:cs="Times New Roman"/>
          <w:bCs/>
          <w:lang w:val="es-ES_tradnl"/>
        </w:rPr>
        <w:t>á</w:t>
      </w:r>
      <w:r w:rsidR="003F7560" w:rsidRPr="00B86E29">
        <w:rPr>
          <w:rFonts w:ascii="Times New Roman" w:hAnsi="Times New Roman" w:cs="Times New Roman"/>
          <w:bCs/>
          <w:lang w:val="es-ES_tradnl"/>
        </w:rPr>
        <w:t>mara</w:t>
      </w:r>
    </w:p>
    <w:p w14:paraId="495BD4A0" w14:textId="77777777" w:rsidR="003F7560" w:rsidRPr="00B86E29" w:rsidRDefault="003F7560" w:rsidP="003F7560">
      <w:pPr>
        <w:spacing w:after="0"/>
        <w:jc w:val="both"/>
        <w:rPr>
          <w:rStyle w:val="SinespaciadoCar"/>
          <w:rFonts w:eastAsia="Helvetica" w:cs="Times New Roman"/>
          <w:sz w:val="22"/>
          <w:szCs w:val="22"/>
        </w:rPr>
      </w:pPr>
    </w:p>
    <w:p w14:paraId="39CD71E0" w14:textId="10FB7F63" w:rsidR="0080367C" w:rsidRPr="00B86E29" w:rsidRDefault="003F7560" w:rsidP="00406E45">
      <w:pPr>
        <w:spacing w:after="0"/>
        <w:jc w:val="both"/>
        <w:rPr>
          <w:rFonts w:ascii="Times New Roman" w:hAnsi="Times New Roman" w:cs="Times New Roman"/>
          <w:lang w:val="es-ES_tradnl"/>
        </w:rPr>
      </w:pPr>
      <w:r w:rsidRPr="00B86E29">
        <w:rPr>
          <w:rFonts w:ascii="Times New Roman" w:hAnsi="Times New Roman" w:cs="Times New Roman"/>
          <w:lang w:val="es-ES_tradnl"/>
        </w:rPr>
        <w:br w:type="page"/>
      </w:r>
    </w:p>
    <w:p w14:paraId="4EFA4CA4" w14:textId="09DB36AE" w:rsidR="003F7560" w:rsidRPr="00B86E29" w:rsidRDefault="003F7560" w:rsidP="003F7560">
      <w:pPr>
        <w:spacing w:after="0"/>
        <w:jc w:val="center"/>
        <w:rPr>
          <w:rFonts w:ascii="Times New Roman" w:hAnsi="Times New Roman" w:cs="Times New Roman"/>
          <w:b/>
          <w:lang w:val="es-ES_tradnl"/>
        </w:rPr>
      </w:pPr>
      <w:r w:rsidRPr="00B86E29">
        <w:rPr>
          <w:rFonts w:ascii="Times New Roman" w:hAnsi="Times New Roman" w:cs="Times New Roman"/>
          <w:b/>
          <w:lang w:val="es-ES_tradnl"/>
        </w:rPr>
        <w:lastRenderedPageBreak/>
        <w:t>INFORME DE PONENCIA PARA PRIMER DEBATE</w:t>
      </w:r>
    </w:p>
    <w:p w14:paraId="095B75A6" w14:textId="77777777" w:rsidR="003F7560" w:rsidRPr="00B86E29" w:rsidRDefault="003F7560" w:rsidP="003F7560">
      <w:pPr>
        <w:spacing w:after="0"/>
        <w:jc w:val="center"/>
        <w:rPr>
          <w:rFonts w:ascii="Times New Roman" w:hAnsi="Times New Roman" w:cs="Times New Roman"/>
          <w:b/>
          <w:lang w:val="es-ES_tradnl"/>
        </w:rPr>
      </w:pPr>
    </w:p>
    <w:p w14:paraId="26F6DB59" w14:textId="5B94D651" w:rsidR="003F7560" w:rsidRPr="00B86E29" w:rsidRDefault="001C452B" w:rsidP="003F7560">
      <w:pPr>
        <w:pStyle w:val="Sinespaciado"/>
        <w:spacing w:line="276" w:lineRule="auto"/>
        <w:jc w:val="center"/>
        <w:rPr>
          <w:rFonts w:cs="Times New Roman"/>
          <w:b/>
          <w:sz w:val="22"/>
          <w:szCs w:val="22"/>
        </w:rPr>
      </w:pPr>
      <w:r w:rsidRPr="00B86E29">
        <w:rPr>
          <w:rFonts w:cs="Times New Roman"/>
          <w:b/>
          <w:sz w:val="22"/>
          <w:szCs w:val="22"/>
        </w:rPr>
        <w:t>PROYECTO DE LEY N</w:t>
      </w:r>
      <w:r w:rsidRPr="00B86E29">
        <w:rPr>
          <w:rFonts w:eastAsia="Helvetica" w:cs="Times New Roman"/>
          <w:b/>
          <w:sz w:val="22"/>
          <w:szCs w:val="22"/>
        </w:rPr>
        <w:t>ÚMERO 094 DE 2021 CÁMARA “</w:t>
      </w:r>
      <w:r w:rsidRPr="00B86E29">
        <w:rPr>
          <w:rFonts w:cs="Times New Roman"/>
          <w:b/>
          <w:sz w:val="22"/>
          <w:szCs w:val="22"/>
        </w:rPr>
        <w:t>POR MEDIO DE LA CUAL SE MODIFICA EL CÓDIGO DE EXTINCIÓN DE DOMINIO</w:t>
      </w:r>
      <w:r w:rsidRPr="00B86E29">
        <w:rPr>
          <w:rFonts w:eastAsia="Helvetica" w:cs="Times New Roman"/>
          <w:b/>
          <w:sz w:val="22"/>
          <w:szCs w:val="22"/>
        </w:rPr>
        <w:t>”</w:t>
      </w:r>
      <w:r w:rsidR="00E33F59" w:rsidRPr="00B86E29">
        <w:rPr>
          <w:rFonts w:eastAsia="Helvetica" w:cs="Times New Roman"/>
          <w:b/>
          <w:sz w:val="22"/>
          <w:szCs w:val="22"/>
        </w:rPr>
        <w:t xml:space="preserve"> </w:t>
      </w:r>
      <w:r w:rsidR="00E33F59" w:rsidRPr="00B86E29">
        <w:rPr>
          <w:rFonts w:cs="Times New Roman"/>
          <w:b/>
          <w:sz w:val="22"/>
          <w:szCs w:val="22"/>
        </w:rPr>
        <w:t>ACUMULADO CON EL PROYECTO DE LEY NÚMERO 138 DE 2021 CÁMARA “POR MEDIO DE LA CUAL SE ESTABLECE UN TÉRMINO DE DURACIÓN PARA LA FASE INICIAL DEL PROCESO DE EXTINCIÓN DE DOMINIO Y SE DICTAN OTRAS DISPOSICIONES”.</w:t>
      </w:r>
    </w:p>
    <w:p w14:paraId="5CD86C71" w14:textId="77777777" w:rsidR="003F7560" w:rsidRPr="00B86E29" w:rsidRDefault="003F7560" w:rsidP="003F7560">
      <w:pPr>
        <w:spacing w:after="0"/>
        <w:jc w:val="both"/>
        <w:rPr>
          <w:rFonts w:ascii="Times New Roman" w:hAnsi="Times New Roman" w:cs="Times New Roman"/>
          <w:b/>
          <w:lang w:val="es-ES_tradnl"/>
        </w:rPr>
      </w:pPr>
    </w:p>
    <w:p w14:paraId="72A3D3EC" w14:textId="77777777" w:rsidR="004D74A2" w:rsidRPr="00B86E29" w:rsidRDefault="004D74A2" w:rsidP="003F7560">
      <w:pPr>
        <w:spacing w:after="0"/>
        <w:jc w:val="both"/>
        <w:rPr>
          <w:rFonts w:ascii="Times New Roman" w:hAnsi="Times New Roman" w:cs="Times New Roman"/>
          <w:b/>
          <w:bCs/>
          <w:lang w:val="es-ES_tradnl"/>
        </w:rPr>
      </w:pPr>
    </w:p>
    <w:p w14:paraId="135ACE2F" w14:textId="77777777" w:rsidR="004D74A2" w:rsidRPr="00B86E29" w:rsidRDefault="29143BBF" w:rsidP="00994FE6">
      <w:pPr>
        <w:spacing w:after="0"/>
        <w:ind w:firstLine="708"/>
        <w:jc w:val="both"/>
        <w:rPr>
          <w:rFonts w:ascii="Times New Roman" w:hAnsi="Times New Roman" w:cs="Times New Roman"/>
          <w:b/>
          <w:bCs/>
          <w:lang w:val="es-ES_tradnl"/>
        </w:rPr>
      </w:pPr>
      <w:r w:rsidRPr="00B86E29">
        <w:rPr>
          <w:rFonts w:ascii="Times New Roman" w:hAnsi="Times New Roman" w:cs="Times New Roman"/>
          <w:b/>
          <w:bCs/>
          <w:lang w:val="es-ES_tradnl"/>
        </w:rPr>
        <w:t>I. ANTECEDENTES LEGISLATIVOS DEL PROYECTO</w:t>
      </w:r>
    </w:p>
    <w:p w14:paraId="0D0B940D" w14:textId="77777777" w:rsidR="00E332DD" w:rsidRPr="00B86E29" w:rsidRDefault="00E332DD" w:rsidP="003F7560">
      <w:pPr>
        <w:spacing w:after="0"/>
        <w:jc w:val="both"/>
        <w:rPr>
          <w:rFonts w:ascii="Times New Roman" w:hAnsi="Times New Roman" w:cs="Times New Roman"/>
          <w:lang w:val="es-ES_tradnl"/>
        </w:rPr>
      </w:pPr>
    </w:p>
    <w:p w14:paraId="555B1240" w14:textId="02F42D52" w:rsidR="004D74A2" w:rsidRPr="00B86E29" w:rsidRDefault="009E5AAB" w:rsidP="003A2094">
      <w:pPr>
        <w:spacing w:after="0"/>
        <w:jc w:val="both"/>
        <w:rPr>
          <w:rFonts w:ascii="Times New Roman" w:hAnsi="Times New Roman" w:cs="Times New Roman"/>
          <w:lang w:val="es-ES_tradnl"/>
        </w:rPr>
      </w:pPr>
      <w:r w:rsidRPr="00B86E29">
        <w:rPr>
          <w:rFonts w:ascii="Times New Roman" w:hAnsi="Times New Roman" w:cs="Times New Roman"/>
          <w:lang w:val="es-ES_tradnl"/>
        </w:rPr>
        <w:t>El 20</w:t>
      </w:r>
      <w:r w:rsidR="29143BBF" w:rsidRPr="00B86E29">
        <w:rPr>
          <w:rFonts w:ascii="Times New Roman" w:hAnsi="Times New Roman" w:cs="Times New Roman"/>
          <w:lang w:val="es-ES_tradnl"/>
        </w:rPr>
        <w:t xml:space="preserve"> de </w:t>
      </w:r>
      <w:r w:rsidRPr="00B86E29">
        <w:rPr>
          <w:rFonts w:ascii="Times New Roman" w:hAnsi="Times New Roman" w:cs="Times New Roman"/>
          <w:lang w:val="es-ES_tradnl"/>
        </w:rPr>
        <w:t>julio de 2021</w:t>
      </w:r>
      <w:r w:rsidR="29143BBF" w:rsidRPr="00B86E29">
        <w:rPr>
          <w:rFonts w:ascii="Times New Roman" w:hAnsi="Times New Roman" w:cs="Times New Roman"/>
          <w:lang w:val="es-ES_tradnl"/>
        </w:rPr>
        <w:t xml:space="preserve"> fue radicado el Proyecto de Ley </w:t>
      </w:r>
      <w:r w:rsidR="29143BBF" w:rsidRPr="00B86E29">
        <w:rPr>
          <w:rStyle w:val="SinespaciadoCar"/>
          <w:rFonts w:cs="Times New Roman"/>
          <w:sz w:val="22"/>
          <w:szCs w:val="22"/>
        </w:rPr>
        <w:t>n</w:t>
      </w:r>
      <w:r w:rsidR="001C452B" w:rsidRPr="00B86E29">
        <w:rPr>
          <w:rStyle w:val="SinespaciadoCar"/>
          <w:rFonts w:eastAsia="Helvetica" w:cs="Times New Roman"/>
          <w:sz w:val="22"/>
          <w:szCs w:val="22"/>
        </w:rPr>
        <w:t>úmero 094</w:t>
      </w:r>
      <w:r w:rsidRPr="00B86E29">
        <w:rPr>
          <w:rStyle w:val="SinespaciadoCar"/>
          <w:rFonts w:eastAsia="Helvetica" w:cs="Times New Roman"/>
          <w:sz w:val="22"/>
          <w:szCs w:val="22"/>
        </w:rPr>
        <w:t xml:space="preserve"> de 2021</w:t>
      </w:r>
      <w:r w:rsidR="29143BBF" w:rsidRPr="00B86E29">
        <w:rPr>
          <w:rStyle w:val="SinespaciadoCar"/>
          <w:rFonts w:eastAsia="Helvetica" w:cs="Times New Roman"/>
          <w:sz w:val="22"/>
          <w:szCs w:val="22"/>
        </w:rPr>
        <w:t xml:space="preserve"> </w:t>
      </w:r>
      <w:r w:rsidRPr="00B86E29">
        <w:rPr>
          <w:rStyle w:val="SinespaciadoCar"/>
          <w:rFonts w:eastAsia="Helvetica" w:cs="Times New Roman"/>
          <w:sz w:val="22"/>
          <w:szCs w:val="22"/>
        </w:rPr>
        <w:t>Cámara</w:t>
      </w:r>
      <w:r w:rsidR="29143BBF" w:rsidRPr="00B86E29">
        <w:rPr>
          <w:rStyle w:val="SinespaciadoCar"/>
          <w:rFonts w:eastAsia="Helvetica" w:cs="Times New Roman"/>
          <w:sz w:val="22"/>
          <w:szCs w:val="22"/>
        </w:rPr>
        <w:t xml:space="preserve"> “</w:t>
      </w:r>
      <w:r w:rsidR="001C452B" w:rsidRPr="00B86E29">
        <w:rPr>
          <w:rFonts w:ascii="Times New Roman" w:hAnsi="Times New Roman" w:cs="Times New Roman"/>
        </w:rPr>
        <w:t>Por medio de la cual se modifica el código de extinción de dominio</w:t>
      </w:r>
      <w:r w:rsidR="29143BBF" w:rsidRPr="00B86E29">
        <w:rPr>
          <w:rStyle w:val="SinespaciadoCar"/>
          <w:rFonts w:eastAsia="Helvetica" w:cs="Times New Roman"/>
          <w:sz w:val="22"/>
          <w:szCs w:val="22"/>
        </w:rPr>
        <w:t xml:space="preserve">” de iniciativa de los Honorables </w:t>
      </w:r>
      <w:r w:rsidRPr="00B86E29">
        <w:rPr>
          <w:rStyle w:val="SinespaciadoCar"/>
          <w:rFonts w:eastAsia="Helvetica" w:cs="Times New Roman"/>
          <w:sz w:val="22"/>
          <w:szCs w:val="22"/>
        </w:rPr>
        <w:t>Re</w:t>
      </w:r>
      <w:r w:rsidRPr="00B86E29">
        <w:rPr>
          <w:rFonts w:ascii="Times New Roman" w:hAnsi="Times New Roman" w:cs="Times New Roman"/>
        </w:rPr>
        <w:t>presentantes</w:t>
      </w:r>
      <w:r w:rsidR="29143BBF" w:rsidRPr="00B86E29">
        <w:rPr>
          <w:rFonts w:ascii="Times New Roman" w:hAnsi="Times New Roman" w:cs="Times New Roman"/>
        </w:rPr>
        <w:t xml:space="preserve">: </w:t>
      </w:r>
      <w:r w:rsidR="001C452B" w:rsidRPr="00B86E29">
        <w:rPr>
          <w:rFonts w:ascii="Times New Roman" w:hAnsi="Times New Roman" w:cs="Times New Roman"/>
        </w:rPr>
        <w:t xml:space="preserve">Buenaventura León </w:t>
      </w:r>
      <w:proofErr w:type="spellStart"/>
      <w:r w:rsidR="001C452B" w:rsidRPr="00B86E29">
        <w:rPr>
          <w:rFonts w:ascii="Times New Roman" w:hAnsi="Times New Roman" w:cs="Times New Roman"/>
        </w:rPr>
        <w:t>León</w:t>
      </w:r>
      <w:proofErr w:type="spellEnd"/>
      <w:r w:rsidR="001C452B" w:rsidRPr="00B86E29">
        <w:rPr>
          <w:rFonts w:ascii="Times New Roman" w:hAnsi="Times New Roman" w:cs="Times New Roman"/>
        </w:rPr>
        <w:t xml:space="preserve">, Alfredo </w:t>
      </w:r>
      <w:proofErr w:type="spellStart"/>
      <w:r w:rsidR="001C452B" w:rsidRPr="00B86E29">
        <w:rPr>
          <w:rFonts w:ascii="Times New Roman" w:hAnsi="Times New Roman" w:cs="Times New Roman"/>
        </w:rPr>
        <w:t>Ape</w:t>
      </w:r>
      <w:proofErr w:type="spellEnd"/>
      <w:r w:rsidR="001C452B" w:rsidRPr="00B86E29">
        <w:rPr>
          <w:rFonts w:ascii="Times New Roman" w:hAnsi="Times New Roman" w:cs="Times New Roman"/>
        </w:rPr>
        <w:t xml:space="preserve"> Cuello </w:t>
      </w:r>
      <w:proofErr w:type="spellStart"/>
      <w:r w:rsidR="001C452B" w:rsidRPr="00B86E29">
        <w:rPr>
          <w:rFonts w:ascii="Times New Roman" w:hAnsi="Times New Roman" w:cs="Times New Roman"/>
        </w:rPr>
        <w:t>Baute</w:t>
      </w:r>
      <w:proofErr w:type="spellEnd"/>
      <w:r w:rsidR="001C452B" w:rsidRPr="00B86E29">
        <w:rPr>
          <w:rFonts w:ascii="Times New Roman" w:hAnsi="Times New Roman" w:cs="Times New Roman"/>
        </w:rPr>
        <w:t xml:space="preserve">, Ciro Antonio Rodríguez Pinzón, Juan Carlos </w:t>
      </w:r>
      <w:proofErr w:type="spellStart"/>
      <w:r w:rsidR="001C452B" w:rsidRPr="00B86E29">
        <w:rPr>
          <w:rFonts w:ascii="Times New Roman" w:hAnsi="Times New Roman" w:cs="Times New Roman"/>
        </w:rPr>
        <w:t>Wills</w:t>
      </w:r>
      <w:proofErr w:type="spellEnd"/>
      <w:r w:rsidR="001C452B" w:rsidRPr="00B86E29">
        <w:rPr>
          <w:rFonts w:ascii="Times New Roman" w:hAnsi="Times New Roman" w:cs="Times New Roman"/>
        </w:rPr>
        <w:t xml:space="preserve"> Ospina, Armando Antonio </w:t>
      </w:r>
      <w:proofErr w:type="spellStart"/>
      <w:r w:rsidR="001C452B" w:rsidRPr="00B86E29">
        <w:rPr>
          <w:rFonts w:ascii="Times New Roman" w:hAnsi="Times New Roman" w:cs="Times New Roman"/>
        </w:rPr>
        <w:t>Zabaraín</w:t>
      </w:r>
      <w:proofErr w:type="spellEnd"/>
      <w:r w:rsidR="001C452B" w:rsidRPr="00B86E29">
        <w:rPr>
          <w:rFonts w:ascii="Times New Roman" w:hAnsi="Times New Roman" w:cs="Times New Roman"/>
        </w:rPr>
        <w:t xml:space="preserve"> de Arce, Juan Carlos Rivera Peña, José Gustavo Padilla Orozco, </w:t>
      </w:r>
      <w:proofErr w:type="spellStart"/>
      <w:r w:rsidR="001C452B" w:rsidRPr="00B86E29">
        <w:rPr>
          <w:rFonts w:ascii="Times New Roman" w:hAnsi="Times New Roman" w:cs="Times New Roman"/>
        </w:rPr>
        <w:t>Wadith</w:t>
      </w:r>
      <w:proofErr w:type="spellEnd"/>
      <w:r w:rsidR="001C452B" w:rsidRPr="00B86E29">
        <w:rPr>
          <w:rFonts w:ascii="Times New Roman" w:hAnsi="Times New Roman" w:cs="Times New Roman"/>
        </w:rPr>
        <w:t xml:space="preserve"> Alberto </w:t>
      </w:r>
      <w:proofErr w:type="spellStart"/>
      <w:r w:rsidR="001C452B" w:rsidRPr="00B86E29">
        <w:rPr>
          <w:rFonts w:ascii="Times New Roman" w:hAnsi="Times New Roman" w:cs="Times New Roman"/>
        </w:rPr>
        <w:t>Manzur</w:t>
      </w:r>
      <w:proofErr w:type="spellEnd"/>
      <w:r w:rsidR="001C452B" w:rsidRPr="00B86E29">
        <w:rPr>
          <w:rFonts w:ascii="Times New Roman" w:hAnsi="Times New Roman" w:cs="Times New Roman"/>
        </w:rPr>
        <w:t xml:space="preserve"> </w:t>
      </w:r>
      <w:proofErr w:type="spellStart"/>
      <w:r w:rsidR="001C452B" w:rsidRPr="00B86E29">
        <w:rPr>
          <w:rFonts w:ascii="Times New Roman" w:hAnsi="Times New Roman" w:cs="Times New Roman"/>
        </w:rPr>
        <w:t>Imbett</w:t>
      </w:r>
      <w:proofErr w:type="spellEnd"/>
      <w:r w:rsidR="001C452B" w:rsidRPr="00B86E29">
        <w:rPr>
          <w:rFonts w:ascii="Times New Roman" w:hAnsi="Times New Roman" w:cs="Times New Roman"/>
        </w:rPr>
        <w:t xml:space="preserve">, Nidia Marcela Osorio Salgado, </w:t>
      </w:r>
      <w:proofErr w:type="spellStart"/>
      <w:r w:rsidR="001C452B" w:rsidRPr="00B86E29">
        <w:rPr>
          <w:rFonts w:ascii="Times New Roman" w:hAnsi="Times New Roman" w:cs="Times New Roman"/>
        </w:rPr>
        <w:t>Felix</w:t>
      </w:r>
      <w:proofErr w:type="spellEnd"/>
      <w:r w:rsidR="001C452B" w:rsidRPr="00B86E29">
        <w:rPr>
          <w:rFonts w:ascii="Times New Roman" w:hAnsi="Times New Roman" w:cs="Times New Roman"/>
        </w:rPr>
        <w:t xml:space="preserve"> Alejandro Chica Correa, Germán Alcides Blanco Álvarez, Nicolás Albeiro Echeverry </w:t>
      </w:r>
      <w:proofErr w:type="spellStart"/>
      <w:r w:rsidR="001C452B" w:rsidRPr="00B86E29">
        <w:rPr>
          <w:rFonts w:ascii="Times New Roman" w:hAnsi="Times New Roman" w:cs="Times New Roman"/>
        </w:rPr>
        <w:t>Alvarán</w:t>
      </w:r>
      <w:proofErr w:type="spellEnd"/>
      <w:r w:rsidR="001C452B" w:rsidRPr="00B86E29">
        <w:rPr>
          <w:rFonts w:ascii="Times New Roman" w:hAnsi="Times New Roman" w:cs="Times New Roman"/>
        </w:rPr>
        <w:t xml:space="preserve">, </w:t>
      </w:r>
      <w:proofErr w:type="spellStart"/>
      <w:r w:rsidR="001C452B" w:rsidRPr="00B86E29">
        <w:rPr>
          <w:rFonts w:ascii="Times New Roman" w:hAnsi="Times New Roman" w:cs="Times New Roman"/>
        </w:rPr>
        <w:t>Diela</w:t>
      </w:r>
      <w:proofErr w:type="spellEnd"/>
      <w:r w:rsidR="001C452B" w:rsidRPr="00B86E29">
        <w:rPr>
          <w:rFonts w:ascii="Times New Roman" w:hAnsi="Times New Roman" w:cs="Times New Roman"/>
        </w:rPr>
        <w:t xml:space="preserve"> Liliana Benavides Solarte, Jaime Felipe Lozada Polanco, </w:t>
      </w:r>
      <w:proofErr w:type="spellStart"/>
      <w:r w:rsidR="001C452B" w:rsidRPr="00B86E29">
        <w:rPr>
          <w:rFonts w:ascii="Times New Roman" w:hAnsi="Times New Roman" w:cs="Times New Roman"/>
        </w:rPr>
        <w:t>Yamil</w:t>
      </w:r>
      <w:proofErr w:type="spellEnd"/>
      <w:r w:rsidR="001C452B" w:rsidRPr="00B86E29">
        <w:rPr>
          <w:rFonts w:ascii="Times New Roman" w:hAnsi="Times New Roman" w:cs="Times New Roman"/>
        </w:rPr>
        <w:t xml:space="preserve"> Hernando Arana </w:t>
      </w:r>
      <w:proofErr w:type="spellStart"/>
      <w:r w:rsidR="001C452B" w:rsidRPr="00B86E29">
        <w:rPr>
          <w:rFonts w:ascii="Times New Roman" w:hAnsi="Times New Roman" w:cs="Times New Roman"/>
        </w:rPr>
        <w:t>Padaui</w:t>
      </w:r>
      <w:proofErr w:type="spellEnd"/>
      <w:r w:rsidR="001C452B" w:rsidRPr="00B86E29">
        <w:rPr>
          <w:rFonts w:ascii="Times New Roman" w:hAnsi="Times New Roman" w:cs="Times New Roman"/>
        </w:rPr>
        <w:t xml:space="preserve"> y Felipe Andrés Muñoz Delgado</w:t>
      </w:r>
      <w:r w:rsidRPr="00B86E29">
        <w:rPr>
          <w:rFonts w:ascii="Times New Roman" w:hAnsi="Times New Roman" w:cs="Times New Roman"/>
        </w:rPr>
        <w:t>.</w:t>
      </w:r>
    </w:p>
    <w:p w14:paraId="0E27B00A" w14:textId="77777777" w:rsidR="00E332DD" w:rsidRPr="00B86E29" w:rsidRDefault="00E332DD" w:rsidP="003A2094">
      <w:pPr>
        <w:spacing w:after="0"/>
        <w:jc w:val="both"/>
        <w:rPr>
          <w:rFonts w:ascii="Times New Roman" w:hAnsi="Times New Roman" w:cs="Times New Roman"/>
          <w:lang w:val="es-ES_tradnl"/>
        </w:rPr>
      </w:pPr>
    </w:p>
    <w:p w14:paraId="46B8C879" w14:textId="58202B3F" w:rsidR="004D74A2" w:rsidRPr="00B86E29" w:rsidRDefault="29143BBF" w:rsidP="003A2094">
      <w:pPr>
        <w:spacing w:after="0"/>
        <w:jc w:val="both"/>
        <w:rPr>
          <w:rFonts w:ascii="Times New Roman" w:hAnsi="Times New Roman" w:cs="Times New Roman"/>
          <w:lang w:val="es-ES_tradnl"/>
        </w:rPr>
      </w:pPr>
      <w:r w:rsidRPr="00B86E29">
        <w:rPr>
          <w:rFonts w:ascii="Times New Roman" w:hAnsi="Times New Roman" w:cs="Times New Roman"/>
          <w:lang w:val="es-ES_tradnl"/>
        </w:rPr>
        <w:t xml:space="preserve">El proyecto de ley fue publicado en la Gaceta No. </w:t>
      </w:r>
      <w:r w:rsidR="001C452B" w:rsidRPr="00B86E29">
        <w:rPr>
          <w:rFonts w:ascii="Times New Roman" w:hAnsi="Times New Roman" w:cs="Times New Roman"/>
          <w:lang w:val="es-ES_tradnl"/>
        </w:rPr>
        <w:t>955</w:t>
      </w:r>
      <w:r w:rsidR="00994FE6" w:rsidRPr="00B86E29">
        <w:rPr>
          <w:rFonts w:ascii="Times New Roman" w:hAnsi="Times New Roman" w:cs="Times New Roman"/>
          <w:lang w:val="es-ES_tradnl"/>
        </w:rPr>
        <w:t xml:space="preserve"> de 2021</w:t>
      </w:r>
      <w:r w:rsidRPr="00B86E29">
        <w:rPr>
          <w:rFonts w:ascii="Times New Roman" w:hAnsi="Times New Roman" w:cs="Times New Roman"/>
          <w:lang w:val="es-ES_tradnl"/>
        </w:rPr>
        <w:t xml:space="preserve"> y remitido</w:t>
      </w:r>
      <w:r w:rsidR="00994FE6" w:rsidRPr="00B86E29">
        <w:rPr>
          <w:rFonts w:ascii="Times New Roman" w:hAnsi="Times New Roman" w:cs="Times New Roman"/>
          <w:lang w:val="es-ES_tradnl"/>
        </w:rPr>
        <w:t xml:space="preserve"> el 12 de agosto de 2021</w:t>
      </w:r>
      <w:r w:rsidRPr="00B86E29">
        <w:rPr>
          <w:rFonts w:ascii="Times New Roman" w:hAnsi="Times New Roman" w:cs="Times New Roman"/>
          <w:lang w:val="es-ES_tradnl"/>
        </w:rPr>
        <w:t xml:space="preserve"> a la Comisi</w:t>
      </w:r>
      <w:r w:rsidR="00994FE6" w:rsidRPr="00B86E29">
        <w:rPr>
          <w:rFonts w:ascii="Times New Roman" w:eastAsia="Helvetica" w:hAnsi="Times New Roman" w:cs="Times New Roman"/>
          <w:lang w:val="es-ES_tradnl"/>
        </w:rPr>
        <w:t xml:space="preserve">ón Primera Constitucional de la Cámara de Representantes </w:t>
      </w:r>
      <w:r w:rsidRPr="00B86E29">
        <w:rPr>
          <w:rFonts w:ascii="Times New Roman" w:eastAsia="Helvetica" w:hAnsi="Times New Roman" w:cs="Times New Roman"/>
          <w:lang w:val="es-ES_tradnl"/>
        </w:rPr>
        <w:t xml:space="preserve">para su </w:t>
      </w:r>
      <w:r w:rsidRPr="00B86E29">
        <w:rPr>
          <w:rFonts w:ascii="Times New Roman" w:hAnsi="Times New Roman" w:cs="Times New Roman"/>
          <w:lang w:val="es-ES_tradnl"/>
        </w:rPr>
        <w:t>estudio correspondiente, porque en virtud de la Ley 3</w:t>
      </w:r>
      <w:r w:rsidRPr="00B86E29">
        <w:rPr>
          <w:rFonts w:ascii="Times New Roman" w:eastAsia="Helvetica" w:hAnsi="Times New Roman" w:cs="Times New Roman"/>
          <w:lang w:val="es-ES_tradnl"/>
        </w:rPr>
        <w:t xml:space="preserve">ª de 1992 esta Comisión es la competente para conocer la materia. </w:t>
      </w:r>
    </w:p>
    <w:p w14:paraId="60061E4C" w14:textId="6E5726DE" w:rsidR="00E332DD" w:rsidRPr="00B86E29" w:rsidRDefault="00E332DD" w:rsidP="003A2094">
      <w:pPr>
        <w:spacing w:after="0"/>
        <w:jc w:val="both"/>
        <w:rPr>
          <w:rFonts w:ascii="Times New Roman" w:hAnsi="Times New Roman" w:cs="Times New Roman"/>
          <w:lang w:val="es-ES_tradnl"/>
        </w:rPr>
      </w:pPr>
    </w:p>
    <w:p w14:paraId="57F9F6AE" w14:textId="48AD6596" w:rsidR="00E33F59" w:rsidRPr="00B86E29" w:rsidRDefault="00E33F59" w:rsidP="00E33F59">
      <w:pPr>
        <w:spacing w:after="0"/>
        <w:jc w:val="both"/>
        <w:rPr>
          <w:rFonts w:ascii="Times New Roman" w:hAnsi="Times New Roman" w:cs="Times New Roman"/>
          <w:lang w:val="es-ES_tradnl"/>
        </w:rPr>
      </w:pPr>
      <w:r w:rsidRPr="00B86E29">
        <w:rPr>
          <w:rFonts w:ascii="Times New Roman" w:hAnsi="Times New Roman" w:cs="Times New Roman"/>
          <w:lang w:val="es-ES_tradnl"/>
        </w:rPr>
        <w:t xml:space="preserve">El 27 de julio de 2021 fue radicado el Proyecto de Ley </w:t>
      </w:r>
      <w:r w:rsidRPr="00B86E29">
        <w:rPr>
          <w:rStyle w:val="SinespaciadoCar"/>
          <w:rFonts w:cs="Times New Roman"/>
          <w:sz w:val="22"/>
          <w:szCs w:val="22"/>
        </w:rPr>
        <w:t>n</w:t>
      </w:r>
      <w:r w:rsidRPr="00B86E29">
        <w:rPr>
          <w:rStyle w:val="SinespaciadoCar"/>
          <w:rFonts w:eastAsia="Helvetica" w:cs="Times New Roman"/>
          <w:sz w:val="22"/>
          <w:szCs w:val="22"/>
        </w:rPr>
        <w:t xml:space="preserve">úmero 138 de 2021 Cámara </w:t>
      </w:r>
      <w:r w:rsidRPr="00B86E29">
        <w:rPr>
          <w:rFonts w:ascii="Times New Roman" w:hAnsi="Times New Roman" w:cs="Times New Roman"/>
        </w:rPr>
        <w:t xml:space="preserve">“Por medio de la cual se establece un término de duración para la fase inicial del proceso de extinción de dominio y se dictan otras disposiciones” </w:t>
      </w:r>
      <w:r w:rsidRPr="00B86E29">
        <w:rPr>
          <w:rStyle w:val="SinespaciadoCar"/>
          <w:rFonts w:eastAsia="Helvetica" w:cs="Times New Roman"/>
          <w:sz w:val="22"/>
          <w:szCs w:val="22"/>
        </w:rPr>
        <w:t>de iniciativa de los Honorables Re</w:t>
      </w:r>
      <w:r w:rsidRPr="00B86E29">
        <w:rPr>
          <w:rFonts w:ascii="Times New Roman" w:hAnsi="Times New Roman" w:cs="Times New Roman"/>
        </w:rPr>
        <w:t xml:space="preserve">presentantes: Juan Fernando Espinal Ramírez y Gabriel Jaime Vallejo </w:t>
      </w:r>
      <w:proofErr w:type="spellStart"/>
      <w:r w:rsidRPr="00B86E29">
        <w:rPr>
          <w:rFonts w:ascii="Times New Roman" w:hAnsi="Times New Roman" w:cs="Times New Roman"/>
        </w:rPr>
        <w:t>Chujfi</w:t>
      </w:r>
      <w:proofErr w:type="spellEnd"/>
      <w:r w:rsidRPr="00B86E29">
        <w:rPr>
          <w:rFonts w:ascii="Times New Roman" w:hAnsi="Times New Roman" w:cs="Times New Roman"/>
        </w:rPr>
        <w:t xml:space="preserve"> y por los Honorables Senadores: Paola Andrea Holguín Moreno y Alejandro Corrales Escobar.</w:t>
      </w:r>
    </w:p>
    <w:p w14:paraId="207B05AA" w14:textId="192C00F0" w:rsidR="00E33F59" w:rsidRPr="00B86E29" w:rsidRDefault="00E33F59" w:rsidP="003A2094">
      <w:pPr>
        <w:spacing w:after="0"/>
        <w:jc w:val="both"/>
        <w:rPr>
          <w:rFonts w:ascii="Times New Roman" w:hAnsi="Times New Roman" w:cs="Times New Roman"/>
          <w:lang w:val="es-ES_tradnl"/>
        </w:rPr>
      </w:pPr>
    </w:p>
    <w:p w14:paraId="32E121AE" w14:textId="3FD4FD89" w:rsidR="00E33F59" w:rsidRPr="00B86E29" w:rsidRDefault="00E33F59" w:rsidP="00E33F59">
      <w:pPr>
        <w:spacing w:after="0"/>
        <w:jc w:val="both"/>
        <w:rPr>
          <w:rFonts w:ascii="Times New Roman" w:hAnsi="Times New Roman" w:cs="Times New Roman"/>
          <w:lang w:val="es-ES_tradnl"/>
        </w:rPr>
      </w:pPr>
      <w:r w:rsidRPr="00B86E29">
        <w:rPr>
          <w:rFonts w:ascii="Times New Roman" w:hAnsi="Times New Roman" w:cs="Times New Roman"/>
          <w:lang w:val="es-ES_tradnl"/>
        </w:rPr>
        <w:t>El proyecto de ley fue publicado en la Gaceta No. 961 de 2021 y remitido el 19 de agosto de 2021 a la Comisi</w:t>
      </w:r>
      <w:r w:rsidRPr="00B86E29">
        <w:rPr>
          <w:rFonts w:ascii="Times New Roman" w:eastAsia="Helvetica" w:hAnsi="Times New Roman" w:cs="Times New Roman"/>
          <w:lang w:val="es-ES_tradnl"/>
        </w:rPr>
        <w:t xml:space="preserve">ón Primera Constitucional de la Cámara de Representantes para su </w:t>
      </w:r>
      <w:r w:rsidRPr="00B86E29">
        <w:rPr>
          <w:rFonts w:ascii="Times New Roman" w:hAnsi="Times New Roman" w:cs="Times New Roman"/>
          <w:lang w:val="es-ES_tradnl"/>
        </w:rPr>
        <w:t>estudio correspondiente, porque en virtud de la Ley 3</w:t>
      </w:r>
      <w:r w:rsidRPr="00B86E29">
        <w:rPr>
          <w:rFonts w:ascii="Times New Roman" w:eastAsia="Helvetica" w:hAnsi="Times New Roman" w:cs="Times New Roman"/>
          <w:lang w:val="es-ES_tradnl"/>
        </w:rPr>
        <w:t xml:space="preserve">ª de 1992 esta Comisión es la competente para conocer la materia. </w:t>
      </w:r>
    </w:p>
    <w:p w14:paraId="482CBCB9" w14:textId="77777777" w:rsidR="00E33F59" w:rsidRPr="00B86E29" w:rsidRDefault="00E33F59" w:rsidP="003A2094">
      <w:pPr>
        <w:spacing w:after="0"/>
        <w:jc w:val="both"/>
        <w:rPr>
          <w:rFonts w:ascii="Times New Roman" w:hAnsi="Times New Roman" w:cs="Times New Roman"/>
          <w:lang w:val="es-ES_tradnl"/>
        </w:rPr>
      </w:pPr>
    </w:p>
    <w:p w14:paraId="459B6BD3" w14:textId="2EE3E201" w:rsidR="29143BBF" w:rsidRPr="00B86E29" w:rsidRDefault="29143BBF" w:rsidP="003A2094">
      <w:pPr>
        <w:spacing w:after="0"/>
        <w:jc w:val="both"/>
        <w:rPr>
          <w:rFonts w:ascii="Times New Roman" w:hAnsi="Times New Roman" w:cs="Times New Roman"/>
        </w:rPr>
      </w:pPr>
      <w:r w:rsidRPr="00B86E29">
        <w:rPr>
          <w:rFonts w:ascii="Times New Roman" w:hAnsi="Times New Roman" w:cs="Times New Roman"/>
          <w:lang w:val="es-ES_tradnl"/>
        </w:rPr>
        <w:t>La Mesa Directiva de la Comisi</w:t>
      </w:r>
      <w:r w:rsidRPr="00B86E29">
        <w:rPr>
          <w:rFonts w:ascii="Times New Roman" w:eastAsia="Helvetica" w:hAnsi="Times New Roman" w:cs="Times New Roman"/>
          <w:lang w:val="es-ES_tradnl"/>
        </w:rPr>
        <w:t xml:space="preserve">ón mediante oficio </w:t>
      </w:r>
      <w:r w:rsidR="001C452B" w:rsidRPr="00B86E29">
        <w:rPr>
          <w:rFonts w:ascii="Times New Roman" w:eastAsia="Helvetica" w:hAnsi="Times New Roman" w:cs="Times New Roman"/>
          <w:lang w:val="es-ES_tradnl"/>
        </w:rPr>
        <w:t>C.P.C.P. 3.1 – 0106</w:t>
      </w:r>
      <w:r w:rsidR="00994FE6" w:rsidRPr="00B86E29">
        <w:rPr>
          <w:rFonts w:ascii="Times New Roman" w:eastAsia="Helvetica" w:hAnsi="Times New Roman" w:cs="Times New Roman"/>
          <w:lang w:val="es-ES_tradnl"/>
        </w:rPr>
        <w:t xml:space="preserve"> - 2021, con fecha del 17</w:t>
      </w:r>
      <w:r w:rsidRPr="00B86E29">
        <w:rPr>
          <w:rFonts w:ascii="Times New Roman" w:eastAsia="Helvetica" w:hAnsi="Times New Roman" w:cs="Times New Roman"/>
          <w:lang w:val="es-ES_tradnl"/>
        </w:rPr>
        <w:t xml:space="preserve"> de agos</w:t>
      </w:r>
      <w:r w:rsidR="00994FE6" w:rsidRPr="00B86E29">
        <w:rPr>
          <w:rFonts w:ascii="Times New Roman" w:eastAsia="Helvetica" w:hAnsi="Times New Roman" w:cs="Times New Roman"/>
          <w:lang w:val="es-ES_tradnl"/>
        </w:rPr>
        <w:t>to de 2021</w:t>
      </w:r>
      <w:r w:rsidRPr="00B86E29">
        <w:rPr>
          <w:rFonts w:ascii="Times New Roman" w:eastAsia="Helvetica" w:hAnsi="Times New Roman" w:cs="Times New Roman"/>
          <w:lang w:val="es-ES_tradnl"/>
        </w:rPr>
        <w:t xml:space="preserve"> designó como ponente único para primer debat</w:t>
      </w:r>
      <w:r w:rsidRPr="00B86E29">
        <w:rPr>
          <w:rFonts w:ascii="Times New Roman" w:hAnsi="Times New Roman" w:cs="Times New Roman"/>
          <w:lang w:val="es-ES_tradnl"/>
        </w:rPr>
        <w:t xml:space="preserve">e </w:t>
      </w:r>
      <w:r w:rsidR="00E33F59" w:rsidRPr="00B86E29">
        <w:rPr>
          <w:rFonts w:ascii="Times New Roman" w:hAnsi="Times New Roman" w:cs="Times New Roman"/>
          <w:lang w:val="es-ES_tradnl"/>
        </w:rPr>
        <w:t xml:space="preserve">del Proyecto de Ley </w:t>
      </w:r>
      <w:r w:rsidR="00E33F59" w:rsidRPr="00B86E29">
        <w:rPr>
          <w:rStyle w:val="SinespaciadoCar"/>
          <w:rFonts w:cs="Times New Roman"/>
          <w:sz w:val="22"/>
          <w:szCs w:val="22"/>
        </w:rPr>
        <w:t>n</w:t>
      </w:r>
      <w:r w:rsidR="00E33F59" w:rsidRPr="00B86E29">
        <w:rPr>
          <w:rStyle w:val="SinespaciadoCar"/>
          <w:rFonts w:eastAsia="Helvetica" w:cs="Times New Roman"/>
          <w:sz w:val="22"/>
          <w:szCs w:val="22"/>
        </w:rPr>
        <w:t>úmero 094 de 2021 Cámara “</w:t>
      </w:r>
      <w:r w:rsidR="00E33F59" w:rsidRPr="00B86E29">
        <w:rPr>
          <w:rFonts w:ascii="Times New Roman" w:hAnsi="Times New Roman" w:cs="Times New Roman"/>
        </w:rPr>
        <w:t>Por medio de la cual se modifica el código de extinción de dominio”</w:t>
      </w:r>
      <w:r w:rsidR="00E33F59" w:rsidRPr="00B86E29">
        <w:rPr>
          <w:rFonts w:ascii="Times New Roman" w:hAnsi="Times New Roman" w:cs="Times New Roman"/>
          <w:lang w:val="es-ES_tradnl"/>
        </w:rPr>
        <w:t xml:space="preserve"> </w:t>
      </w:r>
      <w:r w:rsidRPr="00B86E29">
        <w:rPr>
          <w:rFonts w:ascii="Times New Roman" w:hAnsi="Times New Roman" w:cs="Times New Roman"/>
          <w:lang w:val="es-ES_tradnl"/>
        </w:rPr>
        <w:t>al Honorable</w:t>
      </w:r>
      <w:r w:rsidR="00994FE6" w:rsidRPr="00B86E29">
        <w:rPr>
          <w:rFonts w:ascii="Times New Roman" w:hAnsi="Times New Roman" w:cs="Times New Roman"/>
          <w:lang w:val="es-ES_tradnl"/>
        </w:rPr>
        <w:t xml:space="preserve"> Representante Juan Carlos </w:t>
      </w:r>
      <w:proofErr w:type="spellStart"/>
      <w:r w:rsidR="00994FE6" w:rsidRPr="00B86E29">
        <w:rPr>
          <w:rFonts w:ascii="Times New Roman" w:hAnsi="Times New Roman" w:cs="Times New Roman"/>
          <w:lang w:val="es-ES_tradnl"/>
        </w:rPr>
        <w:t>Wills</w:t>
      </w:r>
      <w:proofErr w:type="spellEnd"/>
      <w:r w:rsidR="00994FE6" w:rsidRPr="00B86E29">
        <w:rPr>
          <w:rFonts w:ascii="Times New Roman" w:hAnsi="Times New Roman" w:cs="Times New Roman"/>
          <w:lang w:val="es-ES_tradnl"/>
        </w:rPr>
        <w:t xml:space="preserve"> Ospina</w:t>
      </w:r>
      <w:r w:rsidRPr="00B86E29">
        <w:rPr>
          <w:rFonts w:ascii="Times New Roman" w:hAnsi="Times New Roman" w:cs="Times New Roman"/>
          <w:lang w:val="es-ES_tradnl"/>
        </w:rPr>
        <w:t xml:space="preserve">. </w:t>
      </w:r>
      <w:r w:rsidR="00E33F59" w:rsidRPr="00B86E29">
        <w:rPr>
          <w:rFonts w:ascii="Times New Roman" w:hAnsi="Times New Roman" w:cs="Times New Roman"/>
          <w:lang w:val="es-ES_tradnl"/>
        </w:rPr>
        <w:t xml:space="preserve">Posteriormente el día 25 de agosto de 2021 mediante oficio C.P.C.P. 3.1 – 0156 – 2021, se informó la acumulación del Proyecto de Ley </w:t>
      </w:r>
      <w:r w:rsidR="00E33F59" w:rsidRPr="00B86E29">
        <w:rPr>
          <w:rStyle w:val="SinespaciadoCar"/>
          <w:rFonts w:cs="Times New Roman"/>
          <w:sz w:val="22"/>
          <w:szCs w:val="22"/>
        </w:rPr>
        <w:t>n</w:t>
      </w:r>
      <w:r w:rsidR="00E33F59" w:rsidRPr="00B86E29">
        <w:rPr>
          <w:rStyle w:val="SinespaciadoCar"/>
          <w:rFonts w:eastAsia="Helvetica" w:cs="Times New Roman"/>
          <w:sz w:val="22"/>
          <w:szCs w:val="22"/>
        </w:rPr>
        <w:t xml:space="preserve">úmero 138 de 2021 Cámara </w:t>
      </w:r>
      <w:r w:rsidR="00E33F59" w:rsidRPr="00B86E29">
        <w:rPr>
          <w:rFonts w:ascii="Times New Roman" w:hAnsi="Times New Roman" w:cs="Times New Roman"/>
        </w:rPr>
        <w:t>“Por medio de la cual se establece un término de duración para la fase inicial del proceso de extinción de dominio y se dictan otras disposiciones”.</w:t>
      </w:r>
    </w:p>
    <w:p w14:paraId="776211BB" w14:textId="77777777" w:rsidR="00E33F59" w:rsidRPr="00B86E29" w:rsidRDefault="00E33F59" w:rsidP="003A2094">
      <w:pPr>
        <w:spacing w:after="0"/>
        <w:jc w:val="both"/>
        <w:rPr>
          <w:rFonts w:ascii="Times New Roman" w:hAnsi="Times New Roman" w:cs="Times New Roman"/>
          <w:lang w:val="es-ES_tradnl"/>
        </w:rPr>
      </w:pPr>
    </w:p>
    <w:p w14:paraId="3C8B6664" w14:textId="3930B5F2" w:rsidR="005A076E" w:rsidRPr="00B86E29" w:rsidRDefault="005A076E" w:rsidP="003F7560">
      <w:pPr>
        <w:spacing w:after="0"/>
        <w:jc w:val="both"/>
        <w:rPr>
          <w:rFonts w:ascii="Times New Roman" w:hAnsi="Times New Roman" w:cs="Times New Roman"/>
          <w:lang w:val="es-ES_tradnl"/>
        </w:rPr>
      </w:pPr>
    </w:p>
    <w:p w14:paraId="5770F531" w14:textId="22F6D182" w:rsidR="29143BBF" w:rsidRPr="00B86E29" w:rsidRDefault="29143BBF" w:rsidP="00994FE6">
      <w:pPr>
        <w:spacing w:after="0"/>
        <w:ind w:firstLine="708"/>
        <w:rPr>
          <w:rFonts w:ascii="Times New Roman" w:hAnsi="Times New Roman" w:cs="Times New Roman"/>
          <w:b/>
          <w:bCs/>
          <w:lang w:val="es-ES_tradnl"/>
        </w:rPr>
      </w:pPr>
      <w:r w:rsidRPr="00B86E29">
        <w:rPr>
          <w:rFonts w:ascii="Times New Roman" w:hAnsi="Times New Roman" w:cs="Times New Roman"/>
          <w:b/>
          <w:bCs/>
          <w:lang w:val="es-ES_tradnl"/>
        </w:rPr>
        <w:lastRenderedPageBreak/>
        <w:t xml:space="preserve">II. OBJETO DEL PROYECTO DE LEY </w:t>
      </w:r>
    </w:p>
    <w:p w14:paraId="054D7247" w14:textId="77777777" w:rsidR="00264DCA" w:rsidRPr="00B86E29" w:rsidRDefault="00264DCA" w:rsidP="00264DCA">
      <w:pPr>
        <w:spacing w:before="28" w:after="28" w:line="360" w:lineRule="auto"/>
        <w:jc w:val="both"/>
        <w:textAlignment w:val="center"/>
        <w:rPr>
          <w:rFonts w:ascii="Times New Roman" w:hAnsi="Times New Roman" w:cs="Times New Roman"/>
          <w:lang w:val="es-ES_tradnl"/>
        </w:rPr>
      </w:pPr>
    </w:p>
    <w:p w14:paraId="51164E38" w14:textId="2E35FC9E" w:rsidR="001C452B" w:rsidRPr="00B86E29" w:rsidRDefault="001C452B" w:rsidP="00264DCA">
      <w:pPr>
        <w:jc w:val="both"/>
        <w:rPr>
          <w:rFonts w:ascii="Times New Roman" w:hAnsi="Times New Roman" w:cs="Times New Roman"/>
        </w:rPr>
      </w:pPr>
      <w:r w:rsidRPr="00B86E29">
        <w:rPr>
          <w:rFonts w:ascii="Times New Roman" w:hAnsi="Times New Roman" w:cs="Times New Roman"/>
        </w:rPr>
        <w:t xml:space="preserve">El </w:t>
      </w:r>
      <w:r w:rsidR="00264DCA" w:rsidRPr="00B86E29">
        <w:rPr>
          <w:rFonts w:ascii="Times New Roman" w:hAnsi="Times New Roman" w:cs="Times New Roman"/>
        </w:rPr>
        <w:t>presente proyecto de ley tiene como propósito reformar algunas disposiciones de la ley 1708 del 2014 - Código de Extinción de Dominio; con el fin de adoptar medidas que contribuyan a agilizar el trámite previsto para el ejercicio de la acción patrimonial de extinción de dominio, por vía del establecimiento de un término perentorio que dé certeza sobre la duración razonable de este tipo de procesos en sede de la Fiscalía General de la Nación. Así mismo, con el fin de salvaguardad el derecho constitucional a la propiedad privada, evitando que la figura de extinción de dominio afecte a terceros que actúan de buena fe, se adiciona</w:t>
      </w:r>
      <w:r w:rsidRPr="00B86E29">
        <w:rPr>
          <w:rFonts w:ascii="Times New Roman" w:hAnsi="Times New Roman" w:cs="Times New Roman"/>
        </w:rPr>
        <w:t xml:space="preserve"> un </w:t>
      </w:r>
      <w:r w:rsidR="003A2094" w:rsidRPr="00B86E29">
        <w:rPr>
          <w:rFonts w:ascii="Times New Roman" w:hAnsi="Times New Roman" w:cs="Times New Roman"/>
        </w:rPr>
        <w:t>parágrafo al artículo 16</w:t>
      </w:r>
      <w:r w:rsidR="00264DCA" w:rsidRPr="00B86E29">
        <w:rPr>
          <w:rFonts w:ascii="Times New Roman" w:hAnsi="Times New Roman" w:cs="Times New Roman"/>
        </w:rPr>
        <w:t xml:space="preserve"> del</w:t>
      </w:r>
      <w:r w:rsidRPr="00B86E29">
        <w:rPr>
          <w:rFonts w:ascii="Times New Roman" w:hAnsi="Times New Roman" w:cs="Times New Roman"/>
        </w:rPr>
        <w:t xml:space="preserve"> Código. </w:t>
      </w:r>
    </w:p>
    <w:p w14:paraId="32B77795" w14:textId="77777777" w:rsidR="001C452B" w:rsidRPr="00B86E29" w:rsidRDefault="001C452B" w:rsidP="00994FE6">
      <w:pPr>
        <w:spacing w:after="0"/>
        <w:ind w:firstLine="708"/>
        <w:rPr>
          <w:rFonts w:ascii="Times New Roman" w:hAnsi="Times New Roman" w:cs="Times New Roman"/>
          <w:b/>
          <w:bCs/>
          <w:lang w:val="es-ES_tradnl"/>
        </w:rPr>
      </w:pPr>
    </w:p>
    <w:p w14:paraId="5A71911C" w14:textId="08AB67BD" w:rsidR="29143BBF" w:rsidRPr="00B86E29" w:rsidRDefault="29143BBF" w:rsidP="00994FE6">
      <w:pPr>
        <w:spacing w:after="0"/>
        <w:ind w:firstLine="708"/>
        <w:rPr>
          <w:rFonts w:ascii="Times New Roman" w:hAnsi="Times New Roman" w:cs="Times New Roman"/>
          <w:b/>
          <w:bCs/>
          <w:lang w:val="es-ES_tradnl"/>
        </w:rPr>
      </w:pPr>
      <w:r w:rsidRPr="00B86E29">
        <w:rPr>
          <w:rFonts w:ascii="Times New Roman" w:hAnsi="Times New Roman" w:cs="Times New Roman"/>
          <w:b/>
          <w:bCs/>
          <w:lang w:val="es-ES_tradnl"/>
        </w:rPr>
        <w:t>III. CONTENIDO DEL PROYECTO DE LEY</w:t>
      </w:r>
      <w:r w:rsidRPr="00B86E29">
        <w:rPr>
          <w:rFonts w:ascii="Times New Roman" w:hAnsi="Times New Roman" w:cs="Times New Roman"/>
          <w:lang w:val="es-ES_tradnl"/>
        </w:rPr>
        <w:br/>
      </w:r>
    </w:p>
    <w:p w14:paraId="28EE339D" w14:textId="77777777" w:rsidR="00264DCA" w:rsidRPr="00B86E29" w:rsidRDefault="00264DCA" w:rsidP="00264DCA">
      <w:pPr>
        <w:jc w:val="both"/>
        <w:rPr>
          <w:rFonts w:ascii="Times New Roman" w:hAnsi="Times New Roman" w:cs="Times New Roman"/>
        </w:rPr>
      </w:pPr>
      <w:r w:rsidRPr="00B86E29">
        <w:rPr>
          <w:rFonts w:ascii="Times New Roman" w:hAnsi="Times New Roman" w:cs="Times New Roman"/>
        </w:rPr>
        <w:t xml:space="preserve">La reforma propuesta prevé disposiciones para conminar a los funcionarios encargados de la instrucción inicial en los procesos de Extinción de Dominios, a acatar estrictamente el término fijado, al tiempo que ajusta otras disposiciones vigentes para mantener la sistemática y coherencia del Código. Este propósito se hace explícito en el artículo </w:t>
      </w:r>
      <w:r w:rsidRPr="00B86E29">
        <w:rPr>
          <w:rFonts w:ascii="Times New Roman" w:hAnsi="Times New Roman" w:cs="Times New Roman"/>
          <w:b/>
        </w:rPr>
        <w:t>1º</w:t>
      </w:r>
      <w:r w:rsidRPr="00B86E29">
        <w:rPr>
          <w:rFonts w:ascii="Times New Roman" w:hAnsi="Times New Roman" w:cs="Times New Roman"/>
        </w:rPr>
        <w:t xml:space="preserve"> del proyecto; en tanto que los artículos subsiguientes introducen los cambios normativos que se proponen. </w:t>
      </w:r>
    </w:p>
    <w:p w14:paraId="54E01316" w14:textId="58C216B6" w:rsidR="00264DCA" w:rsidRPr="00B86E29" w:rsidRDefault="00264DCA" w:rsidP="00264DCA">
      <w:pPr>
        <w:jc w:val="both"/>
        <w:rPr>
          <w:rFonts w:ascii="Times New Roman" w:hAnsi="Times New Roman" w:cs="Times New Roman"/>
        </w:rPr>
      </w:pPr>
      <w:r w:rsidRPr="00B86E29">
        <w:rPr>
          <w:rFonts w:ascii="Times New Roman" w:hAnsi="Times New Roman" w:cs="Times New Roman"/>
        </w:rPr>
        <w:t xml:space="preserve">El artículo </w:t>
      </w:r>
      <w:r w:rsidRPr="00B86E29">
        <w:rPr>
          <w:rFonts w:ascii="Times New Roman" w:hAnsi="Times New Roman" w:cs="Times New Roman"/>
          <w:b/>
        </w:rPr>
        <w:t>2º</w:t>
      </w:r>
      <w:r w:rsidRPr="00B86E29">
        <w:rPr>
          <w:rFonts w:ascii="Times New Roman" w:hAnsi="Times New Roman" w:cs="Times New Roman"/>
        </w:rPr>
        <w:t xml:space="preserve">, ajusta el artículo 123 del Código vigente, para dejar claro que el término que se establece para la duración máxima de la Fase Inicial del trámite, comprende la adopción de la decisión de archivo o interposición de la demanda, una vez perfeccionada. Con esta disposición se busca precisar el alcance del término fijado, de manera que no exista duda alguna en su interpretación. </w:t>
      </w:r>
    </w:p>
    <w:p w14:paraId="51AE856D" w14:textId="6EDEB782" w:rsidR="00264DCA" w:rsidRPr="00B86E29" w:rsidRDefault="00264DCA" w:rsidP="00264DCA">
      <w:pPr>
        <w:jc w:val="both"/>
        <w:rPr>
          <w:rFonts w:ascii="Times New Roman" w:hAnsi="Times New Roman" w:cs="Times New Roman"/>
        </w:rPr>
      </w:pPr>
      <w:r w:rsidRPr="00B86E29">
        <w:rPr>
          <w:rFonts w:ascii="Times New Roman" w:hAnsi="Times New Roman" w:cs="Times New Roman"/>
        </w:rPr>
        <w:t xml:space="preserve">El artículo </w:t>
      </w:r>
      <w:r w:rsidRPr="00B86E29">
        <w:rPr>
          <w:rFonts w:ascii="Times New Roman" w:hAnsi="Times New Roman" w:cs="Times New Roman"/>
          <w:b/>
        </w:rPr>
        <w:t>3º</w:t>
      </w:r>
      <w:r w:rsidRPr="00B86E29">
        <w:rPr>
          <w:rFonts w:ascii="Times New Roman" w:hAnsi="Times New Roman" w:cs="Times New Roman"/>
        </w:rPr>
        <w:t xml:space="preserve">, introduce un nuevo artículo a la Ley 1708 de 2014, bajo el número y denominación “ARTÍCULO 123A. DURACIÓN DE LA FASE INICIAL”, que, como se puede extraer de su simple lectura, concreta el objeto de la iniciativa. Por esta disposición, se pretende fijar un término diferenciado de duración máxima de esta Fase, teniendo en consideración las eventuales complejidades de ciertos trámites: </w:t>
      </w:r>
    </w:p>
    <w:p w14:paraId="7FAC9190" w14:textId="09CA2976" w:rsidR="00264DCA" w:rsidRPr="00B86E29" w:rsidRDefault="00264DCA" w:rsidP="00264DCA">
      <w:pPr>
        <w:pStyle w:val="Prrafodelista"/>
        <w:numPr>
          <w:ilvl w:val="0"/>
          <w:numId w:val="42"/>
        </w:numPr>
        <w:jc w:val="both"/>
        <w:rPr>
          <w:sz w:val="22"/>
          <w:szCs w:val="22"/>
        </w:rPr>
      </w:pPr>
      <w:r w:rsidRPr="00B86E29">
        <w:rPr>
          <w:sz w:val="22"/>
          <w:szCs w:val="22"/>
        </w:rPr>
        <w:t xml:space="preserve">Doce (12) meses, prorrogables por una única mediante Resolución, para un término total de dieciocho (18) meses. </w:t>
      </w:r>
    </w:p>
    <w:p w14:paraId="1A593561" w14:textId="33BE718D" w:rsidR="00264DCA" w:rsidRPr="00B86E29" w:rsidRDefault="00264DCA" w:rsidP="00264DCA">
      <w:pPr>
        <w:pStyle w:val="Prrafodelista"/>
        <w:numPr>
          <w:ilvl w:val="0"/>
          <w:numId w:val="42"/>
        </w:numPr>
        <w:jc w:val="both"/>
        <w:rPr>
          <w:sz w:val="22"/>
          <w:szCs w:val="22"/>
        </w:rPr>
      </w:pPr>
      <w:r w:rsidRPr="00B86E29">
        <w:rPr>
          <w:sz w:val="22"/>
          <w:szCs w:val="22"/>
        </w:rPr>
        <w:t xml:space="preserve">Veinticuatro (24) meses, sin posibilidad de prórroga, en casos de complejidad, derivada de circunstancias asociadas a la ubicación y número de los bienes, así como el tipo y número de afectados.  </w:t>
      </w:r>
    </w:p>
    <w:p w14:paraId="18374F1A" w14:textId="31A6103A" w:rsidR="00264DCA" w:rsidRPr="00B86E29" w:rsidRDefault="00264DCA" w:rsidP="00264DCA">
      <w:pPr>
        <w:jc w:val="both"/>
        <w:rPr>
          <w:rFonts w:ascii="Times New Roman" w:hAnsi="Times New Roman" w:cs="Times New Roman"/>
        </w:rPr>
      </w:pPr>
      <w:r w:rsidRPr="00B86E29">
        <w:rPr>
          <w:rFonts w:ascii="Times New Roman" w:hAnsi="Times New Roman" w:cs="Times New Roman"/>
        </w:rPr>
        <w:br/>
        <w:t xml:space="preserve">En todo caso, con el fin de armonizar lo previsto en el artículo 89, relativo al término de duración de las medidas cautelares, en los eventos en los que se adopten, el Fiscal delegado dispondrá de seis (6) meses para resolver sobre el archivo de la actuación o la presentación de la demanda.  </w:t>
      </w:r>
    </w:p>
    <w:p w14:paraId="3092EDE4" w14:textId="5585FCB2" w:rsidR="00264DCA" w:rsidRPr="00B86E29" w:rsidRDefault="00264DCA" w:rsidP="00264DCA">
      <w:pPr>
        <w:jc w:val="both"/>
        <w:rPr>
          <w:rFonts w:ascii="Times New Roman" w:hAnsi="Times New Roman" w:cs="Times New Roman"/>
        </w:rPr>
      </w:pPr>
      <w:r w:rsidRPr="00B86E29">
        <w:rPr>
          <w:rFonts w:ascii="Times New Roman" w:hAnsi="Times New Roman" w:cs="Times New Roman"/>
        </w:rPr>
        <w:t xml:space="preserve">El mismo artículo introduce como mecanismo de control, la revisión automática de la Resolución de prórroga del término inicial, por parte del superior jerárquico del funcionario instructor que la profirió. </w:t>
      </w:r>
    </w:p>
    <w:p w14:paraId="0FBD0CBD" w14:textId="77777777" w:rsidR="00264DCA" w:rsidRPr="00B86E29" w:rsidRDefault="00264DCA" w:rsidP="00264DCA">
      <w:pPr>
        <w:jc w:val="both"/>
        <w:rPr>
          <w:rFonts w:ascii="Times New Roman" w:hAnsi="Times New Roman" w:cs="Times New Roman"/>
        </w:rPr>
      </w:pPr>
    </w:p>
    <w:p w14:paraId="629E5805" w14:textId="1C3807A4" w:rsidR="00264DCA" w:rsidRPr="00B86E29" w:rsidRDefault="00264DCA" w:rsidP="00264DCA">
      <w:pPr>
        <w:jc w:val="both"/>
        <w:rPr>
          <w:rFonts w:ascii="Times New Roman" w:hAnsi="Times New Roman" w:cs="Times New Roman"/>
        </w:rPr>
      </w:pPr>
      <w:r w:rsidRPr="00B86E29">
        <w:rPr>
          <w:rFonts w:ascii="Times New Roman" w:hAnsi="Times New Roman" w:cs="Times New Roman"/>
        </w:rPr>
        <w:lastRenderedPageBreak/>
        <w:t xml:space="preserve">La disposición contempla, en su parágrafo, que tras el vencimiento del término y de su eventual prórroga, el proceso sea reasignado a otro Fiscal, para que, dentro del término de un mes, valore la evidencia que reposa en el expediente y adopte la decisión que corresponda. Con el relevo, el superior jerárquico del Fiscal relevado, deberá ejercer las facultades disciplinarias o información a la instancia competente, así como a las autoridades penales. </w:t>
      </w:r>
    </w:p>
    <w:p w14:paraId="729E9A1D" w14:textId="11313BB4" w:rsidR="00264DCA" w:rsidRPr="00B86E29" w:rsidRDefault="00264DCA" w:rsidP="00264DCA">
      <w:pPr>
        <w:jc w:val="both"/>
        <w:rPr>
          <w:rFonts w:ascii="Times New Roman" w:hAnsi="Times New Roman" w:cs="Times New Roman"/>
        </w:rPr>
      </w:pPr>
      <w:r w:rsidRPr="00B86E29">
        <w:rPr>
          <w:rFonts w:ascii="Times New Roman" w:hAnsi="Times New Roman" w:cs="Times New Roman"/>
        </w:rPr>
        <w:t xml:space="preserve">El artículo </w:t>
      </w:r>
      <w:r w:rsidRPr="00B86E29">
        <w:rPr>
          <w:rFonts w:ascii="Times New Roman" w:hAnsi="Times New Roman" w:cs="Times New Roman"/>
          <w:b/>
        </w:rPr>
        <w:t>4º</w:t>
      </w:r>
      <w:r w:rsidRPr="00B86E29">
        <w:rPr>
          <w:rFonts w:ascii="Times New Roman" w:hAnsi="Times New Roman" w:cs="Times New Roman"/>
        </w:rPr>
        <w:t xml:space="preserve"> adiciona un parágrafo al artículo 125 de la Ley 1708, alusivo al DESARCHIVO, en punto de dar claridad sobre el término que se debe observar en casos en los que se reabra la actuación. </w:t>
      </w:r>
    </w:p>
    <w:p w14:paraId="7C32AF45" w14:textId="4A5CCB59" w:rsidR="00264DCA" w:rsidRPr="00B86E29" w:rsidRDefault="00264DCA" w:rsidP="00264DCA">
      <w:pPr>
        <w:jc w:val="both"/>
        <w:rPr>
          <w:rFonts w:ascii="Times New Roman" w:hAnsi="Times New Roman" w:cs="Times New Roman"/>
        </w:rPr>
      </w:pPr>
      <w:r w:rsidRPr="00B86E29">
        <w:rPr>
          <w:rFonts w:ascii="Times New Roman" w:hAnsi="Times New Roman" w:cs="Times New Roman"/>
        </w:rPr>
        <w:t xml:space="preserve">El artículo </w:t>
      </w:r>
      <w:r w:rsidRPr="00B86E29">
        <w:rPr>
          <w:rFonts w:ascii="Times New Roman" w:hAnsi="Times New Roman" w:cs="Times New Roman"/>
          <w:b/>
        </w:rPr>
        <w:t>5º</w:t>
      </w:r>
      <w:r w:rsidRPr="00B86E29">
        <w:rPr>
          <w:rFonts w:ascii="Times New Roman" w:hAnsi="Times New Roman" w:cs="Times New Roman"/>
        </w:rPr>
        <w:t xml:space="preserve"> alude a la aplicación del término de duración introducido por la reforma para los procesos que, a la entrada en vigencia de esta, se encuentren en fase de inicial. Esto, con el fin de despejar dudas sobre el alcance de la aprobación de la norma. </w:t>
      </w:r>
    </w:p>
    <w:p w14:paraId="741F9AE1" w14:textId="38DCC9F9" w:rsidR="00264DCA" w:rsidRPr="00B86E29" w:rsidRDefault="00264DCA" w:rsidP="00264DCA">
      <w:pPr>
        <w:jc w:val="both"/>
        <w:rPr>
          <w:rFonts w:ascii="Times New Roman" w:hAnsi="Times New Roman" w:cs="Times New Roman"/>
        </w:rPr>
      </w:pPr>
      <w:r w:rsidRPr="00B86E29">
        <w:rPr>
          <w:rFonts w:ascii="Times New Roman" w:hAnsi="Times New Roman" w:cs="Times New Roman"/>
        </w:rPr>
        <w:t xml:space="preserve">El artículo </w:t>
      </w:r>
      <w:r w:rsidRPr="00B86E29">
        <w:rPr>
          <w:rFonts w:ascii="Times New Roman" w:hAnsi="Times New Roman" w:cs="Times New Roman"/>
          <w:b/>
        </w:rPr>
        <w:t>6°</w:t>
      </w:r>
      <w:r w:rsidR="009E3F22" w:rsidRPr="00B86E29">
        <w:rPr>
          <w:rFonts w:ascii="Times New Roman" w:hAnsi="Times New Roman" w:cs="Times New Roman"/>
        </w:rPr>
        <w:t xml:space="preserve"> </w:t>
      </w:r>
      <w:r w:rsidR="003A2094" w:rsidRPr="00B86E29">
        <w:rPr>
          <w:rFonts w:ascii="Times New Roman" w:hAnsi="Times New Roman" w:cs="Times New Roman"/>
        </w:rPr>
        <w:t>adiciona un parágrafo al artículo 16, en el cual se establece que las causales de extinción de dominio no procederán cuando el propietario del bien inmueble pruebe que ac</w:t>
      </w:r>
      <w:r w:rsidRPr="00B86E29">
        <w:rPr>
          <w:rFonts w:ascii="Times New Roman" w:hAnsi="Times New Roman" w:cs="Times New Roman"/>
        </w:rPr>
        <w:t xml:space="preserve">tuó de buena fe exenta de culpa. </w:t>
      </w:r>
    </w:p>
    <w:p w14:paraId="4CA4769D" w14:textId="7456DA7A" w:rsidR="005A076E" w:rsidRPr="00B86E29" w:rsidRDefault="00264DCA" w:rsidP="00A70700">
      <w:pPr>
        <w:rPr>
          <w:rFonts w:ascii="Times New Roman" w:hAnsi="Times New Roman" w:cs="Times New Roman"/>
        </w:rPr>
      </w:pPr>
      <w:r w:rsidRPr="00B86E29">
        <w:rPr>
          <w:rFonts w:ascii="Times New Roman" w:hAnsi="Times New Roman" w:cs="Times New Roman"/>
        </w:rPr>
        <w:t>Finalmente,</w:t>
      </w:r>
      <w:r w:rsidR="003A2094" w:rsidRPr="00B86E29">
        <w:rPr>
          <w:rFonts w:ascii="Times New Roman" w:hAnsi="Times New Roman" w:cs="Times New Roman"/>
        </w:rPr>
        <w:t xml:space="preserve"> </w:t>
      </w:r>
      <w:r w:rsidR="00D273F7" w:rsidRPr="00B86E29">
        <w:rPr>
          <w:rFonts w:ascii="Times New Roman" w:hAnsi="Times New Roman" w:cs="Times New Roman"/>
        </w:rPr>
        <w:t>el artículo</w:t>
      </w:r>
      <w:r w:rsidRPr="00B86E29">
        <w:rPr>
          <w:rFonts w:ascii="Times New Roman" w:hAnsi="Times New Roman" w:cs="Times New Roman"/>
        </w:rPr>
        <w:t xml:space="preserve"> </w:t>
      </w:r>
      <w:r w:rsidRPr="00B86E29">
        <w:rPr>
          <w:rFonts w:ascii="Times New Roman" w:hAnsi="Times New Roman" w:cs="Times New Roman"/>
          <w:b/>
        </w:rPr>
        <w:t>7°</w:t>
      </w:r>
      <w:r w:rsidR="00D273F7" w:rsidRPr="00B86E29">
        <w:rPr>
          <w:rFonts w:ascii="Times New Roman" w:hAnsi="Times New Roman" w:cs="Times New Roman"/>
        </w:rPr>
        <w:t xml:space="preserve"> establece la vigencia de la ley. </w:t>
      </w:r>
      <w:r w:rsidR="00A70700" w:rsidRPr="00B86E29">
        <w:rPr>
          <w:rFonts w:ascii="Times New Roman" w:hAnsi="Times New Roman" w:cs="Times New Roman"/>
        </w:rPr>
        <w:br/>
      </w:r>
    </w:p>
    <w:p w14:paraId="03DAF848" w14:textId="77777777" w:rsidR="004D74A2" w:rsidRPr="00B86E29" w:rsidRDefault="004D74A2" w:rsidP="00A042D7">
      <w:pPr>
        <w:spacing w:after="0"/>
        <w:ind w:firstLine="708"/>
        <w:rPr>
          <w:rFonts w:ascii="Times New Roman" w:hAnsi="Times New Roman" w:cs="Times New Roman"/>
          <w:b/>
          <w:lang w:val="es-ES_tradnl"/>
        </w:rPr>
      </w:pPr>
      <w:r w:rsidRPr="00B86E29">
        <w:rPr>
          <w:rFonts w:ascii="Times New Roman" w:hAnsi="Times New Roman" w:cs="Times New Roman"/>
          <w:b/>
          <w:lang w:val="es-ES_tradnl"/>
        </w:rPr>
        <w:t>IV. CONSIDERACIONES</w:t>
      </w:r>
    </w:p>
    <w:p w14:paraId="049F31CB" w14:textId="77777777" w:rsidR="00EC17F9" w:rsidRPr="00B86E29" w:rsidRDefault="00EC17F9" w:rsidP="003F7560">
      <w:pPr>
        <w:spacing w:after="0"/>
        <w:jc w:val="both"/>
        <w:rPr>
          <w:rFonts w:ascii="Times New Roman" w:hAnsi="Times New Roman" w:cs="Times New Roman"/>
          <w:lang w:val="es-ES_tradnl"/>
        </w:rPr>
      </w:pPr>
    </w:p>
    <w:p w14:paraId="3B8D0B86" w14:textId="6615E3A4" w:rsidR="00B44996" w:rsidRPr="00B86E29" w:rsidRDefault="00B44996" w:rsidP="003F7560">
      <w:pPr>
        <w:spacing w:after="0"/>
        <w:jc w:val="both"/>
        <w:rPr>
          <w:rFonts w:ascii="Times New Roman" w:hAnsi="Times New Roman" w:cs="Times New Roman"/>
          <w:lang w:val="es-ES_tradnl"/>
        </w:rPr>
      </w:pPr>
      <w:r w:rsidRPr="00B86E29">
        <w:rPr>
          <w:rFonts w:ascii="Times New Roman" w:hAnsi="Times New Roman" w:cs="Times New Roman"/>
          <w:lang w:val="es-ES_tradnl"/>
        </w:rPr>
        <w:t>A continuaci</w:t>
      </w:r>
      <w:r w:rsidRPr="00B86E29">
        <w:rPr>
          <w:rFonts w:ascii="Times New Roman" w:eastAsia="Helvetica" w:hAnsi="Times New Roman" w:cs="Times New Roman"/>
          <w:lang w:val="es-ES_tradnl"/>
        </w:rPr>
        <w:t>ó</w:t>
      </w:r>
      <w:r w:rsidRPr="00B86E29">
        <w:rPr>
          <w:rFonts w:ascii="Times New Roman" w:hAnsi="Times New Roman" w:cs="Times New Roman"/>
          <w:lang w:val="es-ES_tradnl"/>
        </w:rPr>
        <w:t>n</w:t>
      </w:r>
      <w:r w:rsidR="001C4F09" w:rsidRPr="00B86E29">
        <w:rPr>
          <w:rFonts w:ascii="Times New Roman" w:hAnsi="Times New Roman" w:cs="Times New Roman"/>
          <w:lang w:val="es-ES_tradnl"/>
        </w:rPr>
        <w:t>,</w:t>
      </w:r>
      <w:r w:rsidRPr="00B86E29">
        <w:rPr>
          <w:rFonts w:ascii="Times New Roman" w:hAnsi="Times New Roman" w:cs="Times New Roman"/>
          <w:lang w:val="es-ES_tradnl"/>
        </w:rPr>
        <w:t xml:space="preserve"> se dividir</w:t>
      </w:r>
      <w:r w:rsidRPr="00B86E29">
        <w:rPr>
          <w:rFonts w:ascii="Times New Roman" w:eastAsia="Helvetica" w:hAnsi="Times New Roman" w:cs="Times New Roman"/>
          <w:lang w:val="es-ES_tradnl"/>
        </w:rPr>
        <w:t>á</w:t>
      </w:r>
      <w:r w:rsidRPr="00B86E29">
        <w:rPr>
          <w:rFonts w:ascii="Times New Roman" w:hAnsi="Times New Roman" w:cs="Times New Roman"/>
          <w:lang w:val="es-ES_tradnl"/>
        </w:rPr>
        <w:t>n las consideraciones as</w:t>
      </w:r>
      <w:r w:rsidRPr="00B86E29">
        <w:rPr>
          <w:rFonts w:ascii="Times New Roman" w:eastAsia="Helvetica" w:hAnsi="Times New Roman" w:cs="Times New Roman"/>
          <w:lang w:val="es-ES_tradnl"/>
        </w:rPr>
        <w:t>í</w:t>
      </w:r>
      <w:r w:rsidRPr="00B86E29">
        <w:rPr>
          <w:rFonts w:ascii="Times New Roman" w:hAnsi="Times New Roman" w:cs="Times New Roman"/>
          <w:lang w:val="es-ES_tradnl"/>
        </w:rPr>
        <w:t xml:space="preserve">: </w:t>
      </w:r>
    </w:p>
    <w:p w14:paraId="70CAFF9D" w14:textId="77777777" w:rsidR="00761D92" w:rsidRPr="00B86E29" w:rsidRDefault="00761D92" w:rsidP="003F7560">
      <w:pPr>
        <w:spacing w:after="0"/>
        <w:jc w:val="both"/>
        <w:rPr>
          <w:rFonts w:ascii="Times New Roman" w:hAnsi="Times New Roman" w:cs="Times New Roman"/>
          <w:lang w:val="es-ES_tradnl"/>
        </w:rPr>
      </w:pPr>
    </w:p>
    <w:p w14:paraId="63643C7A" w14:textId="2DE1842B" w:rsidR="008C1C52" w:rsidRPr="00B86E29" w:rsidRDefault="00B44996" w:rsidP="008C1C52">
      <w:pPr>
        <w:pStyle w:val="Prrafodelista"/>
        <w:numPr>
          <w:ilvl w:val="0"/>
          <w:numId w:val="25"/>
        </w:numPr>
        <w:spacing w:line="276" w:lineRule="auto"/>
        <w:jc w:val="both"/>
        <w:rPr>
          <w:sz w:val="22"/>
          <w:szCs w:val="22"/>
          <w:lang w:val="es-ES_tradnl"/>
        </w:rPr>
      </w:pPr>
      <w:r w:rsidRPr="00B86E29">
        <w:rPr>
          <w:sz w:val="22"/>
          <w:szCs w:val="22"/>
          <w:lang w:val="es-ES_tradnl"/>
        </w:rPr>
        <w:t xml:space="preserve">Antecedentes del proyecto </w:t>
      </w:r>
    </w:p>
    <w:p w14:paraId="3F983C63" w14:textId="30F368B6" w:rsidR="00A70700" w:rsidRPr="00B86E29" w:rsidRDefault="00A70700" w:rsidP="008C1C52">
      <w:pPr>
        <w:pStyle w:val="Prrafodelista"/>
        <w:numPr>
          <w:ilvl w:val="0"/>
          <w:numId w:val="25"/>
        </w:numPr>
        <w:spacing w:line="276" w:lineRule="auto"/>
        <w:jc w:val="both"/>
        <w:rPr>
          <w:sz w:val="22"/>
          <w:szCs w:val="22"/>
          <w:lang w:val="es-ES_tradnl"/>
        </w:rPr>
      </w:pPr>
      <w:r w:rsidRPr="00B86E29">
        <w:rPr>
          <w:sz w:val="22"/>
          <w:szCs w:val="22"/>
          <w:lang w:val="es-ES_tradnl"/>
        </w:rPr>
        <w:t>Papel de la Fiscalía en el proceso de Extinción de Dominio</w:t>
      </w:r>
    </w:p>
    <w:p w14:paraId="66840C48" w14:textId="77777777" w:rsidR="008C1C52" w:rsidRPr="00B86E29" w:rsidRDefault="008C1C52" w:rsidP="008C1C52">
      <w:pPr>
        <w:pStyle w:val="Prrafodelista"/>
        <w:numPr>
          <w:ilvl w:val="0"/>
          <w:numId w:val="25"/>
        </w:numPr>
        <w:spacing w:line="276" w:lineRule="auto"/>
        <w:jc w:val="both"/>
        <w:rPr>
          <w:sz w:val="22"/>
          <w:szCs w:val="22"/>
          <w:lang w:val="es-ES_tradnl"/>
        </w:rPr>
      </w:pPr>
      <w:r w:rsidRPr="00B86E29">
        <w:rPr>
          <w:sz w:val="22"/>
          <w:szCs w:val="22"/>
          <w:lang w:val="es-MX"/>
        </w:rPr>
        <w:t>Naturaleza del derecho a la propiedad y de la extinción de dominio</w:t>
      </w:r>
      <w:r w:rsidRPr="00B86E29">
        <w:rPr>
          <w:rFonts w:eastAsia="Arial"/>
          <w:color w:val="000000"/>
          <w:sz w:val="22"/>
          <w:szCs w:val="22"/>
        </w:rPr>
        <w:t xml:space="preserve"> </w:t>
      </w:r>
    </w:p>
    <w:p w14:paraId="21F59C67" w14:textId="77777777" w:rsidR="008C1C52" w:rsidRPr="00B86E29" w:rsidRDefault="008C1C52" w:rsidP="008C1C52">
      <w:pPr>
        <w:pStyle w:val="Prrafodelista"/>
        <w:numPr>
          <w:ilvl w:val="0"/>
          <w:numId w:val="25"/>
        </w:numPr>
        <w:spacing w:line="276" w:lineRule="auto"/>
        <w:jc w:val="both"/>
        <w:rPr>
          <w:sz w:val="22"/>
          <w:szCs w:val="22"/>
          <w:lang w:val="es-ES_tradnl"/>
        </w:rPr>
      </w:pPr>
      <w:r w:rsidRPr="00B86E29">
        <w:rPr>
          <w:rFonts w:eastAsia="Arial"/>
          <w:color w:val="000000"/>
          <w:sz w:val="22"/>
          <w:szCs w:val="22"/>
        </w:rPr>
        <w:t xml:space="preserve">Buena fe exenta de culpa </w:t>
      </w:r>
    </w:p>
    <w:p w14:paraId="7ABFCACC" w14:textId="77777777" w:rsidR="004B7201" w:rsidRPr="00B86E29" w:rsidRDefault="008C1C52" w:rsidP="008C1C52">
      <w:pPr>
        <w:pStyle w:val="Prrafodelista"/>
        <w:numPr>
          <w:ilvl w:val="0"/>
          <w:numId w:val="25"/>
        </w:numPr>
        <w:spacing w:line="276" w:lineRule="auto"/>
        <w:jc w:val="both"/>
        <w:rPr>
          <w:sz w:val="22"/>
          <w:szCs w:val="22"/>
          <w:lang w:val="es-ES_tradnl"/>
        </w:rPr>
      </w:pPr>
      <w:r w:rsidRPr="00B86E29">
        <w:rPr>
          <w:rFonts w:eastAsia="Arial"/>
          <w:color w:val="000000"/>
          <w:sz w:val="22"/>
          <w:szCs w:val="22"/>
        </w:rPr>
        <w:t>Titularidad y ejercicio de la acción de extinción de dominio</w:t>
      </w:r>
    </w:p>
    <w:p w14:paraId="397488C5" w14:textId="75F756C5" w:rsidR="008C1C52" w:rsidRPr="00B86E29" w:rsidRDefault="004B7201" w:rsidP="004B7201">
      <w:pPr>
        <w:pStyle w:val="Prrafodelista"/>
        <w:numPr>
          <w:ilvl w:val="0"/>
          <w:numId w:val="25"/>
        </w:numPr>
        <w:jc w:val="both"/>
        <w:rPr>
          <w:sz w:val="22"/>
          <w:szCs w:val="22"/>
        </w:rPr>
      </w:pPr>
      <w:r w:rsidRPr="00B86E29">
        <w:rPr>
          <w:sz w:val="22"/>
          <w:szCs w:val="22"/>
        </w:rPr>
        <w:t xml:space="preserve">Regulación de la acción de dominio en las legislaciones del continente. </w:t>
      </w:r>
      <w:r w:rsidR="008C1C52" w:rsidRPr="00B86E29">
        <w:rPr>
          <w:rFonts w:eastAsia="Arial"/>
          <w:color w:val="000000"/>
          <w:sz w:val="22"/>
          <w:szCs w:val="22"/>
        </w:rPr>
        <w:t xml:space="preserve"> </w:t>
      </w:r>
    </w:p>
    <w:p w14:paraId="53F724BC" w14:textId="42D6700B" w:rsidR="008C1C52" w:rsidRPr="00B86E29" w:rsidRDefault="00761D92" w:rsidP="00761D92">
      <w:pPr>
        <w:pStyle w:val="Default"/>
        <w:numPr>
          <w:ilvl w:val="0"/>
          <w:numId w:val="25"/>
        </w:numPr>
        <w:spacing w:line="276" w:lineRule="auto"/>
        <w:jc w:val="both"/>
        <w:rPr>
          <w:sz w:val="22"/>
          <w:szCs w:val="22"/>
        </w:rPr>
      </w:pPr>
      <w:r w:rsidRPr="00B86E29">
        <w:rPr>
          <w:sz w:val="22"/>
          <w:szCs w:val="22"/>
        </w:rPr>
        <w:t xml:space="preserve">Situaciones que pueden llegar a configurar conflicto de interés </w:t>
      </w:r>
    </w:p>
    <w:p w14:paraId="37951E3A" w14:textId="77777777" w:rsidR="008C1C52" w:rsidRPr="00B86E29" w:rsidRDefault="008C1C52" w:rsidP="008C1C52">
      <w:pPr>
        <w:pStyle w:val="Default"/>
        <w:spacing w:line="276" w:lineRule="auto"/>
        <w:ind w:left="720"/>
        <w:jc w:val="both"/>
        <w:rPr>
          <w:sz w:val="22"/>
          <w:szCs w:val="22"/>
        </w:rPr>
      </w:pPr>
    </w:p>
    <w:p w14:paraId="0484E7B1" w14:textId="130E5D87" w:rsidR="00761D92" w:rsidRPr="00B86E29" w:rsidRDefault="008C1C52" w:rsidP="00761D92">
      <w:pPr>
        <w:jc w:val="both"/>
        <w:rPr>
          <w:rFonts w:ascii="Times New Roman" w:hAnsi="Times New Roman" w:cs="Times New Roman"/>
          <w:b/>
          <w:lang w:val="es-ES_tradnl"/>
        </w:rPr>
      </w:pPr>
      <w:r w:rsidRPr="00B86E29">
        <w:rPr>
          <w:rFonts w:ascii="Times New Roman" w:hAnsi="Times New Roman" w:cs="Times New Roman"/>
          <w:b/>
          <w:lang w:val="es-ES_tradnl"/>
        </w:rPr>
        <w:t>1</w:t>
      </w:r>
      <w:r w:rsidR="00761D92" w:rsidRPr="00B86E29">
        <w:rPr>
          <w:rFonts w:ascii="Times New Roman" w:hAnsi="Times New Roman" w:cs="Times New Roman"/>
          <w:b/>
          <w:lang w:val="es-ES_tradnl"/>
        </w:rPr>
        <w:t>.- A</w:t>
      </w:r>
      <w:r w:rsidR="0080367C" w:rsidRPr="00B86E29">
        <w:rPr>
          <w:rFonts w:ascii="Times New Roman" w:hAnsi="Times New Roman" w:cs="Times New Roman"/>
          <w:b/>
          <w:lang w:val="es-ES_tradnl"/>
        </w:rPr>
        <w:t xml:space="preserve">ntecedentes del proyecto </w:t>
      </w:r>
    </w:p>
    <w:p w14:paraId="7E1B560D" w14:textId="08D38C56" w:rsidR="00012B3C" w:rsidRPr="00B86E29" w:rsidRDefault="00012B3C" w:rsidP="00012B3C">
      <w:pPr>
        <w:jc w:val="both"/>
        <w:rPr>
          <w:rFonts w:ascii="Times New Roman" w:hAnsi="Times New Roman" w:cs="Times New Roman"/>
        </w:rPr>
      </w:pPr>
      <w:r w:rsidRPr="00B86E29">
        <w:rPr>
          <w:rFonts w:ascii="Times New Roman" w:hAnsi="Times New Roman" w:cs="Times New Roman"/>
        </w:rPr>
        <w:t xml:space="preserve">Los artículos 34 y 58 de la Constitución Política, obedecen a una decisión político-criminal producto del ejercicio legítimo del poder Estatal, que estableció el constituyente de 1991 y su finalidad radica en otorgar al Estado la posibilidad de extinguir todos los derechos patrimoniales ilícitos por origen o destinación, con el propósito de suprimir las estructuras económicas de la criminalidad organizada.  </w:t>
      </w:r>
    </w:p>
    <w:p w14:paraId="79C13A36" w14:textId="77777777" w:rsidR="00012B3C" w:rsidRPr="00B86E29" w:rsidRDefault="00012B3C" w:rsidP="00012B3C">
      <w:pPr>
        <w:jc w:val="both"/>
        <w:rPr>
          <w:rFonts w:ascii="Times New Roman" w:hAnsi="Times New Roman" w:cs="Times New Roman"/>
        </w:rPr>
      </w:pPr>
      <w:r w:rsidRPr="00B86E29">
        <w:rPr>
          <w:rFonts w:ascii="Times New Roman" w:hAnsi="Times New Roman" w:cs="Times New Roman"/>
        </w:rPr>
        <w:t xml:space="preserve">La extinción de dominio surgió como necesidad institucional, social, política y económica de lucha efectiva y directa contra los patrimonios ilícitos, por ello, no resulta ser una herramienta irrelevante sino un mecanismo preciso con la capacidad de combatir en el plano económico y financiero todas aquellas modalidades de criminalidad organizada en punto de su patrimonio. (Vásquez, 2018, </w:t>
      </w:r>
      <w:proofErr w:type="spellStart"/>
      <w:r w:rsidRPr="00B86E29">
        <w:rPr>
          <w:rFonts w:ascii="Times New Roman" w:hAnsi="Times New Roman" w:cs="Times New Roman"/>
        </w:rPr>
        <w:t>Pag</w:t>
      </w:r>
      <w:proofErr w:type="spellEnd"/>
      <w:r w:rsidRPr="00B86E29">
        <w:rPr>
          <w:rFonts w:ascii="Times New Roman" w:hAnsi="Times New Roman" w:cs="Times New Roman"/>
        </w:rPr>
        <w:t xml:space="preserve">. 13).  </w:t>
      </w:r>
    </w:p>
    <w:p w14:paraId="04E335D0" w14:textId="77777777" w:rsidR="00012B3C" w:rsidRPr="00B86E29" w:rsidRDefault="00012B3C" w:rsidP="00012B3C">
      <w:pPr>
        <w:jc w:val="both"/>
        <w:rPr>
          <w:rFonts w:ascii="Times New Roman" w:hAnsi="Times New Roman" w:cs="Times New Roman"/>
        </w:rPr>
      </w:pPr>
      <w:r w:rsidRPr="00B86E29">
        <w:rPr>
          <w:rFonts w:ascii="Times New Roman" w:hAnsi="Times New Roman" w:cs="Times New Roman"/>
        </w:rPr>
        <w:lastRenderedPageBreak/>
        <w:t xml:space="preserve">Así, la extinción de dominio en materia criminal contempla en resumen dos categorías básicas, esto es, procede por origen ilícito (Art. 34 Constitución Política) y por destinación ilícita (Art. 58 Constitución Política). </w:t>
      </w:r>
    </w:p>
    <w:p w14:paraId="1B941A59" w14:textId="35F62A90" w:rsidR="00012B3C" w:rsidRPr="00B86E29" w:rsidRDefault="00012B3C" w:rsidP="00012B3C">
      <w:pPr>
        <w:jc w:val="both"/>
        <w:rPr>
          <w:rFonts w:ascii="Times New Roman" w:hAnsi="Times New Roman" w:cs="Times New Roman"/>
        </w:rPr>
      </w:pPr>
      <w:r w:rsidRPr="00B86E29">
        <w:rPr>
          <w:rFonts w:ascii="Times New Roman" w:hAnsi="Times New Roman" w:cs="Times New Roman"/>
        </w:rPr>
        <w:t xml:space="preserve">Todo derecho de contenido patrimonial y de valoración económica que provenga de manera directa o indirecta de la comisión de conductas ilícitas representa una transgresión a la PROPIEDAD LEGÍTIMA, existiendo una ilicitud embrionaria, tornando al titular de ese derecho subjetivo en un titular formal o aparente de un derecho subjetivo de contenido económico-patrimonial; de otro lado, en punto de la segunda causal básica (destinación), la misma no hace referencia al modo o forma de adquisición de los derechos, dado que éste tópico se torna intrascendente, sino que indaga si a través de actos ilícitos los bienes que se postulan para su extinción fueron medios o instrumentos para la ejecución de actividades ilícitas que vulneraron u omitieron acciones que dieran cuenta del cumplimiento de la función social y ecológica de la propiedad. (Vásquez, 2018, Pág. 14) </w:t>
      </w:r>
    </w:p>
    <w:p w14:paraId="5A639ACC" w14:textId="09206626" w:rsidR="00F42C3A" w:rsidRPr="00B86E29" w:rsidRDefault="00012B3C" w:rsidP="00012B3C">
      <w:pPr>
        <w:jc w:val="both"/>
        <w:rPr>
          <w:rFonts w:ascii="Times New Roman" w:hAnsi="Times New Roman" w:cs="Times New Roman"/>
        </w:rPr>
      </w:pPr>
      <w:r w:rsidRPr="00B86E29">
        <w:rPr>
          <w:rFonts w:ascii="Times New Roman" w:hAnsi="Times New Roman" w:cs="Times New Roman"/>
        </w:rPr>
        <w:t xml:space="preserve">Colombia es pionero en el mundo en su regulación. La Ley 1708 de 2014 es una legislación creadora de un cuerpo normativo sistemático que instauró un procedimiento especial en extinción de dominio (Sentencia C-958 de 2014), compilación modificada por la Ley 1849 de 2017. El denominado Código de Extinción del Derecho de Dominio es una integralidad normativa, metódica, consecuente, armónica, dotada de principios y reglas que definen el instituto y la acción de extinción de dominio, ello forja una ruptura sustancial con las legislaciones precedentes. (Vásquez, 2018). </w:t>
      </w:r>
    </w:p>
    <w:p w14:paraId="4B59D564" w14:textId="77777777" w:rsidR="00A70700" w:rsidRPr="00B86E29" w:rsidRDefault="008C1C52" w:rsidP="00A70700">
      <w:pPr>
        <w:jc w:val="both"/>
        <w:rPr>
          <w:rFonts w:ascii="Times New Roman" w:hAnsi="Times New Roman" w:cs="Times New Roman"/>
          <w:b/>
          <w:lang w:val="es-ES_tradnl"/>
        </w:rPr>
      </w:pPr>
      <w:r w:rsidRPr="00B86E29">
        <w:rPr>
          <w:rFonts w:ascii="Times New Roman" w:eastAsia="Arial" w:hAnsi="Times New Roman" w:cs="Times New Roman"/>
          <w:b/>
          <w:color w:val="000000"/>
        </w:rPr>
        <w:t>2</w:t>
      </w:r>
      <w:r w:rsidR="00012B3C" w:rsidRPr="00B86E29">
        <w:rPr>
          <w:rFonts w:ascii="Times New Roman" w:eastAsia="Arial" w:hAnsi="Times New Roman" w:cs="Times New Roman"/>
          <w:b/>
          <w:color w:val="000000"/>
        </w:rPr>
        <w:t>.-</w:t>
      </w:r>
      <w:r w:rsidR="00A70700" w:rsidRPr="00B86E29">
        <w:rPr>
          <w:rFonts w:ascii="Times New Roman" w:eastAsia="Arial" w:hAnsi="Times New Roman" w:cs="Times New Roman"/>
          <w:b/>
          <w:color w:val="000000"/>
        </w:rPr>
        <w:t xml:space="preserve"> </w:t>
      </w:r>
      <w:r w:rsidR="00A70700" w:rsidRPr="00B86E29">
        <w:rPr>
          <w:rFonts w:ascii="Times New Roman" w:hAnsi="Times New Roman" w:cs="Times New Roman"/>
          <w:b/>
          <w:lang w:val="es-ES_tradnl"/>
        </w:rPr>
        <w:t>Papel de la Fiscalía en el proceso de Extinción de Dominio</w:t>
      </w:r>
    </w:p>
    <w:p w14:paraId="06475F09" w14:textId="6B841B32" w:rsidR="00A70700" w:rsidRPr="00B86E29" w:rsidRDefault="00A70700" w:rsidP="00A70700">
      <w:pPr>
        <w:jc w:val="both"/>
        <w:rPr>
          <w:rFonts w:ascii="Times New Roman" w:hAnsi="Times New Roman" w:cs="Times New Roman"/>
        </w:rPr>
      </w:pPr>
      <w:r w:rsidRPr="00B86E29">
        <w:rPr>
          <w:rFonts w:ascii="Times New Roman" w:hAnsi="Times New Roman" w:cs="Times New Roman"/>
        </w:rPr>
        <w:t xml:space="preserve">Conforme lo interpretado por la Corte Suprema de Justicia en Auto del 21 de noviembre de 2018, expediente AP5012-2018, radicado 52776, con ponencia del Magistrado EUGENIO FERNÁNDEZ CARLIER, y en Auto del 17 de septiembre de 2019, expediente AP3989-2019, radicado 56043, con ponencia de la Magistrada PATRICIA SALAZAR CUÉLLAR, en la actualidad se cuenta con cuatro tipos de procedimientos para el ejercicio de la acción patrimonial de extinción de dominio; en virtud de cada cual se observa, en la práctica, diferentes promedios de duración de la fase a cargo de la Fiscalía General de la Nación: </w:t>
      </w:r>
    </w:p>
    <w:p w14:paraId="0F25BC25" w14:textId="100F5CAC" w:rsidR="00A70700" w:rsidRPr="00B86E29" w:rsidRDefault="00A70700" w:rsidP="00A70700">
      <w:pPr>
        <w:pStyle w:val="Prrafodelista"/>
        <w:numPr>
          <w:ilvl w:val="0"/>
          <w:numId w:val="45"/>
        </w:numPr>
        <w:jc w:val="both"/>
        <w:rPr>
          <w:b/>
          <w:sz w:val="22"/>
          <w:szCs w:val="22"/>
        </w:rPr>
      </w:pPr>
      <w:r w:rsidRPr="00B86E29">
        <w:rPr>
          <w:b/>
          <w:sz w:val="22"/>
          <w:szCs w:val="22"/>
        </w:rPr>
        <w:t xml:space="preserve">Ley 793 de 2002, en concordancia con la Ley 1453 de 2011. </w:t>
      </w:r>
    </w:p>
    <w:p w14:paraId="3862DF98" w14:textId="77777777" w:rsidR="001422C1" w:rsidRPr="00B86E29" w:rsidRDefault="001422C1" w:rsidP="001422C1">
      <w:pPr>
        <w:pStyle w:val="Prrafodelista"/>
        <w:ind w:left="1080"/>
        <w:jc w:val="both"/>
        <w:rPr>
          <w:b/>
          <w:sz w:val="22"/>
          <w:szCs w:val="22"/>
        </w:rPr>
      </w:pPr>
    </w:p>
    <w:p w14:paraId="2BD32E78" w14:textId="77777777" w:rsidR="001422C1" w:rsidRPr="00B86E29" w:rsidRDefault="00A70700" w:rsidP="001422C1">
      <w:pPr>
        <w:pStyle w:val="Prrafodelista"/>
        <w:ind w:left="1080"/>
        <w:jc w:val="both"/>
        <w:rPr>
          <w:sz w:val="22"/>
          <w:szCs w:val="22"/>
        </w:rPr>
      </w:pPr>
      <w:r w:rsidRPr="00B86E29">
        <w:rPr>
          <w:sz w:val="22"/>
          <w:szCs w:val="22"/>
        </w:rPr>
        <w:t xml:space="preserve">Este procedimiento dispone de una fase inicial, seguido de una resolución en la que se adoptan medidas cautelares, un periodo de notificaciones personales, práctica de pruebas, alegatos previos a la decisión del Fiscal instructor de archivar las diligencias o remitir el caso al juez competente. </w:t>
      </w:r>
    </w:p>
    <w:p w14:paraId="694062FE" w14:textId="77777777" w:rsidR="001422C1" w:rsidRPr="00B86E29" w:rsidRDefault="001422C1" w:rsidP="001422C1">
      <w:pPr>
        <w:pStyle w:val="Prrafodelista"/>
        <w:ind w:left="1080"/>
        <w:jc w:val="both"/>
        <w:rPr>
          <w:sz w:val="22"/>
          <w:szCs w:val="22"/>
        </w:rPr>
      </w:pPr>
    </w:p>
    <w:p w14:paraId="5B7687AD" w14:textId="61789030" w:rsidR="00A70700" w:rsidRPr="00B86E29" w:rsidRDefault="00A70700" w:rsidP="001422C1">
      <w:pPr>
        <w:pStyle w:val="Prrafodelista"/>
        <w:ind w:left="1080"/>
        <w:jc w:val="both"/>
        <w:rPr>
          <w:sz w:val="22"/>
          <w:szCs w:val="22"/>
        </w:rPr>
      </w:pPr>
      <w:r w:rsidRPr="00B86E29">
        <w:rPr>
          <w:sz w:val="22"/>
          <w:szCs w:val="22"/>
        </w:rPr>
        <w:t>El promedio de duración de esta fase oscila entre los 6 y los 8 años, que sumados a 4 a 7 años que generalmente dura la etapa de juicio y apelación, implica una duración total, aproximada, de entre 10 a 17 años desde el inicio de las actuaciones.</w:t>
      </w:r>
      <w:r w:rsidRPr="00B86E29">
        <w:rPr>
          <w:rFonts w:eastAsiaTheme="minorEastAsia"/>
          <w:sz w:val="22"/>
          <w:szCs w:val="22"/>
          <w:vertAlign w:val="superscript"/>
        </w:rPr>
        <w:footnoteReference w:id="1"/>
      </w:r>
      <w:r w:rsidRPr="00B86E29">
        <w:rPr>
          <w:sz w:val="22"/>
          <w:szCs w:val="22"/>
        </w:rPr>
        <w:t xml:space="preserve"> </w:t>
      </w:r>
    </w:p>
    <w:p w14:paraId="6D3FF0C8" w14:textId="77777777" w:rsidR="00A70700" w:rsidRPr="00B86E29" w:rsidRDefault="00A70700" w:rsidP="00A70700">
      <w:pPr>
        <w:pStyle w:val="Prrafodelista"/>
        <w:spacing w:before="28" w:after="28" w:line="360" w:lineRule="auto"/>
        <w:ind w:left="1080"/>
        <w:jc w:val="both"/>
        <w:textAlignment w:val="center"/>
        <w:rPr>
          <w:sz w:val="22"/>
          <w:szCs w:val="22"/>
          <w:lang w:val="es-ES_tradnl" w:eastAsia="es-CO"/>
        </w:rPr>
      </w:pPr>
    </w:p>
    <w:p w14:paraId="3C0F1FAB" w14:textId="77777777" w:rsidR="001422C1" w:rsidRPr="00B86E29" w:rsidRDefault="00A70700" w:rsidP="001422C1">
      <w:pPr>
        <w:pStyle w:val="Prrafodelista"/>
        <w:numPr>
          <w:ilvl w:val="0"/>
          <w:numId w:val="45"/>
        </w:numPr>
        <w:jc w:val="both"/>
        <w:rPr>
          <w:b/>
          <w:sz w:val="22"/>
          <w:szCs w:val="22"/>
        </w:rPr>
      </w:pPr>
      <w:r w:rsidRPr="00B86E29">
        <w:rPr>
          <w:b/>
          <w:sz w:val="22"/>
          <w:szCs w:val="22"/>
        </w:rPr>
        <w:t>Ley 1708 de 2014.</w:t>
      </w:r>
    </w:p>
    <w:p w14:paraId="77B117CC" w14:textId="77777777" w:rsidR="001422C1" w:rsidRPr="00B86E29" w:rsidRDefault="001422C1" w:rsidP="001422C1">
      <w:pPr>
        <w:pStyle w:val="Prrafodelista"/>
        <w:ind w:left="1080"/>
        <w:jc w:val="both"/>
        <w:rPr>
          <w:sz w:val="22"/>
          <w:szCs w:val="22"/>
        </w:rPr>
      </w:pPr>
    </w:p>
    <w:p w14:paraId="47413B0E" w14:textId="77777777" w:rsidR="001422C1" w:rsidRPr="00B86E29" w:rsidRDefault="00A70700" w:rsidP="001422C1">
      <w:pPr>
        <w:pStyle w:val="Prrafodelista"/>
        <w:ind w:left="1080"/>
        <w:jc w:val="both"/>
        <w:rPr>
          <w:sz w:val="22"/>
          <w:szCs w:val="22"/>
        </w:rPr>
      </w:pPr>
      <w:r w:rsidRPr="00B86E29">
        <w:rPr>
          <w:sz w:val="22"/>
          <w:szCs w:val="22"/>
        </w:rPr>
        <w:t xml:space="preserve">Este procedimiento igualmente prevé una fase inicial, una etapa en la que el Fiscal instructor fija provisionalmente la pretensión y, coetáneamente, las que se imponen medidas cautelares, práctica de pruebas y la posibilidad de prestar oposición a la procedencia de la extinción del dominio. </w:t>
      </w:r>
    </w:p>
    <w:p w14:paraId="69A84167" w14:textId="77777777" w:rsidR="001422C1" w:rsidRPr="00B86E29" w:rsidRDefault="001422C1" w:rsidP="001422C1">
      <w:pPr>
        <w:pStyle w:val="Prrafodelista"/>
        <w:ind w:left="1080"/>
        <w:jc w:val="both"/>
        <w:rPr>
          <w:sz w:val="22"/>
          <w:szCs w:val="22"/>
        </w:rPr>
      </w:pPr>
    </w:p>
    <w:p w14:paraId="4106B80E" w14:textId="77B158CA" w:rsidR="00A70700" w:rsidRPr="00B86E29" w:rsidRDefault="00A70700" w:rsidP="001422C1">
      <w:pPr>
        <w:pStyle w:val="Prrafodelista"/>
        <w:ind w:left="1080"/>
        <w:jc w:val="both"/>
        <w:rPr>
          <w:b/>
          <w:sz w:val="22"/>
          <w:szCs w:val="22"/>
        </w:rPr>
      </w:pPr>
      <w:r w:rsidRPr="00B86E29">
        <w:rPr>
          <w:sz w:val="22"/>
          <w:szCs w:val="22"/>
        </w:rPr>
        <w:t>Este procedimiento redujo sustancialmente la duración promedio de esta clase de procesos en la Fase Inicial, que generalmente dura entre 2 y 3 años, mientras que, en la etapa de juicio y apelación, entre 6 a 9 años. En total, un promedio aproximado de 8 a 12 años.</w:t>
      </w:r>
      <w:r w:rsidRPr="00B86E29">
        <w:rPr>
          <w:rFonts w:eastAsiaTheme="minorEastAsia"/>
          <w:sz w:val="22"/>
          <w:szCs w:val="22"/>
        </w:rPr>
        <w:footnoteReference w:id="2"/>
      </w:r>
      <w:r w:rsidRPr="00B86E29">
        <w:rPr>
          <w:sz w:val="22"/>
          <w:szCs w:val="22"/>
        </w:rPr>
        <w:t xml:space="preserve"> </w:t>
      </w:r>
    </w:p>
    <w:p w14:paraId="39CFDB69" w14:textId="77777777" w:rsidR="00A70700" w:rsidRPr="00B86E29" w:rsidRDefault="00A70700" w:rsidP="00A70700">
      <w:pPr>
        <w:pStyle w:val="Prrafodelista"/>
        <w:spacing w:before="28" w:after="28" w:line="360" w:lineRule="auto"/>
        <w:ind w:left="1080"/>
        <w:jc w:val="both"/>
        <w:textAlignment w:val="center"/>
        <w:rPr>
          <w:sz w:val="22"/>
          <w:szCs w:val="22"/>
          <w:lang w:val="es-ES_tradnl" w:eastAsia="es-CO"/>
        </w:rPr>
      </w:pPr>
    </w:p>
    <w:p w14:paraId="20B81D92" w14:textId="77777777" w:rsidR="001422C1" w:rsidRPr="00B86E29" w:rsidRDefault="00A70700" w:rsidP="001422C1">
      <w:pPr>
        <w:pStyle w:val="Prrafodelista"/>
        <w:numPr>
          <w:ilvl w:val="0"/>
          <w:numId w:val="45"/>
        </w:numPr>
        <w:jc w:val="both"/>
        <w:rPr>
          <w:b/>
          <w:sz w:val="22"/>
          <w:szCs w:val="22"/>
        </w:rPr>
      </w:pPr>
      <w:r w:rsidRPr="00B86E29">
        <w:rPr>
          <w:b/>
          <w:sz w:val="22"/>
          <w:szCs w:val="22"/>
        </w:rPr>
        <w:t>Ley 1849 de 2017.</w:t>
      </w:r>
    </w:p>
    <w:p w14:paraId="222D120D" w14:textId="77777777" w:rsidR="001422C1" w:rsidRPr="00B86E29" w:rsidRDefault="001422C1" w:rsidP="001422C1">
      <w:pPr>
        <w:pStyle w:val="Prrafodelista"/>
        <w:ind w:left="1080"/>
        <w:jc w:val="both"/>
        <w:rPr>
          <w:b/>
          <w:sz w:val="22"/>
          <w:szCs w:val="22"/>
        </w:rPr>
      </w:pPr>
    </w:p>
    <w:p w14:paraId="6F21D9E6" w14:textId="784C4CD9" w:rsidR="00A70700" w:rsidRPr="00B86E29" w:rsidRDefault="00A70700" w:rsidP="001422C1">
      <w:pPr>
        <w:pStyle w:val="Prrafodelista"/>
        <w:ind w:left="1080"/>
        <w:jc w:val="both"/>
        <w:rPr>
          <w:b/>
          <w:sz w:val="22"/>
          <w:szCs w:val="22"/>
        </w:rPr>
      </w:pPr>
      <w:r w:rsidRPr="00B86E29">
        <w:rPr>
          <w:sz w:val="22"/>
          <w:szCs w:val="22"/>
        </w:rPr>
        <w:t>Esta ley contribuyó a aún más a la reducción de la duración promedio del proceso, entre 7 a 11 años; siendo la Fase Inicial la que más se agilizó, al pasar a un promedio de 1 a 2 años.</w:t>
      </w:r>
      <w:r w:rsidRPr="00B86E29">
        <w:rPr>
          <w:rFonts w:eastAsiaTheme="minorEastAsia"/>
          <w:sz w:val="22"/>
          <w:szCs w:val="22"/>
        </w:rPr>
        <w:footnoteReference w:id="3"/>
      </w:r>
      <w:r w:rsidRPr="00B86E29">
        <w:rPr>
          <w:sz w:val="22"/>
          <w:szCs w:val="22"/>
        </w:rPr>
        <w:t xml:space="preserve"> </w:t>
      </w:r>
    </w:p>
    <w:p w14:paraId="00B146EB" w14:textId="77777777" w:rsidR="00A70700" w:rsidRPr="00B86E29" w:rsidRDefault="00A70700" w:rsidP="001422C1">
      <w:pPr>
        <w:jc w:val="both"/>
        <w:rPr>
          <w:rFonts w:ascii="Times New Roman" w:hAnsi="Times New Roman" w:cs="Times New Roman"/>
        </w:rPr>
      </w:pPr>
    </w:p>
    <w:p w14:paraId="2DF5AEA3" w14:textId="77777777" w:rsidR="001422C1" w:rsidRPr="00B86E29" w:rsidRDefault="00A70700" w:rsidP="001422C1">
      <w:pPr>
        <w:pStyle w:val="Prrafodelista"/>
        <w:numPr>
          <w:ilvl w:val="0"/>
          <w:numId w:val="45"/>
        </w:numPr>
        <w:jc w:val="both"/>
        <w:rPr>
          <w:b/>
          <w:sz w:val="22"/>
          <w:szCs w:val="22"/>
        </w:rPr>
      </w:pPr>
      <w:r w:rsidRPr="00B86E29">
        <w:rPr>
          <w:b/>
          <w:sz w:val="22"/>
          <w:szCs w:val="22"/>
        </w:rPr>
        <w:t>Procedimiento abreviado.</w:t>
      </w:r>
    </w:p>
    <w:p w14:paraId="536079CB" w14:textId="77777777" w:rsidR="001422C1" w:rsidRPr="00B86E29" w:rsidRDefault="001422C1" w:rsidP="001422C1">
      <w:pPr>
        <w:pStyle w:val="Prrafodelista"/>
        <w:ind w:left="1080"/>
        <w:jc w:val="both"/>
        <w:rPr>
          <w:sz w:val="22"/>
          <w:szCs w:val="22"/>
        </w:rPr>
      </w:pPr>
    </w:p>
    <w:p w14:paraId="3C01A798" w14:textId="28941117" w:rsidR="00A70700" w:rsidRPr="00B86E29" w:rsidRDefault="00A70700" w:rsidP="001422C1">
      <w:pPr>
        <w:pStyle w:val="Prrafodelista"/>
        <w:ind w:left="1080"/>
        <w:jc w:val="both"/>
        <w:rPr>
          <w:sz w:val="22"/>
          <w:szCs w:val="22"/>
        </w:rPr>
      </w:pPr>
      <w:r w:rsidRPr="00B86E29">
        <w:rPr>
          <w:sz w:val="22"/>
          <w:szCs w:val="22"/>
        </w:rPr>
        <w:t xml:space="preserve">Corresponde al trámite más expedito, previsto para casos de sentencia anticipada, que en todo caso es la excepción, dado que el afectado renuncia a la oposición a la extinción del dominio. En este procedimiento, el promedio de duración se contrae ostensiblemente, que puede agostarse completamente entre 2 a 3 años.  </w:t>
      </w:r>
    </w:p>
    <w:p w14:paraId="268750F8" w14:textId="77777777" w:rsidR="00A70700" w:rsidRPr="00B86E29" w:rsidRDefault="00A70700" w:rsidP="00A70700">
      <w:pPr>
        <w:spacing w:before="28" w:after="28" w:line="360" w:lineRule="auto"/>
        <w:jc w:val="both"/>
        <w:textAlignment w:val="center"/>
        <w:rPr>
          <w:rFonts w:ascii="Times New Roman" w:hAnsi="Times New Roman" w:cs="Times New Roman"/>
          <w:lang w:val="es-ES_tradnl" w:eastAsia="es-CO"/>
        </w:rPr>
      </w:pPr>
    </w:p>
    <w:p w14:paraId="3A6CDF6D" w14:textId="410A4980" w:rsidR="00A70700" w:rsidRPr="00B86E29" w:rsidRDefault="00A70700" w:rsidP="001422C1">
      <w:pPr>
        <w:jc w:val="both"/>
        <w:rPr>
          <w:rFonts w:ascii="Times New Roman" w:hAnsi="Times New Roman" w:cs="Times New Roman"/>
        </w:rPr>
      </w:pPr>
      <w:r w:rsidRPr="00B86E29">
        <w:rPr>
          <w:rFonts w:ascii="Times New Roman" w:hAnsi="Times New Roman" w:cs="Times New Roman"/>
        </w:rPr>
        <w:t xml:space="preserve">Las recientes y continuas reformas a la normatividad que regula la acción patrimonial de extinción de dominio han tenido como propósito hacer más expedito su trámite, con relativo éxito. Por ejemplo, la implementación de la justicia premial en 2017, ha estado en caminada, precisamente, a ahorrar recursos y tiempo por parte del Estado en la persecución de economías ilícitas, aunque represente cierto grado de claudicación por parte de las autoridades frente al delito; a propósito, consideramos que este tipo de incentivos deben darse única y exclusivamente en el plano del ejercicio de la acción penal y no en la de esta acción patrimonial. </w:t>
      </w:r>
    </w:p>
    <w:p w14:paraId="6990B2B6" w14:textId="34E22476" w:rsidR="00A70700" w:rsidRPr="00B86E29" w:rsidRDefault="00A70700" w:rsidP="001422C1">
      <w:pPr>
        <w:jc w:val="both"/>
        <w:rPr>
          <w:rFonts w:ascii="Times New Roman" w:hAnsi="Times New Roman" w:cs="Times New Roman"/>
        </w:rPr>
      </w:pPr>
      <w:r w:rsidRPr="00B86E29">
        <w:rPr>
          <w:rFonts w:ascii="Times New Roman" w:hAnsi="Times New Roman" w:cs="Times New Roman"/>
        </w:rPr>
        <w:t>Pese a estos recurrentes ajustes normativos, la duración del término para la Fase Inicial, a cargo de la Fiscalía General de la Nación, continúa sin atender a un término definido, que dote de mayor nivel de certidumbre y seguridad jurídica al ejercicio de esta acción. La determinación de un plazo para la duración de esta fase, tiene la bondad de incentivar a las autoridades judiciales encargadas de su ejercicio a actuar con mayor celeridad, de manera que agoten estos trámites dentro de un término razonable; del mismo modo, brindaría, en abstracto y en cada caso, seguridad a quienes resulten afectados o con interés en su trámite.</w:t>
      </w:r>
    </w:p>
    <w:p w14:paraId="76A5D126" w14:textId="4E15035D" w:rsidR="00A70700" w:rsidRPr="00B86E29" w:rsidRDefault="00A70700" w:rsidP="001422C1">
      <w:pPr>
        <w:jc w:val="both"/>
        <w:rPr>
          <w:rFonts w:ascii="Times New Roman" w:hAnsi="Times New Roman" w:cs="Times New Roman"/>
        </w:rPr>
      </w:pPr>
      <w:r w:rsidRPr="00B86E29">
        <w:rPr>
          <w:rFonts w:ascii="Times New Roman" w:hAnsi="Times New Roman" w:cs="Times New Roman"/>
        </w:rPr>
        <w:lastRenderedPageBreak/>
        <w:t xml:space="preserve">Salvo en los casos en que se decretan medidas cautelares, la indeterminada duración de esta primera fase o etapa del trámite, deviene en un vacío regulatorio que, dada la aspiración de propiciar las condiciones que lo hagan más célere, es urgente subsanar.  </w:t>
      </w:r>
    </w:p>
    <w:p w14:paraId="52559437" w14:textId="77777777" w:rsidR="00A70700" w:rsidRPr="00B86E29" w:rsidRDefault="00A70700" w:rsidP="001422C1">
      <w:pPr>
        <w:jc w:val="both"/>
        <w:rPr>
          <w:rFonts w:ascii="Times New Roman" w:hAnsi="Times New Roman" w:cs="Times New Roman"/>
        </w:rPr>
      </w:pPr>
      <w:r w:rsidRPr="00B86E29">
        <w:rPr>
          <w:rFonts w:ascii="Times New Roman" w:hAnsi="Times New Roman" w:cs="Times New Roman"/>
        </w:rPr>
        <w:t>En la actualidad, según información del Ministerio de Justicia y del Derecho, esa cartera interviene en 762 procesos de extinción de dominio, instruidos por el procedimiento contemplado en la ley 1708; bajo este mismo procedimiento, se han proferido sentencias en 107, de las cuales, 95 han sido extintivas del dominio, 9 negaron el castigo y 3 fueron de naturaleza mixta.</w:t>
      </w:r>
      <w:r w:rsidRPr="00B86E29">
        <w:rPr>
          <w:rFonts w:ascii="Times New Roman" w:hAnsi="Times New Roman" w:cs="Times New Roman"/>
        </w:rPr>
        <w:footnoteReference w:id="4"/>
      </w:r>
      <w:r w:rsidRPr="00B86E29">
        <w:rPr>
          <w:rFonts w:ascii="Times New Roman" w:hAnsi="Times New Roman" w:cs="Times New Roman"/>
        </w:rPr>
        <w:t xml:space="preserve"> Vale la pena aclarar que, en todo caso, la intervención del Ministerio de Justicia en este tipo de procesos, acorde con lo regulado en la Ley 1708, no es obligatoria, lo que implica que no actúa en la totalidad de los mismos (Art. 34 de la Ley 1708).</w:t>
      </w:r>
      <w:r w:rsidRPr="00B86E29">
        <w:rPr>
          <w:rFonts w:ascii="Times New Roman" w:hAnsi="Times New Roman" w:cs="Times New Roman"/>
        </w:rPr>
        <w:footnoteReference w:id="5"/>
      </w:r>
    </w:p>
    <w:p w14:paraId="79B916FD" w14:textId="3BEBEEBB" w:rsidR="00761D92" w:rsidRPr="00B86E29" w:rsidRDefault="00A70700" w:rsidP="00012B3C">
      <w:pPr>
        <w:pBdr>
          <w:top w:val="nil"/>
          <w:left w:val="nil"/>
          <w:bottom w:val="nil"/>
          <w:right w:val="nil"/>
          <w:between w:val="nil"/>
        </w:pBdr>
        <w:spacing w:after="0"/>
        <w:jc w:val="both"/>
        <w:rPr>
          <w:rFonts w:ascii="Times New Roman" w:eastAsia="Arial" w:hAnsi="Times New Roman" w:cs="Times New Roman"/>
          <w:b/>
          <w:color w:val="000000"/>
        </w:rPr>
      </w:pPr>
      <w:r w:rsidRPr="00B86E29">
        <w:rPr>
          <w:rFonts w:ascii="Times New Roman" w:hAnsi="Times New Roman" w:cs="Times New Roman"/>
          <w:b/>
          <w:lang w:val="es-MX"/>
        </w:rPr>
        <w:t xml:space="preserve">3.- </w:t>
      </w:r>
      <w:r w:rsidR="00012B3C" w:rsidRPr="00B86E29">
        <w:rPr>
          <w:rFonts w:ascii="Times New Roman" w:hAnsi="Times New Roman" w:cs="Times New Roman"/>
          <w:b/>
          <w:lang w:val="es-MX"/>
        </w:rPr>
        <w:t>Naturaleza del derecho a la propiedad y de la extinción de dominio</w:t>
      </w:r>
    </w:p>
    <w:p w14:paraId="1217056A" w14:textId="1F0AE24E" w:rsidR="00AF5B7F" w:rsidRPr="00B86E29" w:rsidRDefault="00AF5B7F" w:rsidP="00761D92">
      <w:pPr>
        <w:pBdr>
          <w:top w:val="nil"/>
          <w:left w:val="nil"/>
          <w:bottom w:val="nil"/>
          <w:right w:val="nil"/>
          <w:between w:val="nil"/>
        </w:pBdr>
        <w:spacing w:after="0"/>
        <w:jc w:val="both"/>
        <w:rPr>
          <w:rFonts w:ascii="Times New Roman" w:eastAsia="Arial" w:hAnsi="Times New Roman" w:cs="Times New Roman"/>
          <w:b/>
          <w:color w:val="000000"/>
        </w:rPr>
      </w:pPr>
    </w:p>
    <w:p w14:paraId="12618D24" w14:textId="4CE3875B" w:rsidR="00012B3C" w:rsidRPr="00B86E29" w:rsidRDefault="00012B3C" w:rsidP="00012B3C">
      <w:pPr>
        <w:spacing w:after="240"/>
        <w:jc w:val="both"/>
        <w:rPr>
          <w:rFonts w:ascii="Times New Roman" w:hAnsi="Times New Roman" w:cs="Times New Roman"/>
          <w:lang w:val="es-MX"/>
        </w:rPr>
      </w:pPr>
      <w:r w:rsidRPr="00B86E29">
        <w:rPr>
          <w:rFonts w:ascii="Times New Roman" w:hAnsi="Times New Roman" w:cs="Times New Roman"/>
          <w:lang w:val="es-MX"/>
        </w:rPr>
        <w:t>El constituyente de 1991, estableció dos importantes cambios en el contenido y alcance del derecho a la propiedad en Colombia: en primer lugar, atribuyó a la propiedad privada una relación estrecha con los valores y principios ético-soc</w:t>
      </w:r>
      <w:r w:rsidR="001422C1" w:rsidRPr="00B86E29">
        <w:rPr>
          <w:rFonts w:ascii="Times New Roman" w:hAnsi="Times New Roman" w:cs="Times New Roman"/>
          <w:lang w:val="es-MX"/>
        </w:rPr>
        <w:t>iales que fundamentan el Estado</w:t>
      </w:r>
      <w:r w:rsidRPr="00B86E29">
        <w:rPr>
          <w:rFonts w:ascii="Times New Roman" w:hAnsi="Times New Roman" w:cs="Times New Roman"/>
          <w:lang w:val="es-MX"/>
        </w:rPr>
        <w:t xml:space="preserve"> </w:t>
      </w:r>
      <w:r w:rsidR="001422C1" w:rsidRPr="00B86E29">
        <w:rPr>
          <w:rFonts w:ascii="Times New Roman" w:hAnsi="Times New Roman" w:cs="Times New Roman"/>
          <w:lang w:val="es-MX"/>
        </w:rPr>
        <w:t>y,</w:t>
      </w:r>
      <w:r w:rsidRPr="00B86E29">
        <w:rPr>
          <w:rFonts w:ascii="Times New Roman" w:hAnsi="Times New Roman" w:cs="Times New Roman"/>
          <w:lang w:val="es-MX"/>
        </w:rPr>
        <w:t xml:space="preserve"> en segundo lugar, asignó a este derecho una función social que lo enmarca.  </w:t>
      </w:r>
    </w:p>
    <w:p w14:paraId="43704D5C" w14:textId="71EB4E95" w:rsidR="00012B3C" w:rsidRPr="00B86E29" w:rsidRDefault="00012B3C" w:rsidP="00012B3C">
      <w:pPr>
        <w:spacing w:after="240"/>
        <w:jc w:val="both"/>
        <w:rPr>
          <w:rFonts w:ascii="Times New Roman" w:hAnsi="Times New Roman" w:cs="Times New Roman"/>
          <w:i/>
          <w:lang w:val="es-MX"/>
        </w:rPr>
      </w:pPr>
      <w:r w:rsidRPr="00B86E29">
        <w:rPr>
          <w:rFonts w:ascii="Times New Roman" w:hAnsi="Times New Roman" w:cs="Times New Roman"/>
          <w:lang w:val="es-MX"/>
        </w:rPr>
        <w:t>El artículo 58 de la Constitución Política de Colombia garantiza el derecho a la propiedad privada, siempre que ella haya sido adquirida con arreglo a las leyes civiles. Allí se señala que el Estado no puede desconocer este derecho, ni vulnerarlo, por medio de leyes posteriores. No obstante, el derecho a la propiedad privada no es absoluto. De acuerdo con la Corte Constitucional, en Sentencia C – 740 de 2003, Magistrado Ponente Jaime Córdoba Triviño; “</w:t>
      </w:r>
      <w:r w:rsidRPr="00B86E29">
        <w:rPr>
          <w:rFonts w:ascii="Times New Roman" w:hAnsi="Times New Roman" w:cs="Times New Roman"/>
          <w:i/>
          <w:lang w:val="es-MX"/>
        </w:rPr>
        <w:t xml:space="preserve">el derecho de propiedad no es, per se, un derecho fundamental ya que el constituyente no lo ha dotado de esa precisa naturaleza. Si bien durante el Estado liberal originario, el derecho de propiedad era considerado como un derecho inalienable del ser humano y, por lo mismo, no susceptible de la injerencia estatal, hoy esa concepción está superada y esto es así al punto que en contextos como el nuestro, </w:t>
      </w:r>
      <w:r w:rsidRPr="00B86E29">
        <w:rPr>
          <w:rFonts w:ascii="Times New Roman" w:hAnsi="Times New Roman" w:cs="Times New Roman"/>
          <w:i/>
          <w:u w:val="single"/>
          <w:lang w:val="es-MX"/>
        </w:rPr>
        <w:t>el mismo constituyente le ha impuesto</w:t>
      </w:r>
      <w:r w:rsidRPr="00B86E29">
        <w:rPr>
          <w:rFonts w:ascii="Times New Roman" w:hAnsi="Times New Roman" w:cs="Times New Roman"/>
          <w:i/>
          <w:lang w:val="es-MX"/>
        </w:rPr>
        <w:t xml:space="preserve"> </w:t>
      </w:r>
      <w:r w:rsidRPr="00B86E29">
        <w:rPr>
          <w:rFonts w:ascii="Times New Roman" w:hAnsi="Times New Roman" w:cs="Times New Roman"/>
          <w:i/>
          <w:u w:val="single"/>
          <w:lang w:val="es-MX"/>
        </w:rPr>
        <w:t>límites sustanciales a su ejercicio</w:t>
      </w:r>
      <w:r w:rsidRPr="00B86E29">
        <w:rPr>
          <w:rFonts w:ascii="Times New Roman" w:hAnsi="Times New Roman" w:cs="Times New Roman"/>
          <w:i/>
          <w:lang w:val="es-MX"/>
        </w:rPr>
        <w:t>. De allí que, si bien se lo reconoce como un derecho constitucional, se lo hace como un derecho de segunda generación</w:t>
      </w:r>
      <w:r w:rsidRPr="00B86E29">
        <w:rPr>
          <w:rFonts w:ascii="Times New Roman" w:eastAsia="Century" w:hAnsi="Times New Roman" w:cs="Times New Roman"/>
          <w:i/>
          <w:lang w:val="es-MX"/>
        </w:rPr>
        <w:t xml:space="preserve"> </w:t>
      </w:r>
      <w:r w:rsidRPr="00B86E29">
        <w:rPr>
          <w:rFonts w:ascii="Times New Roman" w:hAnsi="Times New Roman" w:cs="Times New Roman"/>
          <w:i/>
          <w:lang w:val="es-MX"/>
        </w:rPr>
        <w:t xml:space="preserve">esto es, como un derecho adscrito al ámbito de los derechos sociales, económicos y culturales. Por ello, la jurisprudencia de esta Corporación sólo le ha reconocido al derecho de propiedad el carácter de derecho fundamental cuando está en relación inescindible con otros derechos originariamente fundamentales y su vulneración compromete el mínimo vital de las personas”  </w:t>
      </w:r>
    </w:p>
    <w:p w14:paraId="46548D80" w14:textId="77777777" w:rsidR="00012B3C" w:rsidRPr="00B86E29" w:rsidRDefault="00012B3C" w:rsidP="00012B3C">
      <w:pPr>
        <w:spacing w:before="240" w:after="240"/>
        <w:jc w:val="both"/>
        <w:rPr>
          <w:rFonts w:ascii="Times New Roman" w:hAnsi="Times New Roman" w:cs="Times New Roman"/>
          <w:lang w:val="es-MX"/>
        </w:rPr>
      </w:pPr>
      <w:r w:rsidRPr="00B86E29">
        <w:rPr>
          <w:rFonts w:ascii="Times New Roman" w:hAnsi="Times New Roman" w:cs="Times New Roman"/>
          <w:lang w:val="es-MX"/>
        </w:rPr>
        <w:t xml:space="preserve">Es decir, el constituyente de 1991 reconoció un conjunto de instituciones relacionadas con la propiedad privada, a saber; la extinción de dominio, la expropiación y la prohibición de la confiscación; figuras que limitan el ejercicio de los derechos subjetivos en punto de los derechos </w:t>
      </w:r>
      <w:r w:rsidRPr="00B86E29">
        <w:rPr>
          <w:rFonts w:ascii="Times New Roman" w:hAnsi="Times New Roman" w:cs="Times New Roman"/>
          <w:lang w:val="es-MX"/>
        </w:rPr>
        <w:lastRenderedPageBreak/>
        <w:t xml:space="preserve">patrimoniales. Esto, permite establecer que la PROPIEDAD LEGÍTIMA se sustenta bajo tres premisas fundamentales, que son:  </w:t>
      </w:r>
    </w:p>
    <w:p w14:paraId="34C5417D" w14:textId="17CB989C" w:rsidR="00012B3C" w:rsidRPr="00B86E29" w:rsidRDefault="00012B3C" w:rsidP="00012B3C">
      <w:pPr>
        <w:numPr>
          <w:ilvl w:val="0"/>
          <w:numId w:val="38"/>
        </w:numPr>
        <w:spacing w:after="160" w:line="259" w:lineRule="auto"/>
        <w:ind w:hanging="176"/>
        <w:jc w:val="both"/>
        <w:rPr>
          <w:rFonts w:ascii="Times New Roman" w:hAnsi="Times New Roman" w:cs="Times New Roman"/>
          <w:lang w:val="es-MX"/>
        </w:rPr>
      </w:pPr>
      <w:r w:rsidRPr="00B86E29">
        <w:rPr>
          <w:rFonts w:ascii="Times New Roman" w:hAnsi="Times New Roman" w:cs="Times New Roman"/>
          <w:lang w:val="es-MX"/>
        </w:rPr>
        <w:t xml:space="preserve">La exigencia de licitud del título que la origina, </w:t>
      </w:r>
    </w:p>
    <w:p w14:paraId="0E6E3806" w14:textId="77777777" w:rsidR="00012B3C" w:rsidRPr="00B86E29" w:rsidRDefault="00012B3C" w:rsidP="00012B3C">
      <w:pPr>
        <w:numPr>
          <w:ilvl w:val="0"/>
          <w:numId w:val="38"/>
        </w:numPr>
        <w:spacing w:after="160" w:line="259" w:lineRule="auto"/>
        <w:ind w:hanging="176"/>
        <w:jc w:val="both"/>
        <w:rPr>
          <w:rFonts w:ascii="Times New Roman" w:hAnsi="Times New Roman" w:cs="Times New Roman"/>
          <w:lang w:val="es-MX"/>
        </w:rPr>
      </w:pPr>
      <w:r w:rsidRPr="00B86E29">
        <w:rPr>
          <w:rFonts w:ascii="Times New Roman" w:hAnsi="Times New Roman" w:cs="Times New Roman"/>
          <w:lang w:val="es-MX"/>
        </w:rPr>
        <w:t xml:space="preserve">La función social y ecológica y, </w:t>
      </w:r>
    </w:p>
    <w:p w14:paraId="3567E8F7" w14:textId="77777777" w:rsidR="00012B3C" w:rsidRPr="00B86E29" w:rsidRDefault="00012B3C" w:rsidP="00012B3C">
      <w:pPr>
        <w:numPr>
          <w:ilvl w:val="0"/>
          <w:numId w:val="38"/>
        </w:numPr>
        <w:spacing w:after="160" w:line="259" w:lineRule="auto"/>
        <w:ind w:hanging="176"/>
        <w:jc w:val="both"/>
        <w:rPr>
          <w:rFonts w:ascii="Times New Roman" w:hAnsi="Times New Roman" w:cs="Times New Roman"/>
          <w:lang w:val="es-MX"/>
        </w:rPr>
      </w:pPr>
      <w:r w:rsidRPr="00B86E29">
        <w:rPr>
          <w:rFonts w:ascii="Times New Roman" w:hAnsi="Times New Roman" w:cs="Times New Roman"/>
          <w:lang w:val="es-MX"/>
        </w:rPr>
        <w:t xml:space="preserve">El sometimiento a razones de utilidad pública o interés social. </w:t>
      </w:r>
    </w:p>
    <w:p w14:paraId="6E611AB4" w14:textId="77777777" w:rsidR="00012B3C" w:rsidRPr="00B86E29" w:rsidRDefault="00012B3C" w:rsidP="00012B3C">
      <w:pPr>
        <w:spacing w:before="240" w:after="240"/>
        <w:jc w:val="both"/>
        <w:rPr>
          <w:rFonts w:ascii="Times New Roman" w:hAnsi="Times New Roman" w:cs="Times New Roman"/>
          <w:lang w:val="es-MX"/>
        </w:rPr>
      </w:pPr>
      <w:r w:rsidRPr="00B86E29">
        <w:rPr>
          <w:rFonts w:ascii="Times New Roman" w:hAnsi="Times New Roman" w:cs="Times New Roman"/>
          <w:lang w:val="es-MX"/>
        </w:rPr>
        <w:t>De esta manera, el incumplimiento de los dos primeros pilares configurara la extinción de dominio, así, los artículos 34 y 58 constituyen el fundamento directo e inequívoco para extinguir el dominio por origen ilícito o destinación según sea el caso, y finalmente de la tercera proposición, sucederá la figura de la expropiación.</w:t>
      </w:r>
      <w:r w:rsidRPr="00B86E29">
        <w:rPr>
          <w:rStyle w:val="Refdenotaalpie"/>
          <w:rFonts w:ascii="Times New Roman" w:hAnsi="Times New Roman" w:cs="Times New Roman"/>
          <w:lang w:val="es-MX"/>
        </w:rPr>
        <w:footnoteReference w:id="6"/>
      </w:r>
    </w:p>
    <w:p w14:paraId="1E4A5677" w14:textId="77777777" w:rsidR="00012B3C" w:rsidRPr="00B86E29" w:rsidRDefault="00012B3C" w:rsidP="00012B3C">
      <w:pPr>
        <w:spacing w:after="240"/>
        <w:jc w:val="both"/>
        <w:rPr>
          <w:rFonts w:ascii="Times New Roman" w:hAnsi="Times New Roman" w:cs="Times New Roman"/>
          <w:lang w:val="es-MX"/>
        </w:rPr>
      </w:pPr>
      <w:r w:rsidRPr="00B86E29">
        <w:rPr>
          <w:rFonts w:ascii="Times New Roman" w:hAnsi="Times New Roman" w:cs="Times New Roman"/>
          <w:lang w:val="es-MX"/>
        </w:rPr>
        <w:t xml:space="preserve">En el mismo sentido, la Corte Constitucional ha argumentado que el artículo 34 de la constitución, establece que en caso de declararse en sentencia judicial, que el bien se adquirió mediante enriquecimiento ilícito, en perjuicio del tesoro público o con grave deterioro de la moral social, se configurara la inexistencia del derecho de propiedad, en el entendido que este ha sido privado del reconocimiento jurídico, por no haber sido obtenido o ejercido con arreglo al ordenamiento jurídico, caso en el cual se configura la acción extintiva de dominio por origen ilícito.  </w:t>
      </w:r>
    </w:p>
    <w:p w14:paraId="24E3DC70" w14:textId="77777777" w:rsidR="00012B3C" w:rsidRPr="00B86E29" w:rsidRDefault="00012B3C" w:rsidP="00012B3C">
      <w:pPr>
        <w:spacing w:before="240" w:after="240"/>
        <w:jc w:val="both"/>
        <w:rPr>
          <w:rFonts w:ascii="Times New Roman" w:hAnsi="Times New Roman" w:cs="Times New Roman"/>
          <w:lang w:val="es-MX"/>
        </w:rPr>
      </w:pPr>
      <w:r w:rsidRPr="00B86E29">
        <w:rPr>
          <w:rFonts w:ascii="Times New Roman" w:hAnsi="Times New Roman" w:cs="Times New Roman"/>
          <w:lang w:val="es-MX"/>
        </w:rPr>
        <w:t xml:space="preserve">Ahora bien, la extinción de dominio no solo se contrae al caso de los bienes provenientes de un origen ilícito. El artículo 58 de la Constitución Política dispone que “La propiedad es una función social que implica obligaciones”, y en ese sentido, </w:t>
      </w:r>
      <w:r w:rsidRPr="00B86E29">
        <w:rPr>
          <w:rFonts w:ascii="Times New Roman" w:hAnsi="Times New Roman" w:cs="Times New Roman"/>
          <w:u w:val="single"/>
          <w:lang w:val="es-MX"/>
        </w:rPr>
        <w:t>quien ostenta un título válido de propiedad se expone a perderlo si no</w:t>
      </w:r>
      <w:r w:rsidRPr="00B86E29">
        <w:rPr>
          <w:rFonts w:ascii="Times New Roman" w:hAnsi="Times New Roman" w:cs="Times New Roman"/>
          <w:lang w:val="es-MX"/>
        </w:rPr>
        <w:t xml:space="preserve"> </w:t>
      </w:r>
      <w:r w:rsidRPr="00B86E29">
        <w:rPr>
          <w:rFonts w:ascii="Times New Roman" w:hAnsi="Times New Roman" w:cs="Times New Roman"/>
          <w:u w:val="single"/>
          <w:lang w:val="es-MX"/>
        </w:rPr>
        <w:t>ejerce su derecho de manera legítima, acorde con el ordenamiento jurídico.</w:t>
      </w:r>
      <w:r w:rsidRPr="00B86E29">
        <w:rPr>
          <w:rFonts w:ascii="Times New Roman" w:hAnsi="Times New Roman" w:cs="Times New Roman"/>
          <w:lang w:val="es-MX"/>
        </w:rPr>
        <w:t xml:space="preserve"> En palabras de la Corte Constitucional; </w:t>
      </w:r>
    </w:p>
    <w:p w14:paraId="548C79EC" w14:textId="77777777" w:rsidR="00012B3C" w:rsidRPr="00B86E29" w:rsidRDefault="00012B3C" w:rsidP="00012B3C">
      <w:pPr>
        <w:spacing w:after="240"/>
        <w:jc w:val="both"/>
        <w:rPr>
          <w:rFonts w:ascii="Times New Roman" w:hAnsi="Times New Roman" w:cs="Times New Roman"/>
          <w:lang w:val="es-MX"/>
        </w:rPr>
      </w:pPr>
      <w:r w:rsidRPr="00B86E29">
        <w:rPr>
          <w:rFonts w:ascii="Times New Roman" w:hAnsi="Times New Roman" w:cs="Times New Roman"/>
          <w:i/>
          <w:lang w:val="es-MX"/>
        </w:rPr>
        <w:t>“Desde el artículo 1º, está claro que en el nuevo orden constitucional no hay espacio para el ejercicio arbitrario de los derechos, pues su ejercicio debe estar matizado por las razones sociales y los intereses generales. Pero estas implicaciones se descontextualizan si no se tienen en cuenta los fines anunciados en el artículo 2º y, para el efecto que aquí se persigue, el aseguramiento de la vigencia de un orden justo. En efecto, un orden justo sólo puede ser fruto de unas prácticas sociales coherentes con esos fundamentos. No se puede asegurar orden justo alguno si a los derechos no se accede mediante el trabajo honesto sino ilícitamente y si en el ejercicio de los derechos lícitamente adquiridos priman intereses egoístas sobre los intereses generales”</w:t>
      </w:r>
      <w:r w:rsidRPr="00B86E29">
        <w:rPr>
          <w:rFonts w:ascii="Times New Roman" w:hAnsi="Times New Roman" w:cs="Times New Roman"/>
          <w:lang w:val="es-MX"/>
        </w:rPr>
        <w:t xml:space="preserve"> </w:t>
      </w:r>
    </w:p>
    <w:p w14:paraId="2C2E2648" w14:textId="77777777" w:rsidR="00012B3C" w:rsidRPr="00B86E29" w:rsidRDefault="00012B3C" w:rsidP="00012B3C">
      <w:pPr>
        <w:spacing w:before="240" w:after="240"/>
        <w:jc w:val="both"/>
        <w:rPr>
          <w:rFonts w:ascii="Times New Roman" w:hAnsi="Times New Roman" w:cs="Times New Roman"/>
          <w:lang w:val="es-MX"/>
        </w:rPr>
      </w:pPr>
      <w:r w:rsidRPr="00B86E29">
        <w:rPr>
          <w:rFonts w:ascii="Times New Roman" w:hAnsi="Times New Roman" w:cs="Times New Roman"/>
          <w:lang w:val="es-MX"/>
        </w:rPr>
        <w:t xml:space="preserve">Lo anterior, teniendo en cuenta que, el derecho a la propiedad adquirido conforme a las leyes civiles, también puede perderse por medio de la extinción de dominio, cuando el titular del derecho da a los bienes un uso contrario a la función social que es inherente a la propiedad, pues se entiende que ese uso constituye un ejercicio arbitrario e injusto del derecho subjetivo que se ostentaba. </w:t>
      </w:r>
    </w:p>
    <w:p w14:paraId="017F5FF1" w14:textId="77777777" w:rsidR="00012B3C" w:rsidRPr="00B86E29" w:rsidRDefault="00012B3C" w:rsidP="00012B3C">
      <w:pPr>
        <w:spacing w:before="240" w:after="240"/>
        <w:jc w:val="both"/>
        <w:rPr>
          <w:rFonts w:ascii="Times New Roman" w:hAnsi="Times New Roman" w:cs="Times New Roman"/>
          <w:lang w:val="es-MX"/>
        </w:rPr>
      </w:pPr>
      <w:r w:rsidRPr="00B86E29">
        <w:rPr>
          <w:rFonts w:ascii="Times New Roman" w:hAnsi="Times New Roman" w:cs="Times New Roman"/>
          <w:lang w:val="es-MX"/>
        </w:rPr>
        <w:t xml:space="preserve">En este caso, mediante sentencia judicial se declara que el titular de la propiedad ha dejado de ser digno de reconocimiento y protección por parte del Estado, a partir del momento en que el titular del </w:t>
      </w:r>
      <w:r w:rsidRPr="00B86E29">
        <w:rPr>
          <w:rFonts w:ascii="Times New Roman" w:hAnsi="Times New Roman" w:cs="Times New Roman"/>
          <w:lang w:val="es-MX"/>
        </w:rPr>
        <w:lastRenderedPageBreak/>
        <w:t>derecho destinó los bienes a fines ilícitos. En palabras del Tribunal Superior del Distrito Judicial de Bogotá Sala de Extinción de Dominio, Magistrada Ponente: María Idalí Molina Guerrero,</w:t>
      </w:r>
      <w:r w:rsidRPr="00B86E29">
        <w:rPr>
          <w:rFonts w:ascii="Times New Roman" w:hAnsi="Times New Roman" w:cs="Times New Roman"/>
          <w:i/>
          <w:lang w:val="es-MX"/>
        </w:rPr>
        <w:t xml:space="preserve"> “la acción de extinción de dominio, implica la pérdida del derecho de propiedad sobre bienes a favor del Estado y sin ninguna contraprestación o compensación para su titular, entre otras circunstancias, cuando “el bien haya sido utilizado como medio o instrumento para la comisión de actividades ilícitas”</w:t>
      </w:r>
    </w:p>
    <w:p w14:paraId="7F987CFC" w14:textId="0D04750A" w:rsidR="00012B3C" w:rsidRPr="00B86E29" w:rsidRDefault="00012B3C" w:rsidP="00012B3C">
      <w:pPr>
        <w:jc w:val="both"/>
        <w:rPr>
          <w:rFonts w:ascii="Times New Roman" w:hAnsi="Times New Roman" w:cs="Times New Roman"/>
          <w:lang w:val="es-MX"/>
        </w:rPr>
      </w:pPr>
      <w:r w:rsidRPr="00B86E29">
        <w:rPr>
          <w:rFonts w:ascii="Times New Roman" w:hAnsi="Times New Roman" w:cs="Times New Roman"/>
          <w:lang w:val="es-MX"/>
        </w:rPr>
        <w:t xml:space="preserve">En consecuencia, si bien la Constitución protege el derecho a la propiedad privada, este derecho no es absoluto, pues para que logre configurarse y mantenerse en el tiempo, el origen y destinación del bien, debe estar sujeto las razones sociales y a los fines esenciales del estado, de lo contrario se configurara la extinción de dominio consagrada en los artículos 34 y 58 superiores. Y en este punto es pertinente indicar que la buena fe exenta de culpa, es una excepción a la aplicabilidad de la acción extintiva de dominio, como se verá a continuación.  </w:t>
      </w:r>
    </w:p>
    <w:p w14:paraId="3778C1DA" w14:textId="7104E7E4" w:rsidR="00761D92" w:rsidRPr="00B86E29" w:rsidRDefault="001422C1" w:rsidP="00761D92">
      <w:pPr>
        <w:pBdr>
          <w:top w:val="nil"/>
          <w:left w:val="nil"/>
          <w:bottom w:val="nil"/>
          <w:right w:val="nil"/>
          <w:between w:val="nil"/>
        </w:pBdr>
        <w:spacing w:after="0"/>
        <w:jc w:val="both"/>
        <w:rPr>
          <w:rFonts w:ascii="Times New Roman" w:eastAsia="Arial" w:hAnsi="Times New Roman" w:cs="Times New Roman"/>
          <w:b/>
          <w:color w:val="000000"/>
        </w:rPr>
      </w:pPr>
      <w:r w:rsidRPr="00B86E29">
        <w:rPr>
          <w:rFonts w:ascii="Times New Roman" w:eastAsia="Arial" w:hAnsi="Times New Roman" w:cs="Times New Roman"/>
          <w:b/>
          <w:color w:val="000000"/>
        </w:rPr>
        <w:t>4</w:t>
      </w:r>
      <w:r w:rsidR="00761D92" w:rsidRPr="00B86E29">
        <w:rPr>
          <w:rFonts w:ascii="Times New Roman" w:eastAsia="Arial" w:hAnsi="Times New Roman" w:cs="Times New Roman"/>
          <w:b/>
          <w:color w:val="000000"/>
        </w:rPr>
        <w:t xml:space="preserve">.- </w:t>
      </w:r>
      <w:r w:rsidR="00012B3C" w:rsidRPr="00B86E29">
        <w:rPr>
          <w:rFonts w:ascii="Times New Roman" w:eastAsia="Arial" w:hAnsi="Times New Roman" w:cs="Times New Roman"/>
          <w:b/>
          <w:color w:val="000000"/>
        </w:rPr>
        <w:t>Buena fe exenta de culpa</w:t>
      </w:r>
    </w:p>
    <w:p w14:paraId="648E6ECE" w14:textId="77777777" w:rsidR="00012B3C" w:rsidRPr="00B86E29" w:rsidRDefault="00012B3C" w:rsidP="00012B3C">
      <w:pPr>
        <w:spacing w:before="240" w:after="240"/>
        <w:jc w:val="both"/>
        <w:rPr>
          <w:rFonts w:ascii="Times New Roman" w:hAnsi="Times New Roman" w:cs="Times New Roman"/>
          <w:lang w:val="es-MX"/>
        </w:rPr>
      </w:pPr>
      <w:r w:rsidRPr="00B86E29">
        <w:rPr>
          <w:rFonts w:ascii="Times New Roman" w:hAnsi="Times New Roman" w:cs="Times New Roman"/>
          <w:lang w:val="es-MX"/>
        </w:rPr>
        <w:t xml:space="preserve">El artículo 83 de la Constitución Política establece que </w:t>
      </w:r>
      <w:r w:rsidRPr="00B86E29">
        <w:rPr>
          <w:rFonts w:ascii="Times New Roman" w:hAnsi="Times New Roman" w:cs="Times New Roman"/>
          <w:i/>
          <w:lang w:val="es-MX"/>
        </w:rPr>
        <w:t xml:space="preserve">“las actuaciones de los particulares y de las autoridades públicas deberán ceñirse a los postulados de la buena fe, la cual se presumirá en todas las gestiones que ellos adelanten ante estas”. </w:t>
      </w:r>
      <w:r w:rsidRPr="00B86E29">
        <w:rPr>
          <w:rFonts w:ascii="Times New Roman" w:hAnsi="Times New Roman" w:cs="Times New Roman"/>
          <w:lang w:val="es-MX"/>
        </w:rPr>
        <w:t xml:space="preserve">Esta buena fe constituye un límite material a la extinción de dominio, cuando ella reúne las características necesarias para dar origen a un derecho digno de reconocimiento y protección jurídica. Es decir, cuando se trata de una buena fe creadora de derecho.  </w:t>
      </w:r>
    </w:p>
    <w:p w14:paraId="473DC394" w14:textId="77777777" w:rsidR="00012B3C" w:rsidRPr="00B86E29" w:rsidRDefault="00012B3C" w:rsidP="00012B3C">
      <w:pPr>
        <w:jc w:val="both"/>
        <w:rPr>
          <w:rFonts w:ascii="Times New Roman" w:hAnsi="Times New Roman" w:cs="Times New Roman"/>
          <w:lang w:val="es-MX"/>
        </w:rPr>
      </w:pPr>
      <w:r w:rsidRPr="00B86E29">
        <w:rPr>
          <w:rFonts w:ascii="Times New Roman" w:hAnsi="Times New Roman" w:cs="Times New Roman"/>
          <w:lang w:val="es-MX"/>
        </w:rPr>
        <w:t>La doctrina y la jurisprudencia, reconocen en materia civil dos clases de buena fe:</w:t>
      </w:r>
    </w:p>
    <w:p w14:paraId="2784F070" w14:textId="77777777" w:rsidR="00012B3C" w:rsidRPr="00B86E29" w:rsidRDefault="00012B3C" w:rsidP="00012B3C">
      <w:pPr>
        <w:spacing w:before="240" w:after="240"/>
        <w:ind w:left="720"/>
        <w:jc w:val="both"/>
        <w:rPr>
          <w:rFonts w:ascii="Times New Roman" w:hAnsi="Times New Roman" w:cs="Times New Roman"/>
          <w:lang w:val="es-MX"/>
        </w:rPr>
      </w:pPr>
      <w:r w:rsidRPr="00B86E29">
        <w:rPr>
          <w:rFonts w:ascii="Times New Roman" w:hAnsi="Times New Roman" w:cs="Times New Roman"/>
          <w:lang w:val="es-MX"/>
        </w:rPr>
        <w:t>- Buena fe simple, que equivale a obrar con lealtad, rectitud y honestidad, es la que se exige normalmente a las personas en todas sus actuaciones. El</w:t>
      </w:r>
      <w:r w:rsidRPr="00B86E29">
        <w:rPr>
          <w:rFonts w:ascii="Times New Roman" w:eastAsia="Century" w:hAnsi="Times New Roman" w:cs="Times New Roman"/>
          <w:color w:val="000000"/>
          <w:lang w:val="es-MX"/>
        </w:rPr>
        <w:t xml:space="preserve"> </w:t>
      </w:r>
      <w:r w:rsidRPr="00B86E29">
        <w:rPr>
          <w:rFonts w:ascii="Times New Roman" w:hAnsi="Times New Roman" w:cs="Times New Roman"/>
          <w:lang w:val="es-MX"/>
        </w:rPr>
        <w:t xml:space="preserve">Código Civil, al referirse a la adquisición de la propiedad, la define en el artículo 768 como la conciencia de haberse adquirido el dominio de la cosa por medios legítimos, exentos de fraude y de todo otro vicio. Esta buena fe se denomina simple, por cuanto, si bien surte efectos en el ordenamiento jurídico, estos solo consisten en cierta protección que se otorga a quien así obra.  </w:t>
      </w:r>
    </w:p>
    <w:p w14:paraId="3208D334" w14:textId="77777777" w:rsidR="00012B3C" w:rsidRPr="00B86E29" w:rsidRDefault="00012B3C" w:rsidP="00012B3C">
      <w:pPr>
        <w:ind w:left="720"/>
        <w:jc w:val="both"/>
        <w:rPr>
          <w:rFonts w:ascii="Times New Roman" w:hAnsi="Times New Roman" w:cs="Times New Roman"/>
          <w:b/>
          <w:lang w:val="es-MX"/>
        </w:rPr>
      </w:pPr>
      <w:r w:rsidRPr="00B86E29">
        <w:rPr>
          <w:rFonts w:ascii="Times New Roman" w:hAnsi="Times New Roman" w:cs="Times New Roman"/>
          <w:lang w:val="es-MX"/>
        </w:rPr>
        <w:t xml:space="preserve">- Buena fe cualificada, tiene dos elementos fundamentales, necesarios para que pueda crear un derecho digno de reconocimiento y protección jurídica: un elemento subjetivo consistente en la conciencia de haber obrado conforme a derecho, y un elemento objetivo consistente en haber realizado actos que demuestren diligencia y cuidado suficientes para merecer un tratamiento diferenciado frente a quienes actúan con pura buena fe simple. </w:t>
      </w:r>
      <w:r w:rsidRPr="00B86E29">
        <w:rPr>
          <w:rFonts w:ascii="Times New Roman" w:hAnsi="Times New Roman" w:cs="Times New Roman"/>
          <w:b/>
          <w:lang w:val="es-MX"/>
        </w:rPr>
        <w:t xml:space="preserve"> </w:t>
      </w:r>
    </w:p>
    <w:p w14:paraId="179B358E" w14:textId="77777777" w:rsidR="00012B3C" w:rsidRPr="00B86E29" w:rsidRDefault="00012B3C" w:rsidP="00012B3C">
      <w:pPr>
        <w:spacing w:before="240" w:after="240"/>
        <w:jc w:val="both"/>
        <w:rPr>
          <w:rFonts w:ascii="Times New Roman" w:hAnsi="Times New Roman" w:cs="Times New Roman"/>
          <w:lang w:val="es-MX"/>
        </w:rPr>
      </w:pPr>
      <w:r w:rsidRPr="00B86E29">
        <w:rPr>
          <w:rFonts w:ascii="Times New Roman" w:hAnsi="Times New Roman" w:cs="Times New Roman"/>
          <w:lang w:val="es-MX"/>
        </w:rPr>
        <w:t>En palabras de la Honorable Corte Constitucional, en Sentencia</w:t>
      </w:r>
      <w:r w:rsidRPr="00B86E29">
        <w:rPr>
          <w:rFonts w:ascii="Times New Roman" w:hAnsi="Times New Roman" w:cs="Times New Roman"/>
          <w:i/>
          <w:lang w:val="es-MX"/>
        </w:rPr>
        <w:t xml:space="preserve"> </w:t>
      </w:r>
      <w:r w:rsidRPr="00B86E29">
        <w:rPr>
          <w:rFonts w:ascii="Times New Roman" w:hAnsi="Times New Roman" w:cs="Times New Roman"/>
          <w:lang w:val="es-MX"/>
        </w:rPr>
        <w:t>C-1007 de 2002</w:t>
      </w:r>
      <w:r w:rsidRPr="00B86E29">
        <w:rPr>
          <w:rFonts w:ascii="Times New Roman" w:hAnsi="Times New Roman" w:cs="Times New Roman"/>
          <w:i/>
          <w:lang w:val="es-MX"/>
        </w:rPr>
        <w:t xml:space="preserve"> “a diferencia de la buena fe simple que exige solo una conciencia recta y honesta, la buena fe cualificada o creadora de derecho exige dos elementos a saber: uno subjetivo y otro objetivo. El primero hace referencia a la conciencia de obrar con lealtad, y el segundo exige tener la seguridad de que el tradente es realmente el propietario, lo cual exige averiguaciones adicionales que comprueben tal situación. Es así que, la buena fe simple exige solo conciencia, mientras que la buena fe cualificada exige conciencia y certeza”</w:t>
      </w:r>
      <w:r w:rsidRPr="00B86E29">
        <w:rPr>
          <w:rFonts w:ascii="Times New Roman" w:hAnsi="Times New Roman" w:cs="Times New Roman"/>
          <w:lang w:val="es-MX"/>
        </w:rPr>
        <w:t xml:space="preserve"> </w:t>
      </w:r>
      <w:r w:rsidRPr="00B86E29">
        <w:rPr>
          <w:rFonts w:ascii="Times New Roman" w:hAnsi="Times New Roman" w:cs="Times New Roman"/>
          <w:b/>
          <w:lang w:val="es-MX"/>
        </w:rPr>
        <w:t xml:space="preserve"> </w:t>
      </w:r>
    </w:p>
    <w:p w14:paraId="38623CE3" w14:textId="77777777" w:rsidR="00012B3C" w:rsidRPr="00B86E29" w:rsidRDefault="00012B3C" w:rsidP="00012B3C">
      <w:pPr>
        <w:spacing w:before="240" w:after="240"/>
        <w:jc w:val="both"/>
        <w:rPr>
          <w:rFonts w:ascii="Times New Roman" w:hAnsi="Times New Roman" w:cs="Times New Roman"/>
          <w:lang w:val="es-MX"/>
        </w:rPr>
      </w:pPr>
      <w:r w:rsidRPr="00B86E29">
        <w:rPr>
          <w:rFonts w:ascii="Times New Roman" w:hAnsi="Times New Roman" w:cs="Times New Roman"/>
          <w:lang w:val="es-MX"/>
        </w:rPr>
        <w:lastRenderedPageBreak/>
        <w:t xml:space="preserve">Esta buena fe cualificada o creadora de derecho es un límite material de la extinción de dominio, porque protege a los terceros que adquieren de buena fe un bien incurso en alguna cualquiera de las causales de extinción de dominio. Así, por ejemplo;  </w:t>
      </w:r>
    </w:p>
    <w:p w14:paraId="2BC6A210" w14:textId="77777777" w:rsidR="00012B3C" w:rsidRPr="00B86E29" w:rsidRDefault="00012B3C" w:rsidP="00012B3C">
      <w:pPr>
        <w:spacing w:before="240" w:after="240"/>
        <w:jc w:val="both"/>
        <w:rPr>
          <w:rFonts w:ascii="Times New Roman" w:hAnsi="Times New Roman" w:cs="Times New Roman"/>
          <w:lang w:val="es-MX"/>
        </w:rPr>
      </w:pPr>
      <w:r w:rsidRPr="00B86E29">
        <w:rPr>
          <w:rFonts w:ascii="Times New Roman" w:hAnsi="Times New Roman" w:cs="Times New Roman"/>
          <w:i/>
          <w:lang w:val="es-MX"/>
        </w:rPr>
        <w:t>“la buena fe cualificada o creadora de derecho tiene plena aplicación en el caso de los bienes adquiridos por compra o permuta y que provienen directa o indirectamente de una actividad ilícita. Es así que, si alguien adquiere un bien con todas las formalidades exigidas por la ley para adquirir la propiedad, y si ese bien proviene directa o indirectamente de una actividad ilícita, en principio, aquel adquirente no recibiría ningún derecho pues nadie puede transmitir un derecho que no tiene y sería procedente la extinción de dominio; pero, si se actuó con buena fe exenta de culpa, dicho tercero puede quedar amparado por el ordenamiento jurídico al punto de considerarse que por efecto de su buena fe cualificada se ha radicado plenamente el derecho de propiedad en su cabeza, y por lo tanto sobre tal bien no podría recaer la extinción de dominio”</w:t>
      </w:r>
      <w:r w:rsidRPr="00B86E29">
        <w:rPr>
          <w:rFonts w:ascii="Times New Roman" w:hAnsi="Times New Roman" w:cs="Times New Roman"/>
          <w:lang w:val="es-MX"/>
        </w:rPr>
        <w:t xml:space="preserve"> (Sentencia C-1007, 2002) </w:t>
      </w:r>
    </w:p>
    <w:p w14:paraId="7E44123B" w14:textId="77777777" w:rsidR="00012B3C" w:rsidRPr="00B86E29" w:rsidRDefault="00012B3C" w:rsidP="00012B3C">
      <w:pPr>
        <w:spacing w:before="240" w:after="240"/>
        <w:jc w:val="both"/>
        <w:rPr>
          <w:rFonts w:ascii="Times New Roman" w:hAnsi="Times New Roman" w:cs="Times New Roman"/>
          <w:lang w:val="es-MX"/>
        </w:rPr>
      </w:pPr>
      <w:r w:rsidRPr="00B86E29">
        <w:rPr>
          <w:rFonts w:ascii="Times New Roman" w:hAnsi="Times New Roman" w:cs="Times New Roman"/>
          <w:lang w:val="es-MX"/>
        </w:rPr>
        <w:t xml:space="preserve">Ahora bien, la buena fe también se predica del propietario que adquiere el bien con todas las prerrogativas jurídicas y que no es sujeto de expropiación, sin embargo, por alguna razón ajena y desconocida por él, en el inmueble se está ejecutando alguna conducta punible.   </w:t>
      </w:r>
    </w:p>
    <w:p w14:paraId="147C5A25" w14:textId="77777777" w:rsidR="00012B3C" w:rsidRPr="00B86E29" w:rsidRDefault="00012B3C" w:rsidP="00012B3C">
      <w:pPr>
        <w:spacing w:after="240"/>
        <w:jc w:val="both"/>
        <w:rPr>
          <w:rFonts w:ascii="Times New Roman" w:hAnsi="Times New Roman" w:cs="Times New Roman"/>
          <w:lang w:val="es-MX"/>
        </w:rPr>
      </w:pPr>
      <w:r w:rsidRPr="00B86E29">
        <w:rPr>
          <w:rFonts w:ascii="Times New Roman" w:hAnsi="Times New Roman" w:cs="Times New Roman"/>
          <w:lang w:val="es-MX"/>
        </w:rPr>
        <w:t xml:space="preserve">Finalmente, para que la denominada buena fe cualificada pueda surtir sus efectos creadores de derecho, se requiere el cumplimiento de algunos requisitos exigidos de antaño por la jurisprudencia: </w:t>
      </w:r>
    </w:p>
    <w:p w14:paraId="019B08E6" w14:textId="77777777" w:rsidR="00012B3C" w:rsidRPr="00B86E29" w:rsidRDefault="00012B3C" w:rsidP="00012B3C">
      <w:pPr>
        <w:numPr>
          <w:ilvl w:val="0"/>
          <w:numId w:val="39"/>
        </w:numPr>
        <w:spacing w:before="240" w:after="160" w:line="259" w:lineRule="auto"/>
        <w:jc w:val="both"/>
        <w:rPr>
          <w:rFonts w:ascii="Times New Roman" w:hAnsi="Times New Roman" w:cs="Times New Roman"/>
        </w:rPr>
      </w:pPr>
      <w:r w:rsidRPr="00B86E29">
        <w:rPr>
          <w:rFonts w:ascii="Times New Roman" w:hAnsi="Times New Roman" w:cs="Times New Roman"/>
          <w:lang w:val="es-MX"/>
        </w:rPr>
        <w:t xml:space="preserve">Que el derecho o situación jurídica aparentes, tenga en su aspecto exterior todas las condiciones de existencia real, de manera que cualquier persona prudente o diligente no pueda descubrir la verdadera situación. La apariencia de los derechos no hace referencia a la creencia subjetiva de una persona, sino a la objetiva o colectiva de las gentes. De ahí que los romanos dijeran que la apariencia del derecho debía estar constituida de tal manera que todas las personas al examinarlo cometieran un error y creyeran que realmente existía, sin existir. </w:t>
      </w:r>
      <w:r w:rsidRPr="00B86E29">
        <w:rPr>
          <w:rFonts w:ascii="Times New Roman" w:hAnsi="Times New Roman" w:cs="Times New Roman"/>
        </w:rPr>
        <w:t xml:space="preserve">Este es el error </w:t>
      </w:r>
      <w:proofErr w:type="spellStart"/>
      <w:r w:rsidRPr="00B86E29">
        <w:rPr>
          <w:rFonts w:ascii="Times New Roman" w:hAnsi="Times New Roman" w:cs="Times New Roman"/>
        </w:rPr>
        <w:t>communis</w:t>
      </w:r>
      <w:proofErr w:type="spellEnd"/>
      <w:r w:rsidRPr="00B86E29">
        <w:rPr>
          <w:rFonts w:ascii="Times New Roman" w:hAnsi="Times New Roman" w:cs="Times New Roman"/>
        </w:rPr>
        <w:t xml:space="preserve">, error común a muchos. </w:t>
      </w:r>
    </w:p>
    <w:p w14:paraId="33B10FA9" w14:textId="77777777" w:rsidR="00012B3C" w:rsidRPr="00B86E29" w:rsidRDefault="00012B3C" w:rsidP="00012B3C">
      <w:pPr>
        <w:numPr>
          <w:ilvl w:val="0"/>
          <w:numId w:val="39"/>
        </w:numPr>
        <w:spacing w:before="240" w:after="160" w:line="259" w:lineRule="auto"/>
        <w:jc w:val="both"/>
        <w:rPr>
          <w:rFonts w:ascii="Times New Roman" w:hAnsi="Times New Roman" w:cs="Times New Roman"/>
          <w:lang w:val="es-MX"/>
        </w:rPr>
      </w:pPr>
      <w:r w:rsidRPr="00B86E29">
        <w:rPr>
          <w:rFonts w:ascii="Times New Roman" w:hAnsi="Times New Roman" w:cs="Times New Roman"/>
          <w:lang w:val="es-MX"/>
        </w:rPr>
        <w:t xml:space="preserve">Que la adquisición del derecho se verifique normalmente dentro de las condiciones exigidas por la ley; y </w:t>
      </w:r>
    </w:p>
    <w:p w14:paraId="2AB29167" w14:textId="77777777" w:rsidR="00012B3C" w:rsidRPr="00B86E29" w:rsidRDefault="00012B3C" w:rsidP="00012B3C">
      <w:pPr>
        <w:numPr>
          <w:ilvl w:val="0"/>
          <w:numId w:val="39"/>
        </w:numPr>
        <w:spacing w:before="240" w:after="160" w:line="259" w:lineRule="auto"/>
        <w:jc w:val="both"/>
        <w:rPr>
          <w:rFonts w:ascii="Times New Roman" w:hAnsi="Times New Roman" w:cs="Times New Roman"/>
          <w:lang w:val="es-MX"/>
        </w:rPr>
      </w:pPr>
      <w:r w:rsidRPr="00B86E29">
        <w:rPr>
          <w:rFonts w:ascii="Times New Roman" w:hAnsi="Times New Roman" w:cs="Times New Roman"/>
          <w:lang w:val="es-MX"/>
        </w:rPr>
        <w:t xml:space="preserve">Finalmente, se exige la concurrencia de la buena fe en el adquirente, es decir, la creencia sincera y leal de adquirir el derecho de quien es legítimo dueño” (Sentencia del 23 de junio de 1958). </w:t>
      </w:r>
    </w:p>
    <w:p w14:paraId="5E98CF87" w14:textId="77777777" w:rsidR="00012B3C" w:rsidRPr="00B86E29" w:rsidRDefault="00012B3C" w:rsidP="00761D92">
      <w:pPr>
        <w:pBdr>
          <w:top w:val="nil"/>
          <w:left w:val="nil"/>
          <w:bottom w:val="nil"/>
          <w:right w:val="nil"/>
          <w:between w:val="nil"/>
        </w:pBdr>
        <w:spacing w:after="0"/>
        <w:jc w:val="both"/>
        <w:rPr>
          <w:rFonts w:ascii="Times New Roman" w:eastAsia="Arial" w:hAnsi="Times New Roman" w:cs="Times New Roman"/>
          <w:b/>
          <w:color w:val="000000"/>
        </w:rPr>
      </w:pPr>
    </w:p>
    <w:p w14:paraId="20B785EC" w14:textId="1C6BB673" w:rsidR="00761D92" w:rsidRPr="00B86E29" w:rsidRDefault="001422C1" w:rsidP="00761D92">
      <w:pPr>
        <w:pBdr>
          <w:top w:val="nil"/>
          <w:left w:val="nil"/>
          <w:bottom w:val="nil"/>
          <w:right w:val="nil"/>
          <w:between w:val="nil"/>
        </w:pBdr>
        <w:jc w:val="both"/>
        <w:rPr>
          <w:rFonts w:ascii="Times New Roman" w:eastAsia="Arial" w:hAnsi="Times New Roman" w:cs="Times New Roman"/>
          <w:b/>
          <w:color w:val="000000"/>
        </w:rPr>
      </w:pPr>
      <w:r w:rsidRPr="00B86E29">
        <w:rPr>
          <w:rFonts w:ascii="Times New Roman" w:eastAsia="Arial" w:hAnsi="Times New Roman" w:cs="Times New Roman"/>
          <w:b/>
          <w:color w:val="000000"/>
        </w:rPr>
        <w:t>5</w:t>
      </w:r>
      <w:r w:rsidR="00761D92" w:rsidRPr="00B86E29">
        <w:rPr>
          <w:rFonts w:ascii="Times New Roman" w:eastAsia="Arial" w:hAnsi="Times New Roman" w:cs="Times New Roman"/>
          <w:b/>
          <w:color w:val="000000"/>
        </w:rPr>
        <w:t xml:space="preserve">.- </w:t>
      </w:r>
      <w:r w:rsidR="00012B3C" w:rsidRPr="00B86E29">
        <w:rPr>
          <w:rFonts w:ascii="Times New Roman" w:eastAsia="Arial" w:hAnsi="Times New Roman" w:cs="Times New Roman"/>
          <w:b/>
          <w:color w:val="000000"/>
        </w:rPr>
        <w:t>Titularidad y ejercicio de la acción de extinción de dominio</w:t>
      </w:r>
    </w:p>
    <w:p w14:paraId="2136A608" w14:textId="77777777" w:rsidR="00012B3C" w:rsidRPr="00B86E29" w:rsidRDefault="00012B3C" w:rsidP="00012B3C">
      <w:pPr>
        <w:spacing w:after="240"/>
        <w:jc w:val="both"/>
        <w:rPr>
          <w:rFonts w:ascii="Times New Roman" w:hAnsi="Times New Roman" w:cs="Times New Roman"/>
          <w:lang w:val="es-MX"/>
        </w:rPr>
      </w:pPr>
      <w:r w:rsidRPr="00B86E29">
        <w:rPr>
          <w:rFonts w:ascii="Times New Roman" w:hAnsi="Times New Roman" w:cs="Times New Roman"/>
          <w:lang w:val="es-MX"/>
        </w:rPr>
        <w:t xml:space="preserve">La titularidad de la acción de extinción de dominio no fue establecida en la Constitución. El artículo 34 de la Carta se limita a señalar que la extinción debe ser declarada “por sentencia judicial”, pero no aclara qué entidad o funcionario del Estado es quien está facultado para acudir ante los jueces y poner en movimiento el aparato judicial, con miras a la obtención de una sentencia en esa materia. </w:t>
      </w:r>
    </w:p>
    <w:p w14:paraId="488C48B0" w14:textId="329E7458" w:rsidR="00012B3C" w:rsidRPr="00B86E29" w:rsidRDefault="00012B3C" w:rsidP="00012B3C">
      <w:pPr>
        <w:spacing w:before="240" w:after="240"/>
        <w:jc w:val="both"/>
        <w:rPr>
          <w:rFonts w:ascii="Times New Roman" w:hAnsi="Times New Roman" w:cs="Times New Roman"/>
          <w:lang w:val="es-MX"/>
        </w:rPr>
      </w:pPr>
      <w:r w:rsidRPr="00B86E29">
        <w:rPr>
          <w:rFonts w:ascii="Times New Roman" w:hAnsi="Times New Roman" w:cs="Times New Roman"/>
          <w:lang w:val="es-MX"/>
        </w:rPr>
        <w:t xml:space="preserve">Teniendo en cuenta esta omisión, la Corte Constitucional en Sentencia C-111 de 2000, Magistrado Ponente, Álvaro Tafur Galvis, ha entendido que la voluntad del constituyente primario fue la de </w:t>
      </w:r>
      <w:r w:rsidRPr="00B86E29">
        <w:rPr>
          <w:rFonts w:ascii="Times New Roman" w:hAnsi="Times New Roman" w:cs="Times New Roman"/>
          <w:lang w:val="es-MX"/>
        </w:rPr>
        <w:lastRenderedPageBreak/>
        <w:t xml:space="preserve">conferir al Congreso de la República un amplio margen de configuración legislativa, argumentando que;  </w:t>
      </w:r>
    </w:p>
    <w:p w14:paraId="48CD623A" w14:textId="77777777" w:rsidR="00012B3C" w:rsidRPr="00B86E29" w:rsidRDefault="00012B3C" w:rsidP="00012B3C">
      <w:pPr>
        <w:spacing w:before="240" w:after="240"/>
        <w:jc w:val="both"/>
        <w:rPr>
          <w:rFonts w:ascii="Times New Roman" w:hAnsi="Times New Roman" w:cs="Times New Roman"/>
          <w:i/>
          <w:lang w:val="es-MX"/>
        </w:rPr>
      </w:pPr>
      <w:r w:rsidRPr="00B86E29">
        <w:rPr>
          <w:rFonts w:ascii="Times New Roman" w:hAnsi="Times New Roman" w:cs="Times New Roman"/>
          <w:i/>
          <w:lang w:val="es-MX"/>
        </w:rPr>
        <w:t xml:space="preserve">“El Congreso Nacional puede, en ejercicio de la cláusula general de competencia, porque la Constitución Política no dispone lo contrario, distribuir entre los distintos organismos y autoridades que integran la Rama Judicial del Poder Público el conocimiento de asuntos jurisdiccionales y decidir, por razones de economía procesal, o de política legislativa, que la Fiscalía General de la Nación conozca de una acción de naturaleza constitucional, dirigida a desvirtuar la presunción de legalidad que protege los derechos adquiridos por los administrados. (…) La Corte no podría decidir lo contrario atendiendo a un texto constitucional tan claro como el artículo 250, que, simplemente, enuncia las funciones del ente acusador y permite a la ley adicionarlas al decir en el numeral 5º: ‘Cumplir las demás funciones que establezca la ley’”  </w:t>
      </w:r>
    </w:p>
    <w:p w14:paraId="0A3E2031" w14:textId="77777777" w:rsidR="00012B3C" w:rsidRPr="00B86E29" w:rsidRDefault="00012B3C" w:rsidP="00012B3C">
      <w:pPr>
        <w:spacing w:before="240" w:after="240"/>
        <w:jc w:val="both"/>
        <w:rPr>
          <w:rFonts w:ascii="Times New Roman" w:hAnsi="Times New Roman" w:cs="Times New Roman"/>
          <w:lang w:val="es-MX"/>
        </w:rPr>
      </w:pPr>
      <w:r w:rsidRPr="00B86E29">
        <w:rPr>
          <w:rFonts w:ascii="Times New Roman" w:hAnsi="Times New Roman" w:cs="Times New Roman"/>
          <w:lang w:val="es-MX"/>
        </w:rPr>
        <w:t xml:space="preserve">Ahora bien, es importante resaltar que en Colombia la Fiscalía General de la Nación es una entidad adscrita a la rama judicial del poder público, y que cumple funciones judiciales por expreso mandato del artículo 116 de la Constitución Política. Esta norma dispone que la Fiscalía General de la Nación administra justicia al igual que los jueces de la República, y en esa medida puede ser revestida de la facultad de actuar y decidir como juez. Es decir, esta norma constitucional autoriza al legislador para que, en ejercicio de su amplio margen de configuración legislativa, le asigne a la Fiscalía General de la Nación funciones judiciales propias de los jueces de la República. Adicionalmente, la Constitución Política en su artículo 250, al definir las competencias de la Fiscalía General de la Nación, no solo no limitó o restringió la posibilidad de que el legislador le atribuyera nuevas facultades judiciales propias de los jueces, distintas al ejercicio de la acción penal que tradicionalmente le correspondía, sino que de hecho lo autorizó al indicar que esa entidad debería cumplir todas las demás funciones que “establezca la ley”.  </w:t>
      </w:r>
    </w:p>
    <w:p w14:paraId="0C65B878" w14:textId="77777777" w:rsidR="00012B3C" w:rsidRPr="00B86E29" w:rsidRDefault="00012B3C" w:rsidP="00012B3C">
      <w:pPr>
        <w:spacing w:before="240" w:after="240"/>
        <w:jc w:val="both"/>
        <w:rPr>
          <w:rFonts w:ascii="Times New Roman" w:hAnsi="Times New Roman" w:cs="Times New Roman"/>
          <w:lang w:val="es-MX"/>
        </w:rPr>
      </w:pPr>
      <w:r w:rsidRPr="00B86E29">
        <w:rPr>
          <w:rFonts w:ascii="Times New Roman" w:hAnsi="Times New Roman" w:cs="Times New Roman"/>
          <w:lang w:val="es-MX"/>
        </w:rPr>
        <w:t xml:space="preserve">En virtud de lo anterior, en el proceso de extinción de dominio, la Fiscalía puede emplear técnicas de investigación sin necesidad de que intervenga un juez de control de garantías, pues como indicó la Honorable Corte Constitucional en la sentencia C-740 de 2003, la Constitución no lo requiere en atención a que el proceso de extinción de dominio (i) no se basa en el ius puniendi del Estado y (ii) en tanto acción autónoma, puede tener una configuración distinta a la del proceso penal”.  </w:t>
      </w:r>
    </w:p>
    <w:p w14:paraId="35627DB4" w14:textId="6DE3151F" w:rsidR="00012B3C" w:rsidRPr="00B86E29" w:rsidRDefault="00012B3C" w:rsidP="00012B3C">
      <w:pPr>
        <w:spacing w:before="240" w:after="240"/>
        <w:jc w:val="both"/>
        <w:rPr>
          <w:rFonts w:ascii="Times New Roman" w:hAnsi="Times New Roman" w:cs="Times New Roman"/>
          <w:lang w:val="es-MX"/>
        </w:rPr>
      </w:pPr>
      <w:r w:rsidRPr="00B86E29">
        <w:rPr>
          <w:rFonts w:ascii="Times New Roman" w:hAnsi="Times New Roman" w:cs="Times New Roman"/>
          <w:lang w:val="es-MX"/>
        </w:rPr>
        <w:t xml:space="preserve">En consideración con lo anteriormente argumentado, el artículo 29 de la Ley 1708 de 2014, por medio de la cual se expide el Código de Extinción de Dominio, establece que le corresponde a la Fiscalía General de la Nación:  </w:t>
      </w:r>
    </w:p>
    <w:p w14:paraId="1E7D3F61" w14:textId="77777777" w:rsidR="00012B3C" w:rsidRPr="00B86E29" w:rsidRDefault="00012B3C" w:rsidP="00012B3C">
      <w:pPr>
        <w:numPr>
          <w:ilvl w:val="0"/>
          <w:numId w:val="40"/>
        </w:numPr>
        <w:spacing w:before="240" w:after="160" w:line="259" w:lineRule="auto"/>
        <w:jc w:val="both"/>
        <w:rPr>
          <w:rFonts w:ascii="Times New Roman" w:hAnsi="Times New Roman" w:cs="Times New Roman"/>
          <w:lang w:val="es-MX"/>
        </w:rPr>
      </w:pPr>
      <w:r w:rsidRPr="00B86E29">
        <w:rPr>
          <w:rFonts w:ascii="Times New Roman" w:hAnsi="Times New Roman" w:cs="Times New Roman"/>
          <w:lang w:val="es-MX"/>
        </w:rPr>
        <w:t xml:space="preserve">Investigar y determinar si los bienes objeto del trámite se encuentran en alguna de las causales de extinción de dominio. </w:t>
      </w:r>
    </w:p>
    <w:p w14:paraId="45F52FAC" w14:textId="77777777" w:rsidR="00012B3C" w:rsidRPr="00B86E29" w:rsidRDefault="00012B3C" w:rsidP="00012B3C">
      <w:pPr>
        <w:numPr>
          <w:ilvl w:val="0"/>
          <w:numId w:val="40"/>
        </w:numPr>
        <w:spacing w:after="160" w:line="259" w:lineRule="auto"/>
        <w:jc w:val="both"/>
        <w:rPr>
          <w:rFonts w:ascii="Times New Roman" w:hAnsi="Times New Roman" w:cs="Times New Roman"/>
          <w:lang w:val="es-MX"/>
        </w:rPr>
      </w:pPr>
      <w:r w:rsidRPr="00B86E29">
        <w:rPr>
          <w:rFonts w:ascii="Times New Roman" w:hAnsi="Times New Roman" w:cs="Times New Roman"/>
          <w:lang w:val="es-MX"/>
        </w:rPr>
        <w:t xml:space="preserve">Asegurar los bienes objeto del trámite de extinción de dominio, adoptando las medidas cautelares que sean procedentes. </w:t>
      </w:r>
    </w:p>
    <w:p w14:paraId="6A32C59B" w14:textId="77777777" w:rsidR="00012B3C" w:rsidRPr="00B86E29" w:rsidRDefault="00012B3C" w:rsidP="00012B3C">
      <w:pPr>
        <w:numPr>
          <w:ilvl w:val="0"/>
          <w:numId w:val="40"/>
        </w:numPr>
        <w:spacing w:after="160" w:line="259" w:lineRule="auto"/>
        <w:jc w:val="both"/>
        <w:rPr>
          <w:rFonts w:ascii="Times New Roman" w:hAnsi="Times New Roman" w:cs="Times New Roman"/>
          <w:lang w:val="es-MX"/>
        </w:rPr>
      </w:pPr>
      <w:r w:rsidRPr="00B86E29">
        <w:rPr>
          <w:rFonts w:ascii="Times New Roman" w:hAnsi="Times New Roman" w:cs="Times New Roman"/>
          <w:lang w:val="es-MX"/>
        </w:rPr>
        <w:t xml:space="preserve">Corregir de oficio o a solicitud de parte los actos irregulares que se hubieren llevado a cabo en el curso de la fase inicial. </w:t>
      </w:r>
    </w:p>
    <w:p w14:paraId="38D3A945" w14:textId="77777777" w:rsidR="00012B3C" w:rsidRPr="00B86E29" w:rsidRDefault="00012B3C" w:rsidP="00012B3C">
      <w:pPr>
        <w:numPr>
          <w:ilvl w:val="0"/>
          <w:numId w:val="40"/>
        </w:numPr>
        <w:spacing w:after="160" w:line="259" w:lineRule="auto"/>
        <w:jc w:val="both"/>
        <w:rPr>
          <w:rFonts w:ascii="Times New Roman" w:hAnsi="Times New Roman" w:cs="Times New Roman"/>
          <w:lang w:val="es-MX"/>
        </w:rPr>
      </w:pPr>
      <w:r w:rsidRPr="00B86E29">
        <w:rPr>
          <w:rFonts w:ascii="Times New Roman" w:hAnsi="Times New Roman" w:cs="Times New Roman"/>
          <w:b/>
          <w:u w:val="single"/>
          <w:lang w:val="es-MX"/>
        </w:rPr>
        <w:t>Proferir resolución de archivo o presentar la demanda de extinción de dominio.</w:t>
      </w:r>
    </w:p>
    <w:p w14:paraId="2B118D5D" w14:textId="77777777" w:rsidR="00012B3C" w:rsidRPr="00B86E29" w:rsidRDefault="00012B3C" w:rsidP="00012B3C">
      <w:pPr>
        <w:numPr>
          <w:ilvl w:val="0"/>
          <w:numId w:val="40"/>
        </w:numPr>
        <w:spacing w:after="160" w:line="259" w:lineRule="auto"/>
        <w:jc w:val="both"/>
        <w:rPr>
          <w:rFonts w:ascii="Times New Roman" w:hAnsi="Times New Roman" w:cs="Times New Roman"/>
          <w:lang w:val="es-MX"/>
        </w:rPr>
      </w:pPr>
      <w:r w:rsidRPr="00B86E29">
        <w:rPr>
          <w:rFonts w:ascii="Times New Roman" w:hAnsi="Times New Roman" w:cs="Times New Roman"/>
          <w:lang w:val="es-MX"/>
        </w:rPr>
        <w:lastRenderedPageBreak/>
        <w:t xml:space="preserve">Dirigir y coordinar técnica, operativa y jurídicamente las funciones de policía judicial que en forma permanente cumplen el Cuerpo Técnico de Investigaciones de la Fiscalía General de la Nación, la Policía Nacional y los demás organismos que señale la ley. </w:t>
      </w:r>
    </w:p>
    <w:p w14:paraId="44E18076" w14:textId="6FF7D9AE" w:rsidR="008C1C52" w:rsidRPr="00B86E29" w:rsidRDefault="00012B3C" w:rsidP="00012B3C">
      <w:pPr>
        <w:pStyle w:val="Prrafodelista"/>
        <w:numPr>
          <w:ilvl w:val="0"/>
          <w:numId w:val="40"/>
        </w:numPr>
        <w:jc w:val="both"/>
        <w:rPr>
          <w:sz w:val="22"/>
          <w:szCs w:val="22"/>
          <w:lang w:val="es-MX"/>
        </w:rPr>
      </w:pPr>
      <w:r w:rsidRPr="00B86E29">
        <w:rPr>
          <w:sz w:val="22"/>
          <w:szCs w:val="22"/>
          <w:lang w:val="es-MX"/>
        </w:rPr>
        <w:t>Velar por la protección de los testigos e intervinientes en el proceso.</w:t>
      </w:r>
    </w:p>
    <w:p w14:paraId="1266D9E1" w14:textId="77777777" w:rsidR="008C1C52" w:rsidRPr="00B86E29" w:rsidRDefault="008C1C52" w:rsidP="008C1C52">
      <w:pPr>
        <w:pStyle w:val="Prrafodelista"/>
        <w:ind w:left="193"/>
        <w:jc w:val="both"/>
        <w:rPr>
          <w:sz w:val="22"/>
          <w:szCs w:val="22"/>
          <w:lang w:val="es-MX"/>
        </w:rPr>
      </w:pPr>
    </w:p>
    <w:p w14:paraId="60DEB204" w14:textId="70FA1416" w:rsidR="00012B3C" w:rsidRPr="00B86E29" w:rsidRDefault="00012B3C" w:rsidP="00012B3C">
      <w:pPr>
        <w:pStyle w:val="Prrafodelista"/>
        <w:numPr>
          <w:ilvl w:val="0"/>
          <w:numId w:val="40"/>
        </w:numPr>
        <w:jc w:val="both"/>
        <w:rPr>
          <w:sz w:val="22"/>
          <w:szCs w:val="22"/>
          <w:lang w:val="es-MX"/>
        </w:rPr>
      </w:pPr>
      <w:r w:rsidRPr="00B86E29">
        <w:rPr>
          <w:sz w:val="22"/>
          <w:szCs w:val="22"/>
          <w:lang w:val="es-MX"/>
        </w:rPr>
        <w:t xml:space="preserve">Las demás que le atribuye el Estatuto Orgánico de la Fiscalía General de la Nación” </w:t>
      </w:r>
    </w:p>
    <w:p w14:paraId="5E5E0EF7" w14:textId="2F77A05A" w:rsidR="001422C1" w:rsidRPr="00B86E29" w:rsidRDefault="008C1C52" w:rsidP="001422C1">
      <w:pPr>
        <w:jc w:val="both"/>
        <w:rPr>
          <w:rFonts w:ascii="Times New Roman" w:hAnsi="Times New Roman" w:cs="Times New Roman"/>
          <w:b/>
        </w:rPr>
      </w:pPr>
      <w:r w:rsidRPr="00B86E29">
        <w:rPr>
          <w:rFonts w:ascii="Times New Roman" w:eastAsia="Arial" w:hAnsi="Times New Roman" w:cs="Times New Roman"/>
          <w:color w:val="000000"/>
        </w:rPr>
        <w:br/>
      </w:r>
      <w:r w:rsidR="004B7201" w:rsidRPr="00B86E29">
        <w:rPr>
          <w:rFonts w:ascii="Times New Roman" w:hAnsi="Times New Roman" w:cs="Times New Roman"/>
          <w:b/>
        </w:rPr>
        <w:t>6</w:t>
      </w:r>
      <w:r w:rsidR="00761D92" w:rsidRPr="00B86E29">
        <w:rPr>
          <w:rFonts w:ascii="Times New Roman" w:hAnsi="Times New Roman" w:cs="Times New Roman"/>
          <w:b/>
        </w:rPr>
        <w:t xml:space="preserve">.- </w:t>
      </w:r>
      <w:r w:rsidR="001422C1" w:rsidRPr="00B86E29">
        <w:rPr>
          <w:rFonts w:ascii="Times New Roman" w:hAnsi="Times New Roman" w:cs="Times New Roman"/>
          <w:b/>
        </w:rPr>
        <w:t xml:space="preserve">Regulación de la acción de dominio en las legislaciones del continente. </w:t>
      </w:r>
    </w:p>
    <w:p w14:paraId="61EBA3C8" w14:textId="3DD583A3" w:rsidR="001422C1" w:rsidRPr="00B86E29" w:rsidRDefault="001422C1" w:rsidP="001422C1">
      <w:pPr>
        <w:jc w:val="both"/>
        <w:rPr>
          <w:rFonts w:ascii="Times New Roman" w:hAnsi="Times New Roman" w:cs="Times New Roman"/>
        </w:rPr>
      </w:pPr>
      <w:r w:rsidRPr="00B86E29">
        <w:rPr>
          <w:rFonts w:ascii="Times New Roman" w:hAnsi="Times New Roman" w:cs="Times New Roman"/>
        </w:rPr>
        <w:t xml:space="preserve">Un repaso por algunas de las legislaciones latinoamericanas, da cuenta de tratamientos disímiles a la misma cuestión, en los países que han adoptado una legislación para regular este asunto (México, Honduras, El Salvador, Guatemala, Ecuador, Perú, Argentina, Bolivia), como se detalla a continuación: </w:t>
      </w:r>
    </w:p>
    <w:p w14:paraId="4C50B201" w14:textId="2DA06723" w:rsidR="001422C1" w:rsidRPr="00B86E29" w:rsidRDefault="001422C1" w:rsidP="001422C1">
      <w:pPr>
        <w:jc w:val="both"/>
        <w:rPr>
          <w:rFonts w:ascii="Times New Roman" w:hAnsi="Times New Roman" w:cs="Times New Roman"/>
        </w:rPr>
      </w:pPr>
      <w:r w:rsidRPr="00B86E29">
        <w:rPr>
          <w:rFonts w:ascii="Times New Roman" w:hAnsi="Times New Roman" w:cs="Times New Roman"/>
        </w:rPr>
        <w:t xml:space="preserve">La Ley Nacional de Extinción de Dominio de los </w:t>
      </w:r>
      <w:r w:rsidRPr="00B86E29">
        <w:rPr>
          <w:rFonts w:ascii="Times New Roman" w:hAnsi="Times New Roman" w:cs="Times New Roman"/>
          <w:b/>
        </w:rPr>
        <w:t>Estados Unidos Mexicanos</w:t>
      </w:r>
      <w:r w:rsidRPr="00B86E29">
        <w:rPr>
          <w:rFonts w:ascii="Times New Roman" w:hAnsi="Times New Roman" w:cs="Times New Roman"/>
        </w:rPr>
        <w:t xml:space="preserve"> (2019), adoptó un procedimiento oral para el trámite de la acción, lo que lo hace sustancialmente diferente al escritural vigente en Colombia</w:t>
      </w:r>
      <w:r w:rsidRPr="00B86E29">
        <w:rPr>
          <w:rFonts w:ascii="Times New Roman" w:hAnsi="Times New Roman" w:cs="Times New Roman"/>
        </w:rPr>
        <w:footnoteReference w:id="7"/>
      </w:r>
      <w:r w:rsidRPr="00B86E29">
        <w:rPr>
          <w:rFonts w:ascii="Times New Roman" w:hAnsi="Times New Roman" w:cs="Times New Roman"/>
        </w:rPr>
        <w:t>, con el Ministerio Público (El equivalente de la Fiscalía General de la Nación) como su titular, encargada de llevar a cabo la indagación previa que le permita determinar si resulta procedente promoverla ante el juez competente. Aunque no se contempla un término de duración de esta fase o etapa de preparatoria (Art. 172, 190 y siguientes), el artículo 222 alude a la “caducidad” del proceso, que se da por inactividad en cualquier estado del procedimiento por un término mayor de un año.</w:t>
      </w:r>
    </w:p>
    <w:p w14:paraId="2B9BA728" w14:textId="485D23FF" w:rsidR="001422C1" w:rsidRPr="00B86E29" w:rsidRDefault="001422C1" w:rsidP="001422C1">
      <w:pPr>
        <w:ind w:left="708"/>
        <w:jc w:val="both"/>
        <w:rPr>
          <w:rFonts w:ascii="Times New Roman" w:hAnsi="Times New Roman" w:cs="Times New Roman"/>
          <w:i/>
        </w:rPr>
      </w:pPr>
      <w:r w:rsidRPr="00B86E29">
        <w:rPr>
          <w:rFonts w:ascii="Times New Roman" w:hAnsi="Times New Roman" w:cs="Times New Roman"/>
          <w:i/>
        </w:rPr>
        <w:t>“Artículo 222. El proceso caducará cuando cualquiera que sea el estado del procedimiento, no se haya efectuado algún acto procesal ni promoción durante un término mayor de un año, así sea con el solo fin de pedir el dictado de la resolución pendiente. El término debe contarse a partir de la fecha en que se haya realizado el último acto procesal o en que se haya hecho la última promoción que impulse el procedimiento. Con la caducidad de la instancia no se extinguen ni las acciones ni las excepciones de las partes, por lo que podrían iniciar otro juicio. El abandono de la segunda instancia solo da lugar a la pérdida del recurso y a la devolución de los autos, quedando firme la resolución recurrida.”</w:t>
      </w:r>
    </w:p>
    <w:p w14:paraId="7AE6E350" w14:textId="5ADC9918" w:rsidR="001422C1" w:rsidRPr="00B86E29" w:rsidRDefault="001422C1" w:rsidP="001422C1">
      <w:pPr>
        <w:jc w:val="both"/>
        <w:rPr>
          <w:rFonts w:ascii="Times New Roman" w:hAnsi="Times New Roman" w:cs="Times New Roman"/>
        </w:rPr>
      </w:pPr>
      <w:r w:rsidRPr="00B86E29">
        <w:rPr>
          <w:rFonts w:ascii="Times New Roman" w:hAnsi="Times New Roman" w:cs="Times New Roman"/>
        </w:rPr>
        <w:t xml:space="preserve">El Decreto No. 27-2010, del Poder Legislativo de la República de </w:t>
      </w:r>
      <w:r w:rsidRPr="00B86E29">
        <w:rPr>
          <w:rFonts w:ascii="Times New Roman" w:hAnsi="Times New Roman" w:cs="Times New Roman"/>
          <w:b/>
        </w:rPr>
        <w:t>Honduras</w:t>
      </w:r>
      <w:r w:rsidRPr="00B86E29">
        <w:rPr>
          <w:rFonts w:ascii="Times New Roman" w:hAnsi="Times New Roman" w:cs="Times New Roman"/>
        </w:rPr>
        <w:t xml:space="preserve">, conocida como la Ley de Privación Definitiva del Dominio, regula un procedimiento escritural, compuesto por dos fases, una administrativa (Que corresponde a la investigación y está a cargo del Ministerio Público) y otra judicial (Art. 14); esta norma no prevé ningún tipo de plazo de duración o similar que dé certeza sobre el tiempo en que es factible el ejercicio de la acción. </w:t>
      </w:r>
    </w:p>
    <w:p w14:paraId="7AB20535" w14:textId="290BF0BB" w:rsidR="001422C1" w:rsidRPr="00B86E29" w:rsidRDefault="001422C1" w:rsidP="001422C1">
      <w:pPr>
        <w:jc w:val="both"/>
        <w:rPr>
          <w:rFonts w:ascii="Times New Roman" w:hAnsi="Times New Roman" w:cs="Times New Roman"/>
        </w:rPr>
      </w:pPr>
      <w:r w:rsidRPr="00B86E29">
        <w:rPr>
          <w:rFonts w:ascii="Times New Roman" w:hAnsi="Times New Roman" w:cs="Times New Roman"/>
        </w:rPr>
        <w:t xml:space="preserve">El artículo 16 del Decreto 55-2010, del Congreso de la República de </w:t>
      </w:r>
      <w:r w:rsidRPr="00B86E29">
        <w:rPr>
          <w:rFonts w:ascii="Times New Roman" w:hAnsi="Times New Roman" w:cs="Times New Roman"/>
          <w:b/>
        </w:rPr>
        <w:t>Guatemala</w:t>
      </w:r>
      <w:r w:rsidRPr="00B86E29">
        <w:rPr>
          <w:rFonts w:ascii="Times New Roman" w:hAnsi="Times New Roman" w:cs="Times New Roman"/>
        </w:rPr>
        <w:t xml:space="preserve">, prevé que la investigación, a cargo del Fiscal General o del Agente Fiscal designado, durará “el tiempo que sea </w:t>
      </w:r>
      <w:r w:rsidRPr="00B86E29">
        <w:rPr>
          <w:rFonts w:ascii="Times New Roman" w:hAnsi="Times New Roman" w:cs="Times New Roman"/>
        </w:rPr>
        <w:lastRenderedPageBreak/>
        <w:t xml:space="preserve">necesario” para el perfeccionamiento del correspondiente expediente. Se trata de un procedimiento oral, en el que no se establece término de prescripción o caducidad de la acción (Art. 25 y siguientes). </w:t>
      </w:r>
    </w:p>
    <w:p w14:paraId="0C1672E8" w14:textId="62FF6CD4" w:rsidR="001422C1" w:rsidRPr="00B86E29" w:rsidRDefault="001422C1" w:rsidP="001422C1">
      <w:pPr>
        <w:jc w:val="both"/>
        <w:rPr>
          <w:rFonts w:ascii="Times New Roman" w:hAnsi="Times New Roman" w:cs="Times New Roman"/>
        </w:rPr>
      </w:pPr>
      <w:r w:rsidRPr="00B86E29">
        <w:rPr>
          <w:rFonts w:ascii="Times New Roman" w:hAnsi="Times New Roman" w:cs="Times New Roman"/>
        </w:rPr>
        <w:t xml:space="preserve">Otro de los países que han incorporado a su ordenamiento jurídico la figura de la extinción del dominio es </w:t>
      </w:r>
      <w:r w:rsidRPr="00B86E29">
        <w:rPr>
          <w:rFonts w:ascii="Times New Roman" w:hAnsi="Times New Roman" w:cs="Times New Roman"/>
          <w:b/>
        </w:rPr>
        <w:t>El Salvador</w:t>
      </w:r>
      <w:r w:rsidRPr="00B86E29">
        <w:rPr>
          <w:rFonts w:ascii="Times New Roman" w:hAnsi="Times New Roman" w:cs="Times New Roman"/>
        </w:rPr>
        <w:t xml:space="preserve">, mediante el Decreto 534 de la Asamblea Legislativa. El procedimiento vigente, de naturaleza escritural, contempla dos etapas (Art. 26): una inicial o de investigación, a cargo de un fiscal especializado y una etapa procesal, que se agota ante un Tribunal Especializado, sin que se fije un término de duración para la primera (Art. 27); con todo, el artículo 12-A dispone que dicha acción prescribirá en diez años, contados a partir de la adquisición o destinación ilícita de los bienes, y de 30 años, cuando estén asociados al crimen organizado, maras o asociaciones u organizaciones criminales, terrorismo y drogas. </w:t>
      </w:r>
    </w:p>
    <w:p w14:paraId="25D5B5E6" w14:textId="0566AD45" w:rsidR="001422C1" w:rsidRPr="00B86E29" w:rsidRDefault="001422C1" w:rsidP="001422C1">
      <w:pPr>
        <w:jc w:val="both"/>
        <w:rPr>
          <w:rFonts w:ascii="Times New Roman" w:hAnsi="Times New Roman" w:cs="Times New Roman"/>
        </w:rPr>
      </w:pPr>
      <w:r w:rsidRPr="00B86E29">
        <w:rPr>
          <w:rFonts w:ascii="Times New Roman" w:hAnsi="Times New Roman" w:cs="Times New Roman"/>
        </w:rPr>
        <w:t xml:space="preserve">El Decreto Legislativo 1373 sobre Extinción de Dominio, de la República del </w:t>
      </w:r>
      <w:r w:rsidRPr="00B86E29">
        <w:rPr>
          <w:rFonts w:ascii="Times New Roman" w:hAnsi="Times New Roman" w:cs="Times New Roman"/>
          <w:b/>
        </w:rPr>
        <w:t>Perú</w:t>
      </w:r>
      <w:r w:rsidRPr="00B86E29">
        <w:rPr>
          <w:rFonts w:ascii="Times New Roman" w:hAnsi="Times New Roman" w:cs="Times New Roman"/>
        </w:rPr>
        <w:t xml:space="preserve">, prevé una estructura similar al trámite previsto por la normatividad colombiana, con dos etapas: indagación patrimonial y una etapa judicial (Art. 12). En cuanto a la primera, el artículo 14.2 fija un plazo de duración perentorio, similar al que se propone en la presente iniciativa legislativa: </w:t>
      </w:r>
    </w:p>
    <w:p w14:paraId="05B07609" w14:textId="5E9E7364" w:rsidR="001422C1" w:rsidRPr="00B86E29" w:rsidRDefault="001422C1" w:rsidP="001422C1">
      <w:pPr>
        <w:ind w:left="708"/>
        <w:jc w:val="both"/>
        <w:rPr>
          <w:rFonts w:ascii="Times New Roman" w:hAnsi="Times New Roman" w:cs="Times New Roman"/>
          <w:i/>
        </w:rPr>
      </w:pPr>
      <w:r w:rsidRPr="00B86E29">
        <w:rPr>
          <w:rFonts w:ascii="Times New Roman" w:hAnsi="Times New Roman" w:cs="Times New Roman"/>
          <w:i/>
        </w:rPr>
        <w:t xml:space="preserve">“14.2. La indagación patrimonial finaliza cuando se ha cumplido su objeto o en un plazo máximo de doce (12) meses, prorrogable por única vez, mediante decisión motivada por un plazo igual. En los casos que se declaren complejos, conforme a los criterios de complejidad establecidos en el reglamento, el plazo máximo será de treinta y seis (36) meses prorrogables por igual plazo, por única vez mediante decisión motivada.” </w:t>
      </w:r>
    </w:p>
    <w:p w14:paraId="4BAE2A77" w14:textId="3E7026F0" w:rsidR="001422C1" w:rsidRPr="00B86E29" w:rsidRDefault="001422C1" w:rsidP="001422C1">
      <w:pPr>
        <w:jc w:val="both"/>
        <w:rPr>
          <w:rFonts w:ascii="Times New Roman" w:hAnsi="Times New Roman" w:cs="Times New Roman"/>
        </w:rPr>
      </w:pPr>
      <w:r w:rsidRPr="00B86E29">
        <w:rPr>
          <w:rFonts w:ascii="Times New Roman" w:hAnsi="Times New Roman" w:cs="Times New Roman"/>
        </w:rPr>
        <w:t xml:space="preserve">En la República del </w:t>
      </w:r>
      <w:r w:rsidRPr="00B86E29">
        <w:rPr>
          <w:rFonts w:ascii="Times New Roman" w:hAnsi="Times New Roman" w:cs="Times New Roman"/>
          <w:b/>
        </w:rPr>
        <w:t>Ecuador</w:t>
      </w:r>
      <w:r w:rsidRPr="00B86E29">
        <w:rPr>
          <w:rFonts w:ascii="Times New Roman" w:hAnsi="Times New Roman" w:cs="Times New Roman"/>
        </w:rPr>
        <w:t xml:space="preserve">, la figura fue recientemente incorporada al ordenamiento jurídico mediante la Ley Orgánica del 14 de mayo de 2021, que adopta un trámite escritural, muy similar al colombiano, compuesto igualmente por dos fases (Art. 22): fase de investigación patrimonial, a cargo de la Fiscalía General del Estado (Art. 23 y siguientes) y fase judicial o procesal, (Art. 41 y siguientes). El artículo 29 fija como término de duración el plazo de doce (12) meses, prorrogable por parte del juez por un término no superior a 6 meses, cuando los bienes sujetos de la acción se encuentren fuera del país o se dificulte la obtención de la prueba.  </w:t>
      </w:r>
    </w:p>
    <w:p w14:paraId="5C6B54A1" w14:textId="094E5C9F" w:rsidR="001422C1" w:rsidRPr="00B86E29" w:rsidRDefault="001422C1" w:rsidP="001422C1">
      <w:pPr>
        <w:jc w:val="both"/>
        <w:rPr>
          <w:rFonts w:ascii="Times New Roman" w:hAnsi="Times New Roman" w:cs="Times New Roman"/>
        </w:rPr>
      </w:pPr>
      <w:r w:rsidRPr="00B86E29">
        <w:rPr>
          <w:rFonts w:ascii="Times New Roman" w:hAnsi="Times New Roman" w:cs="Times New Roman"/>
        </w:rPr>
        <w:t xml:space="preserve">Mediante el Decreto 062-2019, del Poder Ejecutivo Nacional, se aprobó el Régimen Procesal de la Acción Civil de Extinción de Dominio (Art. 1907 del Código Civil y Comercial de la Nación); se trata de un trámite sumario, oral, que contempla un término de prescripción de la acción de 20 años (Art. 16). </w:t>
      </w:r>
    </w:p>
    <w:p w14:paraId="6F5D1DA2" w14:textId="3D5D8FF4" w:rsidR="001422C1" w:rsidRPr="00B86E29" w:rsidRDefault="001422C1" w:rsidP="001422C1">
      <w:pPr>
        <w:jc w:val="both"/>
        <w:rPr>
          <w:rFonts w:ascii="Times New Roman" w:hAnsi="Times New Roman" w:cs="Times New Roman"/>
        </w:rPr>
      </w:pPr>
      <w:r w:rsidRPr="00B86E29">
        <w:rPr>
          <w:rFonts w:ascii="Times New Roman" w:hAnsi="Times New Roman" w:cs="Times New Roman"/>
        </w:rPr>
        <w:t xml:space="preserve">Finalmente, el Estado Plurinacional de </w:t>
      </w:r>
      <w:r w:rsidRPr="00B86E29">
        <w:rPr>
          <w:rFonts w:ascii="Times New Roman" w:hAnsi="Times New Roman" w:cs="Times New Roman"/>
          <w:b/>
        </w:rPr>
        <w:t>Bolivia</w:t>
      </w:r>
      <w:r w:rsidRPr="00B86E29">
        <w:rPr>
          <w:rFonts w:ascii="Times New Roman" w:hAnsi="Times New Roman" w:cs="Times New Roman"/>
        </w:rPr>
        <w:t xml:space="preserve">, mediante la Ley 913 de 2017, de lucha contra el tráfico ilícito de sustancias controladas, adoptó la figura de la pérdida de dominio de bienes (Título II, artículo 67 y siguientes), bajo un trámite de carácter oral acusatorio, en dos etapas: Pre procesal y procesal (Art. 89), sin que se haya establecido término para la duración de la primera, ni de caducidad o prescripción de la acción. </w:t>
      </w:r>
    </w:p>
    <w:p w14:paraId="4D476D45" w14:textId="14CB0925" w:rsidR="001422C1" w:rsidRPr="00B86E29" w:rsidRDefault="001422C1" w:rsidP="001422C1">
      <w:pPr>
        <w:jc w:val="both"/>
        <w:rPr>
          <w:rFonts w:ascii="Times New Roman" w:hAnsi="Times New Roman" w:cs="Times New Roman"/>
        </w:rPr>
      </w:pPr>
      <w:r w:rsidRPr="00B86E29">
        <w:rPr>
          <w:rFonts w:ascii="Times New Roman" w:hAnsi="Times New Roman" w:cs="Times New Roman"/>
        </w:rPr>
        <w:t xml:space="preserve">La revisión de estas regulaciones, aunado a la estimación del promedio de duración de los procesos de extinción de dominio, permite concluir que un término como el que se propone para el perfeccionamiento de la Fase Inicial resulta razonable, siempre que se prevea o tenga en </w:t>
      </w:r>
      <w:r w:rsidRPr="00B86E29">
        <w:rPr>
          <w:rFonts w:ascii="Times New Roman" w:hAnsi="Times New Roman" w:cs="Times New Roman"/>
        </w:rPr>
        <w:lastRenderedPageBreak/>
        <w:t>consideración que eventualmente cada caso en particular puede presentar vicisitudes que complejizan su trámite, haciendo necesario la ampliación del plazo fijado.</w:t>
      </w:r>
    </w:p>
    <w:p w14:paraId="5B528941" w14:textId="774CCBB6" w:rsidR="00F42C3A" w:rsidRPr="00B86E29" w:rsidRDefault="001422C1" w:rsidP="001422C1">
      <w:pPr>
        <w:jc w:val="both"/>
        <w:rPr>
          <w:rFonts w:ascii="Times New Roman" w:hAnsi="Times New Roman" w:cs="Times New Roman"/>
        </w:rPr>
      </w:pPr>
      <w:r w:rsidRPr="00B86E29">
        <w:rPr>
          <w:rFonts w:ascii="Times New Roman" w:hAnsi="Times New Roman" w:cs="Times New Roman"/>
        </w:rPr>
        <w:t xml:space="preserve">Sobra decir que el mejoramiento continuo de estos procedimientos, contribuye a la lucha contra las economías ilegales, en cumplimiento de compromisos internacionales del Estado colombiano derivados de instrumentos como la Convención de las Naciones Unidas contra la Delincuencia Organizada Transnacional, la Convención de las Naciones Unidas contra la Corrupción y la Convención de Naciones Unidas contra el Tráfico Ilícito de Estupefacientes y Sustancias Sicotrópicas.  </w:t>
      </w:r>
    </w:p>
    <w:p w14:paraId="66DA6FAD" w14:textId="18EDBDD3" w:rsidR="00761D92" w:rsidRPr="00B86E29" w:rsidRDefault="004B7201" w:rsidP="00761D92">
      <w:pPr>
        <w:pStyle w:val="Default"/>
        <w:spacing w:line="276" w:lineRule="auto"/>
        <w:jc w:val="both"/>
        <w:rPr>
          <w:b/>
          <w:sz w:val="22"/>
          <w:szCs w:val="22"/>
        </w:rPr>
      </w:pPr>
      <w:r w:rsidRPr="00B86E29">
        <w:rPr>
          <w:b/>
          <w:sz w:val="22"/>
          <w:szCs w:val="22"/>
        </w:rPr>
        <w:t>7</w:t>
      </w:r>
      <w:r w:rsidR="00761D92" w:rsidRPr="00B86E29">
        <w:rPr>
          <w:b/>
          <w:sz w:val="22"/>
          <w:szCs w:val="22"/>
        </w:rPr>
        <w:t>.- S</w:t>
      </w:r>
      <w:r w:rsidR="0080367C" w:rsidRPr="00B86E29">
        <w:rPr>
          <w:b/>
          <w:sz w:val="22"/>
          <w:szCs w:val="22"/>
        </w:rPr>
        <w:t>ituaciones que pueden llegar a configurar conflicto de interés – Cumplimiento Art. 3 ley 2003 de 2019.</w:t>
      </w:r>
    </w:p>
    <w:p w14:paraId="64FB3329" w14:textId="77777777" w:rsidR="00761D92" w:rsidRPr="00B86E29" w:rsidRDefault="00761D92" w:rsidP="00761D92">
      <w:pPr>
        <w:pStyle w:val="Default"/>
        <w:jc w:val="both"/>
        <w:rPr>
          <w:b/>
          <w:sz w:val="22"/>
          <w:szCs w:val="22"/>
        </w:rPr>
      </w:pPr>
    </w:p>
    <w:p w14:paraId="13E69AA4" w14:textId="77777777" w:rsidR="00761D92" w:rsidRPr="00B86E29" w:rsidRDefault="00761D92" w:rsidP="00761D92">
      <w:pPr>
        <w:pStyle w:val="Sinespaciado"/>
        <w:rPr>
          <w:rFonts w:cs="Times New Roman"/>
          <w:sz w:val="22"/>
          <w:szCs w:val="22"/>
          <w:lang w:eastAsia="es-ES_tradnl"/>
        </w:rPr>
      </w:pPr>
      <w:r w:rsidRPr="00B86E29">
        <w:rPr>
          <w:rFonts w:cs="Times New Roman"/>
          <w:b/>
          <w:bCs/>
          <w:sz w:val="22"/>
          <w:szCs w:val="22"/>
          <w:lang w:eastAsia="es-ES_tradnl"/>
        </w:rPr>
        <w:t>Régimen de conflicto de interés de los congresistas</w:t>
      </w:r>
      <w:r w:rsidRPr="00B86E29">
        <w:rPr>
          <w:rFonts w:cs="Times New Roman"/>
          <w:sz w:val="22"/>
          <w:szCs w:val="22"/>
          <w:lang w:eastAsia="es-ES_tradnl"/>
        </w:rPr>
        <w:t>. Todos los congresistas deberán declarar los conflictos De intereses que pudieran surgir en ejercicio de sus funciones.</w:t>
      </w:r>
    </w:p>
    <w:p w14:paraId="10C74AE4" w14:textId="77777777" w:rsidR="00761D92" w:rsidRPr="00B86E29" w:rsidRDefault="00761D92" w:rsidP="00761D92">
      <w:pPr>
        <w:pStyle w:val="Sinespaciado"/>
        <w:rPr>
          <w:rFonts w:cs="Times New Roman"/>
          <w:sz w:val="22"/>
          <w:szCs w:val="22"/>
          <w:lang w:eastAsia="es-ES_tradnl"/>
        </w:rPr>
      </w:pPr>
      <w:r w:rsidRPr="00B86E29">
        <w:rPr>
          <w:rFonts w:cs="Times New Roman"/>
          <w:sz w:val="22"/>
          <w:szCs w:val="22"/>
          <w:lang w:eastAsia="es-ES_tradnl"/>
        </w:rPr>
        <w:t> </w:t>
      </w:r>
    </w:p>
    <w:p w14:paraId="4890C0FA" w14:textId="77777777" w:rsidR="00761D92" w:rsidRPr="00B86E29" w:rsidRDefault="00761D92" w:rsidP="00761D92">
      <w:pPr>
        <w:pStyle w:val="Sinespaciado"/>
        <w:rPr>
          <w:rFonts w:cs="Times New Roman"/>
          <w:sz w:val="22"/>
          <w:szCs w:val="22"/>
          <w:lang w:eastAsia="es-ES_tradnl"/>
        </w:rPr>
      </w:pPr>
      <w:r w:rsidRPr="00B86E29">
        <w:rPr>
          <w:rFonts w:cs="Times New Roman"/>
          <w:sz w:val="22"/>
          <w:szCs w:val="22"/>
          <w:lang w:eastAsia="es-ES_tradnl"/>
        </w:rPr>
        <w:t>Se entiende como conflicto de interés una situación donde la discusión o votación de un proyecto de ley o acto legislativo o artículo, pueda resultar en un beneficio particular, actual y directo a favor del congresista.</w:t>
      </w:r>
    </w:p>
    <w:p w14:paraId="744820D7" w14:textId="77777777" w:rsidR="00761D92" w:rsidRPr="00B86E29" w:rsidRDefault="00761D92" w:rsidP="00761D92">
      <w:pPr>
        <w:pStyle w:val="Sinespaciado"/>
        <w:rPr>
          <w:rFonts w:cs="Times New Roman"/>
          <w:sz w:val="22"/>
          <w:szCs w:val="22"/>
          <w:lang w:eastAsia="es-ES_tradnl"/>
        </w:rPr>
      </w:pPr>
      <w:r w:rsidRPr="00B86E29">
        <w:rPr>
          <w:rFonts w:cs="Times New Roman"/>
          <w:sz w:val="22"/>
          <w:szCs w:val="22"/>
          <w:lang w:eastAsia="es-ES_tradnl"/>
        </w:rPr>
        <w:t> </w:t>
      </w:r>
    </w:p>
    <w:p w14:paraId="0E20D923" w14:textId="77777777" w:rsidR="00761D92" w:rsidRPr="00B86E29" w:rsidRDefault="00761D92" w:rsidP="00761D92">
      <w:pPr>
        <w:pStyle w:val="Sinespaciado"/>
        <w:rPr>
          <w:rFonts w:cs="Times New Roman"/>
          <w:sz w:val="22"/>
          <w:szCs w:val="22"/>
          <w:lang w:eastAsia="es-ES_tradnl"/>
        </w:rPr>
      </w:pPr>
      <w:r w:rsidRPr="00B86E29">
        <w:rPr>
          <w:rFonts w:cs="Times New Roman"/>
          <w:sz w:val="22"/>
          <w:szCs w:val="22"/>
          <w:lang w:eastAsia="es-ES_tradnl"/>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1D36BF1A" w14:textId="77777777" w:rsidR="00761D92" w:rsidRPr="00B86E29" w:rsidRDefault="00761D92" w:rsidP="00761D92">
      <w:pPr>
        <w:pStyle w:val="Sinespaciado"/>
        <w:rPr>
          <w:rFonts w:cs="Times New Roman"/>
          <w:sz w:val="22"/>
          <w:szCs w:val="22"/>
          <w:lang w:eastAsia="es-ES_tradnl"/>
        </w:rPr>
      </w:pPr>
      <w:r w:rsidRPr="00B86E29">
        <w:rPr>
          <w:rFonts w:cs="Times New Roman"/>
          <w:sz w:val="22"/>
          <w:szCs w:val="22"/>
          <w:lang w:eastAsia="es-ES_tradnl"/>
        </w:rPr>
        <w:t> </w:t>
      </w:r>
    </w:p>
    <w:p w14:paraId="584E0270" w14:textId="77777777" w:rsidR="00761D92" w:rsidRPr="00B86E29" w:rsidRDefault="00761D92" w:rsidP="00761D92">
      <w:pPr>
        <w:pStyle w:val="Sinespaciado"/>
        <w:rPr>
          <w:rFonts w:cs="Times New Roman"/>
          <w:sz w:val="22"/>
          <w:szCs w:val="22"/>
          <w:lang w:eastAsia="es-ES_tradnl"/>
        </w:rPr>
      </w:pPr>
      <w:r w:rsidRPr="00B86E29">
        <w:rPr>
          <w:rFonts w:cs="Times New Roman"/>
          <w:sz w:val="22"/>
          <w:szCs w:val="22"/>
          <w:lang w:eastAsia="es-ES_tradnl"/>
        </w:rPr>
        <w:t>b) Beneficio actual: aquel que efectivamente se configura en las circunstancias presentes y existentes al momento en el que el congresista participa de la decisión </w:t>
      </w:r>
    </w:p>
    <w:p w14:paraId="43C07328" w14:textId="77777777" w:rsidR="00761D92" w:rsidRPr="00B86E29" w:rsidRDefault="00761D92" w:rsidP="00761D92">
      <w:pPr>
        <w:pStyle w:val="Sinespaciado"/>
        <w:rPr>
          <w:rFonts w:cs="Times New Roman"/>
          <w:sz w:val="22"/>
          <w:szCs w:val="22"/>
          <w:lang w:eastAsia="es-ES_tradnl"/>
        </w:rPr>
      </w:pPr>
      <w:r w:rsidRPr="00B86E29">
        <w:rPr>
          <w:rFonts w:cs="Times New Roman"/>
          <w:sz w:val="22"/>
          <w:szCs w:val="22"/>
          <w:lang w:eastAsia="es-ES_tradnl"/>
        </w:rPr>
        <w:t> </w:t>
      </w:r>
    </w:p>
    <w:p w14:paraId="490E91A8" w14:textId="77777777" w:rsidR="00761D92" w:rsidRPr="00B86E29" w:rsidRDefault="00761D92" w:rsidP="00761D92">
      <w:pPr>
        <w:pStyle w:val="Sinespaciado"/>
        <w:rPr>
          <w:rFonts w:cs="Times New Roman"/>
          <w:sz w:val="22"/>
          <w:szCs w:val="22"/>
          <w:lang w:eastAsia="es-ES_tradnl"/>
        </w:rPr>
      </w:pPr>
      <w:r w:rsidRPr="00B86E29">
        <w:rPr>
          <w:rFonts w:cs="Times New Roman"/>
          <w:sz w:val="22"/>
          <w:szCs w:val="22"/>
          <w:lang w:eastAsia="es-ES_tradnl"/>
        </w:rPr>
        <w:t>c) Beneficio directo: aquel que se produzca de forma específica respecto del congresista, de su cónyuge, compañero o compañera permanente, o parientes dentro del segundo grado de consanguinidad, segundo de afinidad o primero civil.</w:t>
      </w:r>
    </w:p>
    <w:p w14:paraId="4EF6C8D9" w14:textId="77777777" w:rsidR="00761D92" w:rsidRPr="00B86E29" w:rsidRDefault="00761D92" w:rsidP="00761D92">
      <w:pPr>
        <w:pStyle w:val="Sinespaciado"/>
        <w:rPr>
          <w:rFonts w:cs="Times New Roman"/>
          <w:sz w:val="22"/>
          <w:szCs w:val="22"/>
          <w:lang w:eastAsia="es-ES_tradnl"/>
        </w:rPr>
      </w:pPr>
      <w:r w:rsidRPr="00B86E29">
        <w:rPr>
          <w:rFonts w:cs="Times New Roman"/>
          <w:sz w:val="22"/>
          <w:szCs w:val="22"/>
          <w:lang w:eastAsia="es-ES_tradnl"/>
        </w:rPr>
        <w:t> </w:t>
      </w:r>
    </w:p>
    <w:p w14:paraId="6C841F78" w14:textId="77777777" w:rsidR="00761D92" w:rsidRPr="00B86E29" w:rsidRDefault="00761D92" w:rsidP="00761D92">
      <w:pPr>
        <w:pStyle w:val="Sinespaciado"/>
        <w:rPr>
          <w:rFonts w:cs="Times New Roman"/>
          <w:sz w:val="22"/>
          <w:szCs w:val="22"/>
          <w:lang w:eastAsia="es-ES_tradnl"/>
        </w:rPr>
      </w:pPr>
      <w:r w:rsidRPr="00B86E29">
        <w:rPr>
          <w:rFonts w:cs="Times New Roman"/>
          <w:sz w:val="22"/>
          <w:szCs w:val="22"/>
          <w:lang w:eastAsia="es-ES_tradnl"/>
        </w:rPr>
        <w:t>Para todos los efectos se entiende que no hay conflicto de interés en las siguientes circunstancias:</w:t>
      </w:r>
    </w:p>
    <w:p w14:paraId="23B83B5A" w14:textId="77777777" w:rsidR="00761D92" w:rsidRPr="00B86E29" w:rsidRDefault="00761D92" w:rsidP="00761D92">
      <w:pPr>
        <w:pStyle w:val="Sinespaciado"/>
        <w:rPr>
          <w:rFonts w:cs="Times New Roman"/>
          <w:sz w:val="22"/>
          <w:szCs w:val="22"/>
          <w:lang w:eastAsia="es-ES_tradnl"/>
        </w:rPr>
      </w:pPr>
      <w:r w:rsidRPr="00B86E29">
        <w:rPr>
          <w:rFonts w:cs="Times New Roman"/>
          <w:sz w:val="22"/>
          <w:szCs w:val="22"/>
          <w:lang w:eastAsia="es-ES_tradnl"/>
        </w:rPr>
        <w:t> </w:t>
      </w:r>
    </w:p>
    <w:p w14:paraId="6DC9AFCD" w14:textId="77777777" w:rsidR="00761D92" w:rsidRPr="00B86E29" w:rsidRDefault="00761D92" w:rsidP="00761D92">
      <w:pPr>
        <w:pStyle w:val="Sinespaciado"/>
        <w:rPr>
          <w:rFonts w:cs="Times New Roman"/>
          <w:b/>
          <w:sz w:val="22"/>
          <w:szCs w:val="22"/>
          <w:lang w:eastAsia="es-ES_tradnl"/>
        </w:rPr>
      </w:pPr>
      <w:r w:rsidRPr="00B86E29">
        <w:rPr>
          <w:rFonts w:cs="Times New Roman"/>
          <w:b/>
          <w:sz w:val="22"/>
          <w:szCs w:val="22"/>
          <w:lang w:eastAsia="es-ES_tradnl"/>
        </w:rPr>
        <w:t>a) Cuando el congresista participe, discuta, vote un proyecto de Ley o de acto legislativo que otorgue beneficios o cargos de carácter general, es decir cuando el interés del congresista coincide o se fusione con los intereses de los electores.</w:t>
      </w:r>
    </w:p>
    <w:p w14:paraId="6D6A4FF2" w14:textId="77777777" w:rsidR="00761D92" w:rsidRPr="00B86E29" w:rsidRDefault="00761D92" w:rsidP="00761D92">
      <w:pPr>
        <w:pStyle w:val="Sinespaciado"/>
        <w:rPr>
          <w:rFonts w:cs="Times New Roman"/>
          <w:sz w:val="22"/>
          <w:szCs w:val="22"/>
          <w:lang w:eastAsia="es-ES_tradnl"/>
        </w:rPr>
      </w:pPr>
      <w:r w:rsidRPr="00B86E29">
        <w:rPr>
          <w:rFonts w:cs="Times New Roman"/>
          <w:sz w:val="22"/>
          <w:szCs w:val="22"/>
          <w:lang w:eastAsia="es-ES_tradnl"/>
        </w:rPr>
        <w:t> </w:t>
      </w:r>
    </w:p>
    <w:p w14:paraId="2289D626" w14:textId="77777777" w:rsidR="00761D92" w:rsidRPr="00B86E29" w:rsidRDefault="00761D92" w:rsidP="00761D92">
      <w:pPr>
        <w:pStyle w:val="Sinespaciado"/>
        <w:rPr>
          <w:rFonts w:cs="Times New Roman"/>
          <w:sz w:val="22"/>
          <w:szCs w:val="22"/>
          <w:lang w:eastAsia="es-ES_tradnl"/>
        </w:rPr>
      </w:pPr>
      <w:r w:rsidRPr="00B86E29">
        <w:rPr>
          <w:rFonts w:cs="Times New Roman"/>
          <w:sz w:val="22"/>
          <w:szCs w:val="22"/>
          <w:lang w:eastAsia="es-ES_tradnl"/>
        </w:rPr>
        <w:t>b) Cuando el beneficio podría o no configurarse para el congresista en el futuro.</w:t>
      </w:r>
    </w:p>
    <w:p w14:paraId="1CE9448D" w14:textId="77777777" w:rsidR="00761D92" w:rsidRPr="00B86E29" w:rsidRDefault="00761D92" w:rsidP="00761D92">
      <w:pPr>
        <w:pStyle w:val="Sinespaciado"/>
        <w:rPr>
          <w:rFonts w:cs="Times New Roman"/>
          <w:sz w:val="22"/>
          <w:szCs w:val="22"/>
          <w:lang w:eastAsia="es-ES_tradnl"/>
        </w:rPr>
      </w:pPr>
      <w:r w:rsidRPr="00B86E29">
        <w:rPr>
          <w:rFonts w:cs="Times New Roman"/>
          <w:sz w:val="22"/>
          <w:szCs w:val="22"/>
          <w:lang w:eastAsia="es-ES_tradnl"/>
        </w:rPr>
        <w:t> </w:t>
      </w:r>
    </w:p>
    <w:p w14:paraId="3BF79968" w14:textId="77777777" w:rsidR="00761D92" w:rsidRPr="00B86E29" w:rsidRDefault="00761D92" w:rsidP="00761D92">
      <w:pPr>
        <w:pStyle w:val="Sinespaciado"/>
        <w:rPr>
          <w:rFonts w:cs="Times New Roman"/>
          <w:sz w:val="22"/>
          <w:szCs w:val="22"/>
          <w:lang w:eastAsia="es-ES_tradnl"/>
        </w:rPr>
      </w:pPr>
      <w:r w:rsidRPr="00B86E29">
        <w:rPr>
          <w:rFonts w:cs="Times New Roman"/>
          <w:sz w:val="22"/>
          <w:szCs w:val="22"/>
          <w:lang w:eastAsia="es-ES_tradnl"/>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24C50FDD" w14:textId="77777777" w:rsidR="00761D92" w:rsidRPr="00B86E29" w:rsidRDefault="00761D92" w:rsidP="00761D92">
      <w:pPr>
        <w:pStyle w:val="Sinespaciado"/>
        <w:rPr>
          <w:rFonts w:cs="Times New Roman"/>
          <w:sz w:val="22"/>
          <w:szCs w:val="22"/>
          <w:lang w:eastAsia="es-ES_tradnl"/>
        </w:rPr>
      </w:pPr>
      <w:r w:rsidRPr="00B86E29">
        <w:rPr>
          <w:rFonts w:cs="Times New Roman"/>
          <w:sz w:val="22"/>
          <w:szCs w:val="22"/>
          <w:lang w:eastAsia="es-ES_tradnl"/>
        </w:rPr>
        <w:t> </w:t>
      </w:r>
    </w:p>
    <w:p w14:paraId="36FE4609" w14:textId="77777777" w:rsidR="00761D92" w:rsidRPr="00B86E29" w:rsidRDefault="00761D92" w:rsidP="00761D92">
      <w:pPr>
        <w:pStyle w:val="Sinespaciado"/>
        <w:rPr>
          <w:rFonts w:cs="Times New Roman"/>
          <w:sz w:val="22"/>
          <w:szCs w:val="22"/>
          <w:lang w:eastAsia="es-ES_tradnl"/>
        </w:rPr>
      </w:pPr>
      <w:r w:rsidRPr="00B86E29">
        <w:rPr>
          <w:rFonts w:cs="Times New Roman"/>
          <w:sz w:val="22"/>
          <w:szCs w:val="22"/>
          <w:lang w:eastAsia="es-ES_tradnl"/>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53D19C50" w14:textId="77777777" w:rsidR="00761D92" w:rsidRPr="00B86E29" w:rsidRDefault="00761D92" w:rsidP="00761D92">
      <w:pPr>
        <w:pStyle w:val="Sinespaciado"/>
        <w:rPr>
          <w:rFonts w:cs="Times New Roman"/>
          <w:sz w:val="22"/>
          <w:szCs w:val="22"/>
          <w:lang w:eastAsia="es-ES_tradnl"/>
        </w:rPr>
      </w:pPr>
      <w:r w:rsidRPr="00B86E29">
        <w:rPr>
          <w:rFonts w:cs="Times New Roman"/>
          <w:sz w:val="22"/>
          <w:szCs w:val="22"/>
          <w:lang w:eastAsia="es-ES_tradnl"/>
        </w:rPr>
        <w:lastRenderedPageBreak/>
        <w:t> </w:t>
      </w:r>
    </w:p>
    <w:p w14:paraId="2B66891F" w14:textId="77777777" w:rsidR="00761D92" w:rsidRPr="00B86E29" w:rsidRDefault="00761D92" w:rsidP="00761D92">
      <w:pPr>
        <w:pStyle w:val="Sinespaciado"/>
        <w:rPr>
          <w:rFonts w:cs="Times New Roman"/>
          <w:sz w:val="22"/>
          <w:szCs w:val="22"/>
          <w:lang w:eastAsia="es-ES_tradnl"/>
        </w:rPr>
      </w:pPr>
      <w:r w:rsidRPr="00B86E29">
        <w:rPr>
          <w:rFonts w:cs="Times New Roman"/>
          <w:sz w:val="22"/>
          <w:szCs w:val="22"/>
          <w:lang w:eastAsia="es-ES_tradnl"/>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17A73EDC" w14:textId="77777777" w:rsidR="00761D92" w:rsidRPr="00B86E29" w:rsidRDefault="00761D92" w:rsidP="00761D92">
      <w:pPr>
        <w:pStyle w:val="Sinespaciado"/>
        <w:rPr>
          <w:rFonts w:cs="Times New Roman"/>
          <w:sz w:val="22"/>
          <w:szCs w:val="22"/>
          <w:lang w:eastAsia="es-ES_tradnl"/>
        </w:rPr>
      </w:pPr>
      <w:r w:rsidRPr="00B86E29">
        <w:rPr>
          <w:rFonts w:cs="Times New Roman"/>
          <w:sz w:val="22"/>
          <w:szCs w:val="22"/>
          <w:lang w:eastAsia="es-ES_tradnl"/>
        </w:rPr>
        <w:t> </w:t>
      </w:r>
    </w:p>
    <w:p w14:paraId="0623342C" w14:textId="77777777" w:rsidR="00761D92" w:rsidRPr="00B86E29" w:rsidRDefault="00761D92" w:rsidP="00761D92">
      <w:pPr>
        <w:pStyle w:val="Sinespaciado"/>
        <w:rPr>
          <w:rFonts w:cs="Times New Roman"/>
          <w:sz w:val="22"/>
          <w:szCs w:val="22"/>
          <w:lang w:eastAsia="es-ES_tradnl"/>
        </w:rPr>
      </w:pPr>
      <w:r w:rsidRPr="00B86E29">
        <w:rPr>
          <w:rFonts w:cs="Times New Roman"/>
          <w:sz w:val="22"/>
          <w:szCs w:val="22"/>
          <w:lang w:eastAsia="es-ES_tradnl"/>
        </w:rPr>
        <w:t>f) Cuando el congresista participa en la elección de otros servidores públicos mediante el voto secreto. Se exceptúan los casos en que se presenten inhabilidades referidas al parentesco con los candidatos.</w:t>
      </w:r>
    </w:p>
    <w:p w14:paraId="0F9542F2" w14:textId="77777777" w:rsidR="00761D92" w:rsidRPr="00B86E29" w:rsidRDefault="00761D92" w:rsidP="00761D92">
      <w:pPr>
        <w:pStyle w:val="Sinespaciado"/>
        <w:rPr>
          <w:rFonts w:cs="Times New Roman"/>
          <w:sz w:val="22"/>
          <w:szCs w:val="22"/>
          <w:lang w:eastAsia="es-ES_tradnl"/>
        </w:rPr>
      </w:pPr>
      <w:r w:rsidRPr="00B86E29">
        <w:rPr>
          <w:rFonts w:cs="Times New Roman"/>
          <w:sz w:val="22"/>
          <w:szCs w:val="22"/>
          <w:lang w:eastAsia="es-ES_tradnl"/>
        </w:rPr>
        <w:t> </w:t>
      </w:r>
    </w:p>
    <w:p w14:paraId="6C35F1E9" w14:textId="66DF5849" w:rsidR="00761D92" w:rsidRPr="00B86E29" w:rsidRDefault="00761D92" w:rsidP="00761D92">
      <w:pPr>
        <w:pStyle w:val="Sinespaciado"/>
        <w:rPr>
          <w:rFonts w:cs="Times New Roman"/>
          <w:sz w:val="22"/>
          <w:szCs w:val="22"/>
          <w:lang w:eastAsia="es-ES_tradnl"/>
        </w:rPr>
      </w:pPr>
      <w:r w:rsidRPr="00B86E29">
        <w:rPr>
          <w:rFonts w:cs="Times New Roman"/>
          <w:b/>
          <w:bCs/>
          <w:sz w:val="22"/>
          <w:szCs w:val="22"/>
          <w:lang w:eastAsia="es-ES_tradnl"/>
        </w:rPr>
        <w:t>P</w:t>
      </w:r>
      <w:r w:rsidR="0080367C" w:rsidRPr="00B86E29">
        <w:rPr>
          <w:rFonts w:cs="Times New Roman"/>
          <w:b/>
          <w:bCs/>
          <w:sz w:val="22"/>
          <w:szCs w:val="22"/>
          <w:lang w:eastAsia="es-ES_tradnl"/>
        </w:rPr>
        <w:t>arágrafo</w:t>
      </w:r>
      <w:r w:rsidRPr="00B86E29">
        <w:rPr>
          <w:rFonts w:cs="Times New Roman"/>
          <w:b/>
          <w:bCs/>
          <w:sz w:val="22"/>
          <w:szCs w:val="22"/>
          <w:lang w:eastAsia="es-ES_tradnl"/>
        </w:rPr>
        <w:t xml:space="preserve"> 1</w:t>
      </w:r>
      <w:r w:rsidRPr="00B86E29">
        <w:rPr>
          <w:rFonts w:cs="Times New Roman"/>
          <w:sz w:val="22"/>
          <w:szCs w:val="22"/>
          <w:lang w:eastAsia="es-ES_tradnl"/>
        </w:rPr>
        <w:t>. Entiéndase por conflicto de interés moral aquel que presentan los congresistas cuando por razones de conciencia se quieran apartar de la discusión y votación del proyecto.</w:t>
      </w:r>
    </w:p>
    <w:p w14:paraId="6C8E7A18" w14:textId="77777777" w:rsidR="00761D92" w:rsidRPr="00B86E29" w:rsidRDefault="00761D92" w:rsidP="00761D92">
      <w:pPr>
        <w:pStyle w:val="Sinespaciado"/>
        <w:rPr>
          <w:rFonts w:cs="Times New Roman"/>
          <w:sz w:val="22"/>
          <w:szCs w:val="22"/>
          <w:lang w:eastAsia="es-ES_tradnl"/>
        </w:rPr>
      </w:pPr>
      <w:r w:rsidRPr="00B86E29">
        <w:rPr>
          <w:rFonts w:cs="Times New Roman"/>
          <w:sz w:val="22"/>
          <w:szCs w:val="22"/>
          <w:lang w:eastAsia="es-ES_tradnl"/>
        </w:rPr>
        <w:t> </w:t>
      </w:r>
    </w:p>
    <w:p w14:paraId="30EECDB3" w14:textId="59F8AA42" w:rsidR="00761D92" w:rsidRPr="00B86E29" w:rsidRDefault="00761D92" w:rsidP="00761D92">
      <w:pPr>
        <w:pStyle w:val="Sinespaciado"/>
        <w:rPr>
          <w:rFonts w:cs="Times New Roman"/>
          <w:sz w:val="22"/>
          <w:szCs w:val="22"/>
          <w:lang w:eastAsia="es-ES_tradnl"/>
        </w:rPr>
      </w:pPr>
      <w:r w:rsidRPr="00B86E29">
        <w:rPr>
          <w:rFonts w:cs="Times New Roman"/>
          <w:b/>
          <w:bCs/>
          <w:sz w:val="22"/>
          <w:szCs w:val="22"/>
          <w:lang w:eastAsia="es-ES_tradnl"/>
        </w:rPr>
        <w:t>P</w:t>
      </w:r>
      <w:r w:rsidR="0080367C" w:rsidRPr="00B86E29">
        <w:rPr>
          <w:rFonts w:cs="Times New Roman"/>
          <w:b/>
          <w:bCs/>
          <w:sz w:val="22"/>
          <w:szCs w:val="22"/>
          <w:lang w:eastAsia="es-ES_tradnl"/>
        </w:rPr>
        <w:t>arágrafo</w:t>
      </w:r>
      <w:r w:rsidRPr="00B86E29">
        <w:rPr>
          <w:rFonts w:cs="Times New Roman"/>
          <w:b/>
          <w:bCs/>
          <w:sz w:val="22"/>
          <w:szCs w:val="22"/>
          <w:lang w:eastAsia="es-ES_tradnl"/>
        </w:rPr>
        <w:t xml:space="preserve"> 2.</w:t>
      </w:r>
      <w:r w:rsidRPr="00B86E29">
        <w:rPr>
          <w:rFonts w:cs="Times New Roman"/>
          <w:sz w:val="22"/>
          <w:szCs w:val="22"/>
          <w:lang w:eastAsia="es-ES_tradnl"/>
        </w:rPr>
        <w:t> Cuando se trate de funciones judiciales, disciplinarias o fiscales de los congresistas, sobre conflicto de interés se aplicará la norma especial que rige ese tipo de investigación.</w:t>
      </w:r>
    </w:p>
    <w:p w14:paraId="545623EB" w14:textId="77777777" w:rsidR="00761D92" w:rsidRPr="00B86E29" w:rsidRDefault="00761D92" w:rsidP="00761D92">
      <w:pPr>
        <w:pStyle w:val="Sinespaciado"/>
        <w:rPr>
          <w:rFonts w:cs="Times New Roman"/>
          <w:sz w:val="22"/>
          <w:szCs w:val="22"/>
          <w:lang w:eastAsia="es-ES_tradnl"/>
        </w:rPr>
      </w:pPr>
      <w:r w:rsidRPr="00B86E29">
        <w:rPr>
          <w:rFonts w:cs="Times New Roman"/>
          <w:sz w:val="22"/>
          <w:szCs w:val="22"/>
          <w:lang w:eastAsia="es-ES_tradnl"/>
        </w:rPr>
        <w:t> </w:t>
      </w:r>
    </w:p>
    <w:p w14:paraId="797A1CD3" w14:textId="51047B95" w:rsidR="008C1C52" w:rsidRPr="00B86E29" w:rsidRDefault="00761D92" w:rsidP="004B7201">
      <w:pPr>
        <w:pStyle w:val="Sinespaciado"/>
        <w:rPr>
          <w:rFonts w:cs="Times New Roman"/>
          <w:sz w:val="22"/>
          <w:szCs w:val="22"/>
          <w:lang w:eastAsia="es-ES_tradnl"/>
        </w:rPr>
      </w:pPr>
      <w:r w:rsidRPr="00B86E29">
        <w:rPr>
          <w:rFonts w:cs="Times New Roman"/>
          <w:b/>
          <w:bCs/>
          <w:sz w:val="22"/>
          <w:szCs w:val="22"/>
          <w:lang w:eastAsia="es-ES_tradnl"/>
        </w:rPr>
        <w:t>P</w:t>
      </w:r>
      <w:r w:rsidR="0080367C" w:rsidRPr="00B86E29">
        <w:rPr>
          <w:rFonts w:cs="Times New Roman"/>
          <w:b/>
          <w:bCs/>
          <w:sz w:val="22"/>
          <w:szCs w:val="22"/>
          <w:lang w:eastAsia="es-ES_tradnl"/>
        </w:rPr>
        <w:t>arágrafo</w:t>
      </w:r>
      <w:r w:rsidRPr="00B86E29">
        <w:rPr>
          <w:rFonts w:cs="Times New Roman"/>
          <w:b/>
          <w:bCs/>
          <w:sz w:val="22"/>
          <w:szCs w:val="22"/>
          <w:lang w:eastAsia="es-ES_tradnl"/>
        </w:rPr>
        <w:t xml:space="preserve"> 3.</w:t>
      </w:r>
      <w:r w:rsidRPr="00B86E29">
        <w:rPr>
          <w:rFonts w:cs="Times New Roman"/>
          <w:sz w:val="22"/>
          <w:szCs w:val="22"/>
          <w:lang w:eastAsia="es-ES_tradnl"/>
        </w:rPr>
        <w:t> Igualmente se aplicará el régimen de conflicto de intereses para todos y cada uno de los actores que presenten, discutan o participen de cualquier iniciativa legislativa, conforme al artículo 140 de la Ley 5 de 1992.</w:t>
      </w:r>
    </w:p>
    <w:p w14:paraId="1D1DFB5A" w14:textId="77777777" w:rsidR="008C1C52" w:rsidRPr="00B86E29" w:rsidRDefault="008C1C52" w:rsidP="003F7560">
      <w:pPr>
        <w:spacing w:after="0"/>
        <w:jc w:val="both"/>
        <w:rPr>
          <w:rFonts w:ascii="Times New Roman" w:hAnsi="Times New Roman" w:cs="Times New Roman"/>
          <w:bCs/>
          <w:lang w:val="es-ES_tradnl"/>
        </w:rPr>
      </w:pPr>
    </w:p>
    <w:p w14:paraId="3CDDA03D" w14:textId="27D4E566" w:rsidR="008008BF" w:rsidRPr="00B86E29" w:rsidRDefault="008008BF" w:rsidP="008008BF">
      <w:pPr>
        <w:spacing w:after="0"/>
        <w:ind w:firstLine="708"/>
        <w:rPr>
          <w:rFonts w:ascii="Times New Roman" w:hAnsi="Times New Roman" w:cs="Times New Roman"/>
          <w:b/>
          <w:lang w:val="es-ES_tradnl"/>
        </w:rPr>
      </w:pPr>
      <w:r w:rsidRPr="00B86E29">
        <w:rPr>
          <w:rFonts w:ascii="Times New Roman" w:hAnsi="Times New Roman" w:cs="Times New Roman"/>
          <w:b/>
          <w:lang w:val="es-ES_tradnl"/>
        </w:rPr>
        <w:t>V. PLIEGO DE MODIFICACIONES</w:t>
      </w:r>
    </w:p>
    <w:p w14:paraId="2DD28C4D" w14:textId="487A4D1D" w:rsidR="008008BF" w:rsidRPr="00B86E29" w:rsidRDefault="008008BF" w:rsidP="008008BF">
      <w:pPr>
        <w:spacing w:after="0"/>
        <w:rPr>
          <w:rFonts w:ascii="Times New Roman" w:hAnsi="Times New Roman" w:cs="Times New Roman"/>
          <w:b/>
          <w:lang w:val="es-ES_tradnl"/>
        </w:rPr>
      </w:pPr>
    </w:p>
    <w:tbl>
      <w:tblPr>
        <w:tblStyle w:val="Tablaconcuadrcula"/>
        <w:tblW w:w="0" w:type="auto"/>
        <w:tblLook w:val="04A0" w:firstRow="1" w:lastRow="0" w:firstColumn="1" w:lastColumn="0" w:noHBand="0" w:noVBand="1"/>
      </w:tblPr>
      <w:tblGrid>
        <w:gridCol w:w="2942"/>
        <w:gridCol w:w="2943"/>
        <w:gridCol w:w="2943"/>
      </w:tblGrid>
      <w:tr w:rsidR="008008BF" w:rsidRPr="00B86E29" w14:paraId="2FC8C60C" w14:textId="77777777" w:rsidTr="008008BF">
        <w:tc>
          <w:tcPr>
            <w:tcW w:w="2942" w:type="dxa"/>
          </w:tcPr>
          <w:p w14:paraId="58C3373A" w14:textId="645EA11D" w:rsidR="008008BF" w:rsidRPr="00B86E29" w:rsidRDefault="008008BF" w:rsidP="008008BF">
            <w:pPr>
              <w:spacing w:after="0"/>
              <w:jc w:val="center"/>
              <w:rPr>
                <w:rFonts w:ascii="Times New Roman" w:hAnsi="Times New Roman" w:cs="Times New Roman"/>
                <w:b/>
                <w:lang w:val="es-ES_tradnl"/>
              </w:rPr>
            </w:pPr>
            <w:r w:rsidRPr="00B86E29">
              <w:rPr>
                <w:rFonts w:ascii="Times New Roman" w:hAnsi="Times New Roman" w:cs="Times New Roman"/>
                <w:b/>
                <w:lang w:val="es-ES_tradnl"/>
              </w:rPr>
              <w:t>Texto presentado en el P.L. 094 de 2021 Cámara</w:t>
            </w:r>
          </w:p>
        </w:tc>
        <w:tc>
          <w:tcPr>
            <w:tcW w:w="2943" w:type="dxa"/>
          </w:tcPr>
          <w:p w14:paraId="542A98F1" w14:textId="5BF80ACA" w:rsidR="008008BF" w:rsidRPr="00B86E29" w:rsidRDefault="008008BF" w:rsidP="008008BF">
            <w:pPr>
              <w:spacing w:after="0"/>
              <w:jc w:val="center"/>
              <w:rPr>
                <w:rFonts w:ascii="Times New Roman" w:hAnsi="Times New Roman" w:cs="Times New Roman"/>
                <w:b/>
                <w:lang w:val="es-ES_tradnl"/>
              </w:rPr>
            </w:pPr>
            <w:r w:rsidRPr="00B86E29">
              <w:rPr>
                <w:rFonts w:ascii="Times New Roman" w:hAnsi="Times New Roman" w:cs="Times New Roman"/>
                <w:b/>
                <w:lang w:val="es-ES_tradnl"/>
              </w:rPr>
              <w:t>Texto presentado en el P.L. 138 de 2021 Cámara</w:t>
            </w:r>
          </w:p>
        </w:tc>
        <w:tc>
          <w:tcPr>
            <w:tcW w:w="2943" w:type="dxa"/>
          </w:tcPr>
          <w:p w14:paraId="013A2C79" w14:textId="2E93C93B" w:rsidR="008008BF" w:rsidRPr="00B86E29" w:rsidRDefault="008008BF" w:rsidP="008008BF">
            <w:pPr>
              <w:spacing w:after="0"/>
              <w:jc w:val="center"/>
              <w:rPr>
                <w:rFonts w:ascii="Times New Roman" w:hAnsi="Times New Roman" w:cs="Times New Roman"/>
                <w:b/>
                <w:lang w:val="es-ES_tradnl"/>
              </w:rPr>
            </w:pPr>
            <w:r w:rsidRPr="00B86E29">
              <w:rPr>
                <w:rFonts w:ascii="Times New Roman" w:hAnsi="Times New Roman" w:cs="Times New Roman"/>
                <w:b/>
                <w:lang w:val="es-ES_tradnl"/>
              </w:rPr>
              <w:t>Texto acogido</w:t>
            </w:r>
          </w:p>
        </w:tc>
      </w:tr>
      <w:tr w:rsidR="008008BF" w:rsidRPr="00B86E29" w14:paraId="6CA50162" w14:textId="77777777" w:rsidTr="008008BF">
        <w:tc>
          <w:tcPr>
            <w:tcW w:w="2942" w:type="dxa"/>
          </w:tcPr>
          <w:p w14:paraId="446274A8" w14:textId="67DB371C" w:rsidR="008008BF" w:rsidRPr="00B86E29" w:rsidRDefault="008008BF" w:rsidP="008008BF">
            <w:pPr>
              <w:spacing w:after="0"/>
              <w:jc w:val="both"/>
              <w:rPr>
                <w:rFonts w:ascii="Times New Roman" w:hAnsi="Times New Roman" w:cs="Times New Roman"/>
                <w:b/>
                <w:lang w:val="es-ES_tradnl"/>
              </w:rPr>
            </w:pPr>
            <w:r w:rsidRPr="00B86E29">
              <w:rPr>
                <w:rFonts w:ascii="Times New Roman" w:hAnsi="Times New Roman" w:cs="Times New Roman"/>
                <w:b/>
                <w:lang w:val="es-ES_tradnl"/>
              </w:rPr>
              <w:t xml:space="preserve">Título: </w:t>
            </w:r>
            <w:r w:rsidRPr="00B86E29">
              <w:rPr>
                <w:rStyle w:val="SinespaciadoCar"/>
                <w:rFonts w:eastAsia="Helvetica" w:cs="Times New Roman"/>
                <w:sz w:val="22"/>
                <w:szCs w:val="22"/>
              </w:rPr>
              <w:t>“</w:t>
            </w:r>
            <w:r w:rsidRPr="00B86E29">
              <w:rPr>
                <w:rFonts w:ascii="Times New Roman" w:eastAsia="Arial" w:hAnsi="Times New Roman" w:cs="Times New Roman"/>
                <w:color w:val="000000"/>
              </w:rPr>
              <w:t>Por medio de la cual se modifica el código de extinción de dominio</w:t>
            </w:r>
            <w:r w:rsidRPr="00B86E29">
              <w:rPr>
                <w:rStyle w:val="SinespaciadoCar"/>
                <w:rFonts w:eastAsia="Helvetica" w:cs="Times New Roman"/>
                <w:sz w:val="22"/>
                <w:szCs w:val="22"/>
              </w:rPr>
              <w:t>”</w:t>
            </w:r>
          </w:p>
        </w:tc>
        <w:tc>
          <w:tcPr>
            <w:tcW w:w="2943" w:type="dxa"/>
          </w:tcPr>
          <w:p w14:paraId="10221C26" w14:textId="63D9FBE5" w:rsidR="008008BF" w:rsidRPr="00B86E29" w:rsidRDefault="008008BF" w:rsidP="008008BF">
            <w:pPr>
              <w:spacing w:after="0"/>
              <w:jc w:val="both"/>
              <w:rPr>
                <w:rFonts w:ascii="Times New Roman" w:hAnsi="Times New Roman" w:cs="Times New Roman"/>
                <w:b/>
                <w:lang w:val="es-ES_tradnl"/>
              </w:rPr>
            </w:pPr>
            <w:r w:rsidRPr="00B86E29">
              <w:rPr>
                <w:rFonts w:ascii="Times New Roman" w:hAnsi="Times New Roman" w:cs="Times New Roman"/>
                <w:b/>
                <w:lang w:val="es-ES_tradnl"/>
              </w:rPr>
              <w:t xml:space="preserve">Título: </w:t>
            </w:r>
            <w:r w:rsidRPr="00B86E29">
              <w:rPr>
                <w:rFonts w:ascii="Times New Roman" w:hAnsi="Times New Roman" w:cs="Times New Roman"/>
              </w:rPr>
              <w:t>“Por medio de la cual se establece un término de duración para la fase inicial del proceso de Extinción de Dominio y se dictan otras disposiciones”</w:t>
            </w:r>
          </w:p>
        </w:tc>
        <w:tc>
          <w:tcPr>
            <w:tcW w:w="2943" w:type="dxa"/>
          </w:tcPr>
          <w:p w14:paraId="079EA823" w14:textId="4EF5E15C" w:rsidR="008008BF" w:rsidRPr="00B86E29" w:rsidRDefault="008008BF" w:rsidP="008008BF">
            <w:pPr>
              <w:spacing w:after="0"/>
              <w:jc w:val="both"/>
              <w:rPr>
                <w:rFonts w:ascii="Times New Roman" w:hAnsi="Times New Roman" w:cs="Times New Roman"/>
                <w:lang w:val="es-ES_tradnl"/>
              </w:rPr>
            </w:pPr>
            <w:r w:rsidRPr="00B86E29">
              <w:rPr>
                <w:rFonts w:ascii="Times New Roman" w:hAnsi="Times New Roman" w:cs="Times New Roman"/>
                <w:b/>
                <w:lang w:val="es-ES_tradnl"/>
              </w:rPr>
              <w:t xml:space="preserve">Título: </w:t>
            </w:r>
            <w:r w:rsidRPr="00B86E29">
              <w:rPr>
                <w:rFonts w:ascii="Times New Roman" w:hAnsi="Times New Roman" w:cs="Times New Roman"/>
                <w:lang w:val="es-ES_tradnl"/>
              </w:rPr>
              <w:t xml:space="preserve">“Por medio de la cual </w:t>
            </w:r>
            <w:r w:rsidRPr="00B86E29">
              <w:rPr>
                <w:rFonts w:ascii="Times New Roman" w:eastAsia="Arial" w:hAnsi="Times New Roman" w:cs="Times New Roman"/>
                <w:color w:val="000000"/>
              </w:rPr>
              <w:t>se modifica el Código de Extinción de Dominio”</w:t>
            </w:r>
          </w:p>
        </w:tc>
      </w:tr>
      <w:tr w:rsidR="008008BF" w:rsidRPr="00B86E29" w14:paraId="032BDEE9" w14:textId="77777777" w:rsidTr="00CB5834">
        <w:tc>
          <w:tcPr>
            <w:tcW w:w="8828" w:type="dxa"/>
            <w:gridSpan w:val="3"/>
          </w:tcPr>
          <w:p w14:paraId="17E339C4" w14:textId="7C2E6C40" w:rsidR="008008BF" w:rsidRPr="00B86E29" w:rsidRDefault="008008BF" w:rsidP="008008BF">
            <w:pPr>
              <w:spacing w:after="0"/>
              <w:jc w:val="both"/>
              <w:rPr>
                <w:rFonts w:ascii="Times New Roman" w:hAnsi="Times New Roman" w:cs="Times New Roman"/>
                <w:lang w:val="es-ES_tradnl"/>
              </w:rPr>
            </w:pPr>
            <w:r w:rsidRPr="00B86E29">
              <w:rPr>
                <w:rFonts w:ascii="Times New Roman" w:hAnsi="Times New Roman" w:cs="Times New Roman"/>
                <w:b/>
                <w:lang w:val="es-ES_tradnl"/>
              </w:rPr>
              <w:t xml:space="preserve">Justificación: </w:t>
            </w:r>
            <w:r w:rsidRPr="00B86E29">
              <w:rPr>
                <w:rFonts w:ascii="Times New Roman" w:hAnsi="Times New Roman" w:cs="Times New Roman"/>
                <w:lang w:val="es-ES_tradnl"/>
              </w:rPr>
              <w:t>Se opta por dejar un título más amplio, teniendo en cuenta que si bien las 2 iniciativas hacen modificaciones al Código de Extinción de Dominio,  las mismas no versan sobre la misma materia.</w:t>
            </w:r>
          </w:p>
        </w:tc>
      </w:tr>
      <w:tr w:rsidR="008008BF" w:rsidRPr="00B86E29" w14:paraId="7B609A6F" w14:textId="77777777" w:rsidTr="008008BF">
        <w:tc>
          <w:tcPr>
            <w:tcW w:w="2942" w:type="dxa"/>
          </w:tcPr>
          <w:p w14:paraId="451347CB" w14:textId="4F86CDB4" w:rsidR="008008BF" w:rsidRPr="00B86E29" w:rsidRDefault="008008BF" w:rsidP="008008BF">
            <w:pPr>
              <w:spacing w:after="0"/>
              <w:rPr>
                <w:rFonts w:ascii="Times New Roman" w:hAnsi="Times New Roman" w:cs="Times New Roman"/>
                <w:b/>
                <w:lang w:val="es-ES_tradnl"/>
              </w:rPr>
            </w:pPr>
            <w:r w:rsidRPr="00B86E29">
              <w:rPr>
                <w:rFonts w:ascii="Times New Roman" w:hAnsi="Times New Roman" w:cs="Times New Roman"/>
                <w:b/>
                <w:lang w:val="es-ES_tradnl"/>
              </w:rPr>
              <w:t>Artículo 1: Objeto. SIN EQUIVALENTE</w:t>
            </w:r>
          </w:p>
        </w:tc>
        <w:tc>
          <w:tcPr>
            <w:tcW w:w="2943" w:type="dxa"/>
          </w:tcPr>
          <w:p w14:paraId="5DD32FDA" w14:textId="77777777" w:rsidR="008008BF" w:rsidRPr="00B86E29" w:rsidRDefault="008008BF" w:rsidP="008008BF">
            <w:pPr>
              <w:spacing w:after="0" w:line="240" w:lineRule="auto"/>
              <w:jc w:val="both"/>
              <w:rPr>
                <w:rFonts w:ascii="Times New Roman" w:hAnsi="Times New Roman" w:cs="Times New Roman"/>
              </w:rPr>
            </w:pPr>
            <w:r w:rsidRPr="00B86E29">
              <w:rPr>
                <w:rFonts w:ascii="Times New Roman" w:hAnsi="Times New Roman" w:cs="Times New Roman"/>
                <w:b/>
                <w:lang w:val="es-ES_tradnl"/>
              </w:rPr>
              <w:t xml:space="preserve">Artículo 1: Objeto. </w:t>
            </w:r>
            <w:r w:rsidRPr="00B86E29">
              <w:rPr>
                <w:rFonts w:ascii="Times New Roman" w:hAnsi="Times New Roman" w:cs="Times New Roman"/>
              </w:rPr>
              <w:t xml:space="preserve">La presente ley tiene como objeto reformar el Código de Extinción de Dominio con el propósito de establecer un término de duración de la fase inicial, las condiciones para su prórroga y el deber de investigar disciplinaria y penalmente por su incumplimiento a los funcionarios competentes, con lo que se contribuya a agilizar </w:t>
            </w:r>
            <w:r w:rsidRPr="00B86E29">
              <w:rPr>
                <w:rFonts w:ascii="Times New Roman" w:hAnsi="Times New Roman" w:cs="Times New Roman"/>
              </w:rPr>
              <w:lastRenderedPageBreak/>
              <w:t xml:space="preserve">el trámite de dicha acción patrimonial. </w:t>
            </w:r>
          </w:p>
          <w:p w14:paraId="0FB6049A" w14:textId="6EFF4ED2" w:rsidR="008008BF" w:rsidRPr="00B86E29" w:rsidRDefault="008008BF" w:rsidP="008008BF">
            <w:pPr>
              <w:spacing w:after="0"/>
              <w:rPr>
                <w:rFonts w:ascii="Times New Roman" w:hAnsi="Times New Roman" w:cs="Times New Roman"/>
                <w:b/>
                <w:lang w:val="es-ES_tradnl"/>
              </w:rPr>
            </w:pPr>
          </w:p>
        </w:tc>
        <w:tc>
          <w:tcPr>
            <w:tcW w:w="2943" w:type="dxa"/>
          </w:tcPr>
          <w:p w14:paraId="289A119A" w14:textId="77777777" w:rsidR="008008BF" w:rsidRPr="00B86E29" w:rsidRDefault="008008BF" w:rsidP="008008BF">
            <w:pPr>
              <w:spacing w:after="0" w:line="240" w:lineRule="auto"/>
              <w:jc w:val="both"/>
              <w:rPr>
                <w:rFonts w:ascii="Times New Roman" w:hAnsi="Times New Roman" w:cs="Times New Roman"/>
              </w:rPr>
            </w:pPr>
            <w:r w:rsidRPr="00B86E29">
              <w:rPr>
                <w:rFonts w:ascii="Times New Roman" w:hAnsi="Times New Roman" w:cs="Times New Roman"/>
                <w:b/>
                <w:lang w:val="es-ES_tradnl"/>
              </w:rPr>
              <w:lastRenderedPageBreak/>
              <w:t xml:space="preserve">Artículo 1: Objeto. </w:t>
            </w:r>
            <w:r w:rsidRPr="00B86E29">
              <w:rPr>
                <w:rFonts w:ascii="Times New Roman" w:hAnsi="Times New Roman" w:cs="Times New Roman"/>
              </w:rPr>
              <w:t xml:space="preserve">La presente ley tiene como objeto reformar el Código de Extinción de Dominio con el propósito de establecer un término de duración de la fase inicial, las condiciones para su prórroga y el deber de investigar disciplinaria y penalmente por su incumplimiento a los funcionarios competentes, con lo que se contribuya a agilizar </w:t>
            </w:r>
            <w:r w:rsidRPr="00B86E29">
              <w:rPr>
                <w:rFonts w:ascii="Times New Roman" w:hAnsi="Times New Roman" w:cs="Times New Roman"/>
              </w:rPr>
              <w:lastRenderedPageBreak/>
              <w:t xml:space="preserve">el trámite de dicha acción patrimonial. </w:t>
            </w:r>
          </w:p>
          <w:p w14:paraId="453A55F3" w14:textId="77777777" w:rsidR="008008BF" w:rsidRPr="00B86E29" w:rsidRDefault="008008BF" w:rsidP="008008BF">
            <w:pPr>
              <w:spacing w:after="0"/>
              <w:rPr>
                <w:rFonts w:ascii="Times New Roman" w:hAnsi="Times New Roman" w:cs="Times New Roman"/>
                <w:b/>
                <w:lang w:val="es-ES_tradnl"/>
              </w:rPr>
            </w:pPr>
          </w:p>
          <w:p w14:paraId="54DB47DC" w14:textId="2D4EE09A" w:rsidR="008008BF" w:rsidRPr="00B86E29" w:rsidRDefault="008008BF" w:rsidP="008008BF">
            <w:pPr>
              <w:spacing w:after="0"/>
              <w:jc w:val="both"/>
              <w:rPr>
                <w:rFonts w:ascii="Times New Roman" w:hAnsi="Times New Roman" w:cs="Times New Roman"/>
                <w:lang w:val="es-ES_tradnl"/>
              </w:rPr>
            </w:pPr>
            <w:r w:rsidRPr="00B86E29">
              <w:rPr>
                <w:rFonts w:ascii="Times New Roman" w:hAnsi="Times New Roman" w:cs="Times New Roman"/>
                <w:lang w:val="es-ES_tradnl"/>
              </w:rPr>
              <w:t>Así mismo, se evita que la figura de la extinción de dominio afecte a terceros que actúan de buena fe, porque desconocían que el bien de su propiedad tuvo o tiene un origen o destinación ilícita.</w:t>
            </w:r>
          </w:p>
        </w:tc>
      </w:tr>
      <w:tr w:rsidR="008008BF" w:rsidRPr="00B86E29" w14:paraId="1BF31480" w14:textId="77777777" w:rsidTr="007835AA">
        <w:tc>
          <w:tcPr>
            <w:tcW w:w="8828" w:type="dxa"/>
            <w:gridSpan w:val="3"/>
          </w:tcPr>
          <w:p w14:paraId="2C06CCFF" w14:textId="05E83B2D" w:rsidR="008008BF" w:rsidRPr="00B86E29" w:rsidRDefault="008008BF" w:rsidP="008008BF">
            <w:pPr>
              <w:spacing w:after="0"/>
              <w:rPr>
                <w:rFonts w:ascii="Times New Roman" w:hAnsi="Times New Roman" w:cs="Times New Roman"/>
                <w:b/>
                <w:lang w:val="es-ES_tradnl"/>
              </w:rPr>
            </w:pPr>
            <w:r w:rsidRPr="00B86E29">
              <w:rPr>
                <w:rFonts w:ascii="Times New Roman" w:hAnsi="Times New Roman" w:cs="Times New Roman"/>
                <w:b/>
                <w:lang w:val="es-ES_tradnl"/>
              </w:rPr>
              <w:lastRenderedPageBreak/>
              <w:t xml:space="preserve">Justificación: </w:t>
            </w:r>
            <w:r w:rsidRPr="00B86E29">
              <w:rPr>
                <w:rFonts w:ascii="Times New Roman" w:hAnsi="Times New Roman" w:cs="Times New Roman"/>
                <w:lang w:val="es-ES_tradnl"/>
              </w:rPr>
              <w:t>Se redacta el presente artículo de forma que en el mismo se exprese el objeto de las 2 iniciativas.</w:t>
            </w:r>
          </w:p>
        </w:tc>
      </w:tr>
      <w:tr w:rsidR="008008BF" w:rsidRPr="00B86E29" w14:paraId="3BF37E39" w14:textId="77777777" w:rsidTr="008008BF">
        <w:tc>
          <w:tcPr>
            <w:tcW w:w="2942" w:type="dxa"/>
          </w:tcPr>
          <w:p w14:paraId="0B189235" w14:textId="77777777" w:rsidR="006E2541" w:rsidRPr="00B86E29" w:rsidRDefault="006E2541" w:rsidP="008008BF">
            <w:pPr>
              <w:spacing w:after="0"/>
              <w:jc w:val="center"/>
              <w:rPr>
                <w:rFonts w:ascii="Times New Roman" w:hAnsi="Times New Roman" w:cs="Times New Roman"/>
                <w:b/>
                <w:lang w:val="es-ES_tradnl"/>
              </w:rPr>
            </w:pPr>
          </w:p>
          <w:p w14:paraId="57663F60" w14:textId="70872162" w:rsidR="008008BF" w:rsidRPr="00B86E29" w:rsidRDefault="008008BF" w:rsidP="008008BF">
            <w:pPr>
              <w:spacing w:after="0"/>
              <w:jc w:val="center"/>
              <w:rPr>
                <w:rFonts w:ascii="Times New Roman" w:hAnsi="Times New Roman" w:cs="Times New Roman"/>
                <w:b/>
                <w:lang w:val="es-ES_tradnl"/>
              </w:rPr>
            </w:pPr>
            <w:r w:rsidRPr="00B86E29">
              <w:rPr>
                <w:rFonts w:ascii="Times New Roman" w:hAnsi="Times New Roman" w:cs="Times New Roman"/>
                <w:b/>
                <w:lang w:val="es-ES_tradnl"/>
              </w:rPr>
              <w:t>SIN EQUIVALENTE</w:t>
            </w:r>
          </w:p>
        </w:tc>
        <w:tc>
          <w:tcPr>
            <w:tcW w:w="2943" w:type="dxa"/>
          </w:tcPr>
          <w:p w14:paraId="070A2E42" w14:textId="77777777" w:rsidR="008008BF" w:rsidRPr="00B86E29" w:rsidRDefault="008008BF" w:rsidP="008008BF">
            <w:pPr>
              <w:spacing w:after="0" w:line="240" w:lineRule="auto"/>
              <w:jc w:val="both"/>
              <w:rPr>
                <w:rFonts w:ascii="Times New Roman" w:hAnsi="Times New Roman" w:cs="Times New Roman"/>
              </w:rPr>
            </w:pPr>
            <w:r w:rsidRPr="00B86E29">
              <w:rPr>
                <w:rFonts w:ascii="Times New Roman" w:hAnsi="Times New Roman" w:cs="Times New Roman"/>
                <w:b/>
              </w:rPr>
              <w:t>Artículo 2º.</w:t>
            </w:r>
            <w:r w:rsidRPr="00B86E29">
              <w:rPr>
                <w:rFonts w:ascii="Times New Roman" w:hAnsi="Times New Roman" w:cs="Times New Roman"/>
              </w:rPr>
              <w:t xml:space="preserve"> Modifíquese el artículo 123 de la Ley 1708 de 2014, a su vez modificado por el artículo 32 de la Ley 1849 de 2017, el cual quedará así: </w:t>
            </w:r>
          </w:p>
          <w:p w14:paraId="2C9D5073" w14:textId="77777777" w:rsidR="008008BF" w:rsidRPr="00B86E29" w:rsidRDefault="008008BF" w:rsidP="008008BF">
            <w:pPr>
              <w:spacing w:after="0" w:line="240" w:lineRule="auto"/>
              <w:jc w:val="both"/>
              <w:rPr>
                <w:rFonts w:ascii="Times New Roman" w:hAnsi="Times New Roman" w:cs="Times New Roman"/>
                <w:i/>
              </w:rPr>
            </w:pPr>
          </w:p>
          <w:p w14:paraId="089A2DA8" w14:textId="29AC03C8" w:rsidR="008008BF" w:rsidRPr="00B86E29" w:rsidRDefault="008008BF" w:rsidP="006E2541">
            <w:pPr>
              <w:spacing w:after="0" w:line="240" w:lineRule="auto"/>
              <w:jc w:val="both"/>
              <w:rPr>
                <w:rFonts w:ascii="Times New Roman" w:hAnsi="Times New Roman" w:cs="Times New Roman"/>
                <w:i/>
              </w:rPr>
            </w:pPr>
            <w:r w:rsidRPr="00B86E29">
              <w:rPr>
                <w:rFonts w:ascii="Times New Roman" w:hAnsi="Times New Roman" w:cs="Times New Roman"/>
                <w:b/>
                <w:bCs/>
                <w:i/>
              </w:rPr>
              <w:t>ARTÍCULO 123. DE LA CONCLUSIÓN DE LA FASE INICIAL.</w:t>
            </w:r>
            <w:r w:rsidRPr="00B86E29">
              <w:rPr>
                <w:rFonts w:ascii="Times New Roman" w:hAnsi="Times New Roman" w:cs="Times New Roman"/>
                <w:i/>
              </w:rPr>
              <w:t xml:space="preserve"> Concluidas las labores de investigación ordenadas durante la fase inicial se proferirá</w:t>
            </w:r>
            <w:r w:rsidRPr="00B86E29">
              <w:rPr>
                <w:rFonts w:ascii="Times New Roman" w:hAnsi="Times New Roman" w:cs="Times New Roman"/>
                <w:i/>
                <w:u w:val="single"/>
              </w:rPr>
              <w:t>, dentro del término previsto en el artículo 123A de la presente Ley,</w:t>
            </w:r>
            <w:r w:rsidRPr="00B86E29">
              <w:rPr>
                <w:rFonts w:ascii="Times New Roman" w:hAnsi="Times New Roman" w:cs="Times New Roman"/>
                <w:i/>
              </w:rPr>
              <w:t xml:space="preserve"> resolución de archivo o demanda de extinción de dominio. En este último evento, en cuaderno aparte el Fiscal también podrá dictar medidas cautelares si no lo ha hecho antes o existen nuevos bienes.</w:t>
            </w:r>
          </w:p>
        </w:tc>
        <w:tc>
          <w:tcPr>
            <w:tcW w:w="2943" w:type="dxa"/>
          </w:tcPr>
          <w:p w14:paraId="2E928A5F" w14:textId="77777777" w:rsidR="008008BF" w:rsidRPr="00B86E29" w:rsidRDefault="008008BF" w:rsidP="008008BF">
            <w:pPr>
              <w:spacing w:after="0" w:line="240" w:lineRule="auto"/>
              <w:jc w:val="both"/>
              <w:rPr>
                <w:rFonts w:ascii="Times New Roman" w:hAnsi="Times New Roman" w:cs="Times New Roman"/>
              </w:rPr>
            </w:pPr>
            <w:r w:rsidRPr="00B86E29">
              <w:rPr>
                <w:rFonts w:ascii="Times New Roman" w:hAnsi="Times New Roman" w:cs="Times New Roman"/>
                <w:b/>
              </w:rPr>
              <w:t>Artículo 2º.</w:t>
            </w:r>
            <w:r w:rsidRPr="00B86E29">
              <w:rPr>
                <w:rFonts w:ascii="Times New Roman" w:hAnsi="Times New Roman" w:cs="Times New Roman"/>
              </w:rPr>
              <w:t xml:space="preserve"> Modifíquese el artículo 123 de la Ley 1708 de 2014, a su vez modificado por el artículo 32 de la Ley 1849 de 2017, el cual quedará así: </w:t>
            </w:r>
          </w:p>
          <w:p w14:paraId="46D32911" w14:textId="77777777" w:rsidR="008008BF" w:rsidRPr="00B86E29" w:rsidRDefault="008008BF" w:rsidP="008008BF">
            <w:pPr>
              <w:spacing w:after="0" w:line="240" w:lineRule="auto"/>
              <w:jc w:val="both"/>
              <w:rPr>
                <w:rFonts w:ascii="Times New Roman" w:hAnsi="Times New Roman" w:cs="Times New Roman"/>
                <w:i/>
              </w:rPr>
            </w:pPr>
          </w:p>
          <w:p w14:paraId="1DD6291A" w14:textId="1E0A3286" w:rsidR="008008BF" w:rsidRPr="00B86E29" w:rsidRDefault="008008BF" w:rsidP="006E2541">
            <w:pPr>
              <w:spacing w:after="0" w:line="240" w:lineRule="auto"/>
              <w:jc w:val="both"/>
              <w:rPr>
                <w:rFonts w:ascii="Times New Roman" w:hAnsi="Times New Roman" w:cs="Times New Roman"/>
                <w:i/>
              </w:rPr>
            </w:pPr>
            <w:r w:rsidRPr="00B86E29">
              <w:rPr>
                <w:rFonts w:ascii="Times New Roman" w:hAnsi="Times New Roman" w:cs="Times New Roman"/>
                <w:b/>
                <w:bCs/>
                <w:i/>
              </w:rPr>
              <w:t>ARTÍCULO 123. DE LA CONCLUSIÓN DE LA FASE INICIAL.</w:t>
            </w:r>
            <w:r w:rsidRPr="00B86E29">
              <w:rPr>
                <w:rFonts w:ascii="Times New Roman" w:hAnsi="Times New Roman" w:cs="Times New Roman"/>
                <w:i/>
              </w:rPr>
              <w:t xml:space="preserve"> Concluidas las labores de investigación ordenadas durante la fase inicial se proferirá</w:t>
            </w:r>
            <w:r w:rsidRPr="00B86E29">
              <w:rPr>
                <w:rFonts w:ascii="Times New Roman" w:hAnsi="Times New Roman" w:cs="Times New Roman"/>
                <w:i/>
                <w:u w:val="single"/>
              </w:rPr>
              <w:t>, dentro del término previsto en el artículo 123A de la presente Ley,</w:t>
            </w:r>
            <w:r w:rsidRPr="00B86E29">
              <w:rPr>
                <w:rFonts w:ascii="Times New Roman" w:hAnsi="Times New Roman" w:cs="Times New Roman"/>
                <w:i/>
              </w:rPr>
              <w:t xml:space="preserve"> resolución de archivo o demanda de extinción de dominio. En este último evento, en cuaderno aparte el Fiscal también podrá dictar medidas cautelares si no lo ha hecho antes o existen nuevos bienes.</w:t>
            </w:r>
          </w:p>
        </w:tc>
      </w:tr>
      <w:tr w:rsidR="006E2541" w:rsidRPr="00B86E29" w14:paraId="40E23C61" w14:textId="77777777" w:rsidTr="008008BF">
        <w:tc>
          <w:tcPr>
            <w:tcW w:w="2942" w:type="dxa"/>
          </w:tcPr>
          <w:p w14:paraId="10D3F19C" w14:textId="77777777" w:rsidR="006E2541" w:rsidRPr="00B86E29" w:rsidRDefault="006E2541" w:rsidP="006E2541">
            <w:pPr>
              <w:spacing w:after="0"/>
              <w:jc w:val="center"/>
              <w:rPr>
                <w:rFonts w:ascii="Times New Roman" w:hAnsi="Times New Roman" w:cs="Times New Roman"/>
                <w:b/>
                <w:lang w:val="es-ES_tradnl"/>
              </w:rPr>
            </w:pPr>
          </w:p>
          <w:p w14:paraId="679011C5" w14:textId="57F29892" w:rsidR="006E2541" w:rsidRPr="00B86E29" w:rsidRDefault="006E2541" w:rsidP="006E2541">
            <w:pPr>
              <w:spacing w:after="0"/>
              <w:jc w:val="center"/>
              <w:rPr>
                <w:rFonts w:ascii="Times New Roman" w:hAnsi="Times New Roman" w:cs="Times New Roman"/>
                <w:b/>
                <w:lang w:val="es-ES_tradnl"/>
              </w:rPr>
            </w:pPr>
            <w:r w:rsidRPr="00B86E29">
              <w:rPr>
                <w:rFonts w:ascii="Times New Roman" w:hAnsi="Times New Roman" w:cs="Times New Roman"/>
                <w:b/>
                <w:lang w:val="es-ES_tradnl"/>
              </w:rPr>
              <w:t>SIN EQUIVALENTE</w:t>
            </w:r>
          </w:p>
        </w:tc>
        <w:tc>
          <w:tcPr>
            <w:tcW w:w="2943" w:type="dxa"/>
          </w:tcPr>
          <w:p w14:paraId="17A37873" w14:textId="77777777" w:rsidR="006E2541" w:rsidRPr="00B86E29" w:rsidRDefault="006E2541" w:rsidP="006E2541">
            <w:pPr>
              <w:spacing w:after="0" w:line="240" w:lineRule="auto"/>
              <w:jc w:val="both"/>
              <w:rPr>
                <w:rFonts w:ascii="Times New Roman" w:hAnsi="Times New Roman" w:cs="Times New Roman"/>
              </w:rPr>
            </w:pPr>
            <w:r w:rsidRPr="00B86E29">
              <w:rPr>
                <w:rFonts w:ascii="Times New Roman" w:hAnsi="Times New Roman" w:cs="Times New Roman"/>
                <w:b/>
              </w:rPr>
              <w:t xml:space="preserve">Artículo 3º. </w:t>
            </w:r>
            <w:r w:rsidRPr="00B86E29">
              <w:rPr>
                <w:rFonts w:ascii="Times New Roman" w:hAnsi="Times New Roman" w:cs="Times New Roman"/>
              </w:rPr>
              <w:t xml:space="preserve">Adiciónese el siguiente artículo a la Ley 1708 de 2014: </w:t>
            </w:r>
          </w:p>
          <w:p w14:paraId="75508FCB" w14:textId="77777777" w:rsidR="006E2541" w:rsidRPr="00B86E29" w:rsidRDefault="006E2541" w:rsidP="006E2541">
            <w:pPr>
              <w:spacing w:before="100" w:beforeAutospacing="1" w:after="100" w:afterAutospacing="1" w:line="270" w:lineRule="atLeast"/>
              <w:jc w:val="both"/>
              <w:rPr>
                <w:rFonts w:ascii="Times New Roman" w:eastAsia="Times New Roman" w:hAnsi="Times New Roman" w:cs="Times New Roman"/>
                <w:i/>
                <w:u w:val="single"/>
                <w:lang w:eastAsia="es-CO"/>
              </w:rPr>
            </w:pPr>
            <w:bookmarkStart w:id="0" w:name="123"/>
            <w:r w:rsidRPr="00B86E29">
              <w:rPr>
                <w:rFonts w:ascii="Times New Roman" w:eastAsia="Times New Roman" w:hAnsi="Times New Roman" w:cs="Times New Roman"/>
                <w:b/>
                <w:bCs/>
                <w:i/>
                <w:u w:val="single"/>
                <w:lang w:eastAsia="es-CO"/>
              </w:rPr>
              <w:t>ARTÍCULO 123A. DURACIÓN DE LA FASE INICIAL.</w:t>
            </w:r>
            <w:bookmarkEnd w:id="0"/>
            <w:r w:rsidRPr="00B86E29">
              <w:rPr>
                <w:rFonts w:ascii="Times New Roman" w:eastAsia="Times New Roman" w:hAnsi="Times New Roman" w:cs="Times New Roman"/>
                <w:i/>
                <w:u w:val="single"/>
                <w:lang w:eastAsia="es-CO"/>
              </w:rPr>
              <w:t xml:space="preserve"> Sin perjuicio de lo previsto en el artículo 89 de la presente Ley, la fase inicial tendrá una duración máxima de doce (12) meses, prorrogables por una sola vez hasta por la mitad de este término, mediante Resolución </w:t>
            </w:r>
            <w:r w:rsidRPr="00B86E29">
              <w:rPr>
                <w:rFonts w:ascii="Times New Roman" w:eastAsia="Times New Roman" w:hAnsi="Times New Roman" w:cs="Times New Roman"/>
                <w:i/>
                <w:u w:val="single"/>
                <w:lang w:eastAsia="es-CO"/>
              </w:rPr>
              <w:lastRenderedPageBreak/>
              <w:t xml:space="preserve">motivada que deberá ser revisada por el superior jerárquico. </w:t>
            </w:r>
          </w:p>
          <w:p w14:paraId="7ED5FA43" w14:textId="77777777" w:rsidR="00420227" w:rsidRDefault="006E2541" w:rsidP="006E2541">
            <w:pPr>
              <w:spacing w:before="100" w:beforeAutospacing="1" w:after="100" w:afterAutospacing="1" w:line="270" w:lineRule="atLeast"/>
              <w:jc w:val="both"/>
              <w:rPr>
                <w:rFonts w:ascii="Times New Roman" w:eastAsia="Times New Roman" w:hAnsi="Times New Roman" w:cs="Times New Roman"/>
                <w:i/>
                <w:u w:val="single"/>
                <w:lang w:eastAsia="es-CO"/>
              </w:rPr>
            </w:pPr>
            <w:r w:rsidRPr="00B86E29">
              <w:rPr>
                <w:rFonts w:ascii="Times New Roman" w:eastAsia="Times New Roman" w:hAnsi="Times New Roman" w:cs="Times New Roman"/>
                <w:i/>
                <w:u w:val="single"/>
                <w:lang w:eastAsia="es-CO"/>
              </w:rPr>
              <w:t xml:space="preserve">El superior jerárquico, al revisar la Resolución de prórroga, podrá confirmarla o revocarla cuando determine que el expediente cuenta con la información suficiente para presentar la demanda, en cuyo caso devolverá el expediente a la Fiscalía de origen para que proceda con la interposición inmediata de la misma.  El superior jerárquico dispondrá del término de tres (3) días contados a partir del momento en que reciba el expediente para tomar dicha decisión, contra la cual no procede recurso alguno.     </w:t>
            </w:r>
          </w:p>
          <w:p w14:paraId="2EA94B8B" w14:textId="30DD57F8" w:rsidR="006E2541" w:rsidRPr="00B86E29" w:rsidRDefault="00420227" w:rsidP="006E2541">
            <w:pPr>
              <w:spacing w:before="100" w:beforeAutospacing="1" w:after="100" w:afterAutospacing="1" w:line="270" w:lineRule="atLeast"/>
              <w:jc w:val="both"/>
              <w:rPr>
                <w:rFonts w:ascii="Times New Roman" w:eastAsia="Times New Roman" w:hAnsi="Times New Roman" w:cs="Times New Roman"/>
                <w:i/>
                <w:u w:val="single"/>
                <w:lang w:eastAsia="es-CO"/>
              </w:rPr>
            </w:pPr>
            <w:r>
              <w:rPr>
                <w:rFonts w:ascii="Times New Roman" w:eastAsia="Times New Roman" w:hAnsi="Times New Roman" w:cs="Times New Roman"/>
                <w:i/>
                <w:u w:val="single"/>
                <w:lang w:eastAsia="es-CO"/>
              </w:rPr>
              <w:br/>
            </w:r>
            <w:r w:rsidR="006E2541" w:rsidRPr="00B86E29">
              <w:rPr>
                <w:rFonts w:ascii="Times New Roman" w:eastAsia="Times New Roman" w:hAnsi="Times New Roman" w:cs="Times New Roman"/>
                <w:i/>
                <w:u w:val="single"/>
                <w:lang w:eastAsia="es-CO"/>
              </w:rPr>
              <w:t xml:space="preserve">  </w:t>
            </w:r>
          </w:p>
          <w:p w14:paraId="2FC3E372" w14:textId="77777777" w:rsidR="006E2541" w:rsidRPr="00B86E29" w:rsidRDefault="006E2541" w:rsidP="006E2541">
            <w:pPr>
              <w:spacing w:before="100" w:beforeAutospacing="1" w:after="100" w:afterAutospacing="1" w:line="270" w:lineRule="atLeast"/>
              <w:jc w:val="both"/>
              <w:rPr>
                <w:rFonts w:ascii="Times New Roman" w:eastAsia="Times New Roman" w:hAnsi="Times New Roman" w:cs="Times New Roman"/>
                <w:i/>
                <w:lang w:eastAsia="es-CO"/>
              </w:rPr>
            </w:pPr>
            <w:r w:rsidRPr="00B86E29">
              <w:rPr>
                <w:rFonts w:ascii="Times New Roman" w:eastAsia="Times New Roman" w:hAnsi="Times New Roman" w:cs="Times New Roman"/>
                <w:i/>
                <w:u w:val="single"/>
                <w:lang w:eastAsia="es-CO"/>
              </w:rPr>
              <w:t>En los casos en los que concurra cualquiera de las siguientes circunstancias, la duración de dicha fase podrá ser de hasta veinticuatro (24) meses, sin posibilidad de prórroga</w:t>
            </w:r>
            <w:r w:rsidRPr="00B86E29">
              <w:rPr>
                <w:rFonts w:ascii="Times New Roman" w:eastAsia="Times New Roman" w:hAnsi="Times New Roman" w:cs="Times New Roman"/>
                <w:i/>
                <w:lang w:eastAsia="es-CO"/>
              </w:rPr>
              <w:t>:</w:t>
            </w:r>
          </w:p>
          <w:p w14:paraId="08F95EFD" w14:textId="44A14B9D" w:rsidR="006E2541" w:rsidRPr="00B86E29" w:rsidRDefault="006E2541" w:rsidP="006E2541">
            <w:pPr>
              <w:pStyle w:val="Prrafodelista"/>
              <w:numPr>
                <w:ilvl w:val="0"/>
                <w:numId w:val="46"/>
              </w:numPr>
              <w:spacing w:before="100" w:beforeAutospacing="1" w:after="100" w:afterAutospacing="1" w:line="270" w:lineRule="atLeast"/>
              <w:ind w:left="360"/>
              <w:jc w:val="both"/>
              <w:rPr>
                <w:i/>
                <w:sz w:val="22"/>
                <w:szCs w:val="22"/>
                <w:u w:val="single"/>
                <w:lang w:eastAsia="es-CO"/>
              </w:rPr>
            </w:pPr>
            <w:r w:rsidRPr="00B86E29">
              <w:rPr>
                <w:i/>
                <w:sz w:val="22"/>
                <w:szCs w:val="22"/>
                <w:u w:val="single"/>
                <w:lang w:eastAsia="es-CO"/>
              </w:rPr>
              <w:t>Cuando la acción patrimonial recaiga sobre bienes que se encuentren ubicados en el extranjero.</w:t>
            </w:r>
            <w:r w:rsidR="00420227">
              <w:rPr>
                <w:i/>
                <w:sz w:val="22"/>
                <w:szCs w:val="22"/>
                <w:u w:val="single"/>
                <w:lang w:eastAsia="es-CO"/>
              </w:rPr>
              <w:br/>
            </w:r>
            <w:r w:rsidRPr="00B86E29">
              <w:rPr>
                <w:i/>
                <w:sz w:val="22"/>
                <w:szCs w:val="22"/>
                <w:u w:val="single"/>
                <w:lang w:eastAsia="es-CO"/>
              </w:rPr>
              <w:t xml:space="preserve"> </w:t>
            </w:r>
          </w:p>
          <w:p w14:paraId="61BDC9D4" w14:textId="118310F6" w:rsidR="006E2541" w:rsidRPr="00B86E29" w:rsidRDefault="006E2541" w:rsidP="006E2541">
            <w:pPr>
              <w:pStyle w:val="Prrafodelista"/>
              <w:numPr>
                <w:ilvl w:val="0"/>
                <w:numId w:val="46"/>
              </w:numPr>
              <w:spacing w:before="100" w:beforeAutospacing="1" w:after="100" w:afterAutospacing="1" w:line="270" w:lineRule="atLeast"/>
              <w:ind w:left="360"/>
              <w:jc w:val="both"/>
              <w:rPr>
                <w:i/>
                <w:sz w:val="22"/>
                <w:szCs w:val="22"/>
                <w:u w:val="single"/>
                <w:lang w:eastAsia="es-CO"/>
              </w:rPr>
            </w:pPr>
            <w:r w:rsidRPr="00B86E29">
              <w:rPr>
                <w:i/>
                <w:sz w:val="22"/>
                <w:szCs w:val="22"/>
                <w:u w:val="single"/>
                <w:lang w:eastAsia="es-CO"/>
              </w:rPr>
              <w:t>Cuando la acción patrimonial recaiga sobre un número de bienes superior a diez (10).</w:t>
            </w:r>
            <w:r w:rsidR="00420227">
              <w:rPr>
                <w:i/>
                <w:sz w:val="22"/>
                <w:szCs w:val="22"/>
                <w:u w:val="single"/>
                <w:lang w:eastAsia="es-CO"/>
              </w:rPr>
              <w:br/>
            </w:r>
          </w:p>
          <w:p w14:paraId="48F4B384" w14:textId="6E79F33E" w:rsidR="006E2541" w:rsidRPr="00B86E29" w:rsidRDefault="006E2541" w:rsidP="006E2541">
            <w:pPr>
              <w:pStyle w:val="Prrafodelista"/>
              <w:numPr>
                <w:ilvl w:val="0"/>
                <w:numId w:val="46"/>
              </w:numPr>
              <w:spacing w:before="100" w:beforeAutospacing="1" w:after="100" w:afterAutospacing="1" w:line="270" w:lineRule="atLeast"/>
              <w:ind w:left="360"/>
              <w:jc w:val="both"/>
              <w:rPr>
                <w:i/>
                <w:sz w:val="22"/>
                <w:szCs w:val="22"/>
                <w:u w:val="single"/>
                <w:lang w:eastAsia="es-CO"/>
              </w:rPr>
            </w:pPr>
            <w:r w:rsidRPr="00B86E29">
              <w:rPr>
                <w:i/>
                <w:sz w:val="22"/>
                <w:szCs w:val="22"/>
                <w:u w:val="single"/>
                <w:lang w:eastAsia="es-CO"/>
              </w:rPr>
              <w:t xml:space="preserve">Cuando la acción patrimonial recaiga sobre </w:t>
            </w:r>
            <w:r w:rsidRPr="00B86E29">
              <w:rPr>
                <w:i/>
                <w:sz w:val="22"/>
                <w:szCs w:val="22"/>
                <w:u w:val="single"/>
                <w:lang w:eastAsia="es-CO"/>
              </w:rPr>
              <w:lastRenderedPageBreak/>
              <w:t>bienes vinculados a grupos armados organizados o grupos de delincuencia organizada</w:t>
            </w:r>
            <w:r w:rsidR="00420227">
              <w:rPr>
                <w:i/>
                <w:sz w:val="22"/>
                <w:szCs w:val="22"/>
                <w:u w:val="single"/>
                <w:lang w:eastAsia="es-CO"/>
              </w:rPr>
              <w:t>.</w:t>
            </w:r>
            <w:r w:rsidR="00420227">
              <w:rPr>
                <w:i/>
                <w:sz w:val="22"/>
                <w:szCs w:val="22"/>
                <w:u w:val="single"/>
                <w:lang w:eastAsia="es-CO"/>
              </w:rPr>
              <w:br/>
            </w:r>
          </w:p>
          <w:p w14:paraId="0E1D6BB3" w14:textId="175EE2FE" w:rsidR="00420227" w:rsidRPr="00420227" w:rsidRDefault="006E2541" w:rsidP="00420227">
            <w:pPr>
              <w:pStyle w:val="Prrafodelista"/>
              <w:numPr>
                <w:ilvl w:val="0"/>
                <w:numId w:val="46"/>
              </w:numPr>
              <w:spacing w:before="100" w:beforeAutospacing="1" w:after="100" w:afterAutospacing="1" w:line="270" w:lineRule="atLeast"/>
              <w:ind w:left="360"/>
              <w:jc w:val="both"/>
              <w:rPr>
                <w:i/>
                <w:sz w:val="22"/>
                <w:szCs w:val="22"/>
                <w:u w:val="single"/>
                <w:lang w:eastAsia="es-CO"/>
              </w:rPr>
            </w:pPr>
            <w:r w:rsidRPr="00B86E29">
              <w:rPr>
                <w:i/>
                <w:sz w:val="22"/>
                <w:szCs w:val="22"/>
                <w:u w:val="single"/>
                <w:lang w:eastAsia="es-CO"/>
              </w:rPr>
              <w:t>Cuando el número de afectados sea igual o superior a cinco (5).</w:t>
            </w:r>
          </w:p>
          <w:p w14:paraId="7D805DDD" w14:textId="77777777" w:rsidR="00420227" w:rsidRDefault="00420227" w:rsidP="006E2541">
            <w:pPr>
              <w:pStyle w:val="Prrafodelista"/>
              <w:spacing w:before="100" w:beforeAutospacing="1" w:after="100" w:afterAutospacing="1" w:line="270" w:lineRule="atLeast"/>
              <w:ind w:left="0"/>
              <w:jc w:val="both"/>
              <w:rPr>
                <w:b/>
                <w:i/>
                <w:sz w:val="22"/>
                <w:szCs w:val="22"/>
                <w:u w:val="single"/>
                <w:lang w:eastAsia="es-CO"/>
              </w:rPr>
            </w:pPr>
          </w:p>
          <w:p w14:paraId="1D0698D9" w14:textId="7068BF50" w:rsidR="006E2541" w:rsidRPr="00B86E29" w:rsidRDefault="006E2541" w:rsidP="006E2541">
            <w:pPr>
              <w:pStyle w:val="Prrafodelista"/>
              <w:spacing w:before="100" w:beforeAutospacing="1" w:after="100" w:afterAutospacing="1" w:line="270" w:lineRule="atLeast"/>
              <w:ind w:left="0"/>
              <w:jc w:val="both"/>
              <w:rPr>
                <w:i/>
                <w:sz w:val="22"/>
                <w:szCs w:val="22"/>
                <w:u w:val="single"/>
                <w:lang w:eastAsia="es-CO"/>
              </w:rPr>
            </w:pPr>
            <w:r w:rsidRPr="00B86E29">
              <w:rPr>
                <w:b/>
                <w:i/>
                <w:sz w:val="22"/>
                <w:szCs w:val="22"/>
                <w:u w:val="single"/>
                <w:lang w:eastAsia="es-CO"/>
              </w:rPr>
              <w:t xml:space="preserve">PARÁGRAFO. </w:t>
            </w:r>
            <w:r w:rsidRPr="00B86E29">
              <w:rPr>
                <w:i/>
                <w:sz w:val="22"/>
                <w:szCs w:val="22"/>
                <w:u w:val="single"/>
                <w:lang w:eastAsia="es-CO"/>
              </w:rPr>
              <w:t xml:space="preserve">Cumplido el término de que trata el presente artículo sin que se haya dictado el archivo o presentado la demanda de extinción de dominio, el expediente se reasignará a otro Fiscal, para que dentro del mes siguiente adopte la decisión que corresponda. El superior jerárquico ordenará la apertura de la correspondiente investigación disciplinaria o compulsará copias a las autoridades disciplinarias y penales para que den inicio a las investigaciones en contra del Fiscal relevado.  </w:t>
            </w:r>
            <w:r w:rsidRPr="00B86E29">
              <w:rPr>
                <w:i/>
                <w:sz w:val="22"/>
                <w:szCs w:val="22"/>
                <w:lang w:eastAsia="es-CO"/>
              </w:rPr>
              <w:t xml:space="preserve"> </w:t>
            </w:r>
            <w:r w:rsidRPr="00B86E29">
              <w:rPr>
                <w:i/>
                <w:sz w:val="22"/>
                <w:szCs w:val="22"/>
                <w:u w:val="single"/>
                <w:lang w:eastAsia="es-CO"/>
              </w:rPr>
              <w:t xml:space="preserve">  </w:t>
            </w:r>
          </w:p>
        </w:tc>
        <w:tc>
          <w:tcPr>
            <w:tcW w:w="2943" w:type="dxa"/>
          </w:tcPr>
          <w:p w14:paraId="785EFADB" w14:textId="77777777" w:rsidR="006E2541" w:rsidRPr="00B86E29" w:rsidRDefault="006E2541" w:rsidP="006E2541">
            <w:pPr>
              <w:spacing w:after="0" w:line="240" w:lineRule="auto"/>
              <w:jc w:val="both"/>
              <w:rPr>
                <w:rFonts w:ascii="Times New Roman" w:hAnsi="Times New Roman" w:cs="Times New Roman"/>
              </w:rPr>
            </w:pPr>
            <w:r w:rsidRPr="00B86E29">
              <w:rPr>
                <w:rFonts w:ascii="Times New Roman" w:hAnsi="Times New Roman" w:cs="Times New Roman"/>
                <w:b/>
              </w:rPr>
              <w:lastRenderedPageBreak/>
              <w:t xml:space="preserve">Artículo 3º. </w:t>
            </w:r>
            <w:r w:rsidRPr="00B86E29">
              <w:rPr>
                <w:rFonts w:ascii="Times New Roman" w:hAnsi="Times New Roman" w:cs="Times New Roman"/>
              </w:rPr>
              <w:t xml:space="preserve">Adiciónese el siguiente artículo a la Ley 1708 de 2014: </w:t>
            </w:r>
          </w:p>
          <w:p w14:paraId="6ECA8B42" w14:textId="77777777" w:rsidR="006E2541" w:rsidRPr="00B86E29" w:rsidRDefault="006E2541" w:rsidP="006E2541">
            <w:pPr>
              <w:spacing w:before="100" w:beforeAutospacing="1" w:after="100" w:afterAutospacing="1" w:line="270" w:lineRule="atLeast"/>
              <w:jc w:val="both"/>
              <w:rPr>
                <w:rFonts w:ascii="Times New Roman" w:eastAsia="Times New Roman" w:hAnsi="Times New Roman" w:cs="Times New Roman"/>
                <w:i/>
                <w:u w:val="single"/>
                <w:lang w:eastAsia="es-CO"/>
              </w:rPr>
            </w:pPr>
            <w:r w:rsidRPr="00B86E29">
              <w:rPr>
                <w:rFonts w:ascii="Times New Roman" w:eastAsia="Times New Roman" w:hAnsi="Times New Roman" w:cs="Times New Roman"/>
                <w:b/>
                <w:bCs/>
                <w:i/>
                <w:u w:val="single"/>
                <w:lang w:eastAsia="es-CO"/>
              </w:rPr>
              <w:t>ARTÍCULO 123A. DURACIÓN DE LA FASE INICIAL.</w:t>
            </w:r>
            <w:r w:rsidRPr="00B86E29">
              <w:rPr>
                <w:rFonts w:ascii="Times New Roman" w:eastAsia="Times New Roman" w:hAnsi="Times New Roman" w:cs="Times New Roman"/>
                <w:i/>
                <w:u w:val="single"/>
                <w:lang w:eastAsia="es-CO"/>
              </w:rPr>
              <w:t xml:space="preserve"> Sin perjuicio de lo previsto en el artículo 89 de la presente Ley, la fase inicial tendrá una duración máxima de doce (12) meses, prorrogables por una sola vez hasta por la mitad de este término, mediante Resolución </w:t>
            </w:r>
            <w:r w:rsidRPr="00B86E29">
              <w:rPr>
                <w:rFonts w:ascii="Times New Roman" w:eastAsia="Times New Roman" w:hAnsi="Times New Roman" w:cs="Times New Roman"/>
                <w:i/>
                <w:u w:val="single"/>
                <w:lang w:eastAsia="es-CO"/>
              </w:rPr>
              <w:lastRenderedPageBreak/>
              <w:t xml:space="preserve">motivada que deberá ser revisada por el superior jerárquico. </w:t>
            </w:r>
          </w:p>
          <w:p w14:paraId="6B4D4BCD" w14:textId="4AA98B54" w:rsidR="006E2541" w:rsidRPr="00B86E29" w:rsidRDefault="006E2541" w:rsidP="006E2541">
            <w:pPr>
              <w:spacing w:before="100" w:beforeAutospacing="1" w:after="100" w:afterAutospacing="1" w:line="270" w:lineRule="atLeast"/>
              <w:jc w:val="both"/>
              <w:rPr>
                <w:rFonts w:ascii="Times New Roman" w:eastAsia="Times New Roman" w:hAnsi="Times New Roman" w:cs="Times New Roman"/>
                <w:i/>
                <w:u w:val="single"/>
                <w:lang w:eastAsia="es-CO"/>
              </w:rPr>
            </w:pPr>
            <w:r w:rsidRPr="00B86E29">
              <w:rPr>
                <w:rFonts w:ascii="Times New Roman" w:eastAsia="Times New Roman" w:hAnsi="Times New Roman" w:cs="Times New Roman"/>
                <w:i/>
                <w:u w:val="single"/>
                <w:lang w:eastAsia="es-CO"/>
              </w:rPr>
              <w:t>El superior jerárquico</w:t>
            </w:r>
            <w:r w:rsidRPr="002A5207">
              <w:rPr>
                <w:rFonts w:ascii="Times New Roman" w:eastAsia="Times New Roman" w:hAnsi="Times New Roman" w:cs="Times New Roman"/>
                <w:i/>
                <w:strike/>
                <w:u w:val="single"/>
                <w:lang w:eastAsia="es-CO"/>
              </w:rPr>
              <w:t>,</w:t>
            </w:r>
            <w:r w:rsidRPr="00B86E29">
              <w:rPr>
                <w:rFonts w:ascii="Times New Roman" w:eastAsia="Times New Roman" w:hAnsi="Times New Roman" w:cs="Times New Roman"/>
                <w:i/>
                <w:u w:val="single"/>
                <w:lang w:eastAsia="es-CO"/>
              </w:rPr>
              <w:t xml:space="preserve"> </w:t>
            </w:r>
            <w:r w:rsidRPr="002A5207">
              <w:rPr>
                <w:rFonts w:ascii="Times New Roman" w:eastAsia="Times New Roman" w:hAnsi="Times New Roman" w:cs="Times New Roman"/>
                <w:i/>
                <w:strike/>
                <w:u w:val="single"/>
                <w:lang w:eastAsia="es-CO"/>
              </w:rPr>
              <w:t>al revisar la Resolución de prórroga, podrá confirmarla o revocarla</w:t>
            </w:r>
            <w:r w:rsidRPr="00B86E29">
              <w:rPr>
                <w:rFonts w:ascii="Times New Roman" w:eastAsia="Times New Roman" w:hAnsi="Times New Roman" w:cs="Times New Roman"/>
                <w:i/>
                <w:u w:val="single"/>
                <w:lang w:eastAsia="es-CO"/>
              </w:rPr>
              <w:t xml:space="preserve"> </w:t>
            </w:r>
            <w:r w:rsidR="002A5207" w:rsidRPr="00420227">
              <w:rPr>
                <w:rFonts w:ascii="Times New Roman" w:eastAsia="Times New Roman" w:hAnsi="Times New Roman" w:cs="Times New Roman"/>
                <w:b/>
                <w:i/>
                <w:u w:val="single"/>
                <w:lang w:eastAsia="es-CO"/>
              </w:rPr>
              <w:t>la revocará</w:t>
            </w:r>
            <w:r w:rsidR="002A5207" w:rsidRPr="00420227">
              <w:rPr>
                <w:rFonts w:ascii="Times New Roman" w:eastAsia="Times New Roman" w:hAnsi="Times New Roman" w:cs="Times New Roman"/>
                <w:i/>
                <w:u w:val="single"/>
                <w:lang w:eastAsia="es-CO"/>
              </w:rPr>
              <w:t xml:space="preserve"> </w:t>
            </w:r>
            <w:r w:rsidRPr="00B86E29">
              <w:rPr>
                <w:rFonts w:ascii="Times New Roman" w:eastAsia="Times New Roman" w:hAnsi="Times New Roman" w:cs="Times New Roman"/>
                <w:i/>
                <w:u w:val="single"/>
                <w:lang w:eastAsia="es-CO"/>
              </w:rPr>
              <w:t xml:space="preserve">cuando determine que el expediente cuenta con la información suficiente para presentar la demanda, en cuyo caso devolverá el expediente a la Fiscalía de origen para que proceda con la interposición inmediata de la misma. </w:t>
            </w:r>
            <w:r w:rsidR="002A5207" w:rsidRPr="00420227">
              <w:rPr>
                <w:rFonts w:ascii="Times New Roman" w:eastAsia="Times New Roman" w:hAnsi="Times New Roman" w:cs="Times New Roman"/>
                <w:b/>
                <w:i/>
                <w:u w:val="single"/>
                <w:lang w:eastAsia="es-CO"/>
              </w:rPr>
              <w:t>En caso contrario la confirmará.</w:t>
            </w:r>
            <w:r w:rsidRPr="00420227">
              <w:rPr>
                <w:rFonts w:ascii="Times New Roman" w:eastAsia="Times New Roman" w:hAnsi="Times New Roman" w:cs="Times New Roman"/>
                <w:i/>
                <w:u w:val="single"/>
                <w:lang w:eastAsia="es-CO"/>
              </w:rPr>
              <w:t xml:space="preserve"> </w:t>
            </w:r>
            <w:r w:rsidRPr="00B86E29">
              <w:rPr>
                <w:rFonts w:ascii="Times New Roman" w:eastAsia="Times New Roman" w:hAnsi="Times New Roman" w:cs="Times New Roman"/>
                <w:i/>
                <w:u w:val="single"/>
                <w:lang w:eastAsia="es-CO"/>
              </w:rPr>
              <w:t xml:space="preserve">El superior jerárquico dispondrá del término de tres (3) días contados a partir del momento en que reciba el expediente para tomar </w:t>
            </w:r>
            <w:r w:rsidRPr="002A5207">
              <w:rPr>
                <w:rFonts w:ascii="Times New Roman" w:eastAsia="Times New Roman" w:hAnsi="Times New Roman" w:cs="Times New Roman"/>
                <w:i/>
                <w:strike/>
                <w:u w:val="single"/>
                <w:lang w:eastAsia="es-CO"/>
              </w:rPr>
              <w:t>dicha</w:t>
            </w:r>
            <w:r w:rsidRPr="00B86E29">
              <w:rPr>
                <w:rFonts w:ascii="Times New Roman" w:eastAsia="Times New Roman" w:hAnsi="Times New Roman" w:cs="Times New Roman"/>
                <w:i/>
                <w:u w:val="single"/>
                <w:lang w:eastAsia="es-CO"/>
              </w:rPr>
              <w:t xml:space="preserve"> </w:t>
            </w:r>
            <w:r w:rsidR="002A5207" w:rsidRPr="00420227">
              <w:rPr>
                <w:rFonts w:ascii="Times New Roman" w:eastAsia="Times New Roman" w:hAnsi="Times New Roman" w:cs="Times New Roman"/>
                <w:b/>
                <w:i/>
                <w:u w:val="single"/>
                <w:lang w:eastAsia="es-CO"/>
              </w:rPr>
              <w:t>la</w:t>
            </w:r>
            <w:r w:rsidR="002A5207">
              <w:rPr>
                <w:rFonts w:ascii="Times New Roman" w:eastAsia="Times New Roman" w:hAnsi="Times New Roman" w:cs="Times New Roman"/>
                <w:i/>
                <w:color w:val="FF0000"/>
                <w:u w:val="single"/>
                <w:lang w:eastAsia="es-CO"/>
              </w:rPr>
              <w:t xml:space="preserve"> </w:t>
            </w:r>
            <w:r w:rsidRPr="00B86E29">
              <w:rPr>
                <w:rFonts w:ascii="Times New Roman" w:eastAsia="Times New Roman" w:hAnsi="Times New Roman" w:cs="Times New Roman"/>
                <w:i/>
                <w:u w:val="single"/>
                <w:lang w:eastAsia="es-CO"/>
              </w:rPr>
              <w:t>decisión</w:t>
            </w:r>
            <w:r w:rsidR="002A5207">
              <w:rPr>
                <w:rFonts w:ascii="Times New Roman" w:eastAsia="Times New Roman" w:hAnsi="Times New Roman" w:cs="Times New Roman"/>
                <w:i/>
                <w:u w:val="single"/>
                <w:lang w:eastAsia="es-CO"/>
              </w:rPr>
              <w:t xml:space="preserve"> </w:t>
            </w:r>
            <w:r w:rsidR="002A5207" w:rsidRPr="00420227">
              <w:rPr>
                <w:rFonts w:ascii="Times New Roman" w:eastAsia="Times New Roman" w:hAnsi="Times New Roman" w:cs="Times New Roman"/>
                <w:b/>
                <w:i/>
                <w:u w:val="single"/>
                <w:lang w:eastAsia="es-CO"/>
              </w:rPr>
              <w:t>que corresponda</w:t>
            </w:r>
            <w:r w:rsidRPr="00B86E29">
              <w:rPr>
                <w:rFonts w:ascii="Times New Roman" w:eastAsia="Times New Roman" w:hAnsi="Times New Roman" w:cs="Times New Roman"/>
                <w:i/>
                <w:u w:val="single"/>
                <w:lang w:eastAsia="es-CO"/>
              </w:rPr>
              <w:t xml:space="preserve">, contra la cual no procede recurso alguno.       </w:t>
            </w:r>
          </w:p>
          <w:p w14:paraId="0F61D5D0" w14:textId="77777777" w:rsidR="006E2541" w:rsidRPr="00B86E29" w:rsidRDefault="006E2541" w:rsidP="006E2541">
            <w:pPr>
              <w:spacing w:before="100" w:beforeAutospacing="1" w:after="100" w:afterAutospacing="1" w:line="270" w:lineRule="atLeast"/>
              <w:jc w:val="both"/>
              <w:rPr>
                <w:rFonts w:ascii="Times New Roman" w:eastAsia="Times New Roman" w:hAnsi="Times New Roman" w:cs="Times New Roman"/>
                <w:i/>
                <w:lang w:eastAsia="es-CO"/>
              </w:rPr>
            </w:pPr>
            <w:r w:rsidRPr="00B86E29">
              <w:rPr>
                <w:rFonts w:ascii="Times New Roman" w:eastAsia="Times New Roman" w:hAnsi="Times New Roman" w:cs="Times New Roman"/>
                <w:i/>
                <w:u w:val="single"/>
                <w:lang w:eastAsia="es-CO"/>
              </w:rPr>
              <w:t>En los casos en los que concurra cualquiera de las siguientes circunstancias, la duración de dicha fase podrá ser de hasta veinticuatro (24) meses, sin posibilidad de prórroga</w:t>
            </w:r>
            <w:r w:rsidRPr="00B86E29">
              <w:rPr>
                <w:rFonts w:ascii="Times New Roman" w:eastAsia="Times New Roman" w:hAnsi="Times New Roman" w:cs="Times New Roman"/>
                <w:i/>
                <w:lang w:eastAsia="es-CO"/>
              </w:rPr>
              <w:t>:</w:t>
            </w:r>
          </w:p>
          <w:p w14:paraId="3754340D" w14:textId="5D64BE54" w:rsidR="006E2541" w:rsidRPr="00420227" w:rsidRDefault="00420227" w:rsidP="00420227">
            <w:pPr>
              <w:spacing w:before="100" w:beforeAutospacing="1" w:after="100" w:afterAutospacing="1" w:line="270" w:lineRule="atLeast"/>
              <w:jc w:val="both"/>
              <w:rPr>
                <w:rFonts w:ascii="Times New Roman" w:hAnsi="Times New Roman" w:cs="Times New Roman"/>
                <w:i/>
                <w:u w:val="single"/>
                <w:lang w:eastAsia="es-CO"/>
              </w:rPr>
            </w:pPr>
            <w:r w:rsidRPr="00420227">
              <w:rPr>
                <w:rFonts w:ascii="Times New Roman" w:hAnsi="Times New Roman" w:cs="Times New Roman"/>
                <w:i/>
                <w:u w:val="single"/>
                <w:lang w:eastAsia="es-CO"/>
              </w:rPr>
              <w:t xml:space="preserve">1. </w:t>
            </w:r>
            <w:r w:rsidR="006E2541" w:rsidRPr="00420227">
              <w:rPr>
                <w:rFonts w:ascii="Times New Roman" w:hAnsi="Times New Roman" w:cs="Times New Roman"/>
                <w:i/>
                <w:u w:val="single"/>
                <w:lang w:eastAsia="es-CO"/>
              </w:rPr>
              <w:t xml:space="preserve">Cuando la acción patrimonial recaiga sobre bienes que se encuentren ubicados en el extranjero. </w:t>
            </w:r>
          </w:p>
          <w:p w14:paraId="345DA5FF" w14:textId="06879F36" w:rsidR="006E2541" w:rsidRPr="00420227" w:rsidRDefault="00420227" w:rsidP="00420227">
            <w:pPr>
              <w:spacing w:before="100" w:beforeAutospacing="1" w:after="100" w:afterAutospacing="1" w:line="270" w:lineRule="atLeast"/>
              <w:jc w:val="both"/>
              <w:rPr>
                <w:rFonts w:ascii="Times New Roman" w:hAnsi="Times New Roman" w:cs="Times New Roman"/>
                <w:i/>
                <w:u w:val="single"/>
                <w:lang w:eastAsia="es-CO"/>
              </w:rPr>
            </w:pPr>
            <w:r w:rsidRPr="00420227">
              <w:rPr>
                <w:rFonts w:ascii="Times New Roman" w:hAnsi="Times New Roman" w:cs="Times New Roman"/>
                <w:i/>
                <w:u w:val="single"/>
                <w:lang w:eastAsia="es-CO"/>
              </w:rPr>
              <w:t xml:space="preserve">2. </w:t>
            </w:r>
            <w:r w:rsidR="006E2541" w:rsidRPr="00420227">
              <w:rPr>
                <w:rFonts w:ascii="Times New Roman" w:hAnsi="Times New Roman" w:cs="Times New Roman"/>
                <w:i/>
                <w:u w:val="single"/>
                <w:lang w:eastAsia="es-CO"/>
              </w:rPr>
              <w:t>Cuando la acción patrimonial recaiga sobre un número de bienes superior a diez (10).</w:t>
            </w:r>
          </w:p>
          <w:p w14:paraId="3A9FAC3E" w14:textId="77777777" w:rsidR="00420227" w:rsidRDefault="00420227" w:rsidP="00420227">
            <w:pPr>
              <w:spacing w:before="100" w:beforeAutospacing="1" w:after="100" w:afterAutospacing="1" w:line="270" w:lineRule="atLeast"/>
              <w:jc w:val="both"/>
              <w:rPr>
                <w:rFonts w:ascii="Times New Roman" w:hAnsi="Times New Roman" w:cs="Times New Roman"/>
                <w:i/>
                <w:u w:val="single"/>
                <w:lang w:eastAsia="es-CO"/>
              </w:rPr>
            </w:pPr>
            <w:r w:rsidRPr="00420227">
              <w:rPr>
                <w:rFonts w:ascii="Times New Roman" w:hAnsi="Times New Roman" w:cs="Times New Roman"/>
                <w:i/>
                <w:u w:val="single"/>
                <w:lang w:eastAsia="es-CO"/>
              </w:rPr>
              <w:t xml:space="preserve">3. </w:t>
            </w:r>
            <w:r w:rsidR="006E2541" w:rsidRPr="00420227">
              <w:rPr>
                <w:rFonts w:ascii="Times New Roman" w:hAnsi="Times New Roman" w:cs="Times New Roman"/>
                <w:i/>
                <w:u w:val="single"/>
                <w:lang w:eastAsia="es-CO"/>
              </w:rPr>
              <w:t xml:space="preserve">Cuando la acción patrimonial recaiga sobre </w:t>
            </w:r>
            <w:r w:rsidR="006E2541" w:rsidRPr="00420227">
              <w:rPr>
                <w:rFonts w:ascii="Times New Roman" w:hAnsi="Times New Roman" w:cs="Times New Roman"/>
                <w:i/>
                <w:u w:val="single"/>
                <w:lang w:eastAsia="es-CO"/>
              </w:rPr>
              <w:lastRenderedPageBreak/>
              <w:t>bienes vinculados a grupos armados organizados o grupos de delincuencia organizada.</w:t>
            </w:r>
          </w:p>
          <w:p w14:paraId="039A01D4" w14:textId="6B757111" w:rsidR="006E2541" w:rsidRPr="00420227" w:rsidRDefault="00420227" w:rsidP="00420227">
            <w:pPr>
              <w:spacing w:before="100" w:beforeAutospacing="1" w:after="100" w:afterAutospacing="1" w:line="270" w:lineRule="atLeast"/>
              <w:jc w:val="both"/>
              <w:rPr>
                <w:rFonts w:ascii="Times New Roman" w:hAnsi="Times New Roman" w:cs="Times New Roman"/>
                <w:i/>
                <w:u w:val="single"/>
                <w:lang w:eastAsia="es-CO"/>
              </w:rPr>
            </w:pPr>
            <w:r>
              <w:rPr>
                <w:rFonts w:ascii="Times New Roman" w:hAnsi="Times New Roman" w:cs="Times New Roman"/>
                <w:i/>
                <w:u w:val="single"/>
                <w:lang w:eastAsia="es-CO"/>
              </w:rPr>
              <w:br/>
            </w:r>
            <w:r w:rsidRPr="00420227">
              <w:rPr>
                <w:rFonts w:ascii="Times New Roman" w:hAnsi="Times New Roman" w:cs="Times New Roman"/>
                <w:i/>
                <w:u w:val="single"/>
                <w:lang w:eastAsia="es-CO"/>
              </w:rPr>
              <w:t xml:space="preserve">4. </w:t>
            </w:r>
            <w:r w:rsidR="006E2541" w:rsidRPr="00420227">
              <w:rPr>
                <w:rFonts w:ascii="Times New Roman" w:hAnsi="Times New Roman" w:cs="Times New Roman"/>
                <w:i/>
                <w:u w:val="single"/>
                <w:lang w:eastAsia="es-CO"/>
              </w:rPr>
              <w:t>Cuando el número de afectados sea igual o superior a cinco (5).</w:t>
            </w:r>
          </w:p>
          <w:p w14:paraId="21226DFD" w14:textId="1DBFDA6B" w:rsidR="006E2541" w:rsidRPr="00B86E29" w:rsidRDefault="006E2541" w:rsidP="006E2541">
            <w:pPr>
              <w:pStyle w:val="Prrafodelista"/>
              <w:spacing w:before="100" w:beforeAutospacing="1" w:after="100" w:afterAutospacing="1" w:line="270" w:lineRule="atLeast"/>
              <w:ind w:left="0"/>
              <w:jc w:val="both"/>
              <w:rPr>
                <w:i/>
                <w:sz w:val="22"/>
                <w:szCs w:val="22"/>
                <w:u w:val="single"/>
                <w:lang w:eastAsia="es-CO"/>
              </w:rPr>
            </w:pPr>
            <w:r w:rsidRPr="00B86E29">
              <w:rPr>
                <w:b/>
                <w:i/>
                <w:sz w:val="22"/>
                <w:szCs w:val="22"/>
                <w:u w:val="single"/>
                <w:lang w:eastAsia="es-CO"/>
              </w:rPr>
              <w:t xml:space="preserve">PARÁGRAFO. </w:t>
            </w:r>
            <w:r w:rsidRPr="00B86E29">
              <w:rPr>
                <w:i/>
                <w:sz w:val="22"/>
                <w:szCs w:val="22"/>
                <w:u w:val="single"/>
                <w:lang w:eastAsia="es-CO"/>
              </w:rPr>
              <w:t xml:space="preserve">Cumplido el término de que trata el presente artículo sin que se haya dictado el archivo o presentado la demanda de extinción de dominio, el expediente se reasignará a otro Fiscal, para que dentro del mes siguiente adopte la decisión que corresponda. El superior jerárquico ordenará la apertura de la correspondiente investigación disciplinaria o compulsará copias a las autoridades disciplinarias y penales para que den inicio a las investigaciones en contra del Fiscal relevado.  </w:t>
            </w:r>
            <w:r w:rsidRPr="00B86E29">
              <w:rPr>
                <w:i/>
                <w:sz w:val="22"/>
                <w:szCs w:val="22"/>
                <w:lang w:eastAsia="es-CO"/>
              </w:rPr>
              <w:t xml:space="preserve"> </w:t>
            </w:r>
            <w:r w:rsidRPr="00B86E29">
              <w:rPr>
                <w:i/>
                <w:sz w:val="22"/>
                <w:szCs w:val="22"/>
                <w:u w:val="single"/>
                <w:lang w:eastAsia="es-CO"/>
              </w:rPr>
              <w:t xml:space="preserve">  </w:t>
            </w:r>
          </w:p>
        </w:tc>
      </w:tr>
      <w:tr w:rsidR="006E2541" w:rsidRPr="00B86E29" w14:paraId="2882E892" w14:textId="77777777" w:rsidTr="008008BF">
        <w:tc>
          <w:tcPr>
            <w:tcW w:w="2942" w:type="dxa"/>
          </w:tcPr>
          <w:p w14:paraId="115CD1D9" w14:textId="77777777" w:rsidR="006E2541" w:rsidRPr="00B86E29" w:rsidRDefault="006E2541" w:rsidP="006E2541">
            <w:pPr>
              <w:spacing w:after="0"/>
              <w:jc w:val="center"/>
              <w:rPr>
                <w:rFonts w:ascii="Times New Roman" w:hAnsi="Times New Roman" w:cs="Times New Roman"/>
                <w:b/>
                <w:lang w:val="es-ES_tradnl"/>
              </w:rPr>
            </w:pPr>
          </w:p>
          <w:p w14:paraId="6E2F5F52" w14:textId="206CAED7" w:rsidR="006E2541" w:rsidRPr="00B86E29" w:rsidRDefault="006E2541" w:rsidP="006E2541">
            <w:pPr>
              <w:spacing w:after="0"/>
              <w:jc w:val="center"/>
              <w:rPr>
                <w:rFonts w:ascii="Times New Roman" w:hAnsi="Times New Roman" w:cs="Times New Roman"/>
                <w:b/>
                <w:lang w:val="es-ES_tradnl"/>
              </w:rPr>
            </w:pPr>
            <w:r w:rsidRPr="00B86E29">
              <w:rPr>
                <w:rFonts w:ascii="Times New Roman" w:hAnsi="Times New Roman" w:cs="Times New Roman"/>
                <w:b/>
                <w:lang w:val="es-ES_tradnl"/>
              </w:rPr>
              <w:t>SIN EQUIVALENTE</w:t>
            </w:r>
          </w:p>
        </w:tc>
        <w:tc>
          <w:tcPr>
            <w:tcW w:w="2943" w:type="dxa"/>
          </w:tcPr>
          <w:p w14:paraId="6C94E036" w14:textId="77777777" w:rsidR="006E2541" w:rsidRPr="00B86E29" w:rsidRDefault="006E2541" w:rsidP="006E2541">
            <w:pPr>
              <w:spacing w:after="0" w:line="240" w:lineRule="auto"/>
              <w:jc w:val="both"/>
              <w:rPr>
                <w:rFonts w:ascii="Times New Roman" w:hAnsi="Times New Roman" w:cs="Times New Roman"/>
              </w:rPr>
            </w:pPr>
            <w:r w:rsidRPr="00B86E29">
              <w:rPr>
                <w:rFonts w:ascii="Times New Roman" w:hAnsi="Times New Roman" w:cs="Times New Roman"/>
                <w:b/>
              </w:rPr>
              <w:t>Artículo 4º</w:t>
            </w:r>
            <w:r w:rsidRPr="00B86E29">
              <w:rPr>
                <w:rFonts w:ascii="Times New Roman" w:hAnsi="Times New Roman" w:cs="Times New Roman"/>
              </w:rPr>
              <w:t xml:space="preserve">. Adiciónese un parágrafo al artículo 125 de la Ley 1708 de 2014, el cual quedará así: </w:t>
            </w:r>
          </w:p>
          <w:p w14:paraId="266A798B" w14:textId="77777777" w:rsidR="006E2541" w:rsidRPr="00B86E29" w:rsidRDefault="006E2541" w:rsidP="006E2541">
            <w:pPr>
              <w:spacing w:after="0" w:line="240" w:lineRule="auto"/>
              <w:jc w:val="both"/>
              <w:rPr>
                <w:rFonts w:ascii="Times New Roman" w:hAnsi="Times New Roman" w:cs="Times New Roman"/>
              </w:rPr>
            </w:pPr>
          </w:p>
          <w:p w14:paraId="5DC5A223" w14:textId="77777777" w:rsidR="006E2541" w:rsidRPr="00B86E29" w:rsidRDefault="006E2541" w:rsidP="006E2541">
            <w:pPr>
              <w:spacing w:after="0" w:line="240" w:lineRule="auto"/>
              <w:jc w:val="both"/>
              <w:rPr>
                <w:rFonts w:ascii="Times New Roman" w:eastAsia="Times New Roman" w:hAnsi="Times New Roman" w:cs="Times New Roman"/>
                <w:i/>
                <w:lang w:eastAsia="es-CO"/>
              </w:rPr>
            </w:pPr>
            <w:bookmarkStart w:id="1" w:name="125"/>
            <w:r w:rsidRPr="00B86E29">
              <w:rPr>
                <w:rFonts w:ascii="Times New Roman" w:eastAsia="Times New Roman" w:hAnsi="Times New Roman" w:cs="Times New Roman"/>
                <w:b/>
                <w:bCs/>
                <w:i/>
                <w:lang w:eastAsia="es-CO"/>
              </w:rPr>
              <w:t>ARTÍCULO 125. DESARCHIVO.</w:t>
            </w:r>
            <w:bookmarkEnd w:id="1"/>
            <w:r w:rsidRPr="00B86E29">
              <w:rPr>
                <w:rFonts w:ascii="Times New Roman" w:eastAsia="Times New Roman" w:hAnsi="Times New Roman" w:cs="Times New Roman"/>
                <w:i/>
                <w:lang w:eastAsia="es-CO"/>
              </w:rPr>
              <w:t xml:space="preserve"> El Fiscal General de la Nación o su delegado podrá de oficio o por solicitud del Ministerio Público, del Ministerio de Justicia y del Derecho, del denunciante o de cualquier persona o entidad que acredite interés, disponer el desarchivo de la actuación, en cualquier momento que surjan nuevos elementos de juicio que permitan desvirtuar de manera </w:t>
            </w:r>
            <w:r w:rsidRPr="00B86E29">
              <w:rPr>
                <w:rFonts w:ascii="Times New Roman" w:eastAsia="Times New Roman" w:hAnsi="Times New Roman" w:cs="Times New Roman"/>
                <w:i/>
                <w:lang w:eastAsia="es-CO"/>
              </w:rPr>
              <w:lastRenderedPageBreak/>
              <w:t>fundada, razonada y coherente los argumentos fácticos, jurídicos o probatorios planteados en la resolución de archivo provisional.</w:t>
            </w:r>
          </w:p>
          <w:p w14:paraId="01E9EDFD" w14:textId="77777777" w:rsidR="006E2541" w:rsidRPr="00B86E29" w:rsidRDefault="006E2541" w:rsidP="006E2541">
            <w:pPr>
              <w:spacing w:after="0" w:line="240" w:lineRule="auto"/>
              <w:jc w:val="both"/>
              <w:rPr>
                <w:rFonts w:ascii="Times New Roman" w:eastAsia="Times New Roman" w:hAnsi="Times New Roman" w:cs="Times New Roman"/>
                <w:i/>
                <w:lang w:eastAsia="es-CO"/>
              </w:rPr>
            </w:pPr>
          </w:p>
          <w:p w14:paraId="065BAB27" w14:textId="77777777" w:rsidR="006E2541" w:rsidRPr="00B86E29" w:rsidRDefault="006E2541" w:rsidP="006E2541">
            <w:pPr>
              <w:spacing w:after="0" w:line="240" w:lineRule="auto"/>
              <w:jc w:val="both"/>
              <w:rPr>
                <w:rFonts w:ascii="Times New Roman" w:eastAsia="Times New Roman" w:hAnsi="Times New Roman" w:cs="Times New Roman"/>
                <w:i/>
                <w:lang w:eastAsia="es-CO"/>
              </w:rPr>
            </w:pPr>
            <w:r w:rsidRPr="00B86E29">
              <w:rPr>
                <w:rFonts w:ascii="Times New Roman" w:eastAsia="Times New Roman" w:hAnsi="Times New Roman" w:cs="Times New Roman"/>
                <w:i/>
                <w:lang w:eastAsia="es-CO"/>
              </w:rPr>
              <w:t>En los eventos donde medie solicitud de desarchivo y el Fiscal decida mantener vigente la resolución de archivo provisional, el interesado podrá, dentro de los 10 días siguientes a la comunicación de la decisión que niega su petición, solicitar al Juez Especializado en Extinción de Dominio que ejerza un control de legalidad.</w:t>
            </w:r>
          </w:p>
          <w:p w14:paraId="05C1990B" w14:textId="77777777" w:rsidR="006E2541" w:rsidRPr="00B86E29" w:rsidRDefault="006E2541" w:rsidP="006E2541">
            <w:pPr>
              <w:spacing w:after="0" w:line="240" w:lineRule="auto"/>
              <w:jc w:val="both"/>
              <w:rPr>
                <w:rFonts w:ascii="Times New Roman" w:eastAsia="Times New Roman" w:hAnsi="Times New Roman" w:cs="Times New Roman"/>
                <w:i/>
                <w:lang w:eastAsia="es-CO"/>
              </w:rPr>
            </w:pPr>
          </w:p>
          <w:p w14:paraId="2A68B82A" w14:textId="4E623305" w:rsidR="006E2541" w:rsidRPr="00B86E29" w:rsidRDefault="006E2541" w:rsidP="006E2541">
            <w:pPr>
              <w:spacing w:after="0" w:line="240" w:lineRule="auto"/>
              <w:jc w:val="both"/>
              <w:rPr>
                <w:rFonts w:ascii="Times New Roman" w:eastAsia="Times New Roman" w:hAnsi="Times New Roman" w:cs="Times New Roman"/>
                <w:i/>
                <w:u w:val="single"/>
                <w:lang w:eastAsia="es-CO"/>
              </w:rPr>
            </w:pPr>
            <w:r w:rsidRPr="00B86E29">
              <w:rPr>
                <w:rFonts w:ascii="Times New Roman" w:eastAsia="Times New Roman" w:hAnsi="Times New Roman" w:cs="Times New Roman"/>
                <w:b/>
                <w:i/>
                <w:u w:val="single"/>
                <w:lang w:eastAsia="es-CO"/>
              </w:rPr>
              <w:t xml:space="preserve">PARÁGRAFO. </w:t>
            </w:r>
            <w:r w:rsidRPr="00B86E29">
              <w:rPr>
                <w:rFonts w:ascii="Times New Roman" w:eastAsia="Times New Roman" w:hAnsi="Times New Roman" w:cs="Times New Roman"/>
                <w:i/>
                <w:u w:val="single"/>
                <w:lang w:eastAsia="es-CO"/>
              </w:rPr>
              <w:t xml:space="preserve">Una vez ordenado el desarchivo de la actuación, el Fiscal delegado dispondrá de un término equivalente a la mitad del previsto en el artículo 123A para la práctica de las pruebas y la adopción de la decisión que correspondan. </w:t>
            </w:r>
          </w:p>
        </w:tc>
        <w:tc>
          <w:tcPr>
            <w:tcW w:w="2943" w:type="dxa"/>
          </w:tcPr>
          <w:p w14:paraId="298CA9AA" w14:textId="77777777" w:rsidR="006E2541" w:rsidRPr="00B86E29" w:rsidRDefault="006E2541" w:rsidP="006E2541">
            <w:pPr>
              <w:spacing w:after="0" w:line="240" w:lineRule="auto"/>
              <w:jc w:val="both"/>
              <w:rPr>
                <w:rFonts w:ascii="Times New Roman" w:hAnsi="Times New Roman" w:cs="Times New Roman"/>
              </w:rPr>
            </w:pPr>
            <w:r w:rsidRPr="00B86E29">
              <w:rPr>
                <w:rFonts w:ascii="Times New Roman" w:hAnsi="Times New Roman" w:cs="Times New Roman"/>
                <w:b/>
              </w:rPr>
              <w:lastRenderedPageBreak/>
              <w:t>Artículo 4º</w:t>
            </w:r>
            <w:r w:rsidRPr="00B86E29">
              <w:rPr>
                <w:rFonts w:ascii="Times New Roman" w:hAnsi="Times New Roman" w:cs="Times New Roman"/>
              </w:rPr>
              <w:t xml:space="preserve">. Adiciónese un parágrafo al artículo 125 de la Ley 1708 de 2014, el cual quedará así: </w:t>
            </w:r>
          </w:p>
          <w:p w14:paraId="14559C21" w14:textId="77777777" w:rsidR="006E2541" w:rsidRPr="00B86E29" w:rsidRDefault="006E2541" w:rsidP="006E2541">
            <w:pPr>
              <w:spacing w:after="0" w:line="240" w:lineRule="auto"/>
              <w:jc w:val="both"/>
              <w:rPr>
                <w:rFonts w:ascii="Times New Roman" w:hAnsi="Times New Roman" w:cs="Times New Roman"/>
              </w:rPr>
            </w:pPr>
          </w:p>
          <w:p w14:paraId="33534866" w14:textId="77777777" w:rsidR="006E2541" w:rsidRPr="00B86E29" w:rsidRDefault="006E2541" w:rsidP="006E2541">
            <w:pPr>
              <w:spacing w:after="0" w:line="240" w:lineRule="auto"/>
              <w:jc w:val="both"/>
              <w:rPr>
                <w:rFonts w:ascii="Times New Roman" w:eastAsia="Times New Roman" w:hAnsi="Times New Roman" w:cs="Times New Roman"/>
                <w:i/>
                <w:lang w:eastAsia="es-CO"/>
              </w:rPr>
            </w:pPr>
            <w:r w:rsidRPr="00B86E29">
              <w:rPr>
                <w:rFonts w:ascii="Times New Roman" w:eastAsia="Times New Roman" w:hAnsi="Times New Roman" w:cs="Times New Roman"/>
                <w:b/>
                <w:bCs/>
                <w:i/>
                <w:lang w:eastAsia="es-CO"/>
              </w:rPr>
              <w:t>ARTÍCULO 125. DESARCHIVO.</w:t>
            </w:r>
            <w:r w:rsidRPr="00B86E29">
              <w:rPr>
                <w:rFonts w:ascii="Times New Roman" w:eastAsia="Times New Roman" w:hAnsi="Times New Roman" w:cs="Times New Roman"/>
                <w:i/>
                <w:lang w:eastAsia="es-CO"/>
              </w:rPr>
              <w:t xml:space="preserve"> El Fiscal General de la Nación o su delegado podrá de oficio o por solicitud del Ministerio Público, del Ministerio de Justicia y del Derecho, del denunciante o de cualquier persona o entidad que acredite interés, disponer el desarchivo de la actuación, en cualquier momento que surjan nuevos elementos de juicio que permitan desvirtuar de manera </w:t>
            </w:r>
            <w:r w:rsidRPr="00B86E29">
              <w:rPr>
                <w:rFonts w:ascii="Times New Roman" w:eastAsia="Times New Roman" w:hAnsi="Times New Roman" w:cs="Times New Roman"/>
                <w:i/>
                <w:lang w:eastAsia="es-CO"/>
              </w:rPr>
              <w:lastRenderedPageBreak/>
              <w:t>fundada, razonada y coherente los argumentos fácticos, jurídicos o probatorios planteados en la resolución de archivo provisional.</w:t>
            </w:r>
          </w:p>
          <w:p w14:paraId="1D0D438E" w14:textId="77777777" w:rsidR="006E2541" w:rsidRPr="00B86E29" w:rsidRDefault="006E2541" w:rsidP="006E2541">
            <w:pPr>
              <w:spacing w:after="0" w:line="240" w:lineRule="auto"/>
              <w:jc w:val="both"/>
              <w:rPr>
                <w:rFonts w:ascii="Times New Roman" w:eastAsia="Times New Roman" w:hAnsi="Times New Roman" w:cs="Times New Roman"/>
                <w:i/>
                <w:lang w:eastAsia="es-CO"/>
              </w:rPr>
            </w:pPr>
          </w:p>
          <w:p w14:paraId="20E5518A" w14:textId="77777777" w:rsidR="006E2541" w:rsidRPr="00B86E29" w:rsidRDefault="006E2541" w:rsidP="006E2541">
            <w:pPr>
              <w:spacing w:after="0" w:line="240" w:lineRule="auto"/>
              <w:jc w:val="both"/>
              <w:rPr>
                <w:rFonts w:ascii="Times New Roman" w:eastAsia="Times New Roman" w:hAnsi="Times New Roman" w:cs="Times New Roman"/>
                <w:i/>
                <w:lang w:eastAsia="es-CO"/>
              </w:rPr>
            </w:pPr>
            <w:r w:rsidRPr="00B86E29">
              <w:rPr>
                <w:rFonts w:ascii="Times New Roman" w:eastAsia="Times New Roman" w:hAnsi="Times New Roman" w:cs="Times New Roman"/>
                <w:i/>
                <w:lang w:eastAsia="es-CO"/>
              </w:rPr>
              <w:t>En los eventos donde medie solicitud de desarchivo y el Fiscal decida mantener vigente la resolución de archivo provisional, el interesado podrá, dentro de los 10 días siguientes a la comunicación de la decisión que niega su petición, solicitar al Juez Especializado en Extinción de Dominio que ejerza un control de legalidad.</w:t>
            </w:r>
          </w:p>
          <w:p w14:paraId="1875E264" w14:textId="77777777" w:rsidR="006E2541" w:rsidRPr="00B86E29" w:rsidRDefault="006E2541" w:rsidP="006E2541">
            <w:pPr>
              <w:spacing w:after="0" w:line="240" w:lineRule="auto"/>
              <w:jc w:val="both"/>
              <w:rPr>
                <w:rFonts w:ascii="Times New Roman" w:eastAsia="Times New Roman" w:hAnsi="Times New Roman" w:cs="Times New Roman"/>
                <w:i/>
                <w:lang w:eastAsia="es-CO"/>
              </w:rPr>
            </w:pPr>
          </w:p>
          <w:p w14:paraId="0E6DE1FA" w14:textId="7D7AE633" w:rsidR="006E2541" w:rsidRPr="00B86E29" w:rsidRDefault="006E2541" w:rsidP="006E2541">
            <w:pPr>
              <w:spacing w:after="0" w:line="240" w:lineRule="auto"/>
              <w:jc w:val="both"/>
              <w:rPr>
                <w:rFonts w:ascii="Times New Roman" w:hAnsi="Times New Roman" w:cs="Times New Roman"/>
                <w:b/>
              </w:rPr>
            </w:pPr>
            <w:r w:rsidRPr="00B86E29">
              <w:rPr>
                <w:rFonts w:ascii="Times New Roman" w:eastAsia="Times New Roman" w:hAnsi="Times New Roman" w:cs="Times New Roman"/>
                <w:b/>
                <w:i/>
                <w:u w:val="single"/>
                <w:lang w:eastAsia="es-CO"/>
              </w:rPr>
              <w:t xml:space="preserve">PARÁGRAFO. </w:t>
            </w:r>
            <w:r w:rsidRPr="00B86E29">
              <w:rPr>
                <w:rFonts w:ascii="Times New Roman" w:eastAsia="Times New Roman" w:hAnsi="Times New Roman" w:cs="Times New Roman"/>
                <w:i/>
                <w:u w:val="single"/>
                <w:lang w:eastAsia="es-CO"/>
              </w:rPr>
              <w:t>Una vez ordenado el desarchivo de la actuación, el Fiscal delegado dispondrá de un término equivalente a la mitad del previsto en el artículo 123A para la práctica de las pruebas y la adopción de la decisión que correspondan.</w:t>
            </w:r>
          </w:p>
        </w:tc>
      </w:tr>
      <w:tr w:rsidR="006E2541" w:rsidRPr="00B86E29" w14:paraId="58F82815" w14:textId="77777777" w:rsidTr="008008BF">
        <w:tc>
          <w:tcPr>
            <w:tcW w:w="2942" w:type="dxa"/>
          </w:tcPr>
          <w:p w14:paraId="184EE290" w14:textId="77777777" w:rsidR="006E2541" w:rsidRPr="00B86E29" w:rsidRDefault="006E2541" w:rsidP="006E2541">
            <w:pPr>
              <w:spacing w:after="0"/>
              <w:jc w:val="center"/>
              <w:rPr>
                <w:rFonts w:ascii="Times New Roman" w:hAnsi="Times New Roman" w:cs="Times New Roman"/>
                <w:b/>
                <w:lang w:val="es-ES_tradnl"/>
              </w:rPr>
            </w:pPr>
          </w:p>
          <w:p w14:paraId="4241B1BD" w14:textId="42CEF30C" w:rsidR="006E2541" w:rsidRPr="00B86E29" w:rsidRDefault="006E2541" w:rsidP="006E2541">
            <w:pPr>
              <w:spacing w:after="0"/>
              <w:jc w:val="center"/>
              <w:rPr>
                <w:rFonts w:ascii="Times New Roman" w:hAnsi="Times New Roman" w:cs="Times New Roman"/>
                <w:b/>
                <w:lang w:val="es-ES_tradnl"/>
              </w:rPr>
            </w:pPr>
            <w:r w:rsidRPr="00B86E29">
              <w:rPr>
                <w:rFonts w:ascii="Times New Roman" w:hAnsi="Times New Roman" w:cs="Times New Roman"/>
                <w:b/>
                <w:lang w:val="es-ES_tradnl"/>
              </w:rPr>
              <w:t>SIN EQUIVALENTE</w:t>
            </w:r>
          </w:p>
        </w:tc>
        <w:tc>
          <w:tcPr>
            <w:tcW w:w="2943" w:type="dxa"/>
          </w:tcPr>
          <w:p w14:paraId="6D4C7035" w14:textId="6ED3FC43" w:rsidR="006E2541" w:rsidRPr="00B86E29" w:rsidRDefault="006E2541" w:rsidP="006E2541">
            <w:pPr>
              <w:spacing w:after="0" w:line="240" w:lineRule="auto"/>
              <w:jc w:val="both"/>
              <w:rPr>
                <w:rFonts w:ascii="Times New Roman" w:hAnsi="Times New Roman" w:cs="Times New Roman"/>
              </w:rPr>
            </w:pPr>
            <w:r w:rsidRPr="00B86E29">
              <w:rPr>
                <w:rFonts w:ascii="Times New Roman" w:hAnsi="Times New Roman" w:cs="Times New Roman"/>
                <w:b/>
              </w:rPr>
              <w:t>Artículo 5º.</w:t>
            </w:r>
            <w:r w:rsidRPr="00B86E29">
              <w:rPr>
                <w:rFonts w:ascii="Times New Roman" w:hAnsi="Times New Roman" w:cs="Times New Roman"/>
              </w:rPr>
              <w:t xml:space="preserve"> A partir de la entrada en vigencia de la presente Ley, todas las actuaciones que estén cursando en Fase Inicial, conforme al trámite de la Ley 1708 de 2014, quedan sujetas a los términos establecidos en los artículos anteriores.   </w:t>
            </w:r>
          </w:p>
        </w:tc>
        <w:tc>
          <w:tcPr>
            <w:tcW w:w="2943" w:type="dxa"/>
          </w:tcPr>
          <w:p w14:paraId="28798536" w14:textId="3BB1B8F4" w:rsidR="006E2541" w:rsidRPr="00B86E29" w:rsidRDefault="006E2541" w:rsidP="006E2541">
            <w:pPr>
              <w:spacing w:after="0" w:line="240" w:lineRule="auto"/>
              <w:jc w:val="both"/>
              <w:rPr>
                <w:rFonts w:ascii="Times New Roman" w:hAnsi="Times New Roman" w:cs="Times New Roman"/>
              </w:rPr>
            </w:pPr>
            <w:r w:rsidRPr="00B86E29">
              <w:rPr>
                <w:rFonts w:ascii="Times New Roman" w:hAnsi="Times New Roman" w:cs="Times New Roman"/>
                <w:b/>
              </w:rPr>
              <w:t>Artículo 5º.</w:t>
            </w:r>
            <w:r w:rsidRPr="00B86E29">
              <w:rPr>
                <w:rFonts w:ascii="Times New Roman" w:hAnsi="Times New Roman" w:cs="Times New Roman"/>
              </w:rPr>
              <w:t xml:space="preserve"> A partir de la entrada en vigencia de la presente Ley, todas las actuaciones que estén cursando en Fase Inicial, conforme al trámite de la Ley 1708 de 2014, quedan sujetas a los términos establecidos en los artículos anteriores.   </w:t>
            </w:r>
          </w:p>
        </w:tc>
      </w:tr>
      <w:tr w:rsidR="006E2541" w:rsidRPr="00B86E29" w14:paraId="7E5F0137" w14:textId="77777777" w:rsidTr="008008BF">
        <w:tc>
          <w:tcPr>
            <w:tcW w:w="2942" w:type="dxa"/>
          </w:tcPr>
          <w:p w14:paraId="51598259" w14:textId="4362D84D" w:rsidR="006E2541" w:rsidRPr="00B86E29" w:rsidRDefault="006E2541" w:rsidP="006E2541">
            <w:pPr>
              <w:jc w:val="both"/>
              <w:rPr>
                <w:rFonts w:ascii="Times New Roman" w:hAnsi="Times New Roman" w:cs="Times New Roman"/>
              </w:rPr>
            </w:pPr>
            <w:r w:rsidRPr="00B86E29">
              <w:rPr>
                <w:rFonts w:ascii="Times New Roman" w:hAnsi="Times New Roman" w:cs="Times New Roman"/>
                <w:b/>
              </w:rPr>
              <w:t>ARTICULO 1°.</w:t>
            </w:r>
            <w:r w:rsidRPr="00B86E29">
              <w:rPr>
                <w:rFonts w:ascii="Times New Roman" w:hAnsi="Times New Roman" w:cs="Times New Roman"/>
              </w:rPr>
              <w:t xml:space="preserve"> Adiciónese un parágrafo al artículo 16 de la Ley 1708 del 2014, en cual quedará así:  </w:t>
            </w:r>
          </w:p>
          <w:p w14:paraId="71EA6E37" w14:textId="77777777" w:rsidR="006E2541" w:rsidRPr="00B86E29" w:rsidRDefault="006E2541" w:rsidP="006E2541">
            <w:pPr>
              <w:jc w:val="both"/>
              <w:rPr>
                <w:rFonts w:ascii="Times New Roman" w:hAnsi="Times New Roman" w:cs="Times New Roman"/>
              </w:rPr>
            </w:pPr>
            <w:r w:rsidRPr="00B86E29">
              <w:rPr>
                <w:rFonts w:ascii="Times New Roman" w:hAnsi="Times New Roman" w:cs="Times New Roman"/>
                <w:b/>
              </w:rPr>
              <w:t>ARTÍCULO 16. CAUSALES.</w:t>
            </w:r>
            <w:r w:rsidRPr="00B86E29">
              <w:rPr>
                <w:rFonts w:ascii="Times New Roman" w:hAnsi="Times New Roman" w:cs="Times New Roman"/>
              </w:rPr>
              <w:t xml:space="preserve"> Se declarará extinguido el dominio sobre los bienes que se encuentren en las siguientes circunstancias: </w:t>
            </w:r>
          </w:p>
          <w:p w14:paraId="04DC5AE2" w14:textId="734249B3" w:rsidR="006E2541" w:rsidRPr="00B86E29" w:rsidRDefault="006E2541" w:rsidP="006E2541">
            <w:pPr>
              <w:jc w:val="both"/>
              <w:rPr>
                <w:rFonts w:ascii="Times New Roman" w:hAnsi="Times New Roman" w:cs="Times New Roman"/>
              </w:rPr>
            </w:pPr>
            <w:r w:rsidRPr="00B86E29">
              <w:rPr>
                <w:rFonts w:ascii="Times New Roman" w:hAnsi="Times New Roman" w:cs="Times New Roman"/>
                <w:b/>
              </w:rPr>
              <w:lastRenderedPageBreak/>
              <w:t>1.-</w:t>
            </w:r>
            <w:r w:rsidRPr="00B86E29">
              <w:rPr>
                <w:rFonts w:ascii="Times New Roman" w:hAnsi="Times New Roman" w:cs="Times New Roman"/>
              </w:rPr>
              <w:t xml:space="preserve"> Los que sean producto directo o indirecto de una actividad ilícita. </w:t>
            </w:r>
            <w:r w:rsidRPr="00B86E29">
              <w:rPr>
                <w:rFonts w:ascii="Times New Roman" w:hAnsi="Times New Roman" w:cs="Times New Roman"/>
              </w:rPr>
              <w:br/>
            </w:r>
            <w:r w:rsidRPr="00B86E29">
              <w:rPr>
                <w:rFonts w:ascii="Times New Roman" w:hAnsi="Times New Roman" w:cs="Times New Roman"/>
                <w:b/>
              </w:rPr>
              <w:t>2.-</w:t>
            </w:r>
            <w:r w:rsidRPr="00B86E29">
              <w:rPr>
                <w:rFonts w:ascii="Times New Roman" w:hAnsi="Times New Roman" w:cs="Times New Roman"/>
              </w:rPr>
              <w:t xml:space="preserve"> Los que correspondan al objeto material de la actividad ilícita, salvo que la ley disponga su destrucción. </w:t>
            </w:r>
            <w:r w:rsidRPr="00B86E29">
              <w:rPr>
                <w:rFonts w:ascii="Times New Roman" w:hAnsi="Times New Roman" w:cs="Times New Roman"/>
              </w:rPr>
              <w:br/>
            </w:r>
            <w:r w:rsidRPr="00B86E29">
              <w:rPr>
                <w:rFonts w:ascii="Times New Roman" w:hAnsi="Times New Roman" w:cs="Times New Roman"/>
                <w:b/>
              </w:rPr>
              <w:t>3.-</w:t>
            </w:r>
            <w:r w:rsidRPr="00B86E29">
              <w:rPr>
                <w:rFonts w:ascii="Times New Roman" w:hAnsi="Times New Roman" w:cs="Times New Roman"/>
              </w:rPr>
              <w:t xml:space="preserve"> Los que provengan de la transformación o conversión parcial o total, física o jurídica del producto, instrumentos u objeto material de actividades ilícitas. </w:t>
            </w:r>
            <w:r w:rsidRPr="00B86E29">
              <w:rPr>
                <w:rFonts w:ascii="Times New Roman" w:hAnsi="Times New Roman" w:cs="Times New Roman"/>
              </w:rPr>
              <w:br/>
            </w:r>
            <w:r w:rsidRPr="00B86E29">
              <w:rPr>
                <w:rFonts w:ascii="Times New Roman" w:hAnsi="Times New Roman" w:cs="Times New Roman"/>
                <w:b/>
              </w:rPr>
              <w:t>4.-</w:t>
            </w:r>
            <w:r w:rsidRPr="00B86E29">
              <w:rPr>
                <w:rFonts w:ascii="Times New Roman" w:hAnsi="Times New Roman" w:cs="Times New Roman"/>
              </w:rPr>
              <w:t xml:space="preserve"> Los que formen parte de un incremento patrimonial no justificado, cuando existan elementos de conocimiento que permitan considerar razonablemente que provienen de actividades ilícitas. </w:t>
            </w:r>
            <w:r w:rsidRPr="00B86E29">
              <w:rPr>
                <w:rFonts w:ascii="Times New Roman" w:hAnsi="Times New Roman" w:cs="Times New Roman"/>
              </w:rPr>
              <w:br/>
            </w:r>
            <w:r w:rsidRPr="00B86E29">
              <w:rPr>
                <w:rFonts w:ascii="Times New Roman" w:hAnsi="Times New Roman" w:cs="Times New Roman"/>
                <w:b/>
              </w:rPr>
              <w:t>5.-</w:t>
            </w:r>
            <w:r w:rsidRPr="00B86E29">
              <w:rPr>
                <w:rFonts w:ascii="Times New Roman" w:hAnsi="Times New Roman" w:cs="Times New Roman"/>
              </w:rPr>
              <w:t xml:space="preserve"> Los que hayan sido utilizados como medio o instrumento para la ejecución de actividades ilícitas. </w:t>
            </w:r>
            <w:r w:rsidRPr="00B86E29">
              <w:rPr>
                <w:rFonts w:ascii="Times New Roman" w:hAnsi="Times New Roman" w:cs="Times New Roman"/>
              </w:rPr>
              <w:br/>
            </w:r>
            <w:r w:rsidRPr="00B86E29">
              <w:rPr>
                <w:rFonts w:ascii="Times New Roman" w:hAnsi="Times New Roman" w:cs="Times New Roman"/>
                <w:b/>
              </w:rPr>
              <w:t>6.-</w:t>
            </w:r>
            <w:r w:rsidRPr="00B86E29">
              <w:rPr>
                <w:rFonts w:ascii="Times New Roman" w:hAnsi="Times New Roman" w:cs="Times New Roman"/>
              </w:rPr>
              <w:t xml:space="preserve"> Los que de acuerdo con las circunstancias en que fueron hallados, o sus características particulares, permitan establecer que están destinados a la ejecución de actividades ilícitas. </w:t>
            </w:r>
            <w:r w:rsidRPr="00B86E29">
              <w:rPr>
                <w:rFonts w:ascii="Times New Roman" w:hAnsi="Times New Roman" w:cs="Times New Roman"/>
              </w:rPr>
              <w:br/>
            </w:r>
            <w:r w:rsidRPr="00B86E29">
              <w:rPr>
                <w:rFonts w:ascii="Times New Roman" w:hAnsi="Times New Roman" w:cs="Times New Roman"/>
                <w:b/>
              </w:rPr>
              <w:t>7.-</w:t>
            </w:r>
            <w:r w:rsidRPr="00B86E29">
              <w:rPr>
                <w:rFonts w:ascii="Times New Roman" w:hAnsi="Times New Roman" w:cs="Times New Roman"/>
              </w:rPr>
              <w:t xml:space="preserve"> Los que constituyan ingresos, rentas, frutos, ganancias y otros beneficios derivados de los anteriores bienes. </w:t>
            </w:r>
            <w:r w:rsidRPr="00B86E29">
              <w:rPr>
                <w:rFonts w:ascii="Times New Roman" w:hAnsi="Times New Roman" w:cs="Times New Roman"/>
              </w:rPr>
              <w:br/>
            </w:r>
            <w:r w:rsidRPr="00B86E29">
              <w:rPr>
                <w:rFonts w:ascii="Times New Roman" w:hAnsi="Times New Roman" w:cs="Times New Roman"/>
                <w:b/>
              </w:rPr>
              <w:t>8.-</w:t>
            </w:r>
            <w:r w:rsidRPr="00B86E29">
              <w:rPr>
                <w:rFonts w:ascii="Times New Roman" w:hAnsi="Times New Roman" w:cs="Times New Roman"/>
              </w:rPr>
              <w:t xml:space="preserve"> Los de procedencia lícita, utilizados para ocultar bienes de ilícita 1a procedencia.</w:t>
            </w:r>
            <w:r w:rsidRPr="00B86E29">
              <w:rPr>
                <w:rFonts w:ascii="Times New Roman" w:hAnsi="Times New Roman" w:cs="Times New Roman"/>
              </w:rPr>
              <w:br/>
            </w:r>
            <w:r w:rsidRPr="00B86E29">
              <w:rPr>
                <w:rFonts w:ascii="Times New Roman" w:hAnsi="Times New Roman" w:cs="Times New Roman"/>
                <w:b/>
              </w:rPr>
              <w:t>9.-</w:t>
            </w:r>
            <w:r w:rsidRPr="00B86E29">
              <w:rPr>
                <w:rFonts w:ascii="Times New Roman" w:hAnsi="Times New Roman" w:cs="Times New Roman"/>
              </w:rPr>
              <w:t xml:space="preserve"> Los de procedencia lícita, mezclados material o jurídicamente con bienes de ilícita procedencia. </w:t>
            </w:r>
            <w:r w:rsidRPr="00B86E29">
              <w:rPr>
                <w:rFonts w:ascii="Times New Roman" w:hAnsi="Times New Roman" w:cs="Times New Roman"/>
              </w:rPr>
              <w:br/>
            </w:r>
            <w:r w:rsidRPr="00B86E29">
              <w:rPr>
                <w:rFonts w:ascii="Times New Roman" w:hAnsi="Times New Roman" w:cs="Times New Roman"/>
                <w:b/>
              </w:rPr>
              <w:lastRenderedPageBreak/>
              <w:t>10.-</w:t>
            </w:r>
            <w:r w:rsidRPr="00B86E29">
              <w:rPr>
                <w:rFonts w:ascii="Times New Roman" w:hAnsi="Times New Roman" w:cs="Times New Roman"/>
              </w:rPr>
              <w:t xml:space="preserve"> Los de origen lícito cuyo valor sea equivalente a cualquiera de los bienes descritos en los numerales anteriores, cuando la acción resulte improcedente por el reconocimiento de los derechos de un tercero de buena fe exenta de culpa. </w:t>
            </w:r>
            <w:r w:rsidRPr="00B86E29">
              <w:rPr>
                <w:rFonts w:ascii="Times New Roman" w:hAnsi="Times New Roman" w:cs="Times New Roman"/>
              </w:rPr>
              <w:br/>
            </w:r>
            <w:r w:rsidRPr="00B86E29">
              <w:rPr>
                <w:rFonts w:ascii="Times New Roman" w:hAnsi="Times New Roman" w:cs="Times New Roman"/>
                <w:b/>
              </w:rPr>
              <w:t>11.-</w:t>
            </w:r>
            <w:r w:rsidRPr="00B86E29">
              <w:rPr>
                <w:rFonts w:ascii="Times New Roman" w:hAnsi="Times New Roman" w:cs="Times New Roman"/>
              </w:rPr>
              <w:t xml:space="preserve"> Los de origen lícito cuyo valor corresponda o sea equivalente al de bienes producto directo o indirecto de una actividad ilícita, cuando no sea posible la localización, identificación o afectación material de estos. </w:t>
            </w:r>
            <w:r w:rsidRPr="00B86E29">
              <w:rPr>
                <w:rFonts w:ascii="Times New Roman" w:hAnsi="Times New Roman" w:cs="Times New Roman"/>
              </w:rPr>
              <w:br/>
            </w:r>
          </w:p>
          <w:p w14:paraId="08678932" w14:textId="47F4E352" w:rsidR="006E2541" w:rsidRPr="00B86E29" w:rsidRDefault="006E2541" w:rsidP="006E2541">
            <w:pPr>
              <w:jc w:val="both"/>
              <w:rPr>
                <w:rFonts w:ascii="Times New Roman" w:hAnsi="Times New Roman" w:cs="Times New Roman"/>
              </w:rPr>
            </w:pPr>
            <w:r w:rsidRPr="00B86E29">
              <w:rPr>
                <w:rFonts w:ascii="Times New Roman" w:hAnsi="Times New Roman" w:cs="Times New Roman"/>
                <w:b/>
              </w:rPr>
              <w:t>Parágrafo primero:</w:t>
            </w:r>
            <w:r w:rsidRPr="00B86E29">
              <w:rPr>
                <w:rFonts w:ascii="Times New Roman" w:hAnsi="Times New Roman" w:cs="Times New Roman"/>
              </w:rPr>
              <w:t xml:space="preserve"> También procederá la extinción de dominio respecto de los bienes objeto de sucesión por causa de muerte, cuando en ellos concurra cualquiera de las causales previstas en esta ley. </w:t>
            </w:r>
          </w:p>
          <w:p w14:paraId="76DE7B00" w14:textId="5882077A" w:rsidR="006E2541" w:rsidRPr="00B86E29" w:rsidRDefault="006E2541" w:rsidP="006E2541">
            <w:pPr>
              <w:jc w:val="both"/>
              <w:rPr>
                <w:rFonts w:ascii="Times New Roman" w:hAnsi="Times New Roman" w:cs="Times New Roman"/>
                <w:b/>
                <w:u w:val="single"/>
                <w:lang w:val="es-MX"/>
              </w:rPr>
            </w:pPr>
            <w:r w:rsidRPr="00B86E29">
              <w:rPr>
                <w:rFonts w:ascii="Times New Roman" w:hAnsi="Times New Roman" w:cs="Times New Roman"/>
                <w:b/>
                <w:u w:val="single"/>
              </w:rPr>
              <w:t>Parágrafo segundo:</w:t>
            </w:r>
            <w:r w:rsidRPr="00B86E29">
              <w:rPr>
                <w:rFonts w:ascii="Times New Roman" w:hAnsi="Times New Roman" w:cs="Times New Roman"/>
                <w:u w:val="single"/>
              </w:rPr>
              <w:t xml:space="preserve"> No procederán las causales anteriormente previstas, cuando el propietario del bien inmueble pueda probar en etapa administrativa preliminar, que actuó de buena fe exenta de culpa. Caso en el cual, La Fiscalía General de la Nación deberá proferir resolución de archivo.</w:t>
            </w:r>
            <w:r w:rsidRPr="00B86E29">
              <w:rPr>
                <w:rFonts w:ascii="Times New Roman" w:hAnsi="Times New Roman" w:cs="Times New Roman"/>
                <w:u w:val="single"/>
                <w:lang w:val="es-MX"/>
              </w:rPr>
              <w:t xml:space="preserve">  </w:t>
            </w:r>
          </w:p>
        </w:tc>
        <w:tc>
          <w:tcPr>
            <w:tcW w:w="2943" w:type="dxa"/>
          </w:tcPr>
          <w:p w14:paraId="14DD84BB" w14:textId="77777777" w:rsidR="006E2541" w:rsidRPr="00B86E29" w:rsidRDefault="006E2541" w:rsidP="006E2541">
            <w:pPr>
              <w:spacing w:after="0" w:line="240" w:lineRule="auto"/>
              <w:jc w:val="both"/>
              <w:rPr>
                <w:rFonts w:ascii="Times New Roman" w:hAnsi="Times New Roman" w:cs="Times New Roman"/>
                <w:b/>
              </w:rPr>
            </w:pPr>
          </w:p>
          <w:p w14:paraId="50219B92" w14:textId="60596FC8" w:rsidR="006E2541" w:rsidRPr="00B86E29" w:rsidRDefault="006E2541" w:rsidP="006E2541">
            <w:pPr>
              <w:spacing w:after="0" w:line="240" w:lineRule="auto"/>
              <w:jc w:val="center"/>
              <w:rPr>
                <w:rFonts w:ascii="Times New Roman" w:hAnsi="Times New Roman" w:cs="Times New Roman"/>
                <w:b/>
              </w:rPr>
            </w:pPr>
            <w:r w:rsidRPr="00B86E29">
              <w:rPr>
                <w:rFonts w:ascii="Times New Roman" w:hAnsi="Times New Roman" w:cs="Times New Roman"/>
                <w:b/>
                <w:lang w:val="es-ES_tradnl"/>
              </w:rPr>
              <w:t>SIN EQUIVALENTE</w:t>
            </w:r>
          </w:p>
        </w:tc>
        <w:tc>
          <w:tcPr>
            <w:tcW w:w="2943" w:type="dxa"/>
          </w:tcPr>
          <w:p w14:paraId="26C05E37" w14:textId="7D3E6C18" w:rsidR="006E2541" w:rsidRPr="00B86E29" w:rsidRDefault="006E2541" w:rsidP="006E2541">
            <w:pPr>
              <w:jc w:val="both"/>
              <w:rPr>
                <w:rFonts w:ascii="Times New Roman" w:hAnsi="Times New Roman" w:cs="Times New Roman"/>
              </w:rPr>
            </w:pPr>
            <w:r w:rsidRPr="00B86E29">
              <w:rPr>
                <w:rFonts w:ascii="Times New Roman" w:hAnsi="Times New Roman" w:cs="Times New Roman"/>
                <w:b/>
              </w:rPr>
              <w:t>ARTICULO 6°.</w:t>
            </w:r>
            <w:r w:rsidRPr="00B86E29">
              <w:rPr>
                <w:rFonts w:ascii="Times New Roman" w:hAnsi="Times New Roman" w:cs="Times New Roman"/>
              </w:rPr>
              <w:t xml:space="preserve"> Adiciónese un parágrafo al artículo 16 de la Ley 1708 del 2014, en cual quedará así:  </w:t>
            </w:r>
          </w:p>
          <w:p w14:paraId="3CEB277E" w14:textId="77777777" w:rsidR="006E2541" w:rsidRPr="00B86E29" w:rsidRDefault="006E2541" w:rsidP="006E2541">
            <w:pPr>
              <w:jc w:val="both"/>
              <w:rPr>
                <w:rFonts w:ascii="Times New Roman" w:hAnsi="Times New Roman" w:cs="Times New Roman"/>
              </w:rPr>
            </w:pPr>
            <w:r w:rsidRPr="00B86E29">
              <w:rPr>
                <w:rFonts w:ascii="Times New Roman" w:hAnsi="Times New Roman" w:cs="Times New Roman"/>
                <w:b/>
              </w:rPr>
              <w:t>ARTÍCULO 16. CAUSALES.</w:t>
            </w:r>
            <w:r w:rsidRPr="00B86E29">
              <w:rPr>
                <w:rFonts w:ascii="Times New Roman" w:hAnsi="Times New Roman" w:cs="Times New Roman"/>
              </w:rPr>
              <w:t xml:space="preserve"> Se declarará extinguido el dominio sobre los bienes que se encuentren en las siguientes circunstancias: </w:t>
            </w:r>
          </w:p>
          <w:p w14:paraId="2456D981" w14:textId="77777777" w:rsidR="006E2541" w:rsidRPr="00B86E29" w:rsidRDefault="006E2541" w:rsidP="006E2541">
            <w:pPr>
              <w:jc w:val="both"/>
              <w:rPr>
                <w:rFonts w:ascii="Times New Roman" w:hAnsi="Times New Roman" w:cs="Times New Roman"/>
              </w:rPr>
            </w:pPr>
            <w:r w:rsidRPr="00B86E29">
              <w:rPr>
                <w:rFonts w:ascii="Times New Roman" w:hAnsi="Times New Roman" w:cs="Times New Roman"/>
                <w:b/>
              </w:rPr>
              <w:lastRenderedPageBreak/>
              <w:t>1.-</w:t>
            </w:r>
            <w:r w:rsidRPr="00B86E29">
              <w:rPr>
                <w:rFonts w:ascii="Times New Roman" w:hAnsi="Times New Roman" w:cs="Times New Roman"/>
              </w:rPr>
              <w:t xml:space="preserve"> Los que sean producto directo o indirecto de una actividad ilícita. </w:t>
            </w:r>
            <w:r w:rsidRPr="00B86E29">
              <w:rPr>
                <w:rFonts w:ascii="Times New Roman" w:hAnsi="Times New Roman" w:cs="Times New Roman"/>
              </w:rPr>
              <w:br/>
            </w:r>
            <w:r w:rsidRPr="00B86E29">
              <w:rPr>
                <w:rFonts w:ascii="Times New Roman" w:hAnsi="Times New Roman" w:cs="Times New Roman"/>
                <w:b/>
              </w:rPr>
              <w:t>2.-</w:t>
            </w:r>
            <w:r w:rsidRPr="00B86E29">
              <w:rPr>
                <w:rFonts w:ascii="Times New Roman" w:hAnsi="Times New Roman" w:cs="Times New Roman"/>
              </w:rPr>
              <w:t xml:space="preserve"> Los que correspondan al objeto material de la actividad ilícita, salvo que la ley disponga su destrucción. </w:t>
            </w:r>
            <w:r w:rsidRPr="00B86E29">
              <w:rPr>
                <w:rFonts w:ascii="Times New Roman" w:hAnsi="Times New Roman" w:cs="Times New Roman"/>
              </w:rPr>
              <w:br/>
            </w:r>
            <w:r w:rsidRPr="00B86E29">
              <w:rPr>
                <w:rFonts w:ascii="Times New Roman" w:hAnsi="Times New Roman" w:cs="Times New Roman"/>
                <w:b/>
              </w:rPr>
              <w:t>3.-</w:t>
            </w:r>
            <w:r w:rsidRPr="00B86E29">
              <w:rPr>
                <w:rFonts w:ascii="Times New Roman" w:hAnsi="Times New Roman" w:cs="Times New Roman"/>
              </w:rPr>
              <w:t xml:space="preserve"> Los que provengan de la transformación o conversión parcial o total, física o jurídica del producto, instrumentos u objeto material de actividades ilícitas. </w:t>
            </w:r>
            <w:r w:rsidRPr="00B86E29">
              <w:rPr>
                <w:rFonts w:ascii="Times New Roman" w:hAnsi="Times New Roman" w:cs="Times New Roman"/>
              </w:rPr>
              <w:br/>
            </w:r>
            <w:r w:rsidRPr="00B86E29">
              <w:rPr>
                <w:rFonts w:ascii="Times New Roman" w:hAnsi="Times New Roman" w:cs="Times New Roman"/>
                <w:b/>
              </w:rPr>
              <w:t>4.-</w:t>
            </w:r>
            <w:r w:rsidRPr="00B86E29">
              <w:rPr>
                <w:rFonts w:ascii="Times New Roman" w:hAnsi="Times New Roman" w:cs="Times New Roman"/>
              </w:rPr>
              <w:t xml:space="preserve"> Los que formen parte de un incremento patrimonial no justificado, cuando existan elementos de conocimiento que permitan considerar razonablemente que provienen de actividades ilícitas. </w:t>
            </w:r>
            <w:r w:rsidRPr="00B86E29">
              <w:rPr>
                <w:rFonts w:ascii="Times New Roman" w:hAnsi="Times New Roman" w:cs="Times New Roman"/>
              </w:rPr>
              <w:br/>
            </w:r>
            <w:r w:rsidRPr="00B86E29">
              <w:rPr>
                <w:rFonts w:ascii="Times New Roman" w:hAnsi="Times New Roman" w:cs="Times New Roman"/>
                <w:b/>
              </w:rPr>
              <w:t>5.-</w:t>
            </w:r>
            <w:r w:rsidRPr="00B86E29">
              <w:rPr>
                <w:rFonts w:ascii="Times New Roman" w:hAnsi="Times New Roman" w:cs="Times New Roman"/>
              </w:rPr>
              <w:t xml:space="preserve"> Los que hayan sido utilizados como medio o instrumento para la ejecución de actividades ilícitas. </w:t>
            </w:r>
            <w:r w:rsidRPr="00B86E29">
              <w:rPr>
                <w:rFonts w:ascii="Times New Roman" w:hAnsi="Times New Roman" w:cs="Times New Roman"/>
              </w:rPr>
              <w:br/>
            </w:r>
            <w:r w:rsidRPr="00B86E29">
              <w:rPr>
                <w:rFonts w:ascii="Times New Roman" w:hAnsi="Times New Roman" w:cs="Times New Roman"/>
                <w:b/>
              </w:rPr>
              <w:t>6.-</w:t>
            </w:r>
            <w:r w:rsidRPr="00B86E29">
              <w:rPr>
                <w:rFonts w:ascii="Times New Roman" w:hAnsi="Times New Roman" w:cs="Times New Roman"/>
              </w:rPr>
              <w:t xml:space="preserve"> Los que de acuerdo con las circunstancias en que fueron hallados, o sus características particulares, permitan establecer que están destinados a la ejecución de actividades ilícitas. </w:t>
            </w:r>
            <w:r w:rsidRPr="00B86E29">
              <w:rPr>
                <w:rFonts w:ascii="Times New Roman" w:hAnsi="Times New Roman" w:cs="Times New Roman"/>
              </w:rPr>
              <w:br/>
            </w:r>
            <w:r w:rsidRPr="00B86E29">
              <w:rPr>
                <w:rFonts w:ascii="Times New Roman" w:hAnsi="Times New Roman" w:cs="Times New Roman"/>
                <w:b/>
              </w:rPr>
              <w:t>7.-</w:t>
            </w:r>
            <w:r w:rsidRPr="00B86E29">
              <w:rPr>
                <w:rFonts w:ascii="Times New Roman" w:hAnsi="Times New Roman" w:cs="Times New Roman"/>
              </w:rPr>
              <w:t xml:space="preserve"> Los que constituyan ingresos, rentas, frutos, ganancias y otros beneficios derivados de los anteriores bienes. </w:t>
            </w:r>
            <w:r w:rsidRPr="00B86E29">
              <w:rPr>
                <w:rFonts w:ascii="Times New Roman" w:hAnsi="Times New Roman" w:cs="Times New Roman"/>
              </w:rPr>
              <w:br/>
            </w:r>
            <w:r w:rsidRPr="00B86E29">
              <w:rPr>
                <w:rFonts w:ascii="Times New Roman" w:hAnsi="Times New Roman" w:cs="Times New Roman"/>
                <w:b/>
              </w:rPr>
              <w:t>8.-</w:t>
            </w:r>
            <w:r w:rsidRPr="00B86E29">
              <w:rPr>
                <w:rFonts w:ascii="Times New Roman" w:hAnsi="Times New Roman" w:cs="Times New Roman"/>
              </w:rPr>
              <w:t xml:space="preserve"> Los de procedencia lícita, utilizados para ocultar bienes de ilícita 1a procedencia.</w:t>
            </w:r>
            <w:r w:rsidRPr="00B86E29">
              <w:rPr>
                <w:rFonts w:ascii="Times New Roman" w:hAnsi="Times New Roman" w:cs="Times New Roman"/>
              </w:rPr>
              <w:br/>
            </w:r>
            <w:r w:rsidRPr="00B86E29">
              <w:rPr>
                <w:rFonts w:ascii="Times New Roman" w:hAnsi="Times New Roman" w:cs="Times New Roman"/>
                <w:b/>
              </w:rPr>
              <w:t>9.-</w:t>
            </w:r>
            <w:r w:rsidRPr="00B86E29">
              <w:rPr>
                <w:rFonts w:ascii="Times New Roman" w:hAnsi="Times New Roman" w:cs="Times New Roman"/>
              </w:rPr>
              <w:t xml:space="preserve"> Los de procedencia lícita, mezclados material o jurídicamente con bienes de ilícita procedencia. </w:t>
            </w:r>
            <w:r w:rsidRPr="00B86E29">
              <w:rPr>
                <w:rFonts w:ascii="Times New Roman" w:hAnsi="Times New Roman" w:cs="Times New Roman"/>
              </w:rPr>
              <w:br/>
            </w:r>
            <w:r w:rsidRPr="00B86E29">
              <w:rPr>
                <w:rFonts w:ascii="Times New Roman" w:hAnsi="Times New Roman" w:cs="Times New Roman"/>
                <w:b/>
              </w:rPr>
              <w:lastRenderedPageBreak/>
              <w:t>10.-</w:t>
            </w:r>
            <w:r w:rsidRPr="00B86E29">
              <w:rPr>
                <w:rFonts w:ascii="Times New Roman" w:hAnsi="Times New Roman" w:cs="Times New Roman"/>
              </w:rPr>
              <w:t xml:space="preserve"> Los de origen lícito cuyo valor sea equivalente a cualquiera de los bienes descritos en los numerales anteriores, cuando la acción resulte improcedente por el reconocimiento de los derechos de un tercero de buena fe exenta de culpa. </w:t>
            </w:r>
            <w:r w:rsidRPr="00B86E29">
              <w:rPr>
                <w:rFonts w:ascii="Times New Roman" w:hAnsi="Times New Roman" w:cs="Times New Roman"/>
              </w:rPr>
              <w:br/>
            </w:r>
            <w:r w:rsidRPr="00B86E29">
              <w:rPr>
                <w:rFonts w:ascii="Times New Roman" w:hAnsi="Times New Roman" w:cs="Times New Roman"/>
                <w:b/>
              </w:rPr>
              <w:t>11.-</w:t>
            </w:r>
            <w:r w:rsidRPr="00B86E29">
              <w:rPr>
                <w:rFonts w:ascii="Times New Roman" w:hAnsi="Times New Roman" w:cs="Times New Roman"/>
              </w:rPr>
              <w:t xml:space="preserve"> Los de origen lícito cuyo valor corresponda o sea equivalente al de bienes producto directo o indirecto de una actividad ilícita, cuando no sea posible la localización, identificación o afectación material de estos. </w:t>
            </w:r>
            <w:r w:rsidRPr="00B86E29">
              <w:rPr>
                <w:rFonts w:ascii="Times New Roman" w:hAnsi="Times New Roman" w:cs="Times New Roman"/>
              </w:rPr>
              <w:br/>
            </w:r>
          </w:p>
          <w:p w14:paraId="32E2DD57" w14:textId="77777777" w:rsidR="006E2541" w:rsidRPr="00B86E29" w:rsidRDefault="006E2541" w:rsidP="006E2541">
            <w:pPr>
              <w:jc w:val="both"/>
              <w:rPr>
                <w:rFonts w:ascii="Times New Roman" w:hAnsi="Times New Roman" w:cs="Times New Roman"/>
              </w:rPr>
            </w:pPr>
            <w:r w:rsidRPr="00B86E29">
              <w:rPr>
                <w:rFonts w:ascii="Times New Roman" w:hAnsi="Times New Roman" w:cs="Times New Roman"/>
                <w:b/>
              </w:rPr>
              <w:t>Parágrafo primero:</w:t>
            </w:r>
            <w:r w:rsidRPr="00B86E29">
              <w:rPr>
                <w:rFonts w:ascii="Times New Roman" w:hAnsi="Times New Roman" w:cs="Times New Roman"/>
              </w:rPr>
              <w:t xml:space="preserve"> También procederá la extinción de dominio respecto de los bienes objeto de sucesión por causa de muerte, cuando en ellos concurra cualquiera de las causales previstas en esta ley. </w:t>
            </w:r>
          </w:p>
          <w:p w14:paraId="345A1186" w14:textId="59AF5584" w:rsidR="006E2541" w:rsidRPr="00B86E29" w:rsidRDefault="006E2541" w:rsidP="006E2541">
            <w:pPr>
              <w:spacing w:after="0" w:line="240" w:lineRule="auto"/>
              <w:jc w:val="both"/>
              <w:rPr>
                <w:rFonts w:ascii="Times New Roman" w:hAnsi="Times New Roman" w:cs="Times New Roman"/>
                <w:b/>
              </w:rPr>
            </w:pPr>
            <w:r w:rsidRPr="00B86E29">
              <w:rPr>
                <w:rFonts w:ascii="Times New Roman" w:hAnsi="Times New Roman" w:cs="Times New Roman"/>
                <w:b/>
                <w:u w:val="single"/>
              </w:rPr>
              <w:t>Parágrafo segundo:</w:t>
            </w:r>
            <w:r w:rsidRPr="00B86E29">
              <w:rPr>
                <w:rFonts w:ascii="Times New Roman" w:hAnsi="Times New Roman" w:cs="Times New Roman"/>
                <w:u w:val="single"/>
              </w:rPr>
              <w:t xml:space="preserve"> No procederá</w:t>
            </w:r>
            <w:r w:rsidRPr="002A5207">
              <w:rPr>
                <w:rFonts w:ascii="Times New Roman" w:hAnsi="Times New Roman" w:cs="Times New Roman"/>
                <w:strike/>
                <w:u w:val="single"/>
              </w:rPr>
              <w:t>n</w:t>
            </w:r>
            <w:r w:rsidRPr="00B86E29">
              <w:rPr>
                <w:rFonts w:ascii="Times New Roman" w:hAnsi="Times New Roman" w:cs="Times New Roman"/>
                <w:u w:val="single"/>
              </w:rPr>
              <w:t xml:space="preserve"> la</w:t>
            </w:r>
            <w:r w:rsidRPr="002A5207">
              <w:rPr>
                <w:rFonts w:ascii="Times New Roman" w:hAnsi="Times New Roman" w:cs="Times New Roman"/>
                <w:strike/>
                <w:u w:val="single"/>
              </w:rPr>
              <w:t>s</w:t>
            </w:r>
            <w:r w:rsidRPr="00B86E29">
              <w:rPr>
                <w:rFonts w:ascii="Times New Roman" w:hAnsi="Times New Roman" w:cs="Times New Roman"/>
                <w:u w:val="single"/>
              </w:rPr>
              <w:t xml:space="preserve"> </w:t>
            </w:r>
            <w:r w:rsidR="002A5207" w:rsidRPr="00D32B14">
              <w:rPr>
                <w:rFonts w:ascii="Times New Roman" w:hAnsi="Times New Roman" w:cs="Times New Roman"/>
                <w:b/>
                <w:u w:val="single"/>
              </w:rPr>
              <w:t>extinción del derecho de dominio por las</w:t>
            </w:r>
            <w:r w:rsidR="002A5207" w:rsidRPr="00D32B14">
              <w:rPr>
                <w:rFonts w:ascii="Times New Roman" w:hAnsi="Times New Roman" w:cs="Times New Roman"/>
                <w:u w:val="single"/>
              </w:rPr>
              <w:t xml:space="preserve"> </w:t>
            </w:r>
            <w:r w:rsidRPr="00B86E29">
              <w:rPr>
                <w:rFonts w:ascii="Times New Roman" w:hAnsi="Times New Roman" w:cs="Times New Roman"/>
                <w:u w:val="single"/>
              </w:rPr>
              <w:t>causales anteriormente previstas, cuando el propietario del bien inmueble pueda probar en etapa administrativa preliminar, que actuó de buena fe exenta de culpa. Caso en el cual, La Fiscalía General de la Nación deberá proferir resolución de archivo.</w:t>
            </w:r>
            <w:r w:rsidRPr="00B86E29">
              <w:rPr>
                <w:rFonts w:ascii="Times New Roman" w:hAnsi="Times New Roman" w:cs="Times New Roman"/>
                <w:u w:val="single"/>
                <w:lang w:val="es-MX"/>
              </w:rPr>
              <w:t xml:space="preserve">  </w:t>
            </w:r>
          </w:p>
        </w:tc>
      </w:tr>
      <w:tr w:rsidR="006E2541" w:rsidRPr="00B86E29" w14:paraId="6B378AF3" w14:textId="77777777" w:rsidTr="008008BF">
        <w:tc>
          <w:tcPr>
            <w:tcW w:w="2942" w:type="dxa"/>
          </w:tcPr>
          <w:p w14:paraId="03A5E1C8" w14:textId="58CD4F2F" w:rsidR="006E2541" w:rsidRPr="00B86E29" w:rsidRDefault="006E2541" w:rsidP="006E2541">
            <w:pPr>
              <w:pBdr>
                <w:top w:val="nil"/>
                <w:left w:val="nil"/>
                <w:bottom w:val="nil"/>
                <w:right w:val="nil"/>
                <w:between w:val="nil"/>
              </w:pBdr>
              <w:jc w:val="both"/>
              <w:rPr>
                <w:rFonts w:ascii="Times New Roman" w:eastAsia="Century Gothic" w:hAnsi="Times New Roman" w:cs="Times New Roman"/>
                <w:color w:val="000000" w:themeColor="text1"/>
                <w:lang w:val="es-MX"/>
              </w:rPr>
            </w:pPr>
            <w:r w:rsidRPr="00B86E29">
              <w:rPr>
                <w:rFonts w:ascii="Times New Roman" w:eastAsia="Century Gothic" w:hAnsi="Times New Roman" w:cs="Times New Roman"/>
                <w:b/>
                <w:color w:val="000000" w:themeColor="text1"/>
                <w:lang w:val="es-MX"/>
              </w:rPr>
              <w:lastRenderedPageBreak/>
              <w:t xml:space="preserve">Artículo 2º. Vigencia y derogatoria. </w:t>
            </w:r>
            <w:r w:rsidRPr="00B86E29">
              <w:rPr>
                <w:rFonts w:ascii="Times New Roman" w:eastAsia="Century Gothic" w:hAnsi="Times New Roman" w:cs="Times New Roman"/>
                <w:color w:val="000000" w:themeColor="text1"/>
                <w:lang w:val="es-MX"/>
              </w:rPr>
              <w:t xml:space="preserve">La presente ley rige a partir de la fecha de su publicación y deroga todas las </w:t>
            </w:r>
            <w:r w:rsidRPr="00B86E29">
              <w:rPr>
                <w:rFonts w:ascii="Times New Roman" w:eastAsia="Century Gothic" w:hAnsi="Times New Roman" w:cs="Times New Roman"/>
                <w:color w:val="000000" w:themeColor="text1"/>
                <w:lang w:val="es-MX"/>
              </w:rPr>
              <w:lastRenderedPageBreak/>
              <w:t xml:space="preserve">disposiciones que le sean contrarias. </w:t>
            </w:r>
          </w:p>
        </w:tc>
        <w:tc>
          <w:tcPr>
            <w:tcW w:w="2943" w:type="dxa"/>
          </w:tcPr>
          <w:p w14:paraId="56DFF7A3" w14:textId="77777777" w:rsidR="006E2541" w:rsidRPr="00B86E29" w:rsidRDefault="006E2541" w:rsidP="006E2541">
            <w:pPr>
              <w:spacing w:after="0" w:line="240" w:lineRule="auto"/>
              <w:jc w:val="both"/>
              <w:rPr>
                <w:rFonts w:ascii="Times New Roman" w:hAnsi="Times New Roman" w:cs="Times New Roman"/>
              </w:rPr>
            </w:pPr>
            <w:r w:rsidRPr="00B86E29">
              <w:rPr>
                <w:rFonts w:ascii="Times New Roman" w:hAnsi="Times New Roman" w:cs="Times New Roman"/>
                <w:b/>
              </w:rPr>
              <w:lastRenderedPageBreak/>
              <w:t xml:space="preserve">Artículo 6º. </w:t>
            </w:r>
            <w:r w:rsidRPr="00B86E29">
              <w:rPr>
                <w:rFonts w:ascii="Times New Roman" w:hAnsi="Times New Roman" w:cs="Times New Roman"/>
              </w:rPr>
              <w:t>La presente ley rige a partir de su promulgación y deroga las que le sean contrarias.</w:t>
            </w:r>
          </w:p>
          <w:p w14:paraId="0DD37952" w14:textId="77777777" w:rsidR="006E2541" w:rsidRPr="00B86E29" w:rsidRDefault="006E2541" w:rsidP="006E2541">
            <w:pPr>
              <w:spacing w:after="0" w:line="240" w:lineRule="auto"/>
              <w:jc w:val="both"/>
              <w:rPr>
                <w:rFonts w:ascii="Times New Roman" w:hAnsi="Times New Roman" w:cs="Times New Roman"/>
                <w:b/>
              </w:rPr>
            </w:pPr>
          </w:p>
        </w:tc>
        <w:tc>
          <w:tcPr>
            <w:tcW w:w="2943" w:type="dxa"/>
          </w:tcPr>
          <w:p w14:paraId="04E1F318" w14:textId="1A4059A3" w:rsidR="006E2541" w:rsidRPr="00B86E29" w:rsidRDefault="00B86E29" w:rsidP="006E2541">
            <w:pPr>
              <w:jc w:val="both"/>
              <w:rPr>
                <w:rFonts w:ascii="Times New Roman" w:hAnsi="Times New Roman" w:cs="Times New Roman"/>
                <w:b/>
              </w:rPr>
            </w:pPr>
            <w:r w:rsidRPr="00B86E29">
              <w:rPr>
                <w:rFonts w:ascii="Times New Roman" w:eastAsia="Century Gothic" w:hAnsi="Times New Roman" w:cs="Times New Roman"/>
                <w:b/>
                <w:color w:val="000000" w:themeColor="text1"/>
                <w:lang w:val="es-MX"/>
              </w:rPr>
              <w:t xml:space="preserve">Artículo 7º. Vigencia y derogatoria. </w:t>
            </w:r>
            <w:r w:rsidRPr="00B86E29">
              <w:rPr>
                <w:rFonts w:ascii="Times New Roman" w:eastAsia="Century Gothic" w:hAnsi="Times New Roman" w:cs="Times New Roman"/>
                <w:color w:val="000000" w:themeColor="text1"/>
                <w:lang w:val="es-MX"/>
              </w:rPr>
              <w:t xml:space="preserve">La presente ley rige a partir de la fecha de su publicación y deroga todas las </w:t>
            </w:r>
            <w:r w:rsidRPr="00B86E29">
              <w:rPr>
                <w:rFonts w:ascii="Times New Roman" w:eastAsia="Century Gothic" w:hAnsi="Times New Roman" w:cs="Times New Roman"/>
                <w:color w:val="000000" w:themeColor="text1"/>
                <w:lang w:val="es-MX"/>
              </w:rPr>
              <w:lastRenderedPageBreak/>
              <w:t>disposiciones que le sean contrarias.</w:t>
            </w:r>
          </w:p>
        </w:tc>
      </w:tr>
    </w:tbl>
    <w:p w14:paraId="16ED3C76" w14:textId="77777777" w:rsidR="008008BF" w:rsidRPr="00B86E29" w:rsidRDefault="008008BF" w:rsidP="008008BF">
      <w:pPr>
        <w:spacing w:after="0"/>
        <w:rPr>
          <w:rFonts w:ascii="Times New Roman" w:hAnsi="Times New Roman" w:cs="Times New Roman"/>
          <w:b/>
          <w:lang w:val="es-ES_tradnl"/>
        </w:rPr>
      </w:pPr>
    </w:p>
    <w:p w14:paraId="5DB31750" w14:textId="1A9372F1" w:rsidR="00B86E29" w:rsidRPr="00B86E29" w:rsidRDefault="00B86E29" w:rsidP="00D32B14">
      <w:pPr>
        <w:spacing w:after="0"/>
        <w:rPr>
          <w:rFonts w:ascii="Times New Roman" w:hAnsi="Times New Roman" w:cs="Times New Roman"/>
          <w:b/>
          <w:lang w:val="es-ES_tradnl"/>
        </w:rPr>
      </w:pPr>
    </w:p>
    <w:p w14:paraId="1BCB3178" w14:textId="47E956C8" w:rsidR="004D74A2" w:rsidRPr="00B86E29" w:rsidRDefault="00C06C02" w:rsidP="00C06C02">
      <w:pPr>
        <w:spacing w:after="0"/>
        <w:ind w:firstLine="708"/>
        <w:rPr>
          <w:rFonts w:ascii="Times New Roman" w:hAnsi="Times New Roman" w:cs="Times New Roman"/>
          <w:b/>
          <w:lang w:val="es-ES_tradnl"/>
        </w:rPr>
      </w:pPr>
      <w:r w:rsidRPr="00B86E29">
        <w:rPr>
          <w:rFonts w:ascii="Times New Roman" w:hAnsi="Times New Roman" w:cs="Times New Roman"/>
          <w:b/>
          <w:lang w:val="es-ES_tradnl"/>
        </w:rPr>
        <w:t>V</w:t>
      </w:r>
      <w:r w:rsidR="009F7B52" w:rsidRPr="00B86E29">
        <w:rPr>
          <w:rFonts w:ascii="Times New Roman" w:hAnsi="Times New Roman" w:cs="Times New Roman"/>
          <w:b/>
          <w:lang w:val="es-ES_tradnl"/>
        </w:rPr>
        <w:t xml:space="preserve">I. </w:t>
      </w:r>
      <w:r w:rsidR="004D74A2" w:rsidRPr="00B86E29">
        <w:rPr>
          <w:rFonts w:ascii="Times New Roman" w:hAnsi="Times New Roman" w:cs="Times New Roman"/>
          <w:b/>
          <w:lang w:val="es-ES_tradnl"/>
        </w:rPr>
        <w:t>PROPOSICI</w:t>
      </w:r>
      <w:r w:rsidR="004D74A2" w:rsidRPr="00B86E29">
        <w:rPr>
          <w:rFonts w:ascii="Times New Roman" w:eastAsia="Helvetica" w:hAnsi="Times New Roman" w:cs="Times New Roman"/>
          <w:b/>
          <w:lang w:val="es-ES_tradnl"/>
        </w:rPr>
        <w:t>ÓN</w:t>
      </w:r>
    </w:p>
    <w:p w14:paraId="736D2355" w14:textId="77777777" w:rsidR="00C06C02" w:rsidRPr="00B86E29" w:rsidRDefault="00C06C02" w:rsidP="003F7560">
      <w:pPr>
        <w:spacing w:after="0"/>
        <w:jc w:val="both"/>
        <w:rPr>
          <w:rFonts w:ascii="Times New Roman" w:hAnsi="Times New Roman" w:cs="Times New Roman"/>
          <w:b/>
          <w:lang w:val="es-ES_tradnl"/>
        </w:rPr>
      </w:pPr>
    </w:p>
    <w:p w14:paraId="4EA2CC72" w14:textId="06946565" w:rsidR="00D16930" w:rsidRPr="00B86E29" w:rsidRDefault="29143BBF" w:rsidP="003F7560">
      <w:pPr>
        <w:spacing w:after="0"/>
        <w:jc w:val="both"/>
        <w:rPr>
          <w:rFonts w:ascii="Times New Roman" w:hAnsi="Times New Roman" w:cs="Times New Roman"/>
          <w:lang w:val="es-ES_tradnl"/>
        </w:rPr>
      </w:pPr>
      <w:r w:rsidRPr="00B86E29">
        <w:rPr>
          <w:rStyle w:val="SinespaciadoCar"/>
          <w:rFonts w:cs="Times New Roman"/>
          <w:sz w:val="22"/>
          <w:szCs w:val="22"/>
        </w:rPr>
        <w:t>Con fundamento en las anteriores consideraciones, en cumplimiento de los requisitos establecidos en la Ley 5</w:t>
      </w:r>
      <w:r w:rsidRPr="00B86E29">
        <w:rPr>
          <w:rStyle w:val="SinespaciadoCar"/>
          <w:rFonts w:eastAsia="Helvetica" w:cs="Times New Roman"/>
          <w:sz w:val="22"/>
          <w:szCs w:val="22"/>
        </w:rPr>
        <w:t>ª de 1992, presento ponencia favorable y en consecuencia solicito a los honorables miembros de la Comisión Primera de la Cámara de</w:t>
      </w:r>
      <w:r w:rsidRPr="00B86E29">
        <w:rPr>
          <w:rStyle w:val="SinespaciadoCar"/>
          <w:rFonts w:cs="Times New Roman"/>
          <w:sz w:val="22"/>
          <w:szCs w:val="22"/>
        </w:rPr>
        <w:t xml:space="preserve"> Representantes, dar primer debate al Proyecto d</w:t>
      </w:r>
      <w:r w:rsidR="00D16930" w:rsidRPr="00B86E29">
        <w:rPr>
          <w:rStyle w:val="SinespaciadoCar"/>
          <w:rFonts w:cs="Times New Roman"/>
          <w:sz w:val="22"/>
          <w:szCs w:val="22"/>
        </w:rPr>
        <w:t>e Ley N</w:t>
      </w:r>
      <w:r w:rsidR="0039707C" w:rsidRPr="00B86E29">
        <w:rPr>
          <w:rStyle w:val="SinespaciadoCar"/>
          <w:rFonts w:eastAsia="Helvetica" w:cs="Times New Roman"/>
          <w:sz w:val="22"/>
          <w:szCs w:val="22"/>
        </w:rPr>
        <w:t>úmero 094</w:t>
      </w:r>
      <w:r w:rsidR="00C06C02" w:rsidRPr="00B86E29">
        <w:rPr>
          <w:rStyle w:val="SinespaciadoCar"/>
          <w:rFonts w:eastAsia="Helvetica" w:cs="Times New Roman"/>
          <w:sz w:val="22"/>
          <w:szCs w:val="22"/>
        </w:rPr>
        <w:t xml:space="preserve"> de 2021</w:t>
      </w:r>
      <w:r w:rsidR="00D16930" w:rsidRPr="00B86E29">
        <w:rPr>
          <w:rStyle w:val="SinespaciadoCar"/>
          <w:rFonts w:eastAsia="Helvetica" w:cs="Times New Roman"/>
          <w:sz w:val="22"/>
          <w:szCs w:val="22"/>
        </w:rPr>
        <w:t xml:space="preserve"> </w:t>
      </w:r>
      <w:r w:rsidR="00D16930" w:rsidRPr="00B86E29">
        <w:rPr>
          <w:rStyle w:val="SinespaciadoCar"/>
          <w:rFonts w:cs="Times New Roman"/>
          <w:sz w:val="22"/>
          <w:szCs w:val="22"/>
        </w:rPr>
        <w:t>C</w:t>
      </w:r>
      <w:r w:rsidR="00D16930" w:rsidRPr="00B86E29">
        <w:rPr>
          <w:rStyle w:val="SinespaciadoCar"/>
          <w:rFonts w:eastAsia="Helvetica" w:cs="Times New Roman"/>
          <w:sz w:val="22"/>
          <w:szCs w:val="22"/>
        </w:rPr>
        <w:t>ámara</w:t>
      </w:r>
      <w:r w:rsidRPr="00B86E29">
        <w:rPr>
          <w:rStyle w:val="SinespaciadoCar"/>
          <w:rFonts w:cs="Times New Roman"/>
          <w:sz w:val="22"/>
          <w:szCs w:val="22"/>
        </w:rPr>
        <w:t xml:space="preserve"> </w:t>
      </w:r>
      <w:r w:rsidRPr="00B86E29">
        <w:rPr>
          <w:rStyle w:val="SinespaciadoCar"/>
          <w:rFonts w:eastAsia="Helvetica" w:cs="Times New Roman"/>
          <w:sz w:val="22"/>
          <w:szCs w:val="22"/>
        </w:rPr>
        <w:t>“</w:t>
      </w:r>
      <w:r w:rsidR="0039707C" w:rsidRPr="00B86E29">
        <w:rPr>
          <w:rFonts w:ascii="Times New Roman" w:eastAsia="Arial" w:hAnsi="Times New Roman" w:cs="Times New Roman"/>
          <w:color w:val="000000"/>
        </w:rPr>
        <w:t>Por medio de la cual se modifica el código de extinción de dominio</w:t>
      </w:r>
      <w:r w:rsidRPr="00B86E29">
        <w:rPr>
          <w:rStyle w:val="SinespaciadoCar"/>
          <w:rFonts w:eastAsia="Helvetica" w:cs="Times New Roman"/>
          <w:sz w:val="22"/>
          <w:szCs w:val="22"/>
        </w:rPr>
        <w:t>”,</w:t>
      </w:r>
      <w:r w:rsidRPr="00B86E29">
        <w:rPr>
          <w:rFonts w:ascii="Times New Roman" w:hAnsi="Times New Roman" w:cs="Times New Roman"/>
          <w:i/>
          <w:iCs/>
          <w:lang w:val="es-ES_tradnl"/>
        </w:rPr>
        <w:t xml:space="preserve"> </w:t>
      </w:r>
      <w:r w:rsidR="004B7201" w:rsidRPr="00B86E29">
        <w:rPr>
          <w:rFonts w:ascii="Times New Roman" w:hAnsi="Times New Roman" w:cs="Times New Roman"/>
        </w:rPr>
        <w:t xml:space="preserve">acumulado con el Proyecto de Ley número 138 de 2021 Cámara “Por medio de la cual se establece un término de duración para la fase inicial del proceso de Extinción de Dominio y se dictan otras disposiciones”, </w:t>
      </w:r>
      <w:r w:rsidRPr="00B86E29">
        <w:rPr>
          <w:rFonts w:ascii="Times New Roman" w:hAnsi="Times New Roman" w:cs="Times New Roman"/>
          <w:lang w:val="es-ES_tradnl"/>
        </w:rPr>
        <w:t>conforme al pliego de modificaciones presentado.</w:t>
      </w:r>
    </w:p>
    <w:p w14:paraId="0D2A35DA" w14:textId="1ABE16BA" w:rsidR="005A076E" w:rsidRPr="00B86E29" w:rsidRDefault="005A076E" w:rsidP="003F7560">
      <w:pPr>
        <w:spacing w:after="0"/>
        <w:jc w:val="both"/>
        <w:rPr>
          <w:rFonts w:ascii="Times New Roman" w:hAnsi="Times New Roman" w:cs="Times New Roman"/>
          <w:lang w:val="es-ES_tradnl"/>
        </w:rPr>
      </w:pPr>
    </w:p>
    <w:p w14:paraId="055BFDB1" w14:textId="1FFB167B" w:rsidR="00E77614" w:rsidRPr="00B86E29" w:rsidRDefault="00C06C02" w:rsidP="003F7560">
      <w:pPr>
        <w:spacing w:after="0"/>
        <w:jc w:val="both"/>
        <w:rPr>
          <w:rFonts w:ascii="Times New Roman" w:hAnsi="Times New Roman" w:cs="Times New Roman"/>
          <w:lang w:val="es-ES_tradnl"/>
        </w:rPr>
      </w:pPr>
      <w:r w:rsidRPr="00B86E29">
        <w:rPr>
          <w:rFonts w:ascii="Times New Roman" w:hAnsi="Times New Roman" w:cs="Times New Roman"/>
          <w:lang w:val="es-ES_tradnl"/>
        </w:rPr>
        <w:t>Del</w:t>
      </w:r>
      <w:r w:rsidR="29143BBF" w:rsidRPr="00B86E29">
        <w:rPr>
          <w:rFonts w:ascii="Times New Roman" w:hAnsi="Times New Roman" w:cs="Times New Roman"/>
          <w:lang w:val="es-ES_tradnl"/>
        </w:rPr>
        <w:t xml:space="preserve"> Honorable Representant</w:t>
      </w:r>
      <w:r w:rsidR="00A95B8A" w:rsidRPr="00B86E29">
        <w:rPr>
          <w:rFonts w:ascii="Times New Roman" w:hAnsi="Times New Roman" w:cs="Times New Roman"/>
          <w:lang w:val="es-ES_tradnl"/>
        </w:rPr>
        <w:t>e</w:t>
      </w:r>
      <w:r w:rsidR="29143BBF" w:rsidRPr="00B86E29">
        <w:rPr>
          <w:rFonts w:ascii="Times New Roman" w:hAnsi="Times New Roman" w:cs="Times New Roman"/>
          <w:lang w:val="es-ES_tradnl"/>
        </w:rPr>
        <w:t>,</w:t>
      </w:r>
    </w:p>
    <w:p w14:paraId="778FB9C3" w14:textId="21D50D48" w:rsidR="00D273F7" w:rsidRPr="00B86E29" w:rsidRDefault="00D273F7" w:rsidP="003F7560">
      <w:pPr>
        <w:spacing w:after="0"/>
        <w:jc w:val="both"/>
        <w:rPr>
          <w:rFonts w:ascii="Times New Roman" w:hAnsi="Times New Roman" w:cs="Times New Roman"/>
          <w:lang w:val="es-ES_tradnl"/>
        </w:rPr>
      </w:pPr>
    </w:p>
    <w:p w14:paraId="056B5266" w14:textId="6F4ABE0E" w:rsidR="00406E45" w:rsidRPr="00B86E29" w:rsidRDefault="00406E45" w:rsidP="003F7560">
      <w:pPr>
        <w:spacing w:after="0"/>
        <w:jc w:val="both"/>
        <w:rPr>
          <w:rFonts w:ascii="Times New Roman" w:hAnsi="Times New Roman" w:cs="Times New Roman"/>
          <w:lang w:val="es-ES_tradnl"/>
        </w:rPr>
      </w:pPr>
    </w:p>
    <w:p w14:paraId="216A01C5" w14:textId="2249DA02" w:rsidR="00406E45" w:rsidRPr="00B86E29" w:rsidRDefault="00406E45" w:rsidP="003F7560">
      <w:pPr>
        <w:spacing w:after="0"/>
        <w:jc w:val="both"/>
        <w:rPr>
          <w:rFonts w:ascii="Times New Roman" w:hAnsi="Times New Roman" w:cs="Times New Roman"/>
          <w:lang w:val="es-ES_tradnl"/>
        </w:rPr>
      </w:pPr>
    </w:p>
    <w:p w14:paraId="063D4311" w14:textId="77777777" w:rsidR="00406E45" w:rsidRPr="00B86E29" w:rsidRDefault="00406E45" w:rsidP="003F7560">
      <w:pPr>
        <w:spacing w:after="0"/>
        <w:jc w:val="both"/>
        <w:rPr>
          <w:rFonts w:ascii="Times New Roman" w:hAnsi="Times New Roman" w:cs="Times New Roman"/>
          <w:lang w:val="es-ES_tradnl"/>
        </w:rPr>
      </w:pPr>
    </w:p>
    <w:p w14:paraId="62A75F99" w14:textId="5CF016E7" w:rsidR="004D74A2" w:rsidRPr="00B86E29" w:rsidRDefault="00C06C02" w:rsidP="003F7560">
      <w:pPr>
        <w:spacing w:after="0"/>
        <w:jc w:val="both"/>
        <w:rPr>
          <w:rFonts w:ascii="Times New Roman" w:hAnsi="Times New Roman" w:cs="Times New Roman"/>
          <w:b/>
          <w:bCs/>
          <w:lang w:val="es-ES_tradnl"/>
        </w:rPr>
      </w:pPr>
      <w:r w:rsidRPr="00B86E29">
        <w:rPr>
          <w:rFonts w:ascii="Times New Roman" w:hAnsi="Times New Roman" w:cs="Times New Roman"/>
          <w:b/>
          <w:bCs/>
          <w:lang w:val="es-ES_tradnl"/>
        </w:rPr>
        <w:t>JUAN CARLOS WILLS OSPINA</w:t>
      </w:r>
    </w:p>
    <w:p w14:paraId="52E5F244" w14:textId="476A2500" w:rsidR="29143BBF" w:rsidRPr="00B86E29" w:rsidRDefault="29143BBF" w:rsidP="003F7560">
      <w:pPr>
        <w:spacing w:after="0"/>
        <w:jc w:val="both"/>
        <w:rPr>
          <w:rFonts w:ascii="Times New Roman" w:hAnsi="Times New Roman" w:cs="Times New Roman"/>
          <w:b/>
          <w:bCs/>
          <w:lang w:val="es-ES_tradnl"/>
        </w:rPr>
      </w:pPr>
      <w:r w:rsidRPr="00B86E29">
        <w:rPr>
          <w:rFonts w:ascii="Times New Roman" w:hAnsi="Times New Roman" w:cs="Times New Roman"/>
          <w:b/>
          <w:bCs/>
          <w:lang w:val="es-ES_tradnl"/>
        </w:rPr>
        <w:t>Representante a la C</w:t>
      </w:r>
      <w:r w:rsidRPr="00B86E29">
        <w:rPr>
          <w:rFonts w:ascii="Times New Roman" w:eastAsia="Helvetica" w:hAnsi="Times New Roman" w:cs="Times New Roman"/>
          <w:b/>
          <w:bCs/>
          <w:lang w:val="es-ES_tradnl"/>
        </w:rPr>
        <w:t>ámara</w:t>
      </w:r>
      <w:r w:rsidR="00C06C02" w:rsidRPr="00B86E29">
        <w:rPr>
          <w:rFonts w:ascii="Times New Roman" w:eastAsia="Helvetica" w:hAnsi="Times New Roman" w:cs="Times New Roman"/>
          <w:b/>
          <w:bCs/>
          <w:lang w:val="es-ES_tradnl"/>
        </w:rPr>
        <w:t xml:space="preserve"> </w:t>
      </w:r>
    </w:p>
    <w:p w14:paraId="3D16A54C" w14:textId="29DFA135" w:rsidR="00D32B14" w:rsidRDefault="00D32B14" w:rsidP="00B86E29">
      <w:pPr>
        <w:spacing w:after="0"/>
        <w:ind w:firstLine="708"/>
        <w:jc w:val="both"/>
        <w:rPr>
          <w:rFonts w:ascii="Times New Roman" w:hAnsi="Times New Roman" w:cs="Times New Roman"/>
          <w:b/>
          <w:lang w:val="es-ES_tradnl"/>
        </w:rPr>
      </w:pPr>
    </w:p>
    <w:p w14:paraId="266D0621" w14:textId="77777777" w:rsidR="00B86E29" w:rsidRDefault="00B86E29" w:rsidP="00B86E29">
      <w:pPr>
        <w:spacing w:after="0"/>
        <w:ind w:firstLine="708"/>
        <w:jc w:val="both"/>
        <w:rPr>
          <w:rFonts w:ascii="Times New Roman" w:hAnsi="Times New Roman" w:cs="Times New Roman"/>
          <w:b/>
          <w:lang w:val="es-ES_tradnl"/>
        </w:rPr>
      </w:pPr>
    </w:p>
    <w:p w14:paraId="4FD84784" w14:textId="71DF8137" w:rsidR="00406E45" w:rsidRPr="00B86E29" w:rsidRDefault="00406E45" w:rsidP="00B86E29">
      <w:pPr>
        <w:spacing w:after="0"/>
        <w:ind w:firstLine="708"/>
        <w:jc w:val="both"/>
        <w:rPr>
          <w:rFonts w:ascii="Times New Roman" w:hAnsi="Times New Roman" w:cs="Times New Roman"/>
          <w:b/>
          <w:lang w:val="es-ES_tradnl"/>
        </w:rPr>
      </w:pPr>
      <w:r w:rsidRPr="00B86E29">
        <w:rPr>
          <w:rFonts w:ascii="Times New Roman" w:hAnsi="Times New Roman" w:cs="Times New Roman"/>
          <w:b/>
        </w:rPr>
        <w:t xml:space="preserve">VII. </w:t>
      </w:r>
      <w:r w:rsidR="00837653" w:rsidRPr="00B86E29">
        <w:rPr>
          <w:rFonts w:ascii="Times New Roman" w:hAnsi="Times New Roman" w:cs="Times New Roman"/>
          <w:b/>
        </w:rPr>
        <w:t>TEXTO PROPUESTO PARA PRIMER DEBATE</w:t>
      </w:r>
    </w:p>
    <w:p w14:paraId="303653A7" w14:textId="77777777" w:rsidR="00406E45" w:rsidRPr="00B86E29" w:rsidRDefault="00406E45" w:rsidP="00406E45">
      <w:pPr>
        <w:ind w:firstLine="708"/>
        <w:rPr>
          <w:rFonts w:ascii="Times New Roman" w:hAnsi="Times New Roman" w:cs="Times New Roman"/>
          <w:b/>
        </w:rPr>
      </w:pPr>
    </w:p>
    <w:p w14:paraId="00BF5DB8" w14:textId="49FD21ED" w:rsidR="00837653" w:rsidRPr="00B86E29" w:rsidRDefault="003A2094" w:rsidP="00837653">
      <w:pPr>
        <w:jc w:val="center"/>
        <w:rPr>
          <w:rFonts w:ascii="Times New Roman" w:eastAsia="Helvetica" w:hAnsi="Times New Roman" w:cs="Times New Roman"/>
          <w:b/>
        </w:rPr>
      </w:pPr>
      <w:r w:rsidRPr="00B86E29">
        <w:rPr>
          <w:rFonts w:ascii="Times New Roman" w:hAnsi="Times New Roman" w:cs="Times New Roman"/>
          <w:b/>
        </w:rPr>
        <w:t>PROYECTO DE LEY 094</w:t>
      </w:r>
      <w:r w:rsidR="00837653" w:rsidRPr="00B86E29">
        <w:rPr>
          <w:rFonts w:ascii="Times New Roman" w:hAnsi="Times New Roman" w:cs="Times New Roman"/>
          <w:b/>
        </w:rPr>
        <w:t xml:space="preserve"> DE </w:t>
      </w:r>
      <w:r w:rsidR="00C06C02" w:rsidRPr="00B86E29">
        <w:rPr>
          <w:rFonts w:ascii="Times New Roman" w:hAnsi="Times New Roman" w:cs="Times New Roman"/>
          <w:b/>
        </w:rPr>
        <w:t>2021</w:t>
      </w:r>
      <w:r w:rsidR="00837653" w:rsidRPr="00B86E29">
        <w:rPr>
          <w:rFonts w:ascii="Times New Roman" w:hAnsi="Times New Roman" w:cs="Times New Roman"/>
          <w:b/>
        </w:rPr>
        <w:t xml:space="preserve"> C</w:t>
      </w:r>
      <w:r w:rsidR="00837653" w:rsidRPr="00B86E29">
        <w:rPr>
          <w:rFonts w:ascii="Times New Roman" w:eastAsia="Helvetica" w:hAnsi="Times New Roman" w:cs="Times New Roman"/>
          <w:b/>
        </w:rPr>
        <w:t>ÁMARA</w:t>
      </w:r>
      <w:r w:rsidR="00B86E29" w:rsidRPr="00B86E29">
        <w:rPr>
          <w:rFonts w:ascii="Times New Roman" w:eastAsia="Helvetica" w:hAnsi="Times New Roman" w:cs="Times New Roman"/>
          <w:b/>
        </w:rPr>
        <w:t xml:space="preserve"> ACUMULADO CON EL PROYECTO DE LEY 138 DE 2021 CÁMARA</w:t>
      </w:r>
    </w:p>
    <w:p w14:paraId="22861F86" w14:textId="445EBC93" w:rsidR="00837653" w:rsidRPr="00B86E29" w:rsidRDefault="00C06C02" w:rsidP="00C06C02">
      <w:pPr>
        <w:jc w:val="center"/>
        <w:rPr>
          <w:rFonts w:ascii="Times New Roman" w:eastAsia="Helvetica" w:hAnsi="Times New Roman" w:cs="Times New Roman"/>
          <w:b/>
        </w:rPr>
      </w:pPr>
      <w:r w:rsidRPr="00B86E29">
        <w:rPr>
          <w:rFonts w:ascii="Times New Roman" w:eastAsia="Helvetica" w:hAnsi="Times New Roman" w:cs="Times New Roman"/>
          <w:b/>
        </w:rPr>
        <w:t>“</w:t>
      </w:r>
      <w:r w:rsidRPr="00B86E29">
        <w:rPr>
          <w:rFonts w:ascii="Times New Roman" w:eastAsia="Arial" w:hAnsi="Times New Roman" w:cs="Times New Roman"/>
          <w:b/>
          <w:color w:val="000000"/>
        </w:rPr>
        <w:t>POR MEDIO DE</w:t>
      </w:r>
      <w:r w:rsidR="003A2094" w:rsidRPr="00B86E29">
        <w:rPr>
          <w:rFonts w:ascii="Times New Roman" w:eastAsia="Arial" w:hAnsi="Times New Roman" w:cs="Times New Roman"/>
          <w:b/>
          <w:color w:val="000000"/>
        </w:rPr>
        <w:t xml:space="preserve"> </w:t>
      </w:r>
      <w:r w:rsidRPr="00B86E29">
        <w:rPr>
          <w:rFonts w:ascii="Times New Roman" w:eastAsia="Arial" w:hAnsi="Times New Roman" w:cs="Times New Roman"/>
          <w:b/>
          <w:color w:val="000000"/>
        </w:rPr>
        <w:t>L</w:t>
      </w:r>
      <w:r w:rsidR="003A2094" w:rsidRPr="00B86E29">
        <w:rPr>
          <w:rFonts w:ascii="Times New Roman" w:eastAsia="Arial" w:hAnsi="Times New Roman" w:cs="Times New Roman"/>
          <w:b/>
          <w:color w:val="000000"/>
        </w:rPr>
        <w:t>A</w:t>
      </w:r>
      <w:r w:rsidRPr="00B86E29">
        <w:rPr>
          <w:rFonts w:ascii="Times New Roman" w:eastAsia="Arial" w:hAnsi="Times New Roman" w:cs="Times New Roman"/>
          <w:b/>
          <w:color w:val="000000"/>
        </w:rPr>
        <w:t xml:space="preserve"> CUAL SE </w:t>
      </w:r>
      <w:r w:rsidR="003A2094" w:rsidRPr="00B86E29">
        <w:rPr>
          <w:rFonts w:ascii="Times New Roman" w:eastAsia="Arial" w:hAnsi="Times New Roman" w:cs="Times New Roman"/>
          <w:b/>
          <w:color w:val="000000"/>
        </w:rPr>
        <w:t>MODIFICA EL CÓDIGO DE EXTINCIÓN DE DOMINIO</w:t>
      </w:r>
      <w:r w:rsidRPr="00B86E29">
        <w:rPr>
          <w:rFonts w:ascii="Times New Roman" w:eastAsia="Helvetica" w:hAnsi="Times New Roman" w:cs="Times New Roman"/>
          <w:b/>
        </w:rPr>
        <w:t>”</w:t>
      </w:r>
    </w:p>
    <w:p w14:paraId="0E741234" w14:textId="0CED4AD7" w:rsidR="00837653" w:rsidRPr="00B86E29" w:rsidRDefault="00837653" w:rsidP="00837653">
      <w:pPr>
        <w:jc w:val="center"/>
        <w:rPr>
          <w:rFonts w:ascii="Times New Roman" w:eastAsia="Helvetica" w:hAnsi="Times New Roman" w:cs="Times New Roman"/>
          <w:b/>
        </w:rPr>
      </w:pPr>
      <w:r w:rsidRPr="00B86E29">
        <w:rPr>
          <w:rFonts w:ascii="Times New Roman" w:eastAsia="Helvetica" w:hAnsi="Times New Roman" w:cs="Times New Roman"/>
          <w:b/>
        </w:rPr>
        <w:t>EL CONGRESO DE COLOMBIA</w:t>
      </w:r>
    </w:p>
    <w:p w14:paraId="2FF5CAA1" w14:textId="31008D9C" w:rsidR="00DA3D34" w:rsidRPr="00B86E29" w:rsidRDefault="00837653" w:rsidP="0010057A">
      <w:pPr>
        <w:jc w:val="center"/>
        <w:rPr>
          <w:rFonts w:ascii="Times New Roman" w:eastAsia="Helvetica" w:hAnsi="Times New Roman" w:cs="Times New Roman"/>
          <w:b/>
        </w:rPr>
      </w:pPr>
      <w:r w:rsidRPr="00B86E29">
        <w:rPr>
          <w:rFonts w:ascii="Times New Roman" w:eastAsia="Helvetica" w:hAnsi="Times New Roman" w:cs="Times New Roman"/>
          <w:b/>
        </w:rPr>
        <w:t>DECRETA:</w:t>
      </w:r>
    </w:p>
    <w:p w14:paraId="0B22D566" w14:textId="77777777" w:rsidR="00B86E29" w:rsidRPr="00B86E29" w:rsidRDefault="00B86E29" w:rsidP="00B86E29">
      <w:pPr>
        <w:spacing w:after="0" w:line="240" w:lineRule="auto"/>
        <w:jc w:val="both"/>
        <w:rPr>
          <w:rFonts w:ascii="Times New Roman" w:hAnsi="Times New Roman" w:cs="Times New Roman"/>
        </w:rPr>
      </w:pPr>
      <w:r w:rsidRPr="00B86E29">
        <w:rPr>
          <w:rFonts w:ascii="Times New Roman" w:hAnsi="Times New Roman" w:cs="Times New Roman"/>
          <w:b/>
          <w:lang w:val="es-ES_tradnl"/>
        </w:rPr>
        <w:t xml:space="preserve">Artículo 1: Objeto. </w:t>
      </w:r>
      <w:r w:rsidRPr="00B86E29">
        <w:rPr>
          <w:rFonts w:ascii="Times New Roman" w:hAnsi="Times New Roman" w:cs="Times New Roman"/>
        </w:rPr>
        <w:t xml:space="preserve">La presente ley tiene como objeto reformar el Código de Extinción de Dominio con el propósito de establecer un término de duración de la fase inicial, las condiciones para su prórroga y el deber de investigar disciplinaria y penalmente por su incumplimiento a los funcionarios competentes, con lo que se contribuya a agilizar el trámite de dicha acción patrimonial. </w:t>
      </w:r>
    </w:p>
    <w:p w14:paraId="52617103" w14:textId="77777777" w:rsidR="00B86E29" w:rsidRPr="00B86E29" w:rsidRDefault="00B86E29" w:rsidP="00B86E29">
      <w:pPr>
        <w:spacing w:after="0"/>
        <w:jc w:val="both"/>
        <w:rPr>
          <w:rFonts w:ascii="Times New Roman" w:hAnsi="Times New Roman" w:cs="Times New Roman"/>
          <w:b/>
          <w:lang w:val="es-ES_tradnl"/>
        </w:rPr>
      </w:pPr>
    </w:p>
    <w:p w14:paraId="05F17218" w14:textId="564FF03A" w:rsidR="00B86E29" w:rsidRPr="00B86E29" w:rsidRDefault="00B86E29" w:rsidP="00B86E29">
      <w:pPr>
        <w:jc w:val="both"/>
        <w:rPr>
          <w:rFonts w:ascii="Times New Roman" w:hAnsi="Times New Roman" w:cs="Times New Roman"/>
          <w:b/>
        </w:rPr>
      </w:pPr>
      <w:r w:rsidRPr="00B86E29">
        <w:rPr>
          <w:rFonts w:ascii="Times New Roman" w:hAnsi="Times New Roman" w:cs="Times New Roman"/>
          <w:lang w:val="es-ES_tradnl"/>
        </w:rPr>
        <w:t>Así mismo, se evita que la figura de la extinción de dominio afecte a terceros que actúan de buena fe, porque desconocían que el bien de su propiedad tuvo o tiene un origen o destinación ilícita.</w:t>
      </w:r>
    </w:p>
    <w:p w14:paraId="31EEA496" w14:textId="77777777" w:rsidR="00B86E29" w:rsidRPr="00B86E29" w:rsidRDefault="00B86E29" w:rsidP="00B86E29">
      <w:pPr>
        <w:spacing w:after="0" w:line="240" w:lineRule="auto"/>
        <w:jc w:val="both"/>
        <w:rPr>
          <w:rFonts w:ascii="Times New Roman" w:hAnsi="Times New Roman" w:cs="Times New Roman"/>
        </w:rPr>
      </w:pPr>
      <w:r w:rsidRPr="00B86E29">
        <w:rPr>
          <w:rFonts w:ascii="Times New Roman" w:hAnsi="Times New Roman" w:cs="Times New Roman"/>
          <w:b/>
        </w:rPr>
        <w:lastRenderedPageBreak/>
        <w:t>Artículo 2º.</w:t>
      </w:r>
      <w:r w:rsidRPr="00B86E29">
        <w:rPr>
          <w:rFonts w:ascii="Times New Roman" w:hAnsi="Times New Roman" w:cs="Times New Roman"/>
        </w:rPr>
        <w:t xml:space="preserve"> Modifíquese el artículo 123 de la Ley 1708 de 2014, a su vez modificado por el artículo 32 de la Ley 1849 de 2017, el cual quedará así: </w:t>
      </w:r>
    </w:p>
    <w:p w14:paraId="2B2CDCCB" w14:textId="77777777" w:rsidR="00B86E29" w:rsidRPr="00B86E29" w:rsidRDefault="00B86E29" w:rsidP="00B86E29">
      <w:pPr>
        <w:spacing w:after="0" w:line="240" w:lineRule="auto"/>
        <w:jc w:val="both"/>
        <w:rPr>
          <w:rFonts w:ascii="Times New Roman" w:hAnsi="Times New Roman" w:cs="Times New Roman"/>
          <w:i/>
        </w:rPr>
      </w:pPr>
    </w:p>
    <w:p w14:paraId="601C377C" w14:textId="0B6159C5" w:rsidR="00B86E29" w:rsidRPr="00B86E29" w:rsidRDefault="00B86E29" w:rsidP="00B86E29">
      <w:pPr>
        <w:pBdr>
          <w:top w:val="nil"/>
          <w:left w:val="nil"/>
          <w:bottom w:val="nil"/>
          <w:right w:val="nil"/>
          <w:between w:val="nil"/>
        </w:pBdr>
        <w:jc w:val="both"/>
        <w:rPr>
          <w:rFonts w:ascii="Times New Roman" w:hAnsi="Times New Roman" w:cs="Times New Roman"/>
          <w:i/>
        </w:rPr>
      </w:pPr>
      <w:r w:rsidRPr="00B86E29">
        <w:rPr>
          <w:rFonts w:ascii="Times New Roman" w:hAnsi="Times New Roman" w:cs="Times New Roman"/>
          <w:b/>
          <w:bCs/>
          <w:i/>
        </w:rPr>
        <w:t xml:space="preserve">ARTÍCULO 123. </w:t>
      </w:r>
      <w:r w:rsidRPr="00AC294E">
        <w:rPr>
          <w:rFonts w:ascii="Times New Roman" w:hAnsi="Times New Roman" w:cs="Times New Roman"/>
          <w:b/>
          <w:bCs/>
          <w:i/>
        </w:rPr>
        <w:t>DE LA CONCLUSIÓN DE LA FASE INICIAL.</w:t>
      </w:r>
      <w:r w:rsidRPr="00AC294E">
        <w:rPr>
          <w:rFonts w:ascii="Times New Roman" w:hAnsi="Times New Roman" w:cs="Times New Roman"/>
          <w:i/>
        </w:rPr>
        <w:t xml:space="preserve"> Concluidas las labores de investigación ordenadas durante la fase inicial se proferirá, dentro del término previsto en el artículo 123A de la presente Ley, resolución</w:t>
      </w:r>
      <w:r w:rsidRPr="00B86E29">
        <w:rPr>
          <w:rFonts w:ascii="Times New Roman" w:hAnsi="Times New Roman" w:cs="Times New Roman"/>
          <w:i/>
        </w:rPr>
        <w:t xml:space="preserve"> de archivo o demanda de extinción de dominio. En este último evento, en cuaderno aparte el Fiscal también podrá dictar medidas cautelares si no lo ha hecho antes o existen nuevos bienes.</w:t>
      </w:r>
    </w:p>
    <w:p w14:paraId="38043A5C" w14:textId="77777777" w:rsidR="00D32B14" w:rsidRPr="00D32B14" w:rsidRDefault="00D32B14" w:rsidP="00D32B14">
      <w:pPr>
        <w:spacing w:after="0" w:line="240" w:lineRule="auto"/>
        <w:jc w:val="both"/>
        <w:rPr>
          <w:rFonts w:ascii="Times New Roman" w:hAnsi="Times New Roman" w:cs="Times New Roman"/>
        </w:rPr>
      </w:pPr>
      <w:r w:rsidRPr="00D32B14">
        <w:rPr>
          <w:rFonts w:ascii="Times New Roman" w:hAnsi="Times New Roman" w:cs="Times New Roman"/>
          <w:b/>
        </w:rPr>
        <w:t xml:space="preserve">Artículo 3º. </w:t>
      </w:r>
      <w:r w:rsidRPr="00D32B14">
        <w:rPr>
          <w:rFonts w:ascii="Times New Roman" w:hAnsi="Times New Roman" w:cs="Times New Roman"/>
        </w:rPr>
        <w:t>Adiciónese el si</w:t>
      </w:r>
      <w:bookmarkStart w:id="2" w:name="_GoBack"/>
      <w:bookmarkEnd w:id="2"/>
      <w:r w:rsidRPr="00D32B14">
        <w:rPr>
          <w:rFonts w:ascii="Times New Roman" w:hAnsi="Times New Roman" w:cs="Times New Roman"/>
        </w:rPr>
        <w:t xml:space="preserve">guiente artículo a la Ley 1708 de 2014: </w:t>
      </w:r>
    </w:p>
    <w:p w14:paraId="153FB4F7" w14:textId="77777777" w:rsidR="00D32B14" w:rsidRPr="00AC294E" w:rsidRDefault="00D32B14" w:rsidP="00D32B14">
      <w:pPr>
        <w:spacing w:before="100" w:beforeAutospacing="1" w:after="100" w:afterAutospacing="1" w:line="270" w:lineRule="atLeast"/>
        <w:jc w:val="both"/>
        <w:rPr>
          <w:rFonts w:ascii="Times New Roman" w:eastAsia="Times New Roman" w:hAnsi="Times New Roman" w:cs="Times New Roman"/>
          <w:i/>
          <w:lang w:eastAsia="es-CO"/>
        </w:rPr>
      </w:pPr>
      <w:r w:rsidRPr="00AC294E">
        <w:rPr>
          <w:rFonts w:ascii="Times New Roman" w:eastAsia="Times New Roman" w:hAnsi="Times New Roman" w:cs="Times New Roman"/>
          <w:b/>
          <w:bCs/>
          <w:i/>
          <w:lang w:eastAsia="es-CO"/>
        </w:rPr>
        <w:t>ARTÍCULO 123A. DURACIÓN DE LA FASE INICIAL.</w:t>
      </w:r>
      <w:r w:rsidRPr="00AC294E">
        <w:rPr>
          <w:rFonts w:ascii="Times New Roman" w:eastAsia="Times New Roman" w:hAnsi="Times New Roman" w:cs="Times New Roman"/>
          <w:i/>
          <w:lang w:eastAsia="es-CO"/>
        </w:rPr>
        <w:t xml:space="preserve"> Sin perjuicio de lo previsto en el artículo 89 de la presente Ley, la fase inicial tendrá una duración máxima de doce (12) meses, prorrogables por una sola vez hasta por la mitad de este término, mediante Resolución motivada que deberá ser revisada por el superior jerárquico. </w:t>
      </w:r>
    </w:p>
    <w:p w14:paraId="480E1D87" w14:textId="0C649415" w:rsidR="00D32B14" w:rsidRPr="00AC294E" w:rsidRDefault="00D32B14" w:rsidP="00D32B14">
      <w:pPr>
        <w:spacing w:before="100" w:beforeAutospacing="1" w:after="100" w:afterAutospacing="1" w:line="270" w:lineRule="atLeast"/>
        <w:jc w:val="both"/>
        <w:rPr>
          <w:rFonts w:ascii="Times New Roman" w:eastAsia="Times New Roman" w:hAnsi="Times New Roman" w:cs="Times New Roman"/>
          <w:i/>
          <w:lang w:eastAsia="es-CO"/>
        </w:rPr>
      </w:pPr>
      <w:r w:rsidRPr="00AC294E">
        <w:rPr>
          <w:rFonts w:ascii="Times New Roman" w:eastAsia="Times New Roman" w:hAnsi="Times New Roman" w:cs="Times New Roman"/>
          <w:i/>
          <w:lang w:eastAsia="es-CO"/>
        </w:rPr>
        <w:t>El superior jerárquico,</w:t>
      </w:r>
      <w:r w:rsidRPr="00AC294E">
        <w:rPr>
          <w:rFonts w:ascii="Times New Roman" w:eastAsia="Times New Roman" w:hAnsi="Times New Roman" w:cs="Times New Roman"/>
          <w:i/>
          <w:lang w:eastAsia="es-CO"/>
        </w:rPr>
        <w:t xml:space="preserve"> la revocará cuando determine que el expediente cuenta con la información suficiente para presentar la demanda, en cuyo caso devolverá el expediente a la Fiscalía de origen para que proceda con la interposición inmediata de la misma. En caso contrario la confirmará. El superior jerárquico dispondrá del término de tres (3) días contados a partir del momento en que reciba el expediente para tomar la</w:t>
      </w:r>
      <w:r w:rsidRPr="00AC294E">
        <w:rPr>
          <w:rFonts w:ascii="Times New Roman" w:eastAsia="Times New Roman" w:hAnsi="Times New Roman" w:cs="Times New Roman"/>
          <w:i/>
          <w:color w:val="FF0000"/>
          <w:lang w:eastAsia="es-CO"/>
        </w:rPr>
        <w:t xml:space="preserve"> </w:t>
      </w:r>
      <w:r w:rsidRPr="00AC294E">
        <w:rPr>
          <w:rFonts w:ascii="Times New Roman" w:eastAsia="Times New Roman" w:hAnsi="Times New Roman" w:cs="Times New Roman"/>
          <w:i/>
          <w:lang w:eastAsia="es-CO"/>
        </w:rPr>
        <w:t xml:space="preserve">decisión que corresponda, contra la cual no procede recurso alguno.       </w:t>
      </w:r>
    </w:p>
    <w:p w14:paraId="608FADEA" w14:textId="77777777" w:rsidR="00D32B14" w:rsidRPr="00AC294E" w:rsidRDefault="00D32B14" w:rsidP="00D32B14">
      <w:pPr>
        <w:spacing w:before="100" w:beforeAutospacing="1" w:after="100" w:afterAutospacing="1" w:line="270" w:lineRule="atLeast"/>
        <w:jc w:val="both"/>
        <w:rPr>
          <w:rFonts w:ascii="Times New Roman" w:eastAsia="Times New Roman" w:hAnsi="Times New Roman" w:cs="Times New Roman"/>
          <w:i/>
          <w:lang w:eastAsia="es-CO"/>
        </w:rPr>
      </w:pPr>
      <w:r w:rsidRPr="00AC294E">
        <w:rPr>
          <w:rFonts w:ascii="Times New Roman" w:eastAsia="Times New Roman" w:hAnsi="Times New Roman" w:cs="Times New Roman"/>
          <w:i/>
          <w:lang w:eastAsia="es-CO"/>
        </w:rPr>
        <w:t>En los casos en los que concurra cualquiera de las siguientes circunstancias, la duración de dicha fase podrá ser de hasta veinticuatro (24) meses, sin posibilidad de prórroga:</w:t>
      </w:r>
    </w:p>
    <w:p w14:paraId="030FDD1A" w14:textId="77777777" w:rsidR="00D32B14" w:rsidRPr="00AC294E" w:rsidRDefault="00D32B14" w:rsidP="00D32B14">
      <w:pPr>
        <w:spacing w:before="100" w:beforeAutospacing="1" w:after="100" w:afterAutospacing="1" w:line="270" w:lineRule="atLeast"/>
        <w:jc w:val="both"/>
        <w:rPr>
          <w:rFonts w:ascii="Times New Roman" w:hAnsi="Times New Roman" w:cs="Times New Roman"/>
          <w:i/>
          <w:lang w:eastAsia="es-CO"/>
        </w:rPr>
      </w:pPr>
      <w:r w:rsidRPr="00AC294E">
        <w:rPr>
          <w:rFonts w:ascii="Times New Roman" w:hAnsi="Times New Roman" w:cs="Times New Roman"/>
          <w:i/>
          <w:lang w:eastAsia="es-CO"/>
        </w:rPr>
        <w:t xml:space="preserve">1. Cuando la acción patrimonial recaiga sobre bienes que se encuentren ubicados en el extranjero. </w:t>
      </w:r>
    </w:p>
    <w:p w14:paraId="12A1E1ED" w14:textId="77777777" w:rsidR="00D32B14" w:rsidRPr="00AC294E" w:rsidRDefault="00D32B14" w:rsidP="00D32B14">
      <w:pPr>
        <w:spacing w:before="100" w:beforeAutospacing="1" w:after="100" w:afterAutospacing="1" w:line="270" w:lineRule="atLeast"/>
        <w:jc w:val="both"/>
        <w:rPr>
          <w:rFonts w:ascii="Times New Roman" w:hAnsi="Times New Roman" w:cs="Times New Roman"/>
          <w:i/>
          <w:lang w:eastAsia="es-CO"/>
        </w:rPr>
      </w:pPr>
      <w:r w:rsidRPr="00AC294E">
        <w:rPr>
          <w:rFonts w:ascii="Times New Roman" w:hAnsi="Times New Roman" w:cs="Times New Roman"/>
          <w:i/>
          <w:lang w:eastAsia="es-CO"/>
        </w:rPr>
        <w:t>2. Cuando la acción patrimonial recaiga sobre un número de bienes superior a diez (10).</w:t>
      </w:r>
    </w:p>
    <w:p w14:paraId="5B983D3E" w14:textId="77777777" w:rsidR="00D32B14" w:rsidRPr="00AC294E" w:rsidRDefault="00D32B14" w:rsidP="00D32B14">
      <w:pPr>
        <w:spacing w:before="100" w:beforeAutospacing="1" w:after="100" w:afterAutospacing="1" w:line="270" w:lineRule="atLeast"/>
        <w:jc w:val="both"/>
        <w:rPr>
          <w:rFonts w:ascii="Times New Roman" w:hAnsi="Times New Roman" w:cs="Times New Roman"/>
          <w:i/>
          <w:lang w:eastAsia="es-CO"/>
        </w:rPr>
      </w:pPr>
      <w:r w:rsidRPr="00AC294E">
        <w:rPr>
          <w:rFonts w:ascii="Times New Roman" w:hAnsi="Times New Roman" w:cs="Times New Roman"/>
          <w:i/>
          <w:lang w:eastAsia="es-CO"/>
        </w:rPr>
        <w:t>3. Cuando la acción patrimonial recaiga sobre bienes vinculados a grupos armados organizados o grupos de delincuencia organizada.</w:t>
      </w:r>
    </w:p>
    <w:p w14:paraId="25CE422D" w14:textId="7E575E40" w:rsidR="00D32B14" w:rsidRPr="00AC294E" w:rsidRDefault="00D32B14" w:rsidP="00D32B14">
      <w:pPr>
        <w:spacing w:before="100" w:beforeAutospacing="1" w:after="100" w:afterAutospacing="1" w:line="270" w:lineRule="atLeast"/>
        <w:jc w:val="both"/>
        <w:rPr>
          <w:rFonts w:ascii="Times New Roman" w:hAnsi="Times New Roman" w:cs="Times New Roman"/>
          <w:i/>
          <w:lang w:eastAsia="es-CO"/>
        </w:rPr>
      </w:pPr>
      <w:r w:rsidRPr="00AC294E">
        <w:rPr>
          <w:rFonts w:ascii="Times New Roman" w:hAnsi="Times New Roman" w:cs="Times New Roman"/>
          <w:i/>
          <w:lang w:eastAsia="es-CO"/>
        </w:rPr>
        <w:t>4. Cuando el número de afectados sea igual o superior a cinco (5).</w:t>
      </w:r>
    </w:p>
    <w:p w14:paraId="30BD9CBB" w14:textId="0A54B0CF" w:rsidR="00B86E29" w:rsidRPr="00AC294E" w:rsidRDefault="00D32B14" w:rsidP="00D32B14">
      <w:pPr>
        <w:pBdr>
          <w:top w:val="nil"/>
          <w:left w:val="nil"/>
          <w:bottom w:val="nil"/>
          <w:right w:val="nil"/>
          <w:between w:val="nil"/>
        </w:pBdr>
        <w:jc w:val="both"/>
        <w:rPr>
          <w:rFonts w:ascii="Times New Roman" w:eastAsia="Times New Roman" w:hAnsi="Times New Roman" w:cs="Times New Roman"/>
          <w:i/>
          <w:lang w:eastAsia="es-CO"/>
        </w:rPr>
      </w:pPr>
      <w:r w:rsidRPr="00AC294E">
        <w:rPr>
          <w:rFonts w:ascii="Times New Roman" w:hAnsi="Times New Roman" w:cs="Times New Roman"/>
          <w:b/>
          <w:i/>
          <w:lang w:eastAsia="es-CO"/>
        </w:rPr>
        <w:t xml:space="preserve">PARÁGRAFO. </w:t>
      </w:r>
      <w:r w:rsidRPr="00AC294E">
        <w:rPr>
          <w:rFonts w:ascii="Times New Roman" w:hAnsi="Times New Roman" w:cs="Times New Roman"/>
          <w:i/>
          <w:lang w:eastAsia="es-CO"/>
        </w:rPr>
        <w:t xml:space="preserve">Cumplido el término de que trata el presente artículo sin que se haya dictado el archivo o presentado la demanda de extinción de dominio, el expediente se reasignará a otro Fiscal, para que dentro del mes siguiente adopte la decisión que corresponda. El superior jerárquico ordenará la apertura de la correspondiente investigación disciplinaria o compulsará copias a las autoridades disciplinarias y penales para que den inicio a las investigaciones en contra del Fiscal relevado.     </w:t>
      </w:r>
      <w:r w:rsidR="00B86E29" w:rsidRPr="00AC294E">
        <w:rPr>
          <w:rFonts w:ascii="Times New Roman" w:eastAsia="Times New Roman" w:hAnsi="Times New Roman" w:cs="Times New Roman"/>
          <w:i/>
          <w:lang w:eastAsia="es-CO"/>
        </w:rPr>
        <w:t xml:space="preserve">     </w:t>
      </w:r>
    </w:p>
    <w:p w14:paraId="725C7F34" w14:textId="77777777" w:rsidR="00B86E29" w:rsidRPr="00B86E29" w:rsidRDefault="00B86E29" w:rsidP="00B86E29">
      <w:pPr>
        <w:spacing w:after="0" w:line="240" w:lineRule="auto"/>
        <w:jc w:val="both"/>
        <w:rPr>
          <w:rFonts w:ascii="Times New Roman" w:hAnsi="Times New Roman" w:cs="Times New Roman"/>
        </w:rPr>
      </w:pPr>
      <w:r w:rsidRPr="00B86E29">
        <w:rPr>
          <w:rFonts w:ascii="Times New Roman" w:hAnsi="Times New Roman" w:cs="Times New Roman"/>
          <w:b/>
        </w:rPr>
        <w:t>Artículo 4º</w:t>
      </w:r>
      <w:r w:rsidRPr="00B86E29">
        <w:rPr>
          <w:rFonts w:ascii="Times New Roman" w:hAnsi="Times New Roman" w:cs="Times New Roman"/>
        </w:rPr>
        <w:t xml:space="preserve">. Adiciónese un parágrafo al artículo 125 de la Ley 1708 de 2014, el cual quedará así: </w:t>
      </w:r>
    </w:p>
    <w:p w14:paraId="6188DE95" w14:textId="77777777" w:rsidR="00B86E29" w:rsidRPr="00B86E29" w:rsidRDefault="00B86E29" w:rsidP="00B86E29">
      <w:pPr>
        <w:spacing w:after="0" w:line="240" w:lineRule="auto"/>
        <w:jc w:val="both"/>
        <w:rPr>
          <w:rFonts w:ascii="Times New Roman" w:hAnsi="Times New Roman" w:cs="Times New Roman"/>
        </w:rPr>
      </w:pPr>
    </w:p>
    <w:p w14:paraId="5ACFDB29" w14:textId="77777777" w:rsidR="00B86E29" w:rsidRPr="00B86E29" w:rsidRDefault="00B86E29" w:rsidP="00B86E29">
      <w:pPr>
        <w:spacing w:after="0" w:line="240" w:lineRule="auto"/>
        <w:jc w:val="both"/>
        <w:rPr>
          <w:rFonts w:ascii="Times New Roman" w:eastAsia="Times New Roman" w:hAnsi="Times New Roman" w:cs="Times New Roman"/>
          <w:i/>
          <w:lang w:eastAsia="es-CO"/>
        </w:rPr>
      </w:pPr>
      <w:r w:rsidRPr="00B86E29">
        <w:rPr>
          <w:rFonts w:ascii="Times New Roman" w:eastAsia="Times New Roman" w:hAnsi="Times New Roman" w:cs="Times New Roman"/>
          <w:b/>
          <w:bCs/>
          <w:i/>
          <w:lang w:eastAsia="es-CO"/>
        </w:rPr>
        <w:t>ARTÍCULO 125. DESARCHIVO.</w:t>
      </w:r>
      <w:r w:rsidRPr="00B86E29">
        <w:rPr>
          <w:rFonts w:ascii="Times New Roman" w:eastAsia="Times New Roman" w:hAnsi="Times New Roman" w:cs="Times New Roman"/>
          <w:i/>
          <w:lang w:eastAsia="es-CO"/>
        </w:rPr>
        <w:t xml:space="preserve"> El Fiscal General de la Nación o su delegado podrá de oficio o por solicitud del Ministerio Público, del Ministerio de Justicia y del Derecho, del denunciante o de </w:t>
      </w:r>
      <w:r w:rsidRPr="00B86E29">
        <w:rPr>
          <w:rFonts w:ascii="Times New Roman" w:eastAsia="Times New Roman" w:hAnsi="Times New Roman" w:cs="Times New Roman"/>
          <w:i/>
          <w:lang w:eastAsia="es-CO"/>
        </w:rPr>
        <w:lastRenderedPageBreak/>
        <w:t>cualquier persona o entidad que acredite interés, disponer el desarchivo de la actuación, en cualquier momento que surjan nuevos elementos de juicio que permitan desvirtuar de manera fundada, razonada y coherente los argumentos fácticos, jurídicos o probatorios planteados en la resolución de archivo provisional.</w:t>
      </w:r>
    </w:p>
    <w:p w14:paraId="73179659" w14:textId="77777777" w:rsidR="00B86E29" w:rsidRPr="00B86E29" w:rsidRDefault="00B86E29" w:rsidP="00B86E29">
      <w:pPr>
        <w:spacing w:after="0" w:line="240" w:lineRule="auto"/>
        <w:jc w:val="both"/>
        <w:rPr>
          <w:rFonts w:ascii="Times New Roman" w:eastAsia="Times New Roman" w:hAnsi="Times New Roman" w:cs="Times New Roman"/>
          <w:i/>
          <w:lang w:eastAsia="es-CO"/>
        </w:rPr>
      </w:pPr>
    </w:p>
    <w:p w14:paraId="6AEFC818" w14:textId="77777777" w:rsidR="00B86E29" w:rsidRPr="00B86E29" w:rsidRDefault="00B86E29" w:rsidP="00B86E29">
      <w:pPr>
        <w:spacing w:after="0" w:line="240" w:lineRule="auto"/>
        <w:jc w:val="both"/>
        <w:rPr>
          <w:rFonts w:ascii="Times New Roman" w:eastAsia="Times New Roman" w:hAnsi="Times New Roman" w:cs="Times New Roman"/>
          <w:i/>
          <w:lang w:eastAsia="es-CO"/>
        </w:rPr>
      </w:pPr>
      <w:r w:rsidRPr="00B86E29">
        <w:rPr>
          <w:rFonts w:ascii="Times New Roman" w:eastAsia="Times New Roman" w:hAnsi="Times New Roman" w:cs="Times New Roman"/>
          <w:i/>
          <w:lang w:eastAsia="es-CO"/>
        </w:rPr>
        <w:t>En los eventos donde medie solicitud de desarchivo y el Fiscal decida mantener vigente la resolución de archivo provisional, el interesado podrá, dentro de los 10 días siguientes a la comunicación de la decisión que niega su petición, solicitar al Juez Especializado en Extinción de Dominio que ejerza un control de legalidad.</w:t>
      </w:r>
    </w:p>
    <w:p w14:paraId="0BDC32FD" w14:textId="77777777" w:rsidR="00B86E29" w:rsidRPr="00AC294E" w:rsidRDefault="00B86E29" w:rsidP="00B86E29">
      <w:pPr>
        <w:spacing w:after="0" w:line="240" w:lineRule="auto"/>
        <w:jc w:val="both"/>
        <w:rPr>
          <w:rFonts w:ascii="Times New Roman" w:eastAsia="Times New Roman" w:hAnsi="Times New Roman" w:cs="Times New Roman"/>
          <w:i/>
          <w:lang w:eastAsia="es-CO"/>
        </w:rPr>
      </w:pPr>
    </w:p>
    <w:p w14:paraId="18C8F6B7" w14:textId="0895CE79" w:rsidR="00B86E29" w:rsidRPr="00AC294E" w:rsidRDefault="00B86E29" w:rsidP="00B86E29">
      <w:pPr>
        <w:pBdr>
          <w:top w:val="nil"/>
          <w:left w:val="nil"/>
          <w:bottom w:val="nil"/>
          <w:right w:val="nil"/>
          <w:between w:val="nil"/>
        </w:pBdr>
        <w:jc w:val="both"/>
        <w:rPr>
          <w:rFonts w:ascii="Times New Roman" w:eastAsia="Times New Roman" w:hAnsi="Times New Roman" w:cs="Times New Roman"/>
          <w:i/>
          <w:lang w:eastAsia="es-CO"/>
        </w:rPr>
      </w:pPr>
      <w:r w:rsidRPr="00AC294E">
        <w:rPr>
          <w:rFonts w:ascii="Times New Roman" w:eastAsia="Times New Roman" w:hAnsi="Times New Roman" w:cs="Times New Roman"/>
          <w:b/>
          <w:i/>
          <w:lang w:eastAsia="es-CO"/>
        </w:rPr>
        <w:t xml:space="preserve">PARÁGRAFO. </w:t>
      </w:r>
      <w:r w:rsidRPr="00AC294E">
        <w:rPr>
          <w:rFonts w:ascii="Times New Roman" w:eastAsia="Times New Roman" w:hAnsi="Times New Roman" w:cs="Times New Roman"/>
          <w:i/>
          <w:lang w:eastAsia="es-CO"/>
        </w:rPr>
        <w:t>Una vez ordenado el desarchivo de la actuación, el Fiscal delegado dispondrá de un término equivalente a la mitad del previsto en el artículo 123A para la práctica de las pruebas y la adopción de la decisión que correspondan.</w:t>
      </w:r>
    </w:p>
    <w:p w14:paraId="761EA0CA" w14:textId="36D68010" w:rsidR="00B86E29" w:rsidRPr="00B86E29" w:rsidRDefault="00B86E29" w:rsidP="00B86E29">
      <w:pPr>
        <w:pBdr>
          <w:top w:val="nil"/>
          <w:left w:val="nil"/>
          <w:bottom w:val="nil"/>
          <w:right w:val="nil"/>
          <w:between w:val="nil"/>
        </w:pBdr>
        <w:jc w:val="both"/>
        <w:rPr>
          <w:rFonts w:ascii="Times New Roman" w:hAnsi="Times New Roman" w:cs="Times New Roman"/>
          <w:i/>
        </w:rPr>
      </w:pPr>
      <w:r w:rsidRPr="00B86E29">
        <w:rPr>
          <w:rFonts w:ascii="Times New Roman" w:hAnsi="Times New Roman" w:cs="Times New Roman"/>
          <w:b/>
        </w:rPr>
        <w:t>Artículo 5º.</w:t>
      </w:r>
      <w:r w:rsidRPr="00B86E29">
        <w:rPr>
          <w:rFonts w:ascii="Times New Roman" w:hAnsi="Times New Roman" w:cs="Times New Roman"/>
        </w:rPr>
        <w:t xml:space="preserve"> A partir de la entrada en vigencia de la presente Ley, todas las actuaciones que estén cursando en Fase Inicial, conforme al trámite de la Ley 1708 de 2014, quedan sujetas a los términos establecidos en los artículos anteriores.   </w:t>
      </w:r>
    </w:p>
    <w:p w14:paraId="4742D09B" w14:textId="3DA8B029" w:rsidR="003A2094" w:rsidRPr="00B86E29" w:rsidRDefault="00B86E29" w:rsidP="00B86E29">
      <w:pPr>
        <w:pBdr>
          <w:top w:val="nil"/>
          <w:left w:val="nil"/>
          <w:bottom w:val="nil"/>
          <w:right w:val="nil"/>
          <w:between w:val="nil"/>
        </w:pBdr>
        <w:jc w:val="both"/>
        <w:rPr>
          <w:rFonts w:ascii="Times New Roman" w:eastAsia="Century Gothic" w:hAnsi="Times New Roman" w:cs="Times New Roman"/>
          <w:color w:val="000000" w:themeColor="text1"/>
          <w:lang w:val="es-MX"/>
        </w:rPr>
      </w:pPr>
      <w:r w:rsidRPr="00B86E29">
        <w:rPr>
          <w:rFonts w:ascii="Times New Roman" w:eastAsia="Century Gothic" w:hAnsi="Times New Roman" w:cs="Times New Roman"/>
          <w:b/>
          <w:color w:val="000000" w:themeColor="text1"/>
          <w:lang w:val="es-MX"/>
        </w:rPr>
        <w:t>Artículo 6</w:t>
      </w:r>
      <w:r w:rsidR="003A2094" w:rsidRPr="00B86E29">
        <w:rPr>
          <w:rFonts w:ascii="Times New Roman" w:eastAsia="Century Gothic" w:hAnsi="Times New Roman" w:cs="Times New Roman"/>
          <w:b/>
          <w:color w:val="000000" w:themeColor="text1"/>
          <w:lang w:val="es-MX"/>
        </w:rPr>
        <w:t xml:space="preserve">°. </w:t>
      </w:r>
      <w:r w:rsidR="003A2094" w:rsidRPr="00B86E29">
        <w:rPr>
          <w:rFonts w:ascii="Times New Roman" w:eastAsia="Century Gothic" w:hAnsi="Times New Roman" w:cs="Times New Roman"/>
          <w:color w:val="000000" w:themeColor="text1"/>
          <w:lang w:val="es-MX"/>
        </w:rPr>
        <w:t xml:space="preserve">Adiciónese un parágrafo al artículo 16 de la Ley 1708 del 2014, en cual quedará así:  </w:t>
      </w:r>
    </w:p>
    <w:p w14:paraId="6949A81E" w14:textId="77777777" w:rsidR="003A2094" w:rsidRPr="00B86E29" w:rsidRDefault="003A2094" w:rsidP="003A2094">
      <w:pPr>
        <w:pBdr>
          <w:top w:val="nil"/>
          <w:left w:val="nil"/>
          <w:bottom w:val="nil"/>
          <w:right w:val="nil"/>
          <w:between w:val="nil"/>
        </w:pBdr>
        <w:jc w:val="both"/>
        <w:rPr>
          <w:rFonts w:ascii="Times New Roman" w:eastAsia="Century Gothic" w:hAnsi="Times New Roman" w:cs="Times New Roman"/>
          <w:i/>
          <w:color w:val="000000" w:themeColor="text1"/>
          <w:lang w:val="es-MX"/>
        </w:rPr>
      </w:pPr>
      <w:r w:rsidRPr="00B86E29">
        <w:rPr>
          <w:rFonts w:ascii="Times New Roman" w:eastAsia="Century Gothic" w:hAnsi="Times New Roman" w:cs="Times New Roman"/>
          <w:b/>
          <w:i/>
          <w:color w:val="000000" w:themeColor="text1"/>
          <w:lang w:val="es-MX"/>
        </w:rPr>
        <w:t xml:space="preserve">ARTÍCULO 16. CAUSALES. </w:t>
      </w:r>
      <w:r w:rsidRPr="00B86E29">
        <w:rPr>
          <w:rFonts w:ascii="Times New Roman" w:eastAsia="Century Gothic" w:hAnsi="Times New Roman" w:cs="Times New Roman"/>
          <w:i/>
          <w:color w:val="000000" w:themeColor="text1"/>
          <w:lang w:val="es-MX"/>
        </w:rPr>
        <w:t xml:space="preserve">Se declarará extinguido el dominio sobre los bienes que se encuentren en las siguientes circunstancias: </w:t>
      </w:r>
    </w:p>
    <w:p w14:paraId="49C3709F" w14:textId="77777777" w:rsidR="003A2094" w:rsidRPr="00B86E29" w:rsidRDefault="003A2094" w:rsidP="00012B3C">
      <w:pPr>
        <w:numPr>
          <w:ilvl w:val="0"/>
          <w:numId w:val="37"/>
        </w:numPr>
        <w:pBdr>
          <w:top w:val="nil"/>
          <w:left w:val="nil"/>
          <w:bottom w:val="nil"/>
          <w:right w:val="nil"/>
          <w:between w:val="nil"/>
        </w:pBdr>
        <w:spacing w:after="0"/>
        <w:jc w:val="both"/>
        <w:rPr>
          <w:rFonts w:ascii="Times New Roman" w:eastAsia="Century Gothic" w:hAnsi="Times New Roman" w:cs="Times New Roman"/>
          <w:i/>
          <w:color w:val="000000" w:themeColor="text1"/>
          <w:lang w:val="es-MX"/>
        </w:rPr>
      </w:pPr>
      <w:r w:rsidRPr="00B86E29">
        <w:rPr>
          <w:rFonts w:ascii="Times New Roman" w:eastAsia="Century Gothic" w:hAnsi="Times New Roman" w:cs="Times New Roman"/>
          <w:i/>
          <w:color w:val="000000" w:themeColor="text1"/>
          <w:lang w:val="es-MX"/>
        </w:rPr>
        <w:t xml:space="preserve">Los que sean producto directo o indirecto de una actividad ilícita. </w:t>
      </w:r>
    </w:p>
    <w:p w14:paraId="69C468EA" w14:textId="77777777" w:rsidR="003A2094" w:rsidRPr="00B86E29" w:rsidRDefault="003A2094" w:rsidP="00012B3C">
      <w:pPr>
        <w:numPr>
          <w:ilvl w:val="0"/>
          <w:numId w:val="37"/>
        </w:numPr>
        <w:pBdr>
          <w:top w:val="nil"/>
          <w:left w:val="nil"/>
          <w:bottom w:val="nil"/>
          <w:right w:val="nil"/>
          <w:between w:val="nil"/>
        </w:pBdr>
        <w:spacing w:after="0"/>
        <w:jc w:val="both"/>
        <w:rPr>
          <w:rFonts w:ascii="Times New Roman" w:eastAsia="Century Gothic" w:hAnsi="Times New Roman" w:cs="Times New Roman"/>
          <w:i/>
          <w:color w:val="000000" w:themeColor="text1"/>
          <w:lang w:val="es-MX"/>
        </w:rPr>
      </w:pPr>
      <w:r w:rsidRPr="00B86E29">
        <w:rPr>
          <w:rFonts w:ascii="Times New Roman" w:eastAsia="Century Gothic" w:hAnsi="Times New Roman" w:cs="Times New Roman"/>
          <w:i/>
          <w:color w:val="000000" w:themeColor="text1"/>
          <w:lang w:val="es-MX"/>
        </w:rPr>
        <w:t xml:space="preserve">Los que correspondan al objeto material de la actividad ilícita, salvo que la ley disponga su destrucción. </w:t>
      </w:r>
    </w:p>
    <w:p w14:paraId="2EF9BB17" w14:textId="77777777" w:rsidR="003A2094" w:rsidRPr="00B86E29" w:rsidRDefault="003A2094" w:rsidP="00012B3C">
      <w:pPr>
        <w:numPr>
          <w:ilvl w:val="0"/>
          <w:numId w:val="37"/>
        </w:numPr>
        <w:pBdr>
          <w:top w:val="nil"/>
          <w:left w:val="nil"/>
          <w:bottom w:val="nil"/>
          <w:right w:val="nil"/>
          <w:between w:val="nil"/>
        </w:pBdr>
        <w:spacing w:after="0"/>
        <w:jc w:val="both"/>
        <w:rPr>
          <w:rFonts w:ascii="Times New Roman" w:eastAsia="Century Gothic" w:hAnsi="Times New Roman" w:cs="Times New Roman"/>
          <w:i/>
          <w:color w:val="000000" w:themeColor="text1"/>
          <w:lang w:val="es-MX"/>
        </w:rPr>
      </w:pPr>
      <w:r w:rsidRPr="00B86E29">
        <w:rPr>
          <w:rFonts w:ascii="Times New Roman" w:eastAsia="Century Gothic" w:hAnsi="Times New Roman" w:cs="Times New Roman"/>
          <w:i/>
          <w:color w:val="000000" w:themeColor="text1"/>
          <w:lang w:val="es-MX"/>
        </w:rPr>
        <w:t xml:space="preserve">Los que provengan de la transformación o conversión parcial o total, física o jurídica del producto, instrumentos u objeto material de actividades ilícitas. </w:t>
      </w:r>
    </w:p>
    <w:p w14:paraId="3D8B3247" w14:textId="77777777" w:rsidR="003A2094" w:rsidRPr="00B86E29" w:rsidRDefault="003A2094" w:rsidP="00012B3C">
      <w:pPr>
        <w:numPr>
          <w:ilvl w:val="0"/>
          <w:numId w:val="37"/>
        </w:numPr>
        <w:pBdr>
          <w:top w:val="nil"/>
          <w:left w:val="nil"/>
          <w:bottom w:val="nil"/>
          <w:right w:val="nil"/>
          <w:between w:val="nil"/>
        </w:pBdr>
        <w:spacing w:after="0"/>
        <w:jc w:val="both"/>
        <w:rPr>
          <w:rFonts w:ascii="Times New Roman" w:eastAsia="Century Gothic" w:hAnsi="Times New Roman" w:cs="Times New Roman"/>
          <w:i/>
          <w:color w:val="000000" w:themeColor="text1"/>
          <w:lang w:val="es-MX"/>
        </w:rPr>
      </w:pPr>
      <w:r w:rsidRPr="00B86E29">
        <w:rPr>
          <w:rFonts w:ascii="Times New Roman" w:eastAsia="Century Gothic" w:hAnsi="Times New Roman" w:cs="Times New Roman"/>
          <w:i/>
          <w:color w:val="000000" w:themeColor="text1"/>
          <w:lang w:val="es-MX"/>
        </w:rPr>
        <w:t xml:space="preserve">Los que formen parte de un incremento patrimonial no justificado, cuando existan elementos de conocimiento que permitan considerar razonablemente que provienen de actividades ilícitas. </w:t>
      </w:r>
    </w:p>
    <w:p w14:paraId="2014AE3A" w14:textId="77777777" w:rsidR="003A2094" w:rsidRPr="00B86E29" w:rsidRDefault="003A2094" w:rsidP="00012B3C">
      <w:pPr>
        <w:numPr>
          <w:ilvl w:val="0"/>
          <w:numId w:val="37"/>
        </w:numPr>
        <w:pBdr>
          <w:top w:val="nil"/>
          <w:left w:val="nil"/>
          <w:bottom w:val="nil"/>
          <w:right w:val="nil"/>
          <w:between w:val="nil"/>
        </w:pBdr>
        <w:spacing w:after="0"/>
        <w:jc w:val="both"/>
        <w:rPr>
          <w:rFonts w:ascii="Times New Roman" w:eastAsia="Century Gothic" w:hAnsi="Times New Roman" w:cs="Times New Roman"/>
          <w:i/>
          <w:color w:val="000000" w:themeColor="text1"/>
          <w:lang w:val="es-MX"/>
        </w:rPr>
      </w:pPr>
      <w:r w:rsidRPr="00B86E29">
        <w:rPr>
          <w:rFonts w:ascii="Times New Roman" w:eastAsia="Century Gothic" w:hAnsi="Times New Roman" w:cs="Times New Roman"/>
          <w:i/>
          <w:color w:val="000000" w:themeColor="text1"/>
          <w:lang w:val="es-MX"/>
        </w:rPr>
        <w:t xml:space="preserve">Los que hayan sido utilizados como medio o instrumento para la ejecución de actividades ilícitas. </w:t>
      </w:r>
    </w:p>
    <w:p w14:paraId="546CB824" w14:textId="77777777" w:rsidR="003A2094" w:rsidRPr="00B86E29" w:rsidRDefault="003A2094" w:rsidP="00012B3C">
      <w:pPr>
        <w:numPr>
          <w:ilvl w:val="0"/>
          <w:numId w:val="37"/>
        </w:numPr>
        <w:pBdr>
          <w:top w:val="nil"/>
          <w:left w:val="nil"/>
          <w:bottom w:val="nil"/>
          <w:right w:val="nil"/>
          <w:between w:val="nil"/>
        </w:pBdr>
        <w:spacing w:after="0"/>
        <w:jc w:val="both"/>
        <w:rPr>
          <w:rFonts w:ascii="Times New Roman" w:eastAsia="Century Gothic" w:hAnsi="Times New Roman" w:cs="Times New Roman"/>
          <w:i/>
          <w:color w:val="000000" w:themeColor="text1"/>
          <w:lang w:val="es-MX"/>
        </w:rPr>
      </w:pPr>
      <w:r w:rsidRPr="00B86E29">
        <w:rPr>
          <w:rFonts w:ascii="Times New Roman" w:eastAsia="Century Gothic" w:hAnsi="Times New Roman" w:cs="Times New Roman"/>
          <w:i/>
          <w:color w:val="000000" w:themeColor="text1"/>
          <w:lang w:val="es-MX"/>
        </w:rPr>
        <w:t xml:space="preserve">Los que de acuerdo con las circunstancias en que fueron hallados, o sus características particulares, permitan establecer que están destinados a la ejecución de actividades ilícitas. </w:t>
      </w:r>
    </w:p>
    <w:p w14:paraId="69E12B72" w14:textId="77777777" w:rsidR="003A2094" w:rsidRPr="00B86E29" w:rsidRDefault="003A2094" w:rsidP="00012B3C">
      <w:pPr>
        <w:numPr>
          <w:ilvl w:val="0"/>
          <w:numId w:val="37"/>
        </w:numPr>
        <w:pBdr>
          <w:top w:val="nil"/>
          <w:left w:val="nil"/>
          <w:bottom w:val="nil"/>
          <w:right w:val="nil"/>
          <w:between w:val="nil"/>
        </w:pBdr>
        <w:spacing w:after="0"/>
        <w:jc w:val="both"/>
        <w:rPr>
          <w:rFonts w:ascii="Times New Roman" w:eastAsia="Century Gothic" w:hAnsi="Times New Roman" w:cs="Times New Roman"/>
          <w:i/>
          <w:color w:val="000000" w:themeColor="text1"/>
          <w:lang w:val="es-MX"/>
        </w:rPr>
      </w:pPr>
      <w:r w:rsidRPr="00B86E29">
        <w:rPr>
          <w:rFonts w:ascii="Times New Roman" w:eastAsia="Century Gothic" w:hAnsi="Times New Roman" w:cs="Times New Roman"/>
          <w:i/>
          <w:color w:val="000000" w:themeColor="text1"/>
          <w:lang w:val="es-MX"/>
        </w:rPr>
        <w:t xml:space="preserve">Los que constituyan ingresos, rentas, frutos, ganancias y otros beneficios derivados de los anteriores bienes. </w:t>
      </w:r>
    </w:p>
    <w:p w14:paraId="7E4CA39B" w14:textId="77777777" w:rsidR="003A2094" w:rsidRPr="00B86E29" w:rsidRDefault="003A2094" w:rsidP="003A2094">
      <w:pPr>
        <w:pBdr>
          <w:top w:val="nil"/>
          <w:left w:val="nil"/>
          <w:bottom w:val="nil"/>
          <w:right w:val="nil"/>
          <w:between w:val="nil"/>
        </w:pBdr>
        <w:jc w:val="both"/>
        <w:rPr>
          <w:rFonts w:ascii="Times New Roman" w:eastAsia="Century Gothic" w:hAnsi="Times New Roman" w:cs="Times New Roman"/>
          <w:i/>
          <w:color w:val="000000" w:themeColor="text1"/>
          <w:lang w:val="es-MX"/>
        </w:rPr>
      </w:pPr>
      <w:r w:rsidRPr="00B86E29">
        <w:rPr>
          <w:rFonts w:ascii="Times New Roman" w:eastAsia="Century Gothic" w:hAnsi="Times New Roman" w:cs="Times New Roman"/>
          <w:i/>
          <w:color w:val="000000" w:themeColor="text1"/>
          <w:lang w:val="es-MX"/>
        </w:rPr>
        <w:t>Los de procedencia lícita, utilizados para ocultar bienes de ilícita 1a procedencia.</w:t>
      </w:r>
    </w:p>
    <w:p w14:paraId="5D2D606D" w14:textId="77777777" w:rsidR="003A2094" w:rsidRPr="00B86E29" w:rsidRDefault="003A2094" w:rsidP="00012B3C">
      <w:pPr>
        <w:numPr>
          <w:ilvl w:val="0"/>
          <w:numId w:val="37"/>
        </w:numPr>
        <w:pBdr>
          <w:top w:val="nil"/>
          <w:left w:val="nil"/>
          <w:bottom w:val="nil"/>
          <w:right w:val="nil"/>
          <w:between w:val="nil"/>
        </w:pBdr>
        <w:spacing w:after="0"/>
        <w:jc w:val="both"/>
        <w:rPr>
          <w:rFonts w:ascii="Times New Roman" w:eastAsia="Century Gothic" w:hAnsi="Times New Roman" w:cs="Times New Roman"/>
          <w:i/>
          <w:color w:val="000000" w:themeColor="text1"/>
          <w:lang w:val="es-MX"/>
        </w:rPr>
      </w:pPr>
      <w:r w:rsidRPr="00B86E29">
        <w:rPr>
          <w:rFonts w:ascii="Times New Roman" w:eastAsia="Century Gothic" w:hAnsi="Times New Roman" w:cs="Times New Roman"/>
          <w:i/>
          <w:color w:val="000000" w:themeColor="text1"/>
          <w:lang w:val="es-MX"/>
        </w:rPr>
        <w:t>Los de procedencia lícita, utilizados para ocultar bienes de ilícita 1a procedencia.</w:t>
      </w:r>
    </w:p>
    <w:p w14:paraId="30D91DD3" w14:textId="77777777" w:rsidR="003A2094" w:rsidRPr="00B86E29" w:rsidRDefault="003A2094" w:rsidP="00012B3C">
      <w:pPr>
        <w:numPr>
          <w:ilvl w:val="0"/>
          <w:numId w:val="37"/>
        </w:numPr>
        <w:pBdr>
          <w:top w:val="nil"/>
          <w:left w:val="nil"/>
          <w:bottom w:val="nil"/>
          <w:right w:val="nil"/>
          <w:between w:val="nil"/>
        </w:pBdr>
        <w:spacing w:after="0"/>
        <w:jc w:val="both"/>
        <w:rPr>
          <w:rFonts w:ascii="Times New Roman" w:eastAsia="Century Gothic" w:hAnsi="Times New Roman" w:cs="Times New Roman"/>
          <w:i/>
          <w:color w:val="000000" w:themeColor="text1"/>
          <w:lang w:val="es-MX"/>
        </w:rPr>
      </w:pPr>
      <w:r w:rsidRPr="00B86E29">
        <w:rPr>
          <w:rFonts w:ascii="Times New Roman" w:eastAsia="Century Gothic" w:hAnsi="Times New Roman" w:cs="Times New Roman"/>
          <w:i/>
          <w:color w:val="000000" w:themeColor="text1"/>
          <w:lang w:val="es-MX"/>
        </w:rPr>
        <w:t xml:space="preserve">Los de procedencia lícita, mezclados material o jurídicamente con bienes de ilícita procedencia. </w:t>
      </w:r>
    </w:p>
    <w:p w14:paraId="1459F488" w14:textId="77777777" w:rsidR="003A2094" w:rsidRPr="00B86E29" w:rsidRDefault="003A2094" w:rsidP="00012B3C">
      <w:pPr>
        <w:numPr>
          <w:ilvl w:val="0"/>
          <w:numId w:val="37"/>
        </w:numPr>
        <w:pBdr>
          <w:top w:val="nil"/>
          <w:left w:val="nil"/>
          <w:bottom w:val="nil"/>
          <w:right w:val="nil"/>
          <w:between w:val="nil"/>
        </w:pBdr>
        <w:spacing w:after="0"/>
        <w:jc w:val="both"/>
        <w:rPr>
          <w:rFonts w:ascii="Times New Roman" w:eastAsia="Century Gothic" w:hAnsi="Times New Roman" w:cs="Times New Roman"/>
          <w:i/>
          <w:color w:val="000000" w:themeColor="text1"/>
          <w:lang w:val="es-MX"/>
        </w:rPr>
      </w:pPr>
      <w:r w:rsidRPr="00B86E29">
        <w:rPr>
          <w:rFonts w:ascii="Times New Roman" w:eastAsia="Century Gothic" w:hAnsi="Times New Roman" w:cs="Times New Roman"/>
          <w:i/>
          <w:color w:val="000000" w:themeColor="text1"/>
          <w:lang w:val="es-MX"/>
        </w:rPr>
        <w:t xml:space="preserve">Los de origen lícito cuyo valor sea equivalente a cualquiera de los bienes descritos en los numerales anteriores, cuando la acción resulte improcedente por el reconocimiento de los derechos de un tercero de buena fe exenta de culpa. </w:t>
      </w:r>
    </w:p>
    <w:p w14:paraId="51062FB8" w14:textId="65C4748B" w:rsidR="003A2094" w:rsidRPr="00B86E29" w:rsidRDefault="003A2094" w:rsidP="00012B3C">
      <w:pPr>
        <w:numPr>
          <w:ilvl w:val="0"/>
          <w:numId w:val="37"/>
        </w:numPr>
        <w:pBdr>
          <w:top w:val="nil"/>
          <w:left w:val="nil"/>
          <w:bottom w:val="nil"/>
          <w:right w:val="nil"/>
          <w:between w:val="nil"/>
        </w:pBdr>
        <w:spacing w:after="0"/>
        <w:jc w:val="both"/>
        <w:rPr>
          <w:rFonts w:ascii="Times New Roman" w:eastAsia="Century Gothic" w:hAnsi="Times New Roman" w:cs="Times New Roman"/>
          <w:i/>
          <w:color w:val="000000" w:themeColor="text1"/>
          <w:lang w:val="es-MX"/>
        </w:rPr>
      </w:pPr>
      <w:r w:rsidRPr="00B86E29">
        <w:rPr>
          <w:rFonts w:ascii="Times New Roman" w:eastAsia="Century Gothic" w:hAnsi="Times New Roman" w:cs="Times New Roman"/>
          <w:i/>
          <w:color w:val="000000" w:themeColor="text1"/>
          <w:lang w:val="es-MX"/>
        </w:rPr>
        <w:lastRenderedPageBreak/>
        <w:t xml:space="preserve">Los de origen lícito cuyo valor corresponda o sea equivalente al de bienes producto directo o indirecto de una actividad ilícita, cuando no sea posible la localización, identificación o afectación material de estos. </w:t>
      </w:r>
    </w:p>
    <w:p w14:paraId="3CB7EB10" w14:textId="77777777" w:rsidR="003A2094" w:rsidRPr="00B86E29" w:rsidRDefault="003A2094" w:rsidP="003A2094">
      <w:pPr>
        <w:pBdr>
          <w:top w:val="nil"/>
          <w:left w:val="nil"/>
          <w:bottom w:val="nil"/>
          <w:right w:val="nil"/>
          <w:between w:val="nil"/>
        </w:pBdr>
        <w:spacing w:after="0"/>
        <w:ind w:left="36"/>
        <w:jc w:val="both"/>
        <w:rPr>
          <w:rFonts w:ascii="Times New Roman" w:eastAsia="Century Gothic" w:hAnsi="Times New Roman" w:cs="Times New Roman"/>
          <w:i/>
          <w:color w:val="000000" w:themeColor="text1"/>
          <w:lang w:val="es-MX"/>
        </w:rPr>
      </w:pPr>
    </w:p>
    <w:p w14:paraId="3877ADBB" w14:textId="35EC2432" w:rsidR="003A2094" w:rsidRPr="00B86E29" w:rsidRDefault="00B86E29" w:rsidP="003A2094">
      <w:pPr>
        <w:pBdr>
          <w:top w:val="nil"/>
          <w:left w:val="nil"/>
          <w:bottom w:val="nil"/>
          <w:right w:val="nil"/>
          <w:between w:val="nil"/>
        </w:pBdr>
        <w:jc w:val="both"/>
        <w:rPr>
          <w:rFonts w:ascii="Times New Roman" w:eastAsia="Century Gothic" w:hAnsi="Times New Roman" w:cs="Times New Roman"/>
          <w:i/>
          <w:color w:val="000000" w:themeColor="text1"/>
          <w:lang w:val="es-MX"/>
        </w:rPr>
      </w:pPr>
      <w:r w:rsidRPr="00B86E29">
        <w:rPr>
          <w:rFonts w:ascii="Times New Roman" w:eastAsia="Century Gothic" w:hAnsi="Times New Roman" w:cs="Times New Roman"/>
          <w:b/>
          <w:i/>
          <w:color w:val="000000" w:themeColor="text1"/>
          <w:lang w:val="es-MX"/>
        </w:rPr>
        <w:t xml:space="preserve">PARÁGRAFO PRIMERO: </w:t>
      </w:r>
      <w:r w:rsidR="003A2094" w:rsidRPr="00B86E29">
        <w:rPr>
          <w:rFonts w:ascii="Times New Roman" w:eastAsia="Century Gothic" w:hAnsi="Times New Roman" w:cs="Times New Roman"/>
          <w:i/>
          <w:color w:val="000000" w:themeColor="text1"/>
          <w:lang w:val="es-MX"/>
        </w:rPr>
        <w:t xml:space="preserve">También procederá la extinción de dominio respecto de los bienes objeto de sucesión por causa de muerte, cuando en ellos concurra cualquiera de las causales previstas en esta ley. </w:t>
      </w:r>
    </w:p>
    <w:p w14:paraId="27AFC87B" w14:textId="0548F0D7" w:rsidR="00D32B14" w:rsidRPr="00D32B14" w:rsidRDefault="00D32B14" w:rsidP="003A2094">
      <w:pPr>
        <w:pBdr>
          <w:top w:val="nil"/>
          <w:left w:val="nil"/>
          <w:bottom w:val="nil"/>
          <w:right w:val="nil"/>
          <w:between w:val="nil"/>
        </w:pBdr>
        <w:jc w:val="both"/>
        <w:rPr>
          <w:rFonts w:ascii="Times New Roman" w:hAnsi="Times New Roman" w:cs="Times New Roman"/>
          <w:i/>
          <w:lang w:val="es-MX"/>
        </w:rPr>
      </w:pPr>
      <w:r w:rsidRPr="00D32B14">
        <w:rPr>
          <w:rFonts w:ascii="Times New Roman" w:hAnsi="Times New Roman" w:cs="Times New Roman"/>
          <w:b/>
          <w:i/>
        </w:rPr>
        <w:t>PARÁGRAFO SEGUNDO:</w:t>
      </w:r>
      <w:r w:rsidRPr="00D32B14">
        <w:rPr>
          <w:rFonts w:ascii="Times New Roman" w:hAnsi="Times New Roman" w:cs="Times New Roman"/>
          <w:i/>
        </w:rPr>
        <w:t xml:space="preserve"> </w:t>
      </w:r>
      <w:r w:rsidRPr="00D32B14">
        <w:rPr>
          <w:rFonts w:ascii="Times New Roman" w:hAnsi="Times New Roman" w:cs="Times New Roman"/>
          <w:i/>
        </w:rPr>
        <w:t>No procederá la extinción del derecho de dominio por las causales anteriormente previstas, cuando el propietario del bien inmueble pueda probar en etapa administrativa preliminar, que actuó de buena fe exenta de culpa. Caso en el cual, La Fiscalía General de la Nación deberá proferir resolución de archivo.</w:t>
      </w:r>
      <w:r w:rsidRPr="00D32B14">
        <w:rPr>
          <w:rFonts w:ascii="Times New Roman" w:hAnsi="Times New Roman" w:cs="Times New Roman"/>
          <w:i/>
          <w:lang w:val="es-MX"/>
        </w:rPr>
        <w:t xml:space="preserve">  </w:t>
      </w:r>
    </w:p>
    <w:p w14:paraId="5BBD26D3" w14:textId="68192510" w:rsidR="003A2094" w:rsidRPr="00B86E29" w:rsidRDefault="00B86E29" w:rsidP="003A2094">
      <w:pPr>
        <w:pBdr>
          <w:top w:val="nil"/>
          <w:left w:val="nil"/>
          <w:bottom w:val="nil"/>
          <w:right w:val="nil"/>
          <w:between w:val="nil"/>
        </w:pBdr>
        <w:jc w:val="both"/>
        <w:rPr>
          <w:rFonts w:ascii="Times New Roman" w:eastAsia="Century Gothic" w:hAnsi="Times New Roman" w:cs="Times New Roman"/>
          <w:color w:val="000000" w:themeColor="text1"/>
          <w:lang w:val="es-MX"/>
        </w:rPr>
      </w:pPr>
      <w:r w:rsidRPr="00B86E29">
        <w:rPr>
          <w:rFonts w:ascii="Times New Roman" w:eastAsia="Century Gothic" w:hAnsi="Times New Roman" w:cs="Times New Roman"/>
          <w:b/>
          <w:color w:val="000000" w:themeColor="text1"/>
          <w:lang w:val="es-MX"/>
        </w:rPr>
        <w:t>Artículo 7</w:t>
      </w:r>
      <w:r w:rsidR="003A2094" w:rsidRPr="00B86E29">
        <w:rPr>
          <w:rFonts w:ascii="Times New Roman" w:eastAsia="Century Gothic" w:hAnsi="Times New Roman" w:cs="Times New Roman"/>
          <w:b/>
          <w:color w:val="000000" w:themeColor="text1"/>
          <w:lang w:val="es-MX"/>
        </w:rPr>
        <w:t xml:space="preserve">º. Vigencia y derogatoria. </w:t>
      </w:r>
      <w:r w:rsidR="003A2094" w:rsidRPr="00B86E29">
        <w:rPr>
          <w:rFonts w:ascii="Times New Roman" w:eastAsia="Century Gothic" w:hAnsi="Times New Roman" w:cs="Times New Roman"/>
          <w:color w:val="000000" w:themeColor="text1"/>
          <w:lang w:val="es-MX"/>
        </w:rPr>
        <w:t xml:space="preserve">La presente ley rige a partir de la fecha de su publicación y deroga todas las disposiciones que le sean contrarias. </w:t>
      </w:r>
    </w:p>
    <w:p w14:paraId="49F9CFB4" w14:textId="77777777" w:rsidR="00C06C02" w:rsidRPr="00B86E29" w:rsidRDefault="00C06C02" w:rsidP="003A2094">
      <w:pPr>
        <w:spacing w:after="0" w:line="240" w:lineRule="auto"/>
        <w:jc w:val="both"/>
        <w:rPr>
          <w:rFonts w:ascii="Times New Roman" w:eastAsia="Arial" w:hAnsi="Times New Roman" w:cs="Times New Roman"/>
          <w:color w:val="000000"/>
        </w:rPr>
      </w:pPr>
    </w:p>
    <w:p w14:paraId="5D4721FB" w14:textId="77777777" w:rsidR="00C06C02" w:rsidRPr="00B86E29" w:rsidRDefault="00C06C02" w:rsidP="00C06C02">
      <w:pPr>
        <w:spacing w:after="0"/>
        <w:jc w:val="both"/>
        <w:rPr>
          <w:rFonts w:ascii="Times New Roman" w:hAnsi="Times New Roman" w:cs="Times New Roman"/>
          <w:lang w:val="es-ES_tradnl"/>
        </w:rPr>
      </w:pPr>
      <w:r w:rsidRPr="00B86E29">
        <w:rPr>
          <w:rFonts w:ascii="Times New Roman" w:hAnsi="Times New Roman" w:cs="Times New Roman"/>
          <w:lang w:val="es-ES_tradnl"/>
        </w:rPr>
        <w:t>Del Honorable Representante,</w:t>
      </w:r>
    </w:p>
    <w:p w14:paraId="0CEF918C" w14:textId="329B7BBD" w:rsidR="00C06C02" w:rsidRPr="00B86E29" w:rsidRDefault="00C06C02" w:rsidP="00C06C02">
      <w:pPr>
        <w:spacing w:after="0"/>
        <w:jc w:val="both"/>
        <w:rPr>
          <w:rFonts w:ascii="Times New Roman" w:hAnsi="Times New Roman" w:cs="Times New Roman"/>
          <w:lang w:val="es-ES_tradnl"/>
        </w:rPr>
      </w:pPr>
    </w:p>
    <w:p w14:paraId="11E6E04C" w14:textId="7FBC33EA" w:rsidR="00406E45" w:rsidRDefault="00406E45" w:rsidP="00C06C02">
      <w:pPr>
        <w:spacing w:after="0"/>
        <w:jc w:val="both"/>
        <w:rPr>
          <w:rFonts w:ascii="Times New Roman" w:hAnsi="Times New Roman" w:cs="Times New Roman"/>
          <w:lang w:val="es-ES_tradnl"/>
        </w:rPr>
      </w:pPr>
    </w:p>
    <w:p w14:paraId="72208FF7" w14:textId="77777777" w:rsidR="00B86E29" w:rsidRPr="00B86E29" w:rsidRDefault="00B86E29" w:rsidP="00C06C02">
      <w:pPr>
        <w:spacing w:after="0"/>
        <w:jc w:val="both"/>
        <w:rPr>
          <w:rFonts w:ascii="Times New Roman" w:hAnsi="Times New Roman" w:cs="Times New Roman"/>
          <w:lang w:val="es-ES_tradnl"/>
        </w:rPr>
      </w:pPr>
    </w:p>
    <w:p w14:paraId="4F87FA1F" w14:textId="77777777" w:rsidR="00C06C02" w:rsidRPr="00B86E29" w:rsidRDefault="00C06C02" w:rsidP="00C06C02">
      <w:pPr>
        <w:spacing w:after="0"/>
        <w:jc w:val="both"/>
        <w:rPr>
          <w:rFonts w:ascii="Times New Roman" w:hAnsi="Times New Roman" w:cs="Times New Roman"/>
          <w:lang w:val="es-ES_tradnl"/>
        </w:rPr>
      </w:pPr>
    </w:p>
    <w:p w14:paraId="5DAF68E5" w14:textId="77777777" w:rsidR="00C06C02" w:rsidRPr="00B86E29" w:rsidRDefault="00C06C02" w:rsidP="00C06C02">
      <w:pPr>
        <w:spacing w:after="0"/>
        <w:jc w:val="both"/>
        <w:rPr>
          <w:rFonts w:ascii="Times New Roman" w:hAnsi="Times New Roman" w:cs="Times New Roman"/>
          <w:b/>
          <w:bCs/>
          <w:lang w:val="es-ES_tradnl"/>
        </w:rPr>
      </w:pPr>
      <w:r w:rsidRPr="00B86E29">
        <w:rPr>
          <w:rFonts w:ascii="Times New Roman" w:hAnsi="Times New Roman" w:cs="Times New Roman"/>
          <w:b/>
          <w:bCs/>
          <w:lang w:val="es-ES_tradnl"/>
        </w:rPr>
        <w:t>JUAN CARLOS WILLS OSPINA</w:t>
      </w:r>
    </w:p>
    <w:p w14:paraId="2D580C82" w14:textId="77777777" w:rsidR="00C06C02" w:rsidRPr="00B86E29" w:rsidRDefault="00C06C02" w:rsidP="00C06C02">
      <w:pPr>
        <w:spacing w:after="0"/>
        <w:jc w:val="both"/>
        <w:rPr>
          <w:rFonts w:ascii="Times New Roman" w:hAnsi="Times New Roman" w:cs="Times New Roman"/>
          <w:b/>
          <w:bCs/>
          <w:lang w:val="es-ES_tradnl"/>
        </w:rPr>
      </w:pPr>
      <w:r w:rsidRPr="00B86E29">
        <w:rPr>
          <w:rFonts w:ascii="Times New Roman" w:hAnsi="Times New Roman" w:cs="Times New Roman"/>
          <w:b/>
          <w:bCs/>
          <w:lang w:val="es-ES_tradnl"/>
        </w:rPr>
        <w:t>Representante a la C</w:t>
      </w:r>
      <w:r w:rsidRPr="00B86E29">
        <w:rPr>
          <w:rFonts w:ascii="Times New Roman" w:eastAsia="Helvetica" w:hAnsi="Times New Roman" w:cs="Times New Roman"/>
          <w:b/>
          <w:bCs/>
          <w:lang w:val="es-ES_tradnl"/>
        </w:rPr>
        <w:t xml:space="preserve">ámara </w:t>
      </w:r>
    </w:p>
    <w:p w14:paraId="33A0AE41" w14:textId="77777777" w:rsidR="004D62F9" w:rsidRPr="00B86E29" w:rsidRDefault="004D62F9" w:rsidP="003F7560">
      <w:pPr>
        <w:spacing w:after="0"/>
        <w:jc w:val="both"/>
        <w:rPr>
          <w:rFonts w:ascii="Times New Roman" w:hAnsi="Times New Roman" w:cs="Times New Roman"/>
          <w:lang w:val="es-ES_tradnl"/>
        </w:rPr>
      </w:pPr>
    </w:p>
    <w:sectPr w:rsidR="004D62F9" w:rsidRPr="00B86E29" w:rsidSect="00EC17F9">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C7074" w14:textId="77777777" w:rsidR="00BD1431" w:rsidRDefault="00BD1431" w:rsidP="004D74A2">
      <w:pPr>
        <w:spacing w:after="0" w:line="240" w:lineRule="auto"/>
      </w:pPr>
      <w:r>
        <w:separator/>
      </w:r>
    </w:p>
  </w:endnote>
  <w:endnote w:type="continuationSeparator" w:id="0">
    <w:p w14:paraId="25C3CDDB" w14:textId="77777777" w:rsidR="00BD1431" w:rsidRDefault="00BD1431" w:rsidP="004D7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636149"/>
      <w:docPartObj>
        <w:docPartGallery w:val="Page Numbers (Bottom of Page)"/>
        <w:docPartUnique/>
      </w:docPartObj>
    </w:sdtPr>
    <w:sdtEndPr/>
    <w:sdtContent>
      <w:p w14:paraId="0EB546F9" w14:textId="39D12C79" w:rsidR="009E5AAB" w:rsidRDefault="009E5AAB">
        <w:pPr>
          <w:pStyle w:val="Piedepgina"/>
          <w:jc w:val="right"/>
        </w:pPr>
        <w:r>
          <w:fldChar w:fldCharType="begin"/>
        </w:r>
        <w:r>
          <w:instrText>PAGE   \* MERGEFORMAT</w:instrText>
        </w:r>
        <w:r>
          <w:fldChar w:fldCharType="separate"/>
        </w:r>
        <w:r w:rsidR="00AC294E">
          <w:rPr>
            <w:noProof/>
          </w:rPr>
          <w:t>24</w:t>
        </w:r>
        <w:r>
          <w:rPr>
            <w:noProof/>
          </w:rPr>
          <w:fldChar w:fldCharType="end"/>
        </w:r>
      </w:p>
    </w:sdtContent>
  </w:sdt>
  <w:p w14:paraId="496217B0" w14:textId="77777777" w:rsidR="009E5AAB" w:rsidRDefault="009E5AA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D39C7" w14:textId="77777777" w:rsidR="00BD1431" w:rsidRDefault="00BD1431" w:rsidP="004D74A2">
      <w:pPr>
        <w:spacing w:after="0" w:line="240" w:lineRule="auto"/>
      </w:pPr>
      <w:r>
        <w:separator/>
      </w:r>
    </w:p>
  </w:footnote>
  <w:footnote w:type="continuationSeparator" w:id="0">
    <w:p w14:paraId="54E5A78A" w14:textId="77777777" w:rsidR="00BD1431" w:rsidRDefault="00BD1431" w:rsidP="004D74A2">
      <w:pPr>
        <w:spacing w:after="0" w:line="240" w:lineRule="auto"/>
      </w:pPr>
      <w:r>
        <w:continuationSeparator/>
      </w:r>
    </w:p>
  </w:footnote>
  <w:footnote w:id="1">
    <w:p w14:paraId="6E190940" w14:textId="77777777" w:rsidR="00A70700" w:rsidRDefault="00A70700" w:rsidP="00A70700">
      <w:pPr>
        <w:pStyle w:val="Textonotapie"/>
        <w:jc w:val="both"/>
      </w:pPr>
      <w:r>
        <w:rPr>
          <w:rStyle w:val="Refdenotaalpie"/>
        </w:rPr>
        <w:footnoteRef/>
      </w:r>
      <w:r>
        <w:t xml:space="preserve"> Oficio No. D-009, del once (11) de marzo de 2021, suscrito por el Juez Segundo del Circuito Especializado de Extinción de Dominio de Bogotá. </w:t>
      </w:r>
    </w:p>
  </w:footnote>
  <w:footnote w:id="2">
    <w:p w14:paraId="5184C7EC" w14:textId="77777777" w:rsidR="00A70700" w:rsidRDefault="00A70700" w:rsidP="00A70700">
      <w:pPr>
        <w:pStyle w:val="Textonotapie"/>
      </w:pPr>
      <w:r>
        <w:rPr>
          <w:rStyle w:val="Refdenotaalpie"/>
        </w:rPr>
        <w:footnoteRef/>
      </w:r>
      <w:r>
        <w:t xml:space="preserve"> Ídem. </w:t>
      </w:r>
    </w:p>
  </w:footnote>
  <w:footnote w:id="3">
    <w:p w14:paraId="6DF68352" w14:textId="77777777" w:rsidR="00A70700" w:rsidRDefault="00A70700" w:rsidP="00A70700">
      <w:pPr>
        <w:pStyle w:val="Textonotapie"/>
      </w:pPr>
      <w:r>
        <w:rPr>
          <w:rStyle w:val="Refdenotaalpie"/>
        </w:rPr>
        <w:footnoteRef/>
      </w:r>
      <w:r>
        <w:t xml:space="preserve"> Ídem. </w:t>
      </w:r>
    </w:p>
  </w:footnote>
  <w:footnote w:id="4">
    <w:p w14:paraId="2518D1C8" w14:textId="77777777" w:rsidR="00A70700" w:rsidRPr="00822F2A" w:rsidRDefault="00A70700" w:rsidP="00A70700">
      <w:pPr>
        <w:pStyle w:val="Textonotapie"/>
        <w:jc w:val="both"/>
      </w:pPr>
      <w:r>
        <w:rPr>
          <w:rStyle w:val="Refdenotaalpie"/>
        </w:rPr>
        <w:footnoteRef/>
      </w:r>
      <w:r>
        <w:t xml:space="preserve"> </w:t>
      </w:r>
      <w:r w:rsidRPr="00822F2A">
        <w:t>Oficio MJD-OFI21-0004081-DJU-1500</w:t>
      </w:r>
      <w:r>
        <w:t xml:space="preserve">, suscrito por el Director Jurídico del Ministerio de Justicia y del Derecho. </w:t>
      </w:r>
    </w:p>
  </w:footnote>
  <w:footnote w:id="5">
    <w:p w14:paraId="4434BC33" w14:textId="77777777" w:rsidR="00A70700" w:rsidRDefault="00A70700" w:rsidP="00A70700">
      <w:pPr>
        <w:pStyle w:val="Textonotapie"/>
        <w:jc w:val="both"/>
      </w:pPr>
      <w:r>
        <w:rPr>
          <w:rStyle w:val="Refdenotaalpie"/>
        </w:rPr>
        <w:footnoteRef/>
      </w:r>
      <w:r>
        <w:t xml:space="preserve"> En un reciente informe de auditoría interna sobre el proceso de extinción de dominio (2020), concluyó que el hecho de que la intervención del Ministerio de Justicia en tales actuaciones sea facultativa, ha propiciado fallas en el proceso de selección, pese a los criterios que se han establecido para orientar esta decisión.  </w:t>
      </w:r>
    </w:p>
  </w:footnote>
  <w:footnote w:id="6">
    <w:p w14:paraId="5205A170" w14:textId="30B77F2A" w:rsidR="00012B3C" w:rsidRPr="00231D63" w:rsidRDefault="00012B3C" w:rsidP="00012B3C">
      <w:pPr>
        <w:pStyle w:val="Textonotapie"/>
        <w:rPr>
          <w:lang w:val="es-MX"/>
        </w:rPr>
      </w:pPr>
      <w:r>
        <w:rPr>
          <w:rStyle w:val="Refdenotaalpie"/>
        </w:rPr>
        <w:footnoteRef/>
      </w:r>
      <w:r w:rsidRPr="00231D63">
        <w:rPr>
          <w:lang w:val="es-MX"/>
        </w:rPr>
        <w:t xml:space="preserve"> </w:t>
      </w:r>
      <w:r w:rsidRPr="00556BE7">
        <w:rPr>
          <w:rFonts w:ascii="Century Gothic" w:hAnsi="Century Gothic"/>
          <w:sz w:val="16"/>
          <w:lang w:val="es-MX"/>
        </w:rPr>
        <w:t>Fundamentos e imputación en materia de extinción del derecho de dominio, Universidad Nacional de Colombia, Santiago Vásquez Betancur 2018.</w:t>
      </w:r>
      <w:r w:rsidRPr="00556BE7">
        <w:rPr>
          <w:sz w:val="16"/>
          <w:lang w:val="es-MX"/>
        </w:rPr>
        <w:t xml:space="preserve">  </w:t>
      </w:r>
    </w:p>
  </w:footnote>
  <w:footnote w:id="7">
    <w:p w14:paraId="1FA876B0" w14:textId="77777777" w:rsidR="001422C1" w:rsidRDefault="001422C1" w:rsidP="001422C1">
      <w:pPr>
        <w:pStyle w:val="Textonotapie"/>
        <w:jc w:val="both"/>
      </w:pPr>
      <w:r>
        <w:rPr>
          <w:rStyle w:val="Refdenotaalpie"/>
        </w:rPr>
        <w:footnoteRef/>
      </w:r>
      <w:r>
        <w:t xml:space="preserve"> A propósito, aunque la reforma que se propone mediante el presente proyecto de ley es necesaria y de capital importancia, el país está en mora de transitar hacia un procedimiento similar.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9F98D" w14:textId="77777777" w:rsidR="009E5AAB" w:rsidRDefault="009E5AAB" w:rsidP="00EC17F9">
    <w:pPr>
      <w:pStyle w:val="Encabezado"/>
      <w:tabs>
        <w:tab w:val="left" w:pos="7785"/>
      </w:tabs>
    </w:pPr>
    <w:r>
      <w:rPr>
        <w:noProof/>
        <w:lang w:val="es-CO" w:eastAsia="es-CO"/>
      </w:rPr>
      <w:drawing>
        <wp:anchor distT="0" distB="0" distL="114300" distR="114300" simplePos="0" relativeHeight="251660288" behindDoc="0" locked="0" layoutInCell="1" allowOverlap="1" wp14:anchorId="58870588" wp14:editId="07777777">
          <wp:simplePos x="0" y="0"/>
          <wp:positionH relativeFrom="margin">
            <wp:posOffset>1920240</wp:posOffset>
          </wp:positionH>
          <wp:positionV relativeFrom="margin">
            <wp:posOffset>-883920</wp:posOffset>
          </wp:positionV>
          <wp:extent cx="2038350" cy="76136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agina-1.png"/>
                  <pic:cNvPicPr/>
                </pic:nvPicPr>
                <pic:blipFill rotWithShape="1">
                  <a:blip r:embed="rId1">
                    <a:extLst>
                      <a:ext uri="{28A0092B-C50C-407E-A947-70E740481C1C}">
                        <a14:useLocalDpi xmlns:a14="http://schemas.microsoft.com/office/drawing/2010/main" val="0"/>
                      </a:ext>
                    </a:extLst>
                  </a:blip>
                  <a:srcRect l="2555" t="11507" r="64790" b="10528"/>
                  <a:stretch/>
                </pic:blipFill>
                <pic:spPr bwMode="auto">
                  <a:xfrm>
                    <a:off x="0" y="0"/>
                    <a:ext cx="2038350" cy="761365"/>
                  </a:xfrm>
                  <a:prstGeom prst="rect">
                    <a:avLst/>
                  </a:prstGeom>
                  <a:ln>
                    <a:noFill/>
                  </a:ln>
                  <a:extLst>
                    <a:ext uri="{53640926-AAD7-44D8-BBD7-CCE9431645EC}">
                      <a14:shadowObscured xmlns:a14="http://schemas.microsoft.com/office/drawing/2010/main"/>
                    </a:ext>
                  </a:extLst>
                </pic:spPr>
              </pic:pic>
            </a:graphicData>
          </a:graphic>
        </wp:anchor>
      </w:drawing>
    </w:r>
  </w:p>
  <w:p w14:paraId="66C82AA8" w14:textId="77777777" w:rsidR="009E5AAB" w:rsidRDefault="009E5AAB" w:rsidP="00EC17F9">
    <w:pPr>
      <w:pStyle w:val="Encabezado"/>
      <w:tabs>
        <w:tab w:val="left" w:pos="7785"/>
      </w:tabs>
    </w:pPr>
  </w:p>
  <w:p w14:paraId="4631F88E" w14:textId="77777777" w:rsidR="009E5AAB" w:rsidRDefault="009E5AAB" w:rsidP="00EC17F9">
    <w:pPr>
      <w:pStyle w:val="Encabezado"/>
      <w:tabs>
        <w:tab w:val="left" w:pos="7785"/>
      </w:tabs>
    </w:pPr>
  </w:p>
  <w:p w14:paraId="4AF909B0" w14:textId="77777777" w:rsidR="009E5AAB" w:rsidRDefault="009E5AAB" w:rsidP="00EC17F9">
    <w:pPr>
      <w:pStyle w:val="Encabezado"/>
      <w:tabs>
        <w:tab w:val="left" w:pos="778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3102B7"/>
    <w:multiLevelType w:val="hybridMultilevel"/>
    <w:tmpl w:val="AF0859A0"/>
    <w:lvl w:ilvl="0" w:tplc="AACE26C4">
      <w:start w:val="1"/>
      <w:numFmt w:val="lowerLetter"/>
      <w:lvlText w:val="%1)"/>
      <w:lvlJc w:val="left"/>
      <w:pPr>
        <w:ind w:left="60"/>
      </w:pPr>
      <w:rPr>
        <w:rFonts w:ascii="Times New Roman" w:eastAsia="Century"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1" w:tplc="16703DF4">
      <w:start w:val="1"/>
      <w:numFmt w:val="lowerLetter"/>
      <w:lvlText w:val="%2"/>
      <w:lvlJc w:val="left"/>
      <w:pPr>
        <w:ind w:left="138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2" w:tplc="0B4CC35A">
      <w:start w:val="1"/>
      <w:numFmt w:val="lowerRoman"/>
      <w:lvlText w:val="%3"/>
      <w:lvlJc w:val="left"/>
      <w:pPr>
        <w:ind w:left="210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3" w:tplc="D3586FE8">
      <w:start w:val="1"/>
      <w:numFmt w:val="decimal"/>
      <w:lvlText w:val="%4"/>
      <w:lvlJc w:val="left"/>
      <w:pPr>
        <w:ind w:left="282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4" w:tplc="9E768BF4">
      <w:start w:val="1"/>
      <w:numFmt w:val="lowerLetter"/>
      <w:lvlText w:val="%5"/>
      <w:lvlJc w:val="left"/>
      <w:pPr>
        <w:ind w:left="354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5" w:tplc="BA76EC94">
      <w:start w:val="1"/>
      <w:numFmt w:val="lowerRoman"/>
      <w:lvlText w:val="%6"/>
      <w:lvlJc w:val="left"/>
      <w:pPr>
        <w:ind w:left="426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6" w:tplc="7408C38C">
      <w:start w:val="1"/>
      <w:numFmt w:val="decimal"/>
      <w:lvlText w:val="%7"/>
      <w:lvlJc w:val="left"/>
      <w:pPr>
        <w:ind w:left="498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7" w:tplc="7A2A02F6">
      <w:start w:val="1"/>
      <w:numFmt w:val="lowerLetter"/>
      <w:lvlText w:val="%8"/>
      <w:lvlJc w:val="left"/>
      <w:pPr>
        <w:ind w:left="570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lvl w:ilvl="8" w:tplc="E5D231E6">
      <w:start w:val="1"/>
      <w:numFmt w:val="lowerRoman"/>
      <w:lvlText w:val="%9"/>
      <w:lvlJc w:val="left"/>
      <w:pPr>
        <w:ind w:left="6426"/>
      </w:pPr>
      <w:rPr>
        <w:rFonts w:ascii="Century" w:eastAsia="Century" w:hAnsi="Century" w:cs="Century"/>
        <w:b w:val="0"/>
        <w:i w:val="0"/>
        <w:strike w:val="0"/>
        <w:dstrike w:val="0"/>
        <w:color w:val="000000"/>
        <w:sz w:val="11"/>
        <w:szCs w:val="11"/>
        <w:u w:val="none" w:color="000000"/>
        <w:bdr w:val="none" w:sz="0" w:space="0" w:color="auto"/>
        <w:shd w:val="clear" w:color="auto" w:fill="auto"/>
        <w:vertAlign w:val="baseline"/>
      </w:rPr>
    </w:lvl>
  </w:abstractNum>
  <w:abstractNum w:abstractNumId="3" w15:restartNumberingAfterBreak="0">
    <w:nsid w:val="08C5215C"/>
    <w:multiLevelType w:val="multilevel"/>
    <w:tmpl w:val="A0186B5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4" w15:restartNumberingAfterBreak="0">
    <w:nsid w:val="09147A1C"/>
    <w:multiLevelType w:val="multilevel"/>
    <w:tmpl w:val="A0186B5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5" w15:restartNumberingAfterBreak="0">
    <w:nsid w:val="0A4774C5"/>
    <w:multiLevelType w:val="hybridMultilevel"/>
    <w:tmpl w:val="41B2C4D8"/>
    <w:lvl w:ilvl="0" w:tplc="15106E20">
      <w:start w:val="1"/>
      <w:numFmt w:val="decimal"/>
      <w:lvlText w:val="%1."/>
      <w:lvlJc w:val="left"/>
      <w:pPr>
        <w:ind w:left="36"/>
      </w:pPr>
      <w:rPr>
        <w:rFonts w:ascii="Times New Roman" w:eastAsia="Century" w:hAnsi="Times New Roman" w:cs="Times New Roman" w:hint="default"/>
        <w:b/>
        <w:bCs/>
        <w:i/>
        <w:strike w:val="0"/>
        <w:dstrike w:val="0"/>
        <w:color w:val="090909"/>
        <w:sz w:val="22"/>
        <w:szCs w:val="22"/>
        <w:u w:val="none" w:color="000000"/>
        <w:bdr w:val="none" w:sz="0" w:space="0" w:color="auto"/>
        <w:shd w:val="clear" w:color="auto" w:fill="auto"/>
        <w:vertAlign w:val="baseline"/>
      </w:rPr>
    </w:lvl>
    <w:lvl w:ilvl="1" w:tplc="F296070E">
      <w:start w:val="1"/>
      <w:numFmt w:val="lowerLetter"/>
      <w:lvlText w:val="%2"/>
      <w:lvlJc w:val="left"/>
      <w:pPr>
        <w:ind w:left="126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2" w:tplc="FFF8949A">
      <w:start w:val="1"/>
      <w:numFmt w:val="lowerRoman"/>
      <w:lvlText w:val="%3"/>
      <w:lvlJc w:val="left"/>
      <w:pPr>
        <w:ind w:left="198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3" w:tplc="7BA25606">
      <w:start w:val="1"/>
      <w:numFmt w:val="decimal"/>
      <w:lvlText w:val="%4"/>
      <w:lvlJc w:val="left"/>
      <w:pPr>
        <w:ind w:left="270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4" w:tplc="8A9E5EEC">
      <w:start w:val="1"/>
      <w:numFmt w:val="lowerLetter"/>
      <w:lvlText w:val="%5"/>
      <w:lvlJc w:val="left"/>
      <w:pPr>
        <w:ind w:left="342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5" w:tplc="0F9E9514">
      <w:start w:val="1"/>
      <w:numFmt w:val="lowerRoman"/>
      <w:lvlText w:val="%6"/>
      <w:lvlJc w:val="left"/>
      <w:pPr>
        <w:ind w:left="414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6" w:tplc="91F00E18">
      <w:start w:val="1"/>
      <w:numFmt w:val="decimal"/>
      <w:lvlText w:val="%7"/>
      <w:lvlJc w:val="left"/>
      <w:pPr>
        <w:ind w:left="486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7" w:tplc="09E4ABFC">
      <w:start w:val="1"/>
      <w:numFmt w:val="lowerLetter"/>
      <w:lvlText w:val="%8"/>
      <w:lvlJc w:val="left"/>
      <w:pPr>
        <w:ind w:left="558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8" w:tplc="6F3E2B58">
      <w:start w:val="1"/>
      <w:numFmt w:val="lowerRoman"/>
      <w:lvlText w:val="%9"/>
      <w:lvlJc w:val="left"/>
      <w:pPr>
        <w:ind w:left="630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abstractNum>
  <w:abstractNum w:abstractNumId="6" w15:restartNumberingAfterBreak="0">
    <w:nsid w:val="13BB175C"/>
    <w:multiLevelType w:val="hybridMultilevel"/>
    <w:tmpl w:val="EF3EA2C0"/>
    <w:lvl w:ilvl="0" w:tplc="040A000F">
      <w:start w:val="1"/>
      <w:numFmt w:val="decimal"/>
      <w:lvlText w:val="%1."/>
      <w:lvlJc w:val="left"/>
      <w:pPr>
        <w:ind w:left="720" w:hanging="360"/>
      </w:pPr>
      <w:rPr>
        <w:rFonts w:hint="default"/>
      </w:rPr>
    </w:lvl>
    <w:lvl w:ilvl="1" w:tplc="040A0017">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707293C"/>
    <w:multiLevelType w:val="hybridMultilevel"/>
    <w:tmpl w:val="F628EE62"/>
    <w:lvl w:ilvl="0" w:tplc="240A0001">
      <w:start w:val="1"/>
      <w:numFmt w:val="bullet"/>
      <w:lvlText w:val=""/>
      <w:lvlJc w:val="left"/>
      <w:pPr>
        <w:tabs>
          <w:tab w:val="num" w:pos="720"/>
        </w:tabs>
        <w:ind w:left="720" w:hanging="360"/>
      </w:pPr>
      <w:rPr>
        <w:rFonts w:ascii="Symbol" w:hAnsi="Symbol" w:hint="default"/>
      </w:rPr>
    </w:lvl>
    <w:lvl w:ilvl="1" w:tplc="2BE2DB68">
      <w:start w:val="1"/>
      <w:numFmt w:val="bullet"/>
      <w:lvlText w:val=""/>
      <w:lvlJc w:val="left"/>
      <w:pPr>
        <w:tabs>
          <w:tab w:val="num" w:pos="1440"/>
        </w:tabs>
        <w:ind w:left="1440" w:hanging="360"/>
      </w:pPr>
      <w:rPr>
        <w:rFonts w:ascii="Wingdings" w:hAnsi="Wingdings" w:hint="default"/>
      </w:rPr>
    </w:lvl>
    <w:lvl w:ilvl="2" w:tplc="B73896FE">
      <w:start w:val="1"/>
      <w:numFmt w:val="bullet"/>
      <w:lvlText w:val=""/>
      <w:lvlJc w:val="left"/>
      <w:pPr>
        <w:tabs>
          <w:tab w:val="num" w:pos="2160"/>
        </w:tabs>
        <w:ind w:left="2160" w:hanging="360"/>
      </w:pPr>
      <w:rPr>
        <w:rFonts w:ascii="Wingdings" w:hAnsi="Wingdings" w:hint="default"/>
      </w:rPr>
    </w:lvl>
    <w:lvl w:ilvl="3" w:tplc="30905ED6">
      <w:start w:val="1"/>
      <w:numFmt w:val="bullet"/>
      <w:lvlText w:val=""/>
      <w:lvlJc w:val="left"/>
      <w:pPr>
        <w:tabs>
          <w:tab w:val="num" w:pos="2880"/>
        </w:tabs>
        <w:ind w:left="2880" w:hanging="360"/>
      </w:pPr>
      <w:rPr>
        <w:rFonts w:ascii="Wingdings" w:hAnsi="Wingdings" w:hint="default"/>
      </w:rPr>
    </w:lvl>
    <w:lvl w:ilvl="4" w:tplc="9ABE152A">
      <w:start w:val="1"/>
      <w:numFmt w:val="bullet"/>
      <w:lvlText w:val=""/>
      <w:lvlJc w:val="left"/>
      <w:pPr>
        <w:tabs>
          <w:tab w:val="num" w:pos="3600"/>
        </w:tabs>
        <w:ind w:left="3600" w:hanging="360"/>
      </w:pPr>
      <w:rPr>
        <w:rFonts w:ascii="Wingdings" w:hAnsi="Wingdings" w:hint="default"/>
      </w:rPr>
    </w:lvl>
    <w:lvl w:ilvl="5" w:tplc="62364528">
      <w:start w:val="1"/>
      <w:numFmt w:val="bullet"/>
      <w:lvlText w:val=""/>
      <w:lvlJc w:val="left"/>
      <w:pPr>
        <w:tabs>
          <w:tab w:val="num" w:pos="4320"/>
        </w:tabs>
        <w:ind w:left="4320" w:hanging="360"/>
      </w:pPr>
      <w:rPr>
        <w:rFonts w:ascii="Wingdings" w:hAnsi="Wingdings" w:hint="default"/>
      </w:rPr>
    </w:lvl>
    <w:lvl w:ilvl="6" w:tplc="85023644">
      <w:start w:val="1"/>
      <w:numFmt w:val="bullet"/>
      <w:lvlText w:val=""/>
      <w:lvlJc w:val="left"/>
      <w:pPr>
        <w:tabs>
          <w:tab w:val="num" w:pos="5040"/>
        </w:tabs>
        <w:ind w:left="5040" w:hanging="360"/>
      </w:pPr>
      <w:rPr>
        <w:rFonts w:ascii="Wingdings" w:hAnsi="Wingdings" w:hint="default"/>
      </w:rPr>
    </w:lvl>
    <w:lvl w:ilvl="7" w:tplc="3E4C4842">
      <w:start w:val="1"/>
      <w:numFmt w:val="bullet"/>
      <w:lvlText w:val=""/>
      <w:lvlJc w:val="left"/>
      <w:pPr>
        <w:tabs>
          <w:tab w:val="num" w:pos="5760"/>
        </w:tabs>
        <w:ind w:left="5760" w:hanging="360"/>
      </w:pPr>
      <w:rPr>
        <w:rFonts w:ascii="Wingdings" w:hAnsi="Wingdings" w:hint="default"/>
      </w:rPr>
    </w:lvl>
    <w:lvl w:ilvl="8" w:tplc="669AC190">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F1201F"/>
    <w:multiLevelType w:val="hybridMultilevel"/>
    <w:tmpl w:val="23027F8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8FE0EFC"/>
    <w:multiLevelType w:val="hybridMultilevel"/>
    <w:tmpl w:val="1F464150"/>
    <w:lvl w:ilvl="0" w:tplc="F9E8C196">
      <w:start w:val="1"/>
      <w:numFmt w:val="decimal"/>
      <w:lvlText w:val="%1."/>
      <w:lvlJc w:val="left"/>
      <w:pPr>
        <w:ind w:left="36"/>
      </w:pPr>
      <w:rPr>
        <w:rFonts w:ascii="Times New Roman" w:eastAsia="Century" w:hAnsi="Times New Roman" w:cs="Times New Roman" w:hint="default"/>
        <w:b/>
        <w:bCs/>
        <w:i w:val="0"/>
        <w:strike w:val="0"/>
        <w:dstrike w:val="0"/>
        <w:color w:val="090909"/>
        <w:sz w:val="22"/>
        <w:szCs w:val="22"/>
        <w:u w:val="none" w:color="000000"/>
        <w:bdr w:val="none" w:sz="0" w:space="0" w:color="auto"/>
        <w:shd w:val="clear" w:color="auto" w:fill="auto"/>
        <w:vertAlign w:val="baseline"/>
      </w:rPr>
    </w:lvl>
    <w:lvl w:ilvl="1" w:tplc="F296070E">
      <w:start w:val="1"/>
      <w:numFmt w:val="lowerLetter"/>
      <w:lvlText w:val="%2"/>
      <w:lvlJc w:val="left"/>
      <w:pPr>
        <w:ind w:left="126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2" w:tplc="FFF8949A">
      <w:start w:val="1"/>
      <w:numFmt w:val="lowerRoman"/>
      <w:lvlText w:val="%3"/>
      <w:lvlJc w:val="left"/>
      <w:pPr>
        <w:ind w:left="198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3" w:tplc="7BA25606">
      <w:start w:val="1"/>
      <w:numFmt w:val="decimal"/>
      <w:lvlText w:val="%4"/>
      <w:lvlJc w:val="left"/>
      <w:pPr>
        <w:ind w:left="270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4" w:tplc="8A9E5EEC">
      <w:start w:val="1"/>
      <w:numFmt w:val="lowerLetter"/>
      <w:lvlText w:val="%5"/>
      <w:lvlJc w:val="left"/>
      <w:pPr>
        <w:ind w:left="342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5" w:tplc="0F9E9514">
      <w:start w:val="1"/>
      <w:numFmt w:val="lowerRoman"/>
      <w:lvlText w:val="%6"/>
      <w:lvlJc w:val="left"/>
      <w:pPr>
        <w:ind w:left="414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6" w:tplc="91F00E18">
      <w:start w:val="1"/>
      <w:numFmt w:val="decimal"/>
      <w:lvlText w:val="%7"/>
      <w:lvlJc w:val="left"/>
      <w:pPr>
        <w:ind w:left="486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7" w:tplc="09E4ABFC">
      <w:start w:val="1"/>
      <w:numFmt w:val="lowerLetter"/>
      <w:lvlText w:val="%8"/>
      <w:lvlJc w:val="left"/>
      <w:pPr>
        <w:ind w:left="558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lvl w:ilvl="8" w:tplc="6F3E2B58">
      <w:start w:val="1"/>
      <w:numFmt w:val="lowerRoman"/>
      <w:lvlText w:val="%9"/>
      <w:lvlJc w:val="left"/>
      <w:pPr>
        <w:ind w:left="6304"/>
      </w:pPr>
      <w:rPr>
        <w:rFonts w:ascii="Century" w:eastAsia="Century" w:hAnsi="Century" w:cs="Century"/>
        <w:b/>
        <w:bCs/>
        <w:i w:val="0"/>
        <w:strike w:val="0"/>
        <w:dstrike w:val="0"/>
        <w:color w:val="090909"/>
        <w:sz w:val="11"/>
        <w:szCs w:val="11"/>
        <w:u w:val="none" w:color="000000"/>
        <w:bdr w:val="none" w:sz="0" w:space="0" w:color="auto"/>
        <w:shd w:val="clear" w:color="auto" w:fill="auto"/>
        <w:vertAlign w:val="baseline"/>
      </w:rPr>
    </w:lvl>
  </w:abstractNum>
  <w:abstractNum w:abstractNumId="10" w15:restartNumberingAfterBreak="0">
    <w:nsid w:val="1A585DFF"/>
    <w:multiLevelType w:val="hybridMultilevel"/>
    <w:tmpl w:val="EB42C10E"/>
    <w:lvl w:ilvl="0" w:tplc="931E6636">
      <w:start w:val="1"/>
      <w:numFmt w:val="lowerRoman"/>
      <w:lvlText w:val="%1."/>
      <w:lvlJc w:val="righ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1C07755A"/>
    <w:multiLevelType w:val="multilevel"/>
    <w:tmpl w:val="395CD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23540C97"/>
    <w:multiLevelType w:val="multilevel"/>
    <w:tmpl w:val="395CD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239D6795"/>
    <w:multiLevelType w:val="hybridMultilevel"/>
    <w:tmpl w:val="D154424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809152C"/>
    <w:multiLevelType w:val="hybridMultilevel"/>
    <w:tmpl w:val="CA107FA2"/>
    <w:lvl w:ilvl="0" w:tplc="D0FAACD4">
      <w:start w:val="3"/>
      <w:numFmt w:val="lowerLetter"/>
      <w:lvlText w:val="%1)"/>
      <w:lvlJc w:val="left"/>
      <w:pPr>
        <w:ind w:left="720" w:hanging="360"/>
      </w:pPr>
    </w:lvl>
    <w:lvl w:ilvl="1" w:tplc="C1E60F9A">
      <w:start w:val="1"/>
      <w:numFmt w:val="lowerLetter"/>
      <w:lvlText w:val="%2."/>
      <w:lvlJc w:val="left"/>
      <w:pPr>
        <w:ind w:left="1440" w:hanging="360"/>
      </w:pPr>
    </w:lvl>
    <w:lvl w:ilvl="2" w:tplc="C38A292C">
      <w:start w:val="1"/>
      <w:numFmt w:val="lowerRoman"/>
      <w:lvlText w:val="%3."/>
      <w:lvlJc w:val="right"/>
      <w:pPr>
        <w:ind w:left="2160" w:hanging="180"/>
      </w:pPr>
    </w:lvl>
    <w:lvl w:ilvl="3" w:tplc="F356DA0A">
      <w:start w:val="1"/>
      <w:numFmt w:val="decimal"/>
      <w:lvlText w:val="%4."/>
      <w:lvlJc w:val="left"/>
      <w:pPr>
        <w:ind w:left="2880" w:hanging="360"/>
      </w:pPr>
    </w:lvl>
    <w:lvl w:ilvl="4" w:tplc="37807B8E">
      <w:start w:val="1"/>
      <w:numFmt w:val="lowerLetter"/>
      <w:lvlText w:val="%5."/>
      <w:lvlJc w:val="left"/>
      <w:pPr>
        <w:ind w:left="3600" w:hanging="360"/>
      </w:pPr>
    </w:lvl>
    <w:lvl w:ilvl="5" w:tplc="7EEEFEE4">
      <w:start w:val="1"/>
      <w:numFmt w:val="lowerRoman"/>
      <w:lvlText w:val="%6."/>
      <w:lvlJc w:val="right"/>
      <w:pPr>
        <w:ind w:left="4320" w:hanging="180"/>
      </w:pPr>
    </w:lvl>
    <w:lvl w:ilvl="6" w:tplc="2934FF3E">
      <w:start w:val="1"/>
      <w:numFmt w:val="decimal"/>
      <w:lvlText w:val="%7."/>
      <w:lvlJc w:val="left"/>
      <w:pPr>
        <w:ind w:left="5040" w:hanging="360"/>
      </w:pPr>
    </w:lvl>
    <w:lvl w:ilvl="7" w:tplc="92B2489E">
      <w:start w:val="1"/>
      <w:numFmt w:val="lowerLetter"/>
      <w:lvlText w:val="%8."/>
      <w:lvlJc w:val="left"/>
      <w:pPr>
        <w:ind w:left="5760" w:hanging="360"/>
      </w:pPr>
    </w:lvl>
    <w:lvl w:ilvl="8" w:tplc="674E9FBC">
      <w:start w:val="1"/>
      <w:numFmt w:val="lowerRoman"/>
      <w:lvlText w:val="%9."/>
      <w:lvlJc w:val="right"/>
      <w:pPr>
        <w:ind w:left="6480" w:hanging="180"/>
      </w:pPr>
    </w:lvl>
  </w:abstractNum>
  <w:abstractNum w:abstractNumId="15" w15:restartNumberingAfterBreak="0">
    <w:nsid w:val="28D077F5"/>
    <w:multiLevelType w:val="hybridMultilevel"/>
    <w:tmpl w:val="DA848AF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2BA47C77"/>
    <w:multiLevelType w:val="hybridMultilevel"/>
    <w:tmpl w:val="655CE0EA"/>
    <w:lvl w:ilvl="0" w:tplc="FE6289C2">
      <w:start w:val="3"/>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D485FAC"/>
    <w:multiLevelType w:val="hybridMultilevel"/>
    <w:tmpl w:val="0E22878A"/>
    <w:lvl w:ilvl="0" w:tplc="240A0001">
      <w:start w:val="1"/>
      <w:numFmt w:val="bullet"/>
      <w:lvlText w:val=""/>
      <w:lvlJc w:val="left"/>
      <w:pPr>
        <w:ind w:left="960" w:hanging="360"/>
      </w:pPr>
      <w:rPr>
        <w:rFonts w:ascii="Symbol" w:hAnsi="Symbol" w:hint="default"/>
      </w:rPr>
    </w:lvl>
    <w:lvl w:ilvl="1" w:tplc="240A0003" w:tentative="1">
      <w:start w:val="1"/>
      <w:numFmt w:val="bullet"/>
      <w:lvlText w:val="o"/>
      <w:lvlJc w:val="left"/>
      <w:pPr>
        <w:ind w:left="1680" w:hanging="360"/>
      </w:pPr>
      <w:rPr>
        <w:rFonts w:ascii="Courier New" w:hAnsi="Courier New" w:cs="Courier New" w:hint="default"/>
      </w:rPr>
    </w:lvl>
    <w:lvl w:ilvl="2" w:tplc="240A0005" w:tentative="1">
      <w:start w:val="1"/>
      <w:numFmt w:val="bullet"/>
      <w:lvlText w:val=""/>
      <w:lvlJc w:val="left"/>
      <w:pPr>
        <w:ind w:left="2400" w:hanging="360"/>
      </w:pPr>
      <w:rPr>
        <w:rFonts w:ascii="Wingdings" w:hAnsi="Wingdings" w:hint="default"/>
      </w:rPr>
    </w:lvl>
    <w:lvl w:ilvl="3" w:tplc="240A0001" w:tentative="1">
      <w:start w:val="1"/>
      <w:numFmt w:val="bullet"/>
      <w:lvlText w:val=""/>
      <w:lvlJc w:val="left"/>
      <w:pPr>
        <w:ind w:left="3120" w:hanging="360"/>
      </w:pPr>
      <w:rPr>
        <w:rFonts w:ascii="Symbol" w:hAnsi="Symbol" w:hint="default"/>
      </w:rPr>
    </w:lvl>
    <w:lvl w:ilvl="4" w:tplc="240A0003" w:tentative="1">
      <w:start w:val="1"/>
      <w:numFmt w:val="bullet"/>
      <w:lvlText w:val="o"/>
      <w:lvlJc w:val="left"/>
      <w:pPr>
        <w:ind w:left="3840" w:hanging="360"/>
      </w:pPr>
      <w:rPr>
        <w:rFonts w:ascii="Courier New" w:hAnsi="Courier New" w:cs="Courier New" w:hint="default"/>
      </w:rPr>
    </w:lvl>
    <w:lvl w:ilvl="5" w:tplc="240A0005" w:tentative="1">
      <w:start w:val="1"/>
      <w:numFmt w:val="bullet"/>
      <w:lvlText w:val=""/>
      <w:lvlJc w:val="left"/>
      <w:pPr>
        <w:ind w:left="4560" w:hanging="360"/>
      </w:pPr>
      <w:rPr>
        <w:rFonts w:ascii="Wingdings" w:hAnsi="Wingdings" w:hint="default"/>
      </w:rPr>
    </w:lvl>
    <w:lvl w:ilvl="6" w:tplc="240A0001" w:tentative="1">
      <w:start w:val="1"/>
      <w:numFmt w:val="bullet"/>
      <w:lvlText w:val=""/>
      <w:lvlJc w:val="left"/>
      <w:pPr>
        <w:ind w:left="5280" w:hanging="360"/>
      </w:pPr>
      <w:rPr>
        <w:rFonts w:ascii="Symbol" w:hAnsi="Symbol" w:hint="default"/>
      </w:rPr>
    </w:lvl>
    <w:lvl w:ilvl="7" w:tplc="240A0003" w:tentative="1">
      <w:start w:val="1"/>
      <w:numFmt w:val="bullet"/>
      <w:lvlText w:val="o"/>
      <w:lvlJc w:val="left"/>
      <w:pPr>
        <w:ind w:left="6000" w:hanging="360"/>
      </w:pPr>
      <w:rPr>
        <w:rFonts w:ascii="Courier New" w:hAnsi="Courier New" w:cs="Courier New" w:hint="default"/>
      </w:rPr>
    </w:lvl>
    <w:lvl w:ilvl="8" w:tplc="240A0005" w:tentative="1">
      <w:start w:val="1"/>
      <w:numFmt w:val="bullet"/>
      <w:lvlText w:val=""/>
      <w:lvlJc w:val="left"/>
      <w:pPr>
        <w:ind w:left="6720" w:hanging="360"/>
      </w:pPr>
      <w:rPr>
        <w:rFonts w:ascii="Wingdings" w:hAnsi="Wingdings" w:hint="default"/>
      </w:rPr>
    </w:lvl>
  </w:abstractNum>
  <w:abstractNum w:abstractNumId="18" w15:restartNumberingAfterBreak="0">
    <w:nsid w:val="2E635452"/>
    <w:multiLevelType w:val="hybridMultilevel"/>
    <w:tmpl w:val="E728872A"/>
    <w:lvl w:ilvl="0" w:tplc="85B60D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0B00DD7"/>
    <w:multiLevelType w:val="hybridMultilevel"/>
    <w:tmpl w:val="27703FF8"/>
    <w:lvl w:ilvl="0" w:tplc="9F726990">
      <w:start w:val="1"/>
      <w:numFmt w:val="upperLetter"/>
      <w:lvlText w:val="%1."/>
      <w:lvlJc w:val="left"/>
      <w:pPr>
        <w:ind w:left="376"/>
      </w:pPr>
      <w:rPr>
        <w:rFonts w:ascii="Times New Roman" w:eastAsia="Century"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237CD2D0">
      <w:start w:val="1"/>
      <w:numFmt w:val="lowerLetter"/>
      <w:lvlText w:val="%2"/>
      <w:lvlJc w:val="left"/>
      <w:pPr>
        <w:ind w:left="153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2" w:tplc="074AE37E">
      <w:start w:val="1"/>
      <w:numFmt w:val="lowerRoman"/>
      <w:lvlText w:val="%3"/>
      <w:lvlJc w:val="left"/>
      <w:pPr>
        <w:ind w:left="225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3" w:tplc="DC08DA2E">
      <w:start w:val="1"/>
      <w:numFmt w:val="decimal"/>
      <w:lvlText w:val="%4"/>
      <w:lvlJc w:val="left"/>
      <w:pPr>
        <w:ind w:left="297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4" w:tplc="C4A811F4">
      <w:start w:val="1"/>
      <w:numFmt w:val="lowerLetter"/>
      <w:lvlText w:val="%5"/>
      <w:lvlJc w:val="left"/>
      <w:pPr>
        <w:ind w:left="369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5" w:tplc="20663140">
      <w:start w:val="1"/>
      <w:numFmt w:val="lowerRoman"/>
      <w:lvlText w:val="%6"/>
      <w:lvlJc w:val="left"/>
      <w:pPr>
        <w:ind w:left="441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6" w:tplc="EA40285E">
      <w:start w:val="1"/>
      <w:numFmt w:val="decimal"/>
      <w:lvlText w:val="%7"/>
      <w:lvlJc w:val="left"/>
      <w:pPr>
        <w:ind w:left="513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7" w:tplc="E5FCAEDC">
      <w:start w:val="1"/>
      <w:numFmt w:val="lowerLetter"/>
      <w:lvlText w:val="%8"/>
      <w:lvlJc w:val="left"/>
      <w:pPr>
        <w:ind w:left="585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lvl w:ilvl="8" w:tplc="E102ABD8">
      <w:start w:val="1"/>
      <w:numFmt w:val="lowerRoman"/>
      <w:lvlText w:val="%9"/>
      <w:lvlJc w:val="left"/>
      <w:pPr>
        <w:ind w:left="6575"/>
      </w:pPr>
      <w:rPr>
        <w:rFonts w:ascii="Century" w:eastAsia="Century" w:hAnsi="Century" w:cs="Century"/>
        <w:b/>
        <w:bCs/>
        <w:i w:val="0"/>
        <w:strike w:val="0"/>
        <w:dstrike w:val="0"/>
        <w:color w:val="000000"/>
        <w:sz w:val="11"/>
        <w:szCs w:val="11"/>
        <w:u w:val="none" w:color="000000"/>
        <w:bdr w:val="none" w:sz="0" w:space="0" w:color="auto"/>
        <w:shd w:val="clear" w:color="auto" w:fill="auto"/>
        <w:vertAlign w:val="baseline"/>
      </w:rPr>
    </w:lvl>
  </w:abstractNum>
  <w:abstractNum w:abstractNumId="20" w15:restartNumberingAfterBreak="0">
    <w:nsid w:val="366C027F"/>
    <w:multiLevelType w:val="hybridMultilevel"/>
    <w:tmpl w:val="AC8628AA"/>
    <w:lvl w:ilvl="0" w:tplc="64407F3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DD84147"/>
    <w:multiLevelType w:val="hybridMultilevel"/>
    <w:tmpl w:val="9B98A2DE"/>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47F42BD9"/>
    <w:multiLevelType w:val="hybridMultilevel"/>
    <w:tmpl w:val="127A258A"/>
    <w:lvl w:ilvl="0" w:tplc="9694407C">
      <w:start w:val="2"/>
      <w:numFmt w:val="low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9807214"/>
    <w:multiLevelType w:val="hybridMultilevel"/>
    <w:tmpl w:val="85EC441C"/>
    <w:lvl w:ilvl="0" w:tplc="C69A915E">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4B4841AE"/>
    <w:multiLevelType w:val="multilevel"/>
    <w:tmpl w:val="ED5A53F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4B541A34"/>
    <w:multiLevelType w:val="hybridMultilevel"/>
    <w:tmpl w:val="B2308AD6"/>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4BB523ED"/>
    <w:multiLevelType w:val="hybridMultilevel"/>
    <w:tmpl w:val="7FB4B3E4"/>
    <w:lvl w:ilvl="0" w:tplc="002AB41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E97351D"/>
    <w:multiLevelType w:val="hybridMultilevel"/>
    <w:tmpl w:val="A7A2796A"/>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4F507E9D"/>
    <w:multiLevelType w:val="multilevel"/>
    <w:tmpl w:val="39BA1E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50603B5A"/>
    <w:multiLevelType w:val="multilevel"/>
    <w:tmpl w:val="574ED6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06614ED"/>
    <w:multiLevelType w:val="multilevel"/>
    <w:tmpl w:val="395CD2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51491FF6"/>
    <w:multiLevelType w:val="multilevel"/>
    <w:tmpl w:val="A0186B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5CD63D93"/>
    <w:multiLevelType w:val="hybridMultilevel"/>
    <w:tmpl w:val="69C2C1AC"/>
    <w:lvl w:ilvl="0" w:tplc="85F2FD20">
      <w:start w:val="1"/>
      <w:numFmt w:val="decimal"/>
      <w:lvlText w:val="%1."/>
      <w:lvlJc w:val="left"/>
      <w:pPr>
        <w:ind w:left="1068" w:hanging="360"/>
      </w:pPr>
      <w:rPr>
        <w:rFonts w:hint="default"/>
        <w:u w:val="singl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3" w15:restartNumberingAfterBreak="0">
    <w:nsid w:val="61EF502E"/>
    <w:multiLevelType w:val="hybridMultilevel"/>
    <w:tmpl w:val="0EF2D06A"/>
    <w:lvl w:ilvl="0" w:tplc="0C4AEB6C">
      <w:start w:val="1"/>
      <w:numFmt w:val="decimal"/>
      <w:lvlText w:val="%1."/>
      <w:lvlJc w:val="left"/>
      <w:pPr>
        <w:ind w:left="193"/>
      </w:pPr>
      <w:rPr>
        <w:rFonts w:ascii="Times New Roman" w:eastAsia="Century" w:hAnsi="Times New Roman" w:cs="Times New Roman" w:hint="default"/>
        <w:b w:val="0"/>
        <w:i w:val="0"/>
        <w:strike w:val="0"/>
        <w:dstrike w:val="0"/>
        <w:color w:val="090909"/>
        <w:sz w:val="22"/>
        <w:szCs w:val="22"/>
        <w:u w:val="none" w:color="000000"/>
        <w:bdr w:val="none" w:sz="0" w:space="0" w:color="auto"/>
        <w:shd w:val="clear" w:color="auto" w:fill="auto"/>
        <w:vertAlign w:val="baseline"/>
      </w:rPr>
    </w:lvl>
    <w:lvl w:ilvl="1" w:tplc="E8189F9E">
      <w:start w:val="1"/>
      <w:numFmt w:val="lowerLetter"/>
      <w:lvlText w:val="%2"/>
      <w:lvlJc w:val="left"/>
      <w:pPr>
        <w:ind w:left="127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2" w:tplc="194A7372">
      <w:start w:val="1"/>
      <w:numFmt w:val="lowerRoman"/>
      <w:lvlText w:val="%3"/>
      <w:lvlJc w:val="left"/>
      <w:pPr>
        <w:ind w:left="199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3" w:tplc="45FA0928">
      <w:start w:val="1"/>
      <w:numFmt w:val="decimal"/>
      <w:lvlText w:val="%4"/>
      <w:lvlJc w:val="left"/>
      <w:pPr>
        <w:ind w:left="271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4" w:tplc="7CA428F0">
      <w:start w:val="1"/>
      <w:numFmt w:val="lowerLetter"/>
      <w:lvlText w:val="%5"/>
      <w:lvlJc w:val="left"/>
      <w:pPr>
        <w:ind w:left="343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5" w:tplc="C7102C68">
      <w:start w:val="1"/>
      <w:numFmt w:val="lowerRoman"/>
      <w:lvlText w:val="%6"/>
      <w:lvlJc w:val="left"/>
      <w:pPr>
        <w:ind w:left="415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6" w:tplc="20E414AA">
      <w:start w:val="1"/>
      <w:numFmt w:val="decimal"/>
      <w:lvlText w:val="%7"/>
      <w:lvlJc w:val="left"/>
      <w:pPr>
        <w:ind w:left="487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7" w:tplc="12E05EF8">
      <w:start w:val="1"/>
      <w:numFmt w:val="lowerLetter"/>
      <w:lvlText w:val="%8"/>
      <w:lvlJc w:val="left"/>
      <w:pPr>
        <w:ind w:left="559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lvl w:ilvl="8" w:tplc="EE5CDD22">
      <w:start w:val="1"/>
      <w:numFmt w:val="lowerRoman"/>
      <w:lvlText w:val="%9"/>
      <w:lvlJc w:val="left"/>
      <w:pPr>
        <w:ind w:left="6313"/>
      </w:pPr>
      <w:rPr>
        <w:rFonts w:ascii="Century" w:eastAsia="Century" w:hAnsi="Century" w:cs="Century"/>
        <w:b w:val="0"/>
        <w:i w:val="0"/>
        <w:strike w:val="0"/>
        <w:dstrike w:val="0"/>
        <w:color w:val="090909"/>
        <w:sz w:val="11"/>
        <w:szCs w:val="11"/>
        <w:u w:val="none" w:color="000000"/>
        <w:bdr w:val="none" w:sz="0" w:space="0" w:color="auto"/>
        <w:shd w:val="clear" w:color="auto" w:fill="auto"/>
        <w:vertAlign w:val="baseline"/>
      </w:rPr>
    </w:lvl>
  </w:abstractNum>
  <w:abstractNum w:abstractNumId="34" w15:restartNumberingAfterBreak="0">
    <w:nsid w:val="624F336B"/>
    <w:multiLevelType w:val="multilevel"/>
    <w:tmpl w:val="39BA1E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658A2D8E"/>
    <w:multiLevelType w:val="hybridMultilevel"/>
    <w:tmpl w:val="EF3EA2C0"/>
    <w:lvl w:ilvl="0" w:tplc="040A000F">
      <w:start w:val="1"/>
      <w:numFmt w:val="decimal"/>
      <w:lvlText w:val="%1."/>
      <w:lvlJc w:val="left"/>
      <w:pPr>
        <w:ind w:left="720" w:hanging="360"/>
      </w:pPr>
      <w:rPr>
        <w:rFonts w:hint="default"/>
      </w:rPr>
    </w:lvl>
    <w:lvl w:ilvl="1" w:tplc="040A0017">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69801A3A"/>
    <w:multiLevelType w:val="hybridMultilevel"/>
    <w:tmpl w:val="234A13B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6DCB574A"/>
    <w:multiLevelType w:val="hybridMultilevel"/>
    <w:tmpl w:val="ED9ACBC8"/>
    <w:lvl w:ilvl="0" w:tplc="040A0011">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6EA91CCC"/>
    <w:multiLevelType w:val="hybridMultilevel"/>
    <w:tmpl w:val="556C9F2E"/>
    <w:lvl w:ilvl="0" w:tplc="D2A0D1EE">
      <w:start w:val="8"/>
      <w:numFmt w:val="bullet"/>
      <w:lvlText w:val="-"/>
      <w:lvlJc w:val="left"/>
      <w:pPr>
        <w:ind w:left="720" w:hanging="360"/>
      </w:pPr>
      <w:rPr>
        <w:rFonts w:ascii="Helvetica" w:eastAsia="Helvetica" w:hAnsi="Helvetica" w:cs="Helvetica"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70722469"/>
    <w:multiLevelType w:val="hybridMultilevel"/>
    <w:tmpl w:val="69C2C1AC"/>
    <w:lvl w:ilvl="0" w:tplc="85F2FD20">
      <w:start w:val="1"/>
      <w:numFmt w:val="decimal"/>
      <w:lvlText w:val="%1."/>
      <w:lvlJc w:val="left"/>
      <w:pPr>
        <w:ind w:left="1068" w:hanging="360"/>
      </w:pPr>
      <w:rPr>
        <w:rFonts w:hint="default"/>
        <w:u w:val="singl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0" w15:restartNumberingAfterBreak="0">
    <w:nsid w:val="708A1B42"/>
    <w:multiLevelType w:val="hybridMultilevel"/>
    <w:tmpl w:val="3642FA7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71645AE0"/>
    <w:multiLevelType w:val="multilevel"/>
    <w:tmpl w:val="1846A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430DB9"/>
    <w:multiLevelType w:val="hybridMultilevel"/>
    <w:tmpl w:val="625E228C"/>
    <w:lvl w:ilvl="0" w:tplc="C69A915E">
      <w:start w:val="1"/>
      <w:numFmt w:val="decimal"/>
      <w:lvlText w:val="%1."/>
      <w:lvlJc w:val="left"/>
      <w:pPr>
        <w:ind w:left="720" w:hanging="360"/>
      </w:pPr>
    </w:lvl>
    <w:lvl w:ilvl="1" w:tplc="27AECBAE">
      <w:start w:val="1"/>
      <w:numFmt w:val="lowerLetter"/>
      <w:lvlText w:val="%2."/>
      <w:lvlJc w:val="left"/>
      <w:pPr>
        <w:ind w:left="1440" w:hanging="360"/>
      </w:pPr>
    </w:lvl>
    <w:lvl w:ilvl="2" w:tplc="596CE8F2">
      <w:start w:val="1"/>
      <w:numFmt w:val="lowerRoman"/>
      <w:lvlText w:val="%3."/>
      <w:lvlJc w:val="right"/>
      <w:pPr>
        <w:ind w:left="2160" w:hanging="180"/>
      </w:pPr>
    </w:lvl>
    <w:lvl w:ilvl="3" w:tplc="111A8F2C">
      <w:start w:val="1"/>
      <w:numFmt w:val="decimal"/>
      <w:lvlText w:val="%4."/>
      <w:lvlJc w:val="left"/>
      <w:pPr>
        <w:ind w:left="2880" w:hanging="360"/>
      </w:pPr>
    </w:lvl>
    <w:lvl w:ilvl="4" w:tplc="22CE8EEC">
      <w:start w:val="1"/>
      <w:numFmt w:val="lowerLetter"/>
      <w:lvlText w:val="%5."/>
      <w:lvlJc w:val="left"/>
      <w:pPr>
        <w:ind w:left="3600" w:hanging="360"/>
      </w:pPr>
    </w:lvl>
    <w:lvl w:ilvl="5" w:tplc="64D2409E">
      <w:start w:val="1"/>
      <w:numFmt w:val="lowerRoman"/>
      <w:lvlText w:val="%6."/>
      <w:lvlJc w:val="right"/>
      <w:pPr>
        <w:ind w:left="4320" w:hanging="180"/>
      </w:pPr>
    </w:lvl>
    <w:lvl w:ilvl="6" w:tplc="3C4EFF4E">
      <w:start w:val="1"/>
      <w:numFmt w:val="decimal"/>
      <w:lvlText w:val="%7."/>
      <w:lvlJc w:val="left"/>
      <w:pPr>
        <w:ind w:left="5040" w:hanging="360"/>
      </w:pPr>
    </w:lvl>
    <w:lvl w:ilvl="7" w:tplc="20D605B2">
      <w:start w:val="1"/>
      <w:numFmt w:val="lowerLetter"/>
      <w:lvlText w:val="%8."/>
      <w:lvlJc w:val="left"/>
      <w:pPr>
        <w:ind w:left="5760" w:hanging="360"/>
      </w:pPr>
    </w:lvl>
    <w:lvl w:ilvl="8" w:tplc="ED88131A">
      <w:start w:val="1"/>
      <w:numFmt w:val="lowerRoman"/>
      <w:lvlText w:val="%9."/>
      <w:lvlJc w:val="right"/>
      <w:pPr>
        <w:ind w:left="6480" w:hanging="180"/>
      </w:pPr>
    </w:lvl>
  </w:abstractNum>
  <w:abstractNum w:abstractNumId="43" w15:restartNumberingAfterBreak="0">
    <w:nsid w:val="75994472"/>
    <w:multiLevelType w:val="hybridMultilevel"/>
    <w:tmpl w:val="85EC441C"/>
    <w:lvl w:ilvl="0" w:tplc="C69A915E">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4" w15:restartNumberingAfterBreak="0">
    <w:nsid w:val="75BF74D5"/>
    <w:multiLevelType w:val="hybridMultilevel"/>
    <w:tmpl w:val="85EC441C"/>
    <w:lvl w:ilvl="0" w:tplc="C69A915E">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5" w15:restartNumberingAfterBreak="0">
    <w:nsid w:val="76185285"/>
    <w:multiLevelType w:val="hybridMultilevel"/>
    <w:tmpl w:val="EF3EA2C0"/>
    <w:lvl w:ilvl="0" w:tplc="040A000F">
      <w:start w:val="1"/>
      <w:numFmt w:val="decimal"/>
      <w:lvlText w:val="%1."/>
      <w:lvlJc w:val="left"/>
      <w:pPr>
        <w:ind w:left="720" w:hanging="360"/>
      </w:pPr>
      <w:rPr>
        <w:rFonts w:hint="default"/>
      </w:rPr>
    </w:lvl>
    <w:lvl w:ilvl="1" w:tplc="040A0017">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7F9F4A6D"/>
    <w:multiLevelType w:val="hybridMultilevel"/>
    <w:tmpl w:val="525C05A8"/>
    <w:lvl w:ilvl="0" w:tplc="1A442608">
      <w:start w:val="2"/>
      <w:numFmt w:val="bullet"/>
      <w:lvlText w:val="-"/>
      <w:lvlJc w:val="left"/>
      <w:pPr>
        <w:ind w:left="1068" w:hanging="360"/>
      </w:pPr>
      <w:rPr>
        <w:rFonts w:ascii="Calibri" w:eastAsia="Times New Roman" w:hAnsi="Calibri" w:cs="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42"/>
  </w:num>
  <w:num w:numId="2">
    <w:abstractNumId w:val="14"/>
  </w:num>
  <w:num w:numId="3">
    <w:abstractNumId w:val="46"/>
  </w:num>
  <w:num w:numId="4">
    <w:abstractNumId w:val="8"/>
  </w:num>
  <w:num w:numId="5">
    <w:abstractNumId w:val="22"/>
  </w:num>
  <w:num w:numId="6">
    <w:abstractNumId w:val="20"/>
  </w:num>
  <w:num w:numId="7">
    <w:abstractNumId w:val="10"/>
  </w:num>
  <w:num w:numId="8">
    <w:abstractNumId w:val="7"/>
  </w:num>
  <w:num w:numId="9">
    <w:abstractNumId w:val="15"/>
  </w:num>
  <w:num w:numId="10">
    <w:abstractNumId w:val="31"/>
  </w:num>
  <w:num w:numId="11">
    <w:abstractNumId w:val="28"/>
  </w:num>
  <w:num w:numId="12">
    <w:abstractNumId w:val="24"/>
  </w:num>
  <w:num w:numId="13">
    <w:abstractNumId w:val="12"/>
  </w:num>
  <w:num w:numId="14">
    <w:abstractNumId w:val="23"/>
  </w:num>
  <w:num w:numId="15">
    <w:abstractNumId w:val="43"/>
  </w:num>
  <w:num w:numId="16">
    <w:abstractNumId w:val="11"/>
  </w:num>
  <w:num w:numId="17">
    <w:abstractNumId w:val="4"/>
  </w:num>
  <w:num w:numId="18">
    <w:abstractNumId w:val="37"/>
  </w:num>
  <w:num w:numId="19">
    <w:abstractNumId w:val="21"/>
  </w:num>
  <w:num w:numId="20">
    <w:abstractNumId w:val="25"/>
  </w:num>
  <w:num w:numId="21">
    <w:abstractNumId w:val="36"/>
  </w:num>
  <w:num w:numId="22">
    <w:abstractNumId w:val="40"/>
  </w:num>
  <w:num w:numId="23">
    <w:abstractNumId w:val="38"/>
  </w:num>
  <w:num w:numId="24">
    <w:abstractNumId w:val="27"/>
  </w:num>
  <w:num w:numId="25">
    <w:abstractNumId w:val="45"/>
  </w:num>
  <w:num w:numId="26">
    <w:abstractNumId w:val="0"/>
  </w:num>
  <w:num w:numId="27">
    <w:abstractNumId w:val="1"/>
  </w:num>
  <w:num w:numId="28">
    <w:abstractNumId w:val="34"/>
  </w:num>
  <w:num w:numId="29">
    <w:abstractNumId w:val="3"/>
  </w:num>
  <w:num w:numId="30">
    <w:abstractNumId w:val="44"/>
  </w:num>
  <w:num w:numId="31">
    <w:abstractNumId w:val="30"/>
  </w:num>
  <w:num w:numId="32">
    <w:abstractNumId w:val="41"/>
  </w:num>
  <w:num w:numId="33">
    <w:abstractNumId w:val="13"/>
  </w:num>
  <w:num w:numId="34">
    <w:abstractNumId w:val="6"/>
  </w:num>
  <w:num w:numId="35">
    <w:abstractNumId w:val="29"/>
  </w:num>
  <w:num w:numId="36">
    <w:abstractNumId w:val="9"/>
  </w:num>
  <w:num w:numId="37">
    <w:abstractNumId w:val="5"/>
  </w:num>
  <w:num w:numId="38">
    <w:abstractNumId w:val="19"/>
  </w:num>
  <w:num w:numId="39">
    <w:abstractNumId w:val="2"/>
  </w:num>
  <w:num w:numId="40">
    <w:abstractNumId w:val="33"/>
  </w:num>
  <w:num w:numId="41">
    <w:abstractNumId w:val="17"/>
  </w:num>
  <w:num w:numId="42">
    <w:abstractNumId w:val="16"/>
  </w:num>
  <w:num w:numId="43">
    <w:abstractNumId w:val="18"/>
  </w:num>
  <w:num w:numId="44">
    <w:abstractNumId w:val="35"/>
  </w:num>
  <w:num w:numId="45">
    <w:abstractNumId w:val="26"/>
  </w:num>
  <w:num w:numId="46">
    <w:abstractNumId w:val="39"/>
  </w:num>
  <w:num w:numId="47">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4A2"/>
    <w:rsid w:val="00012B3C"/>
    <w:rsid w:val="00044B9D"/>
    <w:rsid w:val="00053563"/>
    <w:rsid w:val="0007002F"/>
    <w:rsid w:val="00080705"/>
    <w:rsid w:val="00082129"/>
    <w:rsid w:val="00085472"/>
    <w:rsid w:val="00086E7A"/>
    <w:rsid w:val="0009689B"/>
    <w:rsid w:val="000B6570"/>
    <w:rsid w:val="000B6AEB"/>
    <w:rsid w:val="000D68C1"/>
    <w:rsid w:val="000E2C3B"/>
    <w:rsid w:val="000E3E57"/>
    <w:rsid w:val="000F070A"/>
    <w:rsid w:val="0010057A"/>
    <w:rsid w:val="00122DB7"/>
    <w:rsid w:val="00133ADB"/>
    <w:rsid w:val="001422C1"/>
    <w:rsid w:val="00147BBA"/>
    <w:rsid w:val="0016419B"/>
    <w:rsid w:val="001643C7"/>
    <w:rsid w:val="001839F2"/>
    <w:rsid w:val="001A0E02"/>
    <w:rsid w:val="001B01BD"/>
    <w:rsid w:val="001B3A89"/>
    <w:rsid w:val="001C452B"/>
    <w:rsid w:val="001C4F09"/>
    <w:rsid w:val="001C7770"/>
    <w:rsid w:val="001D6DB6"/>
    <w:rsid w:val="001E404B"/>
    <w:rsid w:val="001E6717"/>
    <w:rsid w:val="001F06B5"/>
    <w:rsid w:val="001F0C31"/>
    <w:rsid w:val="001F7B12"/>
    <w:rsid w:val="00203A76"/>
    <w:rsid w:val="002040D1"/>
    <w:rsid w:val="00214222"/>
    <w:rsid w:val="00222285"/>
    <w:rsid w:val="002254ED"/>
    <w:rsid w:val="00226E69"/>
    <w:rsid w:val="00232F00"/>
    <w:rsid w:val="00256EF1"/>
    <w:rsid w:val="00263354"/>
    <w:rsid w:val="002646F3"/>
    <w:rsid w:val="00264DCA"/>
    <w:rsid w:val="00267930"/>
    <w:rsid w:val="00272076"/>
    <w:rsid w:val="00286909"/>
    <w:rsid w:val="002A5207"/>
    <w:rsid w:val="002B2054"/>
    <w:rsid w:val="002B2F6A"/>
    <w:rsid w:val="002B332F"/>
    <w:rsid w:val="002E0E0B"/>
    <w:rsid w:val="002E29D8"/>
    <w:rsid w:val="002E5FA4"/>
    <w:rsid w:val="002F6B29"/>
    <w:rsid w:val="002F7464"/>
    <w:rsid w:val="00301F98"/>
    <w:rsid w:val="00337E5A"/>
    <w:rsid w:val="00343FE8"/>
    <w:rsid w:val="00353FB6"/>
    <w:rsid w:val="00365057"/>
    <w:rsid w:val="003756AA"/>
    <w:rsid w:val="00375C47"/>
    <w:rsid w:val="0038217B"/>
    <w:rsid w:val="00386073"/>
    <w:rsid w:val="0038776A"/>
    <w:rsid w:val="00396819"/>
    <w:rsid w:val="0039707C"/>
    <w:rsid w:val="003A1806"/>
    <w:rsid w:val="003A2094"/>
    <w:rsid w:val="003B727B"/>
    <w:rsid w:val="003B792D"/>
    <w:rsid w:val="003C6D14"/>
    <w:rsid w:val="003D0C6D"/>
    <w:rsid w:val="003D4EE0"/>
    <w:rsid w:val="003F3EA8"/>
    <w:rsid w:val="003F7560"/>
    <w:rsid w:val="004020A1"/>
    <w:rsid w:val="00406E45"/>
    <w:rsid w:val="00410230"/>
    <w:rsid w:val="00412C6C"/>
    <w:rsid w:val="004164DF"/>
    <w:rsid w:val="00416AE2"/>
    <w:rsid w:val="004200D2"/>
    <w:rsid w:val="00420227"/>
    <w:rsid w:val="0042036A"/>
    <w:rsid w:val="0042416B"/>
    <w:rsid w:val="00424544"/>
    <w:rsid w:val="004330EA"/>
    <w:rsid w:val="00437E6B"/>
    <w:rsid w:val="00441CE5"/>
    <w:rsid w:val="0045787C"/>
    <w:rsid w:val="00461F25"/>
    <w:rsid w:val="0046372A"/>
    <w:rsid w:val="00465A23"/>
    <w:rsid w:val="00466C9C"/>
    <w:rsid w:val="00467A6A"/>
    <w:rsid w:val="0047338B"/>
    <w:rsid w:val="00480024"/>
    <w:rsid w:val="004821A9"/>
    <w:rsid w:val="00490B58"/>
    <w:rsid w:val="00491867"/>
    <w:rsid w:val="00495ACE"/>
    <w:rsid w:val="004A451F"/>
    <w:rsid w:val="004B082A"/>
    <w:rsid w:val="004B3C88"/>
    <w:rsid w:val="004B7201"/>
    <w:rsid w:val="004D196D"/>
    <w:rsid w:val="004D62F9"/>
    <w:rsid w:val="004D74A2"/>
    <w:rsid w:val="004E412E"/>
    <w:rsid w:val="00503E48"/>
    <w:rsid w:val="00514B5F"/>
    <w:rsid w:val="0053566D"/>
    <w:rsid w:val="00542FE2"/>
    <w:rsid w:val="00545FB2"/>
    <w:rsid w:val="00546F59"/>
    <w:rsid w:val="0056014C"/>
    <w:rsid w:val="005612FA"/>
    <w:rsid w:val="005739E8"/>
    <w:rsid w:val="00574DB5"/>
    <w:rsid w:val="005823C0"/>
    <w:rsid w:val="005A076E"/>
    <w:rsid w:val="005A26BA"/>
    <w:rsid w:val="005B30CF"/>
    <w:rsid w:val="005D0560"/>
    <w:rsid w:val="005D4591"/>
    <w:rsid w:val="005E51F1"/>
    <w:rsid w:val="005F6BF7"/>
    <w:rsid w:val="00630C8D"/>
    <w:rsid w:val="00643BBC"/>
    <w:rsid w:val="00644903"/>
    <w:rsid w:val="00665306"/>
    <w:rsid w:val="006653EF"/>
    <w:rsid w:val="006734E1"/>
    <w:rsid w:val="006870C0"/>
    <w:rsid w:val="00696551"/>
    <w:rsid w:val="006A53F7"/>
    <w:rsid w:val="006B3B38"/>
    <w:rsid w:val="006B6C20"/>
    <w:rsid w:val="006B7D59"/>
    <w:rsid w:val="006C0C67"/>
    <w:rsid w:val="006C1623"/>
    <w:rsid w:val="006D3284"/>
    <w:rsid w:val="006D4AB0"/>
    <w:rsid w:val="006E10A0"/>
    <w:rsid w:val="006E231E"/>
    <w:rsid w:val="006E2541"/>
    <w:rsid w:val="006E6F96"/>
    <w:rsid w:val="006F5328"/>
    <w:rsid w:val="006F7522"/>
    <w:rsid w:val="0070240D"/>
    <w:rsid w:val="007034A2"/>
    <w:rsid w:val="0071540D"/>
    <w:rsid w:val="007301F8"/>
    <w:rsid w:val="00736C15"/>
    <w:rsid w:val="0074195F"/>
    <w:rsid w:val="00747239"/>
    <w:rsid w:val="00750A43"/>
    <w:rsid w:val="00761D92"/>
    <w:rsid w:val="00764718"/>
    <w:rsid w:val="007649D5"/>
    <w:rsid w:val="00773FA3"/>
    <w:rsid w:val="00780D71"/>
    <w:rsid w:val="00793A80"/>
    <w:rsid w:val="007A6669"/>
    <w:rsid w:val="007B0351"/>
    <w:rsid w:val="007B0D6D"/>
    <w:rsid w:val="007B186E"/>
    <w:rsid w:val="007B3A0F"/>
    <w:rsid w:val="007C408C"/>
    <w:rsid w:val="007C53A0"/>
    <w:rsid w:val="007E19EB"/>
    <w:rsid w:val="007E220D"/>
    <w:rsid w:val="007F3286"/>
    <w:rsid w:val="007F666A"/>
    <w:rsid w:val="00800873"/>
    <w:rsid w:val="008008BF"/>
    <w:rsid w:val="008011B2"/>
    <w:rsid w:val="0080367C"/>
    <w:rsid w:val="0081154D"/>
    <w:rsid w:val="00814883"/>
    <w:rsid w:val="008149DA"/>
    <w:rsid w:val="00824316"/>
    <w:rsid w:val="00825318"/>
    <w:rsid w:val="00837653"/>
    <w:rsid w:val="00843D37"/>
    <w:rsid w:val="00844AFD"/>
    <w:rsid w:val="00851F63"/>
    <w:rsid w:val="00855DBB"/>
    <w:rsid w:val="00862003"/>
    <w:rsid w:val="00865C90"/>
    <w:rsid w:val="00882B16"/>
    <w:rsid w:val="00883F4A"/>
    <w:rsid w:val="008A23E5"/>
    <w:rsid w:val="008B7D9C"/>
    <w:rsid w:val="008B7E92"/>
    <w:rsid w:val="008C1C52"/>
    <w:rsid w:val="008C2456"/>
    <w:rsid w:val="008D35A5"/>
    <w:rsid w:val="008D43FB"/>
    <w:rsid w:val="008D4D4E"/>
    <w:rsid w:val="008D7DB4"/>
    <w:rsid w:val="008E08C3"/>
    <w:rsid w:val="008F6C0F"/>
    <w:rsid w:val="009022F6"/>
    <w:rsid w:val="009037C8"/>
    <w:rsid w:val="0091293C"/>
    <w:rsid w:val="009175D2"/>
    <w:rsid w:val="0091791E"/>
    <w:rsid w:val="00922331"/>
    <w:rsid w:val="0092463D"/>
    <w:rsid w:val="0093270F"/>
    <w:rsid w:val="00944D16"/>
    <w:rsid w:val="009633AF"/>
    <w:rsid w:val="00963FF9"/>
    <w:rsid w:val="00970091"/>
    <w:rsid w:val="00972C5C"/>
    <w:rsid w:val="009765D5"/>
    <w:rsid w:val="009802A2"/>
    <w:rsid w:val="009814E4"/>
    <w:rsid w:val="00992430"/>
    <w:rsid w:val="00994FE6"/>
    <w:rsid w:val="009962CA"/>
    <w:rsid w:val="009A2C75"/>
    <w:rsid w:val="009A6228"/>
    <w:rsid w:val="009B1647"/>
    <w:rsid w:val="009C0345"/>
    <w:rsid w:val="009D04B9"/>
    <w:rsid w:val="009D6DF2"/>
    <w:rsid w:val="009E3F22"/>
    <w:rsid w:val="009E5AAB"/>
    <w:rsid w:val="009E5E8F"/>
    <w:rsid w:val="009E6B37"/>
    <w:rsid w:val="009F7B52"/>
    <w:rsid w:val="009F7C76"/>
    <w:rsid w:val="00A042D7"/>
    <w:rsid w:val="00A05DBF"/>
    <w:rsid w:val="00A12A2A"/>
    <w:rsid w:val="00A23079"/>
    <w:rsid w:val="00A26E03"/>
    <w:rsid w:val="00A300B2"/>
    <w:rsid w:val="00A318A4"/>
    <w:rsid w:val="00A429BF"/>
    <w:rsid w:val="00A44395"/>
    <w:rsid w:val="00A472D3"/>
    <w:rsid w:val="00A56164"/>
    <w:rsid w:val="00A67EF1"/>
    <w:rsid w:val="00A70700"/>
    <w:rsid w:val="00A72CCD"/>
    <w:rsid w:val="00A739F5"/>
    <w:rsid w:val="00A73A4E"/>
    <w:rsid w:val="00A76FB6"/>
    <w:rsid w:val="00A86E6D"/>
    <w:rsid w:val="00A920D8"/>
    <w:rsid w:val="00A92F51"/>
    <w:rsid w:val="00A95B8A"/>
    <w:rsid w:val="00AA24E9"/>
    <w:rsid w:val="00AB19E3"/>
    <w:rsid w:val="00AB4DE2"/>
    <w:rsid w:val="00AB74CA"/>
    <w:rsid w:val="00AC294E"/>
    <w:rsid w:val="00AC3D83"/>
    <w:rsid w:val="00AD1232"/>
    <w:rsid w:val="00AF5B7F"/>
    <w:rsid w:val="00B1386A"/>
    <w:rsid w:val="00B30A7F"/>
    <w:rsid w:val="00B30FFE"/>
    <w:rsid w:val="00B35C14"/>
    <w:rsid w:val="00B43557"/>
    <w:rsid w:val="00B44996"/>
    <w:rsid w:val="00B54D1E"/>
    <w:rsid w:val="00B650AE"/>
    <w:rsid w:val="00B800BD"/>
    <w:rsid w:val="00B80432"/>
    <w:rsid w:val="00B81467"/>
    <w:rsid w:val="00B83AF5"/>
    <w:rsid w:val="00B83EB1"/>
    <w:rsid w:val="00B851DD"/>
    <w:rsid w:val="00B86E29"/>
    <w:rsid w:val="00B956E2"/>
    <w:rsid w:val="00B97E32"/>
    <w:rsid w:val="00BB4A93"/>
    <w:rsid w:val="00BB5E3E"/>
    <w:rsid w:val="00BB61A7"/>
    <w:rsid w:val="00BD0983"/>
    <w:rsid w:val="00BD1431"/>
    <w:rsid w:val="00BD708C"/>
    <w:rsid w:val="00BE0CA5"/>
    <w:rsid w:val="00BE2C28"/>
    <w:rsid w:val="00BF5262"/>
    <w:rsid w:val="00C06C02"/>
    <w:rsid w:val="00C254C2"/>
    <w:rsid w:val="00C40232"/>
    <w:rsid w:val="00C45BDA"/>
    <w:rsid w:val="00C50077"/>
    <w:rsid w:val="00C528B3"/>
    <w:rsid w:val="00C538EA"/>
    <w:rsid w:val="00C62575"/>
    <w:rsid w:val="00C7159F"/>
    <w:rsid w:val="00C73FAF"/>
    <w:rsid w:val="00C7718A"/>
    <w:rsid w:val="00C777E0"/>
    <w:rsid w:val="00C80130"/>
    <w:rsid w:val="00C97C17"/>
    <w:rsid w:val="00CB3CBF"/>
    <w:rsid w:val="00CB4575"/>
    <w:rsid w:val="00CC0470"/>
    <w:rsid w:val="00CF1F3F"/>
    <w:rsid w:val="00CF2488"/>
    <w:rsid w:val="00CF472F"/>
    <w:rsid w:val="00D02AC3"/>
    <w:rsid w:val="00D03DCD"/>
    <w:rsid w:val="00D123F4"/>
    <w:rsid w:val="00D147E3"/>
    <w:rsid w:val="00D14F08"/>
    <w:rsid w:val="00D16930"/>
    <w:rsid w:val="00D21D7F"/>
    <w:rsid w:val="00D2291E"/>
    <w:rsid w:val="00D237C1"/>
    <w:rsid w:val="00D273F7"/>
    <w:rsid w:val="00D30BA2"/>
    <w:rsid w:val="00D32B14"/>
    <w:rsid w:val="00D50075"/>
    <w:rsid w:val="00D550BD"/>
    <w:rsid w:val="00D5603E"/>
    <w:rsid w:val="00D72011"/>
    <w:rsid w:val="00D72289"/>
    <w:rsid w:val="00D7235D"/>
    <w:rsid w:val="00D73E44"/>
    <w:rsid w:val="00D7711F"/>
    <w:rsid w:val="00D91121"/>
    <w:rsid w:val="00DA3D34"/>
    <w:rsid w:val="00DA4F27"/>
    <w:rsid w:val="00DB40D8"/>
    <w:rsid w:val="00DB7C95"/>
    <w:rsid w:val="00DC3F24"/>
    <w:rsid w:val="00DD3E1C"/>
    <w:rsid w:val="00DF17D9"/>
    <w:rsid w:val="00DF259F"/>
    <w:rsid w:val="00E05E20"/>
    <w:rsid w:val="00E15D86"/>
    <w:rsid w:val="00E332DD"/>
    <w:rsid w:val="00E33F59"/>
    <w:rsid w:val="00E369A1"/>
    <w:rsid w:val="00E371E6"/>
    <w:rsid w:val="00E451B8"/>
    <w:rsid w:val="00E46C29"/>
    <w:rsid w:val="00E56BFD"/>
    <w:rsid w:val="00E64519"/>
    <w:rsid w:val="00E70D41"/>
    <w:rsid w:val="00E775E2"/>
    <w:rsid w:val="00E77614"/>
    <w:rsid w:val="00E850EF"/>
    <w:rsid w:val="00E91989"/>
    <w:rsid w:val="00E93C9F"/>
    <w:rsid w:val="00EA4E41"/>
    <w:rsid w:val="00EA6153"/>
    <w:rsid w:val="00EB2FF0"/>
    <w:rsid w:val="00EC17F9"/>
    <w:rsid w:val="00EC38E7"/>
    <w:rsid w:val="00EE4AE3"/>
    <w:rsid w:val="00F21FB9"/>
    <w:rsid w:val="00F24EF6"/>
    <w:rsid w:val="00F33F85"/>
    <w:rsid w:val="00F42C3A"/>
    <w:rsid w:val="00F5760B"/>
    <w:rsid w:val="00F629CD"/>
    <w:rsid w:val="00F64E5B"/>
    <w:rsid w:val="00F66318"/>
    <w:rsid w:val="00F70366"/>
    <w:rsid w:val="00F73ED5"/>
    <w:rsid w:val="00F77AA2"/>
    <w:rsid w:val="00F87740"/>
    <w:rsid w:val="00F9029B"/>
    <w:rsid w:val="00FA111D"/>
    <w:rsid w:val="00FA34A6"/>
    <w:rsid w:val="00FA7997"/>
    <w:rsid w:val="00FB1A2E"/>
    <w:rsid w:val="00FB263D"/>
    <w:rsid w:val="00FC2375"/>
    <w:rsid w:val="00FC25C4"/>
    <w:rsid w:val="00FF1B02"/>
    <w:rsid w:val="00FF4737"/>
    <w:rsid w:val="29143BB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C357"/>
  <w15:docId w15:val="{EE418963-0DF7-451E-80BD-8590A1FA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14C"/>
    <w:pPr>
      <w:spacing w:after="200" w:line="276" w:lineRule="auto"/>
    </w:pPr>
    <w:rPr>
      <w:lang w:val="es-ES"/>
    </w:rPr>
  </w:style>
  <w:style w:type="paragraph" w:styleId="Ttulo1">
    <w:name w:val="heading 1"/>
    <w:basedOn w:val="Normal"/>
    <w:next w:val="Normal"/>
    <w:link w:val="Ttulo1Car"/>
    <w:uiPriority w:val="9"/>
    <w:qFormat/>
    <w:rsid w:val="00D16930"/>
    <w:pPr>
      <w:keepNext/>
      <w:keepLines/>
      <w:spacing w:before="240" w:after="0"/>
      <w:outlineLvl w:val="0"/>
    </w:pPr>
    <w:rPr>
      <w:rFonts w:ascii="Times" w:eastAsiaTheme="majorEastAsia" w:hAnsi="Times" w:cstheme="majorBidi"/>
      <w:b/>
      <w:sz w:val="32"/>
      <w:szCs w:val="32"/>
    </w:rPr>
  </w:style>
  <w:style w:type="paragraph" w:styleId="Ttulo2">
    <w:name w:val="heading 2"/>
    <w:basedOn w:val="Normal"/>
    <w:next w:val="Normal"/>
    <w:link w:val="Ttulo2Car"/>
    <w:uiPriority w:val="9"/>
    <w:semiHidden/>
    <w:unhideWhenUsed/>
    <w:qFormat/>
    <w:rsid w:val="005739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C17F9"/>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s-CO" w:eastAsia="es-ES_tradnl"/>
    </w:rPr>
  </w:style>
  <w:style w:type="paragraph" w:styleId="Ttulo4">
    <w:name w:val="heading 4"/>
    <w:basedOn w:val="Normal"/>
    <w:next w:val="Normal"/>
    <w:link w:val="Ttulo4Car"/>
    <w:uiPriority w:val="9"/>
    <w:semiHidden/>
    <w:unhideWhenUsed/>
    <w:qFormat/>
    <w:rsid w:val="00EC17F9"/>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CO"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74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74A2"/>
    <w:rPr>
      <w:lang w:val="es-ES"/>
    </w:rPr>
  </w:style>
  <w:style w:type="paragraph" w:styleId="Piedepgina">
    <w:name w:val="footer"/>
    <w:basedOn w:val="Normal"/>
    <w:link w:val="PiedepginaCar"/>
    <w:unhideWhenUsed/>
    <w:rsid w:val="004D74A2"/>
    <w:pPr>
      <w:tabs>
        <w:tab w:val="center" w:pos="4252"/>
        <w:tab w:val="right" w:pos="8504"/>
      </w:tabs>
      <w:spacing w:after="0" w:line="240" w:lineRule="auto"/>
    </w:pPr>
  </w:style>
  <w:style w:type="character" w:customStyle="1" w:styleId="PiedepginaCar">
    <w:name w:val="Pie de página Car"/>
    <w:basedOn w:val="Fuentedeprrafopredeter"/>
    <w:link w:val="Piedepgina"/>
    <w:rsid w:val="004D74A2"/>
    <w:rPr>
      <w:lang w:val="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FA,C"/>
    <w:basedOn w:val="Normal"/>
    <w:link w:val="TextonotapieCar"/>
    <w:uiPriority w:val="99"/>
    <w:unhideWhenUsed/>
    <w:qFormat/>
    <w:rsid w:val="004D74A2"/>
    <w:pPr>
      <w:spacing w:after="0" w:line="240" w:lineRule="auto"/>
    </w:pPr>
    <w:rPr>
      <w:rFonts w:ascii="Arial" w:eastAsiaTheme="minorEastAsia" w:hAnsi="Arial"/>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C Car"/>
    <w:basedOn w:val="Fuentedeprrafopredeter"/>
    <w:link w:val="Textonotapie"/>
    <w:uiPriority w:val="99"/>
    <w:rsid w:val="004D74A2"/>
    <w:rPr>
      <w:rFonts w:ascii="Arial" w:eastAsiaTheme="minorEastAsia" w:hAnsi="Arial"/>
      <w:sz w:val="20"/>
      <w:szCs w:val="20"/>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Nota de pie"/>
    <w:basedOn w:val="Fuentedeprrafopredeter"/>
    <w:uiPriority w:val="99"/>
    <w:unhideWhenUsed/>
    <w:qFormat/>
    <w:rsid w:val="004D74A2"/>
    <w:rPr>
      <w:vertAlign w:val="superscript"/>
    </w:rPr>
  </w:style>
  <w:style w:type="character" w:styleId="Hipervnculo">
    <w:name w:val="Hyperlink"/>
    <w:basedOn w:val="Fuentedeprrafopredeter"/>
    <w:uiPriority w:val="99"/>
    <w:unhideWhenUsed/>
    <w:rsid w:val="004D74A2"/>
    <w:rPr>
      <w:color w:val="0000FF"/>
      <w:u w:val="single"/>
    </w:rPr>
  </w:style>
  <w:style w:type="paragraph" w:customStyle="1" w:styleId="Cuerpo">
    <w:name w:val="Cuerpo"/>
    <w:rsid w:val="0086200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customStyle="1" w:styleId="Default">
    <w:name w:val="Default"/>
    <w:rsid w:val="00862003"/>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2869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6909"/>
    <w:rPr>
      <w:rFonts w:ascii="Tahoma" w:hAnsi="Tahoma" w:cs="Tahoma"/>
      <w:sz w:val="16"/>
      <w:szCs w:val="16"/>
      <w:lang w:val="es-ES"/>
    </w:rPr>
  </w:style>
  <w:style w:type="character" w:customStyle="1" w:styleId="Ttulo3Car">
    <w:name w:val="Título 3 Car"/>
    <w:basedOn w:val="Fuentedeprrafopredeter"/>
    <w:link w:val="Ttulo3"/>
    <w:uiPriority w:val="9"/>
    <w:semiHidden/>
    <w:rsid w:val="00EC17F9"/>
    <w:rPr>
      <w:rFonts w:asciiTheme="majorHAnsi" w:eastAsiaTheme="majorEastAsia" w:hAnsiTheme="majorHAnsi" w:cstheme="majorBidi"/>
      <w:color w:val="1F4D78" w:themeColor="accent1" w:themeShade="7F"/>
      <w:sz w:val="24"/>
      <w:szCs w:val="24"/>
      <w:lang w:eastAsia="es-ES_tradnl"/>
    </w:rPr>
  </w:style>
  <w:style w:type="character" w:customStyle="1" w:styleId="Ttulo4Car">
    <w:name w:val="Título 4 Car"/>
    <w:basedOn w:val="Fuentedeprrafopredeter"/>
    <w:link w:val="Ttulo4"/>
    <w:uiPriority w:val="9"/>
    <w:semiHidden/>
    <w:rsid w:val="00EC17F9"/>
    <w:rPr>
      <w:rFonts w:asciiTheme="majorHAnsi" w:eastAsiaTheme="majorEastAsia" w:hAnsiTheme="majorHAnsi" w:cstheme="majorBidi"/>
      <w:i/>
      <w:iCs/>
      <w:color w:val="2E74B5" w:themeColor="accent1" w:themeShade="BF"/>
      <w:sz w:val="24"/>
      <w:szCs w:val="24"/>
      <w:lang w:eastAsia="es-ES_tradnl"/>
    </w:rPr>
  </w:style>
  <w:style w:type="paragraph" w:styleId="Prrafodelista">
    <w:name w:val="List Paragraph"/>
    <w:aliases w:val="List,titulo 3,Bullets,Ha,Párrafo de lista2,Cuadrícula clara - Énfasis 31,Elabora,Segundo nivel de viñetas,List Paragraph1,Llista Nivell1,EITI list,Numerado negrita propuestas,Fluvial1,Normal. Viñetas,HOJA,Bolita,Párrafo de lista4"/>
    <w:basedOn w:val="Normal"/>
    <w:link w:val="PrrafodelistaCar"/>
    <w:uiPriority w:val="34"/>
    <w:qFormat/>
    <w:rsid w:val="00EC17F9"/>
    <w:pPr>
      <w:spacing w:after="0" w:line="240" w:lineRule="auto"/>
      <w:ind w:left="720"/>
      <w:contextualSpacing/>
    </w:pPr>
    <w:rPr>
      <w:rFonts w:ascii="Times New Roman" w:eastAsia="Times New Roman" w:hAnsi="Times New Roman" w:cs="Times New Roman"/>
      <w:sz w:val="24"/>
      <w:szCs w:val="24"/>
      <w:lang w:val="es-CO" w:eastAsia="es-ES_tradnl"/>
    </w:rPr>
  </w:style>
  <w:style w:type="character" w:customStyle="1" w:styleId="PrrafodelistaCar">
    <w:name w:val="Párrafo de lista Car"/>
    <w:aliases w:val="List Car,titulo 3 Car,Bullets Car,Ha Car,Párrafo de lista2 Car,Cuadrícula clara - Énfasis 31 Car,Elabora Car,Segundo nivel de viñetas Car,List Paragraph1 Car,Llista Nivell1 Car,EITI list Car,Numerado negrita propuestas Car,HOJA Car"/>
    <w:link w:val="Prrafodelista"/>
    <w:uiPriority w:val="34"/>
    <w:qFormat/>
    <w:locked/>
    <w:rsid w:val="00EC17F9"/>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EC17F9"/>
  </w:style>
  <w:style w:type="paragraph" w:styleId="NormalWeb">
    <w:name w:val="Normal (Web)"/>
    <w:basedOn w:val="Normal"/>
    <w:uiPriority w:val="99"/>
    <w:unhideWhenUsed/>
    <w:rsid w:val="00EC17F9"/>
    <w:pPr>
      <w:spacing w:before="100" w:beforeAutospacing="1" w:after="100" w:afterAutospacing="1" w:line="240" w:lineRule="auto"/>
    </w:pPr>
    <w:rPr>
      <w:rFonts w:ascii="Times New Roman" w:eastAsia="Times New Roman" w:hAnsi="Times New Roman" w:cs="Times New Roman"/>
      <w:sz w:val="24"/>
      <w:szCs w:val="24"/>
      <w:lang w:val="es-CO" w:eastAsia="es-ES_tradnl"/>
    </w:rPr>
  </w:style>
  <w:style w:type="character" w:styleId="Textoennegrita">
    <w:name w:val="Strong"/>
    <w:basedOn w:val="Fuentedeprrafopredeter"/>
    <w:uiPriority w:val="22"/>
    <w:qFormat/>
    <w:rsid w:val="00EC17F9"/>
    <w:rPr>
      <w:b/>
      <w:bCs/>
    </w:rPr>
  </w:style>
  <w:style w:type="character" w:customStyle="1" w:styleId="iaj">
    <w:name w:val="i_aj"/>
    <w:basedOn w:val="Fuentedeprrafopredeter"/>
    <w:rsid w:val="00EC17F9"/>
  </w:style>
  <w:style w:type="character" w:customStyle="1" w:styleId="TextocomentarioCar">
    <w:name w:val="Texto comentario Car"/>
    <w:basedOn w:val="Fuentedeprrafopredeter"/>
    <w:link w:val="Textocomentario"/>
    <w:uiPriority w:val="99"/>
    <w:semiHidden/>
    <w:rsid w:val="00EC17F9"/>
    <w:rPr>
      <w:sz w:val="20"/>
      <w:szCs w:val="20"/>
    </w:rPr>
  </w:style>
  <w:style w:type="paragraph" w:styleId="Textocomentario">
    <w:name w:val="annotation text"/>
    <w:basedOn w:val="Normal"/>
    <w:link w:val="TextocomentarioCar"/>
    <w:uiPriority w:val="99"/>
    <w:semiHidden/>
    <w:unhideWhenUsed/>
    <w:rsid w:val="00EC17F9"/>
    <w:pPr>
      <w:spacing w:after="160" w:line="240" w:lineRule="auto"/>
    </w:pPr>
    <w:rPr>
      <w:sz w:val="20"/>
      <w:szCs w:val="20"/>
      <w:lang w:val="es-CO"/>
    </w:rPr>
  </w:style>
  <w:style w:type="paragraph" w:styleId="Sinespaciado">
    <w:name w:val="No Spacing"/>
    <w:link w:val="SinespaciadoCar"/>
    <w:uiPriority w:val="1"/>
    <w:qFormat/>
    <w:rsid w:val="00EC17F9"/>
    <w:pPr>
      <w:spacing w:after="0" w:line="240" w:lineRule="auto"/>
      <w:jc w:val="both"/>
    </w:pPr>
    <w:rPr>
      <w:rFonts w:ascii="Times New Roman" w:hAnsi="Times New Roman"/>
      <w:sz w:val="24"/>
      <w:szCs w:val="24"/>
    </w:rPr>
  </w:style>
  <w:style w:type="character" w:customStyle="1" w:styleId="SinespaciadoCar">
    <w:name w:val="Sin espaciado Car"/>
    <w:link w:val="Sinespaciado"/>
    <w:uiPriority w:val="1"/>
    <w:locked/>
    <w:rsid w:val="00EC17F9"/>
    <w:rPr>
      <w:rFonts w:ascii="Times New Roman" w:hAnsi="Times New Roman"/>
      <w:sz w:val="24"/>
      <w:szCs w:val="24"/>
    </w:rPr>
  </w:style>
  <w:style w:type="table" w:styleId="Tablaconcuadrcula">
    <w:name w:val="Table Grid"/>
    <w:basedOn w:val="Tablanormal"/>
    <w:uiPriority w:val="39"/>
    <w:rsid w:val="00715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16930"/>
    <w:rPr>
      <w:rFonts w:ascii="Times" w:eastAsiaTheme="majorEastAsia" w:hAnsi="Times" w:cstheme="majorBidi"/>
      <w:b/>
      <w:sz w:val="32"/>
      <w:szCs w:val="32"/>
      <w:lang w:val="es-ES"/>
    </w:rPr>
  </w:style>
  <w:style w:type="character" w:customStyle="1" w:styleId="Ttulo2Car">
    <w:name w:val="Título 2 Car"/>
    <w:basedOn w:val="Fuentedeprrafopredeter"/>
    <w:link w:val="Ttulo2"/>
    <w:uiPriority w:val="9"/>
    <w:semiHidden/>
    <w:rsid w:val="005739E8"/>
    <w:rPr>
      <w:rFonts w:asciiTheme="majorHAnsi" w:eastAsiaTheme="majorEastAsia" w:hAnsiTheme="majorHAnsi" w:cstheme="majorBidi"/>
      <w:color w:val="2E74B5" w:themeColor="accent1" w:themeShade="BF"/>
      <w:sz w:val="26"/>
      <w:szCs w:val="26"/>
      <w:lang w:val="es-ES"/>
    </w:rPr>
  </w:style>
  <w:style w:type="character" w:styleId="Refdecomentario">
    <w:name w:val="annotation reference"/>
    <w:basedOn w:val="Fuentedeprrafopredeter"/>
    <w:uiPriority w:val="99"/>
    <w:semiHidden/>
    <w:unhideWhenUsed/>
    <w:rsid w:val="009175D2"/>
    <w:rPr>
      <w:sz w:val="18"/>
      <w:szCs w:val="18"/>
    </w:rPr>
  </w:style>
  <w:style w:type="paragraph" w:styleId="Asuntodelcomentario">
    <w:name w:val="annotation subject"/>
    <w:basedOn w:val="Textocomentario"/>
    <w:next w:val="Textocomentario"/>
    <w:link w:val="AsuntodelcomentarioCar"/>
    <w:uiPriority w:val="99"/>
    <w:semiHidden/>
    <w:unhideWhenUsed/>
    <w:rsid w:val="009175D2"/>
    <w:pPr>
      <w:spacing w:after="200"/>
    </w:pPr>
    <w:rPr>
      <w:b/>
      <w:bCs/>
      <w:lang w:val="es-ES"/>
    </w:rPr>
  </w:style>
  <w:style w:type="character" w:customStyle="1" w:styleId="AsuntodelcomentarioCar">
    <w:name w:val="Asunto del comentario Car"/>
    <w:basedOn w:val="TextocomentarioCar"/>
    <w:link w:val="Asuntodelcomentario"/>
    <w:uiPriority w:val="99"/>
    <w:semiHidden/>
    <w:rsid w:val="009175D2"/>
    <w:rPr>
      <w:b/>
      <w:bCs/>
      <w:sz w:val="20"/>
      <w:szCs w:val="20"/>
      <w:lang w:val="es-ES"/>
    </w:rPr>
  </w:style>
  <w:style w:type="table" w:customStyle="1" w:styleId="1">
    <w:name w:val="1"/>
    <w:basedOn w:val="Tablanormal"/>
    <w:rsid w:val="00D7711F"/>
    <w:pPr>
      <w:spacing w:after="0" w:line="276" w:lineRule="auto"/>
    </w:pPr>
    <w:rPr>
      <w:rFonts w:ascii="Arial" w:eastAsia="Arial" w:hAnsi="Arial" w:cs="Arial"/>
      <w:lang w:val="es-ES_tradnl" w:eastAsia="es-ES_tradnl"/>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88010">
      <w:bodyDiv w:val="1"/>
      <w:marLeft w:val="0"/>
      <w:marRight w:val="0"/>
      <w:marTop w:val="0"/>
      <w:marBottom w:val="0"/>
      <w:divBdr>
        <w:top w:val="none" w:sz="0" w:space="0" w:color="auto"/>
        <w:left w:val="none" w:sz="0" w:space="0" w:color="auto"/>
        <w:bottom w:val="none" w:sz="0" w:space="0" w:color="auto"/>
        <w:right w:val="none" w:sz="0" w:space="0" w:color="auto"/>
      </w:divBdr>
    </w:div>
    <w:div w:id="44530605">
      <w:bodyDiv w:val="1"/>
      <w:marLeft w:val="0"/>
      <w:marRight w:val="0"/>
      <w:marTop w:val="0"/>
      <w:marBottom w:val="0"/>
      <w:divBdr>
        <w:top w:val="none" w:sz="0" w:space="0" w:color="auto"/>
        <w:left w:val="none" w:sz="0" w:space="0" w:color="auto"/>
        <w:bottom w:val="none" w:sz="0" w:space="0" w:color="auto"/>
        <w:right w:val="none" w:sz="0" w:space="0" w:color="auto"/>
      </w:divBdr>
    </w:div>
    <w:div w:id="122237572">
      <w:bodyDiv w:val="1"/>
      <w:marLeft w:val="0"/>
      <w:marRight w:val="0"/>
      <w:marTop w:val="0"/>
      <w:marBottom w:val="0"/>
      <w:divBdr>
        <w:top w:val="none" w:sz="0" w:space="0" w:color="auto"/>
        <w:left w:val="none" w:sz="0" w:space="0" w:color="auto"/>
        <w:bottom w:val="none" w:sz="0" w:space="0" w:color="auto"/>
        <w:right w:val="none" w:sz="0" w:space="0" w:color="auto"/>
      </w:divBdr>
    </w:div>
    <w:div w:id="137310529">
      <w:bodyDiv w:val="1"/>
      <w:marLeft w:val="0"/>
      <w:marRight w:val="0"/>
      <w:marTop w:val="0"/>
      <w:marBottom w:val="0"/>
      <w:divBdr>
        <w:top w:val="none" w:sz="0" w:space="0" w:color="auto"/>
        <w:left w:val="none" w:sz="0" w:space="0" w:color="auto"/>
        <w:bottom w:val="none" w:sz="0" w:space="0" w:color="auto"/>
        <w:right w:val="none" w:sz="0" w:space="0" w:color="auto"/>
      </w:divBdr>
    </w:div>
    <w:div w:id="176847846">
      <w:bodyDiv w:val="1"/>
      <w:marLeft w:val="0"/>
      <w:marRight w:val="0"/>
      <w:marTop w:val="0"/>
      <w:marBottom w:val="0"/>
      <w:divBdr>
        <w:top w:val="none" w:sz="0" w:space="0" w:color="auto"/>
        <w:left w:val="none" w:sz="0" w:space="0" w:color="auto"/>
        <w:bottom w:val="none" w:sz="0" w:space="0" w:color="auto"/>
        <w:right w:val="none" w:sz="0" w:space="0" w:color="auto"/>
      </w:divBdr>
    </w:div>
    <w:div w:id="205996452">
      <w:bodyDiv w:val="1"/>
      <w:marLeft w:val="0"/>
      <w:marRight w:val="0"/>
      <w:marTop w:val="0"/>
      <w:marBottom w:val="0"/>
      <w:divBdr>
        <w:top w:val="none" w:sz="0" w:space="0" w:color="auto"/>
        <w:left w:val="none" w:sz="0" w:space="0" w:color="auto"/>
        <w:bottom w:val="none" w:sz="0" w:space="0" w:color="auto"/>
        <w:right w:val="none" w:sz="0" w:space="0" w:color="auto"/>
      </w:divBdr>
    </w:div>
    <w:div w:id="227614573">
      <w:bodyDiv w:val="1"/>
      <w:marLeft w:val="0"/>
      <w:marRight w:val="0"/>
      <w:marTop w:val="0"/>
      <w:marBottom w:val="0"/>
      <w:divBdr>
        <w:top w:val="none" w:sz="0" w:space="0" w:color="auto"/>
        <w:left w:val="none" w:sz="0" w:space="0" w:color="auto"/>
        <w:bottom w:val="none" w:sz="0" w:space="0" w:color="auto"/>
        <w:right w:val="none" w:sz="0" w:space="0" w:color="auto"/>
      </w:divBdr>
    </w:div>
    <w:div w:id="244730602">
      <w:bodyDiv w:val="1"/>
      <w:marLeft w:val="0"/>
      <w:marRight w:val="0"/>
      <w:marTop w:val="0"/>
      <w:marBottom w:val="0"/>
      <w:divBdr>
        <w:top w:val="none" w:sz="0" w:space="0" w:color="auto"/>
        <w:left w:val="none" w:sz="0" w:space="0" w:color="auto"/>
        <w:bottom w:val="none" w:sz="0" w:space="0" w:color="auto"/>
        <w:right w:val="none" w:sz="0" w:space="0" w:color="auto"/>
      </w:divBdr>
    </w:div>
    <w:div w:id="272832688">
      <w:bodyDiv w:val="1"/>
      <w:marLeft w:val="0"/>
      <w:marRight w:val="0"/>
      <w:marTop w:val="0"/>
      <w:marBottom w:val="0"/>
      <w:divBdr>
        <w:top w:val="none" w:sz="0" w:space="0" w:color="auto"/>
        <w:left w:val="none" w:sz="0" w:space="0" w:color="auto"/>
        <w:bottom w:val="none" w:sz="0" w:space="0" w:color="auto"/>
        <w:right w:val="none" w:sz="0" w:space="0" w:color="auto"/>
      </w:divBdr>
    </w:div>
    <w:div w:id="292638454">
      <w:bodyDiv w:val="1"/>
      <w:marLeft w:val="0"/>
      <w:marRight w:val="0"/>
      <w:marTop w:val="0"/>
      <w:marBottom w:val="0"/>
      <w:divBdr>
        <w:top w:val="none" w:sz="0" w:space="0" w:color="auto"/>
        <w:left w:val="none" w:sz="0" w:space="0" w:color="auto"/>
        <w:bottom w:val="none" w:sz="0" w:space="0" w:color="auto"/>
        <w:right w:val="none" w:sz="0" w:space="0" w:color="auto"/>
      </w:divBdr>
    </w:div>
    <w:div w:id="296496356">
      <w:bodyDiv w:val="1"/>
      <w:marLeft w:val="0"/>
      <w:marRight w:val="0"/>
      <w:marTop w:val="0"/>
      <w:marBottom w:val="0"/>
      <w:divBdr>
        <w:top w:val="none" w:sz="0" w:space="0" w:color="auto"/>
        <w:left w:val="none" w:sz="0" w:space="0" w:color="auto"/>
        <w:bottom w:val="none" w:sz="0" w:space="0" w:color="auto"/>
        <w:right w:val="none" w:sz="0" w:space="0" w:color="auto"/>
      </w:divBdr>
    </w:div>
    <w:div w:id="303387837">
      <w:bodyDiv w:val="1"/>
      <w:marLeft w:val="0"/>
      <w:marRight w:val="0"/>
      <w:marTop w:val="0"/>
      <w:marBottom w:val="0"/>
      <w:divBdr>
        <w:top w:val="none" w:sz="0" w:space="0" w:color="auto"/>
        <w:left w:val="none" w:sz="0" w:space="0" w:color="auto"/>
        <w:bottom w:val="none" w:sz="0" w:space="0" w:color="auto"/>
        <w:right w:val="none" w:sz="0" w:space="0" w:color="auto"/>
      </w:divBdr>
    </w:div>
    <w:div w:id="317733064">
      <w:bodyDiv w:val="1"/>
      <w:marLeft w:val="0"/>
      <w:marRight w:val="0"/>
      <w:marTop w:val="0"/>
      <w:marBottom w:val="0"/>
      <w:divBdr>
        <w:top w:val="none" w:sz="0" w:space="0" w:color="auto"/>
        <w:left w:val="none" w:sz="0" w:space="0" w:color="auto"/>
        <w:bottom w:val="none" w:sz="0" w:space="0" w:color="auto"/>
        <w:right w:val="none" w:sz="0" w:space="0" w:color="auto"/>
      </w:divBdr>
    </w:div>
    <w:div w:id="352344025">
      <w:bodyDiv w:val="1"/>
      <w:marLeft w:val="0"/>
      <w:marRight w:val="0"/>
      <w:marTop w:val="0"/>
      <w:marBottom w:val="0"/>
      <w:divBdr>
        <w:top w:val="none" w:sz="0" w:space="0" w:color="auto"/>
        <w:left w:val="none" w:sz="0" w:space="0" w:color="auto"/>
        <w:bottom w:val="none" w:sz="0" w:space="0" w:color="auto"/>
        <w:right w:val="none" w:sz="0" w:space="0" w:color="auto"/>
      </w:divBdr>
    </w:div>
    <w:div w:id="383791581">
      <w:bodyDiv w:val="1"/>
      <w:marLeft w:val="0"/>
      <w:marRight w:val="0"/>
      <w:marTop w:val="0"/>
      <w:marBottom w:val="0"/>
      <w:divBdr>
        <w:top w:val="none" w:sz="0" w:space="0" w:color="auto"/>
        <w:left w:val="none" w:sz="0" w:space="0" w:color="auto"/>
        <w:bottom w:val="none" w:sz="0" w:space="0" w:color="auto"/>
        <w:right w:val="none" w:sz="0" w:space="0" w:color="auto"/>
      </w:divBdr>
    </w:div>
    <w:div w:id="548763356">
      <w:bodyDiv w:val="1"/>
      <w:marLeft w:val="0"/>
      <w:marRight w:val="0"/>
      <w:marTop w:val="0"/>
      <w:marBottom w:val="0"/>
      <w:divBdr>
        <w:top w:val="none" w:sz="0" w:space="0" w:color="auto"/>
        <w:left w:val="none" w:sz="0" w:space="0" w:color="auto"/>
        <w:bottom w:val="none" w:sz="0" w:space="0" w:color="auto"/>
        <w:right w:val="none" w:sz="0" w:space="0" w:color="auto"/>
      </w:divBdr>
    </w:div>
    <w:div w:id="628709856">
      <w:bodyDiv w:val="1"/>
      <w:marLeft w:val="0"/>
      <w:marRight w:val="0"/>
      <w:marTop w:val="0"/>
      <w:marBottom w:val="0"/>
      <w:divBdr>
        <w:top w:val="none" w:sz="0" w:space="0" w:color="auto"/>
        <w:left w:val="none" w:sz="0" w:space="0" w:color="auto"/>
        <w:bottom w:val="none" w:sz="0" w:space="0" w:color="auto"/>
        <w:right w:val="none" w:sz="0" w:space="0" w:color="auto"/>
      </w:divBdr>
    </w:div>
    <w:div w:id="664818301">
      <w:bodyDiv w:val="1"/>
      <w:marLeft w:val="0"/>
      <w:marRight w:val="0"/>
      <w:marTop w:val="0"/>
      <w:marBottom w:val="0"/>
      <w:divBdr>
        <w:top w:val="none" w:sz="0" w:space="0" w:color="auto"/>
        <w:left w:val="none" w:sz="0" w:space="0" w:color="auto"/>
        <w:bottom w:val="none" w:sz="0" w:space="0" w:color="auto"/>
        <w:right w:val="none" w:sz="0" w:space="0" w:color="auto"/>
      </w:divBdr>
    </w:div>
    <w:div w:id="694114898">
      <w:bodyDiv w:val="1"/>
      <w:marLeft w:val="0"/>
      <w:marRight w:val="0"/>
      <w:marTop w:val="0"/>
      <w:marBottom w:val="0"/>
      <w:divBdr>
        <w:top w:val="none" w:sz="0" w:space="0" w:color="auto"/>
        <w:left w:val="none" w:sz="0" w:space="0" w:color="auto"/>
        <w:bottom w:val="none" w:sz="0" w:space="0" w:color="auto"/>
        <w:right w:val="none" w:sz="0" w:space="0" w:color="auto"/>
      </w:divBdr>
    </w:div>
    <w:div w:id="706415374">
      <w:bodyDiv w:val="1"/>
      <w:marLeft w:val="0"/>
      <w:marRight w:val="0"/>
      <w:marTop w:val="0"/>
      <w:marBottom w:val="0"/>
      <w:divBdr>
        <w:top w:val="none" w:sz="0" w:space="0" w:color="auto"/>
        <w:left w:val="none" w:sz="0" w:space="0" w:color="auto"/>
        <w:bottom w:val="none" w:sz="0" w:space="0" w:color="auto"/>
        <w:right w:val="none" w:sz="0" w:space="0" w:color="auto"/>
      </w:divBdr>
    </w:div>
    <w:div w:id="738402734">
      <w:bodyDiv w:val="1"/>
      <w:marLeft w:val="0"/>
      <w:marRight w:val="0"/>
      <w:marTop w:val="0"/>
      <w:marBottom w:val="0"/>
      <w:divBdr>
        <w:top w:val="none" w:sz="0" w:space="0" w:color="auto"/>
        <w:left w:val="none" w:sz="0" w:space="0" w:color="auto"/>
        <w:bottom w:val="none" w:sz="0" w:space="0" w:color="auto"/>
        <w:right w:val="none" w:sz="0" w:space="0" w:color="auto"/>
      </w:divBdr>
    </w:div>
    <w:div w:id="754279552">
      <w:bodyDiv w:val="1"/>
      <w:marLeft w:val="0"/>
      <w:marRight w:val="0"/>
      <w:marTop w:val="0"/>
      <w:marBottom w:val="0"/>
      <w:divBdr>
        <w:top w:val="none" w:sz="0" w:space="0" w:color="auto"/>
        <w:left w:val="none" w:sz="0" w:space="0" w:color="auto"/>
        <w:bottom w:val="none" w:sz="0" w:space="0" w:color="auto"/>
        <w:right w:val="none" w:sz="0" w:space="0" w:color="auto"/>
      </w:divBdr>
    </w:div>
    <w:div w:id="901135358">
      <w:bodyDiv w:val="1"/>
      <w:marLeft w:val="0"/>
      <w:marRight w:val="0"/>
      <w:marTop w:val="0"/>
      <w:marBottom w:val="0"/>
      <w:divBdr>
        <w:top w:val="none" w:sz="0" w:space="0" w:color="auto"/>
        <w:left w:val="none" w:sz="0" w:space="0" w:color="auto"/>
        <w:bottom w:val="none" w:sz="0" w:space="0" w:color="auto"/>
        <w:right w:val="none" w:sz="0" w:space="0" w:color="auto"/>
      </w:divBdr>
    </w:div>
    <w:div w:id="922376060">
      <w:bodyDiv w:val="1"/>
      <w:marLeft w:val="0"/>
      <w:marRight w:val="0"/>
      <w:marTop w:val="0"/>
      <w:marBottom w:val="0"/>
      <w:divBdr>
        <w:top w:val="none" w:sz="0" w:space="0" w:color="auto"/>
        <w:left w:val="none" w:sz="0" w:space="0" w:color="auto"/>
        <w:bottom w:val="none" w:sz="0" w:space="0" w:color="auto"/>
        <w:right w:val="none" w:sz="0" w:space="0" w:color="auto"/>
      </w:divBdr>
    </w:div>
    <w:div w:id="962925383">
      <w:bodyDiv w:val="1"/>
      <w:marLeft w:val="0"/>
      <w:marRight w:val="0"/>
      <w:marTop w:val="0"/>
      <w:marBottom w:val="0"/>
      <w:divBdr>
        <w:top w:val="none" w:sz="0" w:space="0" w:color="auto"/>
        <w:left w:val="none" w:sz="0" w:space="0" w:color="auto"/>
        <w:bottom w:val="none" w:sz="0" w:space="0" w:color="auto"/>
        <w:right w:val="none" w:sz="0" w:space="0" w:color="auto"/>
      </w:divBdr>
    </w:div>
    <w:div w:id="967979053">
      <w:bodyDiv w:val="1"/>
      <w:marLeft w:val="0"/>
      <w:marRight w:val="0"/>
      <w:marTop w:val="0"/>
      <w:marBottom w:val="0"/>
      <w:divBdr>
        <w:top w:val="none" w:sz="0" w:space="0" w:color="auto"/>
        <w:left w:val="none" w:sz="0" w:space="0" w:color="auto"/>
        <w:bottom w:val="none" w:sz="0" w:space="0" w:color="auto"/>
        <w:right w:val="none" w:sz="0" w:space="0" w:color="auto"/>
      </w:divBdr>
    </w:div>
    <w:div w:id="1007170984">
      <w:bodyDiv w:val="1"/>
      <w:marLeft w:val="0"/>
      <w:marRight w:val="0"/>
      <w:marTop w:val="0"/>
      <w:marBottom w:val="0"/>
      <w:divBdr>
        <w:top w:val="none" w:sz="0" w:space="0" w:color="auto"/>
        <w:left w:val="none" w:sz="0" w:space="0" w:color="auto"/>
        <w:bottom w:val="none" w:sz="0" w:space="0" w:color="auto"/>
        <w:right w:val="none" w:sz="0" w:space="0" w:color="auto"/>
      </w:divBdr>
    </w:div>
    <w:div w:id="1048914890">
      <w:bodyDiv w:val="1"/>
      <w:marLeft w:val="0"/>
      <w:marRight w:val="0"/>
      <w:marTop w:val="0"/>
      <w:marBottom w:val="0"/>
      <w:divBdr>
        <w:top w:val="none" w:sz="0" w:space="0" w:color="auto"/>
        <w:left w:val="none" w:sz="0" w:space="0" w:color="auto"/>
        <w:bottom w:val="none" w:sz="0" w:space="0" w:color="auto"/>
        <w:right w:val="none" w:sz="0" w:space="0" w:color="auto"/>
      </w:divBdr>
    </w:div>
    <w:div w:id="1074862805">
      <w:bodyDiv w:val="1"/>
      <w:marLeft w:val="0"/>
      <w:marRight w:val="0"/>
      <w:marTop w:val="0"/>
      <w:marBottom w:val="0"/>
      <w:divBdr>
        <w:top w:val="none" w:sz="0" w:space="0" w:color="auto"/>
        <w:left w:val="none" w:sz="0" w:space="0" w:color="auto"/>
        <w:bottom w:val="none" w:sz="0" w:space="0" w:color="auto"/>
        <w:right w:val="none" w:sz="0" w:space="0" w:color="auto"/>
      </w:divBdr>
    </w:div>
    <w:div w:id="1085227006">
      <w:bodyDiv w:val="1"/>
      <w:marLeft w:val="0"/>
      <w:marRight w:val="0"/>
      <w:marTop w:val="0"/>
      <w:marBottom w:val="0"/>
      <w:divBdr>
        <w:top w:val="none" w:sz="0" w:space="0" w:color="auto"/>
        <w:left w:val="none" w:sz="0" w:space="0" w:color="auto"/>
        <w:bottom w:val="none" w:sz="0" w:space="0" w:color="auto"/>
        <w:right w:val="none" w:sz="0" w:space="0" w:color="auto"/>
      </w:divBdr>
    </w:div>
    <w:div w:id="1178807425">
      <w:bodyDiv w:val="1"/>
      <w:marLeft w:val="0"/>
      <w:marRight w:val="0"/>
      <w:marTop w:val="0"/>
      <w:marBottom w:val="0"/>
      <w:divBdr>
        <w:top w:val="none" w:sz="0" w:space="0" w:color="auto"/>
        <w:left w:val="none" w:sz="0" w:space="0" w:color="auto"/>
        <w:bottom w:val="none" w:sz="0" w:space="0" w:color="auto"/>
        <w:right w:val="none" w:sz="0" w:space="0" w:color="auto"/>
      </w:divBdr>
    </w:div>
    <w:div w:id="1198817071">
      <w:bodyDiv w:val="1"/>
      <w:marLeft w:val="0"/>
      <w:marRight w:val="0"/>
      <w:marTop w:val="0"/>
      <w:marBottom w:val="0"/>
      <w:divBdr>
        <w:top w:val="none" w:sz="0" w:space="0" w:color="auto"/>
        <w:left w:val="none" w:sz="0" w:space="0" w:color="auto"/>
        <w:bottom w:val="none" w:sz="0" w:space="0" w:color="auto"/>
        <w:right w:val="none" w:sz="0" w:space="0" w:color="auto"/>
      </w:divBdr>
    </w:div>
    <w:div w:id="1299146501">
      <w:bodyDiv w:val="1"/>
      <w:marLeft w:val="0"/>
      <w:marRight w:val="0"/>
      <w:marTop w:val="0"/>
      <w:marBottom w:val="0"/>
      <w:divBdr>
        <w:top w:val="none" w:sz="0" w:space="0" w:color="auto"/>
        <w:left w:val="none" w:sz="0" w:space="0" w:color="auto"/>
        <w:bottom w:val="none" w:sz="0" w:space="0" w:color="auto"/>
        <w:right w:val="none" w:sz="0" w:space="0" w:color="auto"/>
      </w:divBdr>
      <w:divsChild>
        <w:div w:id="1627083977">
          <w:marLeft w:val="0"/>
          <w:marRight w:val="0"/>
          <w:marTop w:val="90"/>
          <w:marBottom w:val="0"/>
          <w:divBdr>
            <w:top w:val="none" w:sz="0" w:space="0" w:color="auto"/>
            <w:left w:val="none" w:sz="0" w:space="0" w:color="auto"/>
            <w:bottom w:val="none" w:sz="0" w:space="0" w:color="auto"/>
            <w:right w:val="none" w:sz="0" w:space="0" w:color="auto"/>
          </w:divBdr>
          <w:divsChild>
            <w:div w:id="955602826">
              <w:marLeft w:val="0"/>
              <w:marRight w:val="0"/>
              <w:marTop w:val="0"/>
              <w:marBottom w:val="420"/>
              <w:divBdr>
                <w:top w:val="none" w:sz="0" w:space="0" w:color="auto"/>
                <w:left w:val="none" w:sz="0" w:space="0" w:color="auto"/>
                <w:bottom w:val="none" w:sz="0" w:space="0" w:color="auto"/>
                <w:right w:val="none" w:sz="0" w:space="0" w:color="auto"/>
              </w:divBdr>
              <w:divsChild>
                <w:div w:id="1285504573">
                  <w:marLeft w:val="0"/>
                  <w:marRight w:val="0"/>
                  <w:marTop w:val="0"/>
                  <w:marBottom w:val="0"/>
                  <w:divBdr>
                    <w:top w:val="none" w:sz="0" w:space="0" w:color="auto"/>
                    <w:left w:val="none" w:sz="0" w:space="0" w:color="auto"/>
                    <w:bottom w:val="none" w:sz="0" w:space="0" w:color="auto"/>
                    <w:right w:val="none" w:sz="0" w:space="0" w:color="auto"/>
                  </w:divBdr>
                  <w:divsChild>
                    <w:div w:id="1267230735">
                      <w:marLeft w:val="0"/>
                      <w:marRight w:val="0"/>
                      <w:marTop w:val="0"/>
                      <w:marBottom w:val="0"/>
                      <w:divBdr>
                        <w:top w:val="none" w:sz="0" w:space="0" w:color="auto"/>
                        <w:left w:val="none" w:sz="0" w:space="0" w:color="auto"/>
                        <w:bottom w:val="none" w:sz="0" w:space="0" w:color="auto"/>
                        <w:right w:val="none" w:sz="0" w:space="0" w:color="auto"/>
                      </w:divBdr>
                      <w:divsChild>
                        <w:div w:id="122236066">
                          <w:marLeft w:val="0"/>
                          <w:marRight w:val="0"/>
                          <w:marTop w:val="0"/>
                          <w:marBottom w:val="0"/>
                          <w:divBdr>
                            <w:top w:val="none" w:sz="0" w:space="0" w:color="auto"/>
                            <w:left w:val="none" w:sz="0" w:space="0" w:color="auto"/>
                            <w:bottom w:val="none" w:sz="0" w:space="0" w:color="auto"/>
                            <w:right w:val="none" w:sz="0" w:space="0" w:color="auto"/>
                          </w:divBdr>
                        </w:div>
                        <w:div w:id="2052529099">
                          <w:marLeft w:val="0"/>
                          <w:marRight w:val="0"/>
                          <w:marTop w:val="0"/>
                          <w:marBottom w:val="0"/>
                          <w:divBdr>
                            <w:top w:val="none" w:sz="0" w:space="0" w:color="auto"/>
                            <w:left w:val="none" w:sz="0" w:space="0" w:color="auto"/>
                            <w:bottom w:val="none" w:sz="0" w:space="0" w:color="auto"/>
                            <w:right w:val="none" w:sz="0" w:space="0" w:color="auto"/>
                          </w:divBdr>
                          <w:divsChild>
                            <w:div w:id="1745955282">
                              <w:marLeft w:val="0"/>
                              <w:marRight w:val="0"/>
                              <w:marTop w:val="0"/>
                              <w:marBottom w:val="0"/>
                              <w:divBdr>
                                <w:top w:val="none" w:sz="0" w:space="0" w:color="auto"/>
                                <w:left w:val="none" w:sz="0" w:space="0" w:color="auto"/>
                                <w:bottom w:val="none" w:sz="0" w:space="0" w:color="auto"/>
                                <w:right w:val="none" w:sz="0" w:space="0" w:color="auto"/>
                              </w:divBdr>
                              <w:divsChild>
                                <w:div w:id="147274993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363362558">
                      <w:marLeft w:val="0"/>
                      <w:marRight w:val="0"/>
                      <w:marTop w:val="0"/>
                      <w:marBottom w:val="0"/>
                      <w:divBdr>
                        <w:top w:val="none" w:sz="0" w:space="0" w:color="auto"/>
                        <w:left w:val="none" w:sz="0" w:space="0" w:color="auto"/>
                        <w:bottom w:val="none" w:sz="0" w:space="0" w:color="auto"/>
                        <w:right w:val="none" w:sz="0" w:space="0" w:color="auto"/>
                      </w:divBdr>
                      <w:divsChild>
                        <w:div w:id="9146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404903">
              <w:marLeft w:val="0"/>
              <w:marRight w:val="0"/>
              <w:marTop w:val="0"/>
              <w:marBottom w:val="420"/>
              <w:divBdr>
                <w:top w:val="none" w:sz="0" w:space="0" w:color="auto"/>
                <w:left w:val="none" w:sz="0" w:space="0" w:color="auto"/>
                <w:bottom w:val="none" w:sz="0" w:space="0" w:color="auto"/>
                <w:right w:val="none" w:sz="0" w:space="0" w:color="auto"/>
              </w:divBdr>
              <w:divsChild>
                <w:div w:id="1734738165">
                  <w:marLeft w:val="0"/>
                  <w:marRight w:val="0"/>
                  <w:marTop w:val="0"/>
                  <w:marBottom w:val="0"/>
                  <w:divBdr>
                    <w:top w:val="none" w:sz="0" w:space="0" w:color="auto"/>
                    <w:left w:val="none" w:sz="0" w:space="0" w:color="auto"/>
                    <w:bottom w:val="none" w:sz="0" w:space="0" w:color="auto"/>
                    <w:right w:val="none" w:sz="0" w:space="0" w:color="auto"/>
                  </w:divBdr>
                  <w:divsChild>
                    <w:div w:id="8655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786735">
      <w:bodyDiv w:val="1"/>
      <w:marLeft w:val="0"/>
      <w:marRight w:val="0"/>
      <w:marTop w:val="0"/>
      <w:marBottom w:val="0"/>
      <w:divBdr>
        <w:top w:val="none" w:sz="0" w:space="0" w:color="auto"/>
        <w:left w:val="none" w:sz="0" w:space="0" w:color="auto"/>
        <w:bottom w:val="none" w:sz="0" w:space="0" w:color="auto"/>
        <w:right w:val="none" w:sz="0" w:space="0" w:color="auto"/>
      </w:divBdr>
    </w:div>
    <w:div w:id="1446459646">
      <w:bodyDiv w:val="1"/>
      <w:marLeft w:val="0"/>
      <w:marRight w:val="0"/>
      <w:marTop w:val="0"/>
      <w:marBottom w:val="0"/>
      <w:divBdr>
        <w:top w:val="none" w:sz="0" w:space="0" w:color="auto"/>
        <w:left w:val="none" w:sz="0" w:space="0" w:color="auto"/>
        <w:bottom w:val="none" w:sz="0" w:space="0" w:color="auto"/>
        <w:right w:val="none" w:sz="0" w:space="0" w:color="auto"/>
      </w:divBdr>
    </w:div>
    <w:div w:id="1494565058">
      <w:bodyDiv w:val="1"/>
      <w:marLeft w:val="0"/>
      <w:marRight w:val="0"/>
      <w:marTop w:val="0"/>
      <w:marBottom w:val="0"/>
      <w:divBdr>
        <w:top w:val="none" w:sz="0" w:space="0" w:color="auto"/>
        <w:left w:val="none" w:sz="0" w:space="0" w:color="auto"/>
        <w:bottom w:val="none" w:sz="0" w:space="0" w:color="auto"/>
        <w:right w:val="none" w:sz="0" w:space="0" w:color="auto"/>
      </w:divBdr>
    </w:div>
    <w:div w:id="1546335688">
      <w:bodyDiv w:val="1"/>
      <w:marLeft w:val="0"/>
      <w:marRight w:val="0"/>
      <w:marTop w:val="0"/>
      <w:marBottom w:val="0"/>
      <w:divBdr>
        <w:top w:val="none" w:sz="0" w:space="0" w:color="auto"/>
        <w:left w:val="none" w:sz="0" w:space="0" w:color="auto"/>
        <w:bottom w:val="none" w:sz="0" w:space="0" w:color="auto"/>
        <w:right w:val="none" w:sz="0" w:space="0" w:color="auto"/>
      </w:divBdr>
    </w:div>
    <w:div w:id="1585454584">
      <w:bodyDiv w:val="1"/>
      <w:marLeft w:val="0"/>
      <w:marRight w:val="0"/>
      <w:marTop w:val="0"/>
      <w:marBottom w:val="0"/>
      <w:divBdr>
        <w:top w:val="none" w:sz="0" w:space="0" w:color="auto"/>
        <w:left w:val="none" w:sz="0" w:space="0" w:color="auto"/>
        <w:bottom w:val="none" w:sz="0" w:space="0" w:color="auto"/>
        <w:right w:val="none" w:sz="0" w:space="0" w:color="auto"/>
      </w:divBdr>
    </w:div>
    <w:div w:id="1615557832">
      <w:bodyDiv w:val="1"/>
      <w:marLeft w:val="0"/>
      <w:marRight w:val="0"/>
      <w:marTop w:val="0"/>
      <w:marBottom w:val="0"/>
      <w:divBdr>
        <w:top w:val="none" w:sz="0" w:space="0" w:color="auto"/>
        <w:left w:val="none" w:sz="0" w:space="0" w:color="auto"/>
        <w:bottom w:val="none" w:sz="0" w:space="0" w:color="auto"/>
        <w:right w:val="none" w:sz="0" w:space="0" w:color="auto"/>
      </w:divBdr>
    </w:div>
    <w:div w:id="1668288248">
      <w:bodyDiv w:val="1"/>
      <w:marLeft w:val="0"/>
      <w:marRight w:val="0"/>
      <w:marTop w:val="0"/>
      <w:marBottom w:val="0"/>
      <w:divBdr>
        <w:top w:val="none" w:sz="0" w:space="0" w:color="auto"/>
        <w:left w:val="none" w:sz="0" w:space="0" w:color="auto"/>
        <w:bottom w:val="none" w:sz="0" w:space="0" w:color="auto"/>
        <w:right w:val="none" w:sz="0" w:space="0" w:color="auto"/>
      </w:divBdr>
    </w:div>
    <w:div w:id="1702973227">
      <w:bodyDiv w:val="1"/>
      <w:marLeft w:val="0"/>
      <w:marRight w:val="0"/>
      <w:marTop w:val="0"/>
      <w:marBottom w:val="0"/>
      <w:divBdr>
        <w:top w:val="none" w:sz="0" w:space="0" w:color="auto"/>
        <w:left w:val="none" w:sz="0" w:space="0" w:color="auto"/>
        <w:bottom w:val="none" w:sz="0" w:space="0" w:color="auto"/>
        <w:right w:val="none" w:sz="0" w:space="0" w:color="auto"/>
      </w:divBdr>
    </w:div>
    <w:div w:id="1703747601">
      <w:bodyDiv w:val="1"/>
      <w:marLeft w:val="0"/>
      <w:marRight w:val="0"/>
      <w:marTop w:val="0"/>
      <w:marBottom w:val="0"/>
      <w:divBdr>
        <w:top w:val="none" w:sz="0" w:space="0" w:color="auto"/>
        <w:left w:val="none" w:sz="0" w:space="0" w:color="auto"/>
        <w:bottom w:val="none" w:sz="0" w:space="0" w:color="auto"/>
        <w:right w:val="none" w:sz="0" w:space="0" w:color="auto"/>
      </w:divBdr>
    </w:div>
    <w:div w:id="1779565609">
      <w:bodyDiv w:val="1"/>
      <w:marLeft w:val="0"/>
      <w:marRight w:val="0"/>
      <w:marTop w:val="0"/>
      <w:marBottom w:val="0"/>
      <w:divBdr>
        <w:top w:val="none" w:sz="0" w:space="0" w:color="auto"/>
        <w:left w:val="none" w:sz="0" w:space="0" w:color="auto"/>
        <w:bottom w:val="none" w:sz="0" w:space="0" w:color="auto"/>
        <w:right w:val="none" w:sz="0" w:space="0" w:color="auto"/>
      </w:divBdr>
    </w:div>
    <w:div w:id="1826167114">
      <w:bodyDiv w:val="1"/>
      <w:marLeft w:val="0"/>
      <w:marRight w:val="0"/>
      <w:marTop w:val="0"/>
      <w:marBottom w:val="0"/>
      <w:divBdr>
        <w:top w:val="none" w:sz="0" w:space="0" w:color="auto"/>
        <w:left w:val="none" w:sz="0" w:space="0" w:color="auto"/>
        <w:bottom w:val="none" w:sz="0" w:space="0" w:color="auto"/>
        <w:right w:val="none" w:sz="0" w:space="0" w:color="auto"/>
      </w:divBdr>
    </w:div>
    <w:div w:id="1859349349">
      <w:bodyDiv w:val="1"/>
      <w:marLeft w:val="0"/>
      <w:marRight w:val="0"/>
      <w:marTop w:val="0"/>
      <w:marBottom w:val="0"/>
      <w:divBdr>
        <w:top w:val="none" w:sz="0" w:space="0" w:color="auto"/>
        <w:left w:val="none" w:sz="0" w:space="0" w:color="auto"/>
        <w:bottom w:val="none" w:sz="0" w:space="0" w:color="auto"/>
        <w:right w:val="none" w:sz="0" w:space="0" w:color="auto"/>
      </w:divBdr>
    </w:div>
    <w:div w:id="1864240721">
      <w:bodyDiv w:val="1"/>
      <w:marLeft w:val="0"/>
      <w:marRight w:val="0"/>
      <w:marTop w:val="0"/>
      <w:marBottom w:val="0"/>
      <w:divBdr>
        <w:top w:val="none" w:sz="0" w:space="0" w:color="auto"/>
        <w:left w:val="none" w:sz="0" w:space="0" w:color="auto"/>
        <w:bottom w:val="none" w:sz="0" w:space="0" w:color="auto"/>
        <w:right w:val="none" w:sz="0" w:space="0" w:color="auto"/>
      </w:divBdr>
    </w:div>
    <w:div w:id="2035839251">
      <w:bodyDiv w:val="1"/>
      <w:marLeft w:val="0"/>
      <w:marRight w:val="0"/>
      <w:marTop w:val="0"/>
      <w:marBottom w:val="0"/>
      <w:divBdr>
        <w:top w:val="none" w:sz="0" w:space="0" w:color="auto"/>
        <w:left w:val="none" w:sz="0" w:space="0" w:color="auto"/>
        <w:bottom w:val="none" w:sz="0" w:space="0" w:color="auto"/>
        <w:right w:val="none" w:sz="0" w:space="0" w:color="auto"/>
      </w:divBdr>
    </w:div>
    <w:div w:id="2049913777">
      <w:bodyDiv w:val="1"/>
      <w:marLeft w:val="0"/>
      <w:marRight w:val="0"/>
      <w:marTop w:val="0"/>
      <w:marBottom w:val="0"/>
      <w:divBdr>
        <w:top w:val="none" w:sz="0" w:space="0" w:color="auto"/>
        <w:left w:val="none" w:sz="0" w:space="0" w:color="auto"/>
        <w:bottom w:val="none" w:sz="0" w:space="0" w:color="auto"/>
        <w:right w:val="none" w:sz="0" w:space="0" w:color="auto"/>
      </w:divBdr>
    </w:div>
    <w:div w:id="2052801335">
      <w:bodyDiv w:val="1"/>
      <w:marLeft w:val="0"/>
      <w:marRight w:val="0"/>
      <w:marTop w:val="0"/>
      <w:marBottom w:val="0"/>
      <w:divBdr>
        <w:top w:val="none" w:sz="0" w:space="0" w:color="auto"/>
        <w:left w:val="none" w:sz="0" w:space="0" w:color="auto"/>
        <w:bottom w:val="none" w:sz="0" w:space="0" w:color="auto"/>
        <w:right w:val="none" w:sz="0" w:space="0" w:color="auto"/>
      </w:divBdr>
    </w:div>
    <w:div w:id="2056078952">
      <w:bodyDiv w:val="1"/>
      <w:marLeft w:val="0"/>
      <w:marRight w:val="0"/>
      <w:marTop w:val="0"/>
      <w:marBottom w:val="0"/>
      <w:divBdr>
        <w:top w:val="none" w:sz="0" w:space="0" w:color="auto"/>
        <w:left w:val="none" w:sz="0" w:space="0" w:color="auto"/>
        <w:bottom w:val="none" w:sz="0" w:space="0" w:color="auto"/>
        <w:right w:val="none" w:sz="0" w:space="0" w:color="auto"/>
      </w:divBdr>
    </w:div>
    <w:div w:id="2076005142">
      <w:bodyDiv w:val="1"/>
      <w:marLeft w:val="0"/>
      <w:marRight w:val="0"/>
      <w:marTop w:val="0"/>
      <w:marBottom w:val="0"/>
      <w:divBdr>
        <w:top w:val="none" w:sz="0" w:space="0" w:color="auto"/>
        <w:left w:val="none" w:sz="0" w:space="0" w:color="auto"/>
        <w:bottom w:val="none" w:sz="0" w:space="0" w:color="auto"/>
        <w:right w:val="none" w:sz="0" w:space="0" w:color="auto"/>
      </w:divBdr>
    </w:div>
    <w:div w:id="2093811062">
      <w:bodyDiv w:val="1"/>
      <w:marLeft w:val="0"/>
      <w:marRight w:val="0"/>
      <w:marTop w:val="0"/>
      <w:marBottom w:val="0"/>
      <w:divBdr>
        <w:top w:val="none" w:sz="0" w:space="0" w:color="auto"/>
        <w:left w:val="none" w:sz="0" w:space="0" w:color="auto"/>
        <w:bottom w:val="none" w:sz="0" w:space="0" w:color="auto"/>
        <w:right w:val="none" w:sz="0" w:space="0" w:color="auto"/>
      </w:divBdr>
    </w:div>
    <w:div w:id="210202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6D785-7DB5-42ED-8F0A-F55EEB55F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25</Pages>
  <Words>9811</Words>
  <Characters>53961</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Senado</dc:creator>
  <cp:lastModifiedBy>Maria Jose Ospina Casas</cp:lastModifiedBy>
  <cp:revision>7</cp:revision>
  <cp:lastPrinted>2021-04-13T21:51:00Z</cp:lastPrinted>
  <dcterms:created xsi:type="dcterms:W3CDTF">2021-08-24T19:04:00Z</dcterms:created>
  <dcterms:modified xsi:type="dcterms:W3CDTF">2021-09-08T23:55:00Z</dcterms:modified>
</cp:coreProperties>
</file>