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D3" w:rsidRDefault="005D1ED3" w:rsidP="005D1ED3">
      <w:pPr>
        <w:spacing w:after="0" w:line="240" w:lineRule="auto"/>
        <w:jc w:val="both"/>
        <w:rPr>
          <w:rFonts w:ascii="Arial" w:eastAsia="Times New Roman" w:hAnsi="Arial" w:cs="Arial"/>
          <w:sz w:val="24"/>
          <w:szCs w:val="24"/>
        </w:rPr>
      </w:pPr>
    </w:p>
    <w:p w:rsidR="005D1ED3"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r w:rsidRPr="000104BA">
        <w:rPr>
          <w:rFonts w:ascii="Arial" w:eastAsia="Times New Roman" w:hAnsi="Arial" w:cs="Arial"/>
          <w:sz w:val="24"/>
          <w:szCs w:val="24"/>
        </w:rPr>
        <w:t>Bogotá D.C.</w:t>
      </w:r>
      <w:r>
        <w:rPr>
          <w:rFonts w:ascii="Arial" w:eastAsia="Times New Roman" w:hAnsi="Arial" w:cs="Arial"/>
          <w:sz w:val="24"/>
          <w:szCs w:val="24"/>
        </w:rPr>
        <w:t>,</w:t>
      </w:r>
      <w:r w:rsidR="001C6559">
        <w:rPr>
          <w:rFonts w:ascii="Arial" w:eastAsia="Times New Roman" w:hAnsi="Arial" w:cs="Arial"/>
          <w:sz w:val="24"/>
          <w:szCs w:val="24"/>
        </w:rPr>
        <w:t xml:space="preserve"> </w:t>
      </w:r>
      <w:r w:rsidRPr="000104BA">
        <w:rPr>
          <w:rFonts w:ascii="Arial" w:eastAsia="Times New Roman" w:hAnsi="Arial" w:cs="Arial"/>
          <w:sz w:val="24"/>
          <w:szCs w:val="24"/>
        </w:rPr>
        <w:t>31 de mayo de 2021</w:t>
      </w:r>
    </w:p>
    <w:p w:rsidR="005D1ED3" w:rsidRPr="000104BA" w:rsidRDefault="005D1ED3" w:rsidP="005D1ED3">
      <w:pPr>
        <w:spacing w:after="0" w:line="240" w:lineRule="auto"/>
        <w:jc w:val="both"/>
        <w:rPr>
          <w:rFonts w:ascii="Arial" w:eastAsia="Times New Roman" w:hAnsi="Arial" w:cs="Arial"/>
          <w:sz w:val="24"/>
          <w:szCs w:val="24"/>
        </w:rPr>
      </w:pPr>
    </w:p>
    <w:p w:rsidR="005D1ED3"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r w:rsidRPr="000104BA">
        <w:rPr>
          <w:rFonts w:ascii="Arial" w:eastAsia="Times New Roman" w:hAnsi="Arial" w:cs="Arial"/>
          <w:sz w:val="24"/>
          <w:szCs w:val="24"/>
        </w:rPr>
        <w:t>Doctor</w:t>
      </w:r>
    </w:p>
    <w:p w:rsidR="005D1ED3" w:rsidRPr="000104BA" w:rsidRDefault="005D1ED3" w:rsidP="005D1ED3">
      <w:pPr>
        <w:spacing w:after="0" w:line="240" w:lineRule="auto"/>
        <w:jc w:val="both"/>
        <w:rPr>
          <w:rFonts w:ascii="Arial" w:eastAsia="Times New Roman" w:hAnsi="Arial" w:cs="Arial"/>
          <w:b/>
          <w:sz w:val="24"/>
          <w:szCs w:val="24"/>
        </w:rPr>
      </w:pPr>
      <w:r w:rsidRPr="000104BA">
        <w:rPr>
          <w:rFonts w:ascii="Arial" w:eastAsia="Times New Roman" w:hAnsi="Arial" w:cs="Arial"/>
          <w:b/>
          <w:sz w:val="24"/>
          <w:szCs w:val="24"/>
        </w:rPr>
        <w:t>JULIO CÉSAR TRIANA QUINTERO</w:t>
      </w:r>
    </w:p>
    <w:p w:rsidR="005D1ED3" w:rsidRPr="000104BA" w:rsidRDefault="005D1ED3" w:rsidP="005D1ED3">
      <w:pPr>
        <w:spacing w:after="0" w:line="240" w:lineRule="auto"/>
        <w:jc w:val="both"/>
        <w:rPr>
          <w:rFonts w:ascii="Arial" w:eastAsia="Times New Roman" w:hAnsi="Arial" w:cs="Arial"/>
          <w:b/>
          <w:sz w:val="24"/>
          <w:szCs w:val="24"/>
        </w:rPr>
      </w:pPr>
      <w:r w:rsidRPr="000104BA">
        <w:rPr>
          <w:rFonts w:ascii="Arial" w:eastAsia="Times New Roman" w:hAnsi="Arial" w:cs="Arial"/>
          <w:b/>
          <w:sz w:val="24"/>
          <w:szCs w:val="24"/>
        </w:rPr>
        <w:t>Presidente Comisión Primera</w:t>
      </w:r>
    </w:p>
    <w:p w:rsidR="005D1ED3" w:rsidRPr="000104BA" w:rsidRDefault="005D1ED3" w:rsidP="005D1ED3">
      <w:pPr>
        <w:spacing w:after="0" w:line="240" w:lineRule="auto"/>
        <w:jc w:val="both"/>
        <w:rPr>
          <w:rFonts w:ascii="Arial" w:eastAsia="Times New Roman" w:hAnsi="Arial" w:cs="Arial"/>
          <w:sz w:val="24"/>
          <w:szCs w:val="24"/>
        </w:rPr>
      </w:pPr>
      <w:r w:rsidRPr="000104BA">
        <w:rPr>
          <w:rFonts w:ascii="Arial" w:eastAsia="Times New Roman" w:hAnsi="Arial" w:cs="Arial"/>
          <w:sz w:val="24"/>
          <w:szCs w:val="24"/>
        </w:rPr>
        <w:t>Cámara de Representantes</w:t>
      </w:r>
    </w:p>
    <w:p w:rsidR="005D1ED3" w:rsidRPr="000104BA" w:rsidRDefault="005D1ED3" w:rsidP="005D1ED3">
      <w:pPr>
        <w:spacing w:after="0" w:line="240" w:lineRule="auto"/>
        <w:jc w:val="both"/>
        <w:rPr>
          <w:rFonts w:ascii="Arial" w:eastAsia="Times New Roman" w:hAnsi="Arial" w:cs="Arial"/>
          <w:sz w:val="24"/>
          <w:szCs w:val="24"/>
        </w:rPr>
      </w:pPr>
      <w:r w:rsidRPr="000104BA">
        <w:rPr>
          <w:rFonts w:ascii="Arial" w:eastAsia="Times New Roman" w:hAnsi="Arial" w:cs="Arial"/>
          <w:sz w:val="24"/>
          <w:szCs w:val="24"/>
        </w:rPr>
        <w:t>Bogotá</w:t>
      </w:r>
    </w:p>
    <w:p w:rsidR="005D1ED3" w:rsidRPr="000104BA"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pStyle w:val="Default"/>
        <w:jc w:val="both"/>
        <w:rPr>
          <w:rFonts w:ascii="Arial" w:eastAsia="Times New Roman" w:hAnsi="Arial" w:cs="Arial"/>
        </w:rPr>
      </w:pPr>
      <w:bookmarkStart w:id="0" w:name="_heading=h.gjdgxs" w:colFirst="0" w:colLast="0"/>
      <w:bookmarkEnd w:id="0"/>
      <w:r w:rsidRPr="000104BA">
        <w:rPr>
          <w:rFonts w:ascii="Arial" w:eastAsia="Times New Roman" w:hAnsi="Arial" w:cs="Arial"/>
          <w:b/>
        </w:rPr>
        <w:t>Asunto:</w:t>
      </w:r>
      <w:r w:rsidRPr="000104BA">
        <w:rPr>
          <w:rFonts w:ascii="Arial" w:eastAsia="Times New Roman" w:hAnsi="Arial" w:cs="Arial"/>
        </w:rPr>
        <w:t xml:space="preserve"> </w:t>
      </w:r>
      <w:r w:rsidRPr="000104BA">
        <w:rPr>
          <w:rFonts w:ascii="Arial" w:eastAsia="Times New Roman" w:hAnsi="Arial" w:cs="Arial"/>
          <w:b/>
        </w:rPr>
        <w:t>Fe de erratas</w:t>
      </w:r>
      <w:r w:rsidRPr="000104BA">
        <w:rPr>
          <w:rFonts w:ascii="Arial" w:eastAsia="Times New Roman" w:hAnsi="Arial" w:cs="Arial"/>
        </w:rPr>
        <w:t xml:space="preserve"> Informe de ponencia para Segundo debate del Proyecto de Ley número 198 de 2021 Cámara </w:t>
      </w:r>
      <w:r w:rsidRPr="000104BA">
        <w:rPr>
          <w:rFonts w:ascii="Arial" w:hAnsi="Arial" w:cs="Arial"/>
          <w:b/>
          <w:bCs/>
        </w:rPr>
        <w:t>“</w:t>
      </w:r>
      <w:r w:rsidRPr="000104BA">
        <w:rPr>
          <w:rFonts w:ascii="Arial" w:eastAsia="Times New Roman" w:hAnsi="Arial" w:cs="Arial"/>
        </w:rPr>
        <w:t>Por medio de la cual se suspenden los efectos de los mandamientos de pago y la ejecución de todo aquel dictado en procesos ejecutivos de mínima y menor cuantía y se dictan otras disposiciones”.</w:t>
      </w:r>
    </w:p>
    <w:p w:rsidR="005D1ED3" w:rsidRPr="000104BA" w:rsidRDefault="005D1ED3" w:rsidP="005D1ED3">
      <w:pPr>
        <w:pStyle w:val="Default"/>
        <w:jc w:val="both"/>
        <w:rPr>
          <w:rFonts w:ascii="Arial" w:hAnsi="Arial" w:cs="Arial"/>
        </w:rPr>
      </w:pPr>
    </w:p>
    <w:p w:rsidR="005D1ED3" w:rsidRDefault="005D1ED3" w:rsidP="005D1ED3">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0104BA">
        <w:rPr>
          <w:rFonts w:ascii="Arial" w:eastAsia="Times New Roman" w:hAnsi="Arial" w:cs="Arial"/>
          <w:color w:val="000000"/>
          <w:sz w:val="24"/>
          <w:szCs w:val="24"/>
        </w:rPr>
        <w:t xml:space="preserve"> </w:t>
      </w:r>
    </w:p>
    <w:p w:rsidR="005D1ED3" w:rsidRPr="000104BA" w:rsidRDefault="005D1ED3" w:rsidP="005D1ED3">
      <w:pPr>
        <w:pBdr>
          <w:top w:val="nil"/>
          <w:left w:val="nil"/>
          <w:bottom w:val="nil"/>
          <w:right w:val="nil"/>
          <w:between w:val="nil"/>
        </w:pBdr>
        <w:spacing w:after="0" w:line="240" w:lineRule="auto"/>
        <w:jc w:val="both"/>
        <w:rPr>
          <w:rFonts w:ascii="Arial" w:eastAsia="Times New Roman" w:hAnsi="Arial" w:cs="Arial"/>
          <w:color w:val="000000"/>
          <w:sz w:val="24"/>
          <w:szCs w:val="24"/>
        </w:rPr>
      </w:pPr>
    </w:p>
    <w:p w:rsidR="005D1ED3" w:rsidRDefault="005D1ED3" w:rsidP="005D1ED3">
      <w:pPr>
        <w:spacing w:after="0" w:line="240" w:lineRule="auto"/>
        <w:jc w:val="both"/>
        <w:rPr>
          <w:rFonts w:ascii="Arial" w:eastAsia="Times New Roman" w:hAnsi="Arial" w:cs="Arial"/>
          <w:sz w:val="24"/>
          <w:szCs w:val="24"/>
        </w:rPr>
      </w:pPr>
      <w:r w:rsidRPr="000104BA">
        <w:rPr>
          <w:rFonts w:ascii="Arial" w:eastAsia="Times New Roman" w:hAnsi="Arial" w:cs="Arial"/>
          <w:sz w:val="24"/>
          <w:szCs w:val="24"/>
        </w:rPr>
        <w:t>Respetado Señor Presidente:</w:t>
      </w:r>
    </w:p>
    <w:p w:rsidR="005D1ED3" w:rsidRPr="000104BA"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bookmarkStart w:id="1" w:name="_heading=h.30j0zll" w:colFirst="0" w:colLast="0"/>
      <w:bookmarkEnd w:id="1"/>
      <w:r w:rsidRPr="000104BA">
        <w:rPr>
          <w:rFonts w:ascii="Arial" w:hAnsi="Arial" w:cs="Arial"/>
          <w:sz w:val="24"/>
          <w:szCs w:val="24"/>
        </w:rPr>
        <w:t xml:space="preserve">De manera respetuosa y en atención a la designación como ponentes del </w:t>
      </w:r>
      <w:r w:rsidRPr="000104BA">
        <w:rPr>
          <w:rFonts w:ascii="Arial" w:eastAsia="Times New Roman" w:hAnsi="Arial" w:cs="Arial"/>
          <w:sz w:val="24"/>
          <w:szCs w:val="24"/>
        </w:rPr>
        <w:t xml:space="preserve">Proyecto de Ley número 198 de 2021 Cámara </w:t>
      </w:r>
      <w:r w:rsidRPr="000104BA">
        <w:rPr>
          <w:rFonts w:ascii="Arial" w:hAnsi="Arial" w:cs="Arial"/>
          <w:b/>
          <w:bCs/>
          <w:sz w:val="24"/>
          <w:szCs w:val="24"/>
        </w:rPr>
        <w:t>“</w:t>
      </w:r>
      <w:r w:rsidRPr="000104BA">
        <w:rPr>
          <w:rFonts w:ascii="Arial" w:eastAsia="Times New Roman" w:hAnsi="Arial" w:cs="Arial"/>
          <w:sz w:val="24"/>
          <w:szCs w:val="24"/>
        </w:rPr>
        <w:t xml:space="preserve">Por medio de la cual se suspenden los efectos de los mandamientos de pago y la ejecución de todo aquel dictado en procesos ejecutivos de mínima y menor cuantía y se dictan otras disposiciones”. </w:t>
      </w:r>
      <w:r w:rsidRPr="000104BA">
        <w:rPr>
          <w:rFonts w:ascii="Arial" w:hAnsi="Arial" w:cs="Arial"/>
          <w:sz w:val="24"/>
          <w:szCs w:val="24"/>
        </w:rPr>
        <w:t>” y teniendo en cuenta el error de transcripción, al no incluir un parágrafo aprobado en primer debate en el Texto Propuesto para segundo debate, nos permitimos presentar Fe de Erratas al texto publicado en la gaceta No. 322 de 2022 en los siguientes términos:</w:t>
      </w:r>
    </w:p>
    <w:p w:rsidR="005D1ED3" w:rsidRDefault="005D1ED3" w:rsidP="005D1ED3">
      <w:pPr>
        <w:rPr>
          <w:rFonts w:ascii="Arial" w:hAnsi="Arial" w:cs="Arial"/>
          <w:b/>
          <w:sz w:val="24"/>
          <w:szCs w:val="24"/>
        </w:rPr>
      </w:pPr>
    </w:p>
    <w:p w:rsidR="005D1ED3" w:rsidRDefault="005D1ED3" w:rsidP="005D1ED3">
      <w:pPr>
        <w:rPr>
          <w:rFonts w:ascii="Arial" w:hAnsi="Arial" w:cs="Arial"/>
          <w:b/>
          <w:sz w:val="24"/>
          <w:szCs w:val="24"/>
        </w:rPr>
      </w:pPr>
    </w:p>
    <w:p w:rsidR="005D1ED3" w:rsidRDefault="005D1ED3" w:rsidP="005D1ED3">
      <w:pPr>
        <w:rPr>
          <w:rFonts w:ascii="Arial" w:hAnsi="Arial" w:cs="Arial"/>
          <w:b/>
          <w:sz w:val="24"/>
          <w:szCs w:val="24"/>
        </w:rPr>
      </w:pPr>
    </w:p>
    <w:p w:rsidR="005D1ED3" w:rsidRPr="000104BA" w:rsidRDefault="005D1ED3" w:rsidP="005D1ED3">
      <w:pPr>
        <w:rPr>
          <w:rFonts w:ascii="Arial" w:hAnsi="Arial" w:cs="Arial"/>
          <w:b/>
          <w:sz w:val="24"/>
          <w:szCs w:val="24"/>
        </w:rPr>
      </w:pPr>
    </w:p>
    <w:p w:rsidR="005D1ED3" w:rsidRPr="000104BA" w:rsidRDefault="005D1ED3" w:rsidP="005D1ED3">
      <w:pPr>
        <w:pStyle w:val="Prrafodelista"/>
        <w:numPr>
          <w:ilvl w:val="0"/>
          <w:numId w:val="1"/>
        </w:numPr>
        <w:spacing w:after="0" w:line="240" w:lineRule="auto"/>
        <w:jc w:val="both"/>
        <w:rPr>
          <w:rFonts w:ascii="Arial" w:eastAsia="Times New Roman" w:hAnsi="Arial" w:cs="Arial"/>
          <w:b/>
          <w:color w:val="221E1F"/>
          <w:sz w:val="24"/>
          <w:szCs w:val="24"/>
        </w:rPr>
      </w:pPr>
      <w:r w:rsidRPr="000104BA">
        <w:rPr>
          <w:rFonts w:ascii="Arial" w:eastAsia="Times New Roman" w:hAnsi="Arial" w:cs="Arial"/>
          <w:b/>
          <w:color w:val="221E1F"/>
          <w:sz w:val="24"/>
          <w:szCs w:val="24"/>
        </w:rPr>
        <w:lastRenderedPageBreak/>
        <w:t>TEXTO PROPUESTO PARA SEGUNDO DEBATE</w:t>
      </w:r>
    </w:p>
    <w:p w:rsidR="005D1ED3" w:rsidRPr="000104BA" w:rsidRDefault="005D1ED3" w:rsidP="005D1ED3">
      <w:pPr>
        <w:jc w:val="center"/>
        <w:rPr>
          <w:rFonts w:ascii="Arial" w:hAnsi="Arial" w:cs="Arial"/>
          <w:b/>
          <w:sz w:val="24"/>
          <w:szCs w:val="24"/>
        </w:rPr>
      </w:pPr>
    </w:p>
    <w:p w:rsidR="005D1ED3" w:rsidRPr="000104BA" w:rsidRDefault="005D1ED3" w:rsidP="005D1ED3">
      <w:pPr>
        <w:jc w:val="center"/>
        <w:rPr>
          <w:rFonts w:ascii="Arial" w:hAnsi="Arial" w:cs="Arial"/>
          <w:b/>
          <w:sz w:val="24"/>
          <w:szCs w:val="24"/>
        </w:rPr>
      </w:pPr>
      <w:r w:rsidRPr="000104BA">
        <w:rPr>
          <w:rFonts w:ascii="Arial" w:hAnsi="Arial" w:cs="Arial"/>
          <w:b/>
          <w:sz w:val="24"/>
          <w:szCs w:val="24"/>
        </w:rPr>
        <w:t>PROYECTO DE LEY No 198 DE 2021 CÁMARA</w:t>
      </w:r>
    </w:p>
    <w:p w:rsidR="005D1ED3" w:rsidRPr="000104BA" w:rsidRDefault="005D1ED3" w:rsidP="005D1ED3">
      <w:pPr>
        <w:jc w:val="center"/>
        <w:rPr>
          <w:rFonts w:ascii="Arial" w:hAnsi="Arial" w:cs="Arial"/>
          <w:b/>
          <w:i/>
          <w:sz w:val="24"/>
          <w:szCs w:val="24"/>
        </w:rPr>
      </w:pPr>
      <w:r w:rsidRPr="000104BA">
        <w:rPr>
          <w:rFonts w:ascii="Arial" w:hAnsi="Arial" w:cs="Arial"/>
          <w:b/>
          <w:i/>
          <w:sz w:val="24"/>
          <w:szCs w:val="24"/>
        </w:rPr>
        <w:t>“POR MEDIO DE LA CUAL SE SUSPENDEN LOS EFECTOS DE LOS MANDAMIENTOS DE PAGO Y LA EJECUCIÓN DE TODO AQUEL DICTADO EN PROCESOS EJECUTIVOS DE MÍNIMA Y MENOR CUANTÍA Y SE DICTAN OTRAS DISPOSICIONES”</w:t>
      </w:r>
    </w:p>
    <w:p w:rsidR="005D1ED3" w:rsidRPr="000104BA" w:rsidRDefault="005D1ED3" w:rsidP="005D1ED3">
      <w:pPr>
        <w:jc w:val="center"/>
        <w:rPr>
          <w:rFonts w:ascii="Arial" w:hAnsi="Arial" w:cs="Arial"/>
          <w:b/>
          <w:i/>
          <w:sz w:val="24"/>
          <w:szCs w:val="24"/>
        </w:rPr>
      </w:pPr>
    </w:p>
    <w:p w:rsidR="005D1ED3" w:rsidRPr="000104BA" w:rsidRDefault="005D1ED3" w:rsidP="005D1ED3">
      <w:pPr>
        <w:jc w:val="center"/>
        <w:rPr>
          <w:rFonts w:ascii="Arial" w:hAnsi="Arial" w:cs="Arial"/>
          <w:b/>
          <w:sz w:val="24"/>
          <w:szCs w:val="24"/>
        </w:rPr>
      </w:pPr>
      <w:r w:rsidRPr="000104BA">
        <w:rPr>
          <w:rFonts w:ascii="Arial" w:hAnsi="Arial" w:cs="Arial"/>
          <w:b/>
          <w:sz w:val="24"/>
          <w:szCs w:val="24"/>
        </w:rPr>
        <w:t>EL CONGRESO DE COLOMBIA</w:t>
      </w:r>
    </w:p>
    <w:p w:rsidR="005D1ED3" w:rsidRPr="000104BA" w:rsidRDefault="005D1ED3" w:rsidP="005D1ED3">
      <w:pPr>
        <w:jc w:val="center"/>
        <w:rPr>
          <w:rFonts w:ascii="Arial" w:hAnsi="Arial" w:cs="Arial"/>
          <w:b/>
          <w:sz w:val="24"/>
          <w:szCs w:val="24"/>
        </w:rPr>
      </w:pPr>
      <w:r w:rsidRPr="000104BA">
        <w:rPr>
          <w:rFonts w:ascii="Arial" w:hAnsi="Arial" w:cs="Arial"/>
          <w:b/>
          <w:sz w:val="24"/>
          <w:szCs w:val="24"/>
        </w:rPr>
        <w:t>DECRETA:</w:t>
      </w:r>
    </w:p>
    <w:p w:rsidR="005D1ED3" w:rsidRPr="000104BA" w:rsidRDefault="005D1ED3" w:rsidP="005D1ED3">
      <w:pPr>
        <w:jc w:val="both"/>
        <w:rPr>
          <w:rFonts w:ascii="Arial" w:hAnsi="Arial" w:cs="Arial"/>
          <w:sz w:val="24"/>
          <w:szCs w:val="24"/>
        </w:rPr>
      </w:pPr>
      <w:r w:rsidRPr="000104BA">
        <w:rPr>
          <w:rFonts w:ascii="Arial" w:hAnsi="Arial" w:cs="Arial"/>
          <w:b/>
          <w:sz w:val="24"/>
          <w:szCs w:val="24"/>
        </w:rPr>
        <w:t>ARTÍCULO 1°:</w:t>
      </w:r>
      <w:r w:rsidRPr="000104BA">
        <w:rPr>
          <w:rFonts w:ascii="Arial" w:hAnsi="Arial" w:cs="Arial"/>
          <w:sz w:val="24"/>
          <w:szCs w:val="24"/>
        </w:rPr>
        <w:t xml:space="preserve"> Adiciónese un artículo transitorio a la Ley 1564 de 2012 por medio de la cual se expidió el Código General del Proceso, el cual tendrá el siguiente tenor: </w:t>
      </w:r>
    </w:p>
    <w:p w:rsidR="005D1ED3" w:rsidRPr="000104BA" w:rsidRDefault="005D1ED3" w:rsidP="005D1ED3">
      <w:pPr>
        <w:jc w:val="both"/>
        <w:rPr>
          <w:rFonts w:ascii="Arial" w:hAnsi="Arial" w:cs="Arial"/>
          <w:sz w:val="24"/>
          <w:szCs w:val="24"/>
        </w:rPr>
      </w:pPr>
      <w:r w:rsidRPr="000104BA">
        <w:rPr>
          <w:rFonts w:ascii="Arial" w:hAnsi="Arial" w:cs="Arial"/>
          <w:b/>
          <w:sz w:val="24"/>
          <w:szCs w:val="24"/>
        </w:rPr>
        <w:t>ARTÍCULO 430A TRANSITORIO.</w:t>
      </w:r>
      <w:r w:rsidRPr="000104BA">
        <w:rPr>
          <w:rFonts w:ascii="Arial" w:hAnsi="Arial" w:cs="Arial"/>
          <w:sz w:val="24"/>
          <w:szCs w:val="24"/>
        </w:rPr>
        <w:t xml:space="preserve"> </w:t>
      </w:r>
      <w:r w:rsidRPr="000104BA">
        <w:rPr>
          <w:rFonts w:ascii="Arial" w:hAnsi="Arial" w:cs="Arial"/>
          <w:b/>
          <w:sz w:val="24"/>
          <w:szCs w:val="24"/>
        </w:rPr>
        <w:t>SUSPENSIÓN MANDAMIENTO DE PAGO</w:t>
      </w:r>
      <w:r w:rsidRPr="000104BA">
        <w:rPr>
          <w:rFonts w:ascii="Arial" w:hAnsi="Arial" w:cs="Arial"/>
          <w:sz w:val="24"/>
          <w:szCs w:val="24"/>
        </w:rPr>
        <w:t>. Suspéndanse los efectos del mandamiento de pago y la ejecución de todo aquel librado en procesos ejecutivos de mínima y menor cuantía, originados o derivados en pretensiones, obligaciones o deudas causadas e incumplidas desde la declaratoria de emergencia sanitaria ordenada por el Gobierno Nacional el 12 de marzo de 2020, hasta diez (10) meses después que la presente ley entre en vigencia.</w:t>
      </w:r>
    </w:p>
    <w:p w:rsidR="005D1ED3" w:rsidRPr="000104BA" w:rsidRDefault="005D1ED3" w:rsidP="005D1ED3">
      <w:pPr>
        <w:jc w:val="both"/>
        <w:rPr>
          <w:rFonts w:ascii="Arial" w:hAnsi="Arial" w:cs="Arial"/>
          <w:sz w:val="24"/>
          <w:szCs w:val="24"/>
        </w:rPr>
      </w:pPr>
      <w:r w:rsidRPr="000104BA">
        <w:rPr>
          <w:rFonts w:ascii="Arial" w:hAnsi="Arial" w:cs="Arial"/>
          <w:b/>
          <w:sz w:val="24"/>
          <w:szCs w:val="24"/>
        </w:rPr>
        <w:t>PARÁGRAFO 1:</w:t>
      </w:r>
      <w:r w:rsidRPr="000104BA">
        <w:rPr>
          <w:rFonts w:ascii="Arial" w:hAnsi="Arial" w:cs="Arial"/>
          <w:sz w:val="24"/>
          <w:szCs w:val="24"/>
        </w:rPr>
        <w:t xml:space="preserve"> Para que el deudor sea beneficiario del presente artículo deberá solicitarlo dentro del mismo término que tiene para proponer excepciones de mérito, y acreditar alguna de las siguientes condiciones: </w:t>
      </w:r>
    </w:p>
    <w:p w:rsidR="005D1ED3" w:rsidRPr="000104BA" w:rsidRDefault="005D1ED3" w:rsidP="005D1ED3">
      <w:pPr>
        <w:jc w:val="both"/>
        <w:rPr>
          <w:rFonts w:ascii="Arial" w:hAnsi="Arial" w:cs="Arial"/>
          <w:sz w:val="24"/>
          <w:szCs w:val="24"/>
        </w:rPr>
      </w:pPr>
      <w:r w:rsidRPr="000104BA">
        <w:rPr>
          <w:rFonts w:ascii="Arial" w:hAnsi="Arial" w:cs="Arial"/>
          <w:sz w:val="24"/>
          <w:szCs w:val="24"/>
        </w:rPr>
        <w:t xml:space="preserve">a.) Pérdida del empleo con fecha posterior al 12 de marzo de 2020; o, b.) Pérdida, ausencia o disminución considerable de ingresos que recibía de manera regular con posterioridad al 12 de marzo de 2020; o, c.) Estar clasificado como Microempresa o Pequeña Empresa en los términos del artículo 2° de la Ley 590 de 2000 y el Decreto 957 de 2019; o, d.) Empresa de Economía Solidaria a las que se refieren los artículos 4° de la Ley 79 de 1988 y 6° de la Ley 454 de 1998. </w:t>
      </w:r>
    </w:p>
    <w:p w:rsidR="005D1ED3" w:rsidRPr="000104BA" w:rsidRDefault="005D1ED3" w:rsidP="005D1ED3">
      <w:pPr>
        <w:jc w:val="both"/>
        <w:rPr>
          <w:rFonts w:ascii="Arial" w:hAnsi="Arial" w:cs="Arial"/>
          <w:sz w:val="24"/>
          <w:szCs w:val="24"/>
        </w:rPr>
      </w:pPr>
      <w:r w:rsidRPr="000104BA">
        <w:rPr>
          <w:rFonts w:ascii="Arial" w:hAnsi="Arial" w:cs="Arial"/>
          <w:b/>
          <w:sz w:val="24"/>
          <w:szCs w:val="24"/>
        </w:rPr>
        <w:lastRenderedPageBreak/>
        <w:t>PARÁGRAFO 2:</w:t>
      </w:r>
      <w:r w:rsidRPr="000104BA">
        <w:rPr>
          <w:rFonts w:ascii="Arial" w:hAnsi="Arial" w:cs="Arial"/>
          <w:sz w:val="24"/>
          <w:szCs w:val="24"/>
        </w:rPr>
        <w:t xml:space="preserve"> 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rsidR="005D1ED3" w:rsidRPr="000104BA" w:rsidRDefault="005D1ED3" w:rsidP="005D1ED3">
      <w:pPr>
        <w:jc w:val="both"/>
        <w:rPr>
          <w:rFonts w:ascii="Arial" w:hAnsi="Arial" w:cs="Arial"/>
          <w:sz w:val="24"/>
          <w:szCs w:val="24"/>
        </w:rPr>
      </w:pPr>
      <w:r w:rsidRPr="000104BA">
        <w:rPr>
          <w:rFonts w:ascii="Arial" w:hAnsi="Arial" w:cs="Arial"/>
          <w:b/>
          <w:sz w:val="24"/>
          <w:szCs w:val="24"/>
        </w:rPr>
        <w:t>PARÁGRAFO 3:</w:t>
      </w:r>
      <w:r w:rsidRPr="000104BA">
        <w:rPr>
          <w:rFonts w:ascii="Arial" w:hAnsi="Arial" w:cs="Arial"/>
          <w:sz w:val="24"/>
          <w:szCs w:val="24"/>
        </w:rPr>
        <w:t xml:space="preserve"> En cualquier momento podrá terminarse el proceso si se demuestra el pago o el acuerdo de pago sobre el saldo constituido en mora, sin tener en cuenta obligaciones cuya exigibilidad anticipada sea derivada de una clausula aceleratoria. </w:t>
      </w:r>
    </w:p>
    <w:p w:rsidR="005D1ED3" w:rsidRPr="000104BA" w:rsidRDefault="005D1ED3" w:rsidP="005D1ED3">
      <w:pPr>
        <w:jc w:val="both"/>
        <w:rPr>
          <w:rFonts w:ascii="Arial" w:hAnsi="Arial" w:cs="Arial"/>
          <w:sz w:val="24"/>
          <w:szCs w:val="24"/>
        </w:rPr>
      </w:pPr>
      <w:r w:rsidRPr="000104BA">
        <w:rPr>
          <w:rFonts w:ascii="Arial" w:hAnsi="Arial" w:cs="Arial"/>
          <w:b/>
          <w:sz w:val="24"/>
          <w:szCs w:val="24"/>
        </w:rPr>
        <w:t>PARÁGRAFO 4:</w:t>
      </w:r>
      <w:r w:rsidRPr="000104BA">
        <w:rPr>
          <w:rFonts w:ascii="Arial" w:hAnsi="Arial" w:cs="Arial"/>
          <w:sz w:val="24"/>
          <w:szCs w:val="24"/>
        </w:rPr>
        <w:t xml:space="preserve"> 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rsidR="005D1ED3" w:rsidRPr="000104BA" w:rsidRDefault="005D1ED3" w:rsidP="005D1ED3">
      <w:pPr>
        <w:jc w:val="both"/>
        <w:rPr>
          <w:rFonts w:ascii="Arial" w:hAnsi="Arial" w:cs="Arial"/>
          <w:sz w:val="24"/>
          <w:szCs w:val="24"/>
        </w:rPr>
      </w:pPr>
      <w:r w:rsidRPr="000104BA">
        <w:rPr>
          <w:rFonts w:ascii="Arial" w:hAnsi="Arial" w:cs="Arial"/>
          <w:b/>
          <w:sz w:val="24"/>
          <w:szCs w:val="24"/>
        </w:rPr>
        <w:t>PARÁGRAFO 5:</w:t>
      </w:r>
      <w:r w:rsidRPr="000104BA">
        <w:rPr>
          <w:rFonts w:ascii="Arial" w:hAnsi="Arial" w:cs="Arial"/>
          <w:sz w:val="24"/>
          <w:szCs w:val="24"/>
        </w:rPr>
        <w:t xml:space="preserve"> Teniendo en cuenta que los procesos a los que se refiere el presente artículo e iniciados antes de la vigencia de esta ley podrán continuar su trámite, el remate de los bienes cautelados y la entrega de dinero al acreedor, solo podrá efectuarse en los siguientes eventos: </w:t>
      </w:r>
    </w:p>
    <w:p w:rsidR="005D1ED3" w:rsidRPr="000104BA" w:rsidRDefault="005D1ED3" w:rsidP="005D1ED3">
      <w:pPr>
        <w:jc w:val="both"/>
        <w:rPr>
          <w:rFonts w:ascii="Arial" w:hAnsi="Arial" w:cs="Arial"/>
          <w:sz w:val="24"/>
          <w:szCs w:val="24"/>
        </w:rPr>
      </w:pPr>
      <w:r w:rsidRPr="000104BA">
        <w:rPr>
          <w:rFonts w:ascii="Arial" w:hAnsi="Arial" w:cs="Arial"/>
          <w:sz w:val="24"/>
          <w:szCs w:val="24"/>
        </w:rPr>
        <w:t xml:space="preserve">a.) Por mutuo acuerdo entre las partes, o, </w:t>
      </w:r>
    </w:p>
    <w:p w:rsidR="005D1ED3" w:rsidRPr="000104BA" w:rsidRDefault="005D1ED3" w:rsidP="005D1ED3">
      <w:pPr>
        <w:jc w:val="both"/>
        <w:rPr>
          <w:rFonts w:ascii="Arial" w:hAnsi="Arial" w:cs="Arial"/>
          <w:sz w:val="24"/>
          <w:szCs w:val="24"/>
        </w:rPr>
      </w:pPr>
      <w:r w:rsidRPr="000104BA">
        <w:rPr>
          <w:rFonts w:ascii="Arial" w:hAnsi="Arial" w:cs="Arial"/>
          <w:sz w:val="24"/>
          <w:szCs w:val="24"/>
        </w:rPr>
        <w:t>b.) Una vez venza el periodo de suspensión al que se refiere la presente ley.</w:t>
      </w:r>
    </w:p>
    <w:p w:rsidR="005D1ED3" w:rsidRPr="000104BA" w:rsidRDefault="005D1ED3" w:rsidP="005D1ED3">
      <w:pPr>
        <w:jc w:val="both"/>
        <w:rPr>
          <w:rFonts w:ascii="Arial" w:hAnsi="Arial" w:cs="Arial"/>
          <w:b/>
          <w:sz w:val="24"/>
          <w:szCs w:val="24"/>
          <w:u w:val="single"/>
        </w:rPr>
      </w:pPr>
      <w:r w:rsidRPr="000104BA">
        <w:rPr>
          <w:rFonts w:ascii="Arial" w:hAnsi="Arial" w:cs="Arial"/>
          <w:b/>
          <w:sz w:val="24"/>
          <w:szCs w:val="24"/>
          <w:u w:val="single"/>
        </w:rPr>
        <w:t xml:space="preserve">PARÁGRAFO 6: Lo dispuesto en este artículo no se aplica para los procesos ejecutivos por obligación alimentaria. </w:t>
      </w:r>
    </w:p>
    <w:p w:rsidR="005D1ED3" w:rsidRPr="000104BA" w:rsidRDefault="005D1ED3" w:rsidP="005D1ED3">
      <w:pPr>
        <w:jc w:val="both"/>
        <w:rPr>
          <w:rFonts w:ascii="Arial" w:hAnsi="Arial" w:cs="Arial"/>
          <w:b/>
          <w:sz w:val="24"/>
          <w:szCs w:val="24"/>
        </w:rPr>
      </w:pPr>
      <w:r w:rsidRPr="000104BA">
        <w:rPr>
          <w:rFonts w:ascii="Arial" w:hAnsi="Arial" w:cs="Arial"/>
          <w:b/>
          <w:sz w:val="24"/>
          <w:szCs w:val="24"/>
        </w:rPr>
        <w:t>ARTÍCULO 2°.</w:t>
      </w:r>
      <w:r w:rsidRPr="000104BA">
        <w:rPr>
          <w:rFonts w:ascii="Arial" w:hAnsi="Arial" w:cs="Arial"/>
          <w:sz w:val="24"/>
          <w:szCs w:val="24"/>
        </w:rPr>
        <w:t xml:space="preserve"> </w:t>
      </w:r>
      <w:r w:rsidRPr="000104BA">
        <w:rPr>
          <w:rFonts w:ascii="Arial" w:hAnsi="Arial" w:cs="Arial"/>
          <w:b/>
          <w:sz w:val="24"/>
          <w:szCs w:val="24"/>
        </w:rPr>
        <w:t>VIGENCIA</w:t>
      </w:r>
      <w:r w:rsidRPr="000104BA">
        <w:rPr>
          <w:rFonts w:ascii="Arial" w:hAnsi="Arial" w:cs="Arial"/>
          <w:sz w:val="24"/>
          <w:szCs w:val="24"/>
        </w:rPr>
        <w:t>, La presente ley rige a partir de su promulgación, y aplica para los procesos ejecutivos de mínima y menor cuantía iniciados desde la declaratoria de emergencia sanitaria ordenada por el Gobierno Nacional el 12 de marzo de 2020, hasta diez (10) meses después que la presente ley entre en vigencia.</w:t>
      </w:r>
      <w:r w:rsidRPr="000104BA">
        <w:rPr>
          <w:rFonts w:ascii="Arial" w:hAnsi="Arial" w:cs="Arial"/>
          <w:b/>
          <w:sz w:val="24"/>
          <w:szCs w:val="24"/>
        </w:rPr>
        <w:t xml:space="preserve"> </w:t>
      </w:r>
    </w:p>
    <w:p w:rsidR="005D1ED3" w:rsidRDefault="005D1ED3" w:rsidP="005D1ED3">
      <w:pPr>
        <w:spacing w:after="0" w:line="240" w:lineRule="auto"/>
        <w:jc w:val="both"/>
        <w:rPr>
          <w:rFonts w:ascii="Arial" w:eastAsia="Times New Roman" w:hAnsi="Arial" w:cs="Arial"/>
          <w:sz w:val="24"/>
          <w:szCs w:val="24"/>
        </w:rPr>
      </w:pPr>
    </w:p>
    <w:p w:rsidR="000654FF" w:rsidRPr="000104BA" w:rsidRDefault="000654FF" w:rsidP="005D1ED3">
      <w:pPr>
        <w:spacing w:after="0" w:line="240" w:lineRule="auto"/>
        <w:jc w:val="both"/>
        <w:rPr>
          <w:rFonts w:ascii="Arial" w:eastAsia="Times New Roman" w:hAnsi="Arial" w:cs="Arial"/>
          <w:sz w:val="24"/>
          <w:szCs w:val="24"/>
        </w:rPr>
      </w:pPr>
    </w:p>
    <w:p w:rsidR="005D1ED3" w:rsidRPr="000104BA" w:rsidRDefault="005D1ED3" w:rsidP="005D1ED3">
      <w:pPr>
        <w:spacing w:after="0" w:line="240" w:lineRule="auto"/>
        <w:jc w:val="both"/>
        <w:rPr>
          <w:rFonts w:ascii="Arial" w:eastAsia="Times New Roman" w:hAnsi="Arial" w:cs="Arial"/>
          <w:sz w:val="24"/>
          <w:szCs w:val="24"/>
        </w:rPr>
      </w:pPr>
      <w:bookmarkStart w:id="2" w:name="_GoBack"/>
      <w:bookmarkEnd w:id="2"/>
    </w:p>
    <w:p w:rsidR="005D1ED3" w:rsidRPr="000104BA" w:rsidRDefault="005D1ED3" w:rsidP="005D1ED3">
      <w:pPr>
        <w:spacing w:after="0" w:line="240" w:lineRule="auto"/>
        <w:jc w:val="both"/>
        <w:rPr>
          <w:rFonts w:ascii="Arial" w:eastAsia="Times New Roman" w:hAnsi="Arial" w:cs="Arial"/>
          <w:sz w:val="24"/>
          <w:szCs w:val="24"/>
        </w:rPr>
      </w:pPr>
      <w:r w:rsidRPr="000104BA">
        <w:rPr>
          <w:rFonts w:ascii="Arial" w:eastAsia="Times New Roman" w:hAnsi="Arial" w:cs="Arial"/>
          <w:sz w:val="24"/>
          <w:szCs w:val="24"/>
        </w:rPr>
        <w:t>Cordialmente,</w:t>
      </w:r>
    </w:p>
    <w:p w:rsidR="00554089" w:rsidRDefault="00554089" w:rsidP="005D1ED3">
      <w:pPr>
        <w:spacing w:after="0"/>
        <w:jc w:val="both"/>
        <w:rPr>
          <w:rFonts w:ascii="Arial" w:eastAsia="Times New Roman" w:hAnsi="Arial" w:cs="Arial"/>
          <w:b/>
          <w:sz w:val="24"/>
          <w:szCs w:val="24"/>
          <w:highlight w:val="white"/>
        </w:rPr>
      </w:pPr>
    </w:p>
    <w:p w:rsidR="00554089" w:rsidRDefault="00554089" w:rsidP="005D1ED3">
      <w:pPr>
        <w:spacing w:after="0"/>
        <w:jc w:val="both"/>
        <w:rPr>
          <w:rFonts w:ascii="Arial" w:eastAsia="Times New Roman" w:hAnsi="Arial" w:cs="Arial"/>
          <w:b/>
          <w:sz w:val="24"/>
          <w:szCs w:val="24"/>
          <w:highlight w:val="white"/>
        </w:rPr>
      </w:pPr>
    </w:p>
    <w:p w:rsidR="00554089" w:rsidRDefault="00554089" w:rsidP="005D1ED3">
      <w:pPr>
        <w:spacing w:after="0"/>
        <w:jc w:val="both"/>
        <w:rPr>
          <w:rFonts w:ascii="Arial" w:eastAsia="Times New Roman" w:hAnsi="Arial" w:cs="Arial"/>
          <w:b/>
          <w:sz w:val="24"/>
          <w:szCs w:val="24"/>
          <w:highlight w:val="white"/>
        </w:rPr>
      </w:pPr>
    </w:p>
    <w:p w:rsidR="00554089" w:rsidRDefault="00554089" w:rsidP="005D1ED3">
      <w:pPr>
        <w:spacing w:after="0"/>
        <w:jc w:val="both"/>
        <w:rPr>
          <w:rFonts w:ascii="Arial" w:eastAsia="Times New Roman" w:hAnsi="Arial" w:cs="Arial"/>
          <w:b/>
          <w:sz w:val="24"/>
          <w:szCs w:val="24"/>
          <w:highlight w:val="white"/>
        </w:rPr>
      </w:pPr>
    </w:p>
    <w:p w:rsidR="00554089" w:rsidRDefault="00554089" w:rsidP="005D1ED3">
      <w:pPr>
        <w:spacing w:after="0"/>
        <w:jc w:val="both"/>
        <w:rPr>
          <w:rFonts w:ascii="Arial" w:eastAsia="Times New Roman" w:hAnsi="Arial" w:cs="Arial"/>
          <w:b/>
          <w:sz w:val="24"/>
          <w:szCs w:val="24"/>
          <w:highlight w:val="white"/>
        </w:rPr>
      </w:pPr>
    </w:p>
    <w:p w:rsidR="00554089" w:rsidRDefault="00554089" w:rsidP="005D1ED3">
      <w:pPr>
        <w:spacing w:after="0"/>
        <w:jc w:val="both"/>
        <w:rPr>
          <w:rFonts w:ascii="Arial" w:eastAsia="Times New Roman" w:hAnsi="Arial" w:cs="Arial"/>
          <w:b/>
          <w:sz w:val="24"/>
          <w:szCs w:val="24"/>
          <w:highlight w:val="white"/>
        </w:rPr>
      </w:pPr>
    </w:p>
    <w:p w:rsidR="00554089" w:rsidRDefault="00554089" w:rsidP="005D1ED3">
      <w:pPr>
        <w:spacing w:after="0"/>
        <w:jc w:val="both"/>
        <w:rPr>
          <w:rFonts w:ascii="Arial" w:eastAsia="Times New Roman" w:hAnsi="Arial" w:cs="Arial"/>
          <w:b/>
          <w:sz w:val="24"/>
          <w:szCs w:val="24"/>
          <w:highlight w:val="white"/>
        </w:rPr>
      </w:pPr>
    </w:p>
    <w:p w:rsidR="00554089" w:rsidRPr="000104BA" w:rsidRDefault="00554089" w:rsidP="005D1ED3">
      <w:pPr>
        <w:spacing w:after="0"/>
        <w:jc w:val="both"/>
        <w:rPr>
          <w:rFonts w:ascii="Arial" w:eastAsia="Times New Roman" w:hAnsi="Arial" w:cs="Arial"/>
          <w:b/>
          <w:sz w:val="24"/>
          <w:szCs w:val="24"/>
          <w:highlight w:val="white"/>
        </w:rPr>
        <w:sectPr w:rsidR="00554089" w:rsidRPr="000104BA" w:rsidSect="0081350F">
          <w:headerReference w:type="default" r:id="rId7"/>
          <w:footerReference w:type="default" r:id="rId8"/>
          <w:pgSz w:w="12240" w:h="15840"/>
          <w:pgMar w:top="2693" w:right="1701" w:bottom="2268" w:left="1701" w:header="708" w:footer="1681" w:gutter="0"/>
          <w:pgNumType w:start="1"/>
          <w:cols w:space="720" w:equalWidth="0">
            <w:col w:w="8838"/>
          </w:cols>
        </w:sectPr>
      </w:pPr>
    </w:p>
    <w:p w:rsidR="005D1ED3" w:rsidRPr="000104BA" w:rsidRDefault="005D1ED3" w:rsidP="005D1ED3">
      <w:pPr>
        <w:spacing w:after="0"/>
        <w:jc w:val="both"/>
        <w:rPr>
          <w:rFonts w:ascii="Arial" w:eastAsia="Times New Roman" w:hAnsi="Arial" w:cs="Arial"/>
          <w:b/>
          <w:sz w:val="24"/>
          <w:szCs w:val="24"/>
          <w:highlight w:val="white"/>
        </w:rPr>
      </w:pPr>
    </w:p>
    <w:p w:rsidR="005D1ED3" w:rsidRPr="000104BA" w:rsidRDefault="005D1ED3" w:rsidP="005D1ED3">
      <w:pPr>
        <w:spacing w:after="0"/>
        <w:jc w:val="both"/>
        <w:rPr>
          <w:rFonts w:ascii="Arial" w:eastAsia="Times New Roman" w:hAnsi="Arial" w:cs="Arial"/>
          <w:b/>
          <w:sz w:val="24"/>
          <w:szCs w:val="24"/>
          <w:highlight w:val="white"/>
        </w:rPr>
        <w:sectPr w:rsidR="005D1ED3" w:rsidRPr="000104BA" w:rsidSect="000104BA">
          <w:type w:val="continuous"/>
          <w:pgSz w:w="12240" w:h="15840"/>
          <w:pgMar w:top="2693" w:right="1701" w:bottom="2268" w:left="1701" w:header="708" w:footer="1681" w:gutter="0"/>
          <w:pgNumType w:start="1"/>
          <w:cols w:num="2" w:space="720"/>
        </w:sectPr>
      </w:pPr>
    </w:p>
    <w:p w:rsidR="005D1ED3" w:rsidRPr="000104BA" w:rsidRDefault="005D1ED3" w:rsidP="005D1ED3">
      <w:pPr>
        <w:spacing w:after="0"/>
        <w:jc w:val="center"/>
        <w:rPr>
          <w:rFonts w:ascii="Arial" w:eastAsia="Times New Roman" w:hAnsi="Arial" w:cs="Arial"/>
          <w:b/>
          <w:i/>
          <w:sz w:val="24"/>
          <w:szCs w:val="24"/>
          <w:highlight w:val="white"/>
        </w:rPr>
      </w:pPr>
      <w:r w:rsidRPr="000104BA">
        <w:rPr>
          <w:rFonts w:ascii="Arial" w:eastAsia="Times New Roman" w:hAnsi="Arial" w:cs="Arial"/>
          <w:b/>
          <w:i/>
          <w:sz w:val="24"/>
          <w:szCs w:val="24"/>
          <w:highlight w:val="white"/>
        </w:rPr>
        <w:lastRenderedPageBreak/>
        <w:t>CÉSAR AUGUSTO LORDUY</w:t>
      </w:r>
      <w:r w:rsidR="000654FF">
        <w:rPr>
          <w:rFonts w:ascii="Arial" w:eastAsia="Times New Roman" w:hAnsi="Arial" w:cs="Arial"/>
          <w:b/>
          <w:i/>
          <w:sz w:val="24"/>
          <w:szCs w:val="24"/>
          <w:highlight w:val="white"/>
        </w:rPr>
        <w:tab/>
        <w:t xml:space="preserve">               </w:t>
      </w:r>
    </w:p>
    <w:p w:rsidR="005D1ED3" w:rsidRDefault="005D1ED3" w:rsidP="00554089">
      <w:pPr>
        <w:spacing w:after="0"/>
        <w:jc w:val="center"/>
        <w:rPr>
          <w:rFonts w:ascii="Arial" w:eastAsia="Times New Roman" w:hAnsi="Arial" w:cs="Arial"/>
          <w:sz w:val="24"/>
          <w:szCs w:val="24"/>
          <w:highlight w:val="white"/>
        </w:rPr>
      </w:pPr>
      <w:r w:rsidRPr="000104BA">
        <w:rPr>
          <w:rFonts w:ascii="Arial" w:eastAsia="Times New Roman" w:hAnsi="Arial" w:cs="Arial"/>
          <w:sz w:val="24"/>
          <w:szCs w:val="24"/>
          <w:highlight w:val="white"/>
        </w:rPr>
        <w:t>Representante a la Cámara</w:t>
      </w:r>
    </w:p>
    <w:p w:rsidR="00554089" w:rsidRPr="00554089" w:rsidRDefault="00554089" w:rsidP="00554089">
      <w:pPr>
        <w:spacing w:after="0"/>
        <w:jc w:val="center"/>
        <w:rPr>
          <w:rFonts w:ascii="Arial" w:eastAsia="Times New Roman" w:hAnsi="Arial" w:cs="Arial"/>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D1ED3" w:rsidRDefault="005D1ED3" w:rsidP="005D1ED3">
      <w:pPr>
        <w:spacing w:after="0"/>
        <w:jc w:val="center"/>
        <w:rPr>
          <w:rFonts w:ascii="Arial" w:eastAsia="Times New Roman" w:hAnsi="Arial" w:cs="Arial"/>
          <w:b/>
          <w:i/>
          <w:sz w:val="24"/>
          <w:szCs w:val="24"/>
          <w:highlight w:val="white"/>
        </w:rPr>
      </w:pPr>
    </w:p>
    <w:p w:rsidR="00554089" w:rsidRPr="000104BA" w:rsidRDefault="00554089" w:rsidP="00554089">
      <w:pPr>
        <w:spacing w:after="0"/>
        <w:jc w:val="center"/>
        <w:rPr>
          <w:rFonts w:ascii="Arial" w:eastAsia="Times New Roman" w:hAnsi="Arial" w:cs="Arial"/>
          <w:b/>
          <w:i/>
          <w:sz w:val="24"/>
          <w:szCs w:val="24"/>
          <w:highlight w:val="white"/>
        </w:rPr>
      </w:pPr>
      <w:r w:rsidRPr="000104BA">
        <w:rPr>
          <w:rFonts w:ascii="Arial" w:eastAsia="Times New Roman" w:hAnsi="Arial" w:cs="Arial"/>
          <w:b/>
          <w:i/>
          <w:sz w:val="24"/>
          <w:szCs w:val="24"/>
          <w:highlight w:val="white"/>
        </w:rPr>
        <w:lastRenderedPageBreak/>
        <w:t>JUAN CARLOS WILLS</w:t>
      </w:r>
    </w:p>
    <w:p w:rsidR="005D1ED3" w:rsidRPr="000104BA" w:rsidRDefault="005D1ED3" w:rsidP="005D1ED3">
      <w:pPr>
        <w:spacing w:after="0"/>
        <w:jc w:val="center"/>
        <w:rPr>
          <w:rFonts w:ascii="Arial" w:eastAsia="Times New Roman" w:hAnsi="Arial" w:cs="Arial"/>
          <w:sz w:val="24"/>
          <w:szCs w:val="24"/>
          <w:highlight w:val="white"/>
        </w:rPr>
        <w:sectPr w:rsidR="005D1ED3" w:rsidRPr="000104BA" w:rsidSect="000104BA">
          <w:type w:val="continuous"/>
          <w:pgSz w:w="12240" w:h="15840"/>
          <w:pgMar w:top="2693" w:right="1701" w:bottom="2268" w:left="1701" w:header="708" w:footer="708" w:gutter="0"/>
          <w:cols w:num="2" w:space="720"/>
        </w:sectPr>
      </w:pPr>
      <w:r w:rsidRPr="000104BA">
        <w:rPr>
          <w:rFonts w:ascii="Arial" w:eastAsia="Times New Roman" w:hAnsi="Arial" w:cs="Arial"/>
          <w:sz w:val="24"/>
          <w:szCs w:val="24"/>
          <w:highlight w:val="white"/>
        </w:rPr>
        <w:t>Representante a la Cámara</w:t>
      </w:r>
    </w:p>
    <w:p w:rsidR="005D1ED3" w:rsidRPr="000104BA" w:rsidRDefault="005D1ED3" w:rsidP="005D1ED3">
      <w:pPr>
        <w:tabs>
          <w:tab w:val="left" w:pos="7305"/>
        </w:tabs>
        <w:rPr>
          <w:rFonts w:ascii="Arial" w:hAnsi="Arial" w:cs="Arial"/>
          <w:sz w:val="24"/>
          <w:szCs w:val="24"/>
        </w:rPr>
        <w:sectPr w:rsidR="005D1ED3" w:rsidRPr="000104BA" w:rsidSect="0081350F">
          <w:headerReference w:type="default" r:id="rId9"/>
          <w:footerReference w:type="default" r:id="rId10"/>
          <w:pgSz w:w="12242" w:h="15842" w:code="1"/>
          <w:pgMar w:top="2693" w:right="1701" w:bottom="2268" w:left="1701" w:header="709" w:footer="709" w:gutter="0"/>
          <w:cols w:space="708"/>
          <w:docGrid w:linePitch="360"/>
        </w:sectPr>
      </w:pPr>
      <w:bookmarkStart w:id="3" w:name="_heading=h.1fob9te" w:colFirst="0" w:colLast="0"/>
      <w:bookmarkEnd w:id="3"/>
    </w:p>
    <w:p w:rsidR="005D1ED3" w:rsidRPr="000104BA" w:rsidRDefault="005D1ED3" w:rsidP="005D1ED3">
      <w:pPr>
        <w:tabs>
          <w:tab w:val="left" w:pos="7305"/>
        </w:tabs>
        <w:rPr>
          <w:rFonts w:ascii="Arial" w:hAnsi="Arial" w:cs="Arial"/>
          <w:sz w:val="24"/>
          <w:szCs w:val="24"/>
        </w:rPr>
      </w:pPr>
    </w:p>
    <w:p w:rsidR="00AD503D" w:rsidRDefault="00AD503D"/>
    <w:sectPr w:rsidR="00AD503D" w:rsidSect="000104BA">
      <w:type w:val="continuous"/>
      <w:pgSz w:w="12242" w:h="15842" w:code="1"/>
      <w:pgMar w:top="2693"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880" w:rsidRDefault="00A95880" w:rsidP="005D1ED3">
      <w:pPr>
        <w:spacing w:after="0" w:line="240" w:lineRule="auto"/>
      </w:pPr>
      <w:r>
        <w:separator/>
      </w:r>
    </w:p>
  </w:endnote>
  <w:endnote w:type="continuationSeparator" w:id="0">
    <w:p w:rsidR="00A95880" w:rsidRDefault="00A95880" w:rsidP="005D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AD" w:rsidRDefault="00A95880" w:rsidP="003559AD">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0B" w:rsidRDefault="00A95880" w:rsidP="000A0A6F">
    <w:pPr>
      <w:pStyle w:val="Piedepgina"/>
    </w:pPr>
  </w:p>
  <w:p w:rsidR="00B62173" w:rsidRDefault="00A95880">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880" w:rsidRDefault="00A95880" w:rsidP="005D1ED3">
      <w:pPr>
        <w:spacing w:after="0" w:line="240" w:lineRule="auto"/>
      </w:pPr>
      <w:r>
        <w:separator/>
      </w:r>
    </w:p>
  </w:footnote>
  <w:footnote w:type="continuationSeparator" w:id="0">
    <w:p w:rsidR="00A95880" w:rsidRDefault="00A95880" w:rsidP="005D1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1C" w:rsidRDefault="009A33DA" w:rsidP="0081350F">
    <w:pPr>
      <w:pBdr>
        <w:top w:val="nil"/>
        <w:left w:val="nil"/>
        <w:bottom w:val="nil"/>
        <w:right w:val="nil"/>
        <w:between w:val="nil"/>
      </w:pBdr>
      <w:tabs>
        <w:tab w:val="left" w:pos="1155"/>
        <w:tab w:val="center" w:pos="4419"/>
        <w:tab w:val="right" w:pos="8838"/>
      </w:tabs>
      <w:spacing w:after="0" w:line="240" w:lineRule="auto"/>
      <w:rPr>
        <w:color w:val="000000"/>
      </w:rPr>
    </w:pPr>
    <w:r>
      <w:rPr>
        <w:color w:val="000000"/>
      </w:rPr>
      <w:tab/>
    </w:r>
    <w:r>
      <w:rPr>
        <w:color w:val="000000"/>
      </w:rPr>
      <w:tab/>
    </w:r>
    <w:r>
      <w:rPr>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73" w:rsidRPr="001069B7" w:rsidRDefault="009A33DA" w:rsidP="00485485">
    <w:pPr>
      <w:pStyle w:val="Encabezado"/>
      <w:jc w:val="center"/>
      <w:rPr>
        <w:rFonts w:ascii="Monotype Corsiva" w:hAnsi="Monotype Corsiva"/>
        <w:sz w:val="28"/>
        <w:szCs w:val="28"/>
      </w:rPr>
    </w:pPr>
    <w:r w:rsidRPr="001069B7">
      <w:rPr>
        <w:rFonts w:ascii="Monotype Corsiva" w:hAnsi="Monotype Corsiva"/>
        <w:sz w:val="40"/>
        <w:szCs w:val="40"/>
      </w:rPr>
      <w:t xml:space="preserve"> </w:t>
    </w:r>
  </w:p>
  <w:p w:rsidR="00B62173" w:rsidRDefault="00A958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1AC6"/>
    <w:multiLevelType w:val="hybridMultilevel"/>
    <w:tmpl w:val="6E52B460"/>
    <w:lvl w:ilvl="0" w:tplc="C00AC0D6">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D3"/>
    <w:rsid w:val="00002C4E"/>
    <w:rsid w:val="000654FF"/>
    <w:rsid w:val="001C6559"/>
    <w:rsid w:val="00554089"/>
    <w:rsid w:val="005D1ED3"/>
    <w:rsid w:val="009A33DA"/>
    <w:rsid w:val="00A95880"/>
    <w:rsid w:val="00AD50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0386"/>
  <w15:chartTrackingRefBased/>
  <w15:docId w15:val="{5F994F8A-71A6-4001-AB71-24C9CF78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D3"/>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1ED3"/>
    <w:rPr>
      <w:lang w:val="es-ES"/>
    </w:rPr>
  </w:style>
  <w:style w:type="paragraph" w:styleId="Piedepgina">
    <w:name w:val="footer"/>
    <w:basedOn w:val="Normal"/>
    <w:link w:val="PiedepginaCar"/>
    <w:uiPriority w:val="99"/>
    <w:unhideWhenUsed/>
    <w:rsid w:val="005D1E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1ED3"/>
    <w:rPr>
      <w:lang w:val="es-ES"/>
    </w:rPr>
  </w:style>
  <w:style w:type="paragraph" w:styleId="Prrafodelista">
    <w:name w:val="List Paragraph"/>
    <w:basedOn w:val="Normal"/>
    <w:link w:val="PrrafodelistaCar"/>
    <w:uiPriority w:val="34"/>
    <w:qFormat/>
    <w:rsid w:val="005D1ED3"/>
    <w:pPr>
      <w:ind w:left="720"/>
      <w:contextualSpacing/>
    </w:pPr>
    <w:rPr>
      <w:rFonts w:ascii="Calibri" w:eastAsia="Calibri" w:hAnsi="Calibri" w:cs="Times New Roman"/>
      <w:lang w:val="es-CO"/>
    </w:rPr>
  </w:style>
  <w:style w:type="paragraph" w:customStyle="1" w:styleId="Default">
    <w:name w:val="Default"/>
    <w:rsid w:val="005D1ED3"/>
    <w:pPr>
      <w:autoSpaceDE w:val="0"/>
      <w:autoSpaceDN w:val="0"/>
      <w:adjustRightInd w:val="0"/>
      <w:spacing w:after="0" w:line="240" w:lineRule="auto"/>
    </w:pPr>
    <w:rPr>
      <w:rFonts w:ascii="Trebuchet MS" w:eastAsia="Calibri" w:hAnsi="Trebuchet MS" w:cs="Trebuchet MS"/>
      <w:color w:val="000000"/>
      <w:sz w:val="24"/>
      <w:szCs w:val="24"/>
      <w:lang w:eastAsia="es-CO"/>
    </w:rPr>
  </w:style>
  <w:style w:type="character" w:customStyle="1" w:styleId="PrrafodelistaCar">
    <w:name w:val="Párrafo de lista Car"/>
    <w:basedOn w:val="Fuentedeprrafopredeter"/>
    <w:link w:val="Prrafodelista"/>
    <w:uiPriority w:val="34"/>
    <w:locked/>
    <w:rsid w:val="005D1ED3"/>
    <w:rPr>
      <w:rFonts w:ascii="Calibri" w:eastAsia="Calibri" w:hAnsi="Calibri" w:cs="Times New Roman"/>
    </w:rPr>
  </w:style>
  <w:style w:type="paragraph" w:styleId="Textodeglobo">
    <w:name w:val="Balloon Text"/>
    <w:basedOn w:val="Normal"/>
    <w:link w:val="TextodegloboCar"/>
    <w:uiPriority w:val="99"/>
    <w:semiHidden/>
    <w:unhideWhenUsed/>
    <w:rsid w:val="005D1E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1ED3"/>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706</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Mosquera Bernal UTL</dc:creator>
  <cp:keywords/>
  <dc:description/>
  <cp:lastModifiedBy>Yamile Nova Jamaica</cp:lastModifiedBy>
  <cp:revision>3</cp:revision>
  <cp:lastPrinted>2022-05-31T14:48:00Z</cp:lastPrinted>
  <dcterms:created xsi:type="dcterms:W3CDTF">2022-05-31T14:43:00Z</dcterms:created>
  <dcterms:modified xsi:type="dcterms:W3CDTF">2022-05-31T15:57:00Z</dcterms:modified>
</cp:coreProperties>
</file>