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1A896" w14:textId="77777777" w:rsidR="00760ED0" w:rsidRPr="000C0AFD" w:rsidRDefault="00760ED0" w:rsidP="000C0AFD">
      <w:pPr>
        <w:shd w:val="clear" w:color="auto" w:fill="FFFFFF"/>
        <w:spacing w:line="360" w:lineRule="auto"/>
        <w:jc w:val="center"/>
        <w:rPr>
          <w:rFonts w:ascii="Verdana" w:hAnsi="Verdana" w:cs="Arial"/>
          <w:b/>
          <w:color w:val="000000"/>
          <w:sz w:val="20"/>
          <w:szCs w:val="20"/>
          <w:lang w:eastAsia="en-US"/>
        </w:rPr>
      </w:pPr>
    </w:p>
    <w:p w14:paraId="3ACD44CE" w14:textId="77777777" w:rsidR="00760ED0" w:rsidRPr="000C0AFD" w:rsidRDefault="00760ED0" w:rsidP="000C0AFD">
      <w:pPr>
        <w:spacing w:line="360" w:lineRule="auto"/>
        <w:ind w:right="193"/>
        <w:jc w:val="center"/>
        <w:rPr>
          <w:rFonts w:ascii="Verdana" w:eastAsia="Times New Roman" w:hAnsi="Verdana" w:cs="Arial"/>
          <w:bCs/>
          <w:i/>
          <w:iCs/>
          <w:color w:val="000000" w:themeColor="text1"/>
          <w:sz w:val="20"/>
          <w:szCs w:val="20"/>
        </w:rPr>
      </w:pPr>
      <w:r w:rsidRPr="000C0AFD">
        <w:rPr>
          <w:rFonts w:ascii="Verdana" w:hAnsi="Verdana" w:cs="Arial"/>
          <w:b/>
          <w:sz w:val="20"/>
          <w:szCs w:val="20"/>
        </w:rPr>
        <w:t xml:space="preserve">INFORME DE PONENCIA PARA PRIMER DEBATE AL </w:t>
      </w:r>
      <w:bookmarkStart w:id="0" w:name="_Hlk88207075"/>
      <w:r w:rsidRPr="000C0AFD">
        <w:rPr>
          <w:rFonts w:ascii="Verdana" w:hAnsi="Verdana" w:cs="Arial"/>
          <w:b/>
          <w:sz w:val="20"/>
          <w:szCs w:val="20"/>
        </w:rPr>
        <w:t>PROYECTO DE LEY No. 362 DE 2021 CÁMARA POR MEDIO DEL CUAL SE MODIFICA EL ARTÍCULO 68 A DE LA LEY 599 DEL 2000, COMO MEDIDA PARA DESINCENTIVAR EL PORTE ILEGAL DE ARMAS DE FUEGO, Y SE DICTAN OTRAS DISPOSICIONES</w:t>
      </w:r>
      <w:bookmarkEnd w:id="0"/>
    </w:p>
    <w:p w14:paraId="76C711AA" w14:textId="77777777" w:rsidR="00760ED0" w:rsidRPr="000C0AFD" w:rsidRDefault="00760ED0" w:rsidP="009C124C">
      <w:pPr>
        <w:shd w:val="clear" w:color="auto" w:fill="FFFFFF"/>
        <w:spacing w:line="360" w:lineRule="auto"/>
        <w:ind w:left="0"/>
        <w:rPr>
          <w:rFonts w:ascii="Verdana" w:eastAsia="Times New Roman" w:hAnsi="Verdana" w:cs="Arial"/>
          <w:bCs/>
          <w:sz w:val="20"/>
          <w:szCs w:val="20"/>
        </w:rPr>
      </w:pPr>
    </w:p>
    <w:p w14:paraId="4DFD9919" w14:textId="022E01A1" w:rsidR="00760ED0" w:rsidRPr="000C0AFD" w:rsidRDefault="00760ED0" w:rsidP="000C0AFD">
      <w:pPr>
        <w:shd w:val="clear" w:color="auto" w:fill="FFFFFF"/>
        <w:spacing w:line="360" w:lineRule="auto"/>
        <w:jc w:val="right"/>
        <w:rPr>
          <w:rFonts w:ascii="Verdana" w:eastAsia="Times New Roman" w:hAnsi="Verdana" w:cs="Arial"/>
          <w:bCs/>
          <w:sz w:val="20"/>
          <w:szCs w:val="20"/>
        </w:rPr>
      </w:pPr>
      <w:r w:rsidRPr="000C0AFD">
        <w:rPr>
          <w:rFonts w:ascii="Verdana" w:eastAsia="Times New Roman" w:hAnsi="Verdana" w:cs="Arial"/>
          <w:bCs/>
          <w:sz w:val="20"/>
          <w:szCs w:val="20"/>
        </w:rPr>
        <w:t xml:space="preserve">Bogotá D.C., </w:t>
      </w:r>
      <w:r w:rsidR="00C45381">
        <w:rPr>
          <w:rFonts w:ascii="Verdana" w:eastAsia="Times New Roman" w:hAnsi="Verdana" w:cs="Arial"/>
          <w:bCs/>
          <w:sz w:val="20"/>
          <w:szCs w:val="20"/>
        </w:rPr>
        <w:t xml:space="preserve">24 de </w:t>
      </w:r>
      <w:r w:rsidRPr="000C0AFD">
        <w:rPr>
          <w:rFonts w:ascii="Verdana" w:eastAsia="Times New Roman" w:hAnsi="Verdana" w:cs="Arial"/>
          <w:bCs/>
          <w:sz w:val="20"/>
          <w:szCs w:val="20"/>
        </w:rPr>
        <w:t>noviembre de 2021</w:t>
      </w:r>
    </w:p>
    <w:p w14:paraId="14E7351E" w14:textId="77777777" w:rsidR="00760ED0" w:rsidRPr="000C0AFD" w:rsidRDefault="00760ED0" w:rsidP="000C0AFD">
      <w:pPr>
        <w:shd w:val="clear" w:color="auto" w:fill="FFFFFF"/>
        <w:spacing w:line="360" w:lineRule="auto"/>
        <w:rPr>
          <w:rFonts w:ascii="Verdana" w:eastAsia="Times New Roman" w:hAnsi="Verdana" w:cs="Arial"/>
          <w:bCs/>
          <w:sz w:val="20"/>
          <w:szCs w:val="20"/>
        </w:rPr>
      </w:pPr>
    </w:p>
    <w:p w14:paraId="04ED7BFF" w14:textId="77777777" w:rsidR="00760ED0" w:rsidRPr="000C0AFD" w:rsidRDefault="00760ED0" w:rsidP="000C0AFD">
      <w:pPr>
        <w:spacing w:line="360" w:lineRule="auto"/>
        <w:rPr>
          <w:rFonts w:ascii="Verdana" w:hAnsi="Verdana" w:cstheme="minorHAnsi"/>
          <w:sz w:val="20"/>
          <w:szCs w:val="20"/>
        </w:rPr>
      </w:pPr>
      <w:r w:rsidRPr="000C0AFD">
        <w:rPr>
          <w:rFonts w:ascii="Verdana" w:hAnsi="Verdana" w:cstheme="minorHAnsi"/>
          <w:sz w:val="20"/>
          <w:szCs w:val="20"/>
        </w:rPr>
        <w:t>Honorable Representante</w:t>
      </w:r>
    </w:p>
    <w:p w14:paraId="25BA8CAD" w14:textId="77777777" w:rsidR="00760ED0" w:rsidRPr="000C0AFD" w:rsidRDefault="00760ED0" w:rsidP="000C0AFD">
      <w:pPr>
        <w:spacing w:line="360" w:lineRule="auto"/>
        <w:rPr>
          <w:rFonts w:ascii="Verdana" w:hAnsi="Verdana" w:cstheme="minorHAnsi"/>
          <w:b/>
          <w:bCs/>
          <w:sz w:val="20"/>
          <w:szCs w:val="20"/>
        </w:rPr>
      </w:pPr>
      <w:r w:rsidRPr="000C0AFD">
        <w:rPr>
          <w:rFonts w:ascii="Verdana" w:hAnsi="Verdana" w:cstheme="minorHAnsi"/>
          <w:b/>
          <w:bCs/>
          <w:sz w:val="20"/>
          <w:szCs w:val="20"/>
        </w:rPr>
        <w:t xml:space="preserve">JULIO CÉSAR TRIANA QUINTERO </w:t>
      </w:r>
    </w:p>
    <w:p w14:paraId="00B394AE" w14:textId="77777777" w:rsidR="00760ED0" w:rsidRPr="000C0AFD" w:rsidRDefault="00760ED0" w:rsidP="000C0AFD">
      <w:pPr>
        <w:spacing w:line="360" w:lineRule="auto"/>
        <w:rPr>
          <w:rFonts w:ascii="Verdana" w:hAnsi="Verdana" w:cstheme="minorHAnsi"/>
          <w:sz w:val="20"/>
          <w:szCs w:val="20"/>
        </w:rPr>
      </w:pPr>
      <w:r w:rsidRPr="000C0AFD">
        <w:rPr>
          <w:rFonts w:ascii="Verdana" w:hAnsi="Verdana" w:cstheme="minorHAnsi"/>
          <w:sz w:val="20"/>
          <w:szCs w:val="20"/>
        </w:rPr>
        <w:t>Presidente</w:t>
      </w:r>
    </w:p>
    <w:p w14:paraId="045B83CC" w14:textId="77777777" w:rsidR="00760ED0" w:rsidRPr="000C0AFD" w:rsidRDefault="00760ED0" w:rsidP="000C0AFD">
      <w:pPr>
        <w:spacing w:line="360" w:lineRule="auto"/>
        <w:rPr>
          <w:rFonts w:ascii="Verdana" w:hAnsi="Verdana" w:cstheme="minorHAnsi"/>
          <w:b/>
          <w:bCs/>
          <w:sz w:val="20"/>
          <w:szCs w:val="20"/>
        </w:rPr>
      </w:pPr>
      <w:r w:rsidRPr="000C0AFD">
        <w:rPr>
          <w:rFonts w:ascii="Verdana" w:hAnsi="Verdana" w:cstheme="minorHAnsi"/>
          <w:b/>
          <w:bCs/>
          <w:sz w:val="20"/>
          <w:szCs w:val="20"/>
        </w:rPr>
        <w:t>Comisión Primera Constitucional</w:t>
      </w:r>
    </w:p>
    <w:p w14:paraId="45DBDF82" w14:textId="77777777" w:rsidR="00760ED0" w:rsidRPr="000C0AFD" w:rsidRDefault="00760ED0" w:rsidP="000C0AFD">
      <w:pPr>
        <w:spacing w:line="360" w:lineRule="auto"/>
        <w:rPr>
          <w:rFonts w:ascii="Verdana" w:hAnsi="Verdana" w:cstheme="minorHAnsi"/>
          <w:sz w:val="20"/>
          <w:szCs w:val="20"/>
        </w:rPr>
      </w:pPr>
      <w:r w:rsidRPr="000C0AFD">
        <w:rPr>
          <w:rFonts w:ascii="Verdana" w:hAnsi="Verdana" w:cstheme="minorHAnsi"/>
          <w:sz w:val="20"/>
          <w:szCs w:val="20"/>
        </w:rPr>
        <w:t>Cámara de Representantes</w:t>
      </w:r>
    </w:p>
    <w:p w14:paraId="1F1A5E9F" w14:textId="77777777" w:rsidR="00760ED0" w:rsidRPr="000C0AFD" w:rsidRDefault="00760ED0" w:rsidP="000C0AFD">
      <w:pPr>
        <w:spacing w:line="360" w:lineRule="auto"/>
        <w:rPr>
          <w:rFonts w:ascii="Verdana" w:hAnsi="Verdana" w:cstheme="minorHAnsi"/>
          <w:sz w:val="20"/>
          <w:szCs w:val="20"/>
        </w:rPr>
      </w:pPr>
      <w:r w:rsidRPr="000C0AFD">
        <w:rPr>
          <w:rFonts w:ascii="Verdana" w:hAnsi="Verdana" w:cstheme="minorHAnsi"/>
          <w:sz w:val="20"/>
          <w:szCs w:val="20"/>
        </w:rPr>
        <w:t>Ciudad.</w:t>
      </w:r>
    </w:p>
    <w:p w14:paraId="6864EFFE" w14:textId="77777777" w:rsidR="00760ED0" w:rsidRPr="000C0AFD" w:rsidRDefault="00760ED0" w:rsidP="009C124C">
      <w:pPr>
        <w:shd w:val="clear" w:color="auto" w:fill="FFFFFF"/>
        <w:spacing w:line="360" w:lineRule="auto"/>
        <w:ind w:left="0"/>
        <w:rPr>
          <w:rFonts w:ascii="Verdana" w:eastAsia="Times New Roman" w:hAnsi="Verdana" w:cs="Arial"/>
          <w:bCs/>
          <w:sz w:val="20"/>
          <w:szCs w:val="20"/>
        </w:rPr>
      </w:pPr>
    </w:p>
    <w:p w14:paraId="0357E1C2" w14:textId="77777777" w:rsidR="00760ED0" w:rsidRPr="000C0AFD" w:rsidRDefault="00760ED0" w:rsidP="009C124C">
      <w:pPr>
        <w:spacing w:line="360" w:lineRule="auto"/>
        <w:ind w:left="3119" w:right="193"/>
        <w:rPr>
          <w:rFonts w:ascii="Verdana" w:eastAsia="Times New Roman" w:hAnsi="Verdana" w:cs="Arial"/>
          <w:bCs/>
          <w:i/>
          <w:iCs/>
          <w:color w:val="000000" w:themeColor="text1"/>
          <w:sz w:val="20"/>
          <w:szCs w:val="20"/>
        </w:rPr>
      </w:pPr>
      <w:r w:rsidRPr="000C0AFD">
        <w:rPr>
          <w:rFonts w:ascii="Verdana" w:eastAsia="Times New Roman" w:hAnsi="Verdana" w:cs="Arial"/>
          <w:b/>
          <w:bCs/>
          <w:sz w:val="20"/>
          <w:szCs w:val="20"/>
        </w:rPr>
        <w:t xml:space="preserve">Asunto: </w:t>
      </w:r>
      <w:r w:rsidRPr="000C0AFD">
        <w:rPr>
          <w:rFonts w:ascii="Verdana" w:eastAsia="Times New Roman" w:hAnsi="Verdana" w:cs="Arial"/>
          <w:bCs/>
          <w:sz w:val="20"/>
          <w:szCs w:val="20"/>
        </w:rPr>
        <w:t xml:space="preserve">Informe de ponencia para primer debate al </w:t>
      </w:r>
      <w:r w:rsidRPr="000C0AFD">
        <w:rPr>
          <w:rFonts w:ascii="Verdana" w:hAnsi="Verdana" w:cs="Arial"/>
          <w:sz w:val="20"/>
          <w:szCs w:val="20"/>
        </w:rPr>
        <w:t>Proyecto de Ley No. 362 de 2021 Cámara “</w:t>
      </w:r>
      <w:r w:rsidRPr="000C0AFD">
        <w:rPr>
          <w:rFonts w:ascii="Verdana" w:eastAsia="Times New Roman" w:hAnsi="Verdana" w:cs="Arial"/>
          <w:bCs/>
          <w:i/>
          <w:sz w:val="20"/>
          <w:szCs w:val="20"/>
        </w:rPr>
        <w:t>por medio del cual se modifica el artículo 68 a de la ley 599 del 2000, como medida para desincentivar el porte ilegal de armas de fuego, y se dictan otras disposiciones”.</w:t>
      </w:r>
    </w:p>
    <w:p w14:paraId="0A79B62E" w14:textId="77777777" w:rsidR="00760ED0" w:rsidRPr="009C124C" w:rsidRDefault="00760ED0" w:rsidP="009C124C">
      <w:pPr>
        <w:shd w:val="clear" w:color="auto" w:fill="FFFFFF"/>
        <w:spacing w:line="360" w:lineRule="auto"/>
        <w:ind w:left="0"/>
        <w:rPr>
          <w:rFonts w:ascii="Verdana" w:eastAsia="Times New Roman" w:hAnsi="Verdana" w:cs="Arial"/>
          <w:b/>
          <w:bCs/>
          <w:sz w:val="20"/>
          <w:szCs w:val="20"/>
        </w:rPr>
      </w:pPr>
    </w:p>
    <w:p w14:paraId="7A4EC851" w14:textId="77777777" w:rsidR="00760ED0" w:rsidRPr="000C0AFD" w:rsidRDefault="00760ED0" w:rsidP="000C0AFD">
      <w:pPr>
        <w:shd w:val="clear" w:color="auto" w:fill="FFFFFF"/>
        <w:spacing w:line="360" w:lineRule="auto"/>
        <w:rPr>
          <w:rFonts w:ascii="Verdana" w:eastAsia="Times New Roman" w:hAnsi="Verdana" w:cs="Arial"/>
          <w:bCs/>
          <w:sz w:val="20"/>
          <w:szCs w:val="20"/>
        </w:rPr>
      </w:pPr>
      <w:r w:rsidRPr="000C0AFD">
        <w:rPr>
          <w:rFonts w:ascii="Verdana" w:eastAsia="Times New Roman" w:hAnsi="Verdana" w:cs="Arial"/>
          <w:bCs/>
          <w:sz w:val="20"/>
          <w:szCs w:val="20"/>
        </w:rPr>
        <w:t>Respetado señor Presidente:</w:t>
      </w:r>
    </w:p>
    <w:p w14:paraId="3B67C1D0" w14:textId="77777777" w:rsidR="00760ED0" w:rsidRPr="000C0AFD" w:rsidRDefault="00760ED0" w:rsidP="000C0AFD">
      <w:pPr>
        <w:shd w:val="clear" w:color="auto" w:fill="FFFFFF"/>
        <w:spacing w:line="360" w:lineRule="auto"/>
        <w:rPr>
          <w:rFonts w:ascii="Verdana" w:eastAsia="Times New Roman" w:hAnsi="Verdana" w:cs="Arial"/>
          <w:bCs/>
          <w:sz w:val="20"/>
          <w:szCs w:val="20"/>
        </w:rPr>
      </w:pPr>
    </w:p>
    <w:p w14:paraId="1683221B" w14:textId="77777777" w:rsidR="00760ED0" w:rsidRPr="000C0AFD" w:rsidRDefault="00760ED0" w:rsidP="000C0AFD">
      <w:pPr>
        <w:spacing w:line="360" w:lineRule="auto"/>
        <w:ind w:right="193"/>
        <w:rPr>
          <w:rFonts w:ascii="Verdana" w:hAnsi="Verdana" w:cs="Arial"/>
          <w:sz w:val="20"/>
          <w:szCs w:val="20"/>
        </w:rPr>
      </w:pPr>
      <w:r w:rsidRPr="000C0AFD">
        <w:rPr>
          <w:rFonts w:ascii="Verdana" w:eastAsia="Times New Roman" w:hAnsi="Verdana" w:cs="Arial"/>
          <w:bCs/>
          <w:sz w:val="20"/>
          <w:szCs w:val="20"/>
        </w:rPr>
        <w:t xml:space="preserve">En cumplimiento del encargo hecho por la Honorable Mesa Directiva de la Comisión Primera de la Cámara de Representantes y de conformidad con lo establecido en el Artículo 156 de la Ley 5ª de 1992, procedo a rendir </w:t>
      </w:r>
      <w:r w:rsidRPr="000C0AFD">
        <w:rPr>
          <w:rFonts w:ascii="Verdana" w:hAnsi="Verdana" w:cs="Arial"/>
          <w:sz w:val="20"/>
          <w:szCs w:val="20"/>
        </w:rPr>
        <w:t xml:space="preserve">informe de ponencia para primer debate </w:t>
      </w:r>
      <w:r w:rsidRPr="000C0AFD">
        <w:rPr>
          <w:rFonts w:ascii="Verdana" w:eastAsia="Times New Roman" w:hAnsi="Verdana" w:cs="Arial"/>
          <w:bCs/>
          <w:sz w:val="20"/>
          <w:szCs w:val="20"/>
        </w:rPr>
        <w:t xml:space="preserve">al </w:t>
      </w:r>
      <w:r w:rsidRPr="000C0AFD">
        <w:rPr>
          <w:rFonts w:ascii="Verdana" w:hAnsi="Verdana" w:cs="Arial"/>
          <w:sz w:val="20"/>
          <w:szCs w:val="20"/>
        </w:rPr>
        <w:t>Proyecto de Ley No. 362 de 2021 Cámara “</w:t>
      </w:r>
      <w:r w:rsidRPr="000C0AFD">
        <w:rPr>
          <w:rFonts w:ascii="Verdana" w:eastAsia="Times New Roman" w:hAnsi="Verdana" w:cs="Arial"/>
          <w:bCs/>
          <w:i/>
          <w:sz w:val="20"/>
          <w:szCs w:val="20"/>
        </w:rPr>
        <w:t>por medio del cual se modifica el artículo 68 a de la ley 599 del 2000, como medida para desincentivar el porte ilegal de armas de fuego, y se dictan otras disposiciones”.</w:t>
      </w:r>
    </w:p>
    <w:p w14:paraId="3FC01B9C" w14:textId="77777777" w:rsidR="00760ED0" w:rsidRPr="000C0AFD" w:rsidRDefault="00760ED0" w:rsidP="000C0AFD">
      <w:pPr>
        <w:pStyle w:val="Default"/>
        <w:spacing w:line="360" w:lineRule="auto"/>
        <w:jc w:val="both"/>
        <w:rPr>
          <w:rFonts w:ascii="Verdana" w:hAnsi="Verdana" w:cs="Arial"/>
          <w:color w:val="000000" w:themeColor="text1"/>
          <w:sz w:val="20"/>
          <w:szCs w:val="20"/>
        </w:rPr>
      </w:pPr>
    </w:p>
    <w:p w14:paraId="47EFF32F" w14:textId="77777777" w:rsidR="00760ED0" w:rsidRPr="000C0AFD" w:rsidRDefault="00760ED0" w:rsidP="000C0AFD">
      <w:pPr>
        <w:pStyle w:val="Prrafodelista"/>
        <w:numPr>
          <w:ilvl w:val="0"/>
          <w:numId w:val="10"/>
        </w:numPr>
        <w:spacing w:line="360" w:lineRule="auto"/>
        <w:rPr>
          <w:rFonts w:ascii="Verdana" w:hAnsi="Verdana" w:cs="Arial"/>
          <w:b/>
          <w:color w:val="000000" w:themeColor="text1"/>
          <w:sz w:val="20"/>
          <w:szCs w:val="20"/>
        </w:rPr>
      </w:pPr>
      <w:r w:rsidRPr="000C0AFD">
        <w:rPr>
          <w:rFonts w:ascii="Verdana" w:hAnsi="Verdana" w:cs="Arial"/>
          <w:b/>
          <w:color w:val="000000" w:themeColor="text1"/>
          <w:sz w:val="20"/>
          <w:szCs w:val="20"/>
        </w:rPr>
        <w:t>Trámite de la iniciativa.</w:t>
      </w:r>
    </w:p>
    <w:p w14:paraId="5B511ECD" w14:textId="77777777" w:rsidR="00760ED0" w:rsidRPr="000C0AFD" w:rsidRDefault="00760ED0" w:rsidP="000C0AFD">
      <w:pPr>
        <w:spacing w:line="360" w:lineRule="auto"/>
        <w:rPr>
          <w:rFonts w:ascii="Verdana" w:hAnsi="Verdana" w:cs="Arial"/>
          <w:sz w:val="20"/>
          <w:szCs w:val="20"/>
        </w:rPr>
      </w:pPr>
    </w:p>
    <w:p w14:paraId="52177850" w14:textId="77777777" w:rsidR="00760ED0" w:rsidRPr="000C0AFD" w:rsidRDefault="00760ED0" w:rsidP="000C0AFD">
      <w:pPr>
        <w:spacing w:line="360" w:lineRule="auto"/>
        <w:rPr>
          <w:rFonts w:ascii="Verdana" w:hAnsi="Verdana" w:cs="Arial"/>
          <w:sz w:val="20"/>
          <w:szCs w:val="20"/>
        </w:rPr>
      </w:pPr>
      <w:r w:rsidRPr="000C0AFD">
        <w:rPr>
          <w:rFonts w:ascii="Verdana" w:hAnsi="Verdana" w:cs="Arial"/>
          <w:sz w:val="20"/>
          <w:szCs w:val="20"/>
        </w:rPr>
        <w:t>El Proyecto de Ley No. 362 de 2021 Cámara fue presentado por los Honorables Representantes, Jorge Méndez Hernández, Julio César Triana Quintero, Carlos Germán Navas Talero, Harry Giovanny González García, Nestor Leonardo Rico Rico, José Gabriel Amar Sepúlveda y Salim Villamil Quessep. Fue publicado en la Gaceta 1619 de 2021.</w:t>
      </w:r>
    </w:p>
    <w:p w14:paraId="696F66BB" w14:textId="77777777" w:rsidR="00760ED0" w:rsidRPr="000C0AFD" w:rsidRDefault="00760ED0" w:rsidP="000C0AFD">
      <w:pPr>
        <w:shd w:val="clear" w:color="auto" w:fill="FFFFFF"/>
        <w:spacing w:line="360" w:lineRule="auto"/>
        <w:rPr>
          <w:rFonts w:ascii="Verdana" w:eastAsia="Times New Roman" w:hAnsi="Verdana" w:cs="Arial"/>
          <w:b/>
          <w:bCs/>
          <w:sz w:val="20"/>
          <w:szCs w:val="20"/>
          <w:lang w:val="es-ES"/>
        </w:rPr>
      </w:pPr>
    </w:p>
    <w:p w14:paraId="71C513AF" w14:textId="77777777" w:rsidR="00760ED0" w:rsidRPr="000C0AFD" w:rsidRDefault="00760ED0" w:rsidP="000C0AFD">
      <w:pPr>
        <w:spacing w:line="360" w:lineRule="auto"/>
        <w:rPr>
          <w:rFonts w:ascii="Verdana" w:eastAsia="Times New Roman" w:hAnsi="Verdana" w:cs="Arial"/>
          <w:bCs/>
          <w:sz w:val="20"/>
          <w:szCs w:val="20"/>
          <w:lang w:val="es-ES"/>
        </w:rPr>
      </w:pPr>
      <w:r w:rsidRPr="000C0AFD">
        <w:rPr>
          <w:rFonts w:ascii="Verdana" w:eastAsia="Times New Roman" w:hAnsi="Verdana" w:cs="Arial"/>
          <w:bCs/>
          <w:sz w:val="20"/>
          <w:szCs w:val="20"/>
          <w:lang w:val="es-ES"/>
        </w:rPr>
        <w:t>El 17 de noviembre del año en curso, la mesa directiva de la Comisión Primera de la Cámara de Representantes nos designó cómo ponentes a los siguientes Honorables Representantes:</w:t>
      </w:r>
    </w:p>
    <w:p w14:paraId="3091152A" w14:textId="77777777" w:rsidR="00760ED0" w:rsidRPr="000C0AFD" w:rsidRDefault="00760ED0" w:rsidP="000C0AFD">
      <w:pPr>
        <w:spacing w:line="360" w:lineRule="auto"/>
        <w:rPr>
          <w:rFonts w:ascii="Verdana" w:eastAsia="Times New Roman" w:hAnsi="Verdana" w:cs="Arial"/>
          <w:bCs/>
          <w:sz w:val="20"/>
          <w:szCs w:val="20"/>
          <w:lang w:val="es-ES"/>
        </w:rPr>
      </w:pPr>
    </w:p>
    <w:p w14:paraId="48E5B803"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JORGE MÉNDEZ HERNANDEZ - (C) </w:t>
      </w:r>
    </w:p>
    <w:p w14:paraId="2FD11712"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HARRY GIOVANNY GONZALEZ GARCIA </w:t>
      </w:r>
    </w:p>
    <w:p w14:paraId="036EC810"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IINTI RAUL ASPRILLA REYES </w:t>
      </w:r>
    </w:p>
    <w:p w14:paraId="4BFDBBF8"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GABRIEL JAIME VALLEJO CHUJFI </w:t>
      </w:r>
    </w:p>
    <w:p w14:paraId="6020EEBC"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JUAN CARLOS WILLS OSPINA </w:t>
      </w:r>
    </w:p>
    <w:p w14:paraId="6A7393BC"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JORGE ENRIQUE BURGOS LUGO </w:t>
      </w:r>
    </w:p>
    <w:p w14:paraId="6EF793A6"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 xml:space="preserve">CARLOS GERMAN NAVAS TALERO </w:t>
      </w:r>
    </w:p>
    <w:p w14:paraId="2AE826EA" w14:textId="77777777" w:rsidR="00760ED0" w:rsidRPr="000C0AFD" w:rsidRDefault="00760ED0" w:rsidP="000C0AFD">
      <w:pPr>
        <w:pStyle w:val="Prrafodelista"/>
        <w:numPr>
          <w:ilvl w:val="0"/>
          <w:numId w:val="12"/>
        </w:numPr>
        <w:spacing w:line="360" w:lineRule="auto"/>
        <w:rPr>
          <w:rFonts w:ascii="Verdana" w:hAnsi="Verdana"/>
          <w:sz w:val="20"/>
          <w:szCs w:val="20"/>
        </w:rPr>
      </w:pPr>
      <w:r w:rsidRPr="000C0AFD">
        <w:rPr>
          <w:rFonts w:ascii="Verdana" w:hAnsi="Verdana"/>
          <w:sz w:val="20"/>
          <w:szCs w:val="20"/>
        </w:rPr>
        <w:t>LUIS ALBERTO ALBAN URBANO</w:t>
      </w:r>
    </w:p>
    <w:p w14:paraId="0557BD82" w14:textId="77777777" w:rsidR="00760ED0" w:rsidRPr="000C0AFD" w:rsidRDefault="00760ED0" w:rsidP="009C124C">
      <w:pPr>
        <w:spacing w:line="360" w:lineRule="auto"/>
        <w:ind w:left="0"/>
        <w:rPr>
          <w:rFonts w:ascii="Verdana" w:hAnsi="Verdana" w:cs="Arial"/>
          <w:color w:val="000000" w:themeColor="text1"/>
          <w:sz w:val="20"/>
          <w:szCs w:val="20"/>
        </w:rPr>
      </w:pPr>
    </w:p>
    <w:p w14:paraId="120DE8F0" w14:textId="77777777" w:rsidR="00760ED0" w:rsidRPr="000C0AFD" w:rsidRDefault="00760ED0" w:rsidP="000C0AFD">
      <w:pPr>
        <w:pStyle w:val="Prrafodelista"/>
        <w:numPr>
          <w:ilvl w:val="0"/>
          <w:numId w:val="10"/>
        </w:numPr>
        <w:spacing w:line="360" w:lineRule="auto"/>
        <w:rPr>
          <w:rFonts w:ascii="Verdana" w:hAnsi="Verdana" w:cs="Arial"/>
          <w:color w:val="000000" w:themeColor="text1"/>
          <w:sz w:val="20"/>
          <w:szCs w:val="20"/>
        </w:rPr>
      </w:pPr>
      <w:r w:rsidRPr="000C0AFD">
        <w:rPr>
          <w:rFonts w:ascii="Verdana" w:hAnsi="Verdana" w:cs="Arial"/>
          <w:b/>
          <w:bCs/>
          <w:color w:val="000000" w:themeColor="text1"/>
          <w:sz w:val="20"/>
          <w:szCs w:val="20"/>
        </w:rPr>
        <w:t xml:space="preserve">Objeto. </w:t>
      </w:r>
      <w:r w:rsidRPr="000C0AFD">
        <w:rPr>
          <w:rFonts w:ascii="Verdana" w:hAnsi="Verdana" w:cs="Arial"/>
          <w:color w:val="000000" w:themeColor="text1"/>
          <w:sz w:val="20"/>
          <w:szCs w:val="20"/>
        </w:rPr>
        <w:t xml:space="preserve"> </w:t>
      </w:r>
    </w:p>
    <w:p w14:paraId="3AAE0851" w14:textId="77777777" w:rsidR="00760ED0" w:rsidRPr="000C0AFD" w:rsidRDefault="00760ED0" w:rsidP="000C0AFD">
      <w:pPr>
        <w:pStyle w:val="Prrafodelista"/>
        <w:spacing w:line="360" w:lineRule="auto"/>
        <w:ind w:left="1080"/>
        <w:rPr>
          <w:rFonts w:ascii="Verdana" w:hAnsi="Verdana" w:cs="Arial"/>
          <w:color w:val="000000" w:themeColor="text1"/>
          <w:sz w:val="20"/>
          <w:szCs w:val="20"/>
        </w:rPr>
      </w:pPr>
    </w:p>
    <w:p w14:paraId="4181F00E" w14:textId="77777777" w:rsidR="00760ED0" w:rsidRPr="000C0AFD" w:rsidRDefault="00760ED0" w:rsidP="000C0AFD">
      <w:pPr>
        <w:spacing w:line="360" w:lineRule="auto"/>
        <w:rPr>
          <w:rFonts w:ascii="Verdana" w:eastAsia="Times New Roman" w:hAnsi="Verdana" w:cs="Arial"/>
          <w:bCs/>
          <w:sz w:val="20"/>
          <w:szCs w:val="20"/>
          <w:lang w:val="es-ES"/>
        </w:rPr>
      </w:pPr>
      <w:r w:rsidRPr="000C0AFD">
        <w:rPr>
          <w:rFonts w:ascii="Verdana" w:eastAsia="Times New Roman" w:hAnsi="Verdana" w:cs="Arial"/>
          <w:bCs/>
          <w:sz w:val="20"/>
          <w:szCs w:val="20"/>
          <w:lang w:val="es-ES"/>
        </w:rPr>
        <w:t>El presente proyecto de ley tiene por objeto modificar el artículo 68A de la Ley 599 del 2000 y el artículo 314 de la Ley 906 de 2004, en el sentido de adicionar los tipos penales de “fabricación, tráfico y porte de armas de fuego o municiones; Fabricación, tráfico" y "porte de armas y municiones de uso privativo de las fuerzas armadas" como aquellos que se encuentran excluidos de los beneficios y subrogados penales contemplados en el sistema penal colombiano.</w:t>
      </w:r>
    </w:p>
    <w:p w14:paraId="30E320C1" w14:textId="77777777" w:rsidR="00760ED0" w:rsidRPr="000C0AFD" w:rsidRDefault="00760ED0" w:rsidP="000C0AFD">
      <w:pPr>
        <w:spacing w:line="360" w:lineRule="auto"/>
        <w:rPr>
          <w:rFonts w:ascii="Verdana" w:eastAsia="Times New Roman" w:hAnsi="Verdana" w:cs="Arial"/>
          <w:bCs/>
          <w:sz w:val="20"/>
          <w:szCs w:val="20"/>
          <w:lang w:val="es-ES"/>
        </w:rPr>
      </w:pPr>
    </w:p>
    <w:p w14:paraId="146C5386" w14:textId="77777777" w:rsidR="00760ED0" w:rsidRPr="000C0AFD" w:rsidRDefault="00760ED0" w:rsidP="000C0AFD">
      <w:pPr>
        <w:spacing w:line="360" w:lineRule="auto"/>
        <w:rPr>
          <w:rFonts w:ascii="Verdana" w:eastAsia="Times New Roman" w:hAnsi="Verdana" w:cs="Arial"/>
          <w:bCs/>
          <w:sz w:val="20"/>
          <w:szCs w:val="20"/>
          <w:lang w:val="es-ES"/>
        </w:rPr>
      </w:pPr>
      <w:r w:rsidRPr="000C0AFD">
        <w:rPr>
          <w:rFonts w:ascii="Verdana" w:eastAsia="Times New Roman" w:hAnsi="Verdana" w:cs="Arial"/>
          <w:bCs/>
          <w:sz w:val="20"/>
          <w:szCs w:val="20"/>
          <w:lang w:val="es-ES"/>
        </w:rPr>
        <w:t xml:space="preserve">De igual manera, modifica el artículo 316 de la Ley 906, con el fin de que se prohíba que quien cometa este delito pueda beneficiarse de la sustitución de la medida preventiva; de igual forma se incluye en el parágrafo 1° del artículo 317 de la </w:t>
      </w:r>
      <w:r w:rsidRPr="000C0AFD">
        <w:rPr>
          <w:rFonts w:ascii="Verdana" w:eastAsia="Times New Roman" w:hAnsi="Verdana" w:cs="Arial"/>
          <w:bCs/>
          <w:sz w:val="20"/>
          <w:szCs w:val="20"/>
          <w:lang w:val="es-ES"/>
        </w:rPr>
        <w:lastRenderedPageBreak/>
        <w:t>misma Ley, para impedir que se pueda conceder la libertad en caso de haber sido detenido de manera preventiva.</w:t>
      </w:r>
    </w:p>
    <w:p w14:paraId="1ACCF321" w14:textId="77777777" w:rsidR="00760ED0" w:rsidRPr="000C0AFD" w:rsidRDefault="00760ED0" w:rsidP="000C0AFD">
      <w:pPr>
        <w:spacing w:line="360" w:lineRule="auto"/>
        <w:rPr>
          <w:rFonts w:ascii="Verdana" w:hAnsi="Verdana" w:cs="Arial"/>
          <w:color w:val="000000" w:themeColor="text1"/>
          <w:sz w:val="20"/>
          <w:szCs w:val="20"/>
        </w:rPr>
      </w:pPr>
    </w:p>
    <w:p w14:paraId="4397FC59" w14:textId="77777777" w:rsidR="00760ED0" w:rsidRPr="000C0AFD" w:rsidRDefault="00760ED0" w:rsidP="000C0AFD">
      <w:pPr>
        <w:pStyle w:val="Prrafodelista"/>
        <w:numPr>
          <w:ilvl w:val="0"/>
          <w:numId w:val="10"/>
        </w:numPr>
        <w:spacing w:line="360" w:lineRule="auto"/>
        <w:rPr>
          <w:rFonts w:ascii="Verdana" w:hAnsi="Verdana" w:cs="Arial"/>
          <w:b/>
          <w:color w:val="000000" w:themeColor="text1"/>
          <w:sz w:val="20"/>
          <w:szCs w:val="20"/>
        </w:rPr>
      </w:pPr>
      <w:r w:rsidRPr="000C0AFD">
        <w:rPr>
          <w:rFonts w:ascii="Verdana" w:hAnsi="Verdana" w:cs="Arial"/>
          <w:b/>
          <w:color w:val="000000" w:themeColor="text1"/>
          <w:sz w:val="20"/>
          <w:szCs w:val="20"/>
        </w:rPr>
        <w:t xml:space="preserve">Antecedentes de la iniciativa. </w:t>
      </w:r>
    </w:p>
    <w:p w14:paraId="38B8C77C" w14:textId="77777777" w:rsidR="00760ED0" w:rsidRPr="000C0AFD" w:rsidRDefault="00760ED0" w:rsidP="000C0AFD">
      <w:pPr>
        <w:spacing w:line="360" w:lineRule="auto"/>
        <w:rPr>
          <w:rFonts w:ascii="Verdana" w:hAnsi="Verdana" w:cs="Arial"/>
          <w:b/>
          <w:color w:val="000000" w:themeColor="text1"/>
          <w:sz w:val="20"/>
          <w:szCs w:val="20"/>
        </w:rPr>
      </w:pPr>
    </w:p>
    <w:p w14:paraId="23C9C221" w14:textId="4798EB9B" w:rsidR="00760ED0" w:rsidRPr="000C0AFD" w:rsidRDefault="00760ED0" w:rsidP="000C0AFD">
      <w:pPr>
        <w:spacing w:line="360" w:lineRule="auto"/>
        <w:rPr>
          <w:rFonts w:ascii="Verdana" w:hAnsi="Verdana" w:cs="Arial"/>
          <w:b/>
          <w:color w:val="000000" w:themeColor="text1"/>
          <w:sz w:val="20"/>
          <w:szCs w:val="20"/>
        </w:rPr>
      </w:pPr>
      <w:r w:rsidRPr="000C0AFD">
        <w:rPr>
          <w:rFonts w:ascii="Verdana" w:eastAsia="Book Antiqua" w:hAnsi="Verdana" w:cs="Book Antiqua"/>
          <w:sz w:val="20"/>
          <w:szCs w:val="20"/>
        </w:rPr>
        <w:t xml:space="preserve">Esta iniciativa surgió a raíz del escalamiento en las conductas delictivas en el Estado, evidenciado en el aumento de los hurtos y </w:t>
      </w:r>
      <w:r w:rsidR="00F75EB8" w:rsidRPr="000C0AFD">
        <w:rPr>
          <w:rFonts w:ascii="Verdana" w:eastAsia="Book Antiqua" w:hAnsi="Verdana" w:cs="Book Antiqua"/>
          <w:sz w:val="20"/>
          <w:szCs w:val="20"/>
        </w:rPr>
        <w:t xml:space="preserve">homicidios </w:t>
      </w:r>
      <w:r w:rsidRPr="000C0AFD">
        <w:rPr>
          <w:rFonts w:ascii="Verdana" w:eastAsia="Book Antiqua" w:hAnsi="Verdana" w:cs="Book Antiqua"/>
          <w:sz w:val="20"/>
          <w:szCs w:val="20"/>
        </w:rPr>
        <w:t>cometidos con armas de fuego, si bien ya se han presentado otros proyectos encaminados a regular el porte ilegal de armas, esos proyectos no se aseguran de aumentar la efectividad de las penas a imponer bajo estas circunstancias.</w:t>
      </w:r>
    </w:p>
    <w:p w14:paraId="5F129713" w14:textId="77777777" w:rsidR="00760ED0" w:rsidRPr="000C0AFD" w:rsidRDefault="00760ED0" w:rsidP="009C124C">
      <w:pPr>
        <w:spacing w:line="360" w:lineRule="auto"/>
        <w:ind w:left="0"/>
        <w:rPr>
          <w:rFonts w:ascii="Verdana" w:hAnsi="Verdana" w:cs="Arial"/>
          <w:b/>
          <w:color w:val="000000" w:themeColor="text1"/>
          <w:sz w:val="20"/>
          <w:szCs w:val="20"/>
        </w:rPr>
      </w:pPr>
    </w:p>
    <w:p w14:paraId="673AAB56" w14:textId="77777777" w:rsidR="00760ED0" w:rsidRPr="000C0AFD" w:rsidRDefault="00760ED0" w:rsidP="000C0AFD">
      <w:pPr>
        <w:pStyle w:val="Prrafodelista"/>
        <w:numPr>
          <w:ilvl w:val="0"/>
          <w:numId w:val="10"/>
        </w:numPr>
        <w:spacing w:line="360" w:lineRule="auto"/>
        <w:rPr>
          <w:rFonts w:ascii="Verdana" w:hAnsi="Verdana" w:cs="Arial"/>
          <w:b/>
          <w:color w:val="000000" w:themeColor="text1"/>
          <w:sz w:val="20"/>
          <w:szCs w:val="20"/>
        </w:rPr>
      </w:pPr>
      <w:r w:rsidRPr="000C0AFD">
        <w:rPr>
          <w:rFonts w:ascii="Verdana" w:hAnsi="Verdana" w:cs="Arial"/>
          <w:b/>
          <w:color w:val="000000" w:themeColor="text1"/>
          <w:sz w:val="20"/>
          <w:szCs w:val="20"/>
        </w:rPr>
        <w:t xml:space="preserve">Necesidad de la iniciativa. </w:t>
      </w:r>
    </w:p>
    <w:p w14:paraId="50CBF09C" w14:textId="77777777" w:rsidR="00760ED0" w:rsidRPr="000C0AFD" w:rsidRDefault="00760ED0" w:rsidP="000C0AFD">
      <w:pPr>
        <w:pStyle w:val="Prrafodelista"/>
        <w:spacing w:line="360" w:lineRule="auto"/>
        <w:ind w:left="1080"/>
        <w:rPr>
          <w:rFonts w:ascii="Verdana" w:hAnsi="Verdana" w:cs="Arial"/>
          <w:b/>
          <w:color w:val="000000" w:themeColor="text1"/>
          <w:sz w:val="20"/>
          <w:szCs w:val="20"/>
        </w:rPr>
      </w:pPr>
    </w:p>
    <w:p w14:paraId="3ADA7FDE"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En los últimos años, la utilización de armas de fuego para ocasionar lesiones o muertes a otras personas ha sido una de las mayores causas de violencia e inestabilidad política en el mundo.</w:t>
      </w:r>
    </w:p>
    <w:p w14:paraId="6B683067"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El comercio, la producción y las transferencias de armas en el mundo fueron asuntos que no se habían debatido entre los países por mucho tiempo, pues solo hasta el año 2013, la Asamblea General de las Naciones Unidas adoptó el Tratado sobre el Comercio de Armas</w:t>
      </w:r>
      <w:r w:rsidRPr="000C0AFD">
        <w:rPr>
          <w:rStyle w:val="Refdenotaalpie"/>
          <w:rFonts w:ascii="Verdana" w:hAnsi="Verdana"/>
          <w:sz w:val="20"/>
          <w:szCs w:val="20"/>
        </w:rPr>
        <w:footnoteReference w:id="1"/>
      </w:r>
      <w:r w:rsidRPr="000C0AFD">
        <w:rPr>
          <w:rFonts w:ascii="Verdana" w:hAnsi="Verdana"/>
          <w:sz w:val="20"/>
          <w:szCs w:val="20"/>
        </w:rPr>
        <w:t xml:space="preserve"> que busca prevenir, interrumpir, así como erradicar el tráfico ilícito de armas.</w:t>
      </w:r>
    </w:p>
    <w:p w14:paraId="1715C792"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Así pues, este tratado indicó en su parte motiva que: “[r]ecordando el Artículo 26 de la Carta de las Naciones Unidas, que tiene por objeto promover el establecimiento y mantenimiento de la paz y la seguridad internacionales con la menor desviación posible de recursos humanos y económicos del mundo hacia los armamentos […]”.</w:t>
      </w:r>
    </w:p>
    <w:p w14:paraId="3995F219"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 xml:space="preserve">Para el año 2017, las cifras estiman que se han cometido al alrededor de 463.821 homicidios, el mecanismo más frecuente (84%) es el uso de armas de fuego. Aunque se advierte una tendencia a la disminución de la tasa de homicidio por cada 100.000 </w:t>
      </w:r>
      <w:r w:rsidRPr="000C0AFD">
        <w:rPr>
          <w:rFonts w:ascii="Verdana" w:hAnsi="Verdana"/>
          <w:sz w:val="20"/>
          <w:szCs w:val="20"/>
        </w:rPr>
        <w:lastRenderedPageBreak/>
        <w:t>habitantes, la de 2013 fue la más baja del periodo con 29,04; el promedio de los últimos veinte años ha sido de 55,13, ambas muy por encima de la tasa epidémica considerada por la Organización Mundial de la Salud de 10 homicidios por cada 100.000 habitantes</w:t>
      </w:r>
      <w:r w:rsidRPr="000C0AFD">
        <w:rPr>
          <w:rStyle w:val="Refdenotaalpie"/>
          <w:rFonts w:ascii="Verdana" w:hAnsi="Verdana"/>
          <w:sz w:val="20"/>
          <w:szCs w:val="20"/>
        </w:rPr>
        <w:footnoteReference w:id="2"/>
      </w:r>
      <w:r w:rsidRPr="000C0AFD">
        <w:rPr>
          <w:rFonts w:ascii="Verdana" w:hAnsi="Verdana"/>
          <w:sz w:val="20"/>
          <w:szCs w:val="20"/>
        </w:rPr>
        <w:t>.</w:t>
      </w:r>
    </w:p>
    <w:tbl>
      <w:tblPr>
        <w:tblW w:w="2620" w:type="dxa"/>
        <w:jc w:val="center"/>
        <w:tblLook w:val="04A0" w:firstRow="1" w:lastRow="0" w:firstColumn="1" w:lastColumn="0" w:noHBand="0" w:noVBand="1"/>
      </w:tblPr>
      <w:tblGrid>
        <w:gridCol w:w="1245"/>
        <w:gridCol w:w="739"/>
        <w:gridCol w:w="1052"/>
      </w:tblGrid>
      <w:tr w:rsidR="00760ED0" w:rsidRPr="000C0AFD" w14:paraId="5E381466" w14:textId="77777777" w:rsidTr="00430955">
        <w:trPr>
          <w:trHeight w:val="645"/>
          <w:jc w:val="center"/>
        </w:trPr>
        <w:tc>
          <w:tcPr>
            <w:tcW w:w="26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8757C8D" w14:textId="77777777" w:rsidR="00760ED0" w:rsidRPr="000C0AFD" w:rsidRDefault="00760ED0" w:rsidP="000C0AFD">
            <w:pPr>
              <w:spacing w:line="360" w:lineRule="auto"/>
              <w:ind w:left="0"/>
              <w:jc w:val="center"/>
              <w:rPr>
                <w:rFonts w:ascii="Verdana" w:eastAsia="Times New Roman" w:hAnsi="Verdana"/>
                <w:b/>
                <w:bCs/>
                <w:sz w:val="20"/>
                <w:szCs w:val="20"/>
                <w:lang w:eastAsia="en-US"/>
              </w:rPr>
            </w:pPr>
            <w:r w:rsidRPr="000C0AFD">
              <w:rPr>
                <w:rFonts w:ascii="Verdana" w:eastAsia="Times New Roman" w:hAnsi="Verdana"/>
                <w:b/>
                <w:bCs/>
                <w:sz w:val="20"/>
                <w:szCs w:val="20"/>
                <w:lang w:eastAsia="en-US"/>
              </w:rPr>
              <w:t>Homicidios según la ONUDD, por región, 2017</w:t>
            </w:r>
          </w:p>
        </w:tc>
      </w:tr>
      <w:tr w:rsidR="00760ED0" w:rsidRPr="000C0AFD" w14:paraId="1CBF4298"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28736B77" w14:textId="77777777" w:rsidR="00760ED0" w:rsidRPr="000C0AFD" w:rsidRDefault="00760ED0" w:rsidP="000C0AFD">
            <w:pPr>
              <w:spacing w:line="360" w:lineRule="auto"/>
              <w:ind w:left="0"/>
              <w:jc w:val="center"/>
              <w:rPr>
                <w:rFonts w:ascii="Verdana" w:eastAsia="Times New Roman" w:hAnsi="Verdana"/>
                <w:b/>
                <w:bCs/>
                <w:sz w:val="20"/>
                <w:szCs w:val="20"/>
                <w:lang w:eastAsia="en-US"/>
              </w:rPr>
            </w:pPr>
            <w:r w:rsidRPr="000C0AFD">
              <w:rPr>
                <w:rFonts w:ascii="Verdana" w:eastAsia="Times New Roman" w:hAnsi="Verdana"/>
                <w:b/>
                <w:bCs/>
                <w:sz w:val="20"/>
                <w:szCs w:val="20"/>
                <w:lang w:eastAsia="en-US"/>
              </w:rPr>
              <w:t>Regiones</w:t>
            </w:r>
          </w:p>
        </w:tc>
        <w:tc>
          <w:tcPr>
            <w:tcW w:w="620" w:type="dxa"/>
            <w:tcBorders>
              <w:top w:val="nil"/>
              <w:left w:val="nil"/>
              <w:bottom w:val="single" w:sz="4" w:space="0" w:color="auto"/>
              <w:right w:val="single" w:sz="4" w:space="0" w:color="auto"/>
            </w:tcBorders>
            <w:shd w:val="clear" w:color="000000" w:fill="FFFFFF"/>
            <w:vAlign w:val="center"/>
            <w:hideMark/>
          </w:tcPr>
          <w:p w14:paraId="6EEE88F9" w14:textId="77777777" w:rsidR="00760ED0" w:rsidRPr="000C0AFD" w:rsidRDefault="00760ED0" w:rsidP="000C0AFD">
            <w:pPr>
              <w:spacing w:line="360" w:lineRule="auto"/>
              <w:ind w:left="0"/>
              <w:jc w:val="center"/>
              <w:rPr>
                <w:rFonts w:ascii="Verdana" w:eastAsia="Times New Roman" w:hAnsi="Verdana"/>
                <w:b/>
                <w:bCs/>
                <w:sz w:val="20"/>
                <w:szCs w:val="20"/>
                <w:lang w:eastAsia="en-US"/>
              </w:rPr>
            </w:pPr>
            <w:r w:rsidRPr="000C0AFD">
              <w:rPr>
                <w:rFonts w:ascii="Verdana" w:eastAsia="Times New Roman" w:hAnsi="Verdana"/>
                <w:b/>
                <w:bCs/>
                <w:sz w:val="20"/>
                <w:szCs w:val="20"/>
                <w:lang w:eastAsia="en-US"/>
              </w:rPr>
              <w:t>Tasa</w:t>
            </w:r>
          </w:p>
        </w:tc>
        <w:tc>
          <w:tcPr>
            <w:tcW w:w="920" w:type="dxa"/>
            <w:tcBorders>
              <w:top w:val="nil"/>
              <w:left w:val="nil"/>
              <w:bottom w:val="single" w:sz="4" w:space="0" w:color="auto"/>
              <w:right w:val="single" w:sz="4" w:space="0" w:color="auto"/>
            </w:tcBorders>
            <w:shd w:val="clear" w:color="000000" w:fill="FFFFFF"/>
            <w:vAlign w:val="center"/>
            <w:hideMark/>
          </w:tcPr>
          <w:p w14:paraId="5009A301" w14:textId="77777777" w:rsidR="00760ED0" w:rsidRPr="000C0AFD" w:rsidRDefault="00760ED0" w:rsidP="000C0AFD">
            <w:pPr>
              <w:spacing w:line="360" w:lineRule="auto"/>
              <w:ind w:left="0"/>
              <w:jc w:val="center"/>
              <w:rPr>
                <w:rFonts w:ascii="Verdana" w:eastAsia="Times New Roman" w:hAnsi="Verdana"/>
                <w:b/>
                <w:bCs/>
                <w:sz w:val="20"/>
                <w:szCs w:val="20"/>
                <w:lang w:eastAsia="en-US"/>
              </w:rPr>
            </w:pPr>
            <w:r w:rsidRPr="000C0AFD">
              <w:rPr>
                <w:rFonts w:ascii="Verdana" w:eastAsia="Times New Roman" w:hAnsi="Verdana"/>
                <w:b/>
                <w:bCs/>
                <w:sz w:val="20"/>
                <w:szCs w:val="20"/>
                <w:lang w:eastAsia="en-US"/>
              </w:rPr>
              <w:t>Conteo</w:t>
            </w:r>
          </w:p>
        </w:tc>
      </w:tr>
      <w:tr w:rsidR="00760ED0" w:rsidRPr="000C0AFD" w14:paraId="57A90C1C"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6A83E7"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América</w:t>
            </w:r>
          </w:p>
        </w:tc>
        <w:tc>
          <w:tcPr>
            <w:tcW w:w="620" w:type="dxa"/>
            <w:tcBorders>
              <w:top w:val="nil"/>
              <w:left w:val="nil"/>
              <w:bottom w:val="single" w:sz="4" w:space="0" w:color="auto"/>
              <w:right w:val="single" w:sz="4" w:space="0" w:color="auto"/>
            </w:tcBorders>
            <w:shd w:val="clear" w:color="000000" w:fill="FFFFFF"/>
            <w:vAlign w:val="center"/>
            <w:hideMark/>
          </w:tcPr>
          <w:p w14:paraId="41532815"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17,2</w:t>
            </w:r>
          </w:p>
        </w:tc>
        <w:tc>
          <w:tcPr>
            <w:tcW w:w="920" w:type="dxa"/>
            <w:tcBorders>
              <w:top w:val="nil"/>
              <w:left w:val="nil"/>
              <w:bottom w:val="single" w:sz="4" w:space="0" w:color="auto"/>
              <w:right w:val="single" w:sz="4" w:space="0" w:color="auto"/>
            </w:tcBorders>
            <w:shd w:val="clear" w:color="000000" w:fill="FFFFFF"/>
            <w:vAlign w:val="center"/>
            <w:hideMark/>
          </w:tcPr>
          <w:p w14:paraId="2E358E83"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173,471</w:t>
            </w:r>
          </w:p>
        </w:tc>
      </w:tr>
      <w:tr w:rsidR="00760ED0" w:rsidRPr="000C0AFD" w14:paraId="1583104F"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4263D2"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África</w:t>
            </w:r>
          </w:p>
        </w:tc>
        <w:tc>
          <w:tcPr>
            <w:tcW w:w="620" w:type="dxa"/>
            <w:tcBorders>
              <w:top w:val="nil"/>
              <w:left w:val="nil"/>
              <w:bottom w:val="single" w:sz="4" w:space="0" w:color="auto"/>
              <w:right w:val="single" w:sz="4" w:space="0" w:color="auto"/>
            </w:tcBorders>
            <w:shd w:val="clear" w:color="000000" w:fill="FFFFFF"/>
            <w:vAlign w:val="center"/>
            <w:hideMark/>
          </w:tcPr>
          <w:p w14:paraId="0CFC1402"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13</w:t>
            </w:r>
          </w:p>
        </w:tc>
        <w:tc>
          <w:tcPr>
            <w:tcW w:w="920" w:type="dxa"/>
            <w:tcBorders>
              <w:top w:val="nil"/>
              <w:left w:val="nil"/>
              <w:bottom w:val="single" w:sz="4" w:space="0" w:color="auto"/>
              <w:right w:val="single" w:sz="4" w:space="0" w:color="auto"/>
            </w:tcBorders>
            <w:shd w:val="clear" w:color="000000" w:fill="FFFFFF"/>
            <w:vAlign w:val="center"/>
            <w:hideMark/>
          </w:tcPr>
          <w:p w14:paraId="3D98445A"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162,727</w:t>
            </w:r>
          </w:p>
        </w:tc>
      </w:tr>
      <w:tr w:rsidR="00760ED0" w:rsidRPr="000C0AFD" w14:paraId="558DCEF5"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15517B"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 Asia</w:t>
            </w:r>
          </w:p>
        </w:tc>
        <w:tc>
          <w:tcPr>
            <w:tcW w:w="620" w:type="dxa"/>
            <w:tcBorders>
              <w:top w:val="nil"/>
              <w:left w:val="nil"/>
              <w:bottom w:val="single" w:sz="4" w:space="0" w:color="auto"/>
              <w:right w:val="single" w:sz="4" w:space="0" w:color="auto"/>
            </w:tcBorders>
            <w:shd w:val="clear" w:color="000000" w:fill="FFFFFF"/>
            <w:vAlign w:val="center"/>
            <w:hideMark/>
          </w:tcPr>
          <w:p w14:paraId="2CE3D106"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2,3</w:t>
            </w:r>
          </w:p>
        </w:tc>
        <w:tc>
          <w:tcPr>
            <w:tcW w:w="920" w:type="dxa"/>
            <w:tcBorders>
              <w:top w:val="nil"/>
              <w:left w:val="nil"/>
              <w:bottom w:val="single" w:sz="4" w:space="0" w:color="auto"/>
              <w:right w:val="single" w:sz="4" w:space="0" w:color="auto"/>
            </w:tcBorders>
            <w:shd w:val="clear" w:color="000000" w:fill="FFFFFF"/>
            <w:vAlign w:val="center"/>
            <w:hideMark/>
          </w:tcPr>
          <w:p w14:paraId="3AD697E4"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104,456</w:t>
            </w:r>
          </w:p>
        </w:tc>
      </w:tr>
      <w:tr w:rsidR="00760ED0" w:rsidRPr="000C0AFD" w14:paraId="1AEA1B05"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4971A2"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Europa</w:t>
            </w:r>
          </w:p>
        </w:tc>
        <w:tc>
          <w:tcPr>
            <w:tcW w:w="620" w:type="dxa"/>
            <w:tcBorders>
              <w:top w:val="nil"/>
              <w:left w:val="nil"/>
              <w:bottom w:val="single" w:sz="4" w:space="0" w:color="auto"/>
              <w:right w:val="single" w:sz="4" w:space="0" w:color="auto"/>
            </w:tcBorders>
            <w:shd w:val="clear" w:color="000000" w:fill="FFFFFF"/>
            <w:vAlign w:val="center"/>
            <w:hideMark/>
          </w:tcPr>
          <w:p w14:paraId="68992B84"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3</w:t>
            </w:r>
          </w:p>
        </w:tc>
        <w:tc>
          <w:tcPr>
            <w:tcW w:w="920" w:type="dxa"/>
            <w:tcBorders>
              <w:top w:val="nil"/>
              <w:left w:val="nil"/>
              <w:bottom w:val="single" w:sz="4" w:space="0" w:color="auto"/>
              <w:right w:val="single" w:sz="4" w:space="0" w:color="auto"/>
            </w:tcBorders>
            <w:shd w:val="clear" w:color="000000" w:fill="FFFFFF"/>
            <w:vAlign w:val="center"/>
            <w:hideMark/>
          </w:tcPr>
          <w:p w14:paraId="572754B9"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22,009</w:t>
            </w:r>
          </w:p>
        </w:tc>
      </w:tr>
      <w:tr w:rsidR="00760ED0" w:rsidRPr="000C0AFD" w14:paraId="2F838A0E"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1B522E"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Oceanía</w:t>
            </w:r>
          </w:p>
        </w:tc>
        <w:tc>
          <w:tcPr>
            <w:tcW w:w="620" w:type="dxa"/>
            <w:tcBorders>
              <w:top w:val="nil"/>
              <w:left w:val="nil"/>
              <w:bottom w:val="single" w:sz="4" w:space="0" w:color="auto"/>
              <w:right w:val="single" w:sz="4" w:space="0" w:color="auto"/>
            </w:tcBorders>
            <w:shd w:val="clear" w:color="000000" w:fill="FFFFFF"/>
            <w:vAlign w:val="center"/>
            <w:hideMark/>
          </w:tcPr>
          <w:p w14:paraId="0D2C6D81"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2,8</w:t>
            </w:r>
          </w:p>
        </w:tc>
        <w:tc>
          <w:tcPr>
            <w:tcW w:w="920" w:type="dxa"/>
            <w:tcBorders>
              <w:top w:val="nil"/>
              <w:left w:val="nil"/>
              <w:bottom w:val="single" w:sz="4" w:space="0" w:color="auto"/>
              <w:right w:val="single" w:sz="4" w:space="0" w:color="auto"/>
            </w:tcBorders>
            <w:shd w:val="clear" w:color="000000" w:fill="FFFFFF"/>
            <w:vAlign w:val="center"/>
            <w:hideMark/>
          </w:tcPr>
          <w:p w14:paraId="7C71A994"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1,157</w:t>
            </w:r>
          </w:p>
        </w:tc>
      </w:tr>
      <w:tr w:rsidR="00760ED0" w:rsidRPr="000C0AFD" w14:paraId="611CF641" w14:textId="77777777" w:rsidTr="00430955">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53F527"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Mundo</w:t>
            </w:r>
          </w:p>
        </w:tc>
        <w:tc>
          <w:tcPr>
            <w:tcW w:w="620" w:type="dxa"/>
            <w:tcBorders>
              <w:top w:val="nil"/>
              <w:left w:val="nil"/>
              <w:bottom w:val="single" w:sz="4" w:space="0" w:color="auto"/>
              <w:right w:val="single" w:sz="4" w:space="0" w:color="auto"/>
            </w:tcBorders>
            <w:shd w:val="clear" w:color="000000" w:fill="FFFFFF"/>
            <w:vAlign w:val="center"/>
            <w:hideMark/>
          </w:tcPr>
          <w:p w14:paraId="03F0D09C"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6,1</w:t>
            </w:r>
          </w:p>
        </w:tc>
        <w:tc>
          <w:tcPr>
            <w:tcW w:w="920" w:type="dxa"/>
            <w:tcBorders>
              <w:top w:val="nil"/>
              <w:left w:val="nil"/>
              <w:bottom w:val="single" w:sz="4" w:space="0" w:color="auto"/>
              <w:right w:val="single" w:sz="4" w:space="0" w:color="auto"/>
            </w:tcBorders>
            <w:shd w:val="clear" w:color="000000" w:fill="FFFFFF"/>
            <w:vAlign w:val="center"/>
            <w:hideMark/>
          </w:tcPr>
          <w:p w14:paraId="487F9251" w14:textId="77777777" w:rsidR="00760ED0" w:rsidRPr="000C0AFD" w:rsidRDefault="00760ED0" w:rsidP="000C0AFD">
            <w:pPr>
              <w:spacing w:line="360" w:lineRule="auto"/>
              <w:ind w:left="0"/>
              <w:jc w:val="center"/>
              <w:rPr>
                <w:rFonts w:ascii="Verdana" w:eastAsia="Times New Roman" w:hAnsi="Verdana"/>
                <w:sz w:val="20"/>
                <w:szCs w:val="20"/>
                <w:lang w:eastAsia="en-US"/>
              </w:rPr>
            </w:pPr>
            <w:r w:rsidRPr="000C0AFD">
              <w:rPr>
                <w:rFonts w:ascii="Verdana" w:eastAsia="Times New Roman" w:hAnsi="Verdana"/>
                <w:sz w:val="20"/>
                <w:szCs w:val="20"/>
                <w:lang w:eastAsia="en-US"/>
              </w:rPr>
              <w:t>463,821</w:t>
            </w:r>
          </w:p>
        </w:tc>
      </w:tr>
    </w:tbl>
    <w:p w14:paraId="2F200ABC"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La violencia, y en especial la ocasionada con armas de fuego se encuentra directamente vinculada a dificultades para gobernar, al igual que se encuentra asociada a bajos niveles de desarrollo económico, altos costos para el sistema de salud de los países, el penitenciario y judicial y falta de cohesión en el tejido social</w:t>
      </w:r>
      <w:r w:rsidRPr="000C0AFD">
        <w:rPr>
          <w:rStyle w:val="Refdenotaalpie"/>
          <w:rFonts w:ascii="Verdana" w:hAnsi="Verdana"/>
          <w:sz w:val="20"/>
          <w:szCs w:val="20"/>
        </w:rPr>
        <w:footnoteReference w:id="3"/>
      </w:r>
      <w:r w:rsidRPr="000C0AFD">
        <w:rPr>
          <w:rFonts w:ascii="Verdana" w:hAnsi="Verdana"/>
          <w:sz w:val="20"/>
          <w:szCs w:val="20"/>
        </w:rPr>
        <w:t xml:space="preserve">. </w:t>
      </w:r>
    </w:p>
    <w:p w14:paraId="7B489015"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Esta situación se puede ver reflejada en la situación sociopolítica de países como Sudán, El Congo, Colombia y más recientemente Venezuela, que debido a los altos niveles de violencia armada han sido considerados en algún punto de su historia reciente cómo Estados Fallidos.</w:t>
      </w:r>
    </w:p>
    <w:p w14:paraId="29CC61E7"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La violencia producida por las armas pequeñas y ligeras, en 2017 demostró un drástico aumento del número de muertes violentas en el mundo: aproximadamente 589.000 personas perdieron la vida de forma violenta por esta causa</w:t>
      </w:r>
      <w:r w:rsidRPr="000C0AFD">
        <w:rPr>
          <w:rStyle w:val="Refdenotaalpie"/>
          <w:rFonts w:ascii="Verdana" w:hAnsi="Verdana"/>
          <w:sz w:val="20"/>
          <w:szCs w:val="20"/>
        </w:rPr>
        <w:footnoteReference w:id="4"/>
      </w:r>
      <w:r w:rsidRPr="000C0AFD">
        <w:rPr>
          <w:rFonts w:ascii="Verdana" w:hAnsi="Verdana"/>
          <w:sz w:val="20"/>
          <w:szCs w:val="20"/>
        </w:rPr>
        <w:t xml:space="preserve">, es decir, cerca del 0,0076% de la población mundial muere por una misma causa. Ante esa situación, los Estados, en los últimos años, han empezado a reconocerle una dimensión global a </w:t>
      </w:r>
      <w:r w:rsidRPr="000C0AFD">
        <w:rPr>
          <w:rFonts w:ascii="Verdana" w:hAnsi="Verdana"/>
          <w:sz w:val="20"/>
          <w:szCs w:val="20"/>
        </w:rPr>
        <w:lastRenderedPageBreak/>
        <w:t>la problemática de las armas de fuego, para que se permita regular tanto a los compradores como a los vendedores de ese tipo de armas.</w:t>
      </w:r>
    </w:p>
    <w:p w14:paraId="20D4A087" w14:textId="77777777" w:rsidR="00760ED0" w:rsidRPr="000C0AFD" w:rsidRDefault="00760ED0" w:rsidP="000C0AFD">
      <w:pPr>
        <w:spacing w:before="240" w:after="240" w:line="360" w:lineRule="auto"/>
        <w:ind w:left="0" w:firstLine="567"/>
        <w:rPr>
          <w:rFonts w:ascii="Verdana" w:hAnsi="Verdana"/>
          <w:sz w:val="20"/>
          <w:szCs w:val="20"/>
        </w:rPr>
      </w:pPr>
    </w:p>
    <w:p w14:paraId="181F2B12"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noProof/>
          <w:sz w:val="20"/>
          <w:szCs w:val="20"/>
        </w:rPr>
        <w:drawing>
          <wp:inline distT="0" distB="0" distL="0" distR="0" wp14:anchorId="7307207F" wp14:editId="73769CF2">
            <wp:extent cx="5514975" cy="4469863"/>
            <wp:effectExtent l="0" t="0" r="0" b="6985"/>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8"/>
                    <a:srcRect l="20197" t="6944" r="21589" b="9136"/>
                    <a:stretch/>
                  </pic:blipFill>
                  <pic:spPr bwMode="auto">
                    <a:xfrm>
                      <a:off x="0" y="0"/>
                      <a:ext cx="5523062" cy="4476417"/>
                    </a:xfrm>
                    <a:prstGeom prst="rect">
                      <a:avLst/>
                    </a:prstGeom>
                    <a:ln>
                      <a:noFill/>
                    </a:ln>
                    <a:extLst>
                      <a:ext uri="{53640926-AAD7-44D8-BBD7-CCE9431645EC}">
                        <a14:shadowObscured xmlns:a14="http://schemas.microsoft.com/office/drawing/2010/main"/>
                      </a:ext>
                    </a:extLst>
                  </pic:spPr>
                </pic:pic>
              </a:graphicData>
            </a:graphic>
          </wp:inline>
        </w:drawing>
      </w:r>
    </w:p>
    <w:p w14:paraId="7EC404B6"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De acuerdo con el Global Peace Index del 2019, Colombia parece en el puesto 143 de países con más muertes por armas de fuego, superado por varios Estados Fallidos y países con una grave crisis humanitaria internacional, es decir que solo lo superan 20 países, haciendo de este país uno de los más violentos del mundo.</w:t>
      </w:r>
    </w:p>
    <w:p w14:paraId="40F5BCA4"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noProof/>
          <w:sz w:val="20"/>
          <w:szCs w:val="20"/>
        </w:rPr>
        <w:lastRenderedPageBreak/>
        <mc:AlternateContent>
          <mc:Choice Requires="wps">
            <w:drawing>
              <wp:anchor distT="0" distB="0" distL="114300" distR="114300" simplePos="0" relativeHeight="251659264" behindDoc="0" locked="0" layoutInCell="1" allowOverlap="1" wp14:anchorId="286FF703" wp14:editId="6A63F4BF">
                <wp:simplePos x="0" y="0"/>
                <wp:positionH relativeFrom="column">
                  <wp:posOffset>3987165</wp:posOffset>
                </wp:positionH>
                <wp:positionV relativeFrom="paragraph">
                  <wp:posOffset>392430</wp:posOffset>
                </wp:positionV>
                <wp:extent cx="1428750" cy="1428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1428750" cy="142875"/>
                        </a:xfrm>
                        <a:prstGeom prst="rect">
                          <a:avLst/>
                        </a:prstGeom>
                        <a:noFill/>
                        <a:ln>
                          <a:solidFill>
                            <a:schemeClr val="accent2"/>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21A9A" id="Rectángulo 5" o:spid="_x0000_s1026" style="position:absolute;margin-left:313.95pt;margin-top:30.9pt;width:11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" filled="f" strokecolor="#ed7d31 [3205]"/>
            </w:pict>
          </mc:Fallback>
        </mc:AlternateContent>
      </w:r>
      <w:r w:rsidRPr="000C0AFD">
        <w:rPr>
          <w:rFonts w:ascii="Verdana" w:hAnsi="Verdana"/>
          <w:noProof/>
          <w:sz w:val="20"/>
          <w:szCs w:val="20"/>
        </w:rPr>
        <w:drawing>
          <wp:inline distT="0" distB="0" distL="0" distR="0" wp14:anchorId="17B1283E" wp14:editId="026198BC">
            <wp:extent cx="5495925" cy="3181851"/>
            <wp:effectExtent l="0" t="0" r="0"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9"/>
                    <a:srcRect l="13069" t="12678" r="12763" b="10949"/>
                    <a:stretch/>
                  </pic:blipFill>
                  <pic:spPr bwMode="auto">
                    <a:xfrm>
                      <a:off x="0" y="0"/>
                      <a:ext cx="5508039" cy="3188864"/>
                    </a:xfrm>
                    <a:prstGeom prst="rect">
                      <a:avLst/>
                    </a:prstGeom>
                    <a:ln>
                      <a:noFill/>
                    </a:ln>
                    <a:extLst>
                      <a:ext uri="{53640926-AAD7-44D8-BBD7-CCE9431645EC}">
                        <a14:shadowObscured xmlns:a14="http://schemas.microsoft.com/office/drawing/2010/main"/>
                      </a:ext>
                    </a:extLst>
                  </pic:spPr>
                </pic:pic>
              </a:graphicData>
            </a:graphic>
          </wp:inline>
        </w:drawing>
      </w:r>
    </w:p>
    <w:p w14:paraId="2E52C99A"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Para el año 2020, Colombia se ubicó en el puesto 140, una leve mejoría que puede verse impulsada por las medidas restrictivas que se promovieron con ocasión a la pandemia, por lo que la expectativa es que para este año el país nuevamente ocupe un puesto un poco más elevado en materia de inseguridad.</w:t>
      </w:r>
    </w:p>
    <w:p w14:paraId="390CF39C"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noProof/>
          <w:sz w:val="20"/>
          <w:szCs w:val="20"/>
        </w:rPr>
        <w:drawing>
          <wp:inline distT="0" distB="0" distL="0" distR="0" wp14:anchorId="752D1F56" wp14:editId="5F182B8A">
            <wp:extent cx="4924425" cy="2830317"/>
            <wp:effectExtent l="0" t="0" r="0" b="8255"/>
            <wp:docPr id="8" name="Imagen 8"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ptura de pantalla de computadora&#10;&#10;Descripción generada automáticamente"/>
                    <pic:cNvPicPr/>
                  </pic:nvPicPr>
                  <pic:blipFill rotWithShape="1">
                    <a:blip r:embed="rId10"/>
                    <a:srcRect l="24610" t="35017" r="24304" b="12759"/>
                    <a:stretch/>
                  </pic:blipFill>
                  <pic:spPr bwMode="auto">
                    <a:xfrm>
                      <a:off x="0" y="0"/>
                      <a:ext cx="4935020" cy="2836406"/>
                    </a:xfrm>
                    <a:prstGeom prst="rect">
                      <a:avLst/>
                    </a:prstGeom>
                    <a:ln>
                      <a:noFill/>
                    </a:ln>
                    <a:extLst>
                      <a:ext uri="{53640926-AAD7-44D8-BBD7-CCE9431645EC}">
                        <a14:shadowObscured xmlns:a14="http://schemas.microsoft.com/office/drawing/2010/main"/>
                      </a:ext>
                    </a:extLst>
                  </pic:spPr>
                </pic:pic>
              </a:graphicData>
            </a:graphic>
          </wp:inline>
        </w:drawing>
      </w:r>
    </w:p>
    <w:p w14:paraId="40EA7945" w14:textId="77777777" w:rsidR="00760ED0" w:rsidRPr="000C0AFD" w:rsidRDefault="00760ED0" w:rsidP="000C0AFD">
      <w:pPr>
        <w:spacing w:before="240" w:after="240" w:line="360" w:lineRule="auto"/>
        <w:ind w:left="0"/>
        <w:rPr>
          <w:rFonts w:ascii="Verdana" w:hAnsi="Verdana"/>
          <w:b/>
          <w:sz w:val="20"/>
          <w:szCs w:val="20"/>
        </w:rPr>
      </w:pPr>
      <w:r w:rsidRPr="000C0AFD">
        <w:rPr>
          <w:rFonts w:ascii="Verdana" w:hAnsi="Verdana"/>
          <w:b/>
          <w:sz w:val="20"/>
          <w:szCs w:val="20"/>
        </w:rPr>
        <w:t>Situación en Colombia</w:t>
      </w:r>
    </w:p>
    <w:p w14:paraId="7E3B1E7C"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lastRenderedPageBreak/>
        <w:t>Si bien, al menos en teoría, el Estado es el único que posee el monopolio de las armas de fuego, las cifras existentes indican que armas legales que son un total de 706.210 son armas con en posesión de civiles con algún tipo de registro</w:t>
      </w:r>
      <w:r w:rsidRPr="000C0AFD">
        <w:rPr>
          <w:rStyle w:val="Refdenotaalpie"/>
          <w:rFonts w:ascii="Verdana" w:hAnsi="Verdana"/>
          <w:sz w:val="20"/>
          <w:szCs w:val="20"/>
        </w:rPr>
        <w:footnoteReference w:id="5"/>
      </w:r>
      <w:r w:rsidRPr="000C0AFD">
        <w:rPr>
          <w:rFonts w:ascii="Verdana" w:hAnsi="Verdana"/>
          <w:sz w:val="20"/>
          <w:szCs w:val="20"/>
        </w:rPr>
        <w:t>, aunque para el estudio de Small Arms Survey</w:t>
      </w:r>
      <w:r w:rsidRPr="000C0AFD">
        <w:rPr>
          <w:rStyle w:val="Refdenotaalpie"/>
          <w:rFonts w:ascii="Verdana" w:hAnsi="Verdana"/>
          <w:sz w:val="20"/>
          <w:szCs w:val="20"/>
        </w:rPr>
        <w:footnoteReference w:id="6"/>
      </w:r>
      <w:r w:rsidRPr="000C0AFD">
        <w:rPr>
          <w:rFonts w:ascii="Verdana" w:hAnsi="Verdana"/>
          <w:sz w:val="20"/>
          <w:szCs w:val="20"/>
        </w:rPr>
        <w:t>, para el caso de Colombia, existen en manos de civiles 4.971.000 armas; es decir, casi que por cada diez habitantes del Estado Colombiano, uno tiene un arma de fuego, con o sin salvoconducto. A pesar de esto, el Estado no maneja una estadística real sobre la posesión ilegal de Armas de Fuego.</w:t>
      </w:r>
    </w:p>
    <w:tbl>
      <w:tblPr>
        <w:tblW w:w="5000" w:type="pct"/>
        <w:tblCellMar>
          <w:left w:w="70" w:type="dxa"/>
          <w:right w:w="70" w:type="dxa"/>
        </w:tblCellMar>
        <w:tblLook w:val="04A0" w:firstRow="1" w:lastRow="0" w:firstColumn="1" w:lastColumn="0" w:noHBand="0" w:noVBand="1"/>
      </w:tblPr>
      <w:tblGrid>
        <w:gridCol w:w="2035"/>
        <w:gridCol w:w="953"/>
        <w:gridCol w:w="954"/>
        <w:gridCol w:w="954"/>
        <w:gridCol w:w="954"/>
        <w:gridCol w:w="954"/>
        <w:gridCol w:w="954"/>
        <w:gridCol w:w="954"/>
      </w:tblGrid>
      <w:tr w:rsidR="00760ED0" w:rsidRPr="000C0AFD" w14:paraId="481EA4EE" w14:textId="77777777" w:rsidTr="00430955">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0D73C2" w14:textId="77777777" w:rsidR="00760ED0" w:rsidRPr="000C0AFD" w:rsidRDefault="00760ED0" w:rsidP="000C0AFD">
            <w:pPr>
              <w:spacing w:line="360" w:lineRule="auto"/>
              <w:ind w:left="0"/>
              <w:jc w:val="center"/>
              <w:rPr>
                <w:rFonts w:ascii="Verdana" w:eastAsia="Times New Roman" w:hAnsi="Verdana"/>
                <w:b/>
                <w:bCs/>
                <w:color w:val="000000"/>
                <w:sz w:val="20"/>
                <w:szCs w:val="20"/>
              </w:rPr>
            </w:pPr>
            <w:r w:rsidRPr="000C0AFD">
              <w:rPr>
                <w:rFonts w:ascii="Verdana" w:eastAsia="Times New Roman" w:hAnsi="Verdana"/>
                <w:b/>
                <w:bCs/>
                <w:color w:val="000000"/>
                <w:sz w:val="20"/>
                <w:szCs w:val="20"/>
              </w:rPr>
              <w:t>Delitos cometidos con armas de fuego</w:t>
            </w:r>
          </w:p>
        </w:tc>
      </w:tr>
      <w:tr w:rsidR="00760ED0" w:rsidRPr="000C0AFD" w14:paraId="74F59FF2" w14:textId="77777777" w:rsidTr="00430955">
        <w:trPr>
          <w:trHeight w:val="315"/>
        </w:trPr>
        <w:tc>
          <w:tcPr>
            <w:tcW w:w="1233" w:type="pct"/>
            <w:tcBorders>
              <w:top w:val="nil"/>
              <w:left w:val="single" w:sz="8" w:space="0" w:color="auto"/>
              <w:bottom w:val="single" w:sz="8" w:space="0" w:color="auto"/>
              <w:right w:val="single" w:sz="8" w:space="0" w:color="auto"/>
            </w:tcBorders>
            <w:shd w:val="clear" w:color="auto" w:fill="auto"/>
            <w:noWrap/>
            <w:vAlign w:val="center"/>
            <w:hideMark/>
          </w:tcPr>
          <w:p w14:paraId="5AAA14ED"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Año</w:t>
            </w:r>
          </w:p>
        </w:tc>
        <w:tc>
          <w:tcPr>
            <w:tcW w:w="538" w:type="pct"/>
            <w:tcBorders>
              <w:top w:val="nil"/>
              <w:left w:val="nil"/>
              <w:bottom w:val="single" w:sz="8" w:space="0" w:color="auto"/>
              <w:right w:val="single" w:sz="8" w:space="0" w:color="auto"/>
            </w:tcBorders>
            <w:shd w:val="clear" w:color="auto" w:fill="auto"/>
            <w:noWrap/>
            <w:vAlign w:val="center"/>
            <w:hideMark/>
          </w:tcPr>
          <w:p w14:paraId="49F1B977"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2021</w:t>
            </w:r>
            <w:r w:rsidRPr="000C0AFD">
              <w:rPr>
                <w:rStyle w:val="Refdenotaalpie"/>
                <w:rFonts w:ascii="Verdana" w:eastAsia="Times New Roman" w:hAnsi="Verdana"/>
                <w:color w:val="000000"/>
                <w:sz w:val="20"/>
                <w:szCs w:val="20"/>
              </w:rPr>
              <w:footnoteReference w:id="7"/>
            </w:r>
          </w:p>
        </w:tc>
        <w:tc>
          <w:tcPr>
            <w:tcW w:w="538" w:type="pct"/>
            <w:tcBorders>
              <w:top w:val="nil"/>
              <w:left w:val="nil"/>
              <w:bottom w:val="single" w:sz="8" w:space="0" w:color="auto"/>
              <w:right w:val="single" w:sz="8" w:space="0" w:color="auto"/>
            </w:tcBorders>
            <w:shd w:val="clear" w:color="auto" w:fill="auto"/>
            <w:noWrap/>
            <w:vAlign w:val="center"/>
            <w:hideMark/>
          </w:tcPr>
          <w:p w14:paraId="5964DD40"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2020</w:t>
            </w:r>
          </w:p>
        </w:tc>
        <w:tc>
          <w:tcPr>
            <w:tcW w:w="538" w:type="pct"/>
            <w:tcBorders>
              <w:top w:val="nil"/>
              <w:left w:val="nil"/>
              <w:bottom w:val="single" w:sz="8" w:space="0" w:color="auto"/>
              <w:right w:val="single" w:sz="8" w:space="0" w:color="auto"/>
            </w:tcBorders>
            <w:shd w:val="clear" w:color="auto" w:fill="auto"/>
            <w:noWrap/>
            <w:vAlign w:val="center"/>
            <w:hideMark/>
          </w:tcPr>
          <w:p w14:paraId="0D88C3FC"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2019</w:t>
            </w:r>
          </w:p>
        </w:tc>
        <w:tc>
          <w:tcPr>
            <w:tcW w:w="538" w:type="pct"/>
            <w:tcBorders>
              <w:top w:val="nil"/>
              <w:left w:val="nil"/>
              <w:bottom w:val="single" w:sz="8" w:space="0" w:color="auto"/>
              <w:right w:val="single" w:sz="8" w:space="0" w:color="auto"/>
            </w:tcBorders>
            <w:shd w:val="clear" w:color="auto" w:fill="auto"/>
            <w:noWrap/>
            <w:vAlign w:val="center"/>
            <w:hideMark/>
          </w:tcPr>
          <w:p w14:paraId="52D344F5"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2018</w:t>
            </w:r>
          </w:p>
        </w:tc>
        <w:tc>
          <w:tcPr>
            <w:tcW w:w="538" w:type="pct"/>
            <w:tcBorders>
              <w:top w:val="nil"/>
              <w:left w:val="nil"/>
              <w:bottom w:val="single" w:sz="8" w:space="0" w:color="auto"/>
              <w:right w:val="single" w:sz="8" w:space="0" w:color="auto"/>
            </w:tcBorders>
            <w:shd w:val="clear" w:color="auto" w:fill="auto"/>
            <w:noWrap/>
            <w:vAlign w:val="center"/>
            <w:hideMark/>
          </w:tcPr>
          <w:p w14:paraId="0E093D81"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2017</w:t>
            </w:r>
          </w:p>
        </w:tc>
        <w:tc>
          <w:tcPr>
            <w:tcW w:w="538" w:type="pct"/>
            <w:tcBorders>
              <w:top w:val="nil"/>
              <w:left w:val="nil"/>
              <w:bottom w:val="single" w:sz="8" w:space="0" w:color="auto"/>
              <w:right w:val="single" w:sz="8" w:space="0" w:color="auto"/>
            </w:tcBorders>
            <w:shd w:val="clear" w:color="auto" w:fill="auto"/>
            <w:noWrap/>
            <w:vAlign w:val="center"/>
            <w:hideMark/>
          </w:tcPr>
          <w:p w14:paraId="138930D1"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2016</w:t>
            </w:r>
          </w:p>
        </w:tc>
        <w:tc>
          <w:tcPr>
            <w:tcW w:w="538" w:type="pct"/>
            <w:tcBorders>
              <w:top w:val="nil"/>
              <w:left w:val="nil"/>
              <w:bottom w:val="single" w:sz="8" w:space="0" w:color="auto"/>
              <w:right w:val="single" w:sz="8" w:space="0" w:color="auto"/>
            </w:tcBorders>
            <w:shd w:val="clear" w:color="auto" w:fill="auto"/>
            <w:noWrap/>
            <w:vAlign w:val="center"/>
            <w:hideMark/>
          </w:tcPr>
          <w:p w14:paraId="11228930"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2015</w:t>
            </w:r>
          </w:p>
        </w:tc>
      </w:tr>
      <w:tr w:rsidR="00760ED0" w:rsidRPr="000C0AFD" w14:paraId="2761ADB4" w14:textId="77777777" w:rsidTr="00430955">
        <w:trPr>
          <w:trHeight w:val="315"/>
        </w:trPr>
        <w:tc>
          <w:tcPr>
            <w:tcW w:w="1233" w:type="pct"/>
            <w:tcBorders>
              <w:top w:val="nil"/>
              <w:left w:val="single" w:sz="8" w:space="0" w:color="auto"/>
              <w:bottom w:val="single" w:sz="8" w:space="0" w:color="auto"/>
              <w:right w:val="single" w:sz="8" w:space="0" w:color="auto"/>
            </w:tcBorders>
            <w:shd w:val="clear" w:color="auto" w:fill="auto"/>
            <w:noWrap/>
            <w:vAlign w:val="center"/>
            <w:hideMark/>
          </w:tcPr>
          <w:p w14:paraId="0E05F8E2"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Homicidios</w:t>
            </w:r>
          </w:p>
        </w:tc>
        <w:tc>
          <w:tcPr>
            <w:tcW w:w="538" w:type="pct"/>
            <w:tcBorders>
              <w:top w:val="nil"/>
              <w:left w:val="nil"/>
              <w:bottom w:val="single" w:sz="8" w:space="0" w:color="auto"/>
              <w:right w:val="single" w:sz="8" w:space="0" w:color="auto"/>
            </w:tcBorders>
            <w:shd w:val="clear" w:color="auto" w:fill="auto"/>
            <w:noWrap/>
            <w:vAlign w:val="center"/>
            <w:hideMark/>
          </w:tcPr>
          <w:p w14:paraId="1629B438"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7.022 </w:t>
            </w:r>
          </w:p>
        </w:tc>
        <w:tc>
          <w:tcPr>
            <w:tcW w:w="538" w:type="pct"/>
            <w:tcBorders>
              <w:top w:val="nil"/>
              <w:left w:val="nil"/>
              <w:bottom w:val="single" w:sz="8" w:space="0" w:color="auto"/>
              <w:right w:val="single" w:sz="8" w:space="0" w:color="auto"/>
            </w:tcBorders>
            <w:shd w:val="clear" w:color="auto" w:fill="auto"/>
            <w:noWrap/>
            <w:vAlign w:val="center"/>
            <w:hideMark/>
          </w:tcPr>
          <w:p w14:paraId="58F39212"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9.063 </w:t>
            </w:r>
          </w:p>
        </w:tc>
        <w:tc>
          <w:tcPr>
            <w:tcW w:w="538" w:type="pct"/>
            <w:tcBorders>
              <w:top w:val="nil"/>
              <w:left w:val="nil"/>
              <w:bottom w:val="single" w:sz="8" w:space="0" w:color="auto"/>
              <w:right w:val="single" w:sz="8" w:space="0" w:color="auto"/>
            </w:tcBorders>
            <w:shd w:val="clear" w:color="auto" w:fill="auto"/>
            <w:noWrap/>
            <w:vAlign w:val="center"/>
            <w:hideMark/>
          </w:tcPr>
          <w:p w14:paraId="1337B28E"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9.131 </w:t>
            </w:r>
          </w:p>
        </w:tc>
        <w:tc>
          <w:tcPr>
            <w:tcW w:w="538" w:type="pct"/>
            <w:tcBorders>
              <w:top w:val="nil"/>
              <w:left w:val="nil"/>
              <w:bottom w:val="single" w:sz="8" w:space="0" w:color="auto"/>
              <w:right w:val="single" w:sz="8" w:space="0" w:color="auto"/>
            </w:tcBorders>
            <w:shd w:val="clear" w:color="auto" w:fill="auto"/>
            <w:noWrap/>
            <w:vAlign w:val="center"/>
            <w:hideMark/>
          </w:tcPr>
          <w:p w14:paraId="5AC9A848"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9.155 </w:t>
            </w:r>
          </w:p>
        </w:tc>
        <w:tc>
          <w:tcPr>
            <w:tcW w:w="538" w:type="pct"/>
            <w:tcBorders>
              <w:top w:val="nil"/>
              <w:left w:val="nil"/>
              <w:bottom w:val="single" w:sz="8" w:space="0" w:color="auto"/>
              <w:right w:val="single" w:sz="8" w:space="0" w:color="auto"/>
            </w:tcBorders>
            <w:shd w:val="clear" w:color="auto" w:fill="auto"/>
            <w:noWrap/>
            <w:vAlign w:val="center"/>
            <w:hideMark/>
          </w:tcPr>
          <w:p w14:paraId="0549C2ED"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8.636 </w:t>
            </w:r>
          </w:p>
        </w:tc>
        <w:tc>
          <w:tcPr>
            <w:tcW w:w="538" w:type="pct"/>
            <w:tcBorders>
              <w:top w:val="nil"/>
              <w:left w:val="nil"/>
              <w:bottom w:val="single" w:sz="8" w:space="0" w:color="auto"/>
              <w:right w:val="single" w:sz="8" w:space="0" w:color="auto"/>
            </w:tcBorders>
            <w:shd w:val="clear" w:color="auto" w:fill="auto"/>
            <w:noWrap/>
            <w:vAlign w:val="center"/>
            <w:hideMark/>
          </w:tcPr>
          <w:p w14:paraId="79C7BFBB"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8.592 </w:t>
            </w:r>
          </w:p>
        </w:tc>
        <w:tc>
          <w:tcPr>
            <w:tcW w:w="538" w:type="pct"/>
            <w:tcBorders>
              <w:top w:val="nil"/>
              <w:left w:val="nil"/>
              <w:bottom w:val="single" w:sz="8" w:space="0" w:color="auto"/>
              <w:right w:val="single" w:sz="8" w:space="0" w:color="auto"/>
            </w:tcBorders>
            <w:shd w:val="clear" w:color="auto" w:fill="auto"/>
            <w:noWrap/>
            <w:vAlign w:val="center"/>
            <w:hideMark/>
          </w:tcPr>
          <w:p w14:paraId="7F136DA1"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 xml:space="preserve">    9.008 </w:t>
            </w:r>
          </w:p>
        </w:tc>
      </w:tr>
      <w:tr w:rsidR="00760ED0" w:rsidRPr="000C0AFD" w14:paraId="0ED574BE" w14:textId="77777777" w:rsidTr="00430955">
        <w:trPr>
          <w:trHeight w:val="315"/>
        </w:trPr>
        <w:tc>
          <w:tcPr>
            <w:tcW w:w="1233" w:type="pct"/>
            <w:tcBorders>
              <w:top w:val="nil"/>
              <w:left w:val="single" w:sz="8" w:space="0" w:color="auto"/>
              <w:bottom w:val="single" w:sz="8" w:space="0" w:color="auto"/>
              <w:right w:val="single" w:sz="8" w:space="0" w:color="auto"/>
            </w:tcBorders>
            <w:shd w:val="clear" w:color="auto" w:fill="auto"/>
            <w:noWrap/>
            <w:vAlign w:val="center"/>
            <w:hideMark/>
          </w:tcPr>
          <w:p w14:paraId="6951A1BD"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Hurto a personas</w:t>
            </w:r>
          </w:p>
        </w:tc>
        <w:tc>
          <w:tcPr>
            <w:tcW w:w="538" w:type="pct"/>
            <w:tcBorders>
              <w:top w:val="nil"/>
              <w:left w:val="nil"/>
              <w:bottom w:val="single" w:sz="8" w:space="0" w:color="auto"/>
              <w:right w:val="single" w:sz="8" w:space="0" w:color="auto"/>
            </w:tcBorders>
            <w:shd w:val="clear" w:color="auto" w:fill="auto"/>
            <w:noWrap/>
            <w:vAlign w:val="center"/>
            <w:hideMark/>
          </w:tcPr>
          <w:p w14:paraId="7BB6B735"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39.073 </w:t>
            </w:r>
          </w:p>
        </w:tc>
        <w:tc>
          <w:tcPr>
            <w:tcW w:w="538" w:type="pct"/>
            <w:tcBorders>
              <w:top w:val="nil"/>
              <w:left w:val="nil"/>
              <w:bottom w:val="single" w:sz="8" w:space="0" w:color="auto"/>
              <w:right w:val="single" w:sz="8" w:space="0" w:color="auto"/>
            </w:tcBorders>
            <w:shd w:val="clear" w:color="auto" w:fill="auto"/>
            <w:noWrap/>
            <w:vAlign w:val="center"/>
            <w:hideMark/>
          </w:tcPr>
          <w:p w14:paraId="2B9F6D82"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43.245 </w:t>
            </w:r>
          </w:p>
        </w:tc>
        <w:tc>
          <w:tcPr>
            <w:tcW w:w="538" w:type="pct"/>
            <w:tcBorders>
              <w:top w:val="nil"/>
              <w:left w:val="nil"/>
              <w:bottom w:val="single" w:sz="8" w:space="0" w:color="auto"/>
              <w:right w:val="single" w:sz="8" w:space="0" w:color="auto"/>
            </w:tcBorders>
            <w:shd w:val="clear" w:color="auto" w:fill="auto"/>
            <w:noWrap/>
            <w:vAlign w:val="center"/>
            <w:hideMark/>
          </w:tcPr>
          <w:p w14:paraId="1E38D471"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44.855 </w:t>
            </w:r>
          </w:p>
        </w:tc>
        <w:tc>
          <w:tcPr>
            <w:tcW w:w="538" w:type="pct"/>
            <w:tcBorders>
              <w:top w:val="nil"/>
              <w:left w:val="nil"/>
              <w:bottom w:val="single" w:sz="8" w:space="0" w:color="auto"/>
              <w:right w:val="single" w:sz="8" w:space="0" w:color="auto"/>
            </w:tcBorders>
            <w:shd w:val="clear" w:color="auto" w:fill="auto"/>
            <w:noWrap/>
            <w:vAlign w:val="center"/>
            <w:hideMark/>
          </w:tcPr>
          <w:p w14:paraId="053AC015"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46.827 </w:t>
            </w:r>
          </w:p>
        </w:tc>
        <w:tc>
          <w:tcPr>
            <w:tcW w:w="538" w:type="pct"/>
            <w:tcBorders>
              <w:top w:val="nil"/>
              <w:left w:val="nil"/>
              <w:bottom w:val="single" w:sz="8" w:space="0" w:color="auto"/>
              <w:right w:val="single" w:sz="8" w:space="0" w:color="auto"/>
            </w:tcBorders>
            <w:shd w:val="clear" w:color="auto" w:fill="auto"/>
            <w:noWrap/>
            <w:vAlign w:val="center"/>
            <w:hideMark/>
          </w:tcPr>
          <w:p w14:paraId="39E78E9E"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39.580 </w:t>
            </w:r>
          </w:p>
        </w:tc>
        <w:tc>
          <w:tcPr>
            <w:tcW w:w="538" w:type="pct"/>
            <w:tcBorders>
              <w:top w:val="nil"/>
              <w:left w:val="nil"/>
              <w:bottom w:val="single" w:sz="8" w:space="0" w:color="auto"/>
              <w:right w:val="single" w:sz="8" w:space="0" w:color="auto"/>
            </w:tcBorders>
            <w:shd w:val="clear" w:color="auto" w:fill="auto"/>
            <w:noWrap/>
            <w:vAlign w:val="center"/>
            <w:hideMark/>
          </w:tcPr>
          <w:p w14:paraId="03570497"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27.332 </w:t>
            </w:r>
          </w:p>
        </w:tc>
        <w:tc>
          <w:tcPr>
            <w:tcW w:w="538" w:type="pct"/>
            <w:tcBorders>
              <w:top w:val="nil"/>
              <w:left w:val="nil"/>
              <w:bottom w:val="single" w:sz="8" w:space="0" w:color="auto"/>
              <w:right w:val="single" w:sz="8" w:space="0" w:color="auto"/>
            </w:tcBorders>
            <w:shd w:val="clear" w:color="auto" w:fill="auto"/>
            <w:noWrap/>
            <w:vAlign w:val="center"/>
            <w:hideMark/>
          </w:tcPr>
          <w:p w14:paraId="3C57C961"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 xml:space="preserve">  19.830 </w:t>
            </w:r>
          </w:p>
        </w:tc>
      </w:tr>
      <w:tr w:rsidR="00760ED0" w:rsidRPr="000C0AFD" w14:paraId="26A0D692" w14:textId="77777777" w:rsidTr="00430955">
        <w:trPr>
          <w:trHeight w:val="315"/>
        </w:trPr>
        <w:tc>
          <w:tcPr>
            <w:tcW w:w="1233" w:type="pct"/>
            <w:tcBorders>
              <w:top w:val="nil"/>
              <w:left w:val="single" w:sz="8" w:space="0" w:color="auto"/>
              <w:bottom w:val="single" w:sz="8" w:space="0" w:color="auto"/>
              <w:right w:val="single" w:sz="8" w:space="0" w:color="auto"/>
            </w:tcBorders>
            <w:shd w:val="clear" w:color="auto" w:fill="auto"/>
            <w:noWrap/>
            <w:vAlign w:val="center"/>
            <w:hideMark/>
          </w:tcPr>
          <w:p w14:paraId="2DEC6315"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Lesiones personales</w:t>
            </w:r>
          </w:p>
        </w:tc>
        <w:tc>
          <w:tcPr>
            <w:tcW w:w="538" w:type="pct"/>
            <w:tcBorders>
              <w:top w:val="nil"/>
              <w:left w:val="nil"/>
              <w:bottom w:val="single" w:sz="8" w:space="0" w:color="auto"/>
              <w:right w:val="single" w:sz="8" w:space="0" w:color="auto"/>
            </w:tcBorders>
            <w:shd w:val="clear" w:color="auto" w:fill="auto"/>
            <w:noWrap/>
            <w:vAlign w:val="center"/>
            <w:hideMark/>
          </w:tcPr>
          <w:p w14:paraId="60A1F019"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3.781 </w:t>
            </w:r>
          </w:p>
        </w:tc>
        <w:tc>
          <w:tcPr>
            <w:tcW w:w="538" w:type="pct"/>
            <w:tcBorders>
              <w:top w:val="nil"/>
              <w:left w:val="nil"/>
              <w:bottom w:val="single" w:sz="8" w:space="0" w:color="auto"/>
              <w:right w:val="single" w:sz="8" w:space="0" w:color="auto"/>
            </w:tcBorders>
            <w:shd w:val="clear" w:color="auto" w:fill="auto"/>
            <w:noWrap/>
            <w:vAlign w:val="center"/>
            <w:hideMark/>
          </w:tcPr>
          <w:p w14:paraId="3F84D642" w14:textId="77777777" w:rsidR="00760ED0" w:rsidRPr="000C0AFD" w:rsidRDefault="00760ED0" w:rsidP="000C0AFD">
            <w:pPr>
              <w:spacing w:line="360" w:lineRule="auto"/>
              <w:ind w:left="0"/>
              <w:jc w:val="left"/>
              <w:rPr>
                <w:rFonts w:ascii="Verdana" w:eastAsia="Times New Roman" w:hAnsi="Verdana"/>
                <w:color w:val="000000"/>
                <w:sz w:val="20"/>
                <w:szCs w:val="20"/>
              </w:rPr>
            </w:pPr>
            <w:r w:rsidRPr="000C0AFD">
              <w:rPr>
                <w:rFonts w:ascii="Verdana" w:eastAsia="Times New Roman" w:hAnsi="Verdana"/>
                <w:color w:val="000000"/>
                <w:sz w:val="20"/>
                <w:szCs w:val="20"/>
              </w:rPr>
              <w:t xml:space="preserve">    4.739 </w:t>
            </w:r>
          </w:p>
        </w:tc>
        <w:tc>
          <w:tcPr>
            <w:tcW w:w="538" w:type="pct"/>
            <w:tcBorders>
              <w:top w:val="nil"/>
              <w:left w:val="nil"/>
              <w:bottom w:val="single" w:sz="8" w:space="0" w:color="auto"/>
              <w:right w:val="single" w:sz="8" w:space="0" w:color="auto"/>
            </w:tcBorders>
            <w:shd w:val="clear" w:color="auto" w:fill="auto"/>
            <w:noWrap/>
            <w:vAlign w:val="center"/>
            <w:hideMark/>
          </w:tcPr>
          <w:p w14:paraId="661C8062"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4.454 </w:t>
            </w:r>
          </w:p>
        </w:tc>
        <w:tc>
          <w:tcPr>
            <w:tcW w:w="538" w:type="pct"/>
            <w:tcBorders>
              <w:top w:val="nil"/>
              <w:left w:val="nil"/>
              <w:bottom w:val="single" w:sz="8" w:space="0" w:color="auto"/>
              <w:right w:val="single" w:sz="8" w:space="0" w:color="auto"/>
            </w:tcBorders>
            <w:shd w:val="clear" w:color="auto" w:fill="auto"/>
            <w:noWrap/>
            <w:vAlign w:val="center"/>
            <w:hideMark/>
          </w:tcPr>
          <w:p w14:paraId="6E762AB5"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4.644 </w:t>
            </w:r>
          </w:p>
        </w:tc>
        <w:tc>
          <w:tcPr>
            <w:tcW w:w="538" w:type="pct"/>
            <w:tcBorders>
              <w:top w:val="nil"/>
              <w:left w:val="nil"/>
              <w:bottom w:val="single" w:sz="8" w:space="0" w:color="auto"/>
              <w:right w:val="single" w:sz="8" w:space="0" w:color="auto"/>
            </w:tcBorders>
            <w:shd w:val="clear" w:color="auto" w:fill="auto"/>
            <w:noWrap/>
            <w:vAlign w:val="center"/>
            <w:hideMark/>
          </w:tcPr>
          <w:p w14:paraId="46514C4D"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5.056 </w:t>
            </w:r>
          </w:p>
        </w:tc>
        <w:tc>
          <w:tcPr>
            <w:tcW w:w="538" w:type="pct"/>
            <w:tcBorders>
              <w:top w:val="nil"/>
              <w:left w:val="nil"/>
              <w:bottom w:val="single" w:sz="8" w:space="0" w:color="auto"/>
              <w:right w:val="single" w:sz="8" w:space="0" w:color="auto"/>
            </w:tcBorders>
            <w:shd w:val="clear" w:color="auto" w:fill="auto"/>
            <w:noWrap/>
            <w:vAlign w:val="center"/>
            <w:hideMark/>
          </w:tcPr>
          <w:p w14:paraId="37E90B34"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rPr>
              <w:t xml:space="preserve">    5.367 </w:t>
            </w:r>
          </w:p>
        </w:tc>
        <w:tc>
          <w:tcPr>
            <w:tcW w:w="538" w:type="pct"/>
            <w:tcBorders>
              <w:top w:val="nil"/>
              <w:left w:val="nil"/>
              <w:bottom w:val="single" w:sz="8" w:space="0" w:color="auto"/>
              <w:right w:val="single" w:sz="8" w:space="0" w:color="auto"/>
            </w:tcBorders>
            <w:shd w:val="clear" w:color="auto" w:fill="auto"/>
            <w:noWrap/>
            <w:vAlign w:val="center"/>
            <w:hideMark/>
          </w:tcPr>
          <w:p w14:paraId="025F8C95" w14:textId="77777777" w:rsidR="00760ED0" w:rsidRPr="000C0AFD" w:rsidRDefault="00760ED0" w:rsidP="000C0AFD">
            <w:pPr>
              <w:spacing w:line="360" w:lineRule="auto"/>
              <w:ind w:left="0"/>
              <w:jc w:val="right"/>
              <w:rPr>
                <w:rFonts w:ascii="Verdana" w:eastAsia="Times New Roman" w:hAnsi="Verdana"/>
                <w:color w:val="000000"/>
                <w:sz w:val="20"/>
                <w:szCs w:val="20"/>
              </w:rPr>
            </w:pPr>
            <w:r w:rsidRPr="000C0AFD">
              <w:rPr>
                <w:rFonts w:ascii="Verdana" w:eastAsia="Times New Roman" w:hAnsi="Verdana"/>
                <w:color w:val="000000"/>
                <w:sz w:val="20"/>
                <w:szCs w:val="20"/>
                <w:lang w:val="en-US"/>
              </w:rPr>
              <w:t xml:space="preserve">    5.051 </w:t>
            </w:r>
          </w:p>
        </w:tc>
      </w:tr>
    </w:tbl>
    <w:p w14:paraId="0354597D"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Fuente: Creación propia con base en datos obtenidos de la Estadística Delictiva de la PONAL.</w:t>
      </w:r>
    </w:p>
    <w:p w14:paraId="55F9CE9A"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En los últimos 5 años, los tres delitos de referencia mantienen un comportamiento constante, a pesar del aumento de pie de fuerza policiva y militar y la disminución del conflicto armado que viene atravesando la nación, sorprende el Hurto a personas realizadas con armas de fuego, que se duplicó en ese periodo de tiempo.</w:t>
      </w:r>
    </w:p>
    <w:p w14:paraId="6B77BAA5"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Esto puede dar cuenta de la valoración que hace el delincuente común, frente a si debe cometer el ilícito con arma blanca o de fuego, pues puede resultarle más eficiente e intimidatorio hacerlo con esta última, lo que explicaría, en parte, el aumento exagerado que ha tenido esta modalidad delictiva en el país.</w:t>
      </w:r>
    </w:p>
    <w:p w14:paraId="6B402E78"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lastRenderedPageBreak/>
        <w:t>Ahora, en cuanto a los homicidios, su variación no es destacable, pero parece sorprendente que más de 9000 personas perdieran la vida como consecuencia del uso de las armas de fuego, unas 44000 personas solo en los últimos 6 años, cuando se supone que el Estado tiene el monopolio de estas, esto a demás supone un aumento en la presión que existe en la institucionalidad, pues la rama judicial se colapsa ante la abrumadora cantidad de ilícitos, y las fuerzas del orden público se encuentran siempre al límite.</w:t>
      </w:r>
    </w:p>
    <w:p w14:paraId="1843AC67"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Durante el último año de pandemia, la situación en materia de seguridad no ha mejorado mucho, la disminución en las conductas descritas previamente ha sido mínima, a pesar de los esfuerzos del Estado para aumentar la seguridad estatal, pero ahora ante la crisis de empleo que enfrentamos, el panorama es desolador, por ello debemos cerrarle aún más las vías de acción a la ilegalidad.</w:t>
      </w:r>
    </w:p>
    <w:p w14:paraId="7739BA2A"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El año anterior (2020), 579 menores de edad murieron en homicidios</w:t>
      </w:r>
      <w:r w:rsidRPr="000C0AFD">
        <w:rPr>
          <w:rStyle w:val="Refdenotaalpie"/>
          <w:rFonts w:ascii="Verdana" w:hAnsi="Verdana"/>
          <w:sz w:val="20"/>
          <w:szCs w:val="20"/>
        </w:rPr>
        <w:footnoteReference w:id="8"/>
      </w:r>
      <w:r w:rsidRPr="000C0AFD">
        <w:rPr>
          <w:rFonts w:ascii="Verdana" w:hAnsi="Verdana"/>
          <w:sz w:val="20"/>
          <w:szCs w:val="20"/>
        </w:rPr>
        <w:t>, de esos una cantidad significativa murieron como consecuencia de la utilización de armas de fuego, en total murieron 1545 menores en distintas formas, pero es necesario aclarar que varias de estas muertes se pudieran evitar si el acceso a las armas de fuego fuese limitado.</w:t>
      </w:r>
    </w:p>
    <w:p w14:paraId="7CA7D9C9"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De igual forma, para el año 2019 el CERAC emitió una publicación en la que se determinó que respecto al fenómeno de las balas perdidas, “En los 27 años corridos entre 1990 y el 2017, al menos 1.565 personas fueron afectadas por balas perdidas en Colombia. De ellas, 675 perdieron la vida (…) el 35 por ciento de las víctimas de balas perdidas son menores de edad”</w:t>
      </w:r>
      <w:r w:rsidRPr="000C0AFD">
        <w:rPr>
          <w:rStyle w:val="Refdenotaalpie"/>
          <w:rFonts w:ascii="Verdana" w:hAnsi="Verdana"/>
          <w:sz w:val="20"/>
          <w:szCs w:val="20"/>
        </w:rPr>
        <w:footnoteReference w:id="9"/>
      </w:r>
      <w:r w:rsidRPr="000C0AFD">
        <w:rPr>
          <w:rFonts w:ascii="Verdana" w:hAnsi="Verdana"/>
          <w:sz w:val="20"/>
          <w:szCs w:val="20"/>
        </w:rPr>
        <w:t>, resulta entonces evidente que el control del porte de armas es un asunto urgente a resolver si queremos mejorar las condiciones de vida y seguridad de toda la ciudadanía, en especial de los niños.</w:t>
      </w:r>
    </w:p>
    <w:p w14:paraId="4E5AF006"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 xml:space="preserve">De acuerdo con el informe denominado </w:t>
      </w:r>
      <w:r w:rsidRPr="000C0AFD">
        <w:rPr>
          <w:rFonts w:ascii="Verdana" w:hAnsi="Verdana"/>
          <w:i/>
          <w:sz w:val="20"/>
          <w:szCs w:val="20"/>
        </w:rPr>
        <w:t>“Colombia: un gran mercado de armas sin incentivos para reducirlo</w:t>
      </w:r>
      <w:r w:rsidRPr="000C0AFD">
        <w:rPr>
          <w:rFonts w:ascii="Verdana" w:hAnsi="Verdana"/>
          <w:sz w:val="20"/>
          <w:szCs w:val="20"/>
        </w:rPr>
        <w:t>”</w:t>
      </w:r>
      <w:r w:rsidRPr="000C0AFD">
        <w:rPr>
          <w:rStyle w:val="Refdenotaalpie"/>
          <w:rFonts w:ascii="Verdana" w:hAnsi="Verdana"/>
          <w:sz w:val="20"/>
          <w:szCs w:val="20"/>
        </w:rPr>
        <w:footnoteReference w:id="10"/>
      </w:r>
      <w:r w:rsidRPr="000C0AFD">
        <w:rPr>
          <w:rFonts w:ascii="Verdana" w:hAnsi="Verdana"/>
          <w:sz w:val="20"/>
          <w:szCs w:val="20"/>
        </w:rPr>
        <w:t xml:space="preserve">, publicado por la Fundación Ideas para la Paz, el </w:t>
      </w:r>
      <w:r w:rsidRPr="000C0AFD">
        <w:rPr>
          <w:rFonts w:ascii="Verdana" w:hAnsi="Verdana"/>
          <w:sz w:val="20"/>
          <w:szCs w:val="20"/>
        </w:rPr>
        <w:lastRenderedPageBreak/>
        <w:t>mercado negro de las armas de fuego se ha disparado de forma desmesurada en las últimas dos décadas, una situación particularmente compleja en un país sitiado por la violencia fratricida.</w:t>
      </w:r>
    </w:p>
    <w:p w14:paraId="11B707B3"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Así lo ha evidenciado la FIP, que indica para el contexto de nuestra nación que “Colombia tiene una de las tasas más altas de homicidios con armas de fuego en la región (18 por cada 100 mil habitantes en 2019), con cifras superiores a Estados Unidos (4,5 para 2017) y México (16,5 para 2017)</w:t>
      </w:r>
      <w:r w:rsidRPr="000C0AFD">
        <w:rPr>
          <w:rStyle w:val="Refdenotaalpie"/>
          <w:rFonts w:ascii="Verdana" w:hAnsi="Verdana"/>
          <w:sz w:val="20"/>
          <w:szCs w:val="20"/>
        </w:rPr>
        <w:footnoteReference w:id="11"/>
      </w:r>
      <w:r w:rsidRPr="000C0AFD">
        <w:rPr>
          <w:rFonts w:ascii="Verdana" w:hAnsi="Verdana"/>
          <w:sz w:val="20"/>
          <w:szCs w:val="20"/>
        </w:rPr>
        <w:t>. Pero, su uso en el país no solo se limita a una conducta violenta con dolo. Por ejemplo, la participación de estas armas en la muerte de civiles por otras causas (como el suicidio) es bastante alta.</w:t>
      </w:r>
    </w:p>
    <w:p w14:paraId="35AF189F"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Así lo evidencia un estudio publicado por el Journal of the American Medical Association (JAMA), que señala que Colombia ocupa el quinto lugar a nivel mundial en muertes por armas de fuego</w:t>
      </w:r>
      <w:r w:rsidRPr="000C0AFD">
        <w:rPr>
          <w:rStyle w:val="Refdenotaalpie"/>
          <w:rFonts w:ascii="Verdana" w:hAnsi="Verdana"/>
          <w:sz w:val="20"/>
          <w:szCs w:val="20"/>
        </w:rPr>
        <w:footnoteReference w:id="12"/>
      </w:r>
      <w:r w:rsidRPr="000C0AFD">
        <w:rPr>
          <w:rFonts w:ascii="Verdana" w:hAnsi="Verdana"/>
          <w:sz w:val="20"/>
          <w:szCs w:val="20"/>
        </w:rPr>
        <w:t>. El Instituto Nacional de Salud —que participó en la elaboración de ese documento— expuso que uno de los factores asociados a las altas cifras es la disponibilidad de armas que hay en el país hacia el público</w:t>
      </w:r>
      <w:r w:rsidRPr="000C0AFD">
        <w:rPr>
          <w:rStyle w:val="Refdenotaalpie"/>
          <w:rFonts w:ascii="Verdana" w:hAnsi="Verdana"/>
          <w:sz w:val="20"/>
          <w:szCs w:val="20"/>
        </w:rPr>
        <w:footnoteReference w:id="13"/>
      </w:r>
      <w:r w:rsidRPr="000C0AFD">
        <w:rPr>
          <w:rFonts w:ascii="Verdana" w:hAnsi="Verdana"/>
          <w:sz w:val="20"/>
          <w:szCs w:val="20"/>
        </w:rPr>
        <w:t>”.</w:t>
      </w:r>
    </w:p>
    <w:p w14:paraId="19506740" w14:textId="77777777" w:rsidR="00760ED0" w:rsidRPr="000C0AFD" w:rsidRDefault="00760ED0" w:rsidP="000C0AFD">
      <w:pPr>
        <w:spacing w:before="240" w:after="240" w:line="360" w:lineRule="auto"/>
        <w:ind w:left="0" w:firstLine="567"/>
        <w:jc w:val="center"/>
        <w:rPr>
          <w:rFonts w:ascii="Verdana" w:hAnsi="Verdana"/>
          <w:sz w:val="20"/>
          <w:szCs w:val="20"/>
        </w:rPr>
      </w:pPr>
      <w:r w:rsidRPr="000C0AFD">
        <w:rPr>
          <w:rFonts w:ascii="Verdana" w:hAnsi="Verdana"/>
          <w:noProof/>
          <w:sz w:val="20"/>
          <w:szCs w:val="20"/>
        </w:rPr>
        <w:lastRenderedPageBreak/>
        <w:drawing>
          <wp:inline distT="0" distB="0" distL="0" distR="0" wp14:anchorId="3D4B434C" wp14:editId="0B617F3F">
            <wp:extent cx="3181350" cy="3960694"/>
            <wp:effectExtent l="0" t="0" r="0" b="1905"/>
            <wp:docPr id="4" name="Imagen 4" descr="http://cdn.ideaspaz.org/media/website/image/2698_1024x768_scaled_5f16f0f899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deaspaz.org/media/website/image/2698_1024x768_scaled_5f16f0f8993f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554" cy="3968418"/>
                    </a:xfrm>
                    <a:prstGeom prst="rect">
                      <a:avLst/>
                    </a:prstGeom>
                    <a:noFill/>
                    <a:ln>
                      <a:noFill/>
                    </a:ln>
                  </pic:spPr>
                </pic:pic>
              </a:graphicData>
            </a:graphic>
          </wp:inline>
        </w:drawing>
      </w:r>
    </w:p>
    <w:p w14:paraId="3C95D3C6" w14:textId="77777777" w:rsidR="00760ED0" w:rsidRPr="000C0AFD" w:rsidRDefault="00760ED0" w:rsidP="000C0AFD">
      <w:pPr>
        <w:spacing w:before="240" w:after="240" w:line="360" w:lineRule="auto"/>
        <w:ind w:left="0" w:firstLine="567"/>
        <w:jc w:val="center"/>
        <w:rPr>
          <w:rFonts w:ascii="Verdana" w:hAnsi="Verdana"/>
          <w:sz w:val="20"/>
          <w:szCs w:val="20"/>
        </w:rPr>
      </w:pPr>
      <w:r w:rsidRPr="000C0AFD">
        <w:rPr>
          <w:rFonts w:ascii="Verdana" w:hAnsi="Verdana"/>
          <w:sz w:val="20"/>
          <w:szCs w:val="20"/>
        </w:rPr>
        <w:t>Fuente: FIP (Colombia: un gran mercado de armas sin incentivos para reducirlo)</w:t>
      </w:r>
    </w:p>
    <w:p w14:paraId="5AEA1E62"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En igual forma, al contrastar las cifras de delitos cometidos con armas de fuego, frente a la incautación total, los datos no se corresponden, pues “La incautación de armas de fuego no ha ayudado a regular el mercado y reducir su incidencia en la violencia letal y no letal. Aunque la Policía en cada ciudad actúa de acuerdo con el mandato local y los alcaldes y gobernadores determinan cuáles son las prioridades en temas de seguridad, los altos índices delictivos cometidos con armas de fuego son un fenómeno nacional que, como demuestran las cifras del siguiente gráfico, no se está tratando con una política coordinada ni con una estrategia interinstitucional.”</w:t>
      </w:r>
      <w:r w:rsidRPr="000C0AFD">
        <w:rPr>
          <w:rStyle w:val="Refdenotaalpie"/>
          <w:rFonts w:ascii="Verdana" w:hAnsi="Verdana"/>
          <w:sz w:val="20"/>
          <w:szCs w:val="20"/>
        </w:rPr>
        <w:footnoteReference w:id="14"/>
      </w:r>
    </w:p>
    <w:p w14:paraId="629C6C11" w14:textId="77777777" w:rsidR="00760ED0" w:rsidRPr="000C0AFD" w:rsidRDefault="00760ED0" w:rsidP="000C0AFD">
      <w:pPr>
        <w:spacing w:before="240" w:after="240" w:line="360" w:lineRule="auto"/>
        <w:ind w:left="0" w:firstLine="567"/>
        <w:jc w:val="center"/>
        <w:rPr>
          <w:rFonts w:ascii="Verdana" w:hAnsi="Verdana"/>
          <w:sz w:val="20"/>
          <w:szCs w:val="20"/>
        </w:rPr>
      </w:pPr>
      <w:r w:rsidRPr="000C0AFD">
        <w:rPr>
          <w:rFonts w:ascii="Verdana" w:hAnsi="Verdana"/>
          <w:noProof/>
          <w:sz w:val="20"/>
          <w:szCs w:val="20"/>
        </w:rPr>
        <w:lastRenderedPageBreak/>
        <w:drawing>
          <wp:inline distT="0" distB="0" distL="0" distR="0" wp14:anchorId="365B560D" wp14:editId="6900F31B">
            <wp:extent cx="3305175" cy="4271939"/>
            <wp:effectExtent l="0" t="0" r="0" b="0"/>
            <wp:docPr id="6" name="Imagen 6" descr="http://cdn.ideaspaz.org/media/website/image/2701_1024x768_scaled_5f16f1a471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ideaspaz.org/media/website/image/2701_1024x768_scaled_5f16f1a471e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691" cy="4272606"/>
                    </a:xfrm>
                    <a:prstGeom prst="rect">
                      <a:avLst/>
                    </a:prstGeom>
                    <a:noFill/>
                    <a:ln>
                      <a:noFill/>
                    </a:ln>
                  </pic:spPr>
                </pic:pic>
              </a:graphicData>
            </a:graphic>
          </wp:inline>
        </w:drawing>
      </w:r>
    </w:p>
    <w:p w14:paraId="25EAB98B"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Muestra lo anterior que las acciones de desarme deben ser dirigidas desde el ámbito nacional, con una política pública que aborde de manera integral el asunto, hasta entonces, la modificación del artículo 68a del Código Penal es una medida transitoria que ayuda indirectamente a la consecución de este objetivo.</w:t>
      </w:r>
    </w:p>
    <w:p w14:paraId="38DCDC84" w14:textId="77777777" w:rsidR="00760ED0" w:rsidRPr="000C0AFD" w:rsidRDefault="00760ED0" w:rsidP="000C0AFD">
      <w:pPr>
        <w:spacing w:before="240" w:after="240" w:line="360" w:lineRule="auto"/>
        <w:ind w:left="0" w:firstLine="567"/>
        <w:jc w:val="center"/>
        <w:rPr>
          <w:rFonts w:ascii="Verdana" w:hAnsi="Verdana"/>
          <w:sz w:val="20"/>
          <w:szCs w:val="20"/>
        </w:rPr>
      </w:pPr>
      <w:r w:rsidRPr="000C0AFD">
        <w:rPr>
          <w:rFonts w:ascii="Verdana" w:hAnsi="Verdana"/>
          <w:noProof/>
          <w:sz w:val="20"/>
          <w:szCs w:val="20"/>
        </w:rPr>
        <w:lastRenderedPageBreak/>
        <w:drawing>
          <wp:inline distT="0" distB="0" distL="0" distR="0" wp14:anchorId="647B5076" wp14:editId="69CAB028">
            <wp:extent cx="3533775" cy="5129024"/>
            <wp:effectExtent l="0" t="0" r="0" b="0"/>
            <wp:docPr id="7"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pic:cNvPicPr/>
                  </pic:nvPicPr>
                  <pic:blipFill rotWithShape="1">
                    <a:blip r:embed="rId13"/>
                    <a:srcRect l="51086" t="15697" r="19213" b="7628"/>
                    <a:stretch/>
                  </pic:blipFill>
                  <pic:spPr bwMode="auto">
                    <a:xfrm>
                      <a:off x="0" y="0"/>
                      <a:ext cx="3537304" cy="5134146"/>
                    </a:xfrm>
                    <a:prstGeom prst="rect">
                      <a:avLst/>
                    </a:prstGeom>
                    <a:ln>
                      <a:noFill/>
                    </a:ln>
                    <a:extLst>
                      <a:ext uri="{53640926-AAD7-44D8-BBD7-CCE9431645EC}">
                        <a14:shadowObscured xmlns:a14="http://schemas.microsoft.com/office/drawing/2010/main"/>
                      </a:ext>
                    </a:extLst>
                  </pic:spPr>
                </pic:pic>
              </a:graphicData>
            </a:graphic>
          </wp:inline>
        </w:drawing>
      </w:r>
    </w:p>
    <w:p w14:paraId="0C0497B0" w14:textId="77777777" w:rsidR="00760ED0" w:rsidRPr="000C0AFD" w:rsidRDefault="00760ED0" w:rsidP="000C0AFD">
      <w:pPr>
        <w:spacing w:before="240" w:after="240" w:line="360" w:lineRule="auto"/>
        <w:ind w:left="0" w:firstLine="567"/>
        <w:jc w:val="center"/>
        <w:rPr>
          <w:rFonts w:ascii="Verdana" w:hAnsi="Verdana"/>
          <w:sz w:val="20"/>
          <w:szCs w:val="20"/>
        </w:rPr>
      </w:pPr>
      <w:r w:rsidRPr="000C0AFD">
        <w:rPr>
          <w:rFonts w:ascii="Verdana" w:hAnsi="Verdana"/>
          <w:sz w:val="20"/>
          <w:szCs w:val="20"/>
        </w:rPr>
        <w:t>Fuente: FIP (Colombia: un gran mercado de armas sin incentivos para reducirlo)</w:t>
      </w:r>
    </w:p>
    <w:p w14:paraId="3FDA59D4" w14:textId="264BCAC8" w:rsidR="00760ED0" w:rsidRPr="009C124C" w:rsidRDefault="00760ED0" w:rsidP="009C124C">
      <w:pPr>
        <w:spacing w:before="240" w:after="240" w:line="360" w:lineRule="auto"/>
        <w:ind w:left="0" w:firstLine="567"/>
        <w:rPr>
          <w:rFonts w:ascii="Verdana" w:hAnsi="Verdana"/>
          <w:sz w:val="20"/>
          <w:szCs w:val="20"/>
        </w:rPr>
      </w:pPr>
      <w:r w:rsidRPr="000C0AFD">
        <w:rPr>
          <w:rFonts w:ascii="Verdana" w:hAnsi="Verdana"/>
          <w:sz w:val="20"/>
          <w:szCs w:val="20"/>
        </w:rPr>
        <w:t>Por último, como se puede evidenciar en la anterior gráfica, la participación de las armas de fuego en los homicidios en territorio urbano llega al 70%, mientras que en territorio rural llega hasta el 79%, lo que da cuenta de la facilidad que existe para que los ciudadanos hagan uso violento de las mismas, esto como consecuencia de la ausencia de acciones de choque a la base misma de la problemática del porte de armas de fuego.</w:t>
      </w:r>
    </w:p>
    <w:p w14:paraId="36B4F355" w14:textId="77777777" w:rsidR="00760ED0" w:rsidRPr="000C0AFD" w:rsidRDefault="00760ED0" w:rsidP="000C0AFD">
      <w:pPr>
        <w:pStyle w:val="Prrafodelista"/>
        <w:numPr>
          <w:ilvl w:val="0"/>
          <w:numId w:val="10"/>
        </w:numPr>
        <w:spacing w:line="360" w:lineRule="auto"/>
        <w:rPr>
          <w:rFonts w:ascii="Verdana" w:hAnsi="Verdana" w:cs="Arial"/>
          <w:color w:val="000000" w:themeColor="text1"/>
          <w:sz w:val="20"/>
          <w:szCs w:val="20"/>
        </w:rPr>
      </w:pPr>
      <w:r w:rsidRPr="000C0AFD">
        <w:rPr>
          <w:rFonts w:ascii="Verdana" w:eastAsia="Book Antiqua" w:hAnsi="Verdana" w:cs="Book Antiqua"/>
          <w:b/>
          <w:sz w:val="20"/>
          <w:szCs w:val="20"/>
        </w:rPr>
        <w:t>Fundamentos normativos de la iniciativa</w:t>
      </w:r>
    </w:p>
    <w:p w14:paraId="56E7CB22" w14:textId="77777777" w:rsidR="00760ED0" w:rsidRPr="000C0AFD" w:rsidRDefault="00760ED0" w:rsidP="000C0AFD">
      <w:pPr>
        <w:spacing w:line="360" w:lineRule="auto"/>
        <w:rPr>
          <w:rFonts w:ascii="Verdana" w:hAnsi="Verdana" w:cs="Arial"/>
          <w:b/>
          <w:color w:val="000000" w:themeColor="text1"/>
          <w:sz w:val="20"/>
          <w:szCs w:val="20"/>
        </w:rPr>
      </w:pPr>
    </w:p>
    <w:p w14:paraId="1568CD97"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lastRenderedPageBreak/>
        <w:t xml:space="preserve">     La Constitución Política en su Artículo 223 refiere:</w:t>
      </w:r>
    </w:p>
    <w:p w14:paraId="70A3E575" w14:textId="77777777" w:rsidR="00760ED0" w:rsidRPr="000C0AFD" w:rsidRDefault="00760ED0" w:rsidP="000C0AFD">
      <w:pPr>
        <w:spacing w:line="360" w:lineRule="auto"/>
        <w:ind w:left="227"/>
        <w:rPr>
          <w:rFonts w:ascii="Verdana" w:hAnsi="Verdana"/>
          <w:i/>
          <w:sz w:val="20"/>
          <w:szCs w:val="20"/>
        </w:rPr>
      </w:pPr>
    </w:p>
    <w:p w14:paraId="5AA69DE8" w14:textId="77777777" w:rsidR="00760ED0" w:rsidRPr="000C0AFD" w:rsidRDefault="00760ED0" w:rsidP="000C0AFD">
      <w:pPr>
        <w:spacing w:line="360" w:lineRule="auto"/>
        <w:ind w:left="227"/>
        <w:rPr>
          <w:rFonts w:ascii="Verdana" w:hAnsi="Verdana"/>
          <w:i/>
          <w:sz w:val="20"/>
          <w:szCs w:val="20"/>
        </w:rPr>
      </w:pPr>
      <w:r w:rsidRPr="000C0AFD">
        <w:rPr>
          <w:rFonts w:ascii="Verdana" w:hAnsi="Verdana"/>
          <w:i/>
          <w:sz w:val="20"/>
          <w:szCs w:val="20"/>
        </w:rPr>
        <w:t xml:space="preserve">“Sólo el gobierno puede introducir y fabricar armas, municiones de guerra y explosivos. Nadie podrá poseerlos ni portarlos sin permiso de la autoridad competente. Este permiso no podrá extenderse a los casos de concurrencia a reuniones políticas, a elecciones, o a sesiones de corporaciones públicas o asambleas, ya sea para actuar en ellas o para presenciarlas. Los miembros de los organismos nacionales de seguridad y otros cuerpos oficiales armados, de carácter permanente, creado o autorizado por la ley, podrán portar armas bajo el control del gobierno, de conformidad con los principios y procedimientos que aquella señale”. </w:t>
      </w:r>
    </w:p>
    <w:p w14:paraId="4504B668" w14:textId="77777777" w:rsidR="00760ED0" w:rsidRPr="000C0AFD" w:rsidRDefault="00760ED0" w:rsidP="000C0AFD">
      <w:pPr>
        <w:spacing w:line="360" w:lineRule="auto"/>
        <w:ind w:left="0"/>
        <w:rPr>
          <w:rFonts w:ascii="Verdana" w:hAnsi="Verdana"/>
          <w:sz w:val="20"/>
          <w:szCs w:val="20"/>
        </w:rPr>
      </w:pPr>
    </w:p>
    <w:p w14:paraId="60D6878D"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t xml:space="preserve">     En el Decreto Ley 2535 de 1993 en su Artículo 32, que versa sobre la competencia, dice:</w:t>
      </w:r>
    </w:p>
    <w:p w14:paraId="211B08E9" w14:textId="77777777" w:rsidR="00760ED0" w:rsidRPr="000C0AFD" w:rsidRDefault="00760ED0" w:rsidP="000C0AFD">
      <w:pPr>
        <w:spacing w:line="360" w:lineRule="auto"/>
        <w:ind w:left="0"/>
        <w:rPr>
          <w:rFonts w:ascii="Verdana" w:hAnsi="Verdana"/>
          <w:sz w:val="20"/>
          <w:szCs w:val="20"/>
        </w:rPr>
      </w:pPr>
    </w:p>
    <w:p w14:paraId="2531A092" w14:textId="77777777" w:rsidR="00760ED0" w:rsidRPr="000C0AFD" w:rsidRDefault="00760ED0" w:rsidP="000C0AFD">
      <w:pPr>
        <w:spacing w:line="360" w:lineRule="auto"/>
        <w:ind w:left="227"/>
        <w:rPr>
          <w:rFonts w:ascii="Verdana" w:hAnsi="Verdana"/>
          <w:i/>
          <w:sz w:val="20"/>
          <w:szCs w:val="20"/>
        </w:rPr>
      </w:pPr>
      <w:r w:rsidRPr="000C0AFD">
        <w:rPr>
          <w:rFonts w:ascii="Verdana" w:hAnsi="Verdana"/>
          <w:sz w:val="20"/>
          <w:szCs w:val="20"/>
        </w:rPr>
        <w:t>“Son competentes para la expedición y revalidación de permisos para tenencia y para porte de armas y para la venta de municiones y explosivos en los lugares que determine el Ministerio</w:t>
      </w:r>
      <w:r w:rsidRPr="000C0AFD">
        <w:rPr>
          <w:rFonts w:ascii="Verdana" w:hAnsi="Verdana"/>
          <w:i/>
          <w:sz w:val="20"/>
          <w:szCs w:val="20"/>
        </w:rPr>
        <w:t xml:space="preserve"> de Defensa Nacional, las siguientes autoridades militares:</w:t>
      </w:r>
    </w:p>
    <w:p w14:paraId="7BE9D747" w14:textId="77777777" w:rsidR="00760ED0" w:rsidRPr="000C0AFD" w:rsidRDefault="00760ED0" w:rsidP="000C0AFD">
      <w:pPr>
        <w:spacing w:line="360" w:lineRule="auto"/>
        <w:ind w:left="227"/>
        <w:rPr>
          <w:rFonts w:ascii="Verdana" w:hAnsi="Verdana"/>
          <w:i/>
          <w:sz w:val="20"/>
          <w:szCs w:val="20"/>
        </w:rPr>
      </w:pPr>
    </w:p>
    <w:p w14:paraId="54F4C19E" w14:textId="77777777" w:rsidR="00760ED0" w:rsidRPr="000C0AFD" w:rsidRDefault="00760ED0" w:rsidP="000C0AFD">
      <w:pPr>
        <w:spacing w:line="360" w:lineRule="auto"/>
        <w:ind w:left="227"/>
        <w:rPr>
          <w:rFonts w:ascii="Verdana" w:hAnsi="Verdana"/>
          <w:sz w:val="20"/>
          <w:szCs w:val="20"/>
        </w:rPr>
      </w:pPr>
      <w:r w:rsidRPr="000C0AFD">
        <w:rPr>
          <w:rFonts w:ascii="Verdana" w:hAnsi="Verdana"/>
          <w:i/>
          <w:sz w:val="20"/>
          <w:szCs w:val="20"/>
        </w:rPr>
        <w:t>El Jefe del Departamento Control Comercio Armas, Municiones y Explosivos, los Jefes de Estado Mayor de las unidades operativas menores o sus equivalentes en la Armada Nacional o la Fuerza Aérea y los Ejecutivos y segundos comandantes de unidades tácticas en el Ejército Nacional o sus   equivalentes en la Armada Nacional, o sus equivalentes en la Armada Nacional y la Fuerza Aérea.</w:t>
      </w:r>
      <w:r w:rsidRPr="000C0AFD">
        <w:rPr>
          <w:rFonts w:ascii="Verdana" w:hAnsi="Verdana"/>
          <w:sz w:val="20"/>
          <w:szCs w:val="20"/>
        </w:rPr>
        <w:t xml:space="preserve"> (Decreto Ley, 2535, 1993, art. 32)”. </w:t>
      </w:r>
    </w:p>
    <w:p w14:paraId="4CB4A9EE" w14:textId="77777777" w:rsidR="00760ED0" w:rsidRPr="000C0AFD" w:rsidRDefault="00760ED0" w:rsidP="000C0AFD">
      <w:pPr>
        <w:spacing w:line="360" w:lineRule="auto"/>
        <w:ind w:left="227"/>
        <w:rPr>
          <w:rFonts w:ascii="Verdana" w:hAnsi="Verdana"/>
          <w:sz w:val="20"/>
          <w:szCs w:val="20"/>
        </w:rPr>
      </w:pPr>
    </w:p>
    <w:p w14:paraId="49E80001"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t xml:space="preserve">     Por otra parte en el Artículo 41 Decreto Ley 2535 de 1993, hace referencia sobre la tenencia, porte, permisos y suspensión de armas a personas, allí se establece que:</w:t>
      </w:r>
    </w:p>
    <w:p w14:paraId="6454F975" w14:textId="77777777" w:rsidR="00760ED0" w:rsidRPr="000C0AFD" w:rsidRDefault="00760ED0" w:rsidP="000C0AFD">
      <w:pPr>
        <w:spacing w:line="360" w:lineRule="auto"/>
        <w:ind w:left="227"/>
        <w:rPr>
          <w:rFonts w:ascii="Verdana" w:hAnsi="Verdana"/>
          <w:i/>
          <w:sz w:val="20"/>
          <w:szCs w:val="20"/>
        </w:rPr>
      </w:pPr>
    </w:p>
    <w:p w14:paraId="2AF2E834" w14:textId="77777777" w:rsidR="00760ED0" w:rsidRPr="000C0AFD" w:rsidRDefault="00760ED0" w:rsidP="000C0AFD">
      <w:pPr>
        <w:spacing w:line="360" w:lineRule="auto"/>
        <w:ind w:left="227"/>
        <w:rPr>
          <w:rFonts w:ascii="Verdana" w:hAnsi="Verdana"/>
          <w:sz w:val="20"/>
          <w:szCs w:val="20"/>
        </w:rPr>
      </w:pPr>
      <w:r w:rsidRPr="000C0AFD">
        <w:rPr>
          <w:rFonts w:ascii="Verdana" w:hAnsi="Verdana"/>
          <w:i/>
          <w:sz w:val="20"/>
          <w:szCs w:val="20"/>
        </w:rPr>
        <w:t xml:space="preserve">“Las autoridades de que trata el artículo 32 del Decreto 2535 de 1993, podrán suspender de manera general la vigencia de los permisos, para tenencia o para porte de armas expedidos a personas naturales, personas jurídicas o inmuebles rurales. Estas autoridades, también podrán ordenar la suspensión de los permisos de manera individual a personas naturales, personas jurídicas o inmuebles rurales, previo </w:t>
      </w:r>
      <w:r w:rsidRPr="000C0AFD">
        <w:rPr>
          <w:rFonts w:ascii="Verdana" w:hAnsi="Verdana"/>
          <w:i/>
          <w:sz w:val="20"/>
          <w:szCs w:val="20"/>
        </w:rPr>
        <w:lastRenderedPageBreak/>
        <w:t xml:space="preserve">concepto del Comité de Armas del Ministerio de Defensa Nacional, cuando a juicio de las mismas, las condiciones que dieron origen a la concesión original han desaparecido </w:t>
      </w:r>
      <w:r w:rsidRPr="000C0AFD">
        <w:rPr>
          <w:rFonts w:ascii="Verdana" w:hAnsi="Verdana"/>
          <w:sz w:val="20"/>
          <w:szCs w:val="20"/>
        </w:rPr>
        <w:t>(…).” (Decreto Ley 2535 de 1993, art. 41).</w:t>
      </w:r>
    </w:p>
    <w:p w14:paraId="43C2DF8B" w14:textId="77777777" w:rsidR="00760ED0" w:rsidRPr="000C0AFD" w:rsidRDefault="00760ED0" w:rsidP="000C0AFD">
      <w:pPr>
        <w:spacing w:line="360" w:lineRule="auto"/>
        <w:ind w:left="227"/>
        <w:rPr>
          <w:rFonts w:ascii="Verdana" w:hAnsi="Verdana"/>
          <w:sz w:val="20"/>
          <w:szCs w:val="20"/>
        </w:rPr>
      </w:pPr>
    </w:p>
    <w:p w14:paraId="2606AA5E"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t xml:space="preserve">     Actualmente se encuentra en vigencia la Ley 1119 de 2006: “Por la cual se actualizan los registros y permisos vencidos para el control al porte y tenencia de las armas de fuego y se dictan otras disposiciones”.</w:t>
      </w:r>
    </w:p>
    <w:p w14:paraId="68C2ADF0" w14:textId="77777777" w:rsidR="00760ED0" w:rsidRPr="000C0AFD" w:rsidRDefault="00760ED0" w:rsidP="000C0AFD">
      <w:pPr>
        <w:spacing w:line="360" w:lineRule="auto"/>
        <w:ind w:left="0"/>
        <w:rPr>
          <w:rFonts w:ascii="Verdana" w:hAnsi="Verdana"/>
          <w:sz w:val="20"/>
          <w:szCs w:val="20"/>
        </w:rPr>
      </w:pPr>
    </w:p>
    <w:p w14:paraId="0F97CF92"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t xml:space="preserve">     Por otra parte, en el artículo 1 del Decreto N° 0155 del 2016, se refiere:</w:t>
      </w:r>
    </w:p>
    <w:p w14:paraId="4E02BF6C" w14:textId="77777777" w:rsidR="00760ED0" w:rsidRPr="000C0AFD" w:rsidRDefault="00760ED0" w:rsidP="000C0AFD">
      <w:pPr>
        <w:spacing w:line="360" w:lineRule="auto"/>
        <w:ind w:left="283" w:right="57"/>
        <w:rPr>
          <w:rFonts w:ascii="Verdana" w:hAnsi="Verdana"/>
          <w:sz w:val="20"/>
          <w:szCs w:val="20"/>
        </w:rPr>
      </w:pPr>
    </w:p>
    <w:p w14:paraId="5A767297" w14:textId="77777777" w:rsidR="00760ED0" w:rsidRPr="000C0AFD" w:rsidRDefault="00760ED0" w:rsidP="000C0AFD">
      <w:pPr>
        <w:spacing w:line="360" w:lineRule="auto"/>
        <w:ind w:left="283" w:right="57"/>
        <w:rPr>
          <w:rFonts w:ascii="Verdana" w:hAnsi="Verdana"/>
          <w:sz w:val="20"/>
          <w:szCs w:val="20"/>
        </w:rPr>
      </w:pPr>
      <w:r w:rsidRPr="000C0AFD">
        <w:rPr>
          <w:rFonts w:ascii="Verdana" w:hAnsi="Verdana"/>
          <w:sz w:val="20"/>
          <w:szCs w:val="20"/>
        </w:rPr>
        <w:t>“Las autoridades militares de que trata el artículo 32 del Decreto Ley 2535 de 1993, en concordancia con el artículo 10 la Ley 1119 de 2006, adoptarán las medidas necesarias para la suspensión general de los permisos para el porte de armas en todo el territorio nacional, desde el 1 de febrero hasta el 31 de diciembre de 2016, sin perjuicio de las autorizaciones especiales y de las excepciones correspondientes que durante estas fechas expidan las mismas, por razones de urgencia o seguridad de los titulares. “ (Decreto 0155, 2016, art. 1).</w:t>
      </w:r>
    </w:p>
    <w:p w14:paraId="0D16FB54" w14:textId="77777777" w:rsidR="00760ED0" w:rsidRPr="000C0AFD" w:rsidRDefault="00760ED0" w:rsidP="000C0AFD">
      <w:pPr>
        <w:spacing w:line="360" w:lineRule="auto"/>
        <w:ind w:left="0" w:right="57"/>
        <w:rPr>
          <w:rFonts w:ascii="Verdana" w:hAnsi="Verdana"/>
          <w:sz w:val="20"/>
          <w:szCs w:val="20"/>
        </w:rPr>
      </w:pPr>
    </w:p>
    <w:p w14:paraId="45B46B48" w14:textId="77777777" w:rsidR="00760ED0" w:rsidRPr="000C0AFD" w:rsidRDefault="00760ED0" w:rsidP="000C0AFD">
      <w:pPr>
        <w:spacing w:line="360" w:lineRule="auto"/>
        <w:ind w:left="0"/>
        <w:rPr>
          <w:rFonts w:ascii="Verdana" w:hAnsi="Verdana"/>
          <w:sz w:val="20"/>
          <w:szCs w:val="20"/>
        </w:rPr>
      </w:pPr>
      <w:r w:rsidRPr="000C0AFD">
        <w:rPr>
          <w:rFonts w:ascii="Verdana" w:hAnsi="Verdana"/>
          <w:sz w:val="20"/>
          <w:szCs w:val="20"/>
        </w:rPr>
        <w:t xml:space="preserve">     En la Sentencia C-296 de 1997, el máximo tribunal de la jurisdicción constitucional subraya el principio constitucional del monopolio estatal de las armas de fuego, que se erige en presupuesto de la protección de los derechos y la garantía de un orden justo. Postulado desarrollado por la jurisprudencia, del cual se infiere que “las necesidades de autoprotección y la práctica de actividades deportivas o recreativas no constituyen razones suficientes para permitir el libre acceso a armas de fuego, entre otras razones porque, ‘según las estadísticas, es posible sostener que el porte de armas promueve la violencia, agrava las consecuencias de los enfrentamientos sociales e introduce un factor de desigualdad en las relaciones entre particulares”.</w:t>
      </w:r>
    </w:p>
    <w:p w14:paraId="3584719D" w14:textId="77777777" w:rsidR="00760ED0" w:rsidRPr="000C0AFD" w:rsidRDefault="00760ED0" w:rsidP="000C0AFD">
      <w:pPr>
        <w:spacing w:line="360" w:lineRule="auto"/>
        <w:ind w:left="0"/>
        <w:rPr>
          <w:rFonts w:ascii="Verdana" w:hAnsi="Verdana"/>
          <w:sz w:val="20"/>
          <w:szCs w:val="20"/>
        </w:rPr>
      </w:pPr>
    </w:p>
    <w:p w14:paraId="35076050" w14:textId="77777777" w:rsidR="00760ED0" w:rsidRPr="000C0AFD" w:rsidRDefault="00760ED0" w:rsidP="000C0AFD">
      <w:pPr>
        <w:spacing w:line="360" w:lineRule="auto"/>
        <w:ind w:left="0" w:right="51"/>
        <w:rPr>
          <w:rFonts w:ascii="Verdana" w:hAnsi="Verdana"/>
          <w:b/>
          <w:sz w:val="20"/>
          <w:szCs w:val="20"/>
        </w:rPr>
      </w:pPr>
      <w:r w:rsidRPr="000C0AFD">
        <w:rPr>
          <w:rFonts w:ascii="Verdana" w:hAnsi="Verdana"/>
          <w:b/>
          <w:sz w:val="20"/>
          <w:szCs w:val="20"/>
        </w:rPr>
        <w:t>La regulación en el Código Penal</w:t>
      </w:r>
    </w:p>
    <w:p w14:paraId="7706B374" w14:textId="77777777" w:rsidR="00760ED0" w:rsidRPr="000C0AFD" w:rsidRDefault="00760ED0" w:rsidP="000C0AFD">
      <w:pPr>
        <w:pStyle w:val="Prrafodelista"/>
        <w:spacing w:line="360" w:lineRule="auto"/>
        <w:ind w:left="1788" w:right="51" w:firstLine="567"/>
        <w:rPr>
          <w:rFonts w:ascii="Verdana" w:hAnsi="Verdana"/>
          <w:sz w:val="20"/>
          <w:szCs w:val="20"/>
        </w:rPr>
      </w:pPr>
    </w:p>
    <w:p w14:paraId="571F538A" w14:textId="77777777" w:rsidR="00760ED0" w:rsidRPr="000C0AFD" w:rsidRDefault="00760ED0" w:rsidP="000C0AFD">
      <w:pPr>
        <w:spacing w:line="360" w:lineRule="auto"/>
        <w:ind w:left="0" w:right="51" w:firstLine="567"/>
        <w:rPr>
          <w:rFonts w:ascii="Verdana" w:hAnsi="Verdana"/>
          <w:sz w:val="20"/>
          <w:szCs w:val="20"/>
        </w:rPr>
      </w:pPr>
      <w:r w:rsidRPr="000C0AFD">
        <w:rPr>
          <w:rFonts w:ascii="Verdana" w:hAnsi="Verdana"/>
          <w:sz w:val="20"/>
          <w:szCs w:val="20"/>
        </w:rPr>
        <w:t>Los artículos 365 y 366 del Código Penal disponen:</w:t>
      </w:r>
    </w:p>
    <w:p w14:paraId="67D4AC46" w14:textId="77777777" w:rsidR="00760ED0" w:rsidRPr="000C0AFD" w:rsidRDefault="00760ED0" w:rsidP="000C0AFD">
      <w:pPr>
        <w:pStyle w:val="NormalWeb"/>
        <w:spacing w:line="360" w:lineRule="auto"/>
        <w:ind w:left="567" w:right="333" w:firstLine="567"/>
        <w:rPr>
          <w:rFonts w:ascii="Verdana" w:hAnsi="Verdana"/>
          <w:i/>
          <w:sz w:val="20"/>
          <w:szCs w:val="20"/>
          <w:lang w:val="es-ES"/>
        </w:rPr>
      </w:pPr>
      <w:bookmarkStart w:id="1" w:name="365"/>
      <w:r w:rsidRPr="000C0AFD">
        <w:rPr>
          <w:rFonts w:ascii="Verdana" w:hAnsi="Verdana"/>
          <w:b/>
          <w:bCs/>
          <w:i/>
          <w:sz w:val="20"/>
          <w:szCs w:val="20"/>
          <w:lang w:val="es-ES"/>
        </w:rPr>
        <w:t>“ARTÍCULO 365. FABRICACIÓN, TRÁFICO, PORTE O TENENCIA DE ARMAS DE FUEGO, ACCESORIOS, PARTES O MUNICIONES.</w:t>
      </w:r>
      <w:bookmarkEnd w:id="1"/>
      <w:r w:rsidRPr="000C0AFD">
        <w:rPr>
          <w:rFonts w:ascii="Verdana" w:hAnsi="Verdana"/>
          <w:i/>
          <w:sz w:val="20"/>
          <w:szCs w:val="20"/>
          <w:lang w:val="es-ES"/>
        </w:rPr>
        <w:t xml:space="preserve">  &lt;Artículo </w:t>
      </w:r>
      <w:r w:rsidRPr="000C0AFD">
        <w:rPr>
          <w:rFonts w:ascii="Verdana" w:hAnsi="Verdana"/>
          <w:i/>
          <w:sz w:val="20"/>
          <w:szCs w:val="20"/>
          <w:lang w:val="es-ES"/>
        </w:rPr>
        <w:lastRenderedPageBreak/>
        <w:t xml:space="preserve">modificado por el artículo 19 de la Ley 1453 de 2011. El nuevo texto es el siguiente:&gt; El que sin permiso de autoridad competente importe, trafique, fabrique, transporte, almacene, distribuya, venda, suministre, repare, porte o tenga en un lugar armas de fuego de defensa personal, sus partes esenciales, accesorios esenciales o municiones, incurrirá en prisión </w:t>
      </w:r>
      <w:r w:rsidRPr="000C0AFD">
        <w:rPr>
          <w:rFonts w:ascii="Verdana" w:hAnsi="Verdana"/>
          <w:i/>
          <w:sz w:val="20"/>
          <w:szCs w:val="20"/>
          <w:u w:val="single"/>
          <w:lang w:val="es-ES"/>
        </w:rPr>
        <w:t>de nueve (9) a doce (12) años</w:t>
      </w:r>
      <w:r w:rsidRPr="000C0AFD">
        <w:rPr>
          <w:rFonts w:ascii="Verdana" w:hAnsi="Verdana"/>
          <w:i/>
          <w:sz w:val="20"/>
          <w:szCs w:val="20"/>
          <w:lang w:val="es-ES"/>
        </w:rPr>
        <w:t xml:space="preserve">. </w:t>
      </w:r>
    </w:p>
    <w:p w14:paraId="64E1DCC8" w14:textId="77777777" w:rsidR="00760ED0" w:rsidRPr="000C0AFD" w:rsidRDefault="00760ED0" w:rsidP="000C0AFD">
      <w:pPr>
        <w:pStyle w:val="NormalWeb"/>
        <w:spacing w:line="360" w:lineRule="auto"/>
        <w:ind w:left="567" w:right="333" w:firstLine="567"/>
        <w:rPr>
          <w:rFonts w:ascii="Verdana" w:hAnsi="Verdana" w:cs="Arial"/>
          <w:i/>
          <w:sz w:val="20"/>
          <w:szCs w:val="20"/>
          <w:lang w:val="es-ES"/>
        </w:rPr>
      </w:pPr>
      <w:r w:rsidRPr="000C0AFD">
        <w:rPr>
          <w:rFonts w:ascii="Verdana" w:hAnsi="Verdana"/>
          <w:i/>
          <w:sz w:val="20"/>
          <w:szCs w:val="20"/>
          <w:lang w:val="es-ES"/>
        </w:rPr>
        <w:t xml:space="preserve">En la misma pena incurrirá cuando se trate de armas de fuego de fabricación hechiza o artesanal, salvo las escopetas de fisto en zonas rurales. </w:t>
      </w:r>
    </w:p>
    <w:p w14:paraId="47DFDF50"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La pena anteriormente dispuesta se duplicará cuando la conducta se cometa en las siguientes circunstancias: </w:t>
      </w:r>
    </w:p>
    <w:p w14:paraId="7286E729" w14:textId="77777777" w:rsidR="00760ED0" w:rsidRPr="000C0AFD" w:rsidRDefault="00760ED0" w:rsidP="000C0AFD">
      <w:pPr>
        <w:pStyle w:val="NormalWeb"/>
        <w:spacing w:line="360" w:lineRule="auto"/>
        <w:ind w:left="567" w:right="333" w:firstLine="567"/>
        <w:rPr>
          <w:rFonts w:ascii="Verdana" w:hAnsi="Verdana" w:cs="Arial"/>
          <w:i/>
          <w:sz w:val="20"/>
          <w:szCs w:val="20"/>
          <w:lang w:val="es-ES"/>
        </w:rPr>
      </w:pPr>
      <w:r w:rsidRPr="000C0AFD">
        <w:rPr>
          <w:rFonts w:ascii="Verdana" w:hAnsi="Verdana"/>
          <w:i/>
          <w:sz w:val="20"/>
          <w:szCs w:val="20"/>
          <w:lang w:val="es-ES"/>
        </w:rPr>
        <w:t xml:space="preserve">1. Utilizando medios motorizados. </w:t>
      </w:r>
    </w:p>
    <w:p w14:paraId="3C5F0DB3"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2. Cuando el arma provenga de un delito. </w:t>
      </w:r>
    </w:p>
    <w:p w14:paraId="259D64F8"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3. Cuando se oponga resistencia en forma violenta a los requerimientos de las autoridades. </w:t>
      </w:r>
    </w:p>
    <w:p w14:paraId="223748E0"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4. Cuando se empleen máscaras o elementos similares que sirvan para ocultar la identidad o la dificulten. </w:t>
      </w:r>
    </w:p>
    <w:p w14:paraId="3DF3777E"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5. Obrar en coparticipación criminal. </w:t>
      </w:r>
    </w:p>
    <w:p w14:paraId="403BE681"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6. Cuando las armas o municiones hayan sido modificadas en sus características de fabricación u origen, que aumenten su letalidad. </w:t>
      </w:r>
    </w:p>
    <w:p w14:paraId="5506B283"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 xml:space="preserve">7. Cuando el autor pertenezca o haga parte de un grupo de delincuencia organizado. </w:t>
      </w:r>
    </w:p>
    <w:p w14:paraId="7CFB28A6" w14:textId="77777777" w:rsidR="00760ED0" w:rsidRPr="000C0AFD" w:rsidRDefault="00760ED0" w:rsidP="000C0AFD">
      <w:pPr>
        <w:spacing w:before="240" w:after="240" w:line="360" w:lineRule="auto"/>
        <w:ind w:left="567" w:right="333" w:firstLine="567"/>
        <w:rPr>
          <w:rFonts w:ascii="Verdana" w:hAnsi="Verdana"/>
          <w:i/>
          <w:sz w:val="20"/>
          <w:szCs w:val="20"/>
          <w:lang w:val="es-ES"/>
        </w:rPr>
      </w:pPr>
      <w:r w:rsidRPr="000C0AFD">
        <w:rPr>
          <w:rFonts w:ascii="Verdana" w:hAnsi="Verdana"/>
          <w:i/>
          <w:sz w:val="20"/>
          <w:szCs w:val="20"/>
          <w:lang w:val="es-ES"/>
        </w:rPr>
        <w:t>8. &lt;Numeral adicionado por el artículo 8 de la Ley 1908 de 2018. El nuevo texto es el siguiente:&gt; Cuando la conducta sea desarrollada dentro de los territorios que conforman la cobertura geográfica de los Programas de Desarrollo con Enfoque Territorial (PDET).”</w:t>
      </w:r>
    </w:p>
    <w:p w14:paraId="4A535912" w14:textId="77777777" w:rsidR="00760ED0" w:rsidRPr="000C0AFD" w:rsidRDefault="00760ED0" w:rsidP="000C0AFD">
      <w:pPr>
        <w:pStyle w:val="NormalWeb"/>
        <w:spacing w:line="360" w:lineRule="auto"/>
        <w:ind w:left="567" w:right="333" w:firstLine="567"/>
        <w:rPr>
          <w:rFonts w:ascii="Verdana" w:hAnsi="Verdana"/>
          <w:i/>
          <w:sz w:val="20"/>
          <w:szCs w:val="20"/>
          <w:lang w:val="es-ES"/>
        </w:rPr>
      </w:pPr>
      <w:bookmarkStart w:id="2" w:name="366"/>
      <w:r w:rsidRPr="000C0AFD">
        <w:rPr>
          <w:rFonts w:ascii="Verdana" w:hAnsi="Verdana"/>
          <w:b/>
          <w:bCs/>
          <w:i/>
          <w:sz w:val="20"/>
          <w:szCs w:val="20"/>
          <w:lang w:val="es-ES"/>
        </w:rPr>
        <w:lastRenderedPageBreak/>
        <w:t>“ARTICULO 366. FABRICACIÓN, TRÁFICO Y PORTE DE ARMAS, MUNICIONES DE USO RESTRINGIDO, DE USO PRIVATIVO DE LAS FUERZAS ARMADAS O EXPLOSIVOS.</w:t>
      </w:r>
      <w:bookmarkEnd w:id="2"/>
      <w:r w:rsidRPr="000C0AFD">
        <w:rPr>
          <w:rFonts w:ascii="Verdana" w:hAnsi="Verdana"/>
          <w:i/>
          <w:sz w:val="20"/>
          <w:szCs w:val="20"/>
          <w:lang w:val="es-ES"/>
        </w:rPr>
        <w:t xml:space="preserve"> &lt;Artículo modificado por el artículo 20 de la Ley 1453 de 2011. El nuevo texto es el siguiente:&gt; El que sin permiso de autoridad competente importe, trafique, fabrique, transporte, repare, almacene, conserve, adquiera, suministre, porte o tenga en un lugar armas o sus partes esenciales, accesorios esenciales, municiones de uso privado de las Fuerzas Armadas o explosivos, incurrirá en prisión de once (11) a quince (15) años. </w:t>
      </w:r>
    </w:p>
    <w:p w14:paraId="7A8CEF9C" w14:textId="77777777" w:rsidR="00760ED0" w:rsidRPr="000C0AFD" w:rsidRDefault="00760ED0" w:rsidP="000C0AFD">
      <w:pPr>
        <w:pStyle w:val="NormalWeb"/>
        <w:spacing w:line="360" w:lineRule="auto"/>
        <w:ind w:left="567" w:right="333" w:firstLine="567"/>
        <w:rPr>
          <w:rFonts w:ascii="Verdana" w:hAnsi="Verdana"/>
          <w:i/>
          <w:sz w:val="20"/>
          <w:szCs w:val="20"/>
          <w:lang w:val="es-ES"/>
        </w:rPr>
      </w:pPr>
      <w:r w:rsidRPr="000C0AFD">
        <w:rPr>
          <w:rFonts w:ascii="Verdana" w:hAnsi="Verdana"/>
          <w:i/>
          <w:sz w:val="20"/>
          <w:szCs w:val="20"/>
          <w:lang w:val="es-ES"/>
        </w:rPr>
        <w:t>La pena anteriormente dispuesta se duplicará cuando concurran las circunstancias determinadas en el inciso 3o del artículo anterior”</w:t>
      </w:r>
    </w:p>
    <w:p w14:paraId="0BD13F57" w14:textId="77777777" w:rsidR="00760ED0" w:rsidRPr="000C0AFD" w:rsidRDefault="00760ED0" w:rsidP="000C0AFD">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En vista de los anteriores artículos, las sanciones previstas para la comisión de cada uno de estos delitos es lo suficientemente onerosa como para desincentivar la comisión de este delito, por lo que el objeto de este proyecto no puede centrarse en aumentar las penas de modo que puedan ser sujeto de rebaja en su dosificación una vez se hayan hecho los acuerdos, y aprobados por los jueces.</w:t>
      </w:r>
    </w:p>
    <w:p w14:paraId="7577B642" w14:textId="77777777" w:rsidR="00760ED0" w:rsidRPr="000C0AFD" w:rsidRDefault="00760ED0" w:rsidP="000C0AFD">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Debe entonces generarse espacios de aplicación efectiva de las sanciones penales, de suerte que la justicia tenga un efecto real sobre la comisión de las conductas y la efectiva imposición de las penas por el delito, de modo que el que pretenda delinquir sepa que la justicia cuenta con mayores herramientas para sancionar su ilícito.</w:t>
      </w:r>
    </w:p>
    <w:p w14:paraId="0C97F106" w14:textId="77777777" w:rsidR="00760ED0" w:rsidRPr="000C0AFD" w:rsidRDefault="00760ED0" w:rsidP="000C0AFD">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De manera reiterada se ha indicado, que el injusto [la conducta penalmente reprochable] se estructura sobre dos juicios valorativos diferentes, el desvalor de acto y desvalor de resultado, que comparten el hecho de tener al bien jurídico como fundamento</w:t>
      </w:r>
      <w:r w:rsidRPr="000C0AFD">
        <w:rPr>
          <w:rFonts w:ascii="Verdana" w:hAnsi="Verdana"/>
          <w:sz w:val="20"/>
          <w:szCs w:val="20"/>
          <w:vertAlign w:val="superscript"/>
          <w:lang w:val="es-ES"/>
        </w:rPr>
        <w:footnoteReference w:id="15"/>
      </w:r>
      <w:r w:rsidRPr="000C0AFD">
        <w:rPr>
          <w:rFonts w:ascii="Verdana" w:hAnsi="Verdana"/>
          <w:sz w:val="20"/>
          <w:szCs w:val="20"/>
          <w:lang w:val="es-ES"/>
        </w:rPr>
        <w:t>.</w:t>
      </w:r>
    </w:p>
    <w:p w14:paraId="3C062E26" w14:textId="77777777" w:rsidR="00760ED0" w:rsidRPr="000C0AFD" w:rsidRDefault="00760ED0" w:rsidP="000C0AFD">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 xml:space="preserve">No basta por tanto para configurar el injusto la desvaloración de la conducta en términos de su peligrosidad para el bien objeto de protección por el tipo correspondiente; sino que se exige además que la actuación haya producido una lesión </w:t>
      </w:r>
      <w:r w:rsidRPr="000C0AFD">
        <w:rPr>
          <w:rFonts w:ascii="Verdana" w:hAnsi="Verdana"/>
          <w:sz w:val="20"/>
          <w:szCs w:val="20"/>
          <w:lang w:val="es-ES"/>
        </w:rPr>
        <w:lastRenderedPageBreak/>
        <w:t>al bien jurídico o lo haya puesto en peligro, a lo que se añade la ausencia de un interés prevalente que justifique el hecho</w:t>
      </w:r>
      <w:r w:rsidRPr="000C0AFD">
        <w:rPr>
          <w:rFonts w:ascii="Verdana" w:hAnsi="Verdana"/>
          <w:sz w:val="20"/>
          <w:szCs w:val="20"/>
          <w:vertAlign w:val="superscript"/>
          <w:lang w:val="es-ES"/>
        </w:rPr>
        <w:footnoteReference w:id="16"/>
      </w:r>
      <w:r w:rsidRPr="000C0AFD">
        <w:rPr>
          <w:rFonts w:ascii="Verdana" w:hAnsi="Verdana"/>
          <w:sz w:val="20"/>
          <w:szCs w:val="20"/>
          <w:lang w:val="es-ES"/>
        </w:rPr>
        <w:t>.</w:t>
      </w:r>
    </w:p>
    <w:p w14:paraId="54253FC5" w14:textId="77777777" w:rsidR="00760ED0" w:rsidRPr="000C0AFD" w:rsidRDefault="00760ED0" w:rsidP="000C0AFD">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 xml:space="preserve">El porte de armas es considerado como un delito de peligro, </w:t>
      </w:r>
      <w:r w:rsidRPr="000C0AFD">
        <w:rPr>
          <w:rFonts w:ascii="Verdana" w:hAnsi="Verdana" w:cs="Arial"/>
          <w:sz w:val="20"/>
          <w:szCs w:val="20"/>
          <w:shd w:val="clear" w:color="auto" w:fill="FFFFFF"/>
        </w:rPr>
        <w:t>no ante la causación de un resultado material de daño o lesión sino ante el </w:t>
      </w:r>
      <w:r w:rsidRPr="000C0AFD">
        <w:rPr>
          <w:rFonts w:ascii="Verdana" w:hAnsi="Verdana" w:cs="Arial"/>
          <w:bCs/>
          <w:sz w:val="20"/>
          <w:szCs w:val="20"/>
          <w:shd w:val="clear" w:color="auto" w:fill="FFFFFF"/>
        </w:rPr>
        <w:t>peligro</w:t>
      </w:r>
      <w:r w:rsidRPr="000C0AFD">
        <w:rPr>
          <w:rFonts w:ascii="Verdana" w:hAnsi="Verdana" w:cs="Arial"/>
          <w:sz w:val="20"/>
          <w:szCs w:val="20"/>
          <w:shd w:val="clear" w:color="auto" w:fill="FFFFFF"/>
        </w:rPr>
        <w:t> de que ese daño material o lesión aparezca, es decir, se sanciona la puesta en peligro por parte del sujeto activo, al resto de la sociedad</w:t>
      </w:r>
      <w:r w:rsidRPr="000C0AFD">
        <w:rPr>
          <w:rFonts w:ascii="Verdana" w:hAnsi="Verdana"/>
          <w:sz w:val="20"/>
          <w:szCs w:val="20"/>
          <w:lang w:val="es-ES"/>
        </w:rPr>
        <w:t>.</w:t>
      </w:r>
    </w:p>
    <w:p w14:paraId="56C69128" w14:textId="452947BB" w:rsidR="00760ED0" w:rsidRPr="009C124C" w:rsidRDefault="00760ED0" w:rsidP="009C124C">
      <w:pPr>
        <w:spacing w:before="240" w:after="240" w:line="360" w:lineRule="auto"/>
        <w:ind w:left="0" w:firstLine="567"/>
        <w:rPr>
          <w:rFonts w:ascii="Verdana" w:hAnsi="Verdana"/>
          <w:sz w:val="20"/>
          <w:szCs w:val="20"/>
          <w:lang w:val="es-ES"/>
        </w:rPr>
      </w:pPr>
      <w:r w:rsidRPr="000C0AFD">
        <w:rPr>
          <w:rFonts w:ascii="Verdana" w:hAnsi="Verdana"/>
          <w:sz w:val="20"/>
          <w:szCs w:val="20"/>
          <w:lang w:val="es-ES"/>
        </w:rPr>
        <w:t>Cabe resaltar, que como se mencionó anteriormente, el monopolio de la fuerza le corresponde al Estado, por lo tanto el que existan armas legales circulando en el territorio nacional debería ser una excepción, pues para ello se encuentran instituidas las fuerzas del Orden Público, por ello el reproche de esta conducta debe ser superior, pues en la actualidad la situación de seguridad a nivel nacional ha mejorado sustancialmente en el país, y el pie de fuerza policivo ha aumentado en igual medida.</w:t>
      </w:r>
    </w:p>
    <w:p w14:paraId="2993412F" w14:textId="13C27694" w:rsidR="00760ED0" w:rsidRPr="009C124C" w:rsidRDefault="00760ED0" w:rsidP="009C124C">
      <w:pPr>
        <w:pStyle w:val="Prrafodelista"/>
        <w:numPr>
          <w:ilvl w:val="0"/>
          <w:numId w:val="10"/>
        </w:numPr>
        <w:spacing w:line="360" w:lineRule="auto"/>
        <w:rPr>
          <w:rFonts w:ascii="Verdana" w:hAnsi="Verdana" w:cs="Arial"/>
          <w:b/>
          <w:color w:val="000000" w:themeColor="text1"/>
          <w:sz w:val="20"/>
          <w:szCs w:val="20"/>
        </w:rPr>
      </w:pPr>
      <w:r w:rsidRPr="000C0AFD">
        <w:rPr>
          <w:rFonts w:ascii="Verdana" w:eastAsia="Book Antiqua" w:hAnsi="Verdana" w:cs="Book Antiqua"/>
          <w:b/>
          <w:sz w:val="20"/>
          <w:szCs w:val="20"/>
        </w:rPr>
        <w:t>Elementos subsidiarios a estos tipos penales.</w:t>
      </w:r>
    </w:p>
    <w:p w14:paraId="11385E1A" w14:textId="77777777" w:rsidR="00760ED0" w:rsidRPr="000C0AFD" w:rsidRDefault="00760ED0" w:rsidP="000C0AFD">
      <w:pPr>
        <w:spacing w:before="240" w:after="240" w:line="360" w:lineRule="auto"/>
        <w:ind w:left="0"/>
        <w:rPr>
          <w:rFonts w:ascii="Verdana" w:hAnsi="Verdana"/>
          <w:b/>
          <w:bCs/>
          <w:sz w:val="20"/>
          <w:szCs w:val="20"/>
        </w:rPr>
      </w:pPr>
      <w:r w:rsidRPr="000C0AFD">
        <w:rPr>
          <w:rFonts w:ascii="Verdana" w:hAnsi="Verdana"/>
          <w:b/>
          <w:bCs/>
          <w:sz w:val="20"/>
          <w:szCs w:val="20"/>
        </w:rPr>
        <w:t>Reincidencia</w:t>
      </w:r>
    </w:p>
    <w:p w14:paraId="3A7EBD80"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Según las cifras del </w:t>
      </w:r>
      <w:r w:rsidRPr="000C0AFD">
        <w:rPr>
          <w:rFonts w:ascii="Verdana" w:hAnsi="Verdana"/>
          <w:sz w:val="20"/>
          <w:szCs w:val="20"/>
          <w:bdr w:val="none" w:sz="0" w:space="0" w:color="auto" w:frame="1"/>
        </w:rPr>
        <w:t>Instituto Nacional Penitenciario y Carcelario (Inpec)</w:t>
      </w:r>
      <w:r w:rsidRPr="000C0AFD">
        <w:rPr>
          <w:rStyle w:val="Refdenotaalpie"/>
          <w:rFonts w:ascii="Verdana" w:hAnsi="Verdana"/>
          <w:sz w:val="20"/>
          <w:szCs w:val="20"/>
          <w:bdr w:val="none" w:sz="0" w:space="0" w:color="auto" w:frame="1"/>
        </w:rPr>
        <w:footnoteReference w:id="17"/>
      </w:r>
      <w:r w:rsidRPr="000C0AFD">
        <w:rPr>
          <w:rFonts w:ascii="Verdana" w:hAnsi="Verdana"/>
          <w:sz w:val="20"/>
          <w:szCs w:val="20"/>
        </w:rPr>
        <w:t>, en las cárceles del país hay actualmente 22.706 reincidentes, de los cuales 1.608 son mujeres y 21.098, hombres.</w:t>
      </w:r>
    </w:p>
    <w:p w14:paraId="2B3897DD"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El mayor número de casos se da por delitos como hurto, con 12.655 casos; fabricación, tráfico y porte de armas de fuego o municiones, con 8.012; tráfico, fabricación o porte de estupefacientes, con 7.645; homicidio, con 5.941; concierto para delinquir, con 4.895; fabricación, tráfico, porte o tenencia de armas de fuego, accesorios, partes o municiones, con 1.543, y extorsión, que registra 1.391 casos.</w:t>
      </w:r>
    </w:p>
    <w:p w14:paraId="3526D440" w14:textId="77777777" w:rsidR="00760ED0" w:rsidRPr="000C0AFD" w:rsidRDefault="00760ED0" w:rsidP="000C0AFD">
      <w:pPr>
        <w:spacing w:before="240" w:after="240" w:line="360" w:lineRule="auto"/>
        <w:ind w:left="0" w:firstLine="567"/>
        <w:rPr>
          <w:rFonts w:ascii="Verdana" w:hAnsi="Verdana"/>
          <w:sz w:val="20"/>
          <w:szCs w:val="20"/>
        </w:rPr>
      </w:pPr>
      <w:r w:rsidRPr="000C0AFD">
        <w:rPr>
          <w:rFonts w:ascii="Verdana" w:hAnsi="Verdana"/>
          <w:sz w:val="20"/>
          <w:szCs w:val="20"/>
        </w:rPr>
        <w:t xml:space="preserve">Estas cifras no son despreciables, pues los hurtos se cometen en buena cantidad con porte de armas de fuego, y en general, es evidente que existe una relación clara entre la violencia y la delincuencia y la reincidencia, por ello es necesario de igual </w:t>
      </w:r>
      <w:r w:rsidRPr="000C0AFD">
        <w:rPr>
          <w:rFonts w:ascii="Verdana" w:hAnsi="Verdana"/>
          <w:sz w:val="20"/>
          <w:szCs w:val="20"/>
        </w:rPr>
        <w:lastRenderedPageBreak/>
        <w:t>manera eliminar los beneficios administrativos que pueda tener esta población carcelaria, como una forma de evitar que la reincidencia siga siendo tan alta.</w:t>
      </w:r>
    </w:p>
    <w:p w14:paraId="2DA9625C" w14:textId="77777777" w:rsidR="00760ED0" w:rsidRPr="000C0AFD" w:rsidRDefault="00760ED0" w:rsidP="000C0AFD">
      <w:pPr>
        <w:spacing w:before="240" w:after="240" w:line="360" w:lineRule="auto"/>
        <w:ind w:left="0"/>
        <w:rPr>
          <w:rFonts w:ascii="Verdana" w:hAnsi="Verdana"/>
          <w:b/>
          <w:sz w:val="20"/>
          <w:szCs w:val="20"/>
        </w:rPr>
      </w:pPr>
      <w:r w:rsidRPr="000C0AFD">
        <w:rPr>
          <w:rFonts w:ascii="Verdana" w:hAnsi="Verdana"/>
          <w:b/>
          <w:sz w:val="20"/>
          <w:szCs w:val="20"/>
        </w:rPr>
        <w:t>Aumento del término de Detención Preventiva.</w:t>
      </w:r>
    </w:p>
    <w:p w14:paraId="562F255C" w14:textId="77777777" w:rsidR="00760ED0" w:rsidRPr="000C0AFD" w:rsidRDefault="00760ED0" w:rsidP="000C0AFD">
      <w:pPr>
        <w:spacing w:before="240" w:after="240" w:line="360" w:lineRule="auto"/>
        <w:ind w:left="0"/>
        <w:rPr>
          <w:rFonts w:ascii="Verdana" w:hAnsi="Verdana"/>
          <w:sz w:val="20"/>
          <w:szCs w:val="20"/>
        </w:rPr>
      </w:pPr>
      <w:r w:rsidRPr="000C0AFD">
        <w:rPr>
          <w:rFonts w:ascii="Verdana" w:hAnsi="Verdana"/>
          <w:sz w:val="20"/>
          <w:szCs w:val="20"/>
        </w:rPr>
        <w:t>Conforme al artículo 8 de la Convención Americana Sobre Derechos Humanos, la libertad es un derecho primordial que no debe ser atacado sino bajo estrictas y sensibles causales, Entendemos nosotros que estas causas pueden ser normativas o sociales, pero siempre en pro del bien general.</w:t>
      </w:r>
    </w:p>
    <w:p w14:paraId="69B90E44" w14:textId="77777777" w:rsidR="00760ED0" w:rsidRPr="000C0AFD" w:rsidRDefault="00760ED0" w:rsidP="000C0AFD">
      <w:pPr>
        <w:spacing w:before="240" w:after="240" w:line="360" w:lineRule="auto"/>
        <w:ind w:left="567" w:right="510"/>
        <w:rPr>
          <w:rFonts w:ascii="Verdana" w:hAnsi="Verdana"/>
          <w:i/>
          <w:sz w:val="20"/>
          <w:szCs w:val="20"/>
        </w:rPr>
      </w:pPr>
      <w:r w:rsidRPr="000C0AFD">
        <w:rPr>
          <w:rFonts w:ascii="Verdana" w:hAnsi="Verdana"/>
          <w:i/>
          <w:sz w:val="20"/>
          <w:szCs w:val="20"/>
        </w:rPr>
        <w:t>“La presunción de inocencia, en la cual descansa buena parte de las garantías mínimas que un Estado democrático puede ofrecer a sus gobernados, no riñe, sin embargo, con la previsión de preceptos constitucionales y legales que hagan posible la aplicación de medidas preventivas, destinadas a la protección de la sociedad frente al delito y a asegurar la comparecencia ante los jueces de aquellas personas en relación con las cuales, según las disposiciones legales preexistentes, existan motivos válidos y fundados para dar curso a un proceso penal, según elementos probatorios iniciales que hacen imperativa a la actuación de las autoridades competentes.”</w:t>
      </w:r>
      <w:r w:rsidRPr="000C0AFD">
        <w:rPr>
          <w:rStyle w:val="Refdenotaalpie"/>
          <w:rFonts w:ascii="Verdana" w:hAnsi="Verdana"/>
          <w:i/>
          <w:sz w:val="20"/>
          <w:szCs w:val="20"/>
        </w:rPr>
        <w:footnoteReference w:id="18"/>
      </w:r>
    </w:p>
    <w:p w14:paraId="7B652A5B" w14:textId="77777777" w:rsidR="00760ED0" w:rsidRPr="000C0AFD" w:rsidRDefault="00760ED0" w:rsidP="000C0AFD">
      <w:pPr>
        <w:spacing w:before="240" w:after="240" w:line="360" w:lineRule="auto"/>
        <w:ind w:left="0"/>
        <w:rPr>
          <w:rFonts w:ascii="Verdana" w:hAnsi="Verdana"/>
          <w:sz w:val="20"/>
          <w:szCs w:val="20"/>
        </w:rPr>
      </w:pPr>
      <w:r w:rsidRPr="000C0AFD">
        <w:rPr>
          <w:rFonts w:ascii="Verdana" w:hAnsi="Verdana"/>
          <w:sz w:val="20"/>
          <w:szCs w:val="20"/>
        </w:rPr>
        <w:t>En materia de política criminal es evidente que el fenómeno de la delincuencia no solo ha aumentado en cifras, cómo ha sido demostrado previamente, sino que ha empeorado el nivel de violencia e impacto emocional que se genera en la sociedad con ocasión a la utilización de armas de fuego, tanto así que la percepción ciudadana de la inseguridad durante el 2020 fue del 39%</w:t>
      </w:r>
      <w:r w:rsidRPr="000C0AFD">
        <w:rPr>
          <w:rStyle w:val="Refdenotaalpie"/>
          <w:rFonts w:ascii="Verdana" w:hAnsi="Verdana"/>
          <w:sz w:val="20"/>
          <w:szCs w:val="20"/>
        </w:rPr>
        <w:footnoteReference w:id="19"/>
      </w:r>
      <w:r w:rsidRPr="000C0AFD">
        <w:rPr>
          <w:rFonts w:ascii="Verdana" w:hAnsi="Verdana"/>
          <w:sz w:val="20"/>
          <w:szCs w:val="20"/>
        </w:rPr>
        <w:t>, una cifra bastante alta teniendo en cuenta que estuvimos encerrados la mayor parte del año con ocasión a la pandemia.</w:t>
      </w:r>
    </w:p>
    <w:p w14:paraId="7316D539" w14:textId="77777777" w:rsidR="00760ED0" w:rsidRPr="000C0AFD" w:rsidRDefault="00760ED0" w:rsidP="000C0AFD">
      <w:pPr>
        <w:spacing w:before="240" w:after="240" w:line="360" w:lineRule="auto"/>
        <w:ind w:left="0"/>
        <w:rPr>
          <w:rFonts w:ascii="Verdana" w:hAnsi="Verdana"/>
          <w:sz w:val="20"/>
          <w:szCs w:val="20"/>
        </w:rPr>
      </w:pPr>
      <w:r w:rsidRPr="000C0AFD">
        <w:rPr>
          <w:rFonts w:ascii="Verdana" w:hAnsi="Verdana"/>
          <w:sz w:val="20"/>
          <w:szCs w:val="20"/>
        </w:rPr>
        <w:t xml:space="preserve">En este proyecto decidimos duplicar los términos para la detención preventiva para quienes estén siendo procesados por el delito de porte ilegal de armas, pues estas </w:t>
      </w:r>
      <w:r w:rsidRPr="000C0AFD">
        <w:rPr>
          <w:rFonts w:ascii="Verdana" w:hAnsi="Verdana"/>
          <w:sz w:val="20"/>
          <w:szCs w:val="20"/>
        </w:rPr>
        <w:lastRenderedPageBreak/>
        <w:t>herramientas son utilizadas por quienes delinquen para agravar la violencia con que se comete el delito.</w:t>
      </w:r>
    </w:p>
    <w:p w14:paraId="4DFEE8C3" w14:textId="77777777" w:rsidR="00760ED0" w:rsidRPr="000C0AFD" w:rsidRDefault="00760ED0" w:rsidP="000C0AFD">
      <w:pPr>
        <w:spacing w:before="240" w:after="240" w:line="360" w:lineRule="auto"/>
        <w:ind w:left="0"/>
        <w:rPr>
          <w:rFonts w:ascii="Verdana" w:hAnsi="Verdana"/>
          <w:sz w:val="20"/>
          <w:szCs w:val="20"/>
        </w:rPr>
      </w:pPr>
      <w:r w:rsidRPr="000C0AFD">
        <w:rPr>
          <w:rFonts w:ascii="Verdana" w:hAnsi="Verdana"/>
          <w:sz w:val="20"/>
          <w:szCs w:val="20"/>
        </w:rPr>
        <w:t>La detención preventiva es una excepción a la regla general, pues no es una condena ni se asimila a ella, sino que busca asegurar el normal desarrollo del proceso penal y evita la comisión de otros delitos por el mismo actor, por ello si esta medida es impuesta dentro de un proceso de estas características, es porque el juez en su sano juicio determinó que existe riesgo para el proceso o la sociedad si el procesado mantiene el ejercicio arbitrario de su derecho.</w:t>
      </w:r>
    </w:p>
    <w:p w14:paraId="473460D3" w14:textId="77777777" w:rsidR="00760ED0" w:rsidRPr="000C0AFD" w:rsidRDefault="00760ED0" w:rsidP="000C0AFD">
      <w:pPr>
        <w:spacing w:before="240" w:after="240" w:line="360" w:lineRule="auto"/>
        <w:ind w:left="0"/>
        <w:rPr>
          <w:rFonts w:ascii="Verdana" w:hAnsi="Verdana"/>
          <w:b/>
          <w:sz w:val="20"/>
          <w:szCs w:val="20"/>
        </w:rPr>
      </w:pPr>
      <w:r w:rsidRPr="000C0AFD">
        <w:rPr>
          <w:rFonts w:ascii="Verdana" w:hAnsi="Verdana"/>
          <w:b/>
          <w:sz w:val="20"/>
          <w:szCs w:val="20"/>
        </w:rPr>
        <w:t>Beneficios y subrogados penales en el Sistema Penal colombiano</w:t>
      </w:r>
    </w:p>
    <w:p w14:paraId="3F734C47" w14:textId="77777777" w:rsidR="00760ED0" w:rsidRPr="000C0AFD" w:rsidRDefault="00760ED0" w:rsidP="000C0AFD">
      <w:pPr>
        <w:spacing w:before="240" w:after="240" w:line="360" w:lineRule="auto"/>
        <w:ind w:left="6"/>
        <w:rPr>
          <w:rFonts w:ascii="Verdana" w:hAnsi="Verdana"/>
          <w:sz w:val="20"/>
          <w:szCs w:val="20"/>
        </w:rPr>
      </w:pPr>
      <w:r w:rsidRPr="000C0AFD">
        <w:rPr>
          <w:rFonts w:ascii="Verdana" w:hAnsi="Verdana"/>
          <w:sz w:val="20"/>
          <w:szCs w:val="20"/>
        </w:rPr>
        <w:t xml:space="preserve">     Los subrogados penales, hacen referencia a aquellas medidas que sustituyen el arresto y las penas de prisión, concedidas a individuos que han sido condenados por este tipo de penas; cumpliendo con unos requisitos mínimos (Maya, 2012, p. 28). Actualmente en Colombia existen 5 tipos diferentes de subrogado penal:</w:t>
      </w:r>
    </w:p>
    <w:p w14:paraId="45422087" w14:textId="77777777" w:rsidR="00760ED0" w:rsidRPr="000C0AFD" w:rsidRDefault="00760ED0" w:rsidP="000C0AFD">
      <w:pPr>
        <w:pStyle w:val="Prrafodelista"/>
        <w:numPr>
          <w:ilvl w:val="0"/>
          <w:numId w:val="7"/>
        </w:numPr>
        <w:spacing w:before="240" w:after="240" w:line="360" w:lineRule="auto"/>
        <w:rPr>
          <w:rFonts w:ascii="Verdana" w:hAnsi="Verdana"/>
          <w:sz w:val="20"/>
          <w:szCs w:val="20"/>
          <w:lang w:val="es-ES"/>
        </w:rPr>
      </w:pPr>
      <w:r w:rsidRPr="000C0AFD">
        <w:rPr>
          <w:rFonts w:ascii="Verdana" w:hAnsi="Verdana"/>
          <w:sz w:val="20"/>
          <w:szCs w:val="20"/>
          <w:lang w:val="es-ES"/>
        </w:rPr>
        <w:t>Prisión domiciliaria: Se define según el artículo 22 de la Ley 1709 de 2014 que dice "La prisión domiciliaria como sustitutiva de la prisión consistirá en la privación de la libertad en el lugar de residencia o morada del condenado o en el lugar que el Juez determine [...]";</w:t>
      </w:r>
    </w:p>
    <w:p w14:paraId="14E6A1A1" w14:textId="77777777" w:rsidR="00760ED0" w:rsidRPr="000C0AFD" w:rsidRDefault="00760ED0" w:rsidP="000C0AFD">
      <w:pPr>
        <w:pStyle w:val="Prrafodelista"/>
        <w:spacing w:before="240" w:after="240" w:line="360" w:lineRule="auto"/>
        <w:ind w:left="726"/>
        <w:rPr>
          <w:rFonts w:ascii="Verdana" w:hAnsi="Verdana"/>
          <w:sz w:val="20"/>
          <w:szCs w:val="20"/>
          <w:lang w:val="es-ES"/>
        </w:rPr>
      </w:pPr>
    </w:p>
    <w:p w14:paraId="6ED35502" w14:textId="77777777" w:rsidR="00760ED0" w:rsidRPr="000C0AFD" w:rsidRDefault="00760ED0" w:rsidP="000C0AFD">
      <w:pPr>
        <w:pStyle w:val="Prrafodelista"/>
        <w:numPr>
          <w:ilvl w:val="0"/>
          <w:numId w:val="7"/>
        </w:numPr>
        <w:spacing w:before="240" w:after="240" w:line="360" w:lineRule="auto"/>
        <w:rPr>
          <w:rFonts w:ascii="Verdana" w:hAnsi="Verdana"/>
          <w:sz w:val="20"/>
          <w:szCs w:val="20"/>
          <w:lang w:val="es-ES"/>
        </w:rPr>
      </w:pPr>
      <w:r w:rsidRPr="000C0AFD">
        <w:rPr>
          <w:rFonts w:ascii="Verdana" w:hAnsi="Verdana"/>
          <w:sz w:val="20"/>
          <w:szCs w:val="20"/>
          <w:lang w:val="es-ES"/>
        </w:rPr>
        <w:t>Libertad condicional: La libertad condicional se da cuando el implicado ha superado las tres quintas partes de su condena y haya demostrado buena conducta en el establecimiento carcelario. Está recogida en el Código Penal Colombiano en el Artículo 64, otras condiciones y normas están recogidos en los artículos 65, 66 y 67 del mismo código;</w:t>
      </w:r>
    </w:p>
    <w:p w14:paraId="3C711E6B" w14:textId="77777777" w:rsidR="00760ED0" w:rsidRPr="000C0AFD" w:rsidRDefault="00760ED0" w:rsidP="000C0AFD">
      <w:pPr>
        <w:pStyle w:val="Prrafodelista"/>
        <w:spacing w:line="360" w:lineRule="auto"/>
        <w:rPr>
          <w:rFonts w:ascii="Verdana" w:hAnsi="Verdana"/>
          <w:sz w:val="20"/>
          <w:szCs w:val="20"/>
          <w:lang w:val="es-ES"/>
        </w:rPr>
      </w:pPr>
    </w:p>
    <w:p w14:paraId="5AA8CFE7" w14:textId="77777777" w:rsidR="00760ED0" w:rsidRPr="000C0AFD" w:rsidRDefault="00760ED0" w:rsidP="000C0AFD">
      <w:pPr>
        <w:pStyle w:val="Prrafodelista"/>
        <w:numPr>
          <w:ilvl w:val="0"/>
          <w:numId w:val="7"/>
        </w:numPr>
        <w:spacing w:before="240" w:after="240" w:line="360" w:lineRule="auto"/>
        <w:rPr>
          <w:rFonts w:ascii="Verdana" w:hAnsi="Verdana"/>
          <w:sz w:val="20"/>
          <w:szCs w:val="20"/>
          <w:lang w:val="es-ES"/>
        </w:rPr>
      </w:pPr>
      <w:r w:rsidRPr="000C0AFD">
        <w:rPr>
          <w:rFonts w:ascii="Verdana" w:hAnsi="Verdana"/>
          <w:sz w:val="20"/>
          <w:szCs w:val="20"/>
          <w:lang w:val="es-ES"/>
        </w:rPr>
        <w:t>Vigilancia electrónica: Está sustentado en el Decreto 177 del 2008, donde se establece como mecanismos de vigilancia electrónica sustitutivos de la pena de prisión el Seguimiento Pasivo RF, el Seguimiento Activo GPS y el Reconocimiento de Voz;</w:t>
      </w:r>
    </w:p>
    <w:p w14:paraId="193CB360" w14:textId="77777777" w:rsidR="00760ED0" w:rsidRPr="000C0AFD" w:rsidRDefault="00760ED0" w:rsidP="000C0AFD">
      <w:pPr>
        <w:pStyle w:val="Prrafodelista"/>
        <w:spacing w:line="360" w:lineRule="auto"/>
        <w:rPr>
          <w:rFonts w:ascii="Verdana" w:hAnsi="Verdana"/>
          <w:sz w:val="20"/>
          <w:szCs w:val="20"/>
          <w:lang w:val="es-ES"/>
        </w:rPr>
      </w:pPr>
    </w:p>
    <w:p w14:paraId="48BA3747" w14:textId="77777777" w:rsidR="00760ED0" w:rsidRPr="000C0AFD" w:rsidRDefault="00760ED0" w:rsidP="000C0AFD">
      <w:pPr>
        <w:pStyle w:val="Prrafodelista"/>
        <w:numPr>
          <w:ilvl w:val="0"/>
          <w:numId w:val="7"/>
        </w:numPr>
        <w:spacing w:before="240" w:after="240" w:line="360" w:lineRule="auto"/>
        <w:rPr>
          <w:rFonts w:ascii="Verdana" w:hAnsi="Verdana"/>
          <w:sz w:val="20"/>
          <w:szCs w:val="20"/>
          <w:lang w:val="es-ES"/>
        </w:rPr>
      </w:pPr>
      <w:r w:rsidRPr="000C0AFD">
        <w:rPr>
          <w:rFonts w:ascii="Verdana" w:hAnsi="Verdana"/>
          <w:sz w:val="20"/>
          <w:szCs w:val="20"/>
          <w:lang w:val="es-ES"/>
        </w:rPr>
        <w:t xml:space="preserve">Suspensión de la ejecución de pena: Cuando una persona que ha sido condenada con una pena privativa de libertad puede usar esta figura que </w:t>
      </w:r>
      <w:r w:rsidRPr="000C0AFD">
        <w:rPr>
          <w:rFonts w:ascii="Verdana" w:hAnsi="Verdana"/>
          <w:sz w:val="20"/>
          <w:szCs w:val="20"/>
          <w:lang w:val="es-ES"/>
        </w:rPr>
        <w:lastRenderedPageBreak/>
        <w:t xml:space="preserve">permite que la pena sea suspendida, en lugar de ser encerrada la persona pueda seguir en libertad. Está recogida en el Artículo 63 del Código Penal Colombiano; </w:t>
      </w:r>
    </w:p>
    <w:p w14:paraId="2AE76A9F" w14:textId="77777777" w:rsidR="00760ED0" w:rsidRPr="000C0AFD" w:rsidRDefault="00760ED0" w:rsidP="000C0AFD">
      <w:pPr>
        <w:pStyle w:val="Prrafodelista"/>
        <w:spacing w:line="360" w:lineRule="auto"/>
        <w:rPr>
          <w:rFonts w:ascii="Verdana" w:hAnsi="Verdana"/>
          <w:sz w:val="20"/>
          <w:szCs w:val="20"/>
          <w:lang w:val="es-ES"/>
        </w:rPr>
      </w:pPr>
    </w:p>
    <w:p w14:paraId="0AF228B6" w14:textId="77777777" w:rsidR="00760ED0" w:rsidRPr="000C0AFD" w:rsidRDefault="00760ED0" w:rsidP="000C0AFD">
      <w:pPr>
        <w:pStyle w:val="Prrafodelista"/>
        <w:numPr>
          <w:ilvl w:val="0"/>
          <w:numId w:val="7"/>
        </w:numPr>
        <w:spacing w:before="240" w:after="240" w:line="360" w:lineRule="auto"/>
        <w:rPr>
          <w:rFonts w:ascii="Verdana" w:hAnsi="Verdana"/>
          <w:sz w:val="20"/>
          <w:szCs w:val="20"/>
          <w:lang w:val="es-ES"/>
        </w:rPr>
      </w:pPr>
      <w:r w:rsidRPr="000C0AFD">
        <w:rPr>
          <w:rFonts w:ascii="Verdana" w:hAnsi="Verdana"/>
          <w:sz w:val="20"/>
          <w:szCs w:val="20"/>
          <w:lang w:val="es-ES"/>
        </w:rPr>
        <w:t xml:space="preserve">Reclusión domiciliaria u hospitalaria: Permite a un condenado que se encuentre padeciendo una enfermedad grave y cuyo tratamiento no pueda ser aplicado en las condiciones de reclusión en las instituciones o centro penitenciario donde se encuentre, autorizar la remisión a un lugar de residencia o un centro hospitalario donde puedan atenderle y pueda seguir con la ejecución de su pena privativa de libertad. </w:t>
      </w:r>
    </w:p>
    <w:p w14:paraId="07108485" w14:textId="77777777" w:rsidR="00760ED0" w:rsidRPr="000C0AFD" w:rsidRDefault="00760ED0" w:rsidP="000C0AFD">
      <w:pPr>
        <w:pStyle w:val="Prrafodelista"/>
        <w:spacing w:line="360" w:lineRule="auto"/>
        <w:rPr>
          <w:rFonts w:ascii="Verdana" w:hAnsi="Verdana"/>
          <w:sz w:val="20"/>
          <w:szCs w:val="20"/>
          <w:lang w:val="es-ES"/>
        </w:rPr>
      </w:pPr>
    </w:p>
    <w:p w14:paraId="1FB890D9" w14:textId="77777777" w:rsidR="00760ED0" w:rsidRPr="000C0AFD" w:rsidRDefault="00760ED0" w:rsidP="000C0AFD">
      <w:pPr>
        <w:spacing w:before="240" w:after="240" w:line="360" w:lineRule="auto"/>
        <w:ind w:left="0"/>
        <w:rPr>
          <w:rFonts w:ascii="Verdana" w:hAnsi="Verdana"/>
          <w:sz w:val="20"/>
          <w:szCs w:val="20"/>
          <w:lang w:val="es-ES"/>
        </w:rPr>
      </w:pPr>
      <w:r w:rsidRPr="000C0AFD">
        <w:rPr>
          <w:rFonts w:ascii="Verdana" w:hAnsi="Verdana"/>
          <w:sz w:val="20"/>
          <w:szCs w:val="20"/>
          <w:lang w:val="es-ES"/>
        </w:rPr>
        <w:t xml:space="preserve">     En relación con la exclusión de estos beneficios o subrogados penales, surge la pregunta si resulta contrario al derecho de igualdad la exclusión de los beneficios y subrogados penales a quienes hayan cometido los delitos de Fabricación, tráfico y porte de armas de fuego o municiones y Fabricación, tráfico y porte de armas y municiones de uso privativo de las fuerzas armadas. </w:t>
      </w:r>
    </w:p>
    <w:p w14:paraId="0699A6F5" w14:textId="77777777" w:rsidR="00760ED0" w:rsidRPr="000C0AFD" w:rsidRDefault="00760ED0" w:rsidP="000C0AFD">
      <w:pPr>
        <w:spacing w:before="240" w:after="240" w:line="360" w:lineRule="auto"/>
        <w:rPr>
          <w:rFonts w:ascii="Verdana" w:hAnsi="Verdana"/>
          <w:sz w:val="20"/>
          <w:szCs w:val="20"/>
          <w:lang w:val="es-ES"/>
        </w:rPr>
      </w:pPr>
      <w:r w:rsidRPr="000C0AFD">
        <w:rPr>
          <w:rFonts w:ascii="Verdana" w:hAnsi="Verdana"/>
          <w:sz w:val="20"/>
          <w:szCs w:val="20"/>
          <w:lang w:val="es-ES"/>
        </w:rPr>
        <w:t xml:space="preserve">Al respecto, la Corte Constitucional, sala plena, en sentencia C 762 de 2002 expresó lo siguiente: </w:t>
      </w:r>
    </w:p>
    <w:p w14:paraId="4FA6BB7A"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“En la medida en que exista en el ordenamiento jurídico una amplia gama de beneficios y subrogados penales, y los mismos resulten aplicables a todas las categorías de delitos en forma indiscriminada, la lucha que se promueva contra aquellos puede resultar infructuosa, pues la pena, que “constituye lo justo, es decir, lo que se merece”, pierde su efectividad y proporcionalidad cuantitativa frente al mayor daño que determinados comportamientos causan a la comunidad. Por eso, resulta ajustado a la Constitución Política que subsista y se aplique la punibilidad para conductas como el terrorismo, el secuestro y la extorsión, que, por razón de su gravedad y alto grado de criminalidad, no pueden ser relevadas de un castigo ejemplarizante y de la proporcionada sanción penal.”</w:t>
      </w:r>
    </w:p>
    <w:p w14:paraId="4A73132F"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 xml:space="preserve">Por tanto, el legislador puede modificar los subrogados penales en razón de la política criminal que sea adoptada. Esta potestad es respetada por la Corte Constitucional, en razón que, en aquellos casos en los que se establecen normas </w:t>
      </w:r>
      <w:r w:rsidRPr="000C0AFD">
        <w:rPr>
          <w:rFonts w:ascii="Verdana" w:hAnsi="Verdana"/>
          <w:sz w:val="20"/>
          <w:szCs w:val="20"/>
        </w:rPr>
        <w:lastRenderedPageBreak/>
        <w:t>cuyo fundamento está dado en la protección del derecho de defensa o en la razonabilidad de la duración de la detención preventiva.</w:t>
      </w:r>
    </w:p>
    <w:p w14:paraId="3BB3C013"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 xml:space="preserve">En igual sentido, en sentencia de la Corte Constitucional, sala plena, C 425 de 2008 se explicó que los límites y exclusiones que establezca el legislador en materia de subrogados penales es una facultad totalmente legítima, toda vez que la adopción de esas medidas es una facultad libre del legislador que no contradice las normas constitucionales. </w:t>
      </w:r>
    </w:p>
    <w:p w14:paraId="79DC761C"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 xml:space="preserve">La Corte dice que en suma es una decisión del poder legislativo que busca hacer efectivo el derecho a la justicia de las víctimas y garantizar el cumplimiento del reproche social en contra de quien ha cometido una conducta que afecta, de forma grave, bienes jurídicos especialmente valiosos desde la perspectiva constitucional, como la vida, la dignidad humana, la seguridad personal y la integridad física (Corte Constitucional, sala plena, sentencia C 073 de 2010). En palabras de esa Corporación: </w:t>
      </w:r>
    </w:p>
    <w:p w14:paraId="19AC0EE1"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 xml:space="preserve">“(…) a un asunto de política criminal, que surge de una previa valoración de conveniencia política y, a la gravedad de las conductas delictivas y al grado de afectación que éstas puedan hacer al bien común. En ejercicio del ius puniendi, el legislador puede restringir o eliminar beneficios y subrogados penales con el fin de combatir las peores manifestaciones delictivas como el terrorismo, el secuestro y la extorsión, en razón a su gravedad. (Corte Constitucional, sala cuarta de revisión, sentencia T 271 de 2014). </w:t>
      </w:r>
    </w:p>
    <w:p w14:paraId="78C38735" w14:textId="77777777" w:rsidR="00760ED0" w:rsidRPr="000C0AFD" w:rsidRDefault="00760ED0" w:rsidP="000C0AFD">
      <w:pPr>
        <w:spacing w:before="240" w:after="240" w:line="360" w:lineRule="auto"/>
        <w:ind w:left="439"/>
        <w:rPr>
          <w:rFonts w:ascii="Verdana" w:hAnsi="Verdana"/>
          <w:sz w:val="20"/>
          <w:szCs w:val="20"/>
        </w:rPr>
      </w:pPr>
      <w:r w:rsidRPr="000C0AFD">
        <w:rPr>
          <w:rFonts w:ascii="Verdana" w:hAnsi="Verdana"/>
          <w:sz w:val="20"/>
          <w:szCs w:val="20"/>
        </w:rPr>
        <w:t xml:space="preserve">De acuerdo con los datos aportados en el acápite anterior, este es el caso para los delitos de Fabricación, tráfico y porte de armas de fuego o municiones y Fabricación, tráfico y porte de armas y municiones de uso privativo de las fuerzas armadas, pues muestran que los mismos afectan de forma grave la seguridad personal, la integridad física y la vida; de allí la importancia de excluirlos de los beneficios o subrogados penales dispuestos en el sistema penal colombiano.  </w:t>
      </w:r>
    </w:p>
    <w:p w14:paraId="0026E24F" w14:textId="77777777" w:rsidR="00760ED0" w:rsidRPr="000C0AFD" w:rsidRDefault="00760ED0" w:rsidP="000C0AFD">
      <w:pPr>
        <w:spacing w:line="360" w:lineRule="auto"/>
        <w:rPr>
          <w:rFonts w:ascii="Verdana" w:hAnsi="Verdana" w:cs="Arial"/>
          <w:b/>
          <w:color w:val="000000" w:themeColor="text1"/>
          <w:sz w:val="20"/>
          <w:szCs w:val="20"/>
        </w:rPr>
      </w:pPr>
    </w:p>
    <w:p w14:paraId="6EC4B375" w14:textId="77777777" w:rsidR="00760ED0" w:rsidRPr="000C0AFD" w:rsidRDefault="00760ED0" w:rsidP="000C0AFD">
      <w:pPr>
        <w:pStyle w:val="Prrafodelista"/>
        <w:numPr>
          <w:ilvl w:val="0"/>
          <w:numId w:val="10"/>
        </w:numPr>
        <w:spacing w:line="360" w:lineRule="auto"/>
        <w:rPr>
          <w:rFonts w:ascii="Verdana" w:hAnsi="Verdana" w:cs="Arial"/>
          <w:b/>
          <w:color w:val="000000" w:themeColor="text1"/>
          <w:sz w:val="20"/>
          <w:szCs w:val="20"/>
        </w:rPr>
      </w:pPr>
      <w:r w:rsidRPr="000C0AFD">
        <w:rPr>
          <w:rFonts w:ascii="Verdana" w:eastAsia="Book Antiqua" w:hAnsi="Verdana" w:cs="Book Antiqua"/>
          <w:b/>
          <w:sz w:val="20"/>
          <w:szCs w:val="20"/>
        </w:rPr>
        <w:t>Noticias recientes</w:t>
      </w:r>
    </w:p>
    <w:p w14:paraId="0B2589A4" w14:textId="77777777" w:rsidR="00760ED0" w:rsidRPr="000C0AFD" w:rsidRDefault="00760ED0" w:rsidP="000C0AFD">
      <w:pPr>
        <w:spacing w:line="360" w:lineRule="auto"/>
        <w:rPr>
          <w:rFonts w:ascii="Verdana" w:hAnsi="Verdana" w:cs="Arial"/>
          <w:b/>
          <w:color w:val="000000" w:themeColor="text1"/>
          <w:sz w:val="20"/>
          <w:szCs w:val="20"/>
        </w:rPr>
      </w:pPr>
    </w:p>
    <w:p w14:paraId="3A1E1D4A"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lastRenderedPageBreak/>
        <w:t>Los siguientes son encabezados de noticias del último mes relacionadas con delitos cometidos con arma de fuego, esta es una forma de evidenciar que el proyecto es necesario no solo en Bogotá, sino en todo el territorio nacional considerando que se ha transformado en una situación endémica, por ello es necesario que optemos por apoyar esta iniciativa legislativa.</w:t>
      </w:r>
    </w:p>
    <w:p w14:paraId="30566904" w14:textId="77777777" w:rsidR="00760ED0" w:rsidRPr="000C0AFD" w:rsidRDefault="00760ED0" w:rsidP="000C0AFD">
      <w:pPr>
        <w:pStyle w:val="Prrafodelista"/>
        <w:spacing w:line="360" w:lineRule="auto"/>
        <w:ind w:left="0"/>
        <w:jc w:val="center"/>
        <w:rPr>
          <w:rFonts w:ascii="Verdana" w:hAnsi="Verdana" w:cs="Arial"/>
          <w:bCs/>
          <w:color w:val="000000" w:themeColor="text1"/>
          <w:sz w:val="20"/>
          <w:szCs w:val="20"/>
        </w:rPr>
      </w:pPr>
      <w:r w:rsidRPr="000C0AFD">
        <w:rPr>
          <w:rFonts w:ascii="Verdana" w:hAnsi="Verdana"/>
          <w:bCs/>
          <w:noProof/>
          <w:sz w:val="20"/>
          <w:szCs w:val="20"/>
        </w:rPr>
        <w:drawing>
          <wp:inline distT="0" distB="0" distL="0" distR="0" wp14:anchorId="1FD4E0F3" wp14:editId="44C68BC4">
            <wp:extent cx="5514975" cy="3599247"/>
            <wp:effectExtent l="0" t="0" r="0" b="1270"/>
            <wp:docPr id="1" name="Imagen 1" descr="Captura de pantalla de un celular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en la mano&#10;&#10;Descripción generada automáticamente"/>
                    <pic:cNvPicPr/>
                  </pic:nvPicPr>
                  <pic:blipFill rotWithShape="1">
                    <a:blip r:embed="rId14"/>
                    <a:srcRect l="16124" t="21123" r="19381" b="4044"/>
                    <a:stretch/>
                  </pic:blipFill>
                  <pic:spPr bwMode="auto">
                    <a:xfrm>
                      <a:off x="0" y="0"/>
                      <a:ext cx="5517762" cy="3601066"/>
                    </a:xfrm>
                    <a:prstGeom prst="rect">
                      <a:avLst/>
                    </a:prstGeom>
                    <a:ln>
                      <a:noFill/>
                    </a:ln>
                    <a:extLst>
                      <a:ext uri="{53640926-AAD7-44D8-BBD7-CCE9431645EC}">
                        <a14:shadowObscured xmlns:a14="http://schemas.microsoft.com/office/drawing/2010/main"/>
                      </a:ext>
                    </a:extLst>
                  </pic:spPr>
                </pic:pic>
              </a:graphicData>
            </a:graphic>
          </wp:inline>
        </w:drawing>
      </w:r>
    </w:p>
    <w:p w14:paraId="7E077CB7" w14:textId="77777777" w:rsidR="00760ED0" w:rsidRPr="000C0AFD" w:rsidRDefault="00760ED0" w:rsidP="000C0AFD">
      <w:pPr>
        <w:spacing w:line="360" w:lineRule="auto"/>
        <w:rPr>
          <w:rFonts w:ascii="Verdana" w:hAnsi="Verdana" w:cs="Arial"/>
          <w:bCs/>
          <w:color w:val="000000" w:themeColor="text1"/>
          <w:sz w:val="20"/>
          <w:szCs w:val="20"/>
        </w:rPr>
      </w:pPr>
    </w:p>
    <w:p w14:paraId="00487684" w14:textId="77777777" w:rsidR="00760ED0" w:rsidRPr="000C0AFD" w:rsidRDefault="00DF53DC" w:rsidP="000C0AFD">
      <w:pPr>
        <w:spacing w:line="360" w:lineRule="auto"/>
        <w:rPr>
          <w:rFonts w:ascii="Verdana" w:hAnsi="Verdana" w:cs="Arial"/>
          <w:bCs/>
          <w:color w:val="000000" w:themeColor="text1"/>
          <w:sz w:val="20"/>
          <w:szCs w:val="20"/>
        </w:rPr>
      </w:pPr>
      <w:hyperlink r:id="rId15" w:history="1">
        <w:r w:rsidR="00760ED0" w:rsidRPr="000C0AFD">
          <w:rPr>
            <w:rStyle w:val="Hipervnculo"/>
            <w:rFonts w:ascii="Verdana" w:hAnsi="Verdana" w:cs="Arial"/>
            <w:bCs/>
            <w:sz w:val="20"/>
            <w:szCs w:val="20"/>
          </w:rPr>
          <w:t>https://www.rcnradio.com/colombia/region-central/con-armas-de-fuego-delincuentes-atracan-buses-intermunicipales-en</w:t>
        </w:r>
      </w:hyperlink>
    </w:p>
    <w:p w14:paraId="76F74725" w14:textId="77777777" w:rsidR="00760ED0" w:rsidRPr="000C0AFD" w:rsidRDefault="00760ED0" w:rsidP="000C0AFD">
      <w:pPr>
        <w:spacing w:line="360" w:lineRule="auto"/>
        <w:rPr>
          <w:rFonts w:ascii="Verdana" w:hAnsi="Verdana" w:cs="Arial"/>
          <w:bCs/>
          <w:color w:val="000000" w:themeColor="text1"/>
          <w:sz w:val="20"/>
          <w:szCs w:val="20"/>
        </w:rPr>
      </w:pPr>
    </w:p>
    <w:p w14:paraId="07714232"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El transporte intermunicipal viene siendo atacado no solo en Cundinamarca, existen reportes de otras regiones del país en el que los asaltantes abordan los vehículos y roban a sus ocupantes, de igual forma mantienen la zozobra de estas áreas para conductores de tractocamiones y otros.</w:t>
      </w:r>
    </w:p>
    <w:p w14:paraId="1F051B4F" w14:textId="77777777" w:rsidR="00760ED0" w:rsidRPr="000C0AFD" w:rsidRDefault="00760ED0" w:rsidP="000C0AFD">
      <w:pPr>
        <w:spacing w:line="360" w:lineRule="auto"/>
        <w:jc w:val="center"/>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0FECAE9B" wp14:editId="05F31FF8">
            <wp:extent cx="5353050" cy="3977707"/>
            <wp:effectExtent l="0" t="0" r="0" b="3810"/>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rotWithShape="1">
                    <a:blip r:embed="rId16"/>
                    <a:srcRect l="11881" t="6638" r="20740" b="4345"/>
                    <a:stretch/>
                  </pic:blipFill>
                  <pic:spPr bwMode="auto">
                    <a:xfrm>
                      <a:off x="0" y="0"/>
                      <a:ext cx="5356809" cy="3980500"/>
                    </a:xfrm>
                    <a:prstGeom prst="rect">
                      <a:avLst/>
                    </a:prstGeom>
                    <a:ln>
                      <a:noFill/>
                    </a:ln>
                    <a:extLst>
                      <a:ext uri="{53640926-AAD7-44D8-BBD7-CCE9431645EC}">
                        <a14:shadowObscured xmlns:a14="http://schemas.microsoft.com/office/drawing/2010/main"/>
                      </a:ext>
                    </a:extLst>
                  </pic:spPr>
                </pic:pic>
              </a:graphicData>
            </a:graphic>
          </wp:inline>
        </w:drawing>
      </w:r>
    </w:p>
    <w:p w14:paraId="21F56072" w14:textId="77777777" w:rsidR="00760ED0" w:rsidRPr="000C0AFD" w:rsidRDefault="00760ED0" w:rsidP="000C0AFD">
      <w:pPr>
        <w:spacing w:line="360" w:lineRule="auto"/>
        <w:rPr>
          <w:rFonts w:ascii="Verdana" w:hAnsi="Verdana" w:cs="Arial"/>
          <w:bCs/>
          <w:color w:val="000000" w:themeColor="text1"/>
          <w:sz w:val="20"/>
          <w:szCs w:val="20"/>
        </w:rPr>
      </w:pPr>
    </w:p>
    <w:p w14:paraId="5D81B879" w14:textId="77777777" w:rsidR="00760ED0" w:rsidRPr="000C0AFD" w:rsidRDefault="00DF53DC" w:rsidP="000C0AFD">
      <w:pPr>
        <w:spacing w:line="360" w:lineRule="auto"/>
        <w:rPr>
          <w:rFonts w:ascii="Verdana" w:hAnsi="Verdana" w:cs="Arial"/>
          <w:bCs/>
          <w:color w:val="000000" w:themeColor="text1"/>
          <w:sz w:val="20"/>
          <w:szCs w:val="20"/>
        </w:rPr>
      </w:pPr>
      <w:hyperlink r:id="rId17" w:history="1">
        <w:r w:rsidR="00760ED0" w:rsidRPr="000C0AFD">
          <w:rPr>
            <w:rStyle w:val="Hipervnculo"/>
            <w:rFonts w:ascii="Verdana" w:hAnsi="Verdana" w:cs="Arial"/>
            <w:bCs/>
            <w:sz w:val="20"/>
            <w:szCs w:val="20"/>
          </w:rPr>
          <w:t>https://www.rcnradio.com/colombia/pacifico/sujeto-amenazo-con-arma-de-fuego-un-grupo-de-deportistas-en-cali</w:t>
        </w:r>
      </w:hyperlink>
    </w:p>
    <w:p w14:paraId="548EE999" w14:textId="77777777" w:rsidR="00760ED0" w:rsidRPr="000C0AFD" w:rsidRDefault="00760ED0" w:rsidP="000C0AFD">
      <w:pPr>
        <w:spacing w:line="360" w:lineRule="auto"/>
        <w:rPr>
          <w:rFonts w:ascii="Verdana" w:hAnsi="Verdana" w:cs="Arial"/>
          <w:bCs/>
          <w:color w:val="000000" w:themeColor="text1"/>
          <w:sz w:val="20"/>
          <w:szCs w:val="20"/>
        </w:rPr>
      </w:pPr>
    </w:p>
    <w:p w14:paraId="09A48527"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Si bien no se trata de una noticia de hurtos u homicidios, las armas de fuego nunca pueden ser utilizadas para resolver conflictos o disputas como la anterior, esto es reprochable en cualquier nivel que se presente.</w:t>
      </w:r>
    </w:p>
    <w:p w14:paraId="0794D23C"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5B1E0E49" wp14:editId="2B16F245">
            <wp:extent cx="5429250" cy="3828488"/>
            <wp:effectExtent l="0" t="0" r="0" b="635"/>
            <wp:docPr id="11" name="Imagen 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ptura de pantalla de un celular&#10;&#10;Descripción generada automáticamente"/>
                    <pic:cNvPicPr/>
                  </pic:nvPicPr>
                  <pic:blipFill rotWithShape="1">
                    <a:blip r:embed="rId18"/>
                    <a:srcRect l="12220" t="7544" r="18703" b="5854"/>
                    <a:stretch/>
                  </pic:blipFill>
                  <pic:spPr bwMode="auto">
                    <a:xfrm>
                      <a:off x="0" y="0"/>
                      <a:ext cx="5433686" cy="3831616"/>
                    </a:xfrm>
                    <a:prstGeom prst="rect">
                      <a:avLst/>
                    </a:prstGeom>
                    <a:ln>
                      <a:noFill/>
                    </a:ln>
                    <a:extLst>
                      <a:ext uri="{53640926-AAD7-44D8-BBD7-CCE9431645EC}">
                        <a14:shadowObscured xmlns:a14="http://schemas.microsoft.com/office/drawing/2010/main"/>
                      </a:ext>
                    </a:extLst>
                  </pic:spPr>
                </pic:pic>
              </a:graphicData>
            </a:graphic>
          </wp:inline>
        </w:drawing>
      </w:r>
    </w:p>
    <w:p w14:paraId="7351E996" w14:textId="77777777" w:rsidR="00760ED0" w:rsidRPr="000C0AFD" w:rsidRDefault="00760ED0" w:rsidP="000C0AFD">
      <w:pPr>
        <w:spacing w:line="360" w:lineRule="auto"/>
        <w:rPr>
          <w:rFonts w:ascii="Verdana" w:hAnsi="Verdana" w:cs="Arial"/>
          <w:bCs/>
          <w:color w:val="000000" w:themeColor="text1"/>
          <w:sz w:val="20"/>
          <w:szCs w:val="20"/>
        </w:rPr>
      </w:pPr>
    </w:p>
    <w:p w14:paraId="287B1CA0" w14:textId="77777777" w:rsidR="00760ED0" w:rsidRPr="000C0AFD" w:rsidRDefault="00DF53DC" w:rsidP="000C0AFD">
      <w:pPr>
        <w:spacing w:line="360" w:lineRule="auto"/>
        <w:rPr>
          <w:rFonts w:ascii="Verdana" w:hAnsi="Verdana" w:cs="Arial"/>
          <w:bCs/>
          <w:color w:val="000000" w:themeColor="text1"/>
          <w:sz w:val="20"/>
          <w:szCs w:val="20"/>
        </w:rPr>
      </w:pPr>
      <w:hyperlink r:id="rId19" w:history="1">
        <w:r w:rsidR="00760ED0" w:rsidRPr="000C0AFD">
          <w:rPr>
            <w:rStyle w:val="Hipervnculo"/>
            <w:rFonts w:ascii="Verdana" w:hAnsi="Verdana" w:cs="Arial"/>
            <w:bCs/>
            <w:sz w:val="20"/>
            <w:szCs w:val="20"/>
          </w:rPr>
          <w:t>https://www.rcnradio.com/colombia/santanderes/en-2021-han-sido-capturadas-388-personas-por-porte-ilegal-de-armas-de-fuego-en</w:t>
        </w:r>
      </w:hyperlink>
    </w:p>
    <w:p w14:paraId="1605E6CA" w14:textId="77777777" w:rsidR="00760ED0" w:rsidRPr="000C0AFD" w:rsidRDefault="00760ED0" w:rsidP="000C0AFD">
      <w:pPr>
        <w:spacing w:line="360" w:lineRule="auto"/>
        <w:rPr>
          <w:rFonts w:ascii="Verdana" w:hAnsi="Verdana" w:cs="Arial"/>
          <w:bCs/>
          <w:color w:val="000000" w:themeColor="text1"/>
          <w:sz w:val="20"/>
          <w:szCs w:val="20"/>
        </w:rPr>
      </w:pPr>
    </w:p>
    <w:p w14:paraId="7B73A3DA"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Cucuta es uno de los municipios en el que más ha aumentado la delincuencia en los últimos años, sobre todo la relacionada con el porte ilegal de armas debido al trafico ilegal entre las fronteras.</w:t>
      </w:r>
    </w:p>
    <w:p w14:paraId="1E61E58C" w14:textId="77777777" w:rsidR="00760ED0" w:rsidRPr="000C0AFD" w:rsidRDefault="00760ED0" w:rsidP="000C0AFD">
      <w:pPr>
        <w:spacing w:line="360" w:lineRule="auto"/>
        <w:jc w:val="center"/>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2A58FC30" wp14:editId="32CF7CFA">
            <wp:extent cx="5191125" cy="4433757"/>
            <wp:effectExtent l="0" t="0" r="0" b="5080"/>
            <wp:docPr id="13"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Sitio web&#10;&#10;Descripción generada automáticamente"/>
                    <pic:cNvPicPr/>
                  </pic:nvPicPr>
                  <pic:blipFill rotWithShape="1">
                    <a:blip r:embed="rId20"/>
                    <a:srcRect l="20705" t="7544" r="23456" b="7665"/>
                    <a:stretch/>
                  </pic:blipFill>
                  <pic:spPr bwMode="auto">
                    <a:xfrm>
                      <a:off x="0" y="0"/>
                      <a:ext cx="5194215" cy="4436396"/>
                    </a:xfrm>
                    <a:prstGeom prst="rect">
                      <a:avLst/>
                    </a:prstGeom>
                    <a:ln>
                      <a:noFill/>
                    </a:ln>
                    <a:extLst>
                      <a:ext uri="{53640926-AAD7-44D8-BBD7-CCE9431645EC}">
                        <a14:shadowObscured xmlns:a14="http://schemas.microsoft.com/office/drawing/2010/main"/>
                      </a:ext>
                    </a:extLst>
                  </pic:spPr>
                </pic:pic>
              </a:graphicData>
            </a:graphic>
          </wp:inline>
        </w:drawing>
      </w:r>
    </w:p>
    <w:p w14:paraId="2CAFEF5F" w14:textId="77777777" w:rsidR="00760ED0" w:rsidRPr="000C0AFD" w:rsidRDefault="00760ED0" w:rsidP="000C0AFD">
      <w:pPr>
        <w:spacing w:line="360" w:lineRule="auto"/>
        <w:jc w:val="center"/>
        <w:rPr>
          <w:rFonts w:ascii="Verdana" w:hAnsi="Verdana" w:cs="Arial"/>
          <w:bCs/>
          <w:color w:val="000000" w:themeColor="text1"/>
          <w:sz w:val="20"/>
          <w:szCs w:val="20"/>
        </w:rPr>
      </w:pPr>
    </w:p>
    <w:p w14:paraId="747EDC3C" w14:textId="77777777" w:rsidR="00760ED0" w:rsidRPr="000C0AFD" w:rsidRDefault="00DF53DC" w:rsidP="000C0AFD">
      <w:pPr>
        <w:spacing w:line="360" w:lineRule="auto"/>
        <w:rPr>
          <w:rFonts w:ascii="Verdana" w:hAnsi="Verdana" w:cs="Arial"/>
          <w:bCs/>
          <w:color w:val="000000" w:themeColor="text1"/>
          <w:sz w:val="20"/>
          <w:szCs w:val="20"/>
        </w:rPr>
      </w:pPr>
      <w:hyperlink r:id="rId21" w:history="1">
        <w:r w:rsidR="00760ED0" w:rsidRPr="000C0AFD">
          <w:rPr>
            <w:rStyle w:val="Hipervnculo"/>
            <w:rFonts w:ascii="Verdana" w:hAnsi="Verdana" w:cs="Arial"/>
            <w:bCs/>
            <w:sz w:val="20"/>
            <w:szCs w:val="20"/>
          </w:rPr>
          <w:t>https://www.notimerica.com/politica/noticia-autoridades-colombia-detienen-90-presuntos-integrantes-clan-golfo-ofensiva-gigantesca-20211119134223.html</w:t>
        </w:r>
      </w:hyperlink>
    </w:p>
    <w:p w14:paraId="41D3EA00" w14:textId="77777777" w:rsidR="00760ED0" w:rsidRPr="000C0AFD" w:rsidRDefault="00760ED0" w:rsidP="000C0AFD">
      <w:pPr>
        <w:spacing w:line="360" w:lineRule="auto"/>
        <w:rPr>
          <w:rFonts w:ascii="Verdana" w:hAnsi="Verdana" w:cs="Arial"/>
          <w:bCs/>
          <w:color w:val="000000" w:themeColor="text1"/>
          <w:sz w:val="20"/>
          <w:szCs w:val="20"/>
        </w:rPr>
      </w:pPr>
    </w:p>
    <w:p w14:paraId="79C4D3BE"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Este mismo mercado de armas ilegales, surte la guerra interna que se vive en el país, que deja cientos de muertos al año, debemos quitarle fuerza a estas bandas delincuenciales.</w:t>
      </w:r>
    </w:p>
    <w:p w14:paraId="0EFC26BF"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5CFA5DDB" wp14:editId="0BEF8F00">
            <wp:extent cx="5614076" cy="3257550"/>
            <wp:effectExtent l="0" t="0" r="5715" b="0"/>
            <wp:docPr id="14" name="Imagen 1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10;&#10;Descripción generada automáticamente"/>
                    <pic:cNvPicPr/>
                  </pic:nvPicPr>
                  <pic:blipFill rotWithShape="1">
                    <a:blip r:embed="rId22"/>
                    <a:srcRect l="1188" t="10561" r="16327" b="4344"/>
                    <a:stretch/>
                  </pic:blipFill>
                  <pic:spPr bwMode="auto">
                    <a:xfrm>
                      <a:off x="0" y="0"/>
                      <a:ext cx="5618330" cy="3260018"/>
                    </a:xfrm>
                    <a:prstGeom prst="rect">
                      <a:avLst/>
                    </a:prstGeom>
                    <a:ln>
                      <a:noFill/>
                    </a:ln>
                    <a:extLst>
                      <a:ext uri="{53640926-AAD7-44D8-BBD7-CCE9431645EC}">
                        <a14:shadowObscured xmlns:a14="http://schemas.microsoft.com/office/drawing/2010/main"/>
                      </a:ext>
                    </a:extLst>
                  </pic:spPr>
                </pic:pic>
              </a:graphicData>
            </a:graphic>
          </wp:inline>
        </w:drawing>
      </w:r>
    </w:p>
    <w:p w14:paraId="7A6737A3" w14:textId="77777777" w:rsidR="00760ED0" w:rsidRPr="000C0AFD" w:rsidRDefault="00760ED0" w:rsidP="000C0AFD">
      <w:pPr>
        <w:spacing w:line="360" w:lineRule="auto"/>
        <w:rPr>
          <w:rFonts w:ascii="Verdana" w:hAnsi="Verdana" w:cs="Arial"/>
          <w:bCs/>
          <w:color w:val="000000" w:themeColor="text1"/>
          <w:sz w:val="20"/>
          <w:szCs w:val="20"/>
        </w:rPr>
      </w:pPr>
    </w:p>
    <w:p w14:paraId="64CE68A4" w14:textId="77777777" w:rsidR="00760ED0" w:rsidRPr="000C0AFD" w:rsidRDefault="00DF53DC" w:rsidP="000C0AFD">
      <w:pPr>
        <w:spacing w:line="360" w:lineRule="auto"/>
        <w:rPr>
          <w:rFonts w:ascii="Verdana" w:hAnsi="Verdana" w:cs="Arial"/>
          <w:bCs/>
          <w:color w:val="000000" w:themeColor="text1"/>
          <w:sz w:val="20"/>
          <w:szCs w:val="20"/>
        </w:rPr>
      </w:pPr>
      <w:hyperlink r:id="rId23" w:history="1">
        <w:r w:rsidR="00760ED0" w:rsidRPr="000C0AFD">
          <w:rPr>
            <w:rStyle w:val="Hipervnculo"/>
            <w:rFonts w:ascii="Verdana" w:hAnsi="Verdana" w:cs="Arial"/>
            <w:bCs/>
            <w:sz w:val="20"/>
            <w:szCs w:val="20"/>
          </w:rPr>
          <w:t>https://noticias.caracoltv.com/informes-especiales/el-siniestro-negocio-de-las-armas-ilegales-en-colombia-es-como-ir-a-comprarse-una-camisa</w:t>
        </w:r>
      </w:hyperlink>
    </w:p>
    <w:p w14:paraId="5D91424E" w14:textId="77777777" w:rsidR="00760ED0" w:rsidRPr="000C0AFD" w:rsidRDefault="00760ED0" w:rsidP="000C0AFD">
      <w:pPr>
        <w:spacing w:line="360" w:lineRule="auto"/>
        <w:rPr>
          <w:rFonts w:ascii="Verdana" w:hAnsi="Verdana" w:cs="Arial"/>
          <w:bCs/>
          <w:color w:val="000000" w:themeColor="text1"/>
          <w:sz w:val="20"/>
          <w:szCs w:val="20"/>
        </w:rPr>
      </w:pPr>
    </w:p>
    <w:p w14:paraId="28A9854D" w14:textId="77777777" w:rsidR="00760ED0" w:rsidRPr="000C0AFD" w:rsidRDefault="00760ED0" w:rsidP="000C0AFD">
      <w:pPr>
        <w:spacing w:line="360" w:lineRule="auto"/>
        <w:jc w:val="center"/>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004DB0D2" wp14:editId="3F851625">
            <wp:extent cx="5200650" cy="3816061"/>
            <wp:effectExtent l="0" t="0" r="0" b="0"/>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10;&#10;Descripción generada automáticamente"/>
                    <pic:cNvPicPr/>
                  </pic:nvPicPr>
                  <pic:blipFill rotWithShape="1">
                    <a:blip r:embed="rId24"/>
                    <a:srcRect l="22743" t="12070" r="24983" b="19735"/>
                    <a:stretch/>
                  </pic:blipFill>
                  <pic:spPr bwMode="auto">
                    <a:xfrm>
                      <a:off x="0" y="0"/>
                      <a:ext cx="5205820" cy="3819854"/>
                    </a:xfrm>
                    <a:prstGeom prst="rect">
                      <a:avLst/>
                    </a:prstGeom>
                    <a:ln>
                      <a:noFill/>
                    </a:ln>
                    <a:extLst>
                      <a:ext uri="{53640926-AAD7-44D8-BBD7-CCE9431645EC}">
                        <a14:shadowObscured xmlns:a14="http://schemas.microsoft.com/office/drawing/2010/main"/>
                      </a:ext>
                    </a:extLst>
                  </pic:spPr>
                </pic:pic>
              </a:graphicData>
            </a:graphic>
          </wp:inline>
        </w:drawing>
      </w:r>
    </w:p>
    <w:p w14:paraId="0A6BA215" w14:textId="77777777" w:rsidR="00760ED0" w:rsidRPr="000C0AFD" w:rsidRDefault="00DF53DC" w:rsidP="000C0AFD">
      <w:pPr>
        <w:spacing w:line="360" w:lineRule="auto"/>
        <w:rPr>
          <w:rFonts w:ascii="Verdana" w:hAnsi="Verdana" w:cs="Arial"/>
          <w:bCs/>
          <w:color w:val="000000" w:themeColor="text1"/>
          <w:sz w:val="20"/>
          <w:szCs w:val="20"/>
        </w:rPr>
      </w:pPr>
      <w:hyperlink r:id="rId25" w:history="1">
        <w:r w:rsidR="00760ED0" w:rsidRPr="000C0AFD">
          <w:rPr>
            <w:rStyle w:val="Hipervnculo"/>
            <w:rFonts w:ascii="Verdana" w:hAnsi="Verdana" w:cs="Arial"/>
            <w:bCs/>
            <w:sz w:val="20"/>
            <w:szCs w:val="20"/>
          </w:rPr>
          <w:t>https://www.elcolombiano.com/antioquia/capturan-delincuentes-que-intentaron-robar-empresa-de-oro-en-el-poblado-PK15979710</w:t>
        </w:r>
      </w:hyperlink>
    </w:p>
    <w:p w14:paraId="5E35C190" w14:textId="77777777" w:rsidR="00760ED0" w:rsidRPr="000C0AFD" w:rsidRDefault="00760ED0" w:rsidP="000C0AFD">
      <w:pPr>
        <w:spacing w:line="360" w:lineRule="auto"/>
        <w:jc w:val="center"/>
        <w:rPr>
          <w:rFonts w:ascii="Verdana" w:hAnsi="Verdana" w:cs="Arial"/>
          <w:bCs/>
          <w:color w:val="000000" w:themeColor="text1"/>
          <w:sz w:val="20"/>
          <w:szCs w:val="20"/>
        </w:rPr>
      </w:pPr>
    </w:p>
    <w:p w14:paraId="4F4FAB85"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Como se mencionó antes, el mercado negro de armas suple directamente a las bandas delincuenciales que operan en el país, permitiedoles desarrollar acciones reprochables como la anterior.</w:t>
      </w:r>
    </w:p>
    <w:p w14:paraId="3E73F0F9" w14:textId="77777777" w:rsidR="00760ED0" w:rsidRPr="000C0AFD" w:rsidRDefault="00760ED0" w:rsidP="000C0AFD">
      <w:pPr>
        <w:spacing w:line="360" w:lineRule="auto"/>
        <w:rPr>
          <w:rFonts w:ascii="Verdana" w:hAnsi="Verdana" w:cs="Arial"/>
          <w:bCs/>
          <w:color w:val="000000" w:themeColor="text1"/>
          <w:sz w:val="20"/>
          <w:szCs w:val="20"/>
        </w:rPr>
      </w:pPr>
    </w:p>
    <w:p w14:paraId="00F04A44" w14:textId="77777777" w:rsidR="00760ED0" w:rsidRPr="000C0AFD" w:rsidRDefault="00760ED0" w:rsidP="000C0AFD">
      <w:pPr>
        <w:spacing w:line="360" w:lineRule="auto"/>
        <w:rPr>
          <w:rFonts w:ascii="Verdana" w:hAnsi="Verdana" w:cs="Arial"/>
          <w:bCs/>
          <w:color w:val="000000" w:themeColor="text1"/>
          <w:sz w:val="20"/>
          <w:szCs w:val="20"/>
        </w:rPr>
      </w:pPr>
    </w:p>
    <w:p w14:paraId="1D5DC2F6" w14:textId="77777777" w:rsidR="00760ED0" w:rsidRPr="000C0AFD" w:rsidRDefault="00760ED0" w:rsidP="000C0AFD">
      <w:pPr>
        <w:spacing w:line="360" w:lineRule="auto"/>
        <w:jc w:val="center"/>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6FAF6993" wp14:editId="3772165A">
            <wp:extent cx="5245270" cy="3352800"/>
            <wp:effectExtent l="0" t="0" r="0" b="0"/>
            <wp:docPr id="17" name="Imagen 1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Sitio web&#10;&#10;Descripción generada automáticamente"/>
                    <pic:cNvPicPr/>
                  </pic:nvPicPr>
                  <pic:blipFill rotWithShape="1">
                    <a:blip r:embed="rId26"/>
                    <a:srcRect l="15274" t="6940" r="24984" b="25166"/>
                    <a:stretch/>
                  </pic:blipFill>
                  <pic:spPr bwMode="auto">
                    <a:xfrm>
                      <a:off x="0" y="0"/>
                      <a:ext cx="5262458" cy="3363786"/>
                    </a:xfrm>
                    <a:prstGeom prst="rect">
                      <a:avLst/>
                    </a:prstGeom>
                    <a:ln>
                      <a:noFill/>
                    </a:ln>
                    <a:extLst>
                      <a:ext uri="{53640926-AAD7-44D8-BBD7-CCE9431645EC}">
                        <a14:shadowObscured xmlns:a14="http://schemas.microsoft.com/office/drawing/2010/main"/>
                      </a:ext>
                    </a:extLst>
                  </pic:spPr>
                </pic:pic>
              </a:graphicData>
            </a:graphic>
          </wp:inline>
        </w:drawing>
      </w:r>
    </w:p>
    <w:p w14:paraId="310D09F2" w14:textId="77777777" w:rsidR="00760ED0" w:rsidRPr="000C0AFD" w:rsidRDefault="00760ED0" w:rsidP="000C0AFD">
      <w:pPr>
        <w:spacing w:line="360" w:lineRule="auto"/>
        <w:jc w:val="center"/>
        <w:rPr>
          <w:rFonts w:ascii="Verdana" w:hAnsi="Verdana" w:cs="Arial"/>
          <w:bCs/>
          <w:color w:val="000000" w:themeColor="text1"/>
          <w:sz w:val="20"/>
          <w:szCs w:val="20"/>
        </w:rPr>
      </w:pPr>
    </w:p>
    <w:p w14:paraId="5C435F31" w14:textId="77777777" w:rsidR="00760ED0" w:rsidRPr="000C0AFD" w:rsidRDefault="00DF53DC" w:rsidP="000C0AFD">
      <w:pPr>
        <w:spacing w:line="360" w:lineRule="auto"/>
        <w:rPr>
          <w:rFonts w:ascii="Verdana" w:hAnsi="Verdana" w:cs="Arial"/>
          <w:bCs/>
          <w:color w:val="000000" w:themeColor="text1"/>
          <w:sz w:val="20"/>
          <w:szCs w:val="20"/>
        </w:rPr>
      </w:pPr>
      <w:hyperlink r:id="rId27" w:history="1">
        <w:r w:rsidR="00760ED0" w:rsidRPr="000C0AFD">
          <w:rPr>
            <w:rStyle w:val="Hipervnculo"/>
            <w:rFonts w:ascii="Verdana" w:hAnsi="Verdana" w:cs="Arial"/>
            <w:bCs/>
            <w:sz w:val="20"/>
            <w:szCs w:val="20"/>
          </w:rPr>
          <w:t>https://www.eltiempo.com/colombia/otras-ciudades/asi-termino-el-puente-festivo-de-la-independencia-en-cartagena-632632</w:t>
        </w:r>
      </w:hyperlink>
    </w:p>
    <w:p w14:paraId="1FA7CDEE" w14:textId="77777777" w:rsidR="00760ED0" w:rsidRPr="000C0AFD" w:rsidRDefault="00760ED0" w:rsidP="000C0AFD">
      <w:pPr>
        <w:spacing w:line="360" w:lineRule="auto"/>
        <w:rPr>
          <w:rFonts w:ascii="Verdana" w:hAnsi="Verdana" w:cs="Arial"/>
          <w:bCs/>
          <w:color w:val="000000" w:themeColor="text1"/>
          <w:sz w:val="20"/>
          <w:szCs w:val="20"/>
        </w:rPr>
      </w:pPr>
    </w:p>
    <w:p w14:paraId="0393EDA5"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bCs/>
          <w:noProof/>
          <w:sz w:val="20"/>
          <w:szCs w:val="20"/>
        </w:rPr>
        <w:drawing>
          <wp:inline distT="0" distB="0" distL="0" distR="0" wp14:anchorId="2ED04E8B" wp14:editId="0861E7CB">
            <wp:extent cx="5457825" cy="3225733"/>
            <wp:effectExtent l="0" t="0" r="0" b="0"/>
            <wp:docPr id="18" name="Imagen 1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Sitio web&#10;&#10;Descripción generada automáticamente"/>
                    <pic:cNvPicPr/>
                  </pic:nvPicPr>
                  <pic:blipFill rotWithShape="1">
                    <a:blip r:embed="rId28"/>
                    <a:srcRect l="16972" t="7544" r="18703" b="24864"/>
                    <a:stretch/>
                  </pic:blipFill>
                  <pic:spPr bwMode="auto">
                    <a:xfrm>
                      <a:off x="0" y="0"/>
                      <a:ext cx="5464498" cy="3229677"/>
                    </a:xfrm>
                    <a:prstGeom prst="rect">
                      <a:avLst/>
                    </a:prstGeom>
                    <a:ln>
                      <a:noFill/>
                    </a:ln>
                    <a:extLst>
                      <a:ext uri="{53640926-AAD7-44D8-BBD7-CCE9431645EC}">
                        <a14:shadowObscured xmlns:a14="http://schemas.microsoft.com/office/drawing/2010/main"/>
                      </a:ext>
                    </a:extLst>
                  </pic:spPr>
                </pic:pic>
              </a:graphicData>
            </a:graphic>
          </wp:inline>
        </w:drawing>
      </w:r>
    </w:p>
    <w:p w14:paraId="5D107FAC" w14:textId="77777777" w:rsidR="00760ED0" w:rsidRPr="000C0AFD" w:rsidRDefault="00DF53DC" w:rsidP="000C0AFD">
      <w:pPr>
        <w:spacing w:line="360" w:lineRule="auto"/>
        <w:rPr>
          <w:rFonts w:ascii="Verdana" w:hAnsi="Verdana" w:cs="Arial"/>
          <w:bCs/>
          <w:color w:val="000000" w:themeColor="text1"/>
          <w:sz w:val="20"/>
          <w:szCs w:val="20"/>
        </w:rPr>
      </w:pPr>
      <w:hyperlink r:id="rId29" w:history="1">
        <w:r w:rsidR="00760ED0" w:rsidRPr="000C0AFD">
          <w:rPr>
            <w:rStyle w:val="Hipervnculo"/>
            <w:rFonts w:ascii="Verdana" w:hAnsi="Verdana" w:cs="Arial"/>
            <w:bCs/>
            <w:sz w:val="20"/>
            <w:szCs w:val="20"/>
          </w:rPr>
          <w:t>https://www.eltiempo.com/colombia/otras-ciudades/el-ejercito-patrullara-calles-de-santa-marta-632557</w:t>
        </w:r>
      </w:hyperlink>
    </w:p>
    <w:p w14:paraId="5CFED42E" w14:textId="77777777" w:rsidR="00760ED0" w:rsidRPr="000C0AFD" w:rsidRDefault="00760ED0" w:rsidP="000C0AFD">
      <w:pPr>
        <w:spacing w:line="360" w:lineRule="auto"/>
        <w:rPr>
          <w:rFonts w:ascii="Verdana" w:hAnsi="Verdana" w:cs="Arial"/>
          <w:bCs/>
          <w:color w:val="000000" w:themeColor="text1"/>
          <w:sz w:val="20"/>
          <w:szCs w:val="20"/>
        </w:rPr>
      </w:pPr>
    </w:p>
    <w:p w14:paraId="371EDBBA"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bCs/>
          <w:noProof/>
          <w:sz w:val="20"/>
          <w:szCs w:val="20"/>
        </w:rPr>
        <w:drawing>
          <wp:inline distT="0" distB="0" distL="0" distR="0" wp14:anchorId="2F05FA30" wp14:editId="135BDA0F">
            <wp:extent cx="5305425" cy="3669918"/>
            <wp:effectExtent l="0" t="0" r="0" b="6985"/>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pic:cNvPicPr/>
                  </pic:nvPicPr>
                  <pic:blipFill rotWithShape="1">
                    <a:blip r:embed="rId30"/>
                    <a:srcRect l="5091" t="6940" r="27189" b="9777"/>
                    <a:stretch/>
                  </pic:blipFill>
                  <pic:spPr bwMode="auto">
                    <a:xfrm>
                      <a:off x="0" y="0"/>
                      <a:ext cx="5315884" cy="3677152"/>
                    </a:xfrm>
                    <a:prstGeom prst="rect">
                      <a:avLst/>
                    </a:prstGeom>
                    <a:ln>
                      <a:noFill/>
                    </a:ln>
                    <a:extLst>
                      <a:ext uri="{53640926-AAD7-44D8-BBD7-CCE9431645EC}">
                        <a14:shadowObscured xmlns:a14="http://schemas.microsoft.com/office/drawing/2010/main"/>
                      </a:ext>
                    </a:extLst>
                  </pic:spPr>
                </pic:pic>
              </a:graphicData>
            </a:graphic>
          </wp:inline>
        </w:drawing>
      </w:r>
    </w:p>
    <w:p w14:paraId="35E04171" w14:textId="77777777" w:rsidR="00760ED0" w:rsidRPr="000C0AFD" w:rsidRDefault="00DF53DC" w:rsidP="000C0AFD">
      <w:pPr>
        <w:spacing w:line="360" w:lineRule="auto"/>
        <w:rPr>
          <w:rFonts w:ascii="Verdana" w:hAnsi="Verdana" w:cs="Arial"/>
          <w:bCs/>
          <w:color w:val="000000" w:themeColor="text1"/>
          <w:sz w:val="20"/>
          <w:szCs w:val="20"/>
        </w:rPr>
      </w:pPr>
      <w:hyperlink r:id="rId31" w:history="1">
        <w:r w:rsidR="00760ED0" w:rsidRPr="000C0AFD">
          <w:rPr>
            <w:rStyle w:val="Hipervnculo"/>
            <w:rFonts w:ascii="Verdana" w:hAnsi="Verdana" w:cs="Arial"/>
            <w:bCs/>
            <w:sz w:val="20"/>
            <w:szCs w:val="20"/>
          </w:rPr>
          <w:t>https://www.infobae.com/america/colombia/2021/11/11/preocupacion-en-bogota-porque-no-se-ha-podido-frenar-el-incremento-de-los-homicidios/</w:t>
        </w:r>
      </w:hyperlink>
    </w:p>
    <w:p w14:paraId="773B61D7" w14:textId="77777777" w:rsidR="00760ED0" w:rsidRPr="000C0AFD" w:rsidRDefault="00760ED0" w:rsidP="000C0AFD">
      <w:pPr>
        <w:spacing w:line="360" w:lineRule="auto"/>
        <w:rPr>
          <w:rFonts w:ascii="Verdana" w:hAnsi="Verdana" w:cs="Arial"/>
          <w:bCs/>
          <w:color w:val="000000" w:themeColor="text1"/>
          <w:sz w:val="20"/>
          <w:szCs w:val="20"/>
        </w:rPr>
      </w:pPr>
    </w:p>
    <w:p w14:paraId="3C25747C"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bCs/>
          <w:noProof/>
          <w:sz w:val="20"/>
          <w:szCs w:val="20"/>
        </w:rPr>
        <w:lastRenderedPageBreak/>
        <w:drawing>
          <wp:inline distT="0" distB="0" distL="0" distR="0" wp14:anchorId="45C92407" wp14:editId="5077EB52">
            <wp:extent cx="5200650" cy="4453156"/>
            <wp:effectExtent l="0" t="0" r="0" b="5080"/>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rotWithShape="1">
                    <a:blip r:embed="rId32"/>
                    <a:srcRect l="19858" t="6338" r="24644" b="9173"/>
                    <a:stretch/>
                  </pic:blipFill>
                  <pic:spPr bwMode="auto">
                    <a:xfrm>
                      <a:off x="0" y="0"/>
                      <a:ext cx="5205017" cy="4456895"/>
                    </a:xfrm>
                    <a:prstGeom prst="rect">
                      <a:avLst/>
                    </a:prstGeom>
                    <a:ln>
                      <a:noFill/>
                    </a:ln>
                    <a:extLst>
                      <a:ext uri="{53640926-AAD7-44D8-BBD7-CCE9431645EC}">
                        <a14:shadowObscured xmlns:a14="http://schemas.microsoft.com/office/drawing/2010/main"/>
                      </a:ext>
                    </a:extLst>
                  </pic:spPr>
                </pic:pic>
              </a:graphicData>
            </a:graphic>
          </wp:inline>
        </w:drawing>
      </w:r>
    </w:p>
    <w:p w14:paraId="03F28ACC" w14:textId="77777777" w:rsidR="00760ED0" w:rsidRPr="000C0AFD" w:rsidRDefault="00760ED0" w:rsidP="000C0AFD">
      <w:pPr>
        <w:spacing w:line="360" w:lineRule="auto"/>
        <w:rPr>
          <w:rFonts w:ascii="Verdana" w:hAnsi="Verdana" w:cs="Arial"/>
          <w:bCs/>
          <w:color w:val="000000" w:themeColor="text1"/>
          <w:sz w:val="20"/>
          <w:szCs w:val="20"/>
        </w:rPr>
      </w:pPr>
    </w:p>
    <w:p w14:paraId="0AC36E1C" w14:textId="77777777" w:rsidR="00760ED0" w:rsidRPr="000C0AFD" w:rsidRDefault="00DF53DC" w:rsidP="000C0AFD">
      <w:pPr>
        <w:spacing w:line="360" w:lineRule="auto"/>
        <w:rPr>
          <w:rFonts w:ascii="Verdana" w:hAnsi="Verdana" w:cs="Arial"/>
          <w:bCs/>
          <w:color w:val="000000" w:themeColor="text1"/>
          <w:sz w:val="20"/>
          <w:szCs w:val="20"/>
        </w:rPr>
      </w:pPr>
      <w:hyperlink r:id="rId33" w:history="1">
        <w:r w:rsidR="00760ED0" w:rsidRPr="000C0AFD">
          <w:rPr>
            <w:rStyle w:val="Hipervnculo"/>
            <w:rFonts w:ascii="Verdana" w:hAnsi="Verdana" w:cs="Arial"/>
            <w:bCs/>
            <w:sz w:val="20"/>
            <w:szCs w:val="20"/>
          </w:rPr>
          <w:t>https://www.semana.com/actualidad/articulo/video-ladrones-efectuan-hurto-masivo-de-carros-en-barrio-de-bogota-uno-era-recien-comprado/202119/</w:t>
        </w:r>
      </w:hyperlink>
    </w:p>
    <w:p w14:paraId="0663CBEB" w14:textId="77777777" w:rsidR="00760ED0" w:rsidRPr="000C0AFD" w:rsidRDefault="00760ED0" w:rsidP="000C0AFD">
      <w:pPr>
        <w:spacing w:line="360" w:lineRule="auto"/>
        <w:rPr>
          <w:rFonts w:ascii="Verdana" w:hAnsi="Verdana" w:cs="Arial"/>
          <w:bCs/>
          <w:color w:val="000000" w:themeColor="text1"/>
          <w:sz w:val="20"/>
          <w:szCs w:val="20"/>
        </w:rPr>
      </w:pPr>
    </w:p>
    <w:p w14:paraId="3D929C23"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cs="Arial"/>
          <w:bCs/>
          <w:color w:val="000000" w:themeColor="text1"/>
          <w:sz w:val="20"/>
          <w:szCs w:val="20"/>
        </w:rPr>
        <w:t>Por último, la siguiente noticia es una que toca al Departamento de San Andrés, Providencia y Santa Catalina de manera especial, pues en medio de un operativo que se desarrollaba para apagar un equipo de sonido, fueron asesinados dos patrulleros de la Policía Nacional, quienes entregaron su vida en defensa de los habitantes del departamento.</w:t>
      </w:r>
    </w:p>
    <w:p w14:paraId="3C7CB32C" w14:textId="77777777" w:rsidR="00760ED0" w:rsidRPr="000C0AFD" w:rsidRDefault="00760ED0" w:rsidP="000C0AFD">
      <w:pPr>
        <w:spacing w:line="360" w:lineRule="auto"/>
        <w:rPr>
          <w:rFonts w:ascii="Verdana" w:hAnsi="Verdana" w:cs="Arial"/>
          <w:bCs/>
          <w:color w:val="000000" w:themeColor="text1"/>
          <w:sz w:val="20"/>
          <w:szCs w:val="20"/>
        </w:rPr>
      </w:pPr>
    </w:p>
    <w:p w14:paraId="16F26B44" w14:textId="77777777" w:rsidR="00760ED0" w:rsidRPr="000C0AFD" w:rsidRDefault="00760ED0" w:rsidP="000C0AFD">
      <w:pPr>
        <w:spacing w:line="360" w:lineRule="auto"/>
        <w:rPr>
          <w:rFonts w:ascii="Verdana" w:hAnsi="Verdana" w:cs="Arial"/>
          <w:bCs/>
          <w:color w:val="000000" w:themeColor="text1"/>
          <w:sz w:val="20"/>
          <w:szCs w:val="20"/>
        </w:rPr>
      </w:pPr>
      <w:r w:rsidRPr="000C0AFD">
        <w:rPr>
          <w:rFonts w:ascii="Verdana" w:hAnsi="Verdana"/>
          <w:noProof/>
          <w:sz w:val="20"/>
          <w:szCs w:val="20"/>
        </w:rPr>
        <w:lastRenderedPageBreak/>
        <w:drawing>
          <wp:inline distT="0" distB="0" distL="0" distR="0" wp14:anchorId="238B8D45" wp14:editId="3BB759CC">
            <wp:extent cx="5457825" cy="4945353"/>
            <wp:effectExtent l="0" t="0" r="0" b="8255"/>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34"/>
                    <a:srcRect l="23761" t="7242" r="40089" b="34520"/>
                    <a:stretch/>
                  </pic:blipFill>
                  <pic:spPr bwMode="auto">
                    <a:xfrm>
                      <a:off x="0" y="0"/>
                      <a:ext cx="5462105" cy="4949231"/>
                    </a:xfrm>
                    <a:prstGeom prst="rect">
                      <a:avLst/>
                    </a:prstGeom>
                    <a:ln>
                      <a:noFill/>
                    </a:ln>
                    <a:extLst>
                      <a:ext uri="{53640926-AAD7-44D8-BBD7-CCE9431645EC}">
                        <a14:shadowObscured xmlns:a14="http://schemas.microsoft.com/office/drawing/2010/main"/>
                      </a:ext>
                    </a:extLst>
                  </pic:spPr>
                </pic:pic>
              </a:graphicData>
            </a:graphic>
          </wp:inline>
        </w:drawing>
      </w:r>
    </w:p>
    <w:p w14:paraId="6D09BFBB" w14:textId="77777777" w:rsidR="00760ED0" w:rsidRPr="000C0AFD" w:rsidRDefault="00DF53DC" w:rsidP="000C0AFD">
      <w:pPr>
        <w:spacing w:line="360" w:lineRule="auto"/>
        <w:rPr>
          <w:rFonts w:ascii="Verdana" w:hAnsi="Verdana" w:cs="Arial"/>
          <w:bCs/>
          <w:color w:val="000000" w:themeColor="text1"/>
          <w:sz w:val="20"/>
          <w:szCs w:val="20"/>
        </w:rPr>
      </w:pPr>
      <w:hyperlink r:id="rId35" w:history="1">
        <w:r w:rsidR="00760ED0" w:rsidRPr="000C0AFD">
          <w:rPr>
            <w:rStyle w:val="Hipervnculo"/>
            <w:rFonts w:ascii="Verdana" w:hAnsi="Verdana" w:cs="Arial"/>
            <w:bCs/>
            <w:sz w:val="20"/>
            <w:szCs w:val="20"/>
          </w:rPr>
          <w:t>https://www.elcolombiano.com/colombia/dos-policias-fueron-asesinados-en-san-andres-AL15964958</w:t>
        </w:r>
      </w:hyperlink>
    </w:p>
    <w:p w14:paraId="2A0D5355" w14:textId="77777777" w:rsidR="00760ED0" w:rsidRPr="000C0AFD" w:rsidRDefault="00760ED0" w:rsidP="000C0AFD">
      <w:pPr>
        <w:spacing w:line="360" w:lineRule="auto"/>
        <w:rPr>
          <w:rFonts w:ascii="Verdana" w:hAnsi="Verdana" w:cs="Arial"/>
          <w:bCs/>
          <w:color w:val="000000" w:themeColor="text1"/>
          <w:sz w:val="20"/>
          <w:szCs w:val="20"/>
        </w:rPr>
      </w:pPr>
    </w:p>
    <w:p w14:paraId="5C42BB05" w14:textId="77777777" w:rsidR="00760ED0" w:rsidRPr="000C0AFD" w:rsidRDefault="00760ED0" w:rsidP="000C0AFD">
      <w:pPr>
        <w:spacing w:line="360" w:lineRule="auto"/>
        <w:jc w:val="center"/>
        <w:rPr>
          <w:rFonts w:ascii="Verdana" w:hAnsi="Verdana" w:cs="Arial"/>
          <w:b/>
          <w:color w:val="000000" w:themeColor="text1"/>
          <w:sz w:val="20"/>
          <w:szCs w:val="20"/>
        </w:rPr>
      </w:pPr>
    </w:p>
    <w:p w14:paraId="070D922D" w14:textId="77777777" w:rsidR="00760ED0" w:rsidRPr="000C0AFD" w:rsidRDefault="00760ED0" w:rsidP="000C0AFD">
      <w:pPr>
        <w:pStyle w:val="Prrafodelista"/>
        <w:numPr>
          <w:ilvl w:val="0"/>
          <w:numId w:val="10"/>
        </w:numPr>
        <w:spacing w:line="360" w:lineRule="auto"/>
        <w:jc w:val="left"/>
        <w:rPr>
          <w:rFonts w:ascii="Verdana" w:hAnsi="Verdana" w:cs="Arial"/>
          <w:b/>
          <w:sz w:val="20"/>
          <w:szCs w:val="20"/>
        </w:rPr>
      </w:pPr>
      <w:r w:rsidRPr="000C0AFD">
        <w:rPr>
          <w:rFonts w:ascii="Verdana" w:hAnsi="Verdana" w:cs="Arial"/>
          <w:b/>
          <w:sz w:val="20"/>
          <w:szCs w:val="20"/>
        </w:rPr>
        <w:t xml:space="preserve">Conflicto de intereses. </w:t>
      </w:r>
    </w:p>
    <w:p w14:paraId="2EAD7648" w14:textId="77777777" w:rsidR="00760ED0" w:rsidRPr="000C0AFD" w:rsidRDefault="00760ED0" w:rsidP="000C0AFD">
      <w:pPr>
        <w:spacing w:line="360" w:lineRule="auto"/>
        <w:rPr>
          <w:rFonts w:ascii="Verdana" w:hAnsi="Verdana" w:cs="Arial"/>
          <w:b/>
          <w:sz w:val="20"/>
          <w:szCs w:val="20"/>
        </w:rPr>
      </w:pPr>
    </w:p>
    <w:p w14:paraId="4F9F68E5" w14:textId="77777777" w:rsidR="00760ED0" w:rsidRPr="000C0AFD" w:rsidRDefault="00760ED0" w:rsidP="000C0AFD">
      <w:pPr>
        <w:autoSpaceDE w:val="0"/>
        <w:autoSpaceDN w:val="0"/>
        <w:adjustRightInd w:val="0"/>
        <w:spacing w:line="360" w:lineRule="auto"/>
        <w:rPr>
          <w:rFonts w:ascii="Verdana" w:hAnsi="Verdana" w:cs="Arial"/>
          <w:bCs/>
          <w:sz w:val="20"/>
          <w:szCs w:val="20"/>
          <w:shd w:val="clear" w:color="auto" w:fill="FFFFFF"/>
        </w:rPr>
      </w:pPr>
      <w:r w:rsidRPr="000C0AFD">
        <w:rPr>
          <w:rFonts w:ascii="Verdana" w:hAnsi="Verdana" w:cs="Arial"/>
          <w:bCs/>
          <w:sz w:val="20"/>
          <w:szCs w:val="20"/>
          <w:shd w:val="clear" w:color="auto" w:fill="FFFFFF"/>
        </w:rPr>
        <w:t>Dando alcance a lo establecido en el artículo 3 de la Ley 2003 de 2019, “</w:t>
      </w:r>
      <w:r w:rsidRPr="000C0AFD">
        <w:rPr>
          <w:rFonts w:ascii="Verdana" w:hAnsi="Verdana" w:cs="Arial"/>
          <w:bCs/>
          <w:i/>
          <w:sz w:val="20"/>
          <w:szCs w:val="20"/>
          <w:shd w:val="clear" w:color="auto" w:fill="FFFFFF"/>
        </w:rPr>
        <w:t>Por la cual se modifica parcialmente la Ley 5 de 1992</w:t>
      </w:r>
      <w:r w:rsidRPr="000C0AFD">
        <w:rPr>
          <w:rFonts w:ascii="Verdana" w:hAnsi="Verdana" w:cs="Arial"/>
          <w:bCs/>
          <w:sz w:val="20"/>
          <w:szCs w:val="20"/>
          <w:shd w:val="clear" w:color="auto" w:fill="FFFFFF"/>
        </w:rPr>
        <w:t>”, se hacen las siguientes consideraciones a fin de describir las circunstancias o eventos que podrían generar conflicto de interés en la discusión y votación de la presente iniciativa legislativa, de conformidad con el artículo 286 de la Ley 5 de 1992, modificado por el artículo 1 de la Ley 2003 de 2019, a cuyo tenor reza:</w:t>
      </w:r>
    </w:p>
    <w:p w14:paraId="3187F0A2" w14:textId="77777777" w:rsidR="00760ED0" w:rsidRPr="000C0AFD" w:rsidRDefault="00760ED0" w:rsidP="000C0AFD">
      <w:pPr>
        <w:autoSpaceDE w:val="0"/>
        <w:autoSpaceDN w:val="0"/>
        <w:adjustRightInd w:val="0"/>
        <w:spacing w:line="360" w:lineRule="auto"/>
        <w:rPr>
          <w:rFonts w:ascii="Verdana" w:hAnsi="Verdana" w:cs="Arial"/>
          <w:bCs/>
          <w:sz w:val="20"/>
          <w:szCs w:val="20"/>
          <w:shd w:val="clear" w:color="auto" w:fill="FFFFFF"/>
        </w:rPr>
      </w:pPr>
    </w:p>
    <w:p w14:paraId="47274FB7"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r w:rsidRPr="000C0AFD">
        <w:rPr>
          <w:rFonts w:ascii="Verdana" w:hAnsi="Verdana"/>
          <w:i/>
          <w:sz w:val="20"/>
          <w:szCs w:val="20"/>
          <w:shd w:val="clear" w:color="auto" w:fill="FFFFFF"/>
        </w:rPr>
        <w:t>“</w:t>
      </w:r>
      <w:r w:rsidRPr="000C0AFD">
        <w:rPr>
          <w:rFonts w:ascii="Verdana" w:hAnsi="Verdana"/>
          <w:b/>
          <w:i/>
          <w:sz w:val="20"/>
          <w:szCs w:val="20"/>
          <w:shd w:val="clear" w:color="auto" w:fill="FFFFFF"/>
        </w:rPr>
        <w:t>Artículo 286. Régimen de conflicto de interés de los congresistas.</w:t>
      </w:r>
      <w:r w:rsidRPr="000C0AFD">
        <w:rPr>
          <w:rFonts w:ascii="Verdana" w:hAnsi="Verdana"/>
          <w:i/>
          <w:sz w:val="20"/>
          <w:szCs w:val="20"/>
          <w:shd w:val="clear" w:color="auto" w:fill="FFFFFF"/>
        </w:rPr>
        <w:t xml:space="preserve"> Todos los congresistas deberán declarar los conflictos De intereses que pudieran surgir en ejercicio de sus funciones.</w:t>
      </w:r>
    </w:p>
    <w:p w14:paraId="4A2A09A7"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p>
    <w:p w14:paraId="49C13445"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r w:rsidRPr="000C0AFD">
        <w:rPr>
          <w:rFonts w:ascii="Verdana" w:hAnsi="Verdana"/>
          <w:i/>
          <w:sz w:val="20"/>
          <w:szCs w:val="20"/>
          <w:shd w:val="clear" w:color="auto" w:fill="FFFFFF"/>
        </w:rPr>
        <w:t>Se entiende como conflicto de interés una situación donde la discusión o votación de un proyecto de ley o acto legislativo o artículo, pueda resultar en un beneficio particular, actual y directo a favor del congresista. </w:t>
      </w:r>
    </w:p>
    <w:p w14:paraId="13FF046D"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p>
    <w:p w14:paraId="39597668" w14:textId="77777777" w:rsidR="00760ED0" w:rsidRPr="000C0AFD" w:rsidRDefault="00760ED0" w:rsidP="000C0AFD">
      <w:pPr>
        <w:pStyle w:val="Sinespaciado"/>
        <w:numPr>
          <w:ilvl w:val="0"/>
          <w:numId w:val="11"/>
        </w:numPr>
        <w:tabs>
          <w:tab w:val="left" w:pos="993"/>
        </w:tabs>
        <w:spacing w:line="360" w:lineRule="auto"/>
        <w:ind w:left="1134" w:right="900" w:hanging="283"/>
        <w:jc w:val="both"/>
        <w:rPr>
          <w:rFonts w:ascii="Verdana" w:hAnsi="Verdana"/>
          <w:i/>
          <w:sz w:val="20"/>
          <w:szCs w:val="20"/>
          <w:shd w:val="clear" w:color="auto" w:fill="FFFFFF"/>
        </w:rPr>
      </w:pPr>
      <w:r w:rsidRPr="000C0AFD">
        <w:rPr>
          <w:rFonts w:ascii="Verdana" w:hAnsi="Verdana"/>
          <w:i/>
          <w:sz w:val="20"/>
          <w:szCs w:val="20"/>
          <w:shd w:val="clear" w:color="auto" w:fill="FFFFFF"/>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38203F16"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p>
    <w:p w14:paraId="4820F786" w14:textId="77777777" w:rsidR="00760ED0" w:rsidRPr="000C0AFD" w:rsidRDefault="00760ED0" w:rsidP="000C0AFD">
      <w:pPr>
        <w:pStyle w:val="Sinespaciado"/>
        <w:numPr>
          <w:ilvl w:val="0"/>
          <w:numId w:val="11"/>
        </w:numPr>
        <w:tabs>
          <w:tab w:val="left" w:pos="993"/>
        </w:tabs>
        <w:spacing w:line="360" w:lineRule="auto"/>
        <w:ind w:left="1134" w:right="900" w:hanging="283"/>
        <w:jc w:val="both"/>
        <w:rPr>
          <w:rFonts w:ascii="Verdana" w:hAnsi="Verdana"/>
          <w:i/>
          <w:sz w:val="20"/>
          <w:szCs w:val="20"/>
          <w:shd w:val="clear" w:color="auto" w:fill="FFFFFF"/>
        </w:rPr>
      </w:pPr>
      <w:r w:rsidRPr="000C0AFD">
        <w:rPr>
          <w:rFonts w:ascii="Verdana" w:hAnsi="Verdana"/>
          <w:i/>
          <w:sz w:val="20"/>
          <w:szCs w:val="20"/>
          <w:shd w:val="clear" w:color="auto" w:fill="FFFFFF"/>
        </w:rPr>
        <w:t>Beneficio actual: aquel que efectivamente se configura en las circunstancias presentes y existentes al momento en el que el congresista participa de la decisión. </w:t>
      </w:r>
    </w:p>
    <w:p w14:paraId="33C4A2ED"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p>
    <w:p w14:paraId="19AB305F" w14:textId="77777777" w:rsidR="00760ED0" w:rsidRPr="000C0AFD" w:rsidRDefault="00760ED0" w:rsidP="000C0AFD">
      <w:pPr>
        <w:pStyle w:val="Sinespaciado"/>
        <w:numPr>
          <w:ilvl w:val="0"/>
          <w:numId w:val="11"/>
        </w:numPr>
        <w:tabs>
          <w:tab w:val="left" w:pos="993"/>
        </w:tabs>
        <w:spacing w:line="360" w:lineRule="auto"/>
        <w:ind w:left="1134" w:right="900" w:hanging="283"/>
        <w:jc w:val="both"/>
        <w:rPr>
          <w:rFonts w:ascii="Verdana" w:hAnsi="Verdana"/>
          <w:i/>
          <w:sz w:val="20"/>
          <w:szCs w:val="20"/>
          <w:shd w:val="clear" w:color="auto" w:fill="FFFFFF"/>
        </w:rPr>
      </w:pPr>
      <w:r w:rsidRPr="000C0AFD">
        <w:rPr>
          <w:rFonts w:ascii="Verdana" w:hAnsi="Verdana"/>
          <w:i/>
          <w:sz w:val="20"/>
          <w:szCs w:val="20"/>
          <w:shd w:val="clear" w:color="auto" w:fill="FFFFFF"/>
        </w:rPr>
        <w:t>Beneficio directo: aquel que se produzca de forma específica respecto del congresista, de su cónyuge, compañero o compañera permanente, o parientes dentro del segundo grado de consanguinidad, segundo de afinidad o primero civil.</w:t>
      </w:r>
    </w:p>
    <w:p w14:paraId="576B70EC"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p>
    <w:p w14:paraId="4FD7E15B" w14:textId="77777777" w:rsidR="00760ED0" w:rsidRPr="000C0AFD" w:rsidRDefault="00760ED0" w:rsidP="000C0AFD">
      <w:pPr>
        <w:pStyle w:val="Sinespaciado"/>
        <w:tabs>
          <w:tab w:val="left" w:pos="993"/>
        </w:tabs>
        <w:spacing w:line="360" w:lineRule="auto"/>
        <w:ind w:left="1134" w:right="900"/>
        <w:jc w:val="both"/>
        <w:rPr>
          <w:rFonts w:ascii="Verdana" w:hAnsi="Verdana"/>
          <w:sz w:val="20"/>
          <w:szCs w:val="20"/>
          <w:shd w:val="clear" w:color="auto" w:fill="FFFFFF"/>
        </w:rPr>
      </w:pPr>
      <w:r w:rsidRPr="000C0AFD">
        <w:rPr>
          <w:rFonts w:ascii="Verdana" w:hAnsi="Verdana"/>
          <w:sz w:val="20"/>
          <w:szCs w:val="20"/>
          <w:shd w:val="clear" w:color="auto" w:fill="FFFFFF"/>
        </w:rPr>
        <w:t>(…)”</w:t>
      </w:r>
    </w:p>
    <w:p w14:paraId="27ED2ECF" w14:textId="77777777" w:rsidR="00760ED0" w:rsidRPr="000C0AFD" w:rsidRDefault="00760ED0" w:rsidP="000C0AFD">
      <w:pPr>
        <w:spacing w:line="360" w:lineRule="auto"/>
        <w:rPr>
          <w:rFonts w:ascii="Verdana" w:hAnsi="Verdana" w:cs="Arial"/>
          <w:bCs/>
          <w:sz w:val="20"/>
          <w:szCs w:val="20"/>
          <w:shd w:val="clear" w:color="auto" w:fill="FFFFFF"/>
        </w:rPr>
      </w:pPr>
    </w:p>
    <w:p w14:paraId="5129915E" w14:textId="77777777" w:rsidR="00760ED0" w:rsidRPr="000C0AFD" w:rsidRDefault="00760ED0" w:rsidP="000C0AFD">
      <w:pPr>
        <w:spacing w:line="360" w:lineRule="auto"/>
        <w:rPr>
          <w:rFonts w:ascii="Verdana" w:hAnsi="Verdana" w:cs="Arial"/>
          <w:bCs/>
          <w:sz w:val="20"/>
          <w:szCs w:val="20"/>
          <w:shd w:val="clear" w:color="auto" w:fill="FFFFFF"/>
        </w:rPr>
      </w:pPr>
      <w:r w:rsidRPr="000C0AFD">
        <w:rPr>
          <w:rFonts w:ascii="Verdana" w:hAnsi="Verdana" w:cs="Arial"/>
          <w:bCs/>
          <w:sz w:val="20"/>
          <w:szCs w:val="20"/>
          <w:shd w:val="clear" w:color="auto" w:fill="FFFFFF"/>
        </w:rPr>
        <w:t>Sobre este asunto la Sala Plena Contenciosa Administrativa del Honorable Consejo de Estado en su sentencia 02830 del 16 de julio de 2019, M.P. Carlos Enrique Moreno Rubio, señaló que:</w:t>
      </w:r>
    </w:p>
    <w:p w14:paraId="42BA98A4" w14:textId="77777777" w:rsidR="00760ED0" w:rsidRPr="000C0AFD" w:rsidRDefault="00760ED0" w:rsidP="000C0AFD">
      <w:pPr>
        <w:spacing w:line="360" w:lineRule="auto"/>
        <w:rPr>
          <w:rFonts w:ascii="Verdana" w:hAnsi="Verdana" w:cs="Arial"/>
          <w:bCs/>
          <w:sz w:val="20"/>
          <w:szCs w:val="20"/>
          <w:shd w:val="clear" w:color="auto" w:fill="FFFFFF"/>
        </w:rPr>
      </w:pPr>
    </w:p>
    <w:p w14:paraId="0B7EAF16" w14:textId="77777777" w:rsidR="00760ED0" w:rsidRPr="000C0AFD" w:rsidRDefault="00760ED0" w:rsidP="000C0AFD">
      <w:pPr>
        <w:pStyle w:val="Sinespaciado"/>
        <w:spacing w:line="360" w:lineRule="auto"/>
        <w:ind w:left="851" w:right="900"/>
        <w:jc w:val="both"/>
        <w:rPr>
          <w:rFonts w:ascii="Verdana" w:hAnsi="Verdana"/>
          <w:i/>
          <w:sz w:val="20"/>
          <w:szCs w:val="20"/>
          <w:shd w:val="clear" w:color="auto" w:fill="FFFFFF"/>
        </w:rPr>
      </w:pPr>
      <w:r w:rsidRPr="000C0AFD">
        <w:rPr>
          <w:rFonts w:ascii="Verdana" w:hAnsi="Verdana"/>
          <w:i/>
          <w:sz w:val="20"/>
          <w:szCs w:val="20"/>
          <w:shd w:val="clear" w:color="auto" w:fill="FFFFFF"/>
        </w:rPr>
        <w:lastRenderedPageBreak/>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6FB4C8C7" w14:textId="77777777" w:rsidR="00760ED0" w:rsidRPr="000C0AFD" w:rsidRDefault="00760ED0" w:rsidP="009C124C">
      <w:pPr>
        <w:spacing w:line="360" w:lineRule="auto"/>
        <w:ind w:left="0"/>
        <w:rPr>
          <w:rFonts w:ascii="Verdana" w:hAnsi="Verdana" w:cs="Arial"/>
          <w:bCs/>
          <w:sz w:val="20"/>
          <w:szCs w:val="20"/>
          <w:shd w:val="clear" w:color="auto" w:fill="FFFFFF"/>
        </w:rPr>
      </w:pPr>
    </w:p>
    <w:p w14:paraId="058778DA" w14:textId="77777777" w:rsidR="00760ED0" w:rsidRPr="000C0AFD" w:rsidRDefault="00760ED0" w:rsidP="000C0AFD">
      <w:pPr>
        <w:spacing w:line="360" w:lineRule="auto"/>
        <w:rPr>
          <w:rFonts w:ascii="Verdana" w:hAnsi="Verdana" w:cs="Arial"/>
          <w:bCs/>
          <w:sz w:val="20"/>
          <w:szCs w:val="20"/>
          <w:shd w:val="clear" w:color="auto" w:fill="FFFFFF"/>
        </w:rPr>
      </w:pPr>
      <w:r w:rsidRPr="000C0AFD">
        <w:rPr>
          <w:rFonts w:ascii="Verdana" w:hAnsi="Verdana" w:cs="Arial"/>
          <w:bCs/>
          <w:sz w:val="20"/>
          <w:szCs w:val="20"/>
          <w:shd w:val="clear" w:color="auto" w:fill="FFFFFF"/>
        </w:rPr>
        <w:t xml:space="preserve">Se estima que la discusión y aprobación del presente Proyecto de Ley no se suscitaría un conflicto de intereses en la medida en que no existiría un interés actual en los congresistas firmantes. </w:t>
      </w:r>
    </w:p>
    <w:p w14:paraId="3933EEBB" w14:textId="77777777" w:rsidR="00760ED0" w:rsidRPr="000C0AFD" w:rsidRDefault="00760ED0" w:rsidP="000C0AFD">
      <w:pPr>
        <w:spacing w:line="360" w:lineRule="auto"/>
        <w:rPr>
          <w:rFonts w:ascii="Verdana" w:hAnsi="Verdana" w:cs="Arial"/>
          <w:bCs/>
          <w:sz w:val="20"/>
          <w:szCs w:val="20"/>
          <w:shd w:val="clear" w:color="auto" w:fill="FFFFFF"/>
        </w:rPr>
      </w:pPr>
    </w:p>
    <w:p w14:paraId="185A43DE" w14:textId="77777777" w:rsidR="00760ED0" w:rsidRPr="000C0AFD" w:rsidRDefault="00760ED0" w:rsidP="000C0AFD">
      <w:pPr>
        <w:spacing w:line="360" w:lineRule="auto"/>
        <w:rPr>
          <w:rFonts w:ascii="Verdana" w:hAnsi="Verdana" w:cs="Arial"/>
          <w:bCs/>
          <w:sz w:val="20"/>
          <w:szCs w:val="20"/>
          <w:shd w:val="clear" w:color="auto" w:fill="FFFFFF"/>
        </w:rPr>
      </w:pPr>
      <w:r w:rsidRPr="000C0AFD">
        <w:rPr>
          <w:rFonts w:ascii="Verdana" w:hAnsi="Verdana" w:cs="Arial"/>
          <w:bCs/>
          <w:sz w:val="20"/>
          <w:szCs w:val="20"/>
          <w:shd w:val="clear" w:color="auto" w:fill="FFFFFF"/>
        </w:rPr>
        <w:t>Con todo, es menester precisar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inmerso.</w:t>
      </w:r>
    </w:p>
    <w:p w14:paraId="05608CE5" w14:textId="77777777" w:rsidR="000C0AFD" w:rsidRPr="000C0AFD" w:rsidRDefault="000C0AFD" w:rsidP="000C0AFD">
      <w:pPr>
        <w:spacing w:line="360" w:lineRule="auto"/>
        <w:rPr>
          <w:rFonts w:ascii="Verdana" w:hAnsi="Verdana" w:cs="Arial"/>
          <w:b/>
          <w:sz w:val="20"/>
          <w:szCs w:val="20"/>
        </w:rPr>
      </w:pPr>
    </w:p>
    <w:p w14:paraId="59EA5D82" w14:textId="7B72FCFE" w:rsidR="00760ED0" w:rsidRPr="000C0AFD" w:rsidRDefault="000C0AFD" w:rsidP="000C0AFD">
      <w:pPr>
        <w:spacing w:line="360" w:lineRule="auto"/>
        <w:rPr>
          <w:rFonts w:ascii="Verdana" w:hAnsi="Verdana" w:cs="Arial"/>
          <w:b/>
          <w:sz w:val="20"/>
          <w:szCs w:val="20"/>
        </w:rPr>
      </w:pPr>
      <w:r w:rsidRPr="000C0AFD">
        <w:rPr>
          <w:rFonts w:ascii="Verdana" w:hAnsi="Verdana" w:cs="Arial"/>
          <w:b/>
          <w:sz w:val="20"/>
          <w:szCs w:val="20"/>
        </w:rPr>
        <w:t>IX Pliego de Modificaciones</w:t>
      </w:r>
    </w:p>
    <w:p w14:paraId="6CB51EFF" w14:textId="6409E0F7" w:rsidR="000C0AFD" w:rsidRPr="000C0AFD" w:rsidRDefault="000C0AFD" w:rsidP="000C0AFD">
      <w:pPr>
        <w:spacing w:line="360" w:lineRule="auto"/>
        <w:rPr>
          <w:rFonts w:ascii="Verdana" w:hAnsi="Verdana" w:cs="Arial"/>
          <w:b/>
          <w:sz w:val="20"/>
          <w:szCs w:val="20"/>
        </w:rPr>
      </w:pPr>
    </w:p>
    <w:tbl>
      <w:tblPr>
        <w:tblStyle w:val="Tablaconcuadrcula"/>
        <w:tblW w:w="0" w:type="auto"/>
        <w:tblLook w:val="04A0" w:firstRow="1" w:lastRow="0" w:firstColumn="1" w:lastColumn="0" w:noHBand="0" w:noVBand="1"/>
      </w:tblPr>
      <w:tblGrid>
        <w:gridCol w:w="4361"/>
        <w:gridCol w:w="4361"/>
      </w:tblGrid>
      <w:tr w:rsidR="000C0AFD" w:rsidRPr="000C0AFD" w14:paraId="3D5A4A31" w14:textId="77777777" w:rsidTr="000C0AFD">
        <w:tc>
          <w:tcPr>
            <w:tcW w:w="4361" w:type="dxa"/>
          </w:tcPr>
          <w:p w14:paraId="663D6061" w14:textId="17DCD947"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t>Texto Radicado en Comisión Primera</w:t>
            </w:r>
          </w:p>
        </w:tc>
        <w:tc>
          <w:tcPr>
            <w:tcW w:w="4361" w:type="dxa"/>
          </w:tcPr>
          <w:p w14:paraId="5BA7544F" w14:textId="3FF5750D"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t>Texto Presentado en la Ponencia</w:t>
            </w:r>
          </w:p>
        </w:tc>
      </w:tr>
      <w:tr w:rsidR="000C0AFD" w:rsidRPr="000C0AFD" w14:paraId="00E09CE6" w14:textId="77777777" w:rsidTr="000C0AFD">
        <w:tc>
          <w:tcPr>
            <w:tcW w:w="4361" w:type="dxa"/>
          </w:tcPr>
          <w:p w14:paraId="469848FE" w14:textId="77777777" w:rsidR="000C0AFD" w:rsidRPr="000C0AFD" w:rsidRDefault="000C0AFD" w:rsidP="000C0AFD">
            <w:pPr>
              <w:spacing w:before="240" w:after="240" w:line="360" w:lineRule="auto"/>
              <w:ind w:left="0" w:firstLine="567"/>
              <w:rPr>
                <w:rFonts w:ascii="Verdana" w:hAnsi="Verdana"/>
                <w:i/>
                <w:iCs/>
                <w:sz w:val="20"/>
                <w:szCs w:val="20"/>
                <w:lang w:val="es-ES_tradnl"/>
              </w:rPr>
            </w:pPr>
            <w:r w:rsidRPr="000C0AFD">
              <w:rPr>
                <w:rFonts w:ascii="Verdana" w:hAnsi="Verdana"/>
                <w:b/>
                <w:i/>
                <w:iCs/>
                <w:sz w:val="20"/>
                <w:szCs w:val="20"/>
                <w:lang w:val="es-ES_tradnl"/>
              </w:rPr>
              <w:t xml:space="preserve">Artículo 1º. </w:t>
            </w:r>
            <w:r w:rsidRPr="000C0AFD">
              <w:rPr>
                <w:rFonts w:ascii="Verdana" w:hAnsi="Verdana"/>
                <w:i/>
                <w:iCs/>
                <w:sz w:val="20"/>
                <w:szCs w:val="20"/>
                <w:lang w:val="es-ES_tradnl"/>
              </w:rPr>
              <w:t xml:space="preserve">El artículo 68 A de la Ley 599 del 2000 quedará de la siguiente forma: </w:t>
            </w:r>
          </w:p>
          <w:p w14:paraId="5B3506DF" w14:textId="77777777" w:rsidR="000C0AFD" w:rsidRPr="000C0AFD" w:rsidRDefault="000C0AFD" w:rsidP="000C0AFD">
            <w:pPr>
              <w:pStyle w:val="NormalWeb"/>
              <w:spacing w:before="0" w:beforeAutospacing="0" w:after="0" w:afterAutospacing="0" w:line="360" w:lineRule="auto"/>
              <w:ind w:firstLine="567"/>
              <w:rPr>
                <w:rFonts w:ascii="Verdana" w:hAnsi="Verdana"/>
                <w:i/>
                <w:sz w:val="20"/>
                <w:szCs w:val="20"/>
                <w:lang w:eastAsia="en-US"/>
              </w:rPr>
            </w:pPr>
            <w:r w:rsidRPr="000C0AFD">
              <w:rPr>
                <w:rFonts w:ascii="Verdana" w:hAnsi="Verdana"/>
                <w:b/>
                <w:bCs/>
                <w:i/>
                <w:sz w:val="20"/>
                <w:szCs w:val="20"/>
              </w:rPr>
              <w:t>Artículo 68A.</w:t>
            </w:r>
            <w:r w:rsidRPr="000C0AFD">
              <w:rPr>
                <w:rFonts w:ascii="Verdana" w:hAnsi="Verdana"/>
                <w:i/>
                <w:sz w:val="20"/>
                <w:szCs w:val="20"/>
              </w:rPr>
              <w:t> </w:t>
            </w:r>
            <w:r w:rsidRPr="000C0AFD">
              <w:rPr>
                <w:rStyle w:val="a3"/>
                <w:rFonts w:ascii="Verdana" w:eastAsiaTheme="majorEastAsia" w:hAnsi="Verdana"/>
                <w:b/>
                <w:i/>
                <w:sz w:val="20"/>
                <w:szCs w:val="20"/>
              </w:rPr>
              <w:t>Exclusión de los beneficios y subrogados penales.</w:t>
            </w:r>
            <w:r w:rsidRPr="000C0AFD">
              <w:rPr>
                <w:rStyle w:val="a3"/>
                <w:rFonts w:ascii="Verdana" w:eastAsiaTheme="majorEastAsia" w:hAnsi="Verdana"/>
                <w:i/>
                <w:sz w:val="20"/>
                <w:szCs w:val="20"/>
              </w:rPr>
              <w:t xml:space="preserve"> No se concederán la suspensión condicional de la </w:t>
            </w:r>
            <w:r w:rsidRPr="000C0AFD">
              <w:rPr>
                <w:rStyle w:val="a3"/>
                <w:rFonts w:ascii="Verdana" w:eastAsiaTheme="majorEastAsia" w:hAnsi="Verdana"/>
                <w:i/>
                <w:sz w:val="20"/>
                <w:szCs w:val="20"/>
              </w:rPr>
              <w:lastRenderedPageBreak/>
              <w:t>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1C55879C" w14:textId="77777777" w:rsidR="000C0AFD" w:rsidRPr="000C0AFD" w:rsidRDefault="000C0AFD" w:rsidP="000C0AFD">
            <w:pPr>
              <w:pStyle w:val="NormalWeb"/>
              <w:spacing w:before="0" w:beforeAutospacing="0" w:after="0" w:afterAutospacing="0" w:line="360" w:lineRule="auto"/>
              <w:ind w:firstLine="567"/>
              <w:rPr>
                <w:rFonts w:ascii="Verdana" w:hAnsi="Verdana"/>
                <w:i/>
                <w:sz w:val="20"/>
                <w:szCs w:val="20"/>
              </w:rPr>
            </w:pPr>
            <w:r w:rsidRPr="000C0AFD">
              <w:rPr>
                <w:rFonts w:ascii="Verdana" w:hAnsi="Verdana"/>
                <w:i/>
                <w:sz w:val="20"/>
                <w:szCs w:val="20"/>
              </w:rPr>
              <w:t> </w:t>
            </w:r>
          </w:p>
          <w:p w14:paraId="4BDD1E6E" w14:textId="487193FC" w:rsidR="000C0AFD" w:rsidRPr="000C0AFD" w:rsidRDefault="000C0AFD" w:rsidP="000C0AFD">
            <w:pPr>
              <w:pStyle w:val="NormalWeb"/>
              <w:spacing w:before="0" w:beforeAutospacing="0" w:after="0" w:afterAutospacing="0" w:line="360" w:lineRule="auto"/>
              <w:ind w:firstLine="567"/>
              <w:rPr>
                <w:rFonts w:ascii="Verdana" w:hAnsi="Verdana"/>
                <w:i/>
                <w:sz w:val="20"/>
                <w:szCs w:val="20"/>
              </w:rPr>
            </w:pPr>
            <w:r w:rsidRPr="000C0AFD">
              <w:rPr>
                <w:rFonts w:ascii="Verdana" w:hAnsi="Verdana"/>
                <w:i/>
                <w:sz w:val="20"/>
                <w:szCs w:val="20"/>
              </w:rPr>
              <w:t xml:space="preserve"> 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w:t>
            </w:r>
            <w:r w:rsidRPr="000C0AFD">
              <w:rPr>
                <w:rFonts w:ascii="Verdana" w:hAnsi="Verdana"/>
                <w:i/>
                <w:sz w:val="20"/>
                <w:szCs w:val="20"/>
              </w:rPr>
              <w:lastRenderedPageBreak/>
              <w:t>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w:t>
            </w:r>
            <w:r w:rsidRPr="000C0AFD">
              <w:rPr>
                <w:rFonts w:ascii="Verdana" w:hAnsi="Verdana"/>
                <w:sz w:val="20"/>
                <w:szCs w:val="20"/>
              </w:rPr>
              <w:t xml:space="preserve"> </w:t>
            </w:r>
            <w:r w:rsidRPr="000C0AFD">
              <w:rPr>
                <w:rFonts w:ascii="Verdana" w:hAnsi="Verdana"/>
                <w:bCs/>
                <w:i/>
                <w:sz w:val="20"/>
                <w:szCs w:val="20"/>
              </w:rPr>
              <w:t>fabricación, tráfico y porte de armas de fuego o municiones; Fabricación, tráfico y porte de armas y municiones de uso privativo de las fuerzas armadas;</w:t>
            </w:r>
            <w:r w:rsidRPr="000C0AFD">
              <w:rPr>
                <w:rFonts w:ascii="Verdana" w:hAnsi="Verdana"/>
                <w:i/>
                <w:sz w:val="20"/>
                <w:szCs w:val="20"/>
              </w:rPr>
              <w:t xml:space="preserve">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w:t>
            </w:r>
            <w:r w:rsidRPr="000C0AFD">
              <w:rPr>
                <w:rFonts w:ascii="Verdana" w:hAnsi="Verdana"/>
                <w:i/>
                <w:sz w:val="20"/>
                <w:szCs w:val="20"/>
              </w:rPr>
              <w:lastRenderedPageBreak/>
              <w:t>ayuda e instigación al empleo, producción y transferencia de minas antipersonales.</w:t>
            </w:r>
          </w:p>
        </w:tc>
        <w:tc>
          <w:tcPr>
            <w:tcW w:w="4361" w:type="dxa"/>
          </w:tcPr>
          <w:p w14:paraId="7CE539A0" w14:textId="02027950"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lastRenderedPageBreak/>
              <w:t>Sin Modificaciones</w:t>
            </w:r>
          </w:p>
        </w:tc>
      </w:tr>
      <w:tr w:rsidR="000C0AFD" w:rsidRPr="000C0AFD" w14:paraId="18B7ABB8" w14:textId="77777777" w:rsidTr="000C0AFD">
        <w:tc>
          <w:tcPr>
            <w:tcW w:w="4361" w:type="dxa"/>
          </w:tcPr>
          <w:p w14:paraId="4E6AB91A" w14:textId="77777777" w:rsidR="000C0AFD" w:rsidRPr="000C0AFD" w:rsidRDefault="000C0AFD" w:rsidP="000C0AFD">
            <w:pPr>
              <w:suppressAutoHyphens/>
              <w:adjustRightInd w:val="0"/>
              <w:spacing w:line="360" w:lineRule="auto"/>
              <w:contextualSpacing/>
              <w:textAlignment w:val="center"/>
              <w:rPr>
                <w:rFonts w:ascii="Verdana" w:hAnsi="Verdana" w:cstheme="minorHAnsi"/>
                <w:i/>
                <w:iCs/>
                <w:sz w:val="20"/>
                <w:szCs w:val="20"/>
              </w:rPr>
            </w:pPr>
            <w:r w:rsidRPr="000C0AFD">
              <w:rPr>
                <w:rFonts w:ascii="Verdana" w:hAnsi="Verdana" w:cstheme="minorHAnsi"/>
                <w:b/>
                <w:bCs/>
                <w:sz w:val="20"/>
                <w:szCs w:val="20"/>
              </w:rPr>
              <w:lastRenderedPageBreak/>
              <w:t>Artículo 2</w:t>
            </w:r>
            <w:r w:rsidRPr="000C0AFD">
              <w:rPr>
                <w:rFonts w:ascii="Verdana" w:hAnsi="Verdana" w:cstheme="minorHAnsi"/>
                <w:b/>
                <w:bCs/>
                <w:caps/>
                <w:sz w:val="20"/>
                <w:szCs w:val="20"/>
              </w:rPr>
              <w:t xml:space="preserve">°. </w:t>
            </w:r>
            <w:r w:rsidRPr="000C0AFD">
              <w:rPr>
                <w:rFonts w:ascii="Verdana" w:hAnsi="Verdana" w:cstheme="minorHAnsi"/>
                <w:i/>
                <w:iCs/>
                <w:sz w:val="20"/>
                <w:szCs w:val="20"/>
              </w:rPr>
              <w:t xml:space="preserve">Modifíquese el parágrafo del artículo 314 de la Ley 906 de 2004, el cual quedará así: </w:t>
            </w:r>
          </w:p>
          <w:p w14:paraId="6F4BEF30" w14:textId="77777777" w:rsidR="000C0AFD" w:rsidRPr="000C0AFD" w:rsidRDefault="000C0AFD" w:rsidP="000C0AFD">
            <w:pPr>
              <w:suppressAutoHyphens/>
              <w:adjustRightInd w:val="0"/>
              <w:spacing w:line="360" w:lineRule="auto"/>
              <w:contextualSpacing/>
              <w:textAlignment w:val="center"/>
              <w:rPr>
                <w:rFonts w:ascii="Verdana" w:hAnsi="Verdana" w:cstheme="minorHAnsi"/>
                <w:b/>
                <w:bCs/>
                <w:caps/>
                <w:sz w:val="20"/>
                <w:szCs w:val="20"/>
              </w:rPr>
            </w:pPr>
          </w:p>
          <w:p w14:paraId="4F23EEFC"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caps/>
                <w:sz w:val="20"/>
                <w:szCs w:val="20"/>
              </w:rPr>
              <w:t xml:space="preserve">Artículo  314. </w:t>
            </w:r>
            <w:r w:rsidRPr="000C0AFD">
              <w:rPr>
                <w:rFonts w:ascii="Verdana" w:hAnsi="Verdana" w:cstheme="minorHAnsi"/>
                <w:b/>
                <w:bCs/>
                <w:sz w:val="20"/>
                <w:szCs w:val="20"/>
              </w:rPr>
              <w:t>SUSTITUCIÓN DE LA DETENCIÓN PREVENTIVA</w:t>
            </w:r>
            <w:r w:rsidRPr="000C0AFD">
              <w:rPr>
                <w:rFonts w:ascii="Verdana" w:hAnsi="Verdana" w:cstheme="minorHAnsi"/>
                <w:sz w:val="20"/>
                <w:szCs w:val="20"/>
              </w:rPr>
              <w:t>. La detención preventiva en establecimiento carcelario podrá sustituirse por la del lugar de la residencia en los siguientes eventos:</w:t>
            </w:r>
          </w:p>
          <w:p w14:paraId="30941EC7"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p>
          <w:p w14:paraId="3D6D7AFB" w14:textId="77777777" w:rsidR="000C0AFD" w:rsidRPr="000C0AFD" w:rsidRDefault="000C0AFD"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2C13BBFD" w14:textId="77777777" w:rsidR="000C0AFD" w:rsidRPr="000C0AFD" w:rsidRDefault="000C0AFD"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el imputado o acusado fuere mayor de sesenta y cinco (65) años, siempre que su personalidad, la naturaleza y modalidad del delito hagan aconsejable su reclusión en el lugar de residencia.</w:t>
            </w:r>
          </w:p>
          <w:p w14:paraId="0C1F935C" w14:textId="77777777" w:rsidR="000C0AFD" w:rsidRPr="000C0AFD" w:rsidRDefault="000C0AFD"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lastRenderedPageBreak/>
              <w:t xml:space="preserve">Cuando a la imputada o acusada le falten dos (2) meses o menos para el parto. Igual derecho tendrá durante los seis (6) meses siguientes a la fecha de nacimiento. </w:t>
            </w:r>
          </w:p>
          <w:p w14:paraId="3264D79C" w14:textId="77777777" w:rsidR="000C0AFD" w:rsidRPr="000C0AFD" w:rsidRDefault="000C0AFD"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61B0556F" w14:textId="77777777" w:rsidR="000C0AFD" w:rsidRPr="000C0AFD" w:rsidRDefault="000C0AFD"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44CA7464"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p>
          <w:p w14:paraId="25DFFDD7"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t xml:space="preserve">En todos los eventos el beneficiario suscribirá un acta en la cual se compromete a permanecer en el lugar o lugares indicados, a no </w:t>
            </w:r>
            <w:r w:rsidRPr="000C0AFD">
              <w:rPr>
                <w:rFonts w:ascii="Verdana" w:hAnsi="Verdana" w:cstheme="minorHAnsi"/>
                <w:sz w:val="20"/>
                <w:szCs w:val="20"/>
              </w:rPr>
              <w:lastRenderedPageBreak/>
              <w:t>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1D19EEF5"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p>
          <w:p w14:paraId="06F0FC48"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660B1060"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p>
          <w:p w14:paraId="518011E2"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sz w:val="20"/>
                <w:szCs w:val="20"/>
              </w:rPr>
              <w:t>PARÁGRAFO.</w:t>
            </w:r>
            <w:r w:rsidRPr="000C0AFD">
              <w:rPr>
                <w:rFonts w:ascii="Verdana"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393AF13B"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p>
          <w:p w14:paraId="43EFDB14" w14:textId="6A03112A" w:rsidR="000C0AFD" w:rsidRPr="000C0AFD" w:rsidRDefault="000C0AFD" w:rsidP="000C0AFD">
            <w:pPr>
              <w:suppressAutoHyphens/>
              <w:adjustRightInd w:val="0"/>
              <w:spacing w:line="360" w:lineRule="auto"/>
              <w:contextualSpacing/>
              <w:textAlignment w:val="center"/>
              <w:rPr>
                <w:rFonts w:ascii="Verdana" w:hAnsi="Verdana" w:cstheme="minorHAnsi"/>
                <w:b/>
                <w:bCs/>
                <w:sz w:val="20"/>
                <w:szCs w:val="20"/>
                <w:u w:val="single"/>
              </w:rPr>
            </w:pPr>
            <w:r w:rsidRPr="000C0AFD">
              <w:rPr>
                <w:rFonts w:ascii="Verdana" w:hAnsi="Verdana" w:cstheme="minorHAnsi"/>
                <w:sz w:val="20"/>
                <w:szCs w:val="20"/>
              </w:rPr>
              <w:t xml:space="preserve">Los de competencia de los jueces penales del circuito especializados o </w:t>
            </w:r>
            <w:r w:rsidRPr="000C0AFD">
              <w:rPr>
                <w:rFonts w:ascii="Verdana" w:hAnsi="Verdana" w:cstheme="minorHAnsi"/>
                <w:sz w:val="20"/>
                <w:szCs w:val="20"/>
              </w:rPr>
              <w:lastRenderedPageBreak/>
              <w:t xml:space="preserve">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w:t>
            </w:r>
            <w:r w:rsidRPr="000C0AFD">
              <w:rPr>
                <w:rFonts w:ascii="Verdana" w:hAnsi="Verdana" w:cstheme="minorHAnsi"/>
                <w:sz w:val="20"/>
                <w:szCs w:val="20"/>
              </w:rPr>
              <w:lastRenderedPageBreak/>
              <w:t>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w:t>
            </w:r>
          </w:p>
        </w:tc>
        <w:tc>
          <w:tcPr>
            <w:tcW w:w="4361" w:type="dxa"/>
          </w:tcPr>
          <w:p w14:paraId="63B45898" w14:textId="2575A6E8"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lastRenderedPageBreak/>
              <w:t>Sin Modificaciones</w:t>
            </w:r>
          </w:p>
        </w:tc>
      </w:tr>
      <w:tr w:rsidR="000C0AFD" w:rsidRPr="000C0AFD" w14:paraId="51EDF362" w14:textId="77777777" w:rsidTr="000C0AFD">
        <w:tc>
          <w:tcPr>
            <w:tcW w:w="4361" w:type="dxa"/>
          </w:tcPr>
          <w:p w14:paraId="45BCE45E" w14:textId="77777777" w:rsidR="000C0AFD" w:rsidRPr="000C0AFD" w:rsidRDefault="000C0AFD" w:rsidP="000C0AFD">
            <w:pPr>
              <w:suppressAutoHyphens/>
              <w:adjustRightInd w:val="0"/>
              <w:spacing w:line="360" w:lineRule="auto"/>
              <w:contextualSpacing/>
              <w:textAlignment w:val="center"/>
              <w:rPr>
                <w:rFonts w:ascii="Verdana" w:hAnsi="Verdana" w:cstheme="minorHAnsi"/>
                <w:i/>
                <w:iCs/>
                <w:sz w:val="20"/>
                <w:szCs w:val="20"/>
              </w:rPr>
            </w:pPr>
            <w:r w:rsidRPr="000C0AFD">
              <w:rPr>
                <w:rFonts w:ascii="Verdana" w:hAnsi="Verdana" w:cstheme="minorHAnsi"/>
                <w:b/>
                <w:bCs/>
                <w:sz w:val="20"/>
                <w:szCs w:val="20"/>
              </w:rPr>
              <w:lastRenderedPageBreak/>
              <w:t>Artículo 3</w:t>
            </w:r>
            <w:r w:rsidRPr="000C0AFD">
              <w:rPr>
                <w:rFonts w:ascii="Verdana" w:hAnsi="Verdana" w:cstheme="minorHAnsi"/>
                <w:b/>
                <w:bCs/>
                <w:caps/>
                <w:sz w:val="20"/>
                <w:szCs w:val="20"/>
              </w:rPr>
              <w:t xml:space="preserve">°. </w:t>
            </w:r>
            <w:r w:rsidRPr="000C0AFD">
              <w:rPr>
                <w:rFonts w:ascii="Verdana" w:hAnsi="Verdana" w:cstheme="minorHAnsi"/>
                <w:i/>
                <w:iCs/>
                <w:sz w:val="20"/>
                <w:szCs w:val="20"/>
              </w:rPr>
              <w:t xml:space="preserve">Modifíquese el parágrafo 1º del artículo 317 de la Ley 906 de 2004, el cual quedará así: </w:t>
            </w:r>
          </w:p>
          <w:p w14:paraId="7A91CD6D" w14:textId="77777777" w:rsidR="000C0AFD" w:rsidRPr="000C0AFD" w:rsidRDefault="000C0AFD" w:rsidP="000C0AFD">
            <w:pPr>
              <w:suppressAutoHyphens/>
              <w:adjustRightInd w:val="0"/>
              <w:spacing w:line="360" w:lineRule="auto"/>
              <w:contextualSpacing/>
              <w:textAlignment w:val="center"/>
              <w:rPr>
                <w:rFonts w:ascii="Verdana" w:hAnsi="Verdana"/>
                <w:b/>
                <w:i/>
                <w:sz w:val="20"/>
                <w:szCs w:val="20"/>
                <w:u w:val="single"/>
              </w:rPr>
            </w:pPr>
          </w:p>
          <w:p w14:paraId="4682C249"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caps/>
                <w:sz w:val="20"/>
                <w:szCs w:val="20"/>
              </w:rPr>
              <w:t>Artículo 317. Causales de libertad</w:t>
            </w:r>
            <w:r w:rsidRPr="000C0AFD">
              <w:rPr>
                <w:rFonts w:ascii="Verdana" w:hAnsi="Verdana" w:cstheme="minorHAnsi"/>
                <w:b/>
                <w:sz w:val="20"/>
                <w:szCs w:val="20"/>
              </w:rPr>
              <w:t xml:space="preserve">. </w:t>
            </w:r>
            <w:r w:rsidRPr="000C0AFD">
              <w:rPr>
                <w:rFonts w:ascii="Verdana" w:hAnsi="Verdana" w:cstheme="minorHAnsi"/>
                <w:sz w:val="20"/>
                <w:szCs w:val="20"/>
              </w:rPr>
              <w:t xml:space="preserve">Las medidas de aseguramiento indicadas en los anteriores artículos tendrán vigencia durante toda la actuación, sin perjuicio de lo establecido en el parágrafo 1o del artículo 307 del presente código sobre las medidas de aseguramiento privativas de la libertad. La libertad del imputado o </w:t>
            </w:r>
            <w:r w:rsidRPr="000C0AFD">
              <w:rPr>
                <w:rFonts w:ascii="Verdana" w:hAnsi="Verdana" w:cstheme="minorHAnsi"/>
                <w:sz w:val="20"/>
                <w:szCs w:val="20"/>
              </w:rPr>
              <w:lastRenderedPageBreak/>
              <w:t>acusado se cumplirá de inmediato y solo procederá en los siguientes eventos:</w:t>
            </w:r>
          </w:p>
          <w:p w14:paraId="216455BE" w14:textId="77777777" w:rsidR="000C0AFD" w:rsidRPr="000C0AFD" w:rsidRDefault="000C0AFD" w:rsidP="000C0AFD">
            <w:pPr>
              <w:suppressAutoHyphens/>
              <w:adjustRightInd w:val="0"/>
              <w:spacing w:line="360" w:lineRule="auto"/>
              <w:ind w:left="427"/>
              <w:contextualSpacing/>
              <w:textAlignment w:val="center"/>
              <w:rPr>
                <w:rFonts w:ascii="Verdana" w:hAnsi="Verdana" w:cstheme="minorHAnsi"/>
                <w:sz w:val="20"/>
                <w:szCs w:val="20"/>
              </w:rPr>
            </w:pPr>
            <w:r w:rsidRPr="000C0AFD">
              <w:rPr>
                <w:rFonts w:ascii="Verdana" w:hAnsi="Verdana" w:cstheme="minorHAnsi"/>
                <w:sz w:val="20"/>
                <w:szCs w:val="20"/>
              </w:rPr>
              <w:t xml:space="preserve">                                       </w:t>
            </w:r>
          </w:p>
          <w:p w14:paraId="213A3118"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se haya cumplido la pena según la determinación anticipada que para este efecto se haga, o se haya decretado la preclusión, o se haya absuelto al acusado.</w:t>
            </w:r>
          </w:p>
          <w:p w14:paraId="507A1BBE" w14:textId="77777777" w:rsidR="000C0AFD" w:rsidRPr="000C0AFD" w:rsidRDefault="000C0AFD" w:rsidP="000C0AFD">
            <w:pPr>
              <w:pStyle w:val="Prrafodelista"/>
              <w:suppressAutoHyphens/>
              <w:adjustRightInd w:val="0"/>
              <w:spacing w:line="360" w:lineRule="auto"/>
              <w:ind w:left="787"/>
              <w:textAlignment w:val="center"/>
              <w:rPr>
                <w:rFonts w:ascii="Verdana" w:hAnsi="Verdana" w:cstheme="minorHAnsi"/>
                <w:sz w:val="20"/>
                <w:szCs w:val="20"/>
              </w:rPr>
            </w:pPr>
          </w:p>
          <w:p w14:paraId="77872070"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Como consecuencia de la aplicación del Principio de Oportunidad.</w:t>
            </w:r>
          </w:p>
          <w:p w14:paraId="15F44F6B" w14:textId="77777777" w:rsidR="000C0AFD" w:rsidRPr="000C0AFD" w:rsidRDefault="000C0AFD" w:rsidP="000C0AFD">
            <w:pPr>
              <w:pStyle w:val="Prrafodelista"/>
              <w:suppressAutoHyphens/>
              <w:adjustRightInd w:val="0"/>
              <w:spacing w:line="360" w:lineRule="auto"/>
              <w:ind w:left="787"/>
              <w:textAlignment w:val="center"/>
              <w:rPr>
                <w:rFonts w:ascii="Verdana" w:hAnsi="Verdana" w:cstheme="minorHAnsi"/>
                <w:sz w:val="20"/>
                <w:szCs w:val="20"/>
              </w:rPr>
            </w:pPr>
          </w:p>
          <w:p w14:paraId="5897708B"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Como consecuencia de las cláusulas del acuerdo cuando haya sido aceptado por el Juez de Conocimiento.</w:t>
            </w:r>
          </w:p>
          <w:p w14:paraId="44C578EF" w14:textId="77777777" w:rsidR="000C0AFD" w:rsidRPr="000C0AFD" w:rsidRDefault="000C0AFD" w:rsidP="000C0AFD">
            <w:pPr>
              <w:pStyle w:val="Prrafodelista"/>
              <w:suppressAutoHyphens/>
              <w:adjustRightInd w:val="0"/>
              <w:spacing w:line="360" w:lineRule="auto"/>
              <w:ind w:left="787"/>
              <w:textAlignment w:val="center"/>
              <w:rPr>
                <w:rFonts w:ascii="Verdana" w:hAnsi="Verdana" w:cstheme="minorHAnsi"/>
                <w:sz w:val="20"/>
                <w:szCs w:val="20"/>
              </w:rPr>
            </w:pPr>
          </w:p>
          <w:p w14:paraId="66BD4D00"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Cuando transcurridos sesenta (60) días contados a partir de la fecha de imputación no se hubiere presentado el escrito de acusación o solicitado la preclusión, conforme a lo dispuesto en el artículo 294.</w:t>
            </w:r>
          </w:p>
          <w:p w14:paraId="073FF396" w14:textId="77777777" w:rsidR="000C0AFD" w:rsidRPr="000C0AFD" w:rsidRDefault="000C0AFD" w:rsidP="000C0AFD">
            <w:pPr>
              <w:pStyle w:val="Prrafodelista"/>
              <w:spacing w:line="360" w:lineRule="auto"/>
              <w:rPr>
                <w:rFonts w:ascii="Verdana" w:hAnsi="Verdana" w:cstheme="minorHAnsi"/>
                <w:sz w:val="20"/>
                <w:szCs w:val="20"/>
              </w:rPr>
            </w:pPr>
          </w:p>
          <w:p w14:paraId="3B707B43"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Cuando transcurridos ciento veinte (120) días contados a partir de la fecha de presentación del escrito de acusación, no se </w:t>
            </w:r>
            <w:r w:rsidRPr="000C0AFD">
              <w:rPr>
                <w:rFonts w:ascii="Verdana" w:hAnsi="Verdana" w:cstheme="minorHAnsi"/>
                <w:sz w:val="20"/>
                <w:szCs w:val="20"/>
              </w:rPr>
              <w:lastRenderedPageBreak/>
              <w:t>haya dado inicio a la audiencia de juicio.</w:t>
            </w:r>
          </w:p>
          <w:p w14:paraId="653594E6" w14:textId="77777777" w:rsidR="000C0AFD" w:rsidRPr="000C0AFD" w:rsidRDefault="000C0AFD" w:rsidP="000C0AFD">
            <w:pPr>
              <w:pStyle w:val="Prrafodelista"/>
              <w:spacing w:line="360" w:lineRule="auto"/>
              <w:rPr>
                <w:rFonts w:ascii="Verdana" w:hAnsi="Verdana" w:cstheme="minorHAnsi"/>
                <w:sz w:val="20"/>
                <w:szCs w:val="20"/>
              </w:rPr>
            </w:pPr>
          </w:p>
          <w:p w14:paraId="539E3A68" w14:textId="77777777" w:rsidR="000C0AFD" w:rsidRPr="000C0AFD" w:rsidRDefault="000C0AFD"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Cuando transcurridos ciento cincuenta (150) días contados a partir de la fecha de inicio de la audiencia de juicio, no se haya celebrado la audiencia de lectura de fallo o su equivalente.</w:t>
            </w:r>
          </w:p>
          <w:p w14:paraId="78339579"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br/>
            </w:r>
            <w:r w:rsidRPr="000C0AFD">
              <w:rPr>
                <w:rFonts w:ascii="Verdana" w:hAnsi="Verdana" w:cstheme="minorHAnsi"/>
                <w:b/>
                <w:sz w:val="20"/>
                <w:szCs w:val="20"/>
              </w:rPr>
              <w:t>PARÁGRAFO 1</w:t>
            </w:r>
            <w:r w:rsidRPr="000C0AFD">
              <w:rPr>
                <w:rFonts w:ascii="Verdana" w:hAnsi="Verdana" w:cstheme="minorHAnsi"/>
                <w:sz w:val="20"/>
                <w:szCs w:val="20"/>
              </w:rPr>
              <w:t>. Los términos dispuestos en los numerales 4, 5 y 6 del presente artículo se incrementarán por el mismo término inicial, cuando el proceso se surta ante la justicia penal especializada, o sean tres (3) o más los imputados o acusados, o se trate de investigación o juicio de actos de corrupción de que trata la Ley 1474 de 2011 o de cualquiera de las conductas previstas en el Título IV del Libro Segundo de la Ley 599 de 2000 (Código Penal)</w:t>
            </w:r>
            <w:r w:rsidRPr="000C0AFD">
              <w:rPr>
                <w:rFonts w:ascii="Verdana" w:hAnsi="Verdana" w:cstheme="minorHAnsi"/>
                <w:bCs/>
                <w:sz w:val="20"/>
                <w:szCs w:val="20"/>
              </w:rPr>
              <w:t xml:space="preserve"> o por las conductas previstas en los artículos 365 y 366 de la Ley 599 de 2000 (Código Penal).</w:t>
            </w:r>
          </w:p>
          <w:p w14:paraId="6DFA4029" w14:textId="77777777" w:rsidR="000C0AFD" w:rsidRPr="000C0AFD" w:rsidRDefault="000C0AFD"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br/>
            </w:r>
            <w:r w:rsidRPr="000C0AFD">
              <w:rPr>
                <w:rFonts w:ascii="Verdana" w:hAnsi="Verdana" w:cstheme="minorHAnsi"/>
                <w:b/>
                <w:sz w:val="20"/>
                <w:szCs w:val="20"/>
              </w:rPr>
              <w:t>PARÁGRAFO 2</w:t>
            </w:r>
            <w:r w:rsidRPr="000C0AFD">
              <w:rPr>
                <w:rFonts w:ascii="Verdana" w:hAnsi="Verdana" w:cstheme="minorHAnsi"/>
                <w:sz w:val="20"/>
                <w:szCs w:val="20"/>
              </w:rPr>
              <w:t>. En los numerales 4 y 5 se restablecerán los términos cuando hubiere improbación de la aceptación de cargos, de los preacuerdos o de la aplicación del principio de oportunidad.</w:t>
            </w:r>
          </w:p>
          <w:p w14:paraId="347C52D1" w14:textId="77777777" w:rsidR="000C0AFD" w:rsidRPr="000C0AFD" w:rsidRDefault="000C0AFD" w:rsidP="000C0AFD">
            <w:pPr>
              <w:suppressAutoHyphens/>
              <w:adjustRightInd w:val="0"/>
              <w:spacing w:line="360" w:lineRule="auto"/>
              <w:contextualSpacing/>
              <w:textAlignment w:val="center"/>
              <w:rPr>
                <w:rFonts w:ascii="Verdana" w:hAnsi="Verdana" w:cs="Arial"/>
                <w:color w:val="333333"/>
                <w:sz w:val="20"/>
                <w:szCs w:val="20"/>
              </w:rPr>
            </w:pPr>
            <w:r w:rsidRPr="000C0AFD">
              <w:rPr>
                <w:rFonts w:ascii="Verdana" w:hAnsi="Verdana" w:cstheme="minorHAnsi"/>
                <w:sz w:val="20"/>
                <w:szCs w:val="20"/>
              </w:rPr>
              <w:lastRenderedPageBreak/>
              <w:br/>
            </w:r>
            <w:r w:rsidRPr="000C0AFD">
              <w:rPr>
                <w:rFonts w:ascii="Verdana" w:hAnsi="Verdana" w:cstheme="minorHAnsi"/>
                <w:b/>
                <w:sz w:val="20"/>
                <w:szCs w:val="20"/>
              </w:rPr>
              <w:t>PARÁGRAFO 3</w:t>
            </w:r>
            <w:r w:rsidRPr="000C0AFD">
              <w:rPr>
                <w:rFonts w:ascii="Verdana" w:hAnsi="Verdana" w:cstheme="minorHAnsi"/>
                <w:sz w:val="20"/>
                <w:szCs w:val="20"/>
              </w:rPr>
              <w:t>. Cuando la audiencia de juicio oral no se haya podido iniciar o terminar por maniobras dilatorias del acusado o su defensor, no se contabilizarán dentro de los términos contenidos en los numerales 5 y 6 de este artículo, los días empleados en ellas</w:t>
            </w:r>
            <w:r w:rsidRPr="000C0AFD">
              <w:rPr>
                <w:rFonts w:ascii="Verdana" w:hAnsi="Verdana" w:cs="Arial"/>
                <w:color w:val="333333"/>
                <w:sz w:val="20"/>
                <w:szCs w:val="20"/>
              </w:rPr>
              <w:t>.</w:t>
            </w:r>
          </w:p>
          <w:p w14:paraId="2081E163" w14:textId="77777777" w:rsidR="000C0AFD" w:rsidRPr="000C0AFD" w:rsidRDefault="000C0AFD" w:rsidP="000C0AFD">
            <w:pPr>
              <w:suppressAutoHyphens/>
              <w:adjustRightInd w:val="0"/>
              <w:spacing w:line="360" w:lineRule="auto"/>
              <w:contextualSpacing/>
              <w:textAlignment w:val="center"/>
              <w:rPr>
                <w:rFonts w:ascii="Verdana" w:hAnsi="Verdana" w:cs="Arial"/>
                <w:color w:val="333333"/>
                <w:sz w:val="20"/>
                <w:szCs w:val="20"/>
              </w:rPr>
            </w:pPr>
          </w:p>
          <w:p w14:paraId="594365EB" w14:textId="54BBB581" w:rsidR="000C0AFD" w:rsidRPr="000C0AFD" w:rsidRDefault="000C0AFD" w:rsidP="000C0AFD">
            <w:pPr>
              <w:suppressAutoHyphens/>
              <w:adjustRightInd w:val="0"/>
              <w:spacing w:line="360" w:lineRule="auto"/>
              <w:contextualSpacing/>
              <w:textAlignment w:val="center"/>
              <w:rPr>
                <w:rFonts w:ascii="Verdana" w:hAnsi="Verdana" w:cs="Arial"/>
                <w:color w:val="4B4949"/>
                <w:sz w:val="20"/>
                <w:szCs w:val="20"/>
              </w:rPr>
            </w:pPr>
            <w:r w:rsidRPr="000C0AFD">
              <w:rPr>
                <w:rFonts w:ascii="Verdana" w:hAnsi="Verdana" w:cstheme="minorHAnsi"/>
                <w:sz w:val="20"/>
                <w:szCs w:val="20"/>
              </w:rPr>
              <w:t>Cuando la audiencia no se hubiere podido iniciar o terminar por causa razonable fundada en hechos externos y objetivos de fuerza mayor, ajenos al juez o a la administración de justicia, la audiencia se iniciará o reanudará cuando haya desaparecido dicha causa y a más tardar en un plazo no superior a la mitad del término establecido por el legislador en los numerales 5 y 6 del artículo 317</w:t>
            </w:r>
            <w:r w:rsidRPr="000C0AFD">
              <w:rPr>
                <w:rFonts w:ascii="Verdana" w:hAnsi="Verdana" w:cs="Arial"/>
                <w:color w:val="4B4949"/>
                <w:sz w:val="20"/>
                <w:szCs w:val="20"/>
              </w:rPr>
              <w:t>.</w:t>
            </w:r>
          </w:p>
        </w:tc>
        <w:tc>
          <w:tcPr>
            <w:tcW w:w="4361" w:type="dxa"/>
          </w:tcPr>
          <w:p w14:paraId="09A9CB6E" w14:textId="01E536AF"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lastRenderedPageBreak/>
              <w:t>Sin Modificciones</w:t>
            </w:r>
          </w:p>
        </w:tc>
      </w:tr>
      <w:tr w:rsidR="000C0AFD" w:rsidRPr="000C0AFD" w14:paraId="7217112B" w14:textId="77777777" w:rsidTr="000C0AFD">
        <w:tc>
          <w:tcPr>
            <w:tcW w:w="4361" w:type="dxa"/>
          </w:tcPr>
          <w:p w14:paraId="309EC7D3" w14:textId="6CA0A56E" w:rsidR="000C0AFD" w:rsidRPr="000C0AFD" w:rsidRDefault="000C0AFD" w:rsidP="002B6531">
            <w:pPr>
              <w:pStyle w:val="NormalWeb"/>
              <w:spacing w:line="360" w:lineRule="auto"/>
              <w:ind w:left="0" w:firstLine="567"/>
              <w:rPr>
                <w:rFonts w:ascii="Verdana" w:hAnsi="Verdana"/>
                <w:color w:val="000000" w:themeColor="text1"/>
                <w:sz w:val="20"/>
                <w:szCs w:val="20"/>
              </w:rPr>
            </w:pPr>
            <w:r w:rsidRPr="000C0AFD">
              <w:rPr>
                <w:rFonts w:ascii="Verdana" w:hAnsi="Verdana"/>
                <w:b/>
                <w:color w:val="000000" w:themeColor="text1"/>
                <w:sz w:val="20"/>
                <w:szCs w:val="20"/>
              </w:rPr>
              <w:lastRenderedPageBreak/>
              <w:t>Artículo 4°.</w:t>
            </w:r>
            <w:r w:rsidRPr="000C0AFD">
              <w:rPr>
                <w:rFonts w:ascii="Verdana" w:hAnsi="Verdana"/>
                <w:color w:val="000000" w:themeColor="text1"/>
                <w:sz w:val="20"/>
                <w:szCs w:val="20"/>
              </w:rPr>
              <w:t xml:space="preserve"> El Gobierno Nacional contara con un término de 6 meses a partir de la aprobación y promulgación de la presente ley para la implementación de una política pública de desarme nacional.</w:t>
            </w:r>
          </w:p>
        </w:tc>
        <w:tc>
          <w:tcPr>
            <w:tcW w:w="4361" w:type="dxa"/>
          </w:tcPr>
          <w:p w14:paraId="5664BF98" w14:textId="3A9604EB" w:rsidR="000C0AFD" w:rsidRPr="000C0AFD" w:rsidRDefault="000C0AFD" w:rsidP="002B6531">
            <w:pPr>
              <w:spacing w:line="360" w:lineRule="auto"/>
              <w:ind w:left="0"/>
              <w:rPr>
                <w:rFonts w:ascii="Verdana" w:hAnsi="Verdana" w:cs="Arial"/>
                <w:b/>
                <w:sz w:val="20"/>
                <w:szCs w:val="20"/>
              </w:rPr>
            </w:pPr>
            <w:r w:rsidRPr="000C0AFD">
              <w:rPr>
                <w:rFonts w:ascii="Verdana" w:hAnsi="Verdana"/>
                <w:b/>
                <w:color w:val="000000" w:themeColor="text1"/>
                <w:sz w:val="20"/>
                <w:szCs w:val="20"/>
              </w:rPr>
              <w:t>Artículo 4°.</w:t>
            </w:r>
            <w:r w:rsidRPr="000C0AFD">
              <w:rPr>
                <w:rFonts w:ascii="Verdana" w:hAnsi="Verdana"/>
                <w:color w:val="000000" w:themeColor="text1"/>
                <w:sz w:val="20"/>
                <w:szCs w:val="20"/>
              </w:rPr>
              <w:t xml:space="preserve"> El Gobierno Nacional contara con un término de 6 meses a partir de la aprobación y promulgación de la presente ley para la implementación de una política pública de desarme nacional</w:t>
            </w:r>
            <w:r w:rsidR="002B6531" w:rsidRPr="002B6531">
              <w:rPr>
                <w:rFonts w:ascii="Verdana" w:hAnsi="Verdana"/>
                <w:b/>
                <w:color w:val="000000" w:themeColor="text1"/>
                <w:sz w:val="20"/>
                <w:szCs w:val="20"/>
                <w:u w:val="single"/>
              </w:rPr>
              <w:t xml:space="preserve"> </w:t>
            </w:r>
            <w:r w:rsidR="002B6531" w:rsidRPr="002B6531">
              <w:rPr>
                <w:rFonts w:ascii="Verdana" w:hAnsi="Verdana"/>
                <w:b/>
                <w:color w:val="000000" w:themeColor="text1"/>
                <w:sz w:val="20"/>
                <w:szCs w:val="20"/>
                <w:u w:val="single"/>
              </w:rPr>
              <w:t>dirigida al porte ilegal de armas</w:t>
            </w:r>
            <w:r w:rsidRPr="000C0AFD">
              <w:rPr>
                <w:rFonts w:ascii="Verdana" w:hAnsi="Verdana"/>
                <w:color w:val="000000" w:themeColor="text1"/>
                <w:sz w:val="20"/>
                <w:szCs w:val="20"/>
              </w:rPr>
              <w:t>.</w:t>
            </w:r>
          </w:p>
        </w:tc>
      </w:tr>
      <w:tr w:rsidR="000C0AFD" w:rsidRPr="000C0AFD" w14:paraId="5956BB52" w14:textId="77777777" w:rsidTr="000C0AFD">
        <w:tc>
          <w:tcPr>
            <w:tcW w:w="4361" w:type="dxa"/>
          </w:tcPr>
          <w:p w14:paraId="79FA8E7C" w14:textId="47FFB7B7" w:rsidR="000C0AFD" w:rsidRPr="000C0AFD" w:rsidRDefault="000C0AFD" w:rsidP="000C0AFD">
            <w:pPr>
              <w:pStyle w:val="NormalWeb"/>
              <w:spacing w:line="360" w:lineRule="auto"/>
              <w:ind w:left="0" w:firstLine="567"/>
              <w:rPr>
                <w:rFonts w:ascii="Verdana" w:hAnsi="Verdana"/>
                <w:sz w:val="20"/>
                <w:szCs w:val="20"/>
              </w:rPr>
            </w:pPr>
            <w:r w:rsidRPr="000C0AFD">
              <w:rPr>
                <w:rFonts w:ascii="Verdana" w:hAnsi="Verdana"/>
                <w:b/>
                <w:sz w:val="20"/>
                <w:szCs w:val="20"/>
              </w:rPr>
              <w:t>Artículo 5°.</w:t>
            </w:r>
            <w:r w:rsidRPr="000C0AFD">
              <w:rPr>
                <w:rFonts w:ascii="Verdana" w:hAnsi="Verdana"/>
                <w:sz w:val="20"/>
                <w:szCs w:val="20"/>
              </w:rPr>
              <w:t xml:space="preserve"> La presente ley rige a partir de su promulgación y deroga las normas que le sean contrarias.</w:t>
            </w:r>
          </w:p>
        </w:tc>
        <w:tc>
          <w:tcPr>
            <w:tcW w:w="4361" w:type="dxa"/>
          </w:tcPr>
          <w:p w14:paraId="1C393298" w14:textId="397695A6" w:rsidR="000C0AFD" w:rsidRPr="000C0AFD" w:rsidRDefault="000C0AFD" w:rsidP="000C0AFD">
            <w:pPr>
              <w:spacing w:line="360" w:lineRule="auto"/>
              <w:ind w:left="0"/>
              <w:rPr>
                <w:rFonts w:ascii="Verdana" w:hAnsi="Verdana" w:cs="Arial"/>
                <w:b/>
                <w:sz w:val="20"/>
                <w:szCs w:val="20"/>
              </w:rPr>
            </w:pPr>
            <w:r w:rsidRPr="000C0AFD">
              <w:rPr>
                <w:rFonts w:ascii="Verdana" w:hAnsi="Verdana" w:cs="Arial"/>
                <w:b/>
                <w:sz w:val="20"/>
                <w:szCs w:val="20"/>
              </w:rPr>
              <w:t>Sin Modificaciones</w:t>
            </w:r>
          </w:p>
        </w:tc>
      </w:tr>
    </w:tbl>
    <w:p w14:paraId="6A085146" w14:textId="6E160127" w:rsidR="002B6531" w:rsidRDefault="002B6531" w:rsidP="000C0AFD">
      <w:pPr>
        <w:spacing w:line="360" w:lineRule="auto"/>
        <w:ind w:left="0"/>
        <w:rPr>
          <w:rFonts w:ascii="Verdana" w:hAnsi="Verdana" w:cs="Arial"/>
          <w:b/>
          <w:sz w:val="20"/>
          <w:szCs w:val="20"/>
        </w:rPr>
      </w:pPr>
    </w:p>
    <w:p w14:paraId="5D372EED" w14:textId="77777777" w:rsidR="002B6531" w:rsidRDefault="002B6531">
      <w:pPr>
        <w:spacing w:after="160" w:line="259" w:lineRule="auto"/>
        <w:ind w:left="0"/>
        <w:jc w:val="left"/>
        <w:rPr>
          <w:rFonts w:ascii="Verdana" w:hAnsi="Verdana" w:cs="Arial"/>
          <w:b/>
          <w:sz w:val="20"/>
          <w:szCs w:val="20"/>
        </w:rPr>
      </w:pPr>
      <w:r>
        <w:rPr>
          <w:rFonts w:ascii="Verdana" w:hAnsi="Verdana" w:cs="Arial"/>
          <w:b/>
          <w:sz w:val="20"/>
          <w:szCs w:val="20"/>
        </w:rPr>
        <w:br w:type="page"/>
      </w:r>
    </w:p>
    <w:p w14:paraId="0F123778" w14:textId="7D8410B9" w:rsidR="00760ED0" w:rsidRPr="000C0AFD" w:rsidRDefault="000C0AFD" w:rsidP="002B6531">
      <w:pPr>
        <w:spacing w:line="360" w:lineRule="auto"/>
        <w:jc w:val="center"/>
        <w:rPr>
          <w:rFonts w:ascii="Verdana" w:hAnsi="Verdana" w:cs="Arial"/>
          <w:b/>
          <w:sz w:val="20"/>
          <w:szCs w:val="20"/>
        </w:rPr>
      </w:pPr>
      <w:bookmarkStart w:id="3" w:name="_GoBack"/>
      <w:bookmarkEnd w:id="3"/>
      <w:r w:rsidRPr="000C0AFD">
        <w:rPr>
          <w:rFonts w:ascii="Verdana" w:hAnsi="Verdana" w:cs="Arial"/>
          <w:b/>
          <w:sz w:val="20"/>
          <w:szCs w:val="20"/>
        </w:rPr>
        <w:lastRenderedPageBreak/>
        <w:t xml:space="preserve">X </w:t>
      </w:r>
      <w:r w:rsidR="00760ED0" w:rsidRPr="000C0AFD">
        <w:rPr>
          <w:rFonts w:ascii="Verdana" w:hAnsi="Verdana" w:cs="Arial"/>
          <w:b/>
          <w:sz w:val="20"/>
          <w:szCs w:val="20"/>
        </w:rPr>
        <w:t>PROPOSICIÓN</w:t>
      </w:r>
    </w:p>
    <w:p w14:paraId="48E6B802" w14:textId="77777777" w:rsidR="00760ED0" w:rsidRPr="000C0AFD" w:rsidRDefault="00760ED0" w:rsidP="000C0AFD">
      <w:pPr>
        <w:spacing w:line="360" w:lineRule="auto"/>
        <w:rPr>
          <w:rFonts w:ascii="Verdana" w:hAnsi="Verdana" w:cs="Arial"/>
          <w:b/>
          <w:sz w:val="20"/>
          <w:szCs w:val="20"/>
        </w:rPr>
      </w:pPr>
    </w:p>
    <w:p w14:paraId="562DEE28" w14:textId="514E71B6" w:rsidR="00760ED0" w:rsidRPr="000C0AFD" w:rsidRDefault="00760ED0" w:rsidP="000C0AFD">
      <w:pPr>
        <w:pStyle w:val="Default"/>
        <w:spacing w:line="360" w:lineRule="auto"/>
        <w:jc w:val="both"/>
        <w:rPr>
          <w:rFonts w:ascii="Verdana" w:hAnsi="Verdana" w:cs="Arial"/>
          <w:i/>
          <w:color w:val="auto"/>
          <w:sz w:val="20"/>
          <w:szCs w:val="20"/>
        </w:rPr>
      </w:pPr>
      <w:r w:rsidRPr="000C0AFD">
        <w:rPr>
          <w:rFonts w:ascii="Verdana" w:hAnsi="Verdana" w:cs="Arial"/>
          <w:sz w:val="20"/>
          <w:szCs w:val="20"/>
        </w:rPr>
        <w:t>En virtud de las consideraciones a</w:t>
      </w:r>
      <w:r w:rsidR="002B6531">
        <w:rPr>
          <w:rFonts w:ascii="Verdana" w:hAnsi="Verdana" w:cs="Arial"/>
          <w:sz w:val="20"/>
          <w:szCs w:val="20"/>
        </w:rPr>
        <w:t>nteriormente expuestas, solicitamos</w:t>
      </w:r>
      <w:r w:rsidRPr="000C0AFD">
        <w:rPr>
          <w:rFonts w:ascii="Verdana" w:hAnsi="Verdana" w:cs="Arial"/>
          <w:sz w:val="20"/>
          <w:szCs w:val="20"/>
        </w:rPr>
        <w:t xml:space="preserve"> a los Honorables miembros de la Comisión Primera Constitucional de la Cámara de Representantes </w:t>
      </w:r>
      <w:r w:rsidRPr="000C0AFD">
        <w:rPr>
          <w:rFonts w:ascii="Verdana" w:hAnsi="Verdana" w:cs="Arial"/>
          <w:b/>
          <w:sz w:val="20"/>
          <w:szCs w:val="20"/>
        </w:rPr>
        <w:t xml:space="preserve">dar primer debate </w:t>
      </w:r>
      <w:r w:rsidRPr="000C0AFD">
        <w:rPr>
          <w:rFonts w:ascii="Verdana" w:hAnsi="Verdana" w:cs="Arial"/>
          <w:sz w:val="20"/>
          <w:szCs w:val="20"/>
        </w:rPr>
        <w:t xml:space="preserve">al Proyecto de Ley No. 362 de 2021 Cámara “por medio del cual se modifica el artículo 68 a de la ley 599 del 2000, como medida para desincentivar el porte ilegal de armas de fuego, y se dictan otras disposiciones” </w:t>
      </w:r>
      <w:r w:rsidRPr="000C0AFD">
        <w:rPr>
          <w:rFonts w:ascii="Verdana" w:eastAsia="Times New Roman" w:hAnsi="Verdana" w:cs="Arial"/>
          <w:bCs/>
          <w:sz w:val="20"/>
          <w:szCs w:val="20"/>
          <w:lang w:eastAsia="es-CO"/>
        </w:rPr>
        <w:t>en los términos aquí propuestos.</w:t>
      </w:r>
      <w:r w:rsidRPr="000C0AFD">
        <w:rPr>
          <w:rFonts w:ascii="Verdana" w:eastAsia="Times New Roman" w:hAnsi="Verdana" w:cs="Arial"/>
          <w:bCs/>
          <w:i/>
          <w:sz w:val="20"/>
          <w:szCs w:val="20"/>
          <w:lang w:eastAsia="es-CO"/>
        </w:rPr>
        <w:t xml:space="preserve"> </w:t>
      </w:r>
    </w:p>
    <w:tbl>
      <w:tblPr>
        <w:tblStyle w:val="Tablaconcuadrcula"/>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3"/>
      </w:tblGrid>
      <w:tr w:rsidR="00E00562" w:rsidRPr="009C124C" w14:paraId="250BC0BF" w14:textId="77777777" w:rsidTr="002B6531">
        <w:trPr>
          <w:trHeight w:val="1988"/>
        </w:trPr>
        <w:tc>
          <w:tcPr>
            <w:tcW w:w="4154" w:type="dxa"/>
          </w:tcPr>
          <w:p w14:paraId="686666DE" w14:textId="542195E8" w:rsidR="00E00562" w:rsidRPr="009C124C" w:rsidRDefault="00E00562" w:rsidP="00E00562">
            <w:pPr>
              <w:spacing w:line="360" w:lineRule="auto"/>
              <w:ind w:left="0"/>
              <w:jc w:val="center"/>
              <w:rPr>
                <w:rFonts w:ascii="Verdana" w:hAnsi="Verdana"/>
                <w:b/>
                <w:bCs/>
                <w:sz w:val="20"/>
                <w:szCs w:val="20"/>
              </w:rPr>
            </w:pPr>
          </w:p>
          <w:p w14:paraId="2780D740" w14:textId="77777777" w:rsidR="00E00562" w:rsidRPr="009C124C" w:rsidRDefault="00E00562" w:rsidP="00E00562">
            <w:pPr>
              <w:spacing w:line="360" w:lineRule="auto"/>
              <w:ind w:left="0"/>
              <w:jc w:val="center"/>
              <w:rPr>
                <w:rFonts w:ascii="Verdana" w:hAnsi="Verdana"/>
                <w:b/>
                <w:bCs/>
                <w:sz w:val="20"/>
                <w:szCs w:val="20"/>
              </w:rPr>
            </w:pPr>
          </w:p>
          <w:p w14:paraId="020AE66D" w14:textId="77777777" w:rsidR="00E00562" w:rsidRPr="009C124C" w:rsidRDefault="00E00562" w:rsidP="00E00562">
            <w:pPr>
              <w:spacing w:line="360" w:lineRule="auto"/>
              <w:ind w:left="0"/>
              <w:jc w:val="center"/>
              <w:rPr>
                <w:rFonts w:ascii="Verdana" w:hAnsi="Verdana"/>
                <w:b/>
                <w:bCs/>
                <w:sz w:val="20"/>
                <w:szCs w:val="20"/>
              </w:rPr>
            </w:pPr>
          </w:p>
          <w:p w14:paraId="0573B864" w14:textId="77777777" w:rsidR="00E00562" w:rsidRPr="009C124C" w:rsidRDefault="00E00562" w:rsidP="00E00562">
            <w:pPr>
              <w:spacing w:line="360" w:lineRule="auto"/>
              <w:ind w:left="0"/>
              <w:jc w:val="center"/>
              <w:rPr>
                <w:rFonts w:ascii="Verdana" w:hAnsi="Verdana"/>
                <w:b/>
                <w:bCs/>
                <w:sz w:val="20"/>
                <w:szCs w:val="20"/>
              </w:rPr>
            </w:pPr>
          </w:p>
          <w:p w14:paraId="0CCB53D3" w14:textId="77777777" w:rsidR="00E00562" w:rsidRPr="009C124C" w:rsidRDefault="00E00562" w:rsidP="00E00562">
            <w:pPr>
              <w:spacing w:line="360" w:lineRule="auto"/>
              <w:ind w:left="0"/>
              <w:jc w:val="center"/>
              <w:rPr>
                <w:rFonts w:ascii="Verdana" w:hAnsi="Verdana"/>
                <w:b/>
                <w:bCs/>
                <w:sz w:val="20"/>
                <w:szCs w:val="20"/>
              </w:rPr>
            </w:pPr>
          </w:p>
          <w:p w14:paraId="3DF5A336" w14:textId="0DE48304"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Jorge Méndez Hernández</w:t>
            </w:r>
          </w:p>
          <w:p w14:paraId="1E30EF6C" w14:textId="77777777" w:rsidR="00E00562" w:rsidRPr="009C124C" w:rsidRDefault="00E00562" w:rsidP="00E00562">
            <w:pPr>
              <w:spacing w:line="360" w:lineRule="auto"/>
              <w:ind w:left="0"/>
              <w:jc w:val="center"/>
              <w:rPr>
                <w:b/>
                <w:bCs/>
              </w:rPr>
            </w:pPr>
            <w:r w:rsidRPr="009C124C">
              <w:rPr>
                <w:b/>
                <w:bCs/>
              </w:rPr>
              <w:t>Representante a la Cámara</w:t>
            </w:r>
          </w:p>
          <w:p w14:paraId="6B827BD5" w14:textId="762C57CB"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San Andrés Providencia y Santa Catalína</w:t>
            </w:r>
          </w:p>
        </w:tc>
        <w:tc>
          <w:tcPr>
            <w:tcW w:w="4153" w:type="dxa"/>
          </w:tcPr>
          <w:p w14:paraId="2450EC81" w14:textId="77777777" w:rsidR="00E00562" w:rsidRPr="009C124C" w:rsidRDefault="00E00562" w:rsidP="000C0AFD">
            <w:pPr>
              <w:spacing w:line="360" w:lineRule="auto"/>
              <w:ind w:left="0"/>
              <w:rPr>
                <w:rFonts w:ascii="Verdana" w:hAnsi="Verdana"/>
                <w:b/>
                <w:bCs/>
                <w:sz w:val="20"/>
                <w:szCs w:val="20"/>
              </w:rPr>
            </w:pPr>
          </w:p>
          <w:p w14:paraId="11D0D44F" w14:textId="77777777" w:rsidR="00E00562" w:rsidRPr="009C124C" w:rsidRDefault="00E00562" w:rsidP="000C0AFD">
            <w:pPr>
              <w:spacing w:line="360" w:lineRule="auto"/>
              <w:ind w:left="0"/>
              <w:rPr>
                <w:rFonts w:ascii="Verdana" w:hAnsi="Verdana"/>
                <w:b/>
                <w:bCs/>
                <w:sz w:val="20"/>
                <w:szCs w:val="20"/>
              </w:rPr>
            </w:pPr>
          </w:p>
          <w:p w14:paraId="6CF9E5C2" w14:textId="77777777" w:rsidR="00E00562" w:rsidRPr="009C124C" w:rsidRDefault="00E00562" w:rsidP="000C0AFD">
            <w:pPr>
              <w:spacing w:line="360" w:lineRule="auto"/>
              <w:ind w:left="0"/>
              <w:rPr>
                <w:rFonts w:ascii="Verdana" w:hAnsi="Verdana"/>
                <w:b/>
                <w:bCs/>
                <w:sz w:val="20"/>
                <w:szCs w:val="20"/>
              </w:rPr>
            </w:pPr>
          </w:p>
          <w:p w14:paraId="2013CAF6" w14:textId="14CE704B" w:rsidR="00E00562" w:rsidRPr="009C124C" w:rsidRDefault="00E00562" w:rsidP="000C0AFD">
            <w:pPr>
              <w:spacing w:line="360" w:lineRule="auto"/>
              <w:ind w:left="0"/>
              <w:rPr>
                <w:rFonts w:ascii="Verdana" w:hAnsi="Verdana"/>
                <w:b/>
                <w:bCs/>
                <w:sz w:val="20"/>
                <w:szCs w:val="20"/>
              </w:rPr>
            </w:pPr>
          </w:p>
          <w:p w14:paraId="4EB6B002" w14:textId="77777777" w:rsidR="00E00562" w:rsidRPr="009C124C" w:rsidRDefault="00E00562" w:rsidP="000C0AFD">
            <w:pPr>
              <w:spacing w:line="360" w:lineRule="auto"/>
              <w:ind w:left="0"/>
              <w:rPr>
                <w:rFonts w:ascii="Verdana" w:hAnsi="Verdana"/>
                <w:b/>
                <w:bCs/>
                <w:sz w:val="20"/>
                <w:szCs w:val="20"/>
              </w:rPr>
            </w:pPr>
          </w:p>
          <w:p w14:paraId="12E45812" w14:textId="6FAC3539"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Carlos Germán Navas Talero</w:t>
            </w:r>
          </w:p>
          <w:p w14:paraId="6BE7D8C9" w14:textId="77777777"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07D582E8" w14:textId="72211949"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Bogotá D.C.</w:t>
            </w:r>
          </w:p>
        </w:tc>
      </w:tr>
      <w:tr w:rsidR="00E00562" w:rsidRPr="009C124C" w14:paraId="60CBECF1" w14:textId="77777777" w:rsidTr="002B6531">
        <w:trPr>
          <w:trHeight w:val="2192"/>
        </w:trPr>
        <w:tc>
          <w:tcPr>
            <w:tcW w:w="4154" w:type="dxa"/>
          </w:tcPr>
          <w:p w14:paraId="6A9D4E4B" w14:textId="77777777" w:rsidR="00E00562" w:rsidRPr="009C124C" w:rsidRDefault="00E00562" w:rsidP="000C0AFD">
            <w:pPr>
              <w:spacing w:line="360" w:lineRule="auto"/>
              <w:ind w:left="0"/>
              <w:rPr>
                <w:rFonts w:ascii="Verdana" w:hAnsi="Verdana"/>
                <w:b/>
                <w:bCs/>
                <w:sz w:val="20"/>
                <w:szCs w:val="20"/>
              </w:rPr>
            </w:pPr>
          </w:p>
          <w:p w14:paraId="164911FF" w14:textId="77777777" w:rsidR="00E00562" w:rsidRPr="009C124C" w:rsidRDefault="00E00562" w:rsidP="000C0AFD">
            <w:pPr>
              <w:spacing w:line="360" w:lineRule="auto"/>
              <w:ind w:left="0"/>
              <w:rPr>
                <w:rFonts w:ascii="Verdana" w:hAnsi="Verdana"/>
                <w:b/>
                <w:bCs/>
                <w:sz w:val="20"/>
                <w:szCs w:val="20"/>
              </w:rPr>
            </w:pPr>
          </w:p>
          <w:p w14:paraId="2AE9E8B3" w14:textId="77777777" w:rsidR="00E00562" w:rsidRPr="009C124C" w:rsidRDefault="00E00562" w:rsidP="000C0AFD">
            <w:pPr>
              <w:spacing w:line="360" w:lineRule="auto"/>
              <w:ind w:left="0"/>
              <w:rPr>
                <w:rFonts w:ascii="Verdana" w:hAnsi="Verdana"/>
                <w:b/>
                <w:bCs/>
                <w:sz w:val="20"/>
                <w:szCs w:val="20"/>
              </w:rPr>
            </w:pPr>
          </w:p>
          <w:p w14:paraId="556AE1B1" w14:textId="77777777" w:rsidR="00E00562" w:rsidRPr="009C124C" w:rsidRDefault="00E00562" w:rsidP="000C0AFD">
            <w:pPr>
              <w:spacing w:line="360" w:lineRule="auto"/>
              <w:ind w:left="0"/>
              <w:rPr>
                <w:rFonts w:ascii="Verdana" w:hAnsi="Verdana"/>
                <w:b/>
                <w:bCs/>
                <w:sz w:val="20"/>
                <w:szCs w:val="20"/>
              </w:rPr>
            </w:pPr>
          </w:p>
          <w:p w14:paraId="294B9861" w14:textId="77777777" w:rsidR="00E00562" w:rsidRPr="009C124C" w:rsidRDefault="00E00562" w:rsidP="000C0AFD">
            <w:pPr>
              <w:spacing w:line="360" w:lineRule="auto"/>
              <w:ind w:left="0"/>
              <w:rPr>
                <w:rFonts w:ascii="Verdana" w:hAnsi="Verdana"/>
                <w:b/>
                <w:bCs/>
                <w:sz w:val="20"/>
                <w:szCs w:val="20"/>
              </w:rPr>
            </w:pPr>
          </w:p>
          <w:p w14:paraId="0CC9E600" w14:textId="77777777" w:rsidR="00E00562" w:rsidRPr="009C124C" w:rsidRDefault="00E00562" w:rsidP="00C35BB7">
            <w:pPr>
              <w:spacing w:line="360" w:lineRule="auto"/>
              <w:ind w:left="0"/>
              <w:jc w:val="center"/>
              <w:rPr>
                <w:rFonts w:ascii="Verdana" w:hAnsi="Verdana"/>
                <w:b/>
                <w:bCs/>
                <w:sz w:val="20"/>
                <w:szCs w:val="20"/>
              </w:rPr>
            </w:pPr>
            <w:r w:rsidRPr="009C124C">
              <w:rPr>
                <w:rFonts w:ascii="Verdana" w:hAnsi="Verdana"/>
                <w:b/>
                <w:bCs/>
                <w:sz w:val="20"/>
                <w:szCs w:val="20"/>
              </w:rPr>
              <w:t>Harry Giovanny González García</w:t>
            </w:r>
          </w:p>
          <w:p w14:paraId="51E2515C" w14:textId="77777777"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4EEE1748" w14:textId="1B37B188"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Caquetá</w:t>
            </w:r>
          </w:p>
        </w:tc>
        <w:tc>
          <w:tcPr>
            <w:tcW w:w="4153" w:type="dxa"/>
          </w:tcPr>
          <w:p w14:paraId="1A7F739D" w14:textId="77777777" w:rsidR="00C35BB7" w:rsidRPr="009C124C" w:rsidRDefault="00C35BB7" w:rsidP="00E00562">
            <w:pPr>
              <w:spacing w:line="360" w:lineRule="auto"/>
              <w:ind w:left="0"/>
              <w:jc w:val="center"/>
              <w:rPr>
                <w:rFonts w:ascii="Verdana" w:hAnsi="Verdana"/>
                <w:b/>
                <w:bCs/>
                <w:sz w:val="20"/>
                <w:szCs w:val="20"/>
              </w:rPr>
            </w:pPr>
          </w:p>
          <w:p w14:paraId="0EC34364" w14:textId="77777777" w:rsidR="00C35BB7" w:rsidRPr="009C124C" w:rsidRDefault="00C35BB7" w:rsidP="00E00562">
            <w:pPr>
              <w:spacing w:line="360" w:lineRule="auto"/>
              <w:ind w:left="0"/>
              <w:jc w:val="center"/>
              <w:rPr>
                <w:rFonts w:ascii="Verdana" w:hAnsi="Verdana"/>
                <w:b/>
                <w:bCs/>
                <w:sz w:val="20"/>
                <w:szCs w:val="20"/>
              </w:rPr>
            </w:pPr>
          </w:p>
          <w:p w14:paraId="4B545185" w14:textId="77777777" w:rsidR="00C35BB7" w:rsidRPr="009C124C" w:rsidRDefault="00C35BB7" w:rsidP="00E00562">
            <w:pPr>
              <w:spacing w:line="360" w:lineRule="auto"/>
              <w:ind w:left="0"/>
              <w:jc w:val="center"/>
              <w:rPr>
                <w:rFonts w:ascii="Verdana" w:hAnsi="Verdana"/>
                <w:b/>
                <w:bCs/>
                <w:sz w:val="20"/>
                <w:szCs w:val="20"/>
              </w:rPr>
            </w:pPr>
          </w:p>
          <w:p w14:paraId="266A1FB1" w14:textId="77777777" w:rsidR="00C35BB7" w:rsidRPr="009C124C" w:rsidRDefault="00C35BB7" w:rsidP="00E00562">
            <w:pPr>
              <w:spacing w:line="360" w:lineRule="auto"/>
              <w:ind w:left="0"/>
              <w:jc w:val="center"/>
              <w:rPr>
                <w:rFonts w:ascii="Verdana" w:hAnsi="Verdana"/>
                <w:b/>
                <w:bCs/>
                <w:sz w:val="20"/>
                <w:szCs w:val="20"/>
              </w:rPr>
            </w:pPr>
          </w:p>
          <w:p w14:paraId="6E382E69" w14:textId="77777777" w:rsidR="00C35BB7" w:rsidRPr="009C124C" w:rsidRDefault="00C35BB7" w:rsidP="00E00562">
            <w:pPr>
              <w:spacing w:line="360" w:lineRule="auto"/>
              <w:ind w:left="0"/>
              <w:jc w:val="center"/>
              <w:rPr>
                <w:rFonts w:ascii="Verdana" w:hAnsi="Verdana"/>
                <w:b/>
                <w:bCs/>
                <w:sz w:val="20"/>
                <w:szCs w:val="20"/>
              </w:rPr>
            </w:pPr>
          </w:p>
          <w:p w14:paraId="6EBE51F7" w14:textId="504E7DAD" w:rsidR="00E00562" w:rsidRPr="009C124C" w:rsidRDefault="00C35BB7" w:rsidP="00E00562">
            <w:pPr>
              <w:spacing w:line="360" w:lineRule="auto"/>
              <w:ind w:left="0"/>
              <w:jc w:val="center"/>
              <w:rPr>
                <w:rFonts w:ascii="Verdana" w:hAnsi="Verdana"/>
                <w:b/>
                <w:bCs/>
                <w:sz w:val="20"/>
                <w:szCs w:val="20"/>
              </w:rPr>
            </w:pPr>
            <w:r w:rsidRPr="009C124C">
              <w:rPr>
                <w:rFonts w:ascii="Verdana" w:hAnsi="Verdana"/>
                <w:b/>
                <w:bCs/>
                <w:sz w:val="20"/>
                <w:szCs w:val="20"/>
              </w:rPr>
              <w:t>I</w:t>
            </w:r>
            <w:r w:rsidR="00E00562" w:rsidRPr="009C124C">
              <w:rPr>
                <w:rFonts w:ascii="Verdana" w:hAnsi="Verdana"/>
                <w:b/>
                <w:bCs/>
                <w:sz w:val="20"/>
                <w:szCs w:val="20"/>
              </w:rPr>
              <w:t>nti Raúl Asprilla Reyes</w:t>
            </w:r>
          </w:p>
          <w:p w14:paraId="165B738F" w14:textId="77777777"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1F001254" w14:textId="4D6CEE1E" w:rsidR="00E00562" w:rsidRPr="009C124C" w:rsidRDefault="00E00562" w:rsidP="00E00562">
            <w:pPr>
              <w:spacing w:line="360" w:lineRule="auto"/>
              <w:ind w:left="0"/>
              <w:jc w:val="center"/>
              <w:rPr>
                <w:rFonts w:ascii="Verdana" w:hAnsi="Verdana"/>
                <w:b/>
                <w:bCs/>
                <w:sz w:val="20"/>
                <w:szCs w:val="20"/>
              </w:rPr>
            </w:pPr>
            <w:r w:rsidRPr="009C124C">
              <w:rPr>
                <w:rFonts w:ascii="Verdana" w:hAnsi="Verdana"/>
                <w:b/>
                <w:bCs/>
                <w:sz w:val="20"/>
                <w:szCs w:val="20"/>
              </w:rPr>
              <w:t>Bogotá D.C.</w:t>
            </w:r>
          </w:p>
        </w:tc>
      </w:tr>
      <w:tr w:rsidR="00E00562" w:rsidRPr="009C124C" w14:paraId="64652315" w14:textId="77777777" w:rsidTr="002B6531">
        <w:trPr>
          <w:trHeight w:val="326"/>
        </w:trPr>
        <w:tc>
          <w:tcPr>
            <w:tcW w:w="4154" w:type="dxa"/>
          </w:tcPr>
          <w:p w14:paraId="6F1E1865" w14:textId="77777777" w:rsidR="00C35BB7" w:rsidRPr="009C124C" w:rsidRDefault="00C35BB7" w:rsidP="000C0AFD">
            <w:pPr>
              <w:spacing w:line="360" w:lineRule="auto"/>
              <w:ind w:left="0"/>
              <w:rPr>
                <w:rFonts w:ascii="Verdana" w:hAnsi="Verdana"/>
                <w:b/>
                <w:bCs/>
                <w:sz w:val="20"/>
                <w:szCs w:val="20"/>
              </w:rPr>
            </w:pPr>
          </w:p>
          <w:p w14:paraId="1D861812" w14:textId="77777777" w:rsidR="00C35BB7" w:rsidRPr="009C124C" w:rsidRDefault="00C35BB7" w:rsidP="000C0AFD">
            <w:pPr>
              <w:spacing w:line="360" w:lineRule="auto"/>
              <w:ind w:left="0"/>
              <w:rPr>
                <w:rFonts w:ascii="Verdana" w:hAnsi="Verdana"/>
                <w:b/>
                <w:bCs/>
                <w:sz w:val="20"/>
                <w:szCs w:val="20"/>
              </w:rPr>
            </w:pPr>
          </w:p>
          <w:p w14:paraId="4F17EDA2" w14:textId="77777777" w:rsidR="00C35BB7" w:rsidRPr="009C124C" w:rsidRDefault="00C35BB7" w:rsidP="000C0AFD">
            <w:pPr>
              <w:spacing w:line="360" w:lineRule="auto"/>
              <w:ind w:left="0"/>
              <w:rPr>
                <w:rFonts w:ascii="Verdana" w:hAnsi="Verdana"/>
                <w:b/>
                <w:bCs/>
                <w:sz w:val="20"/>
                <w:szCs w:val="20"/>
              </w:rPr>
            </w:pPr>
          </w:p>
          <w:p w14:paraId="11A76728" w14:textId="77777777" w:rsidR="00C35BB7" w:rsidRPr="009C124C" w:rsidRDefault="00C35BB7" w:rsidP="000C0AFD">
            <w:pPr>
              <w:spacing w:line="360" w:lineRule="auto"/>
              <w:ind w:left="0"/>
              <w:rPr>
                <w:rFonts w:ascii="Verdana" w:hAnsi="Verdana"/>
                <w:b/>
                <w:bCs/>
                <w:sz w:val="20"/>
                <w:szCs w:val="20"/>
              </w:rPr>
            </w:pPr>
          </w:p>
          <w:p w14:paraId="04A1BD30" w14:textId="24ADF472" w:rsidR="00E00562" w:rsidRPr="009C124C" w:rsidRDefault="00E00562" w:rsidP="00C35BB7">
            <w:pPr>
              <w:spacing w:line="360" w:lineRule="auto"/>
              <w:ind w:left="0"/>
              <w:jc w:val="center"/>
              <w:rPr>
                <w:rFonts w:ascii="Verdana" w:hAnsi="Verdana"/>
                <w:b/>
                <w:bCs/>
                <w:sz w:val="20"/>
                <w:szCs w:val="20"/>
              </w:rPr>
            </w:pPr>
            <w:r w:rsidRPr="009C124C">
              <w:rPr>
                <w:rFonts w:ascii="Verdana" w:hAnsi="Verdana"/>
                <w:b/>
                <w:bCs/>
                <w:sz w:val="20"/>
                <w:szCs w:val="20"/>
              </w:rPr>
              <w:t>Luis Alberto Albán Urbano</w:t>
            </w:r>
          </w:p>
          <w:p w14:paraId="2939635D" w14:textId="77777777"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0A4DBDE2" w14:textId="376E348F"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Valle del Cauca</w:t>
            </w:r>
          </w:p>
        </w:tc>
        <w:tc>
          <w:tcPr>
            <w:tcW w:w="4153" w:type="dxa"/>
          </w:tcPr>
          <w:p w14:paraId="24D22573" w14:textId="77777777" w:rsidR="00C35BB7" w:rsidRPr="009C124C" w:rsidRDefault="00C35BB7" w:rsidP="000C0AFD">
            <w:pPr>
              <w:spacing w:line="360" w:lineRule="auto"/>
              <w:ind w:left="0"/>
              <w:rPr>
                <w:rFonts w:ascii="Verdana" w:hAnsi="Verdana"/>
                <w:b/>
                <w:bCs/>
                <w:sz w:val="20"/>
                <w:szCs w:val="20"/>
              </w:rPr>
            </w:pPr>
          </w:p>
          <w:p w14:paraId="488EB45B" w14:textId="77777777" w:rsidR="00C35BB7" w:rsidRPr="009C124C" w:rsidRDefault="00C35BB7" w:rsidP="000C0AFD">
            <w:pPr>
              <w:spacing w:line="360" w:lineRule="auto"/>
              <w:ind w:left="0"/>
              <w:rPr>
                <w:rFonts w:ascii="Verdana" w:hAnsi="Verdana"/>
                <w:b/>
                <w:bCs/>
                <w:sz w:val="20"/>
                <w:szCs w:val="20"/>
              </w:rPr>
            </w:pPr>
          </w:p>
          <w:p w14:paraId="7F204080" w14:textId="77777777" w:rsidR="00C35BB7" w:rsidRPr="009C124C" w:rsidRDefault="00C35BB7" w:rsidP="000C0AFD">
            <w:pPr>
              <w:spacing w:line="360" w:lineRule="auto"/>
              <w:ind w:left="0"/>
              <w:rPr>
                <w:rFonts w:ascii="Verdana" w:hAnsi="Verdana"/>
                <w:b/>
                <w:bCs/>
                <w:sz w:val="20"/>
                <w:szCs w:val="20"/>
              </w:rPr>
            </w:pPr>
          </w:p>
          <w:p w14:paraId="1E1BEBAC" w14:textId="77777777" w:rsidR="00C35BB7" w:rsidRPr="009C124C" w:rsidRDefault="00C35BB7" w:rsidP="000C0AFD">
            <w:pPr>
              <w:spacing w:line="360" w:lineRule="auto"/>
              <w:ind w:left="0"/>
              <w:rPr>
                <w:rFonts w:ascii="Verdana" w:hAnsi="Verdana"/>
                <w:b/>
                <w:bCs/>
                <w:sz w:val="20"/>
                <w:szCs w:val="20"/>
              </w:rPr>
            </w:pPr>
          </w:p>
          <w:p w14:paraId="2B965CE2" w14:textId="77777777" w:rsidR="00E00562" w:rsidRPr="009C124C" w:rsidRDefault="00E00562" w:rsidP="00C35BB7">
            <w:pPr>
              <w:spacing w:line="360" w:lineRule="auto"/>
              <w:ind w:left="0"/>
              <w:jc w:val="center"/>
              <w:rPr>
                <w:rFonts w:ascii="Verdana" w:hAnsi="Verdana"/>
                <w:b/>
                <w:bCs/>
                <w:sz w:val="20"/>
                <w:szCs w:val="20"/>
              </w:rPr>
            </w:pPr>
            <w:r w:rsidRPr="009C124C">
              <w:rPr>
                <w:rFonts w:ascii="Verdana" w:hAnsi="Verdana"/>
                <w:b/>
                <w:bCs/>
                <w:sz w:val="20"/>
                <w:szCs w:val="20"/>
              </w:rPr>
              <w:t>Gabriel Jaime Vallejo Chujfi</w:t>
            </w:r>
          </w:p>
          <w:p w14:paraId="6CE69A30" w14:textId="77777777"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637A42E4" w14:textId="0C7D0DED" w:rsidR="00C35BB7" w:rsidRPr="009C124C" w:rsidRDefault="00C35BB7" w:rsidP="00C35BB7">
            <w:pPr>
              <w:spacing w:line="360" w:lineRule="auto"/>
              <w:ind w:left="0"/>
              <w:jc w:val="center"/>
              <w:rPr>
                <w:rFonts w:ascii="Verdana" w:hAnsi="Verdana"/>
                <w:b/>
                <w:bCs/>
                <w:sz w:val="20"/>
                <w:szCs w:val="20"/>
              </w:rPr>
            </w:pPr>
            <w:r w:rsidRPr="009C124C">
              <w:rPr>
                <w:rFonts w:ascii="Verdana" w:hAnsi="Verdana"/>
                <w:b/>
                <w:bCs/>
                <w:sz w:val="20"/>
                <w:szCs w:val="20"/>
              </w:rPr>
              <w:t>Risaralda</w:t>
            </w:r>
          </w:p>
        </w:tc>
      </w:tr>
      <w:tr w:rsidR="00E00562" w:rsidRPr="009C124C" w14:paraId="60ED0F7C" w14:textId="77777777" w:rsidTr="002B6531">
        <w:trPr>
          <w:trHeight w:val="2571"/>
        </w:trPr>
        <w:tc>
          <w:tcPr>
            <w:tcW w:w="4154" w:type="dxa"/>
          </w:tcPr>
          <w:p w14:paraId="1713DA28" w14:textId="77777777" w:rsidR="00C35BB7" w:rsidRPr="009C124C" w:rsidRDefault="00C35BB7" w:rsidP="000C0AFD">
            <w:pPr>
              <w:spacing w:line="360" w:lineRule="auto"/>
              <w:ind w:left="0"/>
              <w:rPr>
                <w:rFonts w:ascii="Verdana" w:hAnsi="Verdana"/>
                <w:b/>
                <w:bCs/>
                <w:sz w:val="20"/>
                <w:szCs w:val="20"/>
              </w:rPr>
            </w:pPr>
          </w:p>
          <w:p w14:paraId="25ABFCCE" w14:textId="77777777" w:rsidR="00C35BB7" w:rsidRPr="009C124C" w:rsidRDefault="00C35BB7" w:rsidP="000C0AFD">
            <w:pPr>
              <w:spacing w:line="360" w:lineRule="auto"/>
              <w:ind w:left="0"/>
              <w:rPr>
                <w:rFonts w:ascii="Verdana" w:hAnsi="Verdana"/>
                <w:b/>
                <w:bCs/>
                <w:sz w:val="20"/>
                <w:szCs w:val="20"/>
              </w:rPr>
            </w:pPr>
          </w:p>
          <w:p w14:paraId="02F87160" w14:textId="77777777" w:rsidR="00C35BB7" w:rsidRPr="009C124C" w:rsidRDefault="00C35BB7" w:rsidP="000C0AFD">
            <w:pPr>
              <w:spacing w:line="360" w:lineRule="auto"/>
              <w:ind w:left="0"/>
              <w:rPr>
                <w:rFonts w:ascii="Verdana" w:hAnsi="Verdana"/>
                <w:b/>
                <w:bCs/>
                <w:sz w:val="20"/>
                <w:szCs w:val="20"/>
              </w:rPr>
            </w:pPr>
          </w:p>
          <w:p w14:paraId="09D27871" w14:textId="77777777" w:rsidR="00C35BB7" w:rsidRPr="009C124C" w:rsidRDefault="00C35BB7" w:rsidP="000C0AFD">
            <w:pPr>
              <w:spacing w:line="360" w:lineRule="auto"/>
              <w:ind w:left="0"/>
              <w:rPr>
                <w:rFonts w:ascii="Verdana" w:hAnsi="Verdana"/>
                <w:b/>
                <w:bCs/>
                <w:sz w:val="20"/>
                <w:szCs w:val="20"/>
              </w:rPr>
            </w:pPr>
          </w:p>
          <w:p w14:paraId="7AE608EE" w14:textId="77777777" w:rsidR="00C35BB7" w:rsidRPr="009C124C" w:rsidRDefault="00C35BB7" w:rsidP="000C0AFD">
            <w:pPr>
              <w:spacing w:line="360" w:lineRule="auto"/>
              <w:ind w:left="0"/>
              <w:rPr>
                <w:rFonts w:ascii="Verdana" w:hAnsi="Verdana"/>
                <w:b/>
                <w:bCs/>
                <w:sz w:val="20"/>
                <w:szCs w:val="20"/>
              </w:rPr>
            </w:pPr>
          </w:p>
          <w:p w14:paraId="7C8F185D" w14:textId="77777777" w:rsidR="00E00562" w:rsidRPr="009C124C" w:rsidRDefault="00E00562" w:rsidP="009C124C">
            <w:pPr>
              <w:spacing w:line="360" w:lineRule="auto"/>
              <w:ind w:left="0"/>
              <w:jc w:val="center"/>
              <w:rPr>
                <w:rFonts w:ascii="Verdana" w:hAnsi="Verdana"/>
                <w:b/>
                <w:bCs/>
                <w:sz w:val="20"/>
                <w:szCs w:val="20"/>
              </w:rPr>
            </w:pPr>
            <w:r w:rsidRPr="009C124C">
              <w:rPr>
                <w:rFonts w:ascii="Verdana" w:hAnsi="Verdana"/>
                <w:b/>
                <w:bCs/>
                <w:sz w:val="20"/>
                <w:szCs w:val="20"/>
              </w:rPr>
              <w:t>Juan Carlos Wills Ospina</w:t>
            </w:r>
          </w:p>
          <w:p w14:paraId="795974E5" w14:textId="77777777" w:rsidR="00C35BB7" w:rsidRPr="009C124C" w:rsidRDefault="00C35BB7" w:rsidP="009C124C">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16FFB8F2" w14:textId="53164589" w:rsidR="00C35BB7" w:rsidRPr="009C124C" w:rsidRDefault="00C35BB7" w:rsidP="009C124C">
            <w:pPr>
              <w:spacing w:line="360" w:lineRule="auto"/>
              <w:ind w:left="0"/>
              <w:jc w:val="center"/>
              <w:rPr>
                <w:rFonts w:ascii="Verdana" w:hAnsi="Verdana"/>
                <w:b/>
                <w:bCs/>
                <w:sz w:val="20"/>
                <w:szCs w:val="20"/>
              </w:rPr>
            </w:pPr>
            <w:r w:rsidRPr="009C124C">
              <w:rPr>
                <w:rFonts w:ascii="Verdana" w:hAnsi="Verdana"/>
                <w:b/>
                <w:bCs/>
                <w:sz w:val="20"/>
                <w:szCs w:val="20"/>
              </w:rPr>
              <w:t>Bogotá D.C.</w:t>
            </w:r>
          </w:p>
        </w:tc>
        <w:tc>
          <w:tcPr>
            <w:tcW w:w="4153" w:type="dxa"/>
          </w:tcPr>
          <w:p w14:paraId="01C9AAE3" w14:textId="77777777" w:rsidR="00C35BB7" w:rsidRPr="009C124C" w:rsidRDefault="00C35BB7" w:rsidP="000C0AFD">
            <w:pPr>
              <w:spacing w:line="360" w:lineRule="auto"/>
              <w:ind w:left="0"/>
              <w:rPr>
                <w:rFonts w:ascii="Verdana" w:hAnsi="Verdana"/>
                <w:b/>
                <w:bCs/>
                <w:sz w:val="20"/>
                <w:szCs w:val="20"/>
              </w:rPr>
            </w:pPr>
          </w:p>
          <w:p w14:paraId="08FB31F0" w14:textId="77777777" w:rsidR="00C35BB7" w:rsidRPr="009C124C" w:rsidRDefault="00C35BB7" w:rsidP="000C0AFD">
            <w:pPr>
              <w:spacing w:line="360" w:lineRule="auto"/>
              <w:ind w:left="0"/>
              <w:rPr>
                <w:rFonts w:ascii="Verdana" w:hAnsi="Verdana"/>
                <w:b/>
                <w:bCs/>
                <w:sz w:val="20"/>
                <w:szCs w:val="20"/>
              </w:rPr>
            </w:pPr>
          </w:p>
          <w:p w14:paraId="4451281C" w14:textId="77777777" w:rsidR="00C35BB7" w:rsidRPr="009C124C" w:rsidRDefault="00C35BB7" w:rsidP="000C0AFD">
            <w:pPr>
              <w:spacing w:line="360" w:lineRule="auto"/>
              <w:ind w:left="0"/>
              <w:rPr>
                <w:rFonts w:ascii="Verdana" w:hAnsi="Verdana"/>
                <w:b/>
                <w:bCs/>
                <w:sz w:val="20"/>
                <w:szCs w:val="20"/>
              </w:rPr>
            </w:pPr>
          </w:p>
          <w:p w14:paraId="607D4F48" w14:textId="77777777" w:rsidR="00C35BB7" w:rsidRPr="009C124C" w:rsidRDefault="00C35BB7" w:rsidP="000C0AFD">
            <w:pPr>
              <w:spacing w:line="360" w:lineRule="auto"/>
              <w:ind w:left="0"/>
              <w:rPr>
                <w:rFonts w:ascii="Verdana" w:hAnsi="Verdana"/>
                <w:b/>
                <w:bCs/>
                <w:sz w:val="20"/>
                <w:szCs w:val="20"/>
              </w:rPr>
            </w:pPr>
          </w:p>
          <w:p w14:paraId="30740F7A" w14:textId="77777777" w:rsidR="00C35BB7" w:rsidRPr="009C124C" w:rsidRDefault="00C35BB7" w:rsidP="000C0AFD">
            <w:pPr>
              <w:spacing w:line="360" w:lineRule="auto"/>
              <w:ind w:left="0"/>
              <w:rPr>
                <w:rFonts w:ascii="Verdana" w:hAnsi="Verdana"/>
                <w:b/>
                <w:bCs/>
                <w:sz w:val="20"/>
                <w:szCs w:val="20"/>
              </w:rPr>
            </w:pPr>
          </w:p>
          <w:p w14:paraId="7C6AFC8D" w14:textId="77777777" w:rsidR="00E00562" w:rsidRPr="009C124C" w:rsidRDefault="00E00562" w:rsidP="009C124C">
            <w:pPr>
              <w:spacing w:line="360" w:lineRule="auto"/>
              <w:ind w:left="0"/>
              <w:jc w:val="center"/>
              <w:rPr>
                <w:rFonts w:ascii="Verdana" w:hAnsi="Verdana"/>
                <w:b/>
                <w:bCs/>
                <w:sz w:val="20"/>
                <w:szCs w:val="20"/>
              </w:rPr>
            </w:pPr>
            <w:r w:rsidRPr="009C124C">
              <w:rPr>
                <w:rFonts w:ascii="Verdana" w:hAnsi="Verdana"/>
                <w:b/>
                <w:bCs/>
                <w:sz w:val="20"/>
                <w:szCs w:val="20"/>
              </w:rPr>
              <w:t>Jorge Enrique Burgos Lugo</w:t>
            </w:r>
          </w:p>
          <w:p w14:paraId="2DD1D998" w14:textId="77777777" w:rsidR="00C35BB7" w:rsidRPr="009C124C" w:rsidRDefault="00C35BB7" w:rsidP="009C124C">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6B66C6FF" w14:textId="07DD46D2" w:rsidR="009C124C" w:rsidRPr="009C124C" w:rsidRDefault="009C124C" w:rsidP="009C124C">
            <w:pPr>
              <w:spacing w:line="360" w:lineRule="auto"/>
              <w:ind w:left="0"/>
              <w:jc w:val="center"/>
              <w:rPr>
                <w:rFonts w:ascii="Verdana" w:hAnsi="Verdana"/>
                <w:b/>
                <w:bCs/>
                <w:sz w:val="20"/>
                <w:szCs w:val="20"/>
              </w:rPr>
            </w:pPr>
            <w:r w:rsidRPr="009C124C">
              <w:rPr>
                <w:rFonts w:ascii="Verdana" w:hAnsi="Verdana"/>
                <w:b/>
                <w:bCs/>
                <w:sz w:val="20"/>
                <w:szCs w:val="20"/>
              </w:rPr>
              <w:t>Córdoba</w:t>
            </w:r>
          </w:p>
        </w:tc>
      </w:tr>
    </w:tbl>
    <w:p w14:paraId="3F2EE007" w14:textId="77777777" w:rsidR="00760ED0" w:rsidRPr="000C0AFD" w:rsidRDefault="00760ED0" w:rsidP="000C0AFD">
      <w:pPr>
        <w:spacing w:line="360" w:lineRule="auto"/>
        <w:rPr>
          <w:rFonts w:ascii="Verdana" w:hAnsi="Verdana"/>
          <w:sz w:val="20"/>
          <w:szCs w:val="20"/>
        </w:rPr>
      </w:pPr>
    </w:p>
    <w:p w14:paraId="04553C45" w14:textId="77777777" w:rsidR="00760ED0" w:rsidRPr="000C0AFD" w:rsidRDefault="00760ED0" w:rsidP="000C0AFD">
      <w:pPr>
        <w:spacing w:after="160" w:line="360" w:lineRule="auto"/>
        <w:rPr>
          <w:rFonts w:ascii="Verdana" w:hAnsi="Verdana" w:cs="Arial"/>
          <w:sz w:val="20"/>
          <w:szCs w:val="20"/>
        </w:rPr>
      </w:pPr>
      <w:r w:rsidRPr="000C0AFD">
        <w:rPr>
          <w:rFonts w:ascii="Verdana" w:hAnsi="Verdana" w:cs="Arial"/>
          <w:sz w:val="20"/>
          <w:szCs w:val="20"/>
        </w:rPr>
        <w:br w:type="page"/>
      </w:r>
    </w:p>
    <w:p w14:paraId="54F5E0BB" w14:textId="77777777" w:rsidR="00760ED0" w:rsidRPr="000C0AFD" w:rsidRDefault="00760ED0" w:rsidP="00C35BB7">
      <w:pPr>
        <w:spacing w:line="360" w:lineRule="auto"/>
        <w:jc w:val="center"/>
        <w:rPr>
          <w:rFonts w:ascii="Verdana" w:hAnsi="Verdana" w:cs="Arial"/>
          <w:sz w:val="20"/>
          <w:szCs w:val="20"/>
        </w:rPr>
      </w:pPr>
    </w:p>
    <w:p w14:paraId="77BB5294" w14:textId="77777777" w:rsidR="00760ED0" w:rsidRPr="000C0AFD" w:rsidRDefault="00760ED0" w:rsidP="000C0AFD">
      <w:pPr>
        <w:pBdr>
          <w:top w:val="nil"/>
          <w:left w:val="nil"/>
          <w:bottom w:val="nil"/>
          <w:right w:val="nil"/>
          <w:between w:val="nil"/>
        </w:pBdr>
        <w:spacing w:line="360" w:lineRule="auto"/>
        <w:jc w:val="center"/>
        <w:rPr>
          <w:rFonts w:ascii="Verdana" w:eastAsia="Book Antiqua" w:hAnsi="Verdana" w:cs="Book Antiqua"/>
          <w:b/>
          <w:sz w:val="20"/>
          <w:szCs w:val="20"/>
        </w:rPr>
      </w:pPr>
      <w:r w:rsidRPr="000C0AFD">
        <w:rPr>
          <w:rFonts w:ascii="Verdana" w:hAnsi="Verdana" w:cs="Arial"/>
          <w:b/>
          <w:sz w:val="20"/>
          <w:szCs w:val="20"/>
        </w:rPr>
        <w:t xml:space="preserve">TEXTO PROPUESTO PARA </w:t>
      </w:r>
      <w:r w:rsidRPr="000C0AFD">
        <w:rPr>
          <w:rFonts w:ascii="Verdana" w:eastAsia="Times New Roman" w:hAnsi="Verdana" w:cs="Arial"/>
          <w:b/>
          <w:bCs/>
          <w:sz w:val="20"/>
          <w:szCs w:val="20"/>
        </w:rPr>
        <w:t xml:space="preserve">PRIMER DEBATE AL </w:t>
      </w:r>
      <w:r w:rsidRPr="000C0AFD">
        <w:rPr>
          <w:rFonts w:ascii="Verdana" w:hAnsi="Verdana" w:cs="Arial"/>
          <w:b/>
          <w:sz w:val="20"/>
          <w:szCs w:val="20"/>
        </w:rPr>
        <w:t>PROYECTO DE LEY No. 362 DE 2021 CÁMARA POR MEDIO DEL CUAL SE MODIFICA EL ARTÍCULO 68 A DE LA LEY 599 DEL 2000, COMO MEDIDA PARA DESINCENTIVAR EL PORTE ILEGAL DE ARMAS DE FUEGO, Y SE DICTAN OTRAS DISPOSICIONES</w:t>
      </w:r>
    </w:p>
    <w:p w14:paraId="685BE023" w14:textId="77777777" w:rsidR="00760ED0" w:rsidRPr="000C0AFD" w:rsidRDefault="00760ED0" w:rsidP="000C0AFD">
      <w:pPr>
        <w:pStyle w:val="Default"/>
        <w:spacing w:line="360" w:lineRule="auto"/>
        <w:rPr>
          <w:rFonts w:ascii="Verdana" w:hAnsi="Verdana" w:cs="Arial"/>
          <w:b/>
          <w:sz w:val="20"/>
          <w:szCs w:val="20"/>
        </w:rPr>
      </w:pPr>
    </w:p>
    <w:p w14:paraId="27B29FF8" w14:textId="77777777" w:rsidR="00760ED0" w:rsidRPr="000C0AFD" w:rsidRDefault="00760ED0" w:rsidP="000C0AFD">
      <w:pPr>
        <w:shd w:val="clear" w:color="auto" w:fill="FFFFFF"/>
        <w:spacing w:line="360" w:lineRule="auto"/>
        <w:jc w:val="center"/>
        <w:rPr>
          <w:rFonts w:ascii="Verdana" w:hAnsi="Verdana" w:cs="Arial"/>
          <w:b/>
          <w:sz w:val="20"/>
          <w:szCs w:val="20"/>
        </w:rPr>
      </w:pPr>
    </w:p>
    <w:p w14:paraId="0AAFAD3C" w14:textId="77777777" w:rsidR="00760ED0" w:rsidRPr="000C0AFD" w:rsidRDefault="00760ED0" w:rsidP="000C0AFD">
      <w:pPr>
        <w:shd w:val="clear" w:color="auto" w:fill="FFFFFF"/>
        <w:spacing w:line="360" w:lineRule="auto"/>
        <w:jc w:val="center"/>
        <w:rPr>
          <w:rFonts w:ascii="Verdana" w:hAnsi="Verdana" w:cs="Arial"/>
          <w:b/>
          <w:bCs/>
          <w:sz w:val="20"/>
          <w:szCs w:val="20"/>
        </w:rPr>
      </w:pPr>
      <w:r w:rsidRPr="000C0AFD">
        <w:rPr>
          <w:rFonts w:ascii="Verdana" w:hAnsi="Verdana" w:cs="Arial"/>
          <w:b/>
          <w:bCs/>
          <w:sz w:val="20"/>
          <w:szCs w:val="20"/>
        </w:rPr>
        <w:t>EL CONGRESO DE COLOMBIA</w:t>
      </w:r>
    </w:p>
    <w:p w14:paraId="10959CDC" w14:textId="77777777" w:rsidR="00760ED0" w:rsidRPr="000C0AFD" w:rsidRDefault="00760ED0" w:rsidP="000C0AFD">
      <w:pPr>
        <w:shd w:val="clear" w:color="auto" w:fill="FFFFFF"/>
        <w:spacing w:line="360" w:lineRule="auto"/>
        <w:jc w:val="center"/>
        <w:rPr>
          <w:rFonts w:ascii="Verdana" w:hAnsi="Verdana" w:cs="Arial"/>
          <w:b/>
          <w:bCs/>
          <w:sz w:val="20"/>
          <w:szCs w:val="20"/>
        </w:rPr>
      </w:pPr>
    </w:p>
    <w:p w14:paraId="56AF5107" w14:textId="77777777" w:rsidR="00760ED0" w:rsidRPr="000C0AFD" w:rsidRDefault="00760ED0" w:rsidP="000C0AFD">
      <w:pPr>
        <w:spacing w:line="360" w:lineRule="auto"/>
        <w:jc w:val="center"/>
        <w:rPr>
          <w:rFonts w:ascii="Verdana" w:hAnsi="Verdana" w:cs="Arial"/>
          <w:b/>
          <w:bCs/>
          <w:sz w:val="20"/>
          <w:szCs w:val="20"/>
        </w:rPr>
      </w:pPr>
      <w:r w:rsidRPr="000C0AFD">
        <w:rPr>
          <w:rFonts w:ascii="Verdana" w:hAnsi="Verdana" w:cs="Arial"/>
          <w:b/>
          <w:bCs/>
          <w:sz w:val="20"/>
          <w:szCs w:val="20"/>
        </w:rPr>
        <w:t>DECRETA:</w:t>
      </w:r>
    </w:p>
    <w:p w14:paraId="1EC460B9" w14:textId="77777777" w:rsidR="00760ED0" w:rsidRPr="000C0AFD" w:rsidRDefault="00760ED0" w:rsidP="000C0AFD">
      <w:pPr>
        <w:spacing w:line="360" w:lineRule="auto"/>
        <w:jc w:val="center"/>
        <w:rPr>
          <w:rFonts w:ascii="Verdana" w:hAnsi="Verdana" w:cs="Arial"/>
          <w:bCs/>
          <w:sz w:val="20"/>
          <w:szCs w:val="20"/>
        </w:rPr>
      </w:pPr>
    </w:p>
    <w:p w14:paraId="6EBF5140" w14:textId="77777777" w:rsidR="00760ED0" w:rsidRPr="000C0AFD" w:rsidRDefault="00760ED0" w:rsidP="000C0AFD">
      <w:pPr>
        <w:spacing w:line="360" w:lineRule="auto"/>
        <w:rPr>
          <w:rFonts w:ascii="Verdana" w:hAnsi="Verdana"/>
          <w:sz w:val="20"/>
          <w:szCs w:val="20"/>
        </w:rPr>
      </w:pPr>
    </w:p>
    <w:p w14:paraId="3C9CFF5C" w14:textId="77777777" w:rsidR="00760ED0" w:rsidRPr="000C0AFD" w:rsidRDefault="00760ED0" w:rsidP="000C0AFD">
      <w:pPr>
        <w:spacing w:before="240" w:after="240" w:line="360" w:lineRule="auto"/>
        <w:ind w:left="0" w:firstLine="567"/>
        <w:rPr>
          <w:rFonts w:ascii="Verdana" w:hAnsi="Verdana"/>
          <w:i/>
          <w:iCs/>
          <w:sz w:val="20"/>
          <w:szCs w:val="20"/>
          <w:lang w:val="es-ES_tradnl"/>
        </w:rPr>
      </w:pPr>
      <w:r w:rsidRPr="000C0AFD">
        <w:rPr>
          <w:rFonts w:ascii="Verdana" w:hAnsi="Verdana"/>
          <w:b/>
          <w:i/>
          <w:iCs/>
          <w:sz w:val="20"/>
          <w:szCs w:val="20"/>
          <w:lang w:val="es-ES_tradnl"/>
        </w:rPr>
        <w:t xml:space="preserve">Artículo 1º. </w:t>
      </w:r>
      <w:r w:rsidRPr="000C0AFD">
        <w:rPr>
          <w:rFonts w:ascii="Verdana" w:hAnsi="Verdana"/>
          <w:i/>
          <w:iCs/>
          <w:sz w:val="20"/>
          <w:szCs w:val="20"/>
          <w:lang w:val="es-ES_tradnl"/>
        </w:rPr>
        <w:t xml:space="preserve">El artículo 68 A de la Ley 599 del 2000 quedará de la siguiente forma: </w:t>
      </w:r>
    </w:p>
    <w:p w14:paraId="6DFD30AE" w14:textId="77777777" w:rsidR="00760ED0" w:rsidRPr="000C0AFD" w:rsidRDefault="00760ED0" w:rsidP="000C0AFD">
      <w:pPr>
        <w:pStyle w:val="NormalWeb"/>
        <w:spacing w:before="0" w:beforeAutospacing="0" w:after="0" w:afterAutospacing="0" w:line="360" w:lineRule="auto"/>
        <w:ind w:firstLine="567"/>
        <w:rPr>
          <w:rFonts w:ascii="Verdana" w:hAnsi="Verdana"/>
          <w:i/>
          <w:sz w:val="20"/>
          <w:szCs w:val="20"/>
          <w:lang w:eastAsia="en-US"/>
        </w:rPr>
      </w:pPr>
      <w:r w:rsidRPr="000C0AFD">
        <w:rPr>
          <w:rFonts w:ascii="Verdana" w:hAnsi="Verdana"/>
          <w:b/>
          <w:bCs/>
          <w:i/>
          <w:sz w:val="20"/>
          <w:szCs w:val="20"/>
        </w:rPr>
        <w:t>Artículo 68A.</w:t>
      </w:r>
      <w:r w:rsidRPr="000C0AFD">
        <w:rPr>
          <w:rFonts w:ascii="Verdana" w:hAnsi="Verdana"/>
          <w:i/>
          <w:sz w:val="20"/>
          <w:szCs w:val="20"/>
        </w:rPr>
        <w:t> </w:t>
      </w:r>
      <w:r w:rsidRPr="000C0AFD">
        <w:rPr>
          <w:rStyle w:val="a3"/>
          <w:rFonts w:ascii="Verdana" w:eastAsiaTheme="majorEastAsia" w:hAnsi="Verdana"/>
          <w:b/>
          <w:i/>
          <w:sz w:val="20"/>
          <w:szCs w:val="20"/>
        </w:rPr>
        <w:t>Exclusión de los beneficios y subrogados penales.</w:t>
      </w:r>
      <w:r w:rsidRPr="000C0AFD">
        <w:rPr>
          <w:rStyle w:val="a3"/>
          <w:rFonts w:ascii="Verdana" w:eastAsiaTheme="majorEastAsia" w:hAnsi="Verdana"/>
          <w:i/>
          <w:sz w:val="20"/>
          <w:szCs w:val="20"/>
        </w:rPr>
        <w:t>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25416F42" w14:textId="77777777" w:rsidR="00760ED0" w:rsidRPr="000C0AFD" w:rsidRDefault="00760ED0" w:rsidP="000C0AFD">
      <w:pPr>
        <w:pStyle w:val="NormalWeb"/>
        <w:spacing w:before="0" w:beforeAutospacing="0" w:after="0" w:afterAutospacing="0" w:line="360" w:lineRule="auto"/>
        <w:ind w:firstLine="567"/>
        <w:rPr>
          <w:rFonts w:ascii="Verdana" w:hAnsi="Verdana"/>
          <w:i/>
          <w:sz w:val="20"/>
          <w:szCs w:val="20"/>
        </w:rPr>
      </w:pPr>
      <w:r w:rsidRPr="000C0AFD">
        <w:rPr>
          <w:rFonts w:ascii="Verdana" w:hAnsi="Verdana"/>
          <w:i/>
          <w:sz w:val="20"/>
          <w:szCs w:val="20"/>
        </w:rPr>
        <w:t> </w:t>
      </w:r>
    </w:p>
    <w:p w14:paraId="5A560E1E" w14:textId="77777777" w:rsidR="00760ED0" w:rsidRPr="000C0AFD" w:rsidRDefault="00760ED0" w:rsidP="000C0AFD">
      <w:pPr>
        <w:pStyle w:val="NormalWeb"/>
        <w:spacing w:before="0" w:beforeAutospacing="0" w:after="0" w:afterAutospacing="0" w:line="360" w:lineRule="auto"/>
        <w:ind w:firstLine="567"/>
        <w:rPr>
          <w:rFonts w:ascii="Verdana" w:hAnsi="Verdana"/>
          <w:i/>
          <w:sz w:val="20"/>
          <w:szCs w:val="20"/>
        </w:rPr>
      </w:pPr>
      <w:r w:rsidRPr="000C0AFD">
        <w:rPr>
          <w:rFonts w:ascii="Verdana" w:hAnsi="Verdana"/>
          <w:i/>
          <w:sz w:val="20"/>
          <w:szCs w:val="20"/>
        </w:rPr>
        <w:t xml:space="preserve"> 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w:t>
      </w:r>
      <w:r w:rsidRPr="000C0AFD">
        <w:rPr>
          <w:rFonts w:ascii="Verdana" w:hAnsi="Verdana"/>
          <w:i/>
          <w:sz w:val="20"/>
          <w:szCs w:val="20"/>
        </w:rPr>
        <w:lastRenderedPageBreak/>
        <w:t>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w:t>
      </w:r>
      <w:r w:rsidRPr="000C0AFD">
        <w:rPr>
          <w:rFonts w:ascii="Verdana" w:hAnsi="Verdana"/>
          <w:sz w:val="20"/>
          <w:szCs w:val="20"/>
        </w:rPr>
        <w:t xml:space="preserve"> </w:t>
      </w:r>
      <w:r w:rsidRPr="009C124C">
        <w:rPr>
          <w:rFonts w:ascii="Verdana" w:hAnsi="Verdana"/>
          <w:bCs/>
          <w:i/>
          <w:sz w:val="20"/>
          <w:szCs w:val="20"/>
          <w:u w:val="single"/>
        </w:rPr>
        <w:t>fabricación, tráfico y porte de armas de fuego o municiones; Fabricación, tráfico y porte de armas y municiones de uso privativo de las fuerzas armadas;</w:t>
      </w:r>
      <w:r w:rsidRPr="009C124C">
        <w:rPr>
          <w:rFonts w:ascii="Verdana" w:hAnsi="Verdana"/>
          <w:bCs/>
          <w:i/>
          <w:sz w:val="20"/>
          <w:szCs w:val="20"/>
        </w:rPr>
        <w:t xml:space="preserve"> </w:t>
      </w:r>
      <w:r w:rsidRPr="000C0AFD">
        <w:rPr>
          <w:rFonts w:ascii="Verdana" w:hAnsi="Verdana"/>
          <w:i/>
          <w:sz w:val="20"/>
          <w:szCs w:val="20"/>
        </w:rPr>
        <w:t>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p>
    <w:p w14:paraId="32687841" w14:textId="77777777" w:rsidR="00760ED0" w:rsidRPr="000C0AFD" w:rsidRDefault="00760ED0" w:rsidP="000C0AFD">
      <w:pPr>
        <w:suppressAutoHyphens/>
        <w:adjustRightInd w:val="0"/>
        <w:spacing w:line="360" w:lineRule="auto"/>
        <w:contextualSpacing/>
        <w:textAlignment w:val="center"/>
        <w:rPr>
          <w:rFonts w:ascii="Verdana" w:hAnsi="Verdana" w:cstheme="minorHAnsi"/>
          <w:b/>
          <w:bCs/>
          <w:sz w:val="20"/>
          <w:szCs w:val="20"/>
        </w:rPr>
      </w:pPr>
    </w:p>
    <w:p w14:paraId="6CDA29E8" w14:textId="77777777" w:rsidR="00760ED0" w:rsidRPr="000C0AFD" w:rsidRDefault="00760ED0" w:rsidP="000C0AFD">
      <w:pPr>
        <w:suppressAutoHyphens/>
        <w:adjustRightInd w:val="0"/>
        <w:spacing w:line="360" w:lineRule="auto"/>
        <w:contextualSpacing/>
        <w:textAlignment w:val="center"/>
        <w:rPr>
          <w:rFonts w:ascii="Verdana" w:hAnsi="Verdana" w:cstheme="minorHAnsi"/>
          <w:i/>
          <w:iCs/>
          <w:sz w:val="20"/>
          <w:szCs w:val="20"/>
        </w:rPr>
      </w:pPr>
      <w:r w:rsidRPr="000C0AFD">
        <w:rPr>
          <w:rFonts w:ascii="Verdana" w:hAnsi="Verdana" w:cstheme="minorHAnsi"/>
          <w:b/>
          <w:bCs/>
          <w:sz w:val="20"/>
          <w:szCs w:val="20"/>
        </w:rPr>
        <w:t>Artículo 2</w:t>
      </w:r>
      <w:r w:rsidRPr="000C0AFD">
        <w:rPr>
          <w:rFonts w:ascii="Verdana" w:hAnsi="Verdana" w:cstheme="minorHAnsi"/>
          <w:b/>
          <w:bCs/>
          <w:caps/>
          <w:sz w:val="20"/>
          <w:szCs w:val="20"/>
        </w:rPr>
        <w:t xml:space="preserve">°. </w:t>
      </w:r>
      <w:r w:rsidRPr="000C0AFD">
        <w:rPr>
          <w:rFonts w:ascii="Verdana" w:hAnsi="Verdana" w:cstheme="minorHAnsi"/>
          <w:i/>
          <w:iCs/>
          <w:sz w:val="20"/>
          <w:szCs w:val="20"/>
        </w:rPr>
        <w:t xml:space="preserve">Modifíquese el parágrafo del artículo 314 de la Ley 906 de 2004, el cual quedará así: </w:t>
      </w:r>
    </w:p>
    <w:p w14:paraId="08869063" w14:textId="77777777" w:rsidR="00760ED0" w:rsidRPr="000C0AFD" w:rsidRDefault="00760ED0" w:rsidP="000C0AFD">
      <w:pPr>
        <w:suppressAutoHyphens/>
        <w:adjustRightInd w:val="0"/>
        <w:spacing w:line="360" w:lineRule="auto"/>
        <w:contextualSpacing/>
        <w:textAlignment w:val="center"/>
        <w:rPr>
          <w:rFonts w:ascii="Verdana" w:hAnsi="Verdana" w:cstheme="minorHAnsi"/>
          <w:b/>
          <w:bCs/>
          <w:caps/>
          <w:sz w:val="20"/>
          <w:szCs w:val="20"/>
        </w:rPr>
      </w:pPr>
    </w:p>
    <w:p w14:paraId="2D5DD70B"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caps/>
          <w:sz w:val="20"/>
          <w:szCs w:val="20"/>
        </w:rPr>
        <w:t xml:space="preserve">Artículo  314. </w:t>
      </w:r>
      <w:r w:rsidRPr="000C0AFD">
        <w:rPr>
          <w:rFonts w:ascii="Verdana" w:hAnsi="Verdana" w:cstheme="minorHAnsi"/>
          <w:b/>
          <w:bCs/>
          <w:sz w:val="20"/>
          <w:szCs w:val="20"/>
        </w:rPr>
        <w:t>SUSTITUCIÓN DE LA DETENCIÓN PREVENTIVA</w:t>
      </w:r>
      <w:r w:rsidRPr="000C0AFD">
        <w:rPr>
          <w:rFonts w:ascii="Verdana" w:hAnsi="Verdana" w:cstheme="minorHAnsi"/>
          <w:sz w:val="20"/>
          <w:szCs w:val="20"/>
        </w:rPr>
        <w:t>. La detención preventiva en establecimiento carcelario podrá sustituirse por la del lugar de la residencia en los siguientes eventos:</w:t>
      </w:r>
    </w:p>
    <w:p w14:paraId="040F99DD"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p>
    <w:p w14:paraId="658E7718" w14:textId="77777777" w:rsidR="00760ED0" w:rsidRPr="000C0AFD" w:rsidRDefault="00760ED0"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257BBC52" w14:textId="77777777" w:rsidR="00760ED0" w:rsidRPr="000C0AFD" w:rsidRDefault="00760ED0"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el imputado o acusado fuere mayor de sesenta y cinco (65) años, siempre que su personalidad, la naturaleza y modalidad del delito hagan aconsejable su reclusión en el lugar de residencia.</w:t>
      </w:r>
    </w:p>
    <w:p w14:paraId="16F45F26" w14:textId="77777777" w:rsidR="00760ED0" w:rsidRPr="000C0AFD" w:rsidRDefault="00760ED0"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lastRenderedPageBreak/>
        <w:t xml:space="preserve">Cuando a la imputada o acusada le falten dos (2) meses o menos para el parto. Igual derecho tendrá durante los seis (6) meses siguientes a la fecha de nacimiento. </w:t>
      </w:r>
    </w:p>
    <w:p w14:paraId="37F2E19D" w14:textId="77777777" w:rsidR="00760ED0" w:rsidRPr="000C0AFD" w:rsidRDefault="00760ED0"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7BC60F56" w14:textId="77777777" w:rsidR="00760ED0" w:rsidRPr="000C0AFD" w:rsidRDefault="00760ED0" w:rsidP="000C0AFD">
      <w:pPr>
        <w:pStyle w:val="Prrafodelista"/>
        <w:numPr>
          <w:ilvl w:val="0"/>
          <w:numId w:val="6"/>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78474522"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p>
    <w:p w14:paraId="613422F5"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282E09B7"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p>
    <w:p w14:paraId="09377CDD"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30BDD36C"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p>
    <w:p w14:paraId="7D64A55B"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sz w:val="20"/>
          <w:szCs w:val="20"/>
        </w:rPr>
        <w:t>PARÁGRAFO.</w:t>
      </w:r>
      <w:r w:rsidRPr="000C0AFD">
        <w:rPr>
          <w:rFonts w:ascii="Verdana"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19288D12"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p>
    <w:p w14:paraId="43B8AC81" w14:textId="77777777" w:rsidR="00760ED0" w:rsidRPr="000C0AFD" w:rsidRDefault="00760ED0" w:rsidP="000C0AFD">
      <w:pPr>
        <w:suppressAutoHyphens/>
        <w:adjustRightInd w:val="0"/>
        <w:spacing w:line="360" w:lineRule="auto"/>
        <w:contextualSpacing/>
        <w:textAlignment w:val="center"/>
        <w:rPr>
          <w:rFonts w:ascii="Verdana" w:hAnsi="Verdana" w:cstheme="minorHAnsi"/>
          <w:b/>
          <w:bCs/>
          <w:sz w:val="20"/>
          <w:szCs w:val="20"/>
          <w:u w:val="single"/>
        </w:rPr>
      </w:pPr>
      <w:r w:rsidRPr="000C0AFD">
        <w:rPr>
          <w:rFonts w:ascii="Verdana" w:hAnsi="Verdana" w:cstheme="minorHAnsi"/>
          <w:sz w:val="20"/>
          <w:szCs w:val="20"/>
        </w:rPr>
        <w:t xml:space="preserve">Los de competencia de los jueces penales del circuito especializados o quien haga sus veces, tráfico de migrante (C. P. artículo 188); acceso carnal o actos sexuales </w:t>
      </w:r>
      <w:r w:rsidRPr="000C0AFD">
        <w:rPr>
          <w:rFonts w:ascii="Verdana" w:hAnsi="Verdana" w:cstheme="minorHAnsi"/>
          <w:sz w:val="20"/>
          <w:szCs w:val="20"/>
        </w:rPr>
        <w:lastRenderedPageBreak/>
        <w:t xml:space="preserve">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w:t>
      </w:r>
      <w:r w:rsidRPr="009C124C">
        <w:rPr>
          <w:rFonts w:ascii="Verdana" w:hAnsi="Verdana" w:cstheme="minorHAnsi"/>
          <w:sz w:val="20"/>
          <w:szCs w:val="20"/>
        </w:rPr>
        <w:t>fabricación, tráfico y porte de armas de fuego o municiones de uso personal, o los imputados registren sentencias condenatorias vigentes por los mismos delitos; fabricación, tráfico y porte de armas y municiones de uso privativo de las Fuerzas Armadas (C. P. artículo 366);</w:t>
      </w:r>
      <w:r w:rsidRPr="000C0AFD">
        <w:rPr>
          <w:rFonts w:ascii="Verdana" w:hAnsi="Verdana" w:cstheme="minorHAnsi"/>
          <w:sz w:val="20"/>
          <w:szCs w:val="20"/>
        </w:rPr>
        <w:t xml:space="preserve">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w:t>
      </w:r>
    </w:p>
    <w:p w14:paraId="10ADCF56" w14:textId="77777777" w:rsidR="00760ED0" w:rsidRPr="000C0AFD" w:rsidRDefault="00760ED0" w:rsidP="000C0AFD">
      <w:pPr>
        <w:suppressAutoHyphens/>
        <w:adjustRightInd w:val="0"/>
        <w:spacing w:line="360" w:lineRule="auto"/>
        <w:ind w:left="0"/>
        <w:contextualSpacing/>
        <w:textAlignment w:val="center"/>
        <w:rPr>
          <w:rFonts w:ascii="Verdana" w:hAnsi="Verdana"/>
          <w:b/>
          <w:i/>
          <w:sz w:val="20"/>
          <w:szCs w:val="20"/>
          <w:u w:val="single"/>
        </w:rPr>
      </w:pPr>
    </w:p>
    <w:p w14:paraId="76F7DB2C" w14:textId="77777777" w:rsidR="00760ED0" w:rsidRPr="000C0AFD" w:rsidRDefault="00760ED0" w:rsidP="000C0AFD">
      <w:pPr>
        <w:suppressAutoHyphens/>
        <w:adjustRightInd w:val="0"/>
        <w:spacing w:line="360" w:lineRule="auto"/>
        <w:contextualSpacing/>
        <w:textAlignment w:val="center"/>
        <w:rPr>
          <w:rFonts w:ascii="Verdana" w:hAnsi="Verdana" w:cstheme="minorHAnsi"/>
          <w:i/>
          <w:iCs/>
          <w:sz w:val="20"/>
          <w:szCs w:val="20"/>
        </w:rPr>
      </w:pPr>
      <w:r w:rsidRPr="000C0AFD">
        <w:rPr>
          <w:rFonts w:ascii="Verdana" w:hAnsi="Verdana" w:cstheme="minorHAnsi"/>
          <w:b/>
          <w:bCs/>
          <w:sz w:val="20"/>
          <w:szCs w:val="20"/>
        </w:rPr>
        <w:t>Artículo 3</w:t>
      </w:r>
      <w:r w:rsidRPr="000C0AFD">
        <w:rPr>
          <w:rFonts w:ascii="Verdana" w:hAnsi="Verdana" w:cstheme="minorHAnsi"/>
          <w:b/>
          <w:bCs/>
          <w:caps/>
          <w:sz w:val="20"/>
          <w:szCs w:val="20"/>
        </w:rPr>
        <w:t xml:space="preserve">°. </w:t>
      </w:r>
      <w:r w:rsidRPr="000C0AFD">
        <w:rPr>
          <w:rFonts w:ascii="Verdana" w:hAnsi="Verdana" w:cstheme="minorHAnsi"/>
          <w:i/>
          <w:iCs/>
          <w:sz w:val="20"/>
          <w:szCs w:val="20"/>
        </w:rPr>
        <w:t xml:space="preserve">Modifíquese el parágrafo 1º del artículo 317 de la Ley 906 de 2004, el cual quedará así: </w:t>
      </w:r>
    </w:p>
    <w:p w14:paraId="1DA02B63" w14:textId="77777777" w:rsidR="00760ED0" w:rsidRPr="000C0AFD" w:rsidRDefault="00760ED0" w:rsidP="000C0AFD">
      <w:pPr>
        <w:suppressAutoHyphens/>
        <w:adjustRightInd w:val="0"/>
        <w:spacing w:line="360" w:lineRule="auto"/>
        <w:contextualSpacing/>
        <w:textAlignment w:val="center"/>
        <w:rPr>
          <w:rFonts w:ascii="Verdana" w:hAnsi="Verdana"/>
          <w:b/>
          <w:i/>
          <w:sz w:val="20"/>
          <w:szCs w:val="20"/>
          <w:u w:val="single"/>
        </w:rPr>
      </w:pPr>
    </w:p>
    <w:p w14:paraId="24AD26F2"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b/>
          <w:bCs/>
          <w:caps/>
          <w:sz w:val="20"/>
          <w:szCs w:val="20"/>
        </w:rPr>
        <w:t>Artículo 317. Causales de libertad</w:t>
      </w:r>
      <w:r w:rsidRPr="000C0AFD">
        <w:rPr>
          <w:rFonts w:ascii="Verdana" w:hAnsi="Verdana" w:cstheme="minorHAnsi"/>
          <w:b/>
          <w:sz w:val="20"/>
          <w:szCs w:val="20"/>
        </w:rPr>
        <w:t xml:space="preserve">. </w:t>
      </w:r>
      <w:r w:rsidRPr="000C0AFD">
        <w:rPr>
          <w:rFonts w:ascii="Verdana" w:hAnsi="Verdana" w:cstheme="minorHAnsi"/>
          <w:sz w:val="20"/>
          <w:szCs w:val="20"/>
        </w:rPr>
        <w:t>Las medidas de aseguramiento indicadas en los anteriores artículos tendrán vigencia durante toda la actuación, sin perjuicio de lo establecido en el parágrafo 1o del artículo 307 del presente código sobre las medidas de aseguramiento privativas de la libertad. La libertad del imputado o acusado se cumplirá de inmediato y solo procederá en los siguientes eventos:</w:t>
      </w:r>
    </w:p>
    <w:p w14:paraId="21BBCB50" w14:textId="77777777" w:rsidR="00760ED0" w:rsidRPr="000C0AFD" w:rsidRDefault="00760ED0" w:rsidP="000C0AFD">
      <w:pPr>
        <w:suppressAutoHyphens/>
        <w:adjustRightInd w:val="0"/>
        <w:spacing w:line="360" w:lineRule="auto"/>
        <w:ind w:left="427"/>
        <w:contextualSpacing/>
        <w:textAlignment w:val="center"/>
        <w:rPr>
          <w:rFonts w:ascii="Verdana" w:hAnsi="Verdana" w:cstheme="minorHAnsi"/>
          <w:sz w:val="20"/>
          <w:szCs w:val="20"/>
        </w:rPr>
      </w:pPr>
      <w:r w:rsidRPr="000C0AFD">
        <w:rPr>
          <w:rFonts w:ascii="Verdana" w:hAnsi="Verdana" w:cstheme="minorHAnsi"/>
          <w:sz w:val="20"/>
          <w:szCs w:val="20"/>
        </w:rPr>
        <w:t xml:space="preserve">                                       </w:t>
      </w:r>
    </w:p>
    <w:p w14:paraId="3C7374C9"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lastRenderedPageBreak/>
        <w:t>Cuando se haya cumplido la pena según la determinación anticipada que para este efecto se haga, o se haya decretado la preclusión, o se haya absuelto al acusado.</w:t>
      </w:r>
    </w:p>
    <w:p w14:paraId="345409C1" w14:textId="77777777" w:rsidR="00760ED0" w:rsidRPr="000C0AFD" w:rsidRDefault="00760ED0" w:rsidP="000C0AFD">
      <w:pPr>
        <w:pStyle w:val="Prrafodelista"/>
        <w:suppressAutoHyphens/>
        <w:adjustRightInd w:val="0"/>
        <w:spacing w:line="360" w:lineRule="auto"/>
        <w:ind w:left="787"/>
        <w:textAlignment w:val="center"/>
        <w:rPr>
          <w:rFonts w:ascii="Verdana" w:hAnsi="Verdana" w:cstheme="minorHAnsi"/>
          <w:sz w:val="20"/>
          <w:szCs w:val="20"/>
        </w:rPr>
      </w:pPr>
    </w:p>
    <w:p w14:paraId="1706F693"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Como consecuencia de la aplicación del Principio de Oportunidad.</w:t>
      </w:r>
    </w:p>
    <w:p w14:paraId="012E277E" w14:textId="77777777" w:rsidR="00760ED0" w:rsidRPr="000C0AFD" w:rsidRDefault="00760ED0" w:rsidP="000C0AFD">
      <w:pPr>
        <w:pStyle w:val="Prrafodelista"/>
        <w:suppressAutoHyphens/>
        <w:adjustRightInd w:val="0"/>
        <w:spacing w:line="360" w:lineRule="auto"/>
        <w:ind w:left="787"/>
        <w:textAlignment w:val="center"/>
        <w:rPr>
          <w:rFonts w:ascii="Verdana" w:hAnsi="Verdana" w:cstheme="minorHAnsi"/>
          <w:sz w:val="20"/>
          <w:szCs w:val="20"/>
        </w:rPr>
      </w:pPr>
    </w:p>
    <w:p w14:paraId="62ADC831"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Como consecuencia de las cláusulas del acuerdo cuando haya sido aceptado por el Juez de Conocimiento.</w:t>
      </w:r>
    </w:p>
    <w:p w14:paraId="3FE5DB37" w14:textId="77777777" w:rsidR="00760ED0" w:rsidRPr="000C0AFD" w:rsidRDefault="00760ED0" w:rsidP="000C0AFD">
      <w:pPr>
        <w:pStyle w:val="Prrafodelista"/>
        <w:suppressAutoHyphens/>
        <w:adjustRightInd w:val="0"/>
        <w:spacing w:line="360" w:lineRule="auto"/>
        <w:ind w:left="787"/>
        <w:textAlignment w:val="center"/>
        <w:rPr>
          <w:rFonts w:ascii="Verdana" w:hAnsi="Verdana" w:cstheme="minorHAnsi"/>
          <w:sz w:val="20"/>
          <w:szCs w:val="20"/>
        </w:rPr>
      </w:pPr>
    </w:p>
    <w:p w14:paraId="7017A2FF"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Cuando transcurridos sesenta (60) días contados a partir de la fecha de imputación no se hubiere presentado el escrito de acusación o solicitado la preclusión, conforme a lo dispuesto en el artículo 294.</w:t>
      </w:r>
    </w:p>
    <w:p w14:paraId="55D4FE8E" w14:textId="77777777" w:rsidR="00760ED0" w:rsidRPr="000C0AFD" w:rsidRDefault="00760ED0" w:rsidP="000C0AFD">
      <w:pPr>
        <w:pStyle w:val="Prrafodelista"/>
        <w:spacing w:line="360" w:lineRule="auto"/>
        <w:rPr>
          <w:rFonts w:ascii="Verdana" w:hAnsi="Verdana" w:cstheme="minorHAnsi"/>
          <w:sz w:val="20"/>
          <w:szCs w:val="20"/>
        </w:rPr>
      </w:pPr>
    </w:p>
    <w:p w14:paraId="67367968"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Cuando transcurridos ciento veinte (120) días contados a partir de la fecha de presentación del escrito de acusación, no se haya dado inicio a la audiencia de juicio.</w:t>
      </w:r>
    </w:p>
    <w:p w14:paraId="2FDC733C" w14:textId="77777777" w:rsidR="00760ED0" w:rsidRPr="000C0AFD" w:rsidRDefault="00760ED0" w:rsidP="000C0AFD">
      <w:pPr>
        <w:pStyle w:val="Prrafodelista"/>
        <w:spacing w:line="360" w:lineRule="auto"/>
        <w:rPr>
          <w:rFonts w:ascii="Verdana" w:hAnsi="Verdana" w:cstheme="minorHAnsi"/>
          <w:sz w:val="20"/>
          <w:szCs w:val="20"/>
        </w:rPr>
      </w:pPr>
    </w:p>
    <w:p w14:paraId="373D8037" w14:textId="77777777" w:rsidR="00760ED0" w:rsidRPr="000C0AFD" w:rsidRDefault="00760ED0" w:rsidP="000C0AFD">
      <w:pPr>
        <w:pStyle w:val="Prrafodelista"/>
        <w:numPr>
          <w:ilvl w:val="0"/>
          <w:numId w:val="9"/>
        </w:numPr>
        <w:suppressAutoHyphens/>
        <w:adjustRightInd w:val="0"/>
        <w:spacing w:line="360" w:lineRule="auto"/>
        <w:textAlignment w:val="center"/>
        <w:rPr>
          <w:rFonts w:ascii="Verdana" w:hAnsi="Verdana" w:cstheme="minorHAnsi"/>
          <w:sz w:val="20"/>
          <w:szCs w:val="20"/>
        </w:rPr>
      </w:pPr>
      <w:r w:rsidRPr="000C0AFD">
        <w:rPr>
          <w:rFonts w:ascii="Verdana" w:hAnsi="Verdana" w:cstheme="minorHAnsi"/>
          <w:sz w:val="20"/>
          <w:szCs w:val="20"/>
        </w:rPr>
        <w:t xml:space="preserve"> Cuando transcurridos ciento cincuenta (150) días contados a partir de la fecha de inicio de la audiencia de juicio, no se haya celebrado la audiencia de lectura de fallo o su equivalente.</w:t>
      </w:r>
    </w:p>
    <w:p w14:paraId="4D6C9964"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br/>
      </w:r>
      <w:r w:rsidRPr="000C0AFD">
        <w:rPr>
          <w:rFonts w:ascii="Verdana" w:hAnsi="Verdana" w:cstheme="minorHAnsi"/>
          <w:b/>
          <w:sz w:val="20"/>
          <w:szCs w:val="20"/>
        </w:rPr>
        <w:t>PARÁGRAFO 1</w:t>
      </w:r>
      <w:r w:rsidRPr="000C0AFD">
        <w:rPr>
          <w:rFonts w:ascii="Verdana" w:hAnsi="Verdana" w:cstheme="minorHAnsi"/>
          <w:sz w:val="20"/>
          <w:szCs w:val="20"/>
        </w:rPr>
        <w:t>. Los términos dispuestos en los numerales 4, 5 y 6 del presente artículo se incrementarán por el mismo término inicial, cuando el proceso se surta ante la justicia penal especializada, o sean tres (3) o más los imputados o acusados, o se trate de investigación o juicio de actos de corrupción de que trata la Ley 1474 de 2011 o de cualquiera de las conductas previstas en el Título IV del Libro Segundo de la Ley 599 de 2000 (Código Penal</w:t>
      </w:r>
      <w:r w:rsidRPr="009C124C">
        <w:rPr>
          <w:rFonts w:ascii="Verdana" w:hAnsi="Verdana" w:cstheme="minorHAnsi"/>
          <w:sz w:val="20"/>
          <w:szCs w:val="20"/>
        </w:rPr>
        <w:t>) o por las conductas previstas en los artículos 365 y 366 de la Ley 599 de 2000 (Código Penal).</w:t>
      </w:r>
    </w:p>
    <w:p w14:paraId="5A45823E" w14:textId="77777777" w:rsidR="00760ED0" w:rsidRPr="000C0AFD" w:rsidRDefault="00760ED0" w:rsidP="000C0AFD">
      <w:pPr>
        <w:suppressAutoHyphens/>
        <w:adjustRightInd w:val="0"/>
        <w:spacing w:line="360" w:lineRule="auto"/>
        <w:contextualSpacing/>
        <w:textAlignment w:val="center"/>
        <w:rPr>
          <w:rFonts w:ascii="Verdana" w:hAnsi="Verdana" w:cstheme="minorHAnsi"/>
          <w:sz w:val="20"/>
          <w:szCs w:val="20"/>
        </w:rPr>
      </w:pPr>
      <w:r w:rsidRPr="000C0AFD">
        <w:rPr>
          <w:rFonts w:ascii="Verdana" w:hAnsi="Verdana" w:cstheme="minorHAnsi"/>
          <w:sz w:val="20"/>
          <w:szCs w:val="20"/>
        </w:rPr>
        <w:br/>
      </w:r>
      <w:r w:rsidRPr="000C0AFD">
        <w:rPr>
          <w:rFonts w:ascii="Verdana" w:hAnsi="Verdana" w:cstheme="minorHAnsi"/>
          <w:b/>
          <w:sz w:val="20"/>
          <w:szCs w:val="20"/>
        </w:rPr>
        <w:t>PARÁGRAFO 2</w:t>
      </w:r>
      <w:r w:rsidRPr="000C0AFD">
        <w:rPr>
          <w:rFonts w:ascii="Verdana" w:hAnsi="Verdana" w:cstheme="minorHAnsi"/>
          <w:sz w:val="20"/>
          <w:szCs w:val="20"/>
        </w:rPr>
        <w:t>. En los numerales 4 y 5 se restablecerán los términos cuando hubiere improbación de la aceptación de cargos, de los preacuerdos o de la aplicación del principio de oportunidad.</w:t>
      </w:r>
    </w:p>
    <w:p w14:paraId="37A27A76" w14:textId="77777777" w:rsidR="00760ED0" w:rsidRPr="000C0AFD" w:rsidRDefault="00760ED0" w:rsidP="000C0AFD">
      <w:pPr>
        <w:suppressAutoHyphens/>
        <w:adjustRightInd w:val="0"/>
        <w:spacing w:line="360" w:lineRule="auto"/>
        <w:contextualSpacing/>
        <w:textAlignment w:val="center"/>
        <w:rPr>
          <w:rFonts w:ascii="Verdana" w:hAnsi="Verdana" w:cs="Arial"/>
          <w:color w:val="333333"/>
          <w:sz w:val="20"/>
          <w:szCs w:val="20"/>
        </w:rPr>
      </w:pPr>
      <w:r w:rsidRPr="000C0AFD">
        <w:rPr>
          <w:rFonts w:ascii="Verdana" w:hAnsi="Verdana" w:cstheme="minorHAnsi"/>
          <w:sz w:val="20"/>
          <w:szCs w:val="20"/>
        </w:rPr>
        <w:lastRenderedPageBreak/>
        <w:br/>
      </w:r>
      <w:r w:rsidRPr="000C0AFD">
        <w:rPr>
          <w:rFonts w:ascii="Verdana" w:hAnsi="Verdana" w:cstheme="minorHAnsi"/>
          <w:b/>
          <w:sz w:val="20"/>
          <w:szCs w:val="20"/>
        </w:rPr>
        <w:t>PARÁGRAFO 3</w:t>
      </w:r>
      <w:r w:rsidRPr="000C0AFD">
        <w:rPr>
          <w:rFonts w:ascii="Verdana" w:hAnsi="Verdana" w:cstheme="minorHAnsi"/>
          <w:sz w:val="20"/>
          <w:szCs w:val="20"/>
        </w:rPr>
        <w:t>. Cuando la audiencia de juicio oral no se haya podido iniciar o terminar por maniobras dilatorias del acusado o su defensor, no se contabilizarán dentro de los términos contenidos en los numerales 5 y 6 de este artículo, los días empleados en ellas</w:t>
      </w:r>
      <w:r w:rsidRPr="000C0AFD">
        <w:rPr>
          <w:rFonts w:ascii="Verdana" w:hAnsi="Verdana" w:cs="Arial"/>
          <w:color w:val="333333"/>
          <w:sz w:val="20"/>
          <w:szCs w:val="20"/>
        </w:rPr>
        <w:t>.</w:t>
      </w:r>
    </w:p>
    <w:p w14:paraId="6F40D6F5" w14:textId="77777777" w:rsidR="00760ED0" w:rsidRPr="000C0AFD" w:rsidRDefault="00760ED0" w:rsidP="000C0AFD">
      <w:pPr>
        <w:suppressAutoHyphens/>
        <w:adjustRightInd w:val="0"/>
        <w:spacing w:line="360" w:lineRule="auto"/>
        <w:contextualSpacing/>
        <w:textAlignment w:val="center"/>
        <w:rPr>
          <w:rFonts w:ascii="Verdana" w:hAnsi="Verdana" w:cs="Arial"/>
          <w:color w:val="333333"/>
          <w:sz w:val="20"/>
          <w:szCs w:val="20"/>
        </w:rPr>
      </w:pPr>
    </w:p>
    <w:p w14:paraId="258369E5" w14:textId="77777777" w:rsidR="00760ED0" w:rsidRPr="000C0AFD" w:rsidRDefault="00760ED0" w:rsidP="000C0AFD">
      <w:pPr>
        <w:suppressAutoHyphens/>
        <w:adjustRightInd w:val="0"/>
        <w:spacing w:line="360" w:lineRule="auto"/>
        <w:contextualSpacing/>
        <w:textAlignment w:val="center"/>
        <w:rPr>
          <w:rFonts w:ascii="Verdana" w:hAnsi="Verdana" w:cs="Arial"/>
          <w:color w:val="4B4949"/>
          <w:sz w:val="20"/>
          <w:szCs w:val="20"/>
        </w:rPr>
      </w:pPr>
      <w:r w:rsidRPr="000C0AFD">
        <w:rPr>
          <w:rFonts w:ascii="Verdana" w:hAnsi="Verdana" w:cstheme="minorHAnsi"/>
          <w:sz w:val="20"/>
          <w:szCs w:val="20"/>
        </w:rPr>
        <w:t>Cuando la audiencia no se hubiere podido iniciar o terminar por causa razonable fundada en hechos externos y objetivos de fuerza mayor, ajenos al juez o a la administración de justicia, la audiencia se iniciará o reanudará cuando haya desaparecido dicha causa y a más tardar en un plazo no superior a la mitad del término establecido por el legislador en los numerales 5 y 6 del artículo 317</w:t>
      </w:r>
      <w:r w:rsidRPr="000C0AFD">
        <w:rPr>
          <w:rFonts w:ascii="Verdana" w:hAnsi="Verdana" w:cs="Arial"/>
          <w:color w:val="4B4949"/>
          <w:sz w:val="20"/>
          <w:szCs w:val="20"/>
        </w:rPr>
        <w:t>.</w:t>
      </w:r>
    </w:p>
    <w:p w14:paraId="3D823774" w14:textId="4D24576B" w:rsidR="00760ED0" w:rsidRPr="000C0AFD" w:rsidRDefault="00760ED0" w:rsidP="000C0AFD">
      <w:pPr>
        <w:pStyle w:val="NormalWeb"/>
        <w:spacing w:line="360" w:lineRule="auto"/>
        <w:ind w:left="0" w:firstLine="567"/>
        <w:rPr>
          <w:rFonts w:ascii="Verdana" w:hAnsi="Verdana"/>
          <w:color w:val="000000" w:themeColor="text1"/>
          <w:sz w:val="20"/>
          <w:szCs w:val="20"/>
        </w:rPr>
      </w:pPr>
      <w:r w:rsidRPr="000C0AFD">
        <w:rPr>
          <w:rFonts w:ascii="Verdana" w:hAnsi="Verdana"/>
          <w:b/>
          <w:color w:val="000000" w:themeColor="text1"/>
          <w:sz w:val="20"/>
          <w:szCs w:val="20"/>
        </w:rPr>
        <w:t>Artículo 4°.</w:t>
      </w:r>
      <w:r w:rsidRPr="000C0AFD">
        <w:rPr>
          <w:rFonts w:ascii="Verdana" w:hAnsi="Verdana"/>
          <w:color w:val="000000" w:themeColor="text1"/>
          <w:sz w:val="20"/>
          <w:szCs w:val="20"/>
        </w:rPr>
        <w:t xml:space="preserve"> El Gobierno Nacional contara con un término de 6 meses a partir de la aprobación y promulgación de la presente ley para la implementación de una política pública de </w:t>
      </w:r>
      <w:r w:rsidRPr="009C124C">
        <w:rPr>
          <w:rFonts w:ascii="Verdana" w:hAnsi="Verdana"/>
          <w:color w:val="000000" w:themeColor="text1"/>
          <w:sz w:val="20"/>
          <w:szCs w:val="20"/>
        </w:rPr>
        <w:t xml:space="preserve">desarme </w:t>
      </w:r>
      <w:r w:rsidR="00AF570C" w:rsidRPr="009C124C">
        <w:rPr>
          <w:rFonts w:ascii="Verdana" w:hAnsi="Verdana"/>
          <w:color w:val="000000" w:themeColor="text1"/>
          <w:sz w:val="20"/>
          <w:szCs w:val="20"/>
        </w:rPr>
        <w:t xml:space="preserve">ilegal </w:t>
      </w:r>
      <w:r w:rsidRPr="009C124C">
        <w:rPr>
          <w:rFonts w:ascii="Verdana" w:hAnsi="Verdana"/>
          <w:color w:val="000000" w:themeColor="text1"/>
          <w:sz w:val="20"/>
          <w:szCs w:val="20"/>
        </w:rPr>
        <w:t>nacional.</w:t>
      </w:r>
    </w:p>
    <w:p w14:paraId="47963EFF" w14:textId="77777777" w:rsidR="00760ED0" w:rsidRPr="000C0AFD" w:rsidRDefault="00760ED0" w:rsidP="000C0AFD">
      <w:pPr>
        <w:pStyle w:val="NormalWeb"/>
        <w:spacing w:line="360" w:lineRule="auto"/>
        <w:ind w:left="0" w:firstLine="567"/>
        <w:rPr>
          <w:rFonts w:ascii="Verdana" w:hAnsi="Verdana"/>
          <w:sz w:val="20"/>
          <w:szCs w:val="20"/>
        </w:rPr>
      </w:pPr>
      <w:r w:rsidRPr="000C0AFD">
        <w:rPr>
          <w:rFonts w:ascii="Verdana" w:hAnsi="Verdana"/>
          <w:b/>
          <w:sz w:val="20"/>
          <w:szCs w:val="20"/>
        </w:rPr>
        <w:t>Artículo 5°.</w:t>
      </w:r>
      <w:r w:rsidRPr="000C0AFD">
        <w:rPr>
          <w:rFonts w:ascii="Verdana" w:hAnsi="Verdana"/>
          <w:sz w:val="20"/>
          <w:szCs w:val="20"/>
        </w:rPr>
        <w:t xml:space="preserve"> La presente ley rige a partir de su promulgación y deroga las normas que le sean contrarias.</w:t>
      </w:r>
    </w:p>
    <w:p w14:paraId="69FB9F04" w14:textId="77777777" w:rsidR="00760ED0" w:rsidRPr="000C0AFD" w:rsidRDefault="00760ED0" w:rsidP="000C0AFD">
      <w:pPr>
        <w:spacing w:line="360" w:lineRule="auto"/>
        <w:rPr>
          <w:rStyle w:val="A30"/>
          <w:rFonts w:ascii="Verdana" w:hAnsi="Verdana" w:cs="Arial"/>
          <w:color w:val="000000" w:themeColor="text1"/>
          <w:sz w:val="20"/>
          <w:szCs w:val="20"/>
        </w:rPr>
      </w:pPr>
    </w:p>
    <w:p w14:paraId="7510493F" w14:textId="77777777" w:rsidR="00760ED0" w:rsidRPr="000C0AFD" w:rsidRDefault="00760ED0" w:rsidP="000C0AFD">
      <w:pPr>
        <w:spacing w:line="360" w:lineRule="auto"/>
        <w:rPr>
          <w:rStyle w:val="A30"/>
          <w:rFonts w:ascii="Verdana" w:hAnsi="Verdana" w:cs="Arial"/>
          <w:color w:val="000000" w:themeColor="text1"/>
          <w:sz w:val="20"/>
          <w:szCs w:val="20"/>
        </w:rPr>
      </w:pPr>
    </w:p>
    <w:p w14:paraId="0CD6EC34" w14:textId="77777777" w:rsidR="00760ED0" w:rsidRPr="000C0AFD" w:rsidRDefault="00760ED0" w:rsidP="000C0AFD">
      <w:pPr>
        <w:spacing w:line="360" w:lineRule="auto"/>
        <w:ind w:right="193"/>
        <w:textAlignment w:val="center"/>
        <w:rPr>
          <w:rFonts w:ascii="Verdana" w:eastAsia="Times New Roman" w:hAnsi="Verdana" w:cs="Arial"/>
          <w:iCs/>
          <w:color w:val="000000" w:themeColor="text1"/>
          <w:sz w:val="20"/>
          <w:szCs w:val="20"/>
        </w:rPr>
      </w:pPr>
      <w:r w:rsidRPr="000C0AFD">
        <w:rPr>
          <w:rFonts w:ascii="Verdana" w:eastAsia="Times New Roman" w:hAnsi="Verdana" w:cs="Arial"/>
          <w:iCs/>
          <w:color w:val="000000" w:themeColor="text1"/>
          <w:sz w:val="20"/>
          <w:szCs w:val="20"/>
        </w:rPr>
        <w:t>De los Congresistas,</w:t>
      </w:r>
    </w:p>
    <w:p w14:paraId="2C30332D" w14:textId="77777777" w:rsidR="00760ED0" w:rsidRPr="000C0AFD" w:rsidRDefault="00760ED0" w:rsidP="000C0AFD">
      <w:pPr>
        <w:spacing w:line="360" w:lineRule="auto"/>
        <w:rPr>
          <w:rStyle w:val="A30"/>
          <w:rFonts w:ascii="Verdana" w:hAnsi="Verdana" w:cs="Arial"/>
          <w:color w:val="000000" w:themeColor="text1"/>
          <w:sz w:val="20"/>
          <w:szCs w:val="20"/>
        </w:rPr>
      </w:pPr>
    </w:p>
    <w:tbl>
      <w:tblPr>
        <w:tblStyle w:val="Tablaconcuadrcula"/>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3"/>
      </w:tblGrid>
      <w:tr w:rsidR="009C124C" w:rsidRPr="009C124C" w14:paraId="63C49EF9" w14:textId="77777777" w:rsidTr="00430955">
        <w:trPr>
          <w:trHeight w:val="1988"/>
        </w:trPr>
        <w:tc>
          <w:tcPr>
            <w:tcW w:w="4361" w:type="dxa"/>
          </w:tcPr>
          <w:p w14:paraId="74D3C8AD" w14:textId="77777777" w:rsidR="009C124C" w:rsidRPr="009C124C" w:rsidRDefault="009C124C" w:rsidP="00430955">
            <w:pPr>
              <w:spacing w:line="360" w:lineRule="auto"/>
              <w:ind w:left="0"/>
              <w:jc w:val="center"/>
              <w:rPr>
                <w:rFonts w:ascii="Verdana" w:hAnsi="Verdana"/>
                <w:b/>
                <w:bCs/>
                <w:sz w:val="20"/>
                <w:szCs w:val="20"/>
              </w:rPr>
            </w:pPr>
          </w:p>
          <w:p w14:paraId="7BC69CD7" w14:textId="77777777" w:rsidR="009C124C" w:rsidRPr="009C124C" w:rsidRDefault="009C124C" w:rsidP="00430955">
            <w:pPr>
              <w:spacing w:line="360" w:lineRule="auto"/>
              <w:ind w:left="0"/>
              <w:jc w:val="center"/>
              <w:rPr>
                <w:rFonts w:ascii="Verdana" w:hAnsi="Verdana"/>
                <w:b/>
                <w:bCs/>
                <w:sz w:val="20"/>
                <w:szCs w:val="20"/>
              </w:rPr>
            </w:pPr>
          </w:p>
          <w:p w14:paraId="0D7BD806" w14:textId="77777777" w:rsidR="009C124C" w:rsidRPr="009C124C" w:rsidRDefault="009C124C" w:rsidP="00430955">
            <w:pPr>
              <w:spacing w:line="360" w:lineRule="auto"/>
              <w:ind w:left="0"/>
              <w:jc w:val="center"/>
              <w:rPr>
                <w:rFonts w:ascii="Verdana" w:hAnsi="Verdana"/>
                <w:b/>
                <w:bCs/>
                <w:sz w:val="20"/>
                <w:szCs w:val="20"/>
              </w:rPr>
            </w:pPr>
          </w:p>
          <w:p w14:paraId="631B11A7" w14:textId="77777777" w:rsidR="009C124C" w:rsidRPr="009C124C" w:rsidRDefault="009C124C" w:rsidP="00430955">
            <w:pPr>
              <w:spacing w:line="360" w:lineRule="auto"/>
              <w:ind w:left="0"/>
              <w:jc w:val="center"/>
              <w:rPr>
                <w:rFonts w:ascii="Verdana" w:hAnsi="Verdana"/>
                <w:b/>
                <w:bCs/>
                <w:sz w:val="20"/>
                <w:szCs w:val="20"/>
              </w:rPr>
            </w:pPr>
          </w:p>
          <w:p w14:paraId="20812BB5" w14:textId="77777777" w:rsidR="009C124C" w:rsidRPr="009C124C" w:rsidRDefault="009C124C" w:rsidP="00430955">
            <w:pPr>
              <w:spacing w:line="360" w:lineRule="auto"/>
              <w:ind w:left="0"/>
              <w:jc w:val="center"/>
              <w:rPr>
                <w:rFonts w:ascii="Verdana" w:hAnsi="Verdana"/>
                <w:b/>
                <w:bCs/>
                <w:sz w:val="20"/>
                <w:szCs w:val="20"/>
              </w:rPr>
            </w:pPr>
          </w:p>
          <w:p w14:paraId="167671C8"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Jorge Méndez Hernández</w:t>
            </w:r>
          </w:p>
          <w:p w14:paraId="58F7D3E1" w14:textId="77777777" w:rsidR="009C124C" w:rsidRPr="009C124C" w:rsidRDefault="009C124C" w:rsidP="00430955">
            <w:pPr>
              <w:spacing w:line="360" w:lineRule="auto"/>
              <w:ind w:left="0"/>
              <w:jc w:val="center"/>
              <w:rPr>
                <w:b/>
                <w:bCs/>
              </w:rPr>
            </w:pPr>
            <w:r w:rsidRPr="009C124C">
              <w:rPr>
                <w:b/>
                <w:bCs/>
              </w:rPr>
              <w:t>Representante a la Cámara</w:t>
            </w:r>
          </w:p>
          <w:p w14:paraId="368850DB"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San Andrés Providencia y Santa Catalína</w:t>
            </w:r>
          </w:p>
        </w:tc>
        <w:tc>
          <w:tcPr>
            <w:tcW w:w="4361" w:type="dxa"/>
          </w:tcPr>
          <w:p w14:paraId="2692AD8A" w14:textId="77777777" w:rsidR="009C124C" w:rsidRPr="009C124C" w:rsidRDefault="009C124C" w:rsidP="00430955">
            <w:pPr>
              <w:spacing w:line="360" w:lineRule="auto"/>
              <w:ind w:left="0"/>
              <w:rPr>
                <w:rFonts w:ascii="Verdana" w:hAnsi="Verdana"/>
                <w:b/>
                <w:bCs/>
                <w:sz w:val="20"/>
                <w:szCs w:val="20"/>
              </w:rPr>
            </w:pPr>
          </w:p>
          <w:p w14:paraId="641841A6" w14:textId="77777777" w:rsidR="009C124C" w:rsidRPr="009C124C" w:rsidRDefault="009C124C" w:rsidP="00430955">
            <w:pPr>
              <w:spacing w:line="360" w:lineRule="auto"/>
              <w:ind w:left="0"/>
              <w:rPr>
                <w:rFonts w:ascii="Verdana" w:hAnsi="Verdana"/>
                <w:b/>
                <w:bCs/>
                <w:sz w:val="20"/>
                <w:szCs w:val="20"/>
              </w:rPr>
            </w:pPr>
          </w:p>
          <w:p w14:paraId="119B7831" w14:textId="77777777" w:rsidR="009C124C" w:rsidRPr="009C124C" w:rsidRDefault="009C124C" w:rsidP="00430955">
            <w:pPr>
              <w:spacing w:line="360" w:lineRule="auto"/>
              <w:ind w:left="0"/>
              <w:rPr>
                <w:rFonts w:ascii="Verdana" w:hAnsi="Verdana"/>
                <w:b/>
                <w:bCs/>
                <w:sz w:val="20"/>
                <w:szCs w:val="20"/>
              </w:rPr>
            </w:pPr>
          </w:p>
          <w:p w14:paraId="145E9F15" w14:textId="77777777" w:rsidR="009C124C" w:rsidRPr="009C124C" w:rsidRDefault="009C124C" w:rsidP="00430955">
            <w:pPr>
              <w:spacing w:line="360" w:lineRule="auto"/>
              <w:ind w:left="0"/>
              <w:rPr>
                <w:rFonts w:ascii="Verdana" w:hAnsi="Verdana"/>
                <w:b/>
                <w:bCs/>
                <w:sz w:val="20"/>
                <w:szCs w:val="20"/>
              </w:rPr>
            </w:pPr>
          </w:p>
          <w:p w14:paraId="0D09B3B6" w14:textId="77777777" w:rsidR="009C124C" w:rsidRPr="009C124C" w:rsidRDefault="009C124C" w:rsidP="00430955">
            <w:pPr>
              <w:spacing w:line="360" w:lineRule="auto"/>
              <w:ind w:left="0"/>
              <w:rPr>
                <w:rFonts w:ascii="Verdana" w:hAnsi="Verdana"/>
                <w:b/>
                <w:bCs/>
                <w:sz w:val="20"/>
                <w:szCs w:val="20"/>
              </w:rPr>
            </w:pPr>
          </w:p>
          <w:p w14:paraId="484000BE"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Carlos Germán Navas Talero</w:t>
            </w:r>
          </w:p>
          <w:p w14:paraId="5A6958A1"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167A1000"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Bogotá D.C.</w:t>
            </w:r>
          </w:p>
        </w:tc>
      </w:tr>
      <w:tr w:rsidR="009C124C" w:rsidRPr="009C124C" w14:paraId="795E488A" w14:textId="77777777" w:rsidTr="00430955">
        <w:trPr>
          <w:trHeight w:val="2192"/>
        </w:trPr>
        <w:tc>
          <w:tcPr>
            <w:tcW w:w="4361" w:type="dxa"/>
          </w:tcPr>
          <w:p w14:paraId="0913A189" w14:textId="77777777" w:rsidR="009C124C" w:rsidRPr="009C124C" w:rsidRDefault="009C124C" w:rsidP="00430955">
            <w:pPr>
              <w:spacing w:line="360" w:lineRule="auto"/>
              <w:ind w:left="0"/>
              <w:rPr>
                <w:rFonts w:ascii="Verdana" w:hAnsi="Verdana"/>
                <w:b/>
                <w:bCs/>
                <w:sz w:val="20"/>
                <w:szCs w:val="20"/>
              </w:rPr>
            </w:pPr>
          </w:p>
          <w:p w14:paraId="5128A789" w14:textId="77777777" w:rsidR="009C124C" w:rsidRPr="009C124C" w:rsidRDefault="009C124C" w:rsidP="00430955">
            <w:pPr>
              <w:spacing w:line="360" w:lineRule="auto"/>
              <w:ind w:left="0"/>
              <w:rPr>
                <w:rFonts w:ascii="Verdana" w:hAnsi="Verdana"/>
                <w:b/>
                <w:bCs/>
                <w:sz w:val="20"/>
                <w:szCs w:val="20"/>
              </w:rPr>
            </w:pPr>
          </w:p>
          <w:p w14:paraId="1FB01767" w14:textId="77777777" w:rsidR="009C124C" w:rsidRPr="009C124C" w:rsidRDefault="009C124C" w:rsidP="00430955">
            <w:pPr>
              <w:spacing w:line="360" w:lineRule="auto"/>
              <w:ind w:left="0"/>
              <w:rPr>
                <w:rFonts w:ascii="Verdana" w:hAnsi="Verdana"/>
                <w:b/>
                <w:bCs/>
                <w:sz w:val="20"/>
                <w:szCs w:val="20"/>
              </w:rPr>
            </w:pPr>
          </w:p>
          <w:p w14:paraId="417E7BB9" w14:textId="77777777" w:rsidR="009C124C" w:rsidRPr="009C124C" w:rsidRDefault="009C124C" w:rsidP="00430955">
            <w:pPr>
              <w:spacing w:line="360" w:lineRule="auto"/>
              <w:ind w:left="0"/>
              <w:rPr>
                <w:rFonts w:ascii="Verdana" w:hAnsi="Verdana"/>
                <w:b/>
                <w:bCs/>
                <w:sz w:val="20"/>
                <w:szCs w:val="20"/>
              </w:rPr>
            </w:pPr>
          </w:p>
          <w:p w14:paraId="2C5D2F9D" w14:textId="77777777" w:rsidR="009C124C" w:rsidRPr="009C124C" w:rsidRDefault="009C124C" w:rsidP="00430955">
            <w:pPr>
              <w:spacing w:line="360" w:lineRule="auto"/>
              <w:ind w:left="0"/>
              <w:rPr>
                <w:rFonts w:ascii="Verdana" w:hAnsi="Verdana"/>
                <w:b/>
                <w:bCs/>
                <w:sz w:val="20"/>
                <w:szCs w:val="20"/>
              </w:rPr>
            </w:pPr>
          </w:p>
          <w:p w14:paraId="0DF877D9"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Harry Giovanny González García</w:t>
            </w:r>
          </w:p>
          <w:p w14:paraId="101A8332"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6427D3F4"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Caquetá</w:t>
            </w:r>
          </w:p>
        </w:tc>
        <w:tc>
          <w:tcPr>
            <w:tcW w:w="4361" w:type="dxa"/>
          </w:tcPr>
          <w:p w14:paraId="66FB19B8" w14:textId="77777777" w:rsidR="009C124C" w:rsidRPr="009C124C" w:rsidRDefault="009C124C" w:rsidP="00430955">
            <w:pPr>
              <w:spacing w:line="360" w:lineRule="auto"/>
              <w:ind w:left="0"/>
              <w:jc w:val="center"/>
              <w:rPr>
                <w:rFonts w:ascii="Verdana" w:hAnsi="Verdana"/>
                <w:b/>
                <w:bCs/>
                <w:sz w:val="20"/>
                <w:szCs w:val="20"/>
              </w:rPr>
            </w:pPr>
          </w:p>
          <w:p w14:paraId="4A169F21" w14:textId="77777777" w:rsidR="009C124C" w:rsidRPr="009C124C" w:rsidRDefault="009C124C" w:rsidP="00430955">
            <w:pPr>
              <w:spacing w:line="360" w:lineRule="auto"/>
              <w:ind w:left="0"/>
              <w:jc w:val="center"/>
              <w:rPr>
                <w:rFonts w:ascii="Verdana" w:hAnsi="Verdana"/>
                <w:b/>
                <w:bCs/>
                <w:sz w:val="20"/>
                <w:szCs w:val="20"/>
              </w:rPr>
            </w:pPr>
          </w:p>
          <w:p w14:paraId="60E3956B" w14:textId="77777777" w:rsidR="009C124C" w:rsidRPr="009C124C" w:rsidRDefault="009C124C" w:rsidP="00430955">
            <w:pPr>
              <w:spacing w:line="360" w:lineRule="auto"/>
              <w:ind w:left="0"/>
              <w:jc w:val="center"/>
              <w:rPr>
                <w:rFonts w:ascii="Verdana" w:hAnsi="Verdana"/>
                <w:b/>
                <w:bCs/>
                <w:sz w:val="20"/>
                <w:szCs w:val="20"/>
              </w:rPr>
            </w:pPr>
          </w:p>
          <w:p w14:paraId="15E8214F" w14:textId="77777777" w:rsidR="009C124C" w:rsidRPr="009C124C" w:rsidRDefault="009C124C" w:rsidP="00430955">
            <w:pPr>
              <w:spacing w:line="360" w:lineRule="auto"/>
              <w:ind w:left="0"/>
              <w:jc w:val="center"/>
              <w:rPr>
                <w:rFonts w:ascii="Verdana" w:hAnsi="Verdana"/>
                <w:b/>
                <w:bCs/>
                <w:sz w:val="20"/>
                <w:szCs w:val="20"/>
              </w:rPr>
            </w:pPr>
          </w:p>
          <w:p w14:paraId="05529BB6" w14:textId="77777777" w:rsidR="009C124C" w:rsidRPr="009C124C" w:rsidRDefault="009C124C" w:rsidP="00430955">
            <w:pPr>
              <w:spacing w:line="360" w:lineRule="auto"/>
              <w:ind w:left="0"/>
              <w:jc w:val="center"/>
              <w:rPr>
                <w:rFonts w:ascii="Verdana" w:hAnsi="Verdana"/>
                <w:b/>
                <w:bCs/>
                <w:sz w:val="20"/>
                <w:szCs w:val="20"/>
              </w:rPr>
            </w:pPr>
          </w:p>
          <w:p w14:paraId="4D2C3795"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Inti Raúl Asprilla Reyes</w:t>
            </w:r>
          </w:p>
          <w:p w14:paraId="345D3E40"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7829DF09"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Bogotá D.C.</w:t>
            </w:r>
          </w:p>
        </w:tc>
      </w:tr>
      <w:tr w:rsidR="009C124C" w:rsidRPr="009C124C" w14:paraId="30A0C8E1" w14:textId="77777777" w:rsidTr="00430955">
        <w:trPr>
          <w:trHeight w:val="326"/>
        </w:trPr>
        <w:tc>
          <w:tcPr>
            <w:tcW w:w="4361" w:type="dxa"/>
          </w:tcPr>
          <w:p w14:paraId="3111C21B" w14:textId="77777777" w:rsidR="009C124C" w:rsidRPr="009C124C" w:rsidRDefault="009C124C" w:rsidP="00430955">
            <w:pPr>
              <w:spacing w:line="360" w:lineRule="auto"/>
              <w:ind w:left="0"/>
              <w:rPr>
                <w:rFonts w:ascii="Verdana" w:hAnsi="Verdana"/>
                <w:b/>
                <w:bCs/>
                <w:sz w:val="20"/>
                <w:szCs w:val="20"/>
              </w:rPr>
            </w:pPr>
          </w:p>
          <w:p w14:paraId="115055E9" w14:textId="77777777" w:rsidR="009C124C" w:rsidRPr="009C124C" w:rsidRDefault="009C124C" w:rsidP="00430955">
            <w:pPr>
              <w:spacing w:line="360" w:lineRule="auto"/>
              <w:ind w:left="0"/>
              <w:rPr>
                <w:rFonts w:ascii="Verdana" w:hAnsi="Verdana"/>
                <w:b/>
                <w:bCs/>
                <w:sz w:val="20"/>
                <w:szCs w:val="20"/>
              </w:rPr>
            </w:pPr>
          </w:p>
          <w:p w14:paraId="51FC85CA" w14:textId="77777777" w:rsidR="009C124C" w:rsidRPr="009C124C" w:rsidRDefault="009C124C" w:rsidP="00430955">
            <w:pPr>
              <w:spacing w:line="360" w:lineRule="auto"/>
              <w:ind w:left="0"/>
              <w:rPr>
                <w:rFonts w:ascii="Verdana" w:hAnsi="Verdana"/>
                <w:b/>
                <w:bCs/>
                <w:sz w:val="20"/>
                <w:szCs w:val="20"/>
              </w:rPr>
            </w:pPr>
          </w:p>
          <w:p w14:paraId="5FA56E6C" w14:textId="77777777" w:rsidR="009C124C" w:rsidRPr="009C124C" w:rsidRDefault="009C124C" w:rsidP="00430955">
            <w:pPr>
              <w:spacing w:line="360" w:lineRule="auto"/>
              <w:ind w:left="0"/>
              <w:rPr>
                <w:rFonts w:ascii="Verdana" w:hAnsi="Verdana"/>
                <w:b/>
                <w:bCs/>
                <w:sz w:val="20"/>
                <w:szCs w:val="20"/>
              </w:rPr>
            </w:pPr>
          </w:p>
          <w:p w14:paraId="688A0F7B" w14:textId="77777777" w:rsidR="009C124C" w:rsidRPr="009C124C" w:rsidRDefault="009C124C" w:rsidP="00430955">
            <w:pPr>
              <w:spacing w:line="360" w:lineRule="auto"/>
              <w:ind w:left="0"/>
              <w:rPr>
                <w:rFonts w:ascii="Verdana" w:hAnsi="Verdana"/>
                <w:b/>
                <w:bCs/>
                <w:sz w:val="20"/>
                <w:szCs w:val="20"/>
              </w:rPr>
            </w:pPr>
          </w:p>
          <w:p w14:paraId="1380D141"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Luis Alberto Albán Urbano</w:t>
            </w:r>
          </w:p>
          <w:p w14:paraId="4FE86FD9"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2317AB61"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Valle del Cauca</w:t>
            </w:r>
          </w:p>
        </w:tc>
        <w:tc>
          <w:tcPr>
            <w:tcW w:w="4361" w:type="dxa"/>
          </w:tcPr>
          <w:p w14:paraId="5E167005" w14:textId="77777777" w:rsidR="009C124C" w:rsidRPr="009C124C" w:rsidRDefault="009C124C" w:rsidP="00430955">
            <w:pPr>
              <w:spacing w:line="360" w:lineRule="auto"/>
              <w:ind w:left="0"/>
              <w:rPr>
                <w:rFonts w:ascii="Verdana" w:hAnsi="Verdana"/>
                <w:b/>
                <w:bCs/>
                <w:sz w:val="20"/>
                <w:szCs w:val="20"/>
              </w:rPr>
            </w:pPr>
          </w:p>
          <w:p w14:paraId="1DD44A1B" w14:textId="77777777" w:rsidR="009C124C" w:rsidRPr="009C124C" w:rsidRDefault="009C124C" w:rsidP="00430955">
            <w:pPr>
              <w:spacing w:line="360" w:lineRule="auto"/>
              <w:ind w:left="0"/>
              <w:rPr>
                <w:rFonts w:ascii="Verdana" w:hAnsi="Verdana"/>
                <w:b/>
                <w:bCs/>
                <w:sz w:val="20"/>
                <w:szCs w:val="20"/>
              </w:rPr>
            </w:pPr>
          </w:p>
          <w:p w14:paraId="742BC2ED" w14:textId="77777777" w:rsidR="009C124C" w:rsidRPr="009C124C" w:rsidRDefault="009C124C" w:rsidP="00430955">
            <w:pPr>
              <w:spacing w:line="360" w:lineRule="auto"/>
              <w:ind w:left="0"/>
              <w:rPr>
                <w:rFonts w:ascii="Verdana" w:hAnsi="Verdana"/>
                <w:b/>
                <w:bCs/>
                <w:sz w:val="20"/>
                <w:szCs w:val="20"/>
              </w:rPr>
            </w:pPr>
          </w:p>
          <w:p w14:paraId="4DE1E520" w14:textId="77777777" w:rsidR="009C124C" w:rsidRPr="009C124C" w:rsidRDefault="009C124C" w:rsidP="00430955">
            <w:pPr>
              <w:spacing w:line="360" w:lineRule="auto"/>
              <w:ind w:left="0"/>
              <w:rPr>
                <w:rFonts w:ascii="Verdana" w:hAnsi="Verdana"/>
                <w:b/>
                <w:bCs/>
                <w:sz w:val="20"/>
                <w:szCs w:val="20"/>
              </w:rPr>
            </w:pPr>
          </w:p>
          <w:p w14:paraId="6E1FCD2C" w14:textId="77777777" w:rsidR="009C124C" w:rsidRPr="009C124C" w:rsidRDefault="009C124C" w:rsidP="00430955">
            <w:pPr>
              <w:spacing w:line="360" w:lineRule="auto"/>
              <w:ind w:left="0"/>
              <w:rPr>
                <w:rFonts w:ascii="Verdana" w:hAnsi="Verdana"/>
                <w:b/>
                <w:bCs/>
                <w:sz w:val="20"/>
                <w:szCs w:val="20"/>
              </w:rPr>
            </w:pPr>
          </w:p>
          <w:p w14:paraId="550EF4F0"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Gabriel Jaime Vallejo Chujfi</w:t>
            </w:r>
          </w:p>
          <w:p w14:paraId="39D78104"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1B7D4A86"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Risaralda</w:t>
            </w:r>
          </w:p>
        </w:tc>
      </w:tr>
      <w:tr w:rsidR="009C124C" w:rsidRPr="009C124C" w14:paraId="1FE23C1F" w14:textId="77777777" w:rsidTr="00430955">
        <w:trPr>
          <w:trHeight w:val="2571"/>
        </w:trPr>
        <w:tc>
          <w:tcPr>
            <w:tcW w:w="4361" w:type="dxa"/>
          </w:tcPr>
          <w:p w14:paraId="23471D2E" w14:textId="77777777" w:rsidR="009C124C" w:rsidRPr="009C124C" w:rsidRDefault="009C124C" w:rsidP="00430955">
            <w:pPr>
              <w:spacing w:line="360" w:lineRule="auto"/>
              <w:ind w:left="0"/>
              <w:rPr>
                <w:rFonts w:ascii="Verdana" w:hAnsi="Verdana"/>
                <w:b/>
                <w:bCs/>
                <w:sz w:val="20"/>
                <w:szCs w:val="20"/>
              </w:rPr>
            </w:pPr>
          </w:p>
          <w:p w14:paraId="7A374573" w14:textId="77777777" w:rsidR="009C124C" w:rsidRPr="009C124C" w:rsidRDefault="009C124C" w:rsidP="00430955">
            <w:pPr>
              <w:spacing w:line="360" w:lineRule="auto"/>
              <w:ind w:left="0"/>
              <w:rPr>
                <w:rFonts w:ascii="Verdana" w:hAnsi="Verdana"/>
                <w:b/>
                <w:bCs/>
                <w:sz w:val="20"/>
                <w:szCs w:val="20"/>
              </w:rPr>
            </w:pPr>
          </w:p>
          <w:p w14:paraId="35704184" w14:textId="77777777" w:rsidR="009C124C" w:rsidRPr="009C124C" w:rsidRDefault="009C124C" w:rsidP="00430955">
            <w:pPr>
              <w:spacing w:line="360" w:lineRule="auto"/>
              <w:ind w:left="0"/>
              <w:rPr>
                <w:rFonts w:ascii="Verdana" w:hAnsi="Verdana"/>
                <w:b/>
                <w:bCs/>
                <w:sz w:val="20"/>
                <w:szCs w:val="20"/>
              </w:rPr>
            </w:pPr>
          </w:p>
          <w:p w14:paraId="2E8E3ECB" w14:textId="77777777" w:rsidR="009C124C" w:rsidRPr="009C124C" w:rsidRDefault="009C124C" w:rsidP="00430955">
            <w:pPr>
              <w:spacing w:line="360" w:lineRule="auto"/>
              <w:ind w:left="0"/>
              <w:rPr>
                <w:rFonts w:ascii="Verdana" w:hAnsi="Verdana"/>
                <w:b/>
                <w:bCs/>
                <w:sz w:val="20"/>
                <w:szCs w:val="20"/>
              </w:rPr>
            </w:pPr>
          </w:p>
          <w:p w14:paraId="220BC36C" w14:textId="77777777" w:rsidR="009C124C" w:rsidRPr="009C124C" w:rsidRDefault="009C124C" w:rsidP="00430955">
            <w:pPr>
              <w:spacing w:line="360" w:lineRule="auto"/>
              <w:ind w:left="0"/>
              <w:rPr>
                <w:rFonts w:ascii="Verdana" w:hAnsi="Verdana"/>
                <w:b/>
                <w:bCs/>
                <w:sz w:val="20"/>
                <w:szCs w:val="20"/>
              </w:rPr>
            </w:pPr>
          </w:p>
          <w:p w14:paraId="3854B943"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Juan Carlos Wills Ospina</w:t>
            </w:r>
          </w:p>
          <w:p w14:paraId="25540D91"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24993F6E"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Bogotá D.C.</w:t>
            </w:r>
          </w:p>
        </w:tc>
        <w:tc>
          <w:tcPr>
            <w:tcW w:w="4361" w:type="dxa"/>
          </w:tcPr>
          <w:p w14:paraId="26232AF1" w14:textId="77777777" w:rsidR="009C124C" w:rsidRPr="009C124C" w:rsidRDefault="009C124C" w:rsidP="00430955">
            <w:pPr>
              <w:spacing w:line="360" w:lineRule="auto"/>
              <w:ind w:left="0"/>
              <w:rPr>
                <w:rFonts w:ascii="Verdana" w:hAnsi="Verdana"/>
                <w:b/>
                <w:bCs/>
                <w:sz w:val="20"/>
                <w:szCs w:val="20"/>
              </w:rPr>
            </w:pPr>
          </w:p>
          <w:p w14:paraId="2E331A12" w14:textId="77777777" w:rsidR="009C124C" w:rsidRPr="009C124C" w:rsidRDefault="009C124C" w:rsidP="00430955">
            <w:pPr>
              <w:spacing w:line="360" w:lineRule="auto"/>
              <w:ind w:left="0"/>
              <w:rPr>
                <w:rFonts w:ascii="Verdana" w:hAnsi="Verdana"/>
                <w:b/>
                <w:bCs/>
                <w:sz w:val="20"/>
                <w:szCs w:val="20"/>
              </w:rPr>
            </w:pPr>
          </w:p>
          <w:p w14:paraId="797BF90E" w14:textId="77777777" w:rsidR="009C124C" w:rsidRPr="009C124C" w:rsidRDefault="009C124C" w:rsidP="00430955">
            <w:pPr>
              <w:spacing w:line="360" w:lineRule="auto"/>
              <w:ind w:left="0"/>
              <w:rPr>
                <w:rFonts w:ascii="Verdana" w:hAnsi="Verdana"/>
                <w:b/>
                <w:bCs/>
                <w:sz w:val="20"/>
                <w:szCs w:val="20"/>
              </w:rPr>
            </w:pPr>
          </w:p>
          <w:p w14:paraId="240E8A18" w14:textId="77777777" w:rsidR="009C124C" w:rsidRPr="009C124C" w:rsidRDefault="009C124C" w:rsidP="00430955">
            <w:pPr>
              <w:spacing w:line="360" w:lineRule="auto"/>
              <w:ind w:left="0"/>
              <w:rPr>
                <w:rFonts w:ascii="Verdana" w:hAnsi="Verdana"/>
                <w:b/>
                <w:bCs/>
                <w:sz w:val="20"/>
                <w:szCs w:val="20"/>
              </w:rPr>
            </w:pPr>
          </w:p>
          <w:p w14:paraId="5CD485DF" w14:textId="77777777" w:rsidR="009C124C" w:rsidRPr="009C124C" w:rsidRDefault="009C124C" w:rsidP="00430955">
            <w:pPr>
              <w:spacing w:line="360" w:lineRule="auto"/>
              <w:ind w:left="0"/>
              <w:rPr>
                <w:rFonts w:ascii="Verdana" w:hAnsi="Verdana"/>
                <w:b/>
                <w:bCs/>
                <w:sz w:val="20"/>
                <w:szCs w:val="20"/>
              </w:rPr>
            </w:pPr>
          </w:p>
          <w:p w14:paraId="60209CF8"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Jorge Enrique Burgos Lugo</w:t>
            </w:r>
          </w:p>
          <w:p w14:paraId="5E32B194"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Representante a la Cámara</w:t>
            </w:r>
          </w:p>
          <w:p w14:paraId="59D372A6" w14:textId="77777777" w:rsidR="009C124C" w:rsidRPr="009C124C" w:rsidRDefault="009C124C" w:rsidP="00430955">
            <w:pPr>
              <w:spacing w:line="360" w:lineRule="auto"/>
              <w:ind w:left="0"/>
              <w:jc w:val="center"/>
              <w:rPr>
                <w:rFonts w:ascii="Verdana" w:hAnsi="Verdana"/>
                <w:b/>
                <w:bCs/>
                <w:sz w:val="20"/>
                <w:szCs w:val="20"/>
              </w:rPr>
            </w:pPr>
            <w:r w:rsidRPr="009C124C">
              <w:rPr>
                <w:rFonts w:ascii="Verdana" w:hAnsi="Verdana"/>
                <w:b/>
                <w:bCs/>
                <w:sz w:val="20"/>
                <w:szCs w:val="20"/>
              </w:rPr>
              <w:t>Córdoba</w:t>
            </w:r>
          </w:p>
        </w:tc>
      </w:tr>
    </w:tbl>
    <w:p w14:paraId="5028063C" w14:textId="77777777" w:rsidR="00760ED0" w:rsidRPr="000C0AFD" w:rsidRDefault="00760ED0" w:rsidP="000C0AFD">
      <w:pPr>
        <w:spacing w:line="360" w:lineRule="auto"/>
        <w:rPr>
          <w:rStyle w:val="A30"/>
          <w:rFonts w:ascii="Verdana" w:hAnsi="Verdana" w:cs="Arial"/>
          <w:color w:val="000000" w:themeColor="text1"/>
          <w:sz w:val="20"/>
          <w:szCs w:val="20"/>
        </w:rPr>
      </w:pPr>
    </w:p>
    <w:p w14:paraId="2A84112D" w14:textId="77777777" w:rsidR="00760ED0" w:rsidRPr="000C0AFD" w:rsidRDefault="00760ED0" w:rsidP="000C0AFD">
      <w:pPr>
        <w:spacing w:line="360" w:lineRule="auto"/>
        <w:rPr>
          <w:rFonts w:ascii="Verdana" w:hAnsi="Verdana"/>
          <w:sz w:val="20"/>
          <w:szCs w:val="20"/>
        </w:rPr>
      </w:pPr>
    </w:p>
    <w:p w14:paraId="2793BBF9" w14:textId="77777777" w:rsidR="00760ED0" w:rsidRPr="000C0AFD" w:rsidRDefault="00760ED0" w:rsidP="000C0AFD">
      <w:pPr>
        <w:spacing w:line="360" w:lineRule="auto"/>
        <w:rPr>
          <w:rFonts w:ascii="Verdana" w:hAnsi="Verdana" w:cs="Arial"/>
          <w:b/>
          <w:color w:val="000000"/>
          <w:sz w:val="20"/>
          <w:szCs w:val="20"/>
          <w:bdr w:val="none" w:sz="0" w:space="0" w:color="auto" w:frame="1"/>
          <w:shd w:val="clear" w:color="auto" w:fill="FFFFFF"/>
        </w:rPr>
      </w:pPr>
    </w:p>
    <w:p w14:paraId="699F0404" w14:textId="77777777" w:rsidR="00760ED0" w:rsidRPr="000C0AFD" w:rsidRDefault="00760ED0" w:rsidP="000C0AFD">
      <w:pPr>
        <w:spacing w:line="360" w:lineRule="auto"/>
        <w:jc w:val="center"/>
        <w:rPr>
          <w:rFonts w:ascii="Verdana" w:hAnsi="Verdana" w:cs="Arial"/>
          <w:b/>
          <w:color w:val="000000"/>
          <w:sz w:val="20"/>
          <w:szCs w:val="20"/>
          <w:bdr w:val="none" w:sz="0" w:space="0" w:color="auto" w:frame="1"/>
          <w:shd w:val="clear" w:color="auto" w:fill="FFFFFF"/>
        </w:rPr>
      </w:pPr>
    </w:p>
    <w:p w14:paraId="448F8C27" w14:textId="25A9A54F" w:rsidR="00EA4948" w:rsidRPr="000C0AFD" w:rsidRDefault="00EA4948" w:rsidP="000C0AFD">
      <w:pPr>
        <w:spacing w:line="360" w:lineRule="auto"/>
        <w:ind w:left="0"/>
        <w:rPr>
          <w:rFonts w:ascii="Verdana" w:hAnsi="Verdana"/>
          <w:sz w:val="20"/>
          <w:szCs w:val="20"/>
        </w:rPr>
      </w:pPr>
    </w:p>
    <w:sectPr w:rsidR="00EA4948" w:rsidRPr="000C0AFD" w:rsidSect="003B60BE">
      <w:headerReference w:type="default" r:id="rId36"/>
      <w:footerReference w:type="default" r:id="rId37"/>
      <w:pgSz w:w="12134" w:h="1576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4FF61" w14:textId="77777777" w:rsidR="00FD7331" w:rsidRDefault="00FD7331" w:rsidP="003D5E6E">
      <w:r>
        <w:separator/>
      </w:r>
    </w:p>
  </w:endnote>
  <w:endnote w:type="continuationSeparator" w:id="0">
    <w:p w14:paraId="2DAD29A9" w14:textId="77777777" w:rsidR="00FD7331" w:rsidRDefault="00FD7331" w:rsidP="003D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F0EF4" w14:textId="77777777" w:rsidR="00133CFF" w:rsidRDefault="00133CFF">
    <w:pPr>
      <w:pStyle w:val="Piedepgina"/>
    </w:pPr>
  </w:p>
  <w:p w14:paraId="408D6654" w14:textId="77777777" w:rsidR="00133CFF" w:rsidRDefault="00133CFF">
    <w:pPr>
      <w:pStyle w:val="Piedepgina"/>
    </w:pPr>
  </w:p>
  <w:p w14:paraId="0B9B8D7E" w14:textId="77777777" w:rsidR="00133CFF" w:rsidRDefault="00133CFF">
    <w:pPr>
      <w:pStyle w:val="Piedepgina"/>
    </w:pPr>
  </w:p>
  <w:p w14:paraId="698FE09B" w14:textId="77777777" w:rsidR="00133CFF" w:rsidRDefault="00133CFF">
    <w:pPr>
      <w:pStyle w:val="Piedepgina"/>
    </w:pPr>
  </w:p>
  <w:p w14:paraId="4FA87F3D" w14:textId="77777777" w:rsidR="00133CFF" w:rsidRDefault="00133C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DD57C" w14:textId="77777777" w:rsidR="00FD7331" w:rsidRDefault="00FD7331" w:rsidP="003D5E6E">
      <w:r>
        <w:separator/>
      </w:r>
    </w:p>
  </w:footnote>
  <w:footnote w:type="continuationSeparator" w:id="0">
    <w:p w14:paraId="55174B77" w14:textId="77777777" w:rsidR="00FD7331" w:rsidRDefault="00FD7331" w:rsidP="003D5E6E">
      <w:r>
        <w:continuationSeparator/>
      </w:r>
    </w:p>
  </w:footnote>
  <w:footnote w:id="1">
    <w:p w14:paraId="03FCB6C3" w14:textId="77777777" w:rsidR="00760ED0" w:rsidRPr="00C6501D" w:rsidRDefault="00760ED0" w:rsidP="00760ED0">
      <w:pPr>
        <w:pStyle w:val="Textonotapie"/>
        <w:rPr>
          <w:rFonts w:ascii="Verdana" w:hAnsi="Verdana"/>
          <w:sz w:val="18"/>
          <w:szCs w:val="18"/>
          <w:lang w:val="es-CO"/>
        </w:rPr>
      </w:pPr>
      <w:r w:rsidRPr="00C6501D">
        <w:rPr>
          <w:rStyle w:val="Refdenotaalpie"/>
          <w:rFonts w:ascii="Verdana" w:hAnsi="Verdana"/>
          <w:sz w:val="18"/>
          <w:szCs w:val="18"/>
        </w:rPr>
        <w:footnoteRef/>
      </w:r>
      <w:r w:rsidRPr="00C6501D">
        <w:rPr>
          <w:rFonts w:ascii="Verdana" w:hAnsi="Verdana"/>
          <w:sz w:val="18"/>
          <w:szCs w:val="18"/>
        </w:rPr>
        <w:t xml:space="preserve"> </w:t>
      </w:r>
      <w:hyperlink r:id="rId1" w:history="1">
        <w:r w:rsidRPr="00C6501D">
          <w:rPr>
            <w:rStyle w:val="Hipervnculo"/>
            <w:rFonts w:ascii="Verdana" w:hAnsi="Verdana"/>
            <w:sz w:val="18"/>
            <w:szCs w:val="18"/>
          </w:rPr>
          <w:t>https://www.un.org/disarmament/es/armas-convencionales/el-tratado-sobre-el-comercio-de-armas/</w:t>
        </w:r>
      </w:hyperlink>
    </w:p>
  </w:footnote>
  <w:footnote w:id="2">
    <w:p w14:paraId="10FC0D8A" w14:textId="77777777" w:rsidR="00760ED0" w:rsidRPr="00C6501D" w:rsidRDefault="00760ED0" w:rsidP="00760ED0">
      <w:pPr>
        <w:pStyle w:val="Textonotapie"/>
        <w:rPr>
          <w:rFonts w:ascii="Verdana" w:hAnsi="Verdana"/>
          <w:sz w:val="18"/>
          <w:szCs w:val="18"/>
          <w:lang w:val="es-CO"/>
        </w:rPr>
      </w:pPr>
      <w:r w:rsidRPr="00C6501D">
        <w:rPr>
          <w:rStyle w:val="Refdenotaalpie"/>
          <w:rFonts w:ascii="Verdana" w:hAnsi="Verdana"/>
          <w:sz w:val="18"/>
          <w:szCs w:val="18"/>
        </w:rPr>
        <w:footnoteRef/>
      </w:r>
      <w:r w:rsidRPr="00C6501D">
        <w:rPr>
          <w:rFonts w:ascii="Verdana" w:hAnsi="Verdana"/>
          <w:sz w:val="18"/>
          <w:szCs w:val="18"/>
        </w:rPr>
        <w:t xml:space="preserve"> </w:t>
      </w:r>
      <w:hyperlink r:id="rId2" w:history="1">
        <w:r w:rsidRPr="00C6501D">
          <w:rPr>
            <w:rStyle w:val="Hipervnculo"/>
            <w:rFonts w:ascii="Verdana" w:hAnsi="Verdana"/>
            <w:sz w:val="18"/>
            <w:szCs w:val="18"/>
          </w:rPr>
          <w:t>https://dataunodc.un.org/crime/intentional-homicide-victims</w:t>
        </w:r>
      </w:hyperlink>
    </w:p>
  </w:footnote>
  <w:footnote w:id="3">
    <w:p w14:paraId="30A0318A" w14:textId="77777777" w:rsidR="00760ED0" w:rsidRPr="00C6501D" w:rsidRDefault="00760ED0" w:rsidP="00760ED0">
      <w:pPr>
        <w:pStyle w:val="Textonotapie"/>
        <w:rPr>
          <w:rFonts w:ascii="Verdana" w:hAnsi="Verdana"/>
          <w:sz w:val="18"/>
          <w:szCs w:val="18"/>
          <w:lang w:val="es-CO"/>
        </w:rPr>
      </w:pPr>
      <w:r w:rsidRPr="00C6501D">
        <w:rPr>
          <w:rStyle w:val="Refdenotaalpie"/>
          <w:rFonts w:ascii="Verdana" w:hAnsi="Verdana"/>
          <w:sz w:val="18"/>
          <w:szCs w:val="18"/>
        </w:rPr>
        <w:footnoteRef/>
      </w:r>
      <w:r w:rsidRPr="00C6501D">
        <w:rPr>
          <w:rFonts w:ascii="Verdana" w:hAnsi="Verdana"/>
          <w:sz w:val="18"/>
          <w:szCs w:val="18"/>
        </w:rPr>
        <w:t xml:space="preserve"> </w:t>
      </w:r>
      <w:hyperlink r:id="rId3" w:history="1">
        <w:r w:rsidRPr="00C6501D">
          <w:rPr>
            <w:rStyle w:val="Hipervnculo"/>
            <w:rFonts w:ascii="Verdana" w:hAnsi="Verdana"/>
            <w:sz w:val="18"/>
            <w:szCs w:val="18"/>
          </w:rPr>
          <w:t>http://www.genevadeclaration.org/measurability/global-burden-of-armed-violence.html</w:t>
        </w:r>
      </w:hyperlink>
    </w:p>
  </w:footnote>
  <w:footnote w:id="4">
    <w:p w14:paraId="0C993CC6" w14:textId="77777777" w:rsidR="00760ED0" w:rsidRPr="00C6501D" w:rsidRDefault="00760ED0" w:rsidP="00760ED0">
      <w:pPr>
        <w:pStyle w:val="Textonotapie"/>
        <w:rPr>
          <w:rFonts w:ascii="Verdana" w:hAnsi="Verdana"/>
          <w:sz w:val="18"/>
          <w:szCs w:val="18"/>
          <w:lang w:val="es-CO"/>
        </w:rPr>
      </w:pPr>
      <w:r w:rsidRPr="00C6501D">
        <w:rPr>
          <w:rStyle w:val="Refdenotaalpie"/>
          <w:rFonts w:ascii="Verdana" w:hAnsi="Verdana"/>
          <w:sz w:val="18"/>
          <w:szCs w:val="18"/>
        </w:rPr>
        <w:footnoteRef/>
      </w:r>
      <w:r w:rsidRPr="00C6501D">
        <w:rPr>
          <w:rFonts w:ascii="Verdana" w:hAnsi="Verdana"/>
          <w:sz w:val="18"/>
          <w:szCs w:val="18"/>
        </w:rPr>
        <w:t xml:space="preserve"> </w:t>
      </w:r>
      <w:hyperlink r:id="rId4" w:history="1">
        <w:r w:rsidRPr="00C6501D">
          <w:rPr>
            <w:rStyle w:val="Hipervnculo"/>
            <w:rFonts w:ascii="Verdana" w:hAnsi="Verdana"/>
            <w:sz w:val="18"/>
            <w:szCs w:val="18"/>
          </w:rPr>
          <w:t>https://www.amnesty.org/es/latest/news/2019/08/killer-facts-2019-the-scale-of-the-global-arms-trade/</w:t>
        </w:r>
      </w:hyperlink>
    </w:p>
  </w:footnote>
  <w:footnote w:id="5">
    <w:p w14:paraId="6DBD2FE6" w14:textId="77777777" w:rsidR="00760ED0" w:rsidRPr="009A6E63" w:rsidRDefault="00760ED0" w:rsidP="00760ED0">
      <w:pPr>
        <w:pStyle w:val="Textonotapie"/>
        <w:rPr>
          <w:lang w:val="es-CO"/>
        </w:rPr>
      </w:pPr>
      <w:r>
        <w:rPr>
          <w:rStyle w:val="Refdenotaalpie"/>
        </w:rPr>
        <w:footnoteRef/>
      </w:r>
      <w:r>
        <w:t xml:space="preserve"> </w:t>
      </w:r>
      <w:hyperlink r:id="rId5" w:history="1">
        <w:r w:rsidRPr="00162238">
          <w:rPr>
            <w:rStyle w:val="Hipervnculo"/>
          </w:rPr>
          <w:t>https://ideaspaz.org/media/website/FIP_NE_MercadoArmas_web.pdf</w:t>
        </w:r>
      </w:hyperlink>
      <w:r>
        <w:t xml:space="preserve"> </w:t>
      </w:r>
    </w:p>
  </w:footnote>
  <w:footnote w:id="6">
    <w:p w14:paraId="0DE37EB2" w14:textId="77777777" w:rsidR="00760ED0" w:rsidRPr="00C6501D" w:rsidRDefault="00760ED0" w:rsidP="00760ED0">
      <w:pPr>
        <w:pStyle w:val="Textonotapie"/>
        <w:rPr>
          <w:rFonts w:ascii="Verdana" w:hAnsi="Verdana"/>
          <w:sz w:val="18"/>
          <w:szCs w:val="18"/>
          <w:lang w:val="es-CO"/>
        </w:rPr>
      </w:pPr>
      <w:r w:rsidRPr="00C6501D">
        <w:rPr>
          <w:rStyle w:val="Refdenotaalpie"/>
          <w:rFonts w:ascii="Verdana" w:hAnsi="Verdana"/>
          <w:sz w:val="18"/>
          <w:szCs w:val="18"/>
        </w:rPr>
        <w:footnoteRef/>
      </w:r>
      <w:r w:rsidRPr="00C6501D">
        <w:rPr>
          <w:rFonts w:ascii="Verdana" w:hAnsi="Verdana"/>
          <w:sz w:val="18"/>
          <w:szCs w:val="18"/>
        </w:rPr>
        <w:t xml:space="preserve"> </w:t>
      </w:r>
      <w:hyperlink r:id="rId6" w:history="1">
        <w:r w:rsidRPr="00C6501D">
          <w:rPr>
            <w:rStyle w:val="Hipervnculo"/>
            <w:rFonts w:ascii="Verdana" w:hAnsi="Verdana"/>
            <w:sz w:val="18"/>
            <w:szCs w:val="18"/>
          </w:rPr>
          <w:t>http://www.smallarmssurvey.org/weapons-and-markets/tools/global-firearms-holdings.html</w:t>
        </w:r>
      </w:hyperlink>
    </w:p>
  </w:footnote>
  <w:footnote w:id="7">
    <w:p w14:paraId="6B803B1E" w14:textId="77777777" w:rsidR="00760ED0" w:rsidRPr="007F7047" w:rsidRDefault="00760ED0" w:rsidP="00760ED0">
      <w:pPr>
        <w:pStyle w:val="Textonotapie"/>
      </w:pPr>
      <w:r>
        <w:rPr>
          <w:rStyle w:val="Refdenotaalpie"/>
        </w:rPr>
        <w:footnoteRef/>
      </w:r>
      <w:r>
        <w:t xml:space="preserve"> Datos hasta el 30 de septiembre del 2021.</w:t>
      </w:r>
    </w:p>
  </w:footnote>
  <w:footnote w:id="8">
    <w:p w14:paraId="3168E08A" w14:textId="77777777" w:rsidR="00760ED0" w:rsidRPr="00E6124E" w:rsidRDefault="00760ED0" w:rsidP="00760ED0">
      <w:pPr>
        <w:pStyle w:val="Textonotapie"/>
      </w:pPr>
      <w:r>
        <w:rPr>
          <w:rStyle w:val="Refdenotaalpie"/>
        </w:rPr>
        <w:footnoteRef/>
      </w:r>
      <w:r>
        <w:t xml:space="preserve"> </w:t>
      </w:r>
      <w:r w:rsidRPr="00E6124E">
        <w:t>https://www.medicinalegal.gov.co/documents/20143/494197/Boletin+diciembre.pdf</w:t>
      </w:r>
    </w:p>
  </w:footnote>
  <w:footnote w:id="9">
    <w:p w14:paraId="1F7AE4AD" w14:textId="77777777" w:rsidR="00760ED0" w:rsidRPr="00D25D17" w:rsidRDefault="00760ED0" w:rsidP="00760ED0">
      <w:pPr>
        <w:pStyle w:val="Textonotapie"/>
        <w:rPr>
          <w:lang w:val="es-CO"/>
        </w:rPr>
      </w:pPr>
      <w:r>
        <w:rPr>
          <w:rStyle w:val="Refdenotaalpie"/>
        </w:rPr>
        <w:footnoteRef/>
      </w:r>
      <w:r>
        <w:t xml:space="preserve"> </w:t>
      </w:r>
      <w:r w:rsidRPr="00D25D17">
        <w:t>https://www.eltiempo.com/justicia/delitos/cifra-de-heridos-por-balas-perdidas-en-colombia-en-2018-324282</w:t>
      </w:r>
    </w:p>
  </w:footnote>
  <w:footnote w:id="10">
    <w:p w14:paraId="48A392D2" w14:textId="77777777" w:rsidR="00760ED0" w:rsidRPr="003D7388" w:rsidRDefault="00760ED0" w:rsidP="00760ED0">
      <w:pPr>
        <w:pStyle w:val="Textonotapie"/>
      </w:pPr>
      <w:r>
        <w:rPr>
          <w:rStyle w:val="Refdenotaalpie"/>
        </w:rPr>
        <w:footnoteRef/>
      </w:r>
      <w:r>
        <w:t xml:space="preserve"> </w:t>
      </w:r>
      <w:hyperlink r:id="rId7" w:history="1">
        <w:r>
          <w:rPr>
            <w:rStyle w:val="Hipervnculo"/>
          </w:rPr>
          <w:t>http://ideaspaz.org/media/website/FIP_NE_MercadoArmas_web.pdf</w:t>
        </w:r>
      </w:hyperlink>
    </w:p>
  </w:footnote>
  <w:footnote w:id="11">
    <w:p w14:paraId="46445130" w14:textId="77777777" w:rsidR="00760ED0" w:rsidRPr="003D7388" w:rsidRDefault="00760ED0" w:rsidP="00760ED0">
      <w:pPr>
        <w:pStyle w:val="Textonotapie"/>
      </w:pPr>
      <w:r>
        <w:rPr>
          <w:rStyle w:val="Refdenotaalpie"/>
        </w:rPr>
        <w:footnoteRef/>
      </w:r>
      <w:r>
        <w:t xml:space="preserve"> </w:t>
      </w:r>
      <w:hyperlink r:id="rId8" w:history="1">
        <w:r>
          <w:rPr>
            <w:rStyle w:val="Hipervnculo"/>
          </w:rPr>
          <w:t>https://www.gunpolicy.org/es/firearms/region/mexico</w:t>
        </w:r>
      </w:hyperlink>
    </w:p>
  </w:footnote>
  <w:footnote w:id="12">
    <w:p w14:paraId="45EB828B" w14:textId="77777777" w:rsidR="00760ED0" w:rsidRPr="003D7388" w:rsidRDefault="00760ED0" w:rsidP="00760ED0">
      <w:pPr>
        <w:pStyle w:val="Textonotapie"/>
      </w:pPr>
      <w:r>
        <w:rPr>
          <w:rStyle w:val="Refdenotaalpie"/>
        </w:rPr>
        <w:footnoteRef/>
      </w:r>
      <w:r>
        <w:t xml:space="preserve"> </w:t>
      </w:r>
      <w:hyperlink r:id="rId9" w:history="1">
        <w:r>
          <w:rPr>
            <w:rStyle w:val="Hipervnculo"/>
          </w:rPr>
          <w:t>https://jamanetwork.com/journals/jama/fullarticle/2698492</w:t>
        </w:r>
      </w:hyperlink>
    </w:p>
  </w:footnote>
  <w:footnote w:id="13">
    <w:p w14:paraId="76FBDBBE" w14:textId="77777777" w:rsidR="00760ED0" w:rsidRPr="003D7388" w:rsidRDefault="00760ED0" w:rsidP="00760ED0">
      <w:pPr>
        <w:pStyle w:val="Textonotapie"/>
      </w:pPr>
      <w:r>
        <w:rPr>
          <w:rStyle w:val="Refdenotaalpie"/>
        </w:rPr>
        <w:footnoteRef/>
      </w:r>
      <w:r>
        <w:t xml:space="preserve"> </w:t>
      </w:r>
      <w:hyperlink r:id="rId10" w:history="1">
        <w:r>
          <w:rPr>
            <w:rStyle w:val="Hipervnculo"/>
          </w:rPr>
          <w:t>https://www.eltiempo.com/salud/muertes-por-armas-de-fuego-en-el-mundo-y-colombia-segun-estudio-325384</w:t>
        </w:r>
      </w:hyperlink>
    </w:p>
  </w:footnote>
  <w:footnote w:id="14">
    <w:p w14:paraId="372A12A4" w14:textId="77777777" w:rsidR="00760ED0" w:rsidRPr="005974F0" w:rsidRDefault="00760ED0" w:rsidP="00760ED0">
      <w:pPr>
        <w:pStyle w:val="Textonotapie"/>
        <w:rPr>
          <w:lang w:val="es-CO"/>
        </w:rPr>
      </w:pPr>
      <w:r>
        <w:rPr>
          <w:rStyle w:val="Refdenotaalpie"/>
        </w:rPr>
        <w:footnoteRef/>
      </w:r>
      <w:r>
        <w:t xml:space="preserve"> </w:t>
      </w:r>
      <w:r>
        <w:rPr>
          <w:lang w:val="es-CO"/>
        </w:rPr>
        <w:t>Ibidem.</w:t>
      </w:r>
    </w:p>
  </w:footnote>
  <w:footnote w:id="15">
    <w:p w14:paraId="6419F8EA" w14:textId="77777777" w:rsidR="00760ED0" w:rsidRPr="00C6501D" w:rsidRDefault="00760ED0" w:rsidP="00760ED0">
      <w:pPr>
        <w:autoSpaceDE w:val="0"/>
        <w:autoSpaceDN w:val="0"/>
        <w:adjustRightInd w:val="0"/>
        <w:ind w:left="0"/>
        <w:jc w:val="left"/>
        <w:rPr>
          <w:rFonts w:ascii="Verdana" w:hAnsi="Verdana"/>
          <w:sz w:val="18"/>
          <w:szCs w:val="18"/>
        </w:rPr>
      </w:pPr>
      <w:r w:rsidRPr="00C6501D">
        <w:rPr>
          <w:rStyle w:val="Refdenotaalpie"/>
          <w:rFonts w:ascii="Verdana" w:hAnsi="Verdana"/>
          <w:sz w:val="18"/>
          <w:szCs w:val="18"/>
        </w:rPr>
        <w:footnoteRef/>
      </w:r>
      <w:r w:rsidRPr="00C6501D">
        <w:rPr>
          <w:rFonts w:ascii="Verdana" w:hAnsi="Verdana"/>
          <w:sz w:val="18"/>
          <w:szCs w:val="18"/>
        </w:rPr>
        <w:t xml:space="preserve"> </w:t>
      </w:r>
      <w:r w:rsidRPr="00C6501D">
        <w:rPr>
          <w:rFonts w:ascii="Verdana" w:eastAsiaTheme="minorHAnsi" w:hAnsi="Verdana" w:cs="Century Gothic"/>
          <w:color w:val="000000"/>
          <w:sz w:val="18"/>
          <w:szCs w:val="18"/>
          <w:lang w:eastAsia="en-US"/>
        </w:rPr>
        <w:t xml:space="preserve">JUAN BUSTOS RAMÍREZ/HERNÁN HORMAZÁBAL MALARÉE, </w:t>
      </w:r>
      <w:r w:rsidRPr="00C6501D">
        <w:rPr>
          <w:rFonts w:ascii="Verdana" w:eastAsiaTheme="minorHAnsi" w:hAnsi="Verdana" w:cs="Century Gothic"/>
          <w:iCs/>
          <w:color w:val="000000"/>
          <w:sz w:val="18"/>
          <w:szCs w:val="18"/>
          <w:lang w:eastAsia="en-US"/>
        </w:rPr>
        <w:t>Lecciones de derecho penal, volumen II,</w:t>
      </w:r>
      <w:r w:rsidRPr="00C6501D">
        <w:rPr>
          <w:rFonts w:ascii="Verdana" w:eastAsiaTheme="minorHAnsi" w:hAnsi="Verdana" w:cs="Century Gothic"/>
          <w:color w:val="000000"/>
          <w:sz w:val="18"/>
          <w:szCs w:val="18"/>
          <w:lang w:eastAsia="en-US"/>
        </w:rPr>
        <w:t xml:space="preserve"> Madrid, Trotta, 1999, p.28</w:t>
      </w:r>
    </w:p>
  </w:footnote>
  <w:footnote w:id="16">
    <w:p w14:paraId="536F12F5" w14:textId="77777777" w:rsidR="00760ED0" w:rsidRPr="00C6501D" w:rsidRDefault="00760ED0" w:rsidP="00760ED0">
      <w:pPr>
        <w:autoSpaceDE w:val="0"/>
        <w:autoSpaceDN w:val="0"/>
        <w:adjustRightInd w:val="0"/>
        <w:ind w:left="0"/>
        <w:jc w:val="left"/>
      </w:pPr>
      <w:r>
        <w:rPr>
          <w:rStyle w:val="Refdenotaalpie"/>
        </w:rPr>
        <w:footnoteRef/>
      </w:r>
      <w:r>
        <w:t xml:space="preserve"> </w:t>
      </w:r>
      <w:r w:rsidRPr="00C6501D">
        <w:rPr>
          <w:rFonts w:ascii="Verdana" w:eastAsiaTheme="minorHAnsi" w:hAnsi="Verdana" w:cs="Century Gothic"/>
          <w:color w:val="000000"/>
          <w:sz w:val="18"/>
          <w:szCs w:val="18"/>
          <w:lang w:eastAsia="en-US"/>
        </w:rPr>
        <w:t xml:space="preserve">SANTIAGO MIR PUIG, </w:t>
      </w:r>
      <w:r w:rsidRPr="00C6501D">
        <w:rPr>
          <w:rFonts w:ascii="Verdana" w:eastAsiaTheme="minorHAnsi" w:hAnsi="Verdana" w:cs="Century Gothic"/>
          <w:iCs/>
          <w:color w:val="000000"/>
          <w:sz w:val="18"/>
          <w:szCs w:val="18"/>
          <w:lang w:eastAsia="en-US"/>
        </w:rPr>
        <w:t xml:space="preserve">Derecho penal, parte general 8ª edición, </w:t>
      </w:r>
      <w:r w:rsidRPr="00C6501D">
        <w:rPr>
          <w:rFonts w:ascii="Verdana" w:eastAsiaTheme="minorHAnsi" w:hAnsi="Verdana" w:cs="Century Gothic"/>
          <w:color w:val="000000"/>
          <w:sz w:val="18"/>
          <w:szCs w:val="18"/>
          <w:lang w:eastAsia="en-US"/>
        </w:rPr>
        <w:t>Barcelona, Reppertor SL, 2010, p. 150.</w:t>
      </w:r>
    </w:p>
  </w:footnote>
  <w:footnote w:id="17">
    <w:p w14:paraId="673714B2" w14:textId="77777777" w:rsidR="00760ED0" w:rsidRPr="00150CEE" w:rsidRDefault="00760ED0" w:rsidP="00760ED0">
      <w:pPr>
        <w:pStyle w:val="Textonotapie"/>
        <w:rPr>
          <w:lang w:val="es-CO"/>
        </w:rPr>
      </w:pPr>
      <w:r>
        <w:rPr>
          <w:rStyle w:val="Refdenotaalpie"/>
        </w:rPr>
        <w:footnoteRef/>
      </w:r>
      <w:r>
        <w:rPr>
          <w:lang w:val="es-CO"/>
        </w:rPr>
        <w:t xml:space="preserve"> </w:t>
      </w:r>
      <w:r w:rsidRPr="00150CEE">
        <w:rPr>
          <w:lang w:val="es-CO"/>
        </w:rPr>
        <w:t>https://www.inpec.gov.co/estadistica/estadisticas</w:t>
      </w:r>
    </w:p>
  </w:footnote>
  <w:footnote w:id="18">
    <w:p w14:paraId="4721ECBF" w14:textId="77777777" w:rsidR="00760ED0" w:rsidRPr="00A44676" w:rsidRDefault="00760ED0" w:rsidP="00760ED0">
      <w:pPr>
        <w:pStyle w:val="Textonotapie"/>
        <w:rPr>
          <w:lang w:val="es-CO"/>
        </w:rPr>
      </w:pPr>
      <w:r>
        <w:rPr>
          <w:rStyle w:val="Refdenotaalpie"/>
        </w:rPr>
        <w:footnoteRef/>
      </w:r>
      <w:r>
        <w:t xml:space="preserve"> </w:t>
      </w:r>
      <w:r>
        <w:rPr>
          <w:rFonts w:ascii="Arial" w:hAnsi="Arial" w:cs="Arial"/>
          <w:color w:val="222222"/>
          <w:shd w:val="clear" w:color="auto" w:fill="FFFFFF"/>
        </w:rPr>
        <w:t>Cepeda, F. A. S. (2015). La detención preventiva en Colombia frente al principio de libertad en los derechos humanos. </w:t>
      </w:r>
      <w:r>
        <w:rPr>
          <w:rFonts w:ascii="Arial" w:hAnsi="Arial" w:cs="Arial"/>
          <w:i/>
          <w:iCs/>
          <w:color w:val="222222"/>
          <w:shd w:val="clear" w:color="auto" w:fill="FFFFFF"/>
        </w:rPr>
        <w:t>Revista Análisis Internacional (Cesada a partir de 2015)</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(2), 39-66.</w:t>
      </w:r>
    </w:p>
  </w:footnote>
  <w:footnote w:id="19">
    <w:p w14:paraId="7B842D6E" w14:textId="77777777" w:rsidR="00760ED0" w:rsidRPr="009E7407" w:rsidRDefault="00760ED0" w:rsidP="00760ED0">
      <w:pPr>
        <w:pStyle w:val="Textonotapie"/>
        <w:rPr>
          <w:lang w:val="es-CO"/>
        </w:rPr>
      </w:pPr>
      <w:r>
        <w:rPr>
          <w:rStyle w:val="Refdenotaalpie"/>
        </w:rPr>
        <w:footnoteRef/>
      </w:r>
      <w:r>
        <w:t xml:space="preserve"> </w:t>
      </w:r>
      <w:r w:rsidRPr="009E7407">
        <w:t>https://www.dane.gov.co/files/investigaciones/poblacion/convivencia/2019/CP_ECSC_2019.pdf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1646" w14:textId="40CC6FFF" w:rsidR="003B60BE" w:rsidRDefault="003B60BE">
    <w:pPr>
      <w:pStyle w:val="Encabezado"/>
      <w:rPr>
        <w:rFonts w:ascii="Verdana" w:hAnsi="Verdana"/>
        <w:b/>
        <w:noProof/>
      </w:rPr>
    </w:pPr>
    <w:r>
      <w:rPr>
        <w:rFonts w:ascii="Verdana" w:hAnsi="Verdana"/>
        <w:b/>
        <w:noProof/>
      </w:rPr>
      <w:drawing>
        <wp:anchor distT="0" distB="0" distL="114300" distR="114300" simplePos="0" relativeHeight="251659264" behindDoc="1" locked="0" layoutInCell="1" allowOverlap="1" wp14:anchorId="3F81C492" wp14:editId="09EF6A44">
          <wp:simplePos x="0" y="0"/>
          <wp:positionH relativeFrom="page">
            <wp:posOffset>9858</wp:posOffset>
          </wp:positionH>
          <wp:positionV relativeFrom="paragraph">
            <wp:posOffset>-434340</wp:posOffset>
          </wp:positionV>
          <wp:extent cx="7743825" cy="10017556"/>
          <wp:effectExtent l="0" t="0" r="0" b="3175"/>
          <wp:wrapNone/>
          <wp:docPr id="40" name="Imagen 40"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43825" cy="10017556"/>
                  </a:xfrm>
                  <a:prstGeom prst="rect">
                    <a:avLst/>
                  </a:prstGeom>
                </pic:spPr>
              </pic:pic>
            </a:graphicData>
          </a:graphic>
          <wp14:sizeRelH relativeFrom="page">
            <wp14:pctWidth>0</wp14:pctWidth>
          </wp14:sizeRelH>
          <wp14:sizeRelV relativeFrom="page">
            <wp14:pctHeight>0</wp14:pctHeight>
          </wp14:sizeRelV>
        </wp:anchor>
      </w:drawing>
    </w:r>
  </w:p>
  <w:p w14:paraId="6B9B31E0" w14:textId="6E0AEDEF" w:rsidR="003B60BE" w:rsidRDefault="003B60BE">
    <w:pPr>
      <w:pStyle w:val="Encabezado"/>
      <w:rPr>
        <w:rFonts w:ascii="Verdana" w:hAnsi="Verdana"/>
        <w:b/>
        <w:noProof/>
      </w:rPr>
    </w:pPr>
  </w:p>
  <w:p w14:paraId="4FC5BB9A" w14:textId="7A69F42F" w:rsidR="00600D57" w:rsidRDefault="00600D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912F0"/>
    <w:multiLevelType w:val="multilevel"/>
    <w:tmpl w:val="9E62A51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1">
    <w:nsid w:val="0C8A3AD7"/>
    <w:multiLevelType w:val="multilevel"/>
    <w:tmpl w:val="1CA4463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2">
    <w:nsid w:val="0DFE0CF1"/>
    <w:multiLevelType w:val="hybridMultilevel"/>
    <w:tmpl w:val="5CB620A8"/>
    <w:lvl w:ilvl="0" w:tplc="165E8E80">
      <w:start w:val="4"/>
      <w:numFmt w:val="bullet"/>
      <w:lvlText w:val="-"/>
      <w:lvlJc w:val="left"/>
      <w:pPr>
        <w:ind w:left="785" w:hanging="360"/>
      </w:pPr>
      <w:rPr>
        <w:rFonts w:ascii="Verdana" w:eastAsiaTheme="minorHAnsi" w:hAnsi="Verdana" w:cstheme="minorBidi"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3">
    <w:nsid w:val="2DCB0FF9"/>
    <w:multiLevelType w:val="hybridMultilevel"/>
    <w:tmpl w:val="48B6F07E"/>
    <w:lvl w:ilvl="0" w:tplc="07246C3A">
      <w:start w:val="1"/>
      <w:numFmt w:val="decimal"/>
      <w:lvlText w:val="%1."/>
      <w:lvlJc w:val="left"/>
      <w:pPr>
        <w:ind w:left="787" w:hanging="360"/>
      </w:pPr>
      <w:rPr>
        <w:rFonts w:hint="default"/>
      </w:r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4">
    <w:nsid w:val="35C32F19"/>
    <w:multiLevelType w:val="hybridMultilevel"/>
    <w:tmpl w:val="35C8BF10"/>
    <w:lvl w:ilvl="0" w:tplc="80F23BEE">
      <w:start w:val="1"/>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
    <w:nsid w:val="3A97002D"/>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E9B08D7"/>
    <w:multiLevelType w:val="hybridMultilevel"/>
    <w:tmpl w:val="F8AEACCE"/>
    <w:lvl w:ilvl="0" w:tplc="4238C95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9A6A92"/>
    <w:multiLevelType w:val="hybridMultilevel"/>
    <w:tmpl w:val="888A9C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45305FF"/>
    <w:multiLevelType w:val="hybridMultilevel"/>
    <w:tmpl w:val="4AF06E16"/>
    <w:lvl w:ilvl="0" w:tplc="860AD434">
      <w:start w:val="1"/>
      <w:numFmt w:val="lowerLetter"/>
      <w:lvlText w:val="%1)"/>
      <w:lvlJc w:val="left"/>
      <w:pPr>
        <w:ind w:left="927"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698A1262"/>
    <w:multiLevelType w:val="hybridMultilevel"/>
    <w:tmpl w:val="C17C5CC6"/>
    <w:lvl w:ilvl="0" w:tplc="80F23BE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3747FE7"/>
    <w:multiLevelType w:val="hybridMultilevel"/>
    <w:tmpl w:val="1F349868"/>
    <w:lvl w:ilvl="0" w:tplc="240A0019">
      <w:start w:val="1"/>
      <w:numFmt w:val="lowerLetter"/>
      <w:lvlText w:val="%1."/>
      <w:lvlJc w:val="left"/>
      <w:pPr>
        <w:ind w:left="726" w:hanging="360"/>
      </w:pPr>
    </w:lvl>
    <w:lvl w:ilvl="1" w:tplc="240A0019" w:tentative="1">
      <w:start w:val="1"/>
      <w:numFmt w:val="lowerLetter"/>
      <w:lvlText w:val="%2."/>
      <w:lvlJc w:val="left"/>
      <w:pPr>
        <w:ind w:left="1446" w:hanging="360"/>
      </w:pPr>
    </w:lvl>
    <w:lvl w:ilvl="2" w:tplc="240A001B" w:tentative="1">
      <w:start w:val="1"/>
      <w:numFmt w:val="lowerRoman"/>
      <w:lvlText w:val="%3."/>
      <w:lvlJc w:val="right"/>
      <w:pPr>
        <w:ind w:left="2166" w:hanging="180"/>
      </w:pPr>
    </w:lvl>
    <w:lvl w:ilvl="3" w:tplc="240A000F" w:tentative="1">
      <w:start w:val="1"/>
      <w:numFmt w:val="decimal"/>
      <w:lvlText w:val="%4."/>
      <w:lvlJc w:val="left"/>
      <w:pPr>
        <w:ind w:left="2886" w:hanging="360"/>
      </w:pPr>
    </w:lvl>
    <w:lvl w:ilvl="4" w:tplc="240A0019" w:tentative="1">
      <w:start w:val="1"/>
      <w:numFmt w:val="lowerLetter"/>
      <w:lvlText w:val="%5."/>
      <w:lvlJc w:val="left"/>
      <w:pPr>
        <w:ind w:left="3606" w:hanging="360"/>
      </w:pPr>
    </w:lvl>
    <w:lvl w:ilvl="5" w:tplc="240A001B" w:tentative="1">
      <w:start w:val="1"/>
      <w:numFmt w:val="lowerRoman"/>
      <w:lvlText w:val="%6."/>
      <w:lvlJc w:val="right"/>
      <w:pPr>
        <w:ind w:left="4326" w:hanging="180"/>
      </w:pPr>
    </w:lvl>
    <w:lvl w:ilvl="6" w:tplc="240A000F" w:tentative="1">
      <w:start w:val="1"/>
      <w:numFmt w:val="decimal"/>
      <w:lvlText w:val="%7."/>
      <w:lvlJc w:val="left"/>
      <w:pPr>
        <w:ind w:left="5046" w:hanging="360"/>
      </w:pPr>
    </w:lvl>
    <w:lvl w:ilvl="7" w:tplc="240A0019" w:tentative="1">
      <w:start w:val="1"/>
      <w:numFmt w:val="lowerLetter"/>
      <w:lvlText w:val="%8."/>
      <w:lvlJc w:val="left"/>
      <w:pPr>
        <w:ind w:left="5766" w:hanging="360"/>
      </w:pPr>
    </w:lvl>
    <w:lvl w:ilvl="8" w:tplc="240A001B" w:tentative="1">
      <w:start w:val="1"/>
      <w:numFmt w:val="lowerRoman"/>
      <w:lvlText w:val="%9."/>
      <w:lvlJc w:val="right"/>
      <w:pPr>
        <w:ind w:left="6486" w:hanging="180"/>
      </w:pPr>
    </w:lvl>
  </w:abstractNum>
  <w:abstractNum w:abstractNumId="11">
    <w:nsid w:val="7DF62480"/>
    <w:multiLevelType w:val="hybridMultilevel"/>
    <w:tmpl w:val="0D221A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9"/>
  </w:num>
  <w:num w:numId="5">
    <w:abstractNumId w:val="1"/>
  </w:num>
  <w:num w:numId="6">
    <w:abstractNumId w:val="5"/>
  </w:num>
  <w:num w:numId="7">
    <w:abstractNumId w:val="10"/>
  </w:num>
  <w:num w:numId="8">
    <w:abstractNumId w:val="1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E6E"/>
    <w:rsid w:val="000106AB"/>
    <w:rsid w:val="00011098"/>
    <w:rsid w:val="00016E48"/>
    <w:rsid w:val="00020F87"/>
    <w:rsid w:val="0004286D"/>
    <w:rsid w:val="0006157A"/>
    <w:rsid w:val="0006464B"/>
    <w:rsid w:val="0006743B"/>
    <w:rsid w:val="00067B7A"/>
    <w:rsid w:val="000779FF"/>
    <w:rsid w:val="0009294E"/>
    <w:rsid w:val="000A2C15"/>
    <w:rsid w:val="000A7639"/>
    <w:rsid w:val="000B75B2"/>
    <w:rsid w:val="000C0AFD"/>
    <w:rsid w:val="000F3DC2"/>
    <w:rsid w:val="000F720D"/>
    <w:rsid w:val="0011231E"/>
    <w:rsid w:val="00112AC1"/>
    <w:rsid w:val="00133CFF"/>
    <w:rsid w:val="00136770"/>
    <w:rsid w:val="00150CEE"/>
    <w:rsid w:val="00165548"/>
    <w:rsid w:val="0017076E"/>
    <w:rsid w:val="001A3E0E"/>
    <w:rsid w:val="001B1092"/>
    <w:rsid w:val="001B2C69"/>
    <w:rsid w:val="001C7CD3"/>
    <w:rsid w:val="001D48E4"/>
    <w:rsid w:val="001E41CB"/>
    <w:rsid w:val="0021122D"/>
    <w:rsid w:val="00220C31"/>
    <w:rsid w:val="0022721D"/>
    <w:rsid w:val="002402B0"/>
    <w:rsid w:val="00277BE1"/>
    <w:rsid w:val="00277C9F"/>
    <w:rsid w:val="002832C6"/>
    <w:rsid w:val="002A0671"/>
    <w:rsid w:val="002A2DAB"/>
    <w:rsid w:val="002B6531"/>
    <w:rsid w:val="002C6A43"/>
    <w:rsid w:val="00317B1F"/>
    <w:rsid w:val="003208C8"/>
    <w:rsid w:val="0033669B"/>
    <w:rsid w:val="00336D1A"/>
    <w:rsid w:val="00343561"/>
    <w:rsid w:val="00346458"/>
    <w:rsid w:val="00355AF6"/>
    <w:rsid w:val="0036384B"/>
    <w:rsid w:val="00374420"/>
    <w:rsid w:val="00383625"/>
    <w:rsid w:val="00394F89"/>
    <w:rsid w:val="003962A3"/>
    <w:rsid w:val="003A69FF"/>
    <w:rsid w:val="003B60BE"/>
    <w:rsid w:val="003D5E6E"/>
    <w:rsid w:val="003D7388"/>
    <w:rsid w:val="003D7B2E"/>
    <w:rsid w:val="004019A3"/>
    <w:rsid w:val="004349C9"/>
    <w:rsid w:val="00435785"/>
    <w:rsid w:val="00450A0B"/>
    <w:rsid w:val="004566C4"/>
    <w:rsid w:val="00462113"/>
    <w:rsid w:val="0046454F"/>
    <w:rsid w:val="004A57F1"/>
    <w:rsid w:val="004C2A7A"/>
    <w:rsid w:val="004E5DF0"/>
    <w:rsid w:val="004E7073"/>
    <w:rsid w:val="004F28E7"/>
    <w:rsid w:val="004F78CE"/>
    <w:rsid w:val="0051667C"/>
    <w:rsid w:val="00570F7C"/>
    <w:rsid w:val="00577BF9"/>
    <w:rsid w:val="00595367"/>
    <w:rsid w:val="005974F0"/>
    <w:rsid w:val="005A6D3E"/>
    <w:rsid w:val="005C53C5"/>
    <w:rsid w:val="005E567F"/>
    <w:rsid w:val="005F4F3E"/>
    <w:rsid w:val="00600D57"/>
    <w:rsid w:val="0061101D"/>
    <w:rsid w:val="00623C7C"/>
    <w:rsid w:val="006305E4"/>
    <w:rsid w:val="0065325F"/>
    <w:rsid w:val="0066018D"/>
    <w:rsid w:val="006733C4"/>
    <w:rsid w:val="00692DE1"/>
    <w:rsid w:val="006A3622"/>
    <w:rsid w:val="006B327B"/>
    <w:rsid w:val="006C1F9D"/>
    <w:rsid w:val="006F3D19"/>
    <w:rsid w:val="00705D12"/>
    <w:rsid w:val="007069ED"/>
    <w:rsid w:val="0072277D"/>
    <w:rsid w:val="007228D9"/>
    <w:rsid w:val="007241E4"/>
    <w:rsid w:val="00735881"/>
    <w:rsid w:val="00750986"/>
    <w:rsid w:val="00760ED0"/>
    <w:rsid w:val="007632E6"/>
    <w:rsid w:val="007A38F3"/>
    <w:rsid w:val="007B6857"/>
    <w:rsid w:val="007C2FC7"/>
    <w:rsid w:val="007E2EDA"/>
    <w:rsid w:val="007F0B94"/>
    <w:rsid w:val="007F7047"/>
    <w:rsid w:val="00821FD2"/>
    <w:rsid w:val="0083046B"/>
    <w:rsid w:val="0083283F"/>
    <w:rsid w:val="00855158"/>
    <w:rsid w:val="00863D83"/>
    <w:rsid w:val="00886F20"/>
    <w:rsid w:val="008A0880"/>
    <w:rsid w:val="008B3481"/>
    <w:rsid w:val="008C6CE0"/>
    <w:rsid w:val="00901DA6"/>
    <w:rsid w:val="00956CB7"/>
    <w:rsid w:val="009836FC"/>
    <w:rsid w:val="00984199"/>
    <w:rsid w:val="0098666F"/>
    <w:rsid w:val="009A6E63"/>
    <w:rsid w:val="009C124C"/>
    <w:rsid w:val="009D1955"/>
    <w:rsid w:val="009D3645"/>
    <w:rsid w:val="009E7407"/>
    <w:rsid w:val="00A05C1C"/>
    <w:rsid w:val="00A11313"/>
    <w:rsid w:val="00A3698F"/>
    <w:rsid w:val="00A3743D"/>
    <w:rsid w:val="00A43CDF"/>
    <w:rsid w:val="00A44676"/>
    <w:rsid w:val="00A53254"/>
    <w:rsid w:val="00A851F6"/>
    <w:rsid w:val="00A90663"/>
    <w:rsid w:val="00AA6703"/>
    <w:rsid w:val="00AC69A1"/>
    <w:rsid w:val="00AE4127"/>
    <w:rsid w:val="00AE569D"/>
    <w:rsid w:val="00AF570C"/>
    <w:rsid w:val="00AF6425"/>
    <w:rsid w:val="00B35F70"/>
    <w:rsid w:val="00B76940"/>
    <w:rsid w:val="00B9519A"/>
    <w:rsid w:val="00B956B0"/>
    <w:rsid w:val="00BC643E"/>
    <w:rsid w:val="00BF1BEC"/>
    <w:rsid w:val="00C07098"/>
    <w:rsid w:val="00C34E31"/>
    <w:rsid w:val="00C35BB7"/>
    <w:rsid w:val="00C40EA1"/>
    <w:rsid w:val="00C45381"/>
    <w:rsid w:val="00C6501D"/>
    <w:rsid w:val="00C73698"/>
    <w:rsid w:val="00C838A6"/>
    <w:rsid w:val="00C931B3"/>
    <w:rsid w:val="00C971BB"/>
    <w:rsid w:val="00CA720C"/>
    <w:rsid w:val="00CC02B5"/>
    <w:rsid w:val="00CF033D"/>
    <w:rsid w:val="00CF5225"/>
    <w:rsid w:val="00D077B1"/>
    <w:rsid w:val="00D119D5"/>
    <w:rsid w:val="00D135C7"/>
    <w:rsid w:val="00D17173"/>
    <w:rsid w:val="00D25D17"/>
    <w:rsid w:val="00D35425"/>
    <w:rsid w:val="00D36ABC"/>
    <w:rsid w:val="00DD2A7A"/>
    <w:rsid w:val="00DE2F1E"/>
    <w:rsid w:val="00E00562"/>
    <w:rsid w:val="00E045C3"/>
    <w:rsid w:val="00E6124E"/>
    <w:rsid w:val="00E63B91"/>
    <w:rsid w:val="00E717EB"/>
    <w:rsid w:val="00E8197F"/>
    <w:rsid w:val="00E904C6"/>
    <w:rsid w:val="00EA2050"/>
    <w:rsid w:val="00EA4948"/>
    <w:rsid w:val="00EA4A2D"/>
    <w:rsid w:val="00EC1786"/>
    <w:rsid w:val="00EC56A6"/>
    <w:rsid w:val="00EE51E6"/>
    <w:rsid w:val="00EF1FA0"/>
    <w:rsid w:val="00EF5E7A"/>
    <w:rsid w:val="00F151BC"/>
    <w:rsid w:val="00F15C45"/>
    <w:rsid w:val="00F26F1F"/>
    <w:rsid w:val="00F37C2A"/>
    <w:rsid w:val="00F667F6"/>
    <w:rsid w:val="00F66F39"/>
    <w:rsid w:val="00F75EB8"/>
    <w:rsid w:val="00F90A77"/>
    <w:rsid w:val="00FA35AE"/>
    <w:rsid w:val="00FA6C71"/>
    <w:rsid w:val="00FC66C7"/>
    <w:rsid w:val="00FC69D3"/>
    <w:rsid w:val="00FD58C5"/>
    <w:rsid w:val="00FD7331"/>
    <w:rsid w:val="00FF5212"/>
    <w:rsid w:val="00FF79E0"/>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A59BC"/>
  <w15:chartTrackingRefBased/>
  <w15:docId w15:val="{FF6BDA71-D044-4E5B-B10F-49611D4D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E6E"/>
    <w:pPr>
      <w:spacing w:after="0" w:line="240" w:lineRule="auto"/>
      <w:ind w:left="425"/>
      <w:jc w:val="both"/>
    </w:pPr>
    <w:rPr>
      <w:rFonts w:ascii="Calibri" w:eastAsia="Calibri" w:hAnsi="Calibri" w:cs="Calibri"/>
      <w:lang w:eastAsia="es-CO"/>
    </w:rPr>
  </w:style>
  <w:style w:type="paragraph" w:styleId="Ttulo1">
    <w:name w:val="heading 1"/>
    <w:basedOn w:val="Normal"/>
    <w:next w:val="Normal"/>
    <w:link w:val="Ttulo1Car"/>
    <w:uiPriority w:val="9"/>
    <w:qFormat/>
    <w:rsid w:val="003D5E6E"/>
    <w:pPr>
      <w:keepNext/>
      <w:keepLines/>
      <w:spacing w:before="240" w:line="360" w:lineRule="auto"/>
      <w:ind w:left="0"/>
      <w:outlineLvl w:val="0"/>
    </w:pPr>
    <w:rPr>
      <w:rFonts w:ascii="Californian FB" w:eastAsiaTheme="majorEastAsia" w:hAnsi="Californian FB" w:cstheme="majorBidi"/>
      <w:color w:val="2F5496" w:themeColor="accent1" w:themeShade="BF"/>
      <w:sz w:val="28"/>
      <w:szCs w:val="32"/>
      <w:lang w:val="es-ES_tradnl" w:eastAsia="en-US"/>
    </w:rPr>
  </w:style>
  <w:style w:type="paragraph" w:styleId="Ttulo3">
    <w:name w:val="heading 3"/>
    <w:basedOn w:val="Normal"/>
    <w:next w:val="Normal"/>
    <w:link w:val="Ttulo3Car"/>
    <w:uiPriority w:val="9"/>
    <w:semiHidden/>
    <w:unhideWhenUsed/>
    <w:qFormat/>
    <w:rsid w:val="000A76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E6E"/>
    <w:pPr>
      <w:tabs>
        <w:tab w:val="center" w:pos="4419"/>
        <w:tab w:val="right" w:pos="8838"/>
      </w:tabs>
    </w:pPr>
  </w:style>
  <w:style w:type="character" w:customStyle="1" w:styleId="EncabezadoCar">
    <w:name w:val="Encabezado Car"/>
    <w:basedOn w:val="Fuentedeprrafopredeter"/>
    <w:link w:val="Encabezado"/>
    <w:uiPriority w:val="99"/>
    <w:rsid w:val="003D5E6E"/>
  </w:style>
  <w:style w:type="paragraph" w:styleId="Piedepgina">
    <w:name w:val="footer"/>
    <w:basedOn w:val="Normal"/>
    <w:link w:val="PiedepginaCar"/>
    <w:uiPriority w:val="99"/>
    <w:unhideWhenUsed/>
    <w:rsid w:val="003D5E6E"/>
    <w:pPr>
      <w:tabs>
        <w:tab w:val="center" w:pos="4419"/>
        <w:tab w:val="right" w:pos="8838"/>
      </w:tabs>
    </w:pPr>
  </w:style>
  <w:style w:type="character" w:customStyle="1" w:styleId="PiedepginaCar">
    <w:name w:val="Pie de página Car"/>
    <w:basedOn w:val="Fuentedeprrafopredeter"/>
    <w:link w:val="Piedepgina"/>
    <w:uiPriority w:val="99"/>
    <w:rsid w:val="003D5E6E"/>
  </w:style>
  <w:style w:type="character" w:customStyle="1" w:styleId="Ttulo1Car">
    <w:name w:val="Título 1 Car"/>
    <w:basedOn w:val="Fuentedeprrafopredeter"/>
    <w:link w:val="Ttulo1"/>
    <w:uiPriority w:val="9"/>
    <w:rsid w:val="003D5E6E"/>
    <w:rPr>
      <w:rFonts w:ascii="Californian FB" w:eastAsiaTheme="majorEastAsia" w:hAnsi="Californian FB" w:cstheme="majorBidi"/>
      <w:color w:val="2F5496" w:themeColor="accent1" w:themeShade="BF"/>
      <w:sz w:val="28"/>
      <w:szCs w:val="32"/>
      <w:lang w:val="es-ES_tradnl"/>
    </w:rPr>
  </w:style>
  <w:style w:type="paragraph" w:styleId="Prrafodelista">
    <w:name w:val="List Paragraph"/>
    <w:aliases w:val="Ha,Resume Title,List,Normal. Viñetas,Bullet List,FooterText,numbered,Paragraphe de liste1,Bulletr List Paragraph,列出段落,列出段落1,List Paragraph21,Listeafsnit1,Parágrafo da Lista1,Sombreado vistoso - Énfasis 31,Cita textual,Párrafo numerado"/>
    <w:basedOn w:val="Normal"/>
    <w:link w:val="PrrafodelistaCar"/>
    <w:uiPriority w:val="34"/>
    <w:qFormat/>
    <w:rsid w:val="003D5E6E"/>
    <w:pPr>
      <w:ind w:left="720"/>
      <w:contextualSpacing/>
    </w:pPr>
  </w:style>
  <w:style w:type="paragraph" w:styleId="NormalWeb">
    <w:name w:val="Normal (Web)"/>
    <w:basedOn w:val="Normal"/>
    <w:uiPriority w:val="99"/>
    <w:unhideWhenUsed/>
    <w:rsid w:val="003D5E6E"/>
    <w:pPr>
      <w:spacing w:before="100" w:beforeAutospacing="1" w:after="100" w:afterAutospacing="1"/>
    </w:pPr>
    <w:rPr>
      <w:rFonts w:ascii="Times New Roman" w:eastAsia="Times New Roman" w:hAnsi="Times New Roman" w:cs="Times New Roman"/>
      <w:sz w:val="24"/>
      <w:szCs w:val="24"/>
      <w:lang w:eastAsia="es-ES_tradnl"/>
    </w:rPr>
  </w:style>
  <w:style w:type="character" w:styleId="Hipervnculo">
    <w:name w:val="Hyperlink"/>
    <w:basedOn w:val="Fuentedeprrafopredeter"/>
    <w:uiPriority w:val="99"/>
    <w:unhideWhenUsed/>
    <w:rsid w:val="003D5E6E"/>
    <w:rPr>
      <w:color w:val="0000FF"/>
      <w:u w:val="single"/>
    </w:rPr>
  </w:style>
  <w:style w:type="paragraph" w:styleId="Descripcin">
    <w:name w:val="caption"/>
    <w:basedOn w:val="Normal"/>
    <w:next w:val="Normal"/>
    <w:uiPriority w:val="35"/>
    <w:unhideWhenUsed/>
    <w:qFormat/>
    <w:rsid w:val="003D5E6E"/>
    <w:pPr>
      <w:spacing w:after="200" w:line="360" w:lineRule="auto"/>
      <w:ind w:left="0"/>
    </w:pPr>
    <w:rPr>
      <w:rFonts w:ascii="Californian FB" w:eastAsiaTheme="minorHAnsi" w:hAnsi="Californian FB" w:cstheme="minorBidi"/>
      <w:i/>
      <w:iCs/>
      <w:color w:val="44546A" w:themeColor="text2"/>
      <w:sz w:val="18"/>
      <w:szCs w:val="18"/>
      <w:lang w:val="es-ES_tradnl" w:eastAsia="en-U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
    <w:basedOn w:val="Normal"/>
    <w:link w:val="TextonotapieCar"/>
    <w:unhideWhenUsed/>
    <w:rsid w:val="003D5E6E"/>
    <w:pPr>
      <w:spacing w:line="360" w:lineRule="auto"/>
      <w:ind w:left="0"/>
    </w:pPr>
    <w:rPr>
      <w:rFonts w:ascii="Californian FB" w:eastAsiaTheme="minorHAnsi" w:hAnsi="Californian FB"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D5E6E"/>
    <w:rPr>
      <w:rFonts w:ascii="Californian FB" w:hAnsi="Californian FB"/>
      <w:sz w:val="20"/>
      <w:szCs w:val="20"/>
      <w:lang w:val="es-ES_tradnl"/>
    </w:rPr>
  </w:style>
  <w:style w:type="character" w:styleId="Refdenotaalpie">
    <w:name w:val="footnote reference"/>
    <w:aliases w:val="Texto de nota al pie"/>
    <w:basedOn w:val="Fuentedeprrafopredeter"/>
    <w:unhideWhenUsed/>
    <w:rsid w:val="003D5E6E"/>
    <w:rPr>
      <w:vertAlign w:val="superscript"/>
    </w:rPr>
  </w:style>
  <w:style w:type="paragraph" w:styleId="Textodeglobo">
    <w:name w:val="Balloon Text"/>
    <w:basedOn w:val="Normal"/>
    <w:link w:val="TextodegloboCar"/>
    <w:uiPriority w:val="99"/>
    <w:semiHidden/>
    <w:unhideWhenUsed/>
    <w:rsid w:val="002A2D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2DAB"/>
    <w:rPr>
      <w:rFonts w:ascii="Segoe UI" w:eastAsia="Calibri" w:hAnsi="Segoe UI" w:cs="Segoe UI"/>
      <w:sz w:val="18"/>
      <w:szCs w:val="18"/>
      <w:lang w:eastAsia="es-CO"/>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rsid w:val="00A851F6"/>
    <w:rPr>
      <w:sz w:val="24"/>
      <w:szCs w:val="24"/>
    </w:rPr>
  </w:style>
  <w:style w:type="paragraph" w:styleId="Lista">
    <w:name w:val="List"/>
    <w:basedOn w:val="Normal"/>
    <w:uiPriority w:val="99"/>
    <w:unhideWhenUsed/>
    <w:rsid w:val="00C6501D"/>
    <w:pPr>
      <w:ind w:left="283" w:hanging="283"/>
      <w:contextualSpacing/>
    </w:pPr>
  </w:style>
  <w:style w:type="paragraph" w:styleId="Saludo">
    <w:name w:val="Salutation"/>
    <w:basedOn w:val="Normal"/>
    <w:next w:val="Normal"/>
    <w:link w:val="SaludoCar"/>
    <w:uiPriority w:val="99"/>
    <w:unhideWhenUsed/>
    <w:rsid w:val="00C6501D"/>
  </w:style>
  <w:style w:type="character" w:customStyle="1" w:styleId="SaludoCar">
    <w:name w:val="Saludo Car"/>
    <w:basedOn w:val="Fuentedeprrafopredeter"/>
    <w:link w:val="Saludo"/>
    <w:uiPriority w:val="99"/>
    <w:rsid w:val="00C6501D"/>
    <w:rPr>
      <w:rFonts w:ascii="Calibri" w:eastAsia="Calibri" w:hAnsi="Calibri" w:cs="Calibri"/>
      <w:lang w:eastAsia="es-CO"/>
    </w:rPr>
  </w:style>
  <w:style w:type="paragraph" w:styleId="Textoindependiente">
    <w:name w:val="Body Text"/>
    <w:basedOn w:val="Normal"/>
    <w:link w:val="TextoindependienteCar"/>
    <w:uiPriority w:val="99"/>
    <w:unhideWhenUsed/>
    <w:rsid w:val="00C6501D"/>
    <w:pPr>
      <w:spacing w:after="120"/>
    </w:pPr>
  </w:style>
  <w:style w:type="character" w:customStyle="1" w:styleId="TextoindependienteCar">
    <w:name w:val="Texto independiente Car"/>
    <w:basedOn w:val="Fuentedeprrafopredeter"/>
    <w:link w:val="Textoindependiente"/>
    <w:uiPriority w:val="99"/>
    <w:rsid w:val="00C6501D"/>
    <w:rPr>
      <w:rFonts w:ascii="Calibri" w:eastAsia="Calibri" w:hAnsi="Calibri" w:cs="Calibri"/>
      <w:lang w:eastAsia="es-CO"/>
    </w:rPr>
  </w:style>
  <w:style w:type="character" w:customStyle="1" w:styleId="a3">
    <w:name w:val="a3"/>
    <w:basedOn w:val="Fuentedeprrafopredeter"/>
    <w:rsid w:val="00AA6703"/>
  </w:style>
  <w:style w:type="character" w:customStyle="1" w:styleId="PrrafodelistaCar">
    <w:name w:val="Párrafo de lista Car"/>
    <w:aliases w:val="Ha Car,Resume Title Car,List Car,Normal. Viñetas Car,Bullet List Car,FooterText Car,numbered Car,Paragraphe de liste1 Car,Bulletr List Paragraph Car,列出段落 Car,列出段落1 Car,List Paragraph21 Car,Listeafsnit1 Car,Parágrafo da Lista1 Car"/>
    <w:link w:val="Prrafodelista"/>
    <w:uiPriority w:val="34"/>
    <w:qFormat/>
    <w:locked/>
    <w:rsid w:val="00D36ABC"/>
    <w:rPr>
      <w:rFonts w:ascii="Calibri" w:eastAsia="Calibri" w:hAnsi="Calibri" w:cs="Calibri"/>
      <w:lang w:eastAsia="es-CO"/>
    </w:rPr>
  </w:style>
  <w:style w:type="character" w:styleId="Refdecomentario">
    <w:name w:val="annotation reference"/>
    <w:basedOn w:val="Fuentedeprrafopredeter"/>
    <w:uiPriority w:val="99"/>
    <w:semiHidden/>
    <w:unhideWhenUsed/>
    <w:rsid w:val="0006464B"/>
    <w:rPr>
      <w:sz w:val="16"/>
      <w:szCs w:val="16"/>
    </w:rPr>
  </w:style>
  <w:style w:type="paragraph" w:styleId="Textocomentario">
    <w:name w:val="annotation text"/>
    <w:basedOn w:val="Normal"/>
    <w:link w:val="TextocomentarioCar"/>
    <w:uiPriority w:val="99"/>
    <w:unhideWhenUsed/>
    <w:rsid w:val="0006464B"/>
    <w:rPr>
      <w:sz w:val="20"/>
      <w:szCs w:val="20"/>
    </w:rPr>
  </w:style>
  <w:style w:type="character" w:customStyle="1" w:styleId="TextocomentarioCar">
    <w:name w:val="Texto comentario Car"/>
    <w:basedOn w:val="Fuentedeprrafopredeter"/>
    <w:link w:val="Textocomentario"/>
    <w:uiPriority w:val="99"/>
    <w:rsid w:val="0006464B"/>
    <w:rPr>
      <w:rFonts w:ascii="Calibri" w:eastAsia="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06464B"/>
    <w:rPr>
      <w:b/>
      <w:bCs/>
    </w:rPr>
  </w:style>
  <w:style w:type="character" w:customStyle="1" w:styleId="AsuntodelcomentarioCar">
    <w:name w:val="Asunto del comentario Car"/>
    <w:basedOn w:val="TextocomentarioCar"/>
    <w:link w:val="Asuntodelcomentario"/>
    <w:uiPriority w:val="99"/>
    <w:semiHidden/>
    <w:rsid w:val="0006464B"/>
    <w:rPr>
      <w:rFonts w:ascii="Calibri" w:eastAsia="Calibri" w:hAnsi="Calibri" w:cs="Calibri"/>
      <w:b/>
      <w:bCs/>
      <w:sz w:val="20"/>
      <w:szCs w:val="20"/>
      <w:lang w:eastAsia="es-CO"/>
    </w:rPr>
  </w:style>
  <w:style w:type="character" w:customStyle="1" w:styleId="baj">
    <w:name w:val="b_aj"/>
    <w:basedOn w:val="Fuentedeprrafopredeter"/>
    <w:rsid w:val="00EC1786"/>
  </w:style>
  <w:style w:type="character" w:customStyle="1" w:styleId="Ttulo3Car">
    <w:name w:val="Título 3 Car"/>
    <w:basedOn w:val="Fuentedeprrafopredeter"/>
    <w:link w:val="Ttulo3"/>
    <w:uiPriority w:val="9"/>
    <w:semiHidden/>
    <w:rsid w:val="000A7639"/>
    <w:rPr>
      <w:rFonts w:asciiTheme="majorHAnsi" w:eastAsiaTheme="majorEastAsia" w:hAnsiTheme="majorHAnsi" w:cstheme="majorBidi"/>
      <w:color w:val="1F3763" w:themeColor="accent1" w:themeShade="7F"/>
      <w:sz w:val="24"/>
      <w:szCs w:val="24"/>
      <w:lang w:eastAsia="es-CO"/>
    </w:rPr>
  </w:style>
  <w:style w:type="table" w:styleId="Tablaconcuadrcula">
    <w:name w:val="Table Grid"/>
    <w:basedOn w:val="Tablanormal"/>
    <w:uiPriority w:val="39"/>
    <w:rsid w:val="000A7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60ED0"/>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link w:val="SinespaciadoCar"/>
    <w:uiPriority w:val="1"/>
    <w:qFormat/>
    <w:rsid w:val="00760ED0"/>
    <w:pPr>
      <w:spacing w:after="0" w:line="240" w:lineRule="auto"/>
    </w:pPr>
  </w:style>
  <w:style w:type="character" w:customStyle="1" w:styleId="SinespaciadoCar">
    <w:name w:val="Sin espaciado Car"/>
    <w:link w:val="Sinespaciado"/>
    <w:uiPriority w:val="1"/>
    <w:locked/>
    <w:rsid w:val="00760ED0"/>
  </w:style>
  <w:style w:type="character" w:customStyle="1" w:styleId="A30">
    <w:name w:val="A3"/>
    <w:uiPriority w:val="99"/>
    <w:rsid w:val="00760ED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51944">
      <w:bodyDiv w:val="1"/>
      <w:marLeft w:val="0"/>
      <w:marRight w:val="0"/>
      <w:marTop w:val="0"/>
      <w:marBottom w:val="0"/>
      <w:divBdr>
        <w:top w:val="none" w:sz="0" w:space="0" w:color="auto"/>
        <w:left w:val="none" w:sz="0" w:space="0" w:color="auto"/>
        <w:bottom w:val="none" w:sz="0" w:space="0" w:color="auto"/>
        <w:right w:val="none" w:sz="0" w:space="0" w:color="auto"/>
      </w:divBdr>
    </w:div>
    <w:div w:id="98450306">
      <w:bodyDiv w:val="1"/>
      <w:marLeft w:val="0"/>
      <w:marRight w:val="0"/>
      <w:marTop w:val="0"/>
      <w:marBottom w:val="0"/>
      <w:divBdr>
        <w:top w:val="none" w:sz="0" w:space="0" w:color="auto"/>
        <w:left w:val="none" w:sz="0" w:space="0" w:color="auto"/>
        <w:bottom w:val="none" w:sz="0" w:space="0" w:color="auto"/>
        <w:right w:val="none" w:sz="0" w:space="0" w:color="auto"/>
      </w:divBdr>
    </w:div>
    <w:div w:id="163403294">
      <w:bodyDiv w:val="1"/>
      <w:marLeft w:val="0"/>
      <w:marRight w:val="0"/>
      <w:marTop w:val="0"/>
      <w:marBottom w:val="0"/>
      <w:divBdr>
        <w:top w:val="none" w:sz="0" w:space="0" w:color="auto"/>
        <w:left w:val="none" w:sz="0" w:space="0" w:color="auto"/>
        <w:bottom w:val="none" w:sz="0" w:space="0" w:color="auto"/>
        <w:right w:val="none" w:sz="0" w:space="0" w:color="auto"/>
      </w:divBdr>
    </w:div>
    <w:div w:id="344283233">
      <w:bodyDiv w:val="1"/>
      <w:marLeft w:val="0"/>
      <w:marRight w:val="0"/>
      <w:marTop w:val="0"/>
      <w:marBottom w:val="0"/>
      <w:divBdr>
        <w:top w:val="none" w:sz="0" w:space="0" w:color="auto"/>
        <w:left w:val="none" w:sz="0" w:space="0" w:color="auto"/>
        <w:bottom w:val="none" w:sz="0" w:space="0" w:color="auto"/>
        <w:right w:val="none" w:sz="0" w:space="0" w:color="auto"/>
      </w:divBdr>
    </w:div>
    <w:div w:id="352534175">
      <w:bodyDiv w:val="1"/>
      <w:marLeft w:val="0"/>
      <w:marRight w:val="0"/>
      <w:marTop w:val="0"/>
      <w:marBottom w:val="0"/>
      <w:divBdr>
        <w:top w:val="none" w:sz="0" w:space="0" w:color="auto"/>
        <w:left w:val="none" w:sz="0" w:space="0" w:color="auto"/>
        <w:bottom w:val="none" w:sz="0" w:space="0" w:color="auto"/>
        <w:right w:val="none" w:sz="0" w:space="0" w:color="auto"/>
      </w:divBdr>
    </w:div>
    <w:div w:id="436756054">
      <w:bodyDiv w:val="1"/>
      <w:marLeft w:val="0"/>
      <w:marRight w:val="0"/>
      <w:marTop w:val="0"/>
      <w:marBottom w:val="0"/>
      <w:divBdr>
        <w:top w:val="none" w:sz="0" w:space="0" w:color="auto"/>
        <w:left w:val="none" w:sz="0" w:space="0" w:color="auto"/>
        <w:bottom w:val="none" w:sz="0" w:space="0" w:color="auto"/>
        <w:right w:val="none" w:sz="0" w:space="0" w:color="auto"/>
      </w:divBdr>
    </w:div>
    <w:div w:id="456030268">
      <w:bodyDiv w:val="1"/>
      <w:marLeft w:val="0"/>
      <w:marRight w:val="0"/>
      <w:marTop w:val="0"/>
      <w:marBottom w:val="0"/>
      <w:divBdr>
        <w:top w:val="none" w:sz="0" w:space="0" w:color="auto"/>
        <w:left w:val="none" w:sz="0" w:space="0" w:color="auto"/>
        <w:bottom w:val="none" w:sz="0" w:space="0" w:color="auto"/>
        <w:right w:val="none" w:sz="0" w:space="0" w:color="auto"/>
      </w:divBdr>
    </w:div>
    <w:div w:id="1225263608">
      <w:bodyDiv w:val="1"/>
      <w:marLeft w:val="0"/>
      <w:marRight w:val="0"/>
      <w:marTop w:val="0"/>
      <w:marBottom w:val="0"/>
      <w:divBdr>
        <w:top w:val="none" w:sz="0" w:space="0" w:color="auto"/>
        <w:left w:val="none" w:sz="0" w:space="0" w:color="auto"/>
        <w:bottom w:val="none" w:sz="0" w:space="0" w:color="auto"/>
        <w:right w:val="none" w:sz="0" w:space="0" w:color="auto"/>
      </w:divBdr>
    </w:div>
    <w:div w:id="1310861193">
      <w:bodyDiv w:val="1"/>
      <w:marLeft w:val="0"/>
      <w:marRight w:val="0"/>
      <w:marTop w:val="0"/>
      <w:marBottom w:val="0"/>
      <w:divBdr>
        <w:top w:val="none" w:sz="0" w:space="0" w:color="auto"/>
        <w:left w:val="none" w:sz="0" w:space="0" w:color="auto"/>
        <w:bottom w:val="none" w:sz="0" w:space="0" w:color="auto"/>
        <w:right w:val="none" w:sz="0" w:space="0" w:color="auto"/>
      </w:divBdr>
    </w:div>
    <w:div w:id="162477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www.notimerica.com/politica/noticia-autoridades-colombia-detienen-90-presuntos-integrantes-clan-golfo-ofensiva-gigantesca-20211119134223.html"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cnradio.com/colombia/pacifico/sujeto-amenazo-con-arma-de-fuego-un-grupo-de-deportistas-en-cali" TargetMode="External"/><Relationship Id="rId25" Type="http://schemas.openxmlformats.org/officeDocument/2006/relationships/hyperlink" Target="https://www.elcolombiano.com/antioquia/capturan-delincuentes-que-intentaron-robar-empresa-de-oro-en-el-poblado-PK15979710" TargetMode="External"/><Relationship Id="rId33" Type="http://schemas.openxmlformats.org/officeDocument/2006/relationships/hyperlink" Target="https://www.semana.com/actualidad/articulo/video-ladrones-efectuan-hurto-masivo-de-carros-en-barrio-de-bogota-uno-era-recien-comprado/20211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eltiempo.com/colombia/otras-ciudades/el-ejercito-patrullara-calles-de-santa-marta-6325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cnradio.com/colombia/region-central/con-armas-de-fuego-delincuentes-atracan-buses-intermunicipales-en" TargetMode="External"/><Relationship Id="rId23" Type="http://schemas.openxmlformats.org/officeDocument/2006/relationships/hyperlink" Target="https://noticias.caracoltv.com/informes-especiales/el-siniestro-negocio-de-las-armas-ilegales-en-colombia-es-como-ir-a-comprarse-una-camisa" TargetMode="External"/><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rcnradio.com/colombia/santanderes/en-2021-han-sido-capturadas-388-personas-por-porte-ilegal-de-armas-de-fuego-en" TargetMode="External"/><Relationship Id="rId31" Type="http://schemas.openxmlformats.org/officeDocument/2006/relationships/hyperlink" Target="https://www.infobae.com/america/colombia/2021/11/11/preocupacion-en-bogota-porque-no-se-ha-podido-frenar-el-incremento-de-los-homicidi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eltiempo.com/colombia/otras-ciudades/asi-termino-el-puente-festivo-de-la-independencia-en-cartagena-632632" TargetMode="External"/><Relationship Id="rId30" Type="http://schemas.openxmlformats.org/officeDocument/2006/relationships/image" Target="media/image15.png"/><Relationship Id="rId35" Type="http://schemas.openxmlformats.org/officeDocument/2006/relationships/hyperlink" Target="https://www.elcolombiano.com/colombia/dos-policias-fueron-asesinados-en-san-andres-AL15964958"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unpolicy.org/es/firearms/region/mexico" TargetMode="External"/><Relationship Id="rId3" Type="http://schemas.openxmlformats.org/officeDocument/2006/relationships/hyperlink" Target="http://www.genevadeclaration.org/measurability/global-burden-of-armed-violence.html" TargetMode="External"/><Relationship Id="rId7" Type="http://schemas.openxmlformats.org/officeDocument/2006/relationships/hyperlink" Target="http://ideaspaz.org/media/website/FIP_NE_MercadoArmas_web.pdf" TargetMode="External"/><Relationship Id="rId2" Type="http://schemas.openxmlformats.org/officeDocument/2006/relationships/hyperlink" Target="https://dataunodc.un.org/crime/intentional-homicide-victims" TargetMode="External"/><Relationship Id="rId1" Type="http://schemas.openxmlformats.org/officeDocument/2006/relationships/hyperlink" Target="https://www.un.org/disarmament/es/armas-convencionales/el-tratado-sobre-el-comercio-de-armas/" TargetMode="External"/><Relationship Id="rId6" Type="http://schemas.openxmlformats.org/officeDocument/2006/relationships/hyperlink" Target="http://www.smallarmssurvey.org/weapons-and-markets/tools/global-firearms-holdings.html" TargetMode="External"/><Relationship Id="rId5" Type="http://schemas.openxmlformats.org/officeDocument/2006/relationships/hyperlink" Target="https://ideaspaz.org/media/website/FIP_NE_MercadoArmas_web.pdf" TargetMode="External"/><Relationship Id="rId10" Type="http://schemas.openxmlformats.org/officeDocument/2006/relationships/hyperlink" Target="https://www.eltiempo.com/salud/muertes-por-armas-de-fuego-en-el-mundo-y-colombia-segun-estudio-325384" TargetMode="External"/><Relationship Id="rId4" Type="http://schemas.openxmlformats.org/officeDocument/2006/relationships/hyperlink" Target="https://www.amnesty.org/es/latest/news/2019/08/killer-facts-2019-the-scale-of-the-global-arms-trade/" TargetMode="External"/><Relationship Id="rId9" Type="http://schemas.openxmlformats.org/officeDocument/2006/relationships/hyperlink" Target="https://jamanetwork.com/journals/jama/fullarticle/26984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1FB15-B514-4D25-A4EC-6580C31B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9282</Words>
  <Characters>51051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 Cruz Diaz</dc:creator>
  <cp:keywords/>
  <dc:description/>
  <cp:lastModifiedBy>Adriana Corena</cp:lastModifiedBy>
  <cp:revision>2</cp:revision>
  <cp:lastPrinted>2021-11-24T15:07:00Z</cp:lastPrinted>
  <dcterms:created xsi:type="dcterms:W3CDTF">2021-11-24T15:26:00Z</dcterms:created>
  <dcterms:modified xsi:type="dcterms:W3CDTF">2021-11-24T15:26:00Z</dcterms:modified>
</cp:coreProperties>
</file>