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2E366" w14:textId="77777777" w:rsidR="002B0601" w:rsidRPr="00D86DAA" w:rsidRDefault="002B0601" w:rsidP="00AA3F8F">
      <w:pPr>
        <w:spacing w:line="240" w:lineRule="auto"/>
        <w:contextualSpacing w:val="0"/>
        <w:rPr>
          <w:rFonts w:asciiTheme="majorHAnsi" w:eastAsia="Calibri" w:hAnsiTheme="majorHAnsi" w:cstheme="majorHAnsi"/>
          <w:color w:val="000000" w:themeColor="text1"/>
          <w:sz w:val="24"/>
          <w:szCs w:val="24"/>
        </w:rPr>
      </w:pPr>
    </w:p>
    <w:p w14:paraId="0CEA8F55" w14:textId="58BBD7FC" w:rsidR="00160819" w:rsidRPr="001C6641" w:rsidRDefault="002B0601" w:rsidP="00AA3F8F">
      <w:pPr>
        <w:spacing w:line="240" w:lineRule="auto"/>
        <w:contextualSpacing w:val="0"/>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Bogotá D.C.</w:t>
      </w:r>
      <w:r w:rsidR="00AE3C94" w:rsidRPr="001C6641">
        <w:rPr>
          <w:rFonts w:ascii="Bookman Old Style" w:eastAsia="Calibri" w:hAnsi="Bookman Old Style" w:cstheme="majorHAnsi"/>
          <w:color w:val="000000" w:themeColor="text1"/>
          <w:sz w:val="24"/>
          <w:szCs w:val="24"/>
        </w:rPr>
        <w:t>,</w:t>
      </w:r>
      <w:r w:rsidRPr="001C6641">
        <w:rPr>
          <w:rFonts w:ascii="Bookman Old Style" w:eastAsia="Calibri" w:hAnsi="Bookman Old Style" w:cstheme="majorHAnsi"/>
          <w:color w:val="000000" w:themeColor="text1"/>
          <w:sz w:val="24"/>
          <w:szCs w:val="24"/>
        </w:rPr>
        <w:t xml:space="preserve"> </w:t>
      </w:r>
      <w:r w:rsidR="00C32F5A">
        <w:rPr>
          <w:rFonts w:ascii="Bookman Old Style" w:eastAsia="Calibri" w:hAnsi="Bookman Old Style" w:cstheme="majorHAnsi"/>
          <w:color w:val="000000" w:themeColor="text1"/>
          <w:sz w:val="24"/>
          <w:szCs w:val="24"/>
        </w:rPr>
        <w:t>juni</w:t>
      </w:r>
      <w:r w:rsidR="00C17B3E">
        <w:rPr>
          <w:rFonts w:ascii="Bookman Old Style" w:eastAsia="Calibri" w:hAnsi="Bookman Old Style" w:cstheme="majorHAnsi"/>
          <w:color w:val="000000" w:themeColor="text1"/>
          <w:sz w:val="24"/>
          <w:szCs w:val="24"/>
        </w:rPr>
        <w:t>o</w:t>
      </w:r>
      <w:r w:rsidR="00F51E69" w:rsidRPr="001C6641">
        <w:rPr>
          <w:rFonts w:ascii="Bookman Old Style" w:eastAsia="Calibri" w:hAnsi="Bookman Old Style" w:cstheme="majorHAnsi"/>
          <w:color w:val="000000" w:themeColor="text1"/>
          <w:sz w:val="24"/>
          <w:szCs w:val="24"/>
        </w:rPr>
        <w:t xml:space="preserve"> de 20</w:t>
      </w:r>
      <w:r w:rsidR="00C17B3E">
        <w:rPr>
          <w:rFonts w:ascii="Bookman Old Style" w:eastAsia="Calibri" w:hAnsi="Bookman Old Style" w:cstheme="majorHAnsi"/>
          <w:color w:val="000000" w:themeColor="text1"/>
          <w:sz w:val="24"/>
          <w:szCs w:val="24"/>
        </w:rPr>
        <w:t>22</w:t>
      </w:r>
    </w:p>
    <w:p w14:paraId="1D896A1A" w14:textId="77777777" w:rsidR="00160819" w:rsidRPr="001C6641" w:rsidRDefault="006E6254" w:rsidP="00AA3F8F">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 xml:space="preserve"> </w:t>
      </w:r>
    </w:p>
    <w:p w14:paraId="3BB82017" w14:textId="77777777" w:rsidR="002B0601" w:rsidRPr="001C6641" w:rsidRDefault="002B0601" w:rsidP="00AA3F8F">
      <w:pPr>
        <w:spacing w:line="240" w:lineRule="auto"/>
        <w:contextualSpacing w:val="0"/>
        <w:jc w:val="both"/>
        <w:rPr>
          <w:rFonts w:ascii="Bookman Old Style" w:eastAsia="Calibri" w:hAnsi="Bookman Old Style" w:cstheme="majorHAnsi"/>
          <w:color w:val="000000" w:themeColor="text1"/>
          <w:sz w:val="24"/>
          <w:szCs w:val="24"/>
        </w:rPr>
      </w:pPr>
    </w:p>
    <w:p w14:paraId="21B3F87C" w14:textId="77777777" w:rsidR="002B0601" w:rsidRPr="001C6641" w:rsidRDefault="002B0601" w:rsidP="00AA3F8F">
      <w:pPr>
        <w:spacing w:line="240" w:lineRule="auto"/>
        <w:contextualSpacing w:val="0"/>
        <w:jc w:val="both"/>
        <w:rPr>
          <w:rFonts w:ascii="Bookman Old Style" w:eastAsia="Calibri" w:hAnsi="Bookman Old Style" w:cstheme="majorHAnsi"/>
          <w:color w:val="000000" w:themeColor="text1"/>
          <w:sz w:val="24"/>
          <w:szCs w:val="24"/>
        </w:rPr>
      </w:pPr>
    </w:p>
    <w:p w14:paraId="105076A1" w14:textId="77777777" w:rsidR="00160819" w:rsidRPr="001C6641" w:rsidRDefault="002B0601" w:rsidP="00AA3F8F">
      <w:pPr>
        <w:spacing w:line="240" w:lineRule="auto"/>
        <w:contextualSpacing w:val="0"/>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Doctor</w:t>
      </w:r>
    </w:p>
    <w:p w14:paraId="79E3C032" w14:textId="7AEC58DF" w:rsidR="00160819" w:rsidRPr="001C6641" w:rsidRDefault="00A86E08" w:rsidP="00AA3F8F">
      <w:pPr>
        <w:spacing w:line="240" w:lineRule="auto"/>
        <w:contextualSpacing w:val="0"/>
        <w:rPr>
          <w:rFonts w:ascii="Bookman Old Style" w:eastAsia="Calibri" w:hAnsi="Bookman Old Style" w:cstheme="majorHAnsi"/>
          <w:b/>
          <w:color w:val="000000" w:themeColor="text1"/>
          <w:sz w:val="24"/>
          <w:szCs w:val="24"/>
        </w:rPr>
      </w:pPr>
      <w:r>
        <w:rPr>
          <w:rFonts w:ascii="Bookman Old Style" w:eastAsia="Calibri" w:hAnsi="Bookman Old Style" w:cstheme="majorHAnsi"/>
          <w:b/>
          <w:color w:val="000000" w:themeColor="text1"/>
          <w:sz w:val="24"/>
          <w:szCs w:val="24"/>
        </w:rPr>
        <w:t>JULIO CESAR TRIANA</w:t>
      </w:r>
    </w:p>
    <w:p w14:paraId="315149D5" w14:textId="286EFAC8" w:rsidR="00160819" w:rsidRPr="001C6641" w:rsidRDefault="006E6254" w:rsidP="00AA3F8F">
      <w:pPr>
        <w:spacing w:line="240" w:lineRule="auto"/>
        <w:contextualSpacing w:val="0"/>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 xml:space="preserve">Presidente </w:t>
      </w:r>
    </w:p>
    <w:p w14:paraId="44979609" w14:textId="250E3E33" w:rsidR="00AE3C94" w:rsidRPr="001C6641" w:rsidRDefault="00AE3C94" w:rsidP="00AA3F8F">
      <w:pPr>
        <w:spacing w:line="240" w:lineRule="auto"/>
        <w:contextualSpacing w:val="0"/>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Comisión Primera Constitucional Permanente</w:t>
      </w:r>
    </w:p>
    <w:p w14:paraId="168A3A09" w14:textId="77777777" w:rsidR="00160819" w:rsidRPr="001C6641" w:rsidRDefault="005E7367" w:rsidP="00AA3F8F">
      <w:pPr>
        <w:spacing w:line="240" w:lineRule="auto"/>
        <w:contextualSpacing w:val="0"/>
        <w:jc w:val="both"/>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H</w:t>
      </w:r>
      <w:r w:rsidR="00251138" w:rsidRPr="001C6641">
        <w:rPr>
          <w:rFonts w:ascii="Bookman Old Style" w:eastAsia="Calibri" w:hAnsi="Bookman Old Style" w:cstheme="majorHAnsi"/>
          <w:b/>
          <w:color w:val="000000" w:themeColor="text1"/>
          <w:sz w:val="24"/>
          <w:szCs w:val="24"/>
        </w:rPr>
        <w:t xml:space="preserve">. </w:t>
      </w:r>
      <w:r w:rsidR="006E6254" w:rsidRPr="001C6641">
        <w:rPr>
          <w:rFonts w:ascii="Bookman Old Style" w:eastAsia="Calibri" w:hAnsi="Bookman Old Style" w:cstheme="majorHAnsi"/>
          <w:b/>
          <w:color w:val="000000" w:themeColor="text1"/>
          <w:sz w:val="24"/>
          <w:szCs w:val="24"/>
        </w:rPr>
        <w:t>Cámara de Representantes</w:t>
      </w:r>
    </w:p>
    <w:p w14:paraId="4FE133F3" w14:textId="77777777" w:rsidR="00160819" w:rsidRPr="001C6641" w:rsidRDefault="00160819" w:rsidP="00AA3F8F">
      <w:pPr>
        <w:spacing w:line="240" w:lineRule="auto"/>
        <w:contextualSpacing w:val="0"/>
        <w:jc w:val="both"/>
        <w:rPr>
          <w:rFonts w:ascii="Bookman Old Style" w:eastAsia="Calibri" w:hAnsi="Bookman Old Style" w:cstheme="majorHAnsi"/>
          <w:color w:val="000000" w:themeColor="text1"/>
          <w:sz w:val="24"/>
          <w:szCs w:val="24"/>
        </w:rPr>
      </w:pPr>
    </w:p>
    <w:p w14:paraId="0D92D276" w14:textId="3F4B8A27" w:rsidR="00160819" w:rsidRPr="00A86E08" w:rsidRDefault="006E6254" w:rsidP="00F51E69">
      <w:pPr>
        <w:spacing w:line="240" w:lineRule="auto"/>
        <w:ind w:left="993" w:hanging="993"/>
        <w:contextualSpacing w:val="0"/>
        <w:jc w:val="both"/>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 xml:space="preserve">Asunto: Informe de ponencia </w:t>
      </w:r>
      <w:r w:rsidR="00C32F5A">
        <w:rPr>
          <w:rFonts w:ascii="Bookman Old Style" w:eastAsia="Calibri" w:hAnsi="Bookman Old Style" w:cstheme="majorHAnsi"/>
          <w:b/>
          <w:color w:val="000000" w:themeColor="text1"/>
          <w:sz w:val="24"/>
          <w:szCs w:val="24"/>
        </w:rPr>
        <w:t xml:space="preserve">Negativa </w:t>
      </w:r>
      <w:r w:rsidR="00F51E69" w:rsidRPr="001C6641">
        <w:rPr>
          <w:rFonts w:ascii="Bookman Old Style" w:eastAsia="Calibri" w:hAnsi="Bookman Old Style" w:cstheme="majorHAnsi"/>
          <w:b/>
          <w:color w:val="000000" w:themeColor="text1"/>
          <w:sz w:val="24"/>
          <w:szCs w:val="24"/>
        </w:rPr>
        <w:t xml:space="preserve">para </w:t>
      </w:r>
      <w:r w:rsidR="00591DC6" w:rsidRPr="001C6641">
        <w:rPr>
          <w:rFonts w:ascii="Bookman Old Style" w:eastAsia="Calibri" w:hAnsi="Bookman Old Style" w:cstheme="majorHAnsi"/>
          <w:b/>
          <w:color w:val="000000" w:themeColor="text1"/>
          <w:sz w:val="24"/>
          <w:szCs w:val="24"/>
        </w:rPr>
        <w:t>Primer</w:t>
      </w:r>
      <w:r w:rsidR="002B0601" w:rsidRPr="001C6641">
        <w:rPr>
          <w:rFonts w:ascii="Bookman Old Style" w:eastAsia="Calibri" w:hAnsi="Bookman Old Style" w:cstheme="majorHAnsi"/>
          <w:b/>
          <w:color w:val="000000" w:themeColor="text1"/>
          <w:sz w:val="24"/>
          <w:szCs w:val="24"/>
        </w:rPr>
        <w:t xml:space="preserve"> Debate </w:t>
      </w:r>
      <w:r w:rsidR="00AA3F8F" w:rsidRPr="001C6641">
        <w:rPr>
          <w:rFonts w:ascii="Bookman Old Style" w:eastAsia="Calibri" w:hAnsi="Bookman Old Style" w:cstheme="majorHAnsi"/>
          <w:b/>
          <w:color w:val="000000" w:themeColor="text1"/>
          <w:sz w:val="24"/>
          <w:szCs w:val="24"/>
        </w:rPr>
        <w:t xml:space="preserve">para </w:t>
      </w:r>
      <w:r w:rsidRPr="001C6641">
        <w:rPr>
          <w:rFonts w:ascii="Bookman Old Style" w:eastAsia="Calibri" w:hAnsi="Bookman Old Style" w:cstheme="majorHAnsi"/>
          <w:b/>
          <w:color w:val="000000" w:themeColor="text1"/>
          <w:sz w:val="24"/>
          <w:szCs w:val="24"/>
        </w:rPr>
        <w:t xml:space="preserve">el </w:t>
      </w:r>
      <w:r w:rsidR="002B0601" w:rsidRPr="001C6641">
        <w:rPr>
          <w:rFonts w:ascii="Bookman Old Style" w:eastAsia="Calibri" w:hAnsi="Bookman Old Style" w:cstheme="majorHAnsi"/>
          <w:b/>
          <w:color w:val="000000" w:themeColor="text1"/>
          <w:sz w:val="24"/>
          <w:szCs w:val="24"/>
        </w:rPr>
        <w:t>Proyecto de Le</w:t>
      </w:r>
      <w:r w:rsidR="004C0649" w:rsidRPr="001C6641">
        <w:rPr>
          <w:rFonts w:ascii="Bookman Old Style" w:eastAsia="Calibri" w:hAnsi="Bookman Old Style" w:cstheme="majorHAnsi"/>
          <w:b/>
          <w:color w:val="000000" w:themeColor="text1"/>
          <w:sz w:val="24"/>
          <w:szCs w:val="24"/>
        </w:rPr>
        <w:t>y</w:t>
      </w:r>
      <w:r w:rsidR="002B0601" w:rsidRPr="001C6641">
        <w:rPr>
          <w:rFonts w:ascii="Bookman Old Style" w:eastAsia="Calibri" w:hAnsi="Bookman Old Style" w:cstheme="majorHAnsi"/>
          <w:b/>
          <w:color w:val="000000" w:themeColor="text1"/>
          <w:sz w:val="24"/>
          <w:szCs w:val="24"/>
        </w:rPr>
        <w:t xml:space="preserve"> </w:t>
      </w:r>
      <w:r w:rsidR="00A86E08">
        <w:rPr>
          <w:rFonts w:ascii="Bookman Old Style" w:eastAsia="Calibri" w:hAnsi="Bookman Old Style" w:cstheme="majorHAnsi"/>
          <w:b/>
          <w:color w:val="000000" w:themeColor="text1"/>
          <w:sz w:val="24"/>
          <w:szCs w:val="24"/>
        </w:rPr>
        <w:t xml:space="preserve">Estatutaria N° </w:t>
      </w:r>
      <w:r w:rsidR="00A86E08">
        <w:rPr>
          <w:rFonts w:ascii="Bookman Old Style" w:hAnsi="Bookman Old Style" w:cstheme="majorHAnsi"/>
          <w:b/>
          <w:sz w:val="24"/>
          <w:szCs w:val="24"/>
        </w:rPr>
        <w:t>021</w:t>
      </w:r>
      <w:r w:rsidR="00AE3C94" w:rsidRPr="001C6641">
        <w:rPr>
          <w:rFonts w:ascii="Bookman Old Style" w:hAnsi="Bookman Old Style" w:cstheme="majorHAnsi"/>
          <w:b/>
          <w:sz w:val="24"/>
          <w:szCs w:val="24"/>
        </w:rPr>
        <w:t xml:space="preserve"> </w:t>
      </w:r>
      <w:r w:rsidR="00AE3C94" w:rsidRPr="001C6641">
        <w:rPr>
          <w:rFonts w:ascii="Bookman Old Style" w:hAnsi="Bookman Old Style" w:cstheme="majorHAnsi"/>
          <w:b/>
          <w:sz w:val="24"/>
          <w:szCs w:val="24"/>
          <w:highlight w:val="white"/>
        </w:rPr>
        <w:t>de 202</w:t>
      </w:r>
      <w:r w:rsidR="00A86E08">
        <w:rPr>
          <w:rFonts w:ascii="Bookman Old Style" w:hAnsi="Bookman Old Style" w:cstheme="majorHAnsi"/>
          <w:b/>
          <w:sz w:val="24"/>
          <w:szCs w:val="24"/>
          <w:highlight w:val="white"/>
        </w:rPr>
        <w:t>1</w:t>
      </w:r>
      <w:r w:rsidR="00AE3C94" w:rsidRPr="001C6641">
        <w:rPr>
          <w:rFonts w:ascii="Bookman Old Style" w:hAnsi="Bookman Old Style" w:cstheme="majorHAnsi"/>
          <w:b/>
          <w:sz w:val="24"/>
          <w:szCs w:val="24"/>
          <w:highlight w:val="white"/>
        </w:rPr>
        <w:t xml:space="preserve"> Cámara</w:t>
      </w:r>
      <w:r w:rsidR="00AE3C94" w:rsidRPr="001C6641">
        <w:rPr>
          <w:rFonts w:ascii="Bookman Old Style" w:hAnsi="Bookman Old Style" w:cstheme="majorHAnsi"/>
          <w:b/>
          <w:color w:val="252525"/>
          <w:sz w:val="24"/>
          <w:szCs w:val="24"/>
          <w:highlight w:val="white"/>
        </w:rPr>
        <w:t xml:space="preserve"> </w:t>
      </w:r>
      <w:r w:rsidR="00A86E08" w:rsidRPr="00A86E08">
        <w:rPr>
          <w:rFonts w:ascii="Bookman Old Style" w:eastAsia="Calibri" w:hAnsi="Bookman Old Style" w:cstheme="majorHAnsi"/>
          <w:b/>
          <w:color w:val="000000" w:themeColor="text1"/>
          <w:sz w:val="24"/>
          <w:szCs w:val="24"/>
        </w:rPr>
        <w:t>“Por la cual se fortalece la Administración de Justicia en beneficio de los niños, niñas y adolescentes y se crean Unidades Especializadas de Justicia para la Infancia y la Adolescencia y se ordena la implementación de estrategias de prevención”</w:t>
      </w:r>
    </w:p>
    <w:p w14:paraId="54A0C2E5" w14:textId="77777777" w:rsidR="00160819" w:rsidRPr="001C6641" w:rsidRDefault="00160819" w:rsidP="00AA3F8F">
      <w:pPr>
        <w:spacing w:line="240" w:lineRule="auto"/>
        <w:contextualSpacing w:val="0"/>
        <w:jc w:val="both"/>
        <w:rPr>
          <w:rFonts w:ascii="Bookman Old Style" w:eastAsia="Calibri" w:hAnsi="Bookman Old Style" w:cstheme="majorHAnsi"/>
          <w:color w:val="000000" w:themeColor="text1"/>
          <w:sz w:val="24"/>
          <w:szCs w:val="24"/>
        </w:rPr>
      </w:pPr>
    </w:p>
    <w:p w14:paraId="3661B6B7" w14:textId="77777777" w:rsidR="00BA6CBA" w:rsidRPr="001C6641" w:rsidRDefault="00BA6CBA" w:rsidP="00AA3F8F">
      <w:pPr>
        <w:spacing w:line="240" w:lineRule="auto"/>
        <w:contextualSpacing w:val="0"/>
        <w:jc w:val="both"/>
        <w:rPr>
          <w:rFonts w:ascii="Bookman Old Style" w:eastAsia="Calibri" w:hAnsi="Bookman Old Style" w:cstheme="majorHAnsi"/>
          <w:color w:val="000000" w:themeColor="text1"/>
          <w:sz w:val="24"/>
          <w:szCs w:val="24"/>
        </w:rPr>
      </w:pPr>
    </w:p>
    <w:p w14:paraId="5DAB570E" w14:textId="77777777" w:rsidR="00160819" w:rsidRPr="001C6641" w:rsidRDefault="006E6254" w:rsidP="00AA3F8F">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Respetado Presidente,</w:t>
      </w:r>
    </w:p>
    <w:p w14:paraId="1137A65B" w14:textId="77777777" w:rsidR="00AA3F8F" w:rsidRPr="001C6641" w:rsidRDefault="00AA3F8F" w:rsidP="00AA3F8F">
      <w:pPr>
        <w:spacing w:line="240" w:lineRule="auto"/>
        <w:contextualSpacing w:val="0"/>
        <w:jc w:val="both"/>
        <w:rPr>
          <w:rFonts w:ascii="Bookman Old Style" w:eastAsia="Calibri" w:hAnsi="Bookman Old Style" w:cstheme="majorHAnsi"/>
          <w:color w:val="000000" w:themeColor="text1"/>
          <w:sz w:val="24"/>
          <w:szCs w:val="24"/>
        </w:rPr>
      </w:pPr>
    </w:p>
    <w:p w14:paraId="73F92EB7" w14:textId="79C8D451" w:rsidR="00A86E08" w:rsidRPr="00A86E08" w:rsidRDefault="006E6254" w:rsidP="00A86E08">
      <w:pPr>
        <w:spacing w:line="240" w:lineRule="auto"/>
        <w:contextualSpacing w:val="0"/>
        <w:jc w:val="both"/>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color w:val="000000" w:themeColor="text1"/>
          <w:sz w:val="24"/>
          <w:szCs w:val="24"/>
        </w:rPr>
        <w:t xml:space="preserve">Atendiendo </w:t>
      </w:r>
      <w:r w:rsidR="003B5F59">
        <w:rPr>
          <w:rFonts w:ascii="Bookman Old Style" w:eastAsia="Calibri" w:hAnsi="Bookman Old Style" w:cstheme="majorHAnsi"/>
          <w:color w:val="000000" w:themeColor="text1"/>
          <w:sz w:val="24"/>
          <w:szCs w:val="24"/>
        </w:rPr>
        <w:t xml:space="preserve">a </w:t>
      </w:r>
      <w:r w:rsidRPr="001C6641">
        <w:rPr>
          <w:rFonts w:ascii="Bookman Old Style" w:eastAsia="Calibri" w:hAnsi="Bookman Old Style" w:cstheme="majorHAnsi"/>
          <w:color w:val="000000" w:themeColor="text1"/>
          <w:sz w:val="24"/>
          <w:szCs w:val="24"/>
        </w:rPr>
        <w:t>la designación</w:t>
      </w:r>
      <w:r w:rsidR="003B5F59">
        <w:rPr>
          <w:rFonts w:ascii="Bookman Old Style" w:eastAsia="Calibri" w:hAnsi="Bookman Old Style" w:cstheme="majorHAnsi"/>
          <w:color w:val="000000" w:themeColor="text1"/>
          <w:sz w:val="24"/>
          <w:szCs w:val="24"/>
        </w:rPr>
        <w:t xml:space="preserve"> que nos hiciera</w:t>
      </w:r>
      <w:r w:rsidRPr="001C6641">
        <w:rPr>
          <w:rFonts w:ascii="Bookman Old Style" w:eastAsia="Calibri" w:hAnsi="Bookman Old Style" w:cstheme="majorHAnsi"/>
          <w:color w:val="000000" w:themeColor="text1"/>
          <w:sz w:val="24"/>
          <w:szCs w:val="24"/>
        </w:rPr>
        <w:t xml:space="preserve"> la Mesa Directiva de la Comisión Primera de la Cámara de Representantes y en virtud de las facultades constitucionales y las establecidas en la Ley 5ª de 1992, </w:t>
      </w:r>
      <w:r w:rsidR="00AA3F8F" w:rsidRPr="001C6641">
        <w:rPr>
          <w:rFonts w:ascii="Bookman Old Style" w:eastAsia="Calibri" w:hAnsi="Bookman Old Style" w:cstheme="majorHAnsi"/>
          <w:color w:val="000000" w:themeColor="text1"/>
          <w:sz w:val="24"/>
          <w:szCs w:val="24"/>
        </w:rPr>
        <w:t>pon</w:t>
      </w:r>
      <w:r w:rsidR="00000DE4" w:rsidRPr="001C6641">
        <w:rPr>
          <w:rFonts w:ascii="Bookman Old Style" w:eastAsia="Calibri" w:hAnsi="Bookman Old Style" w:cstheme="majorHAnsi"/>
          <w:color w:val="000000" w:themeColor="text1"/>
          <w:sz w:val="24"/>
          <w:szCs w:val="24"/>
        </w:rPr>
        <w:t>em</w:t>
      </w:r>
      <w:r w:rsidR="00FB50DD" w:rsidRPr="001C6641">
        <w:rPr>
          <w:rFonts w:ascii="Bookman Old Style" w:eastAsia="Calibri" w:hAnsi="Bookman Old Style" w:cstheme="majorHAnsi"/>
          <w:color w:val="000000" w:themeColor="text1"/>
          <w:sz w:val="24"/>
          <w:szCs w:val="24"/>
        </w:rPr>
        <w:t>o</w:t>
      </w:r>
      <w:r w:rsidR="00000DE4" w:rsidRPr="001C6641">
        <w:rPr>
          <w:rFonts w:ascii="Bookman Old Style" w:eastAsia="Calibri" w:hAnsi="Bookman Old Style" w:cstheme="majorHAnsi"/>
          <w:color w:val="000000" w:themeColor="text1"/>
          <w:sz w:val="24"/>
          <w:szCs w:val="24"/>
        </w:rPr>
        <w:t>s</w:t>
      </w:r>
      <w:r w:rsidRPr="001C6641">
        <w:rPr>
          <w:rFonts w:ascii="Bookman Old Style" w:eastAsia="Calibri" w:hAnsi="Bookman Old Style" w:cstheme="majorHAnsi"/>
          <w:color w:val="000000" w:themeColor="text1"/>
          <w:sz w:val="24"/>
          <w:szCs w:val="24"/>
        </w:rPr>
        <w:t xml:space="preserve"> a consideración de los honorables Representantes de la </w:t>
      </w:r>
      <w:r w:rsidR="00FB50DD" w:rsidRPr="001C6641">
        <w:rPr>
          <w:rFonts w:ascii="Bookman Old Style" w:eastAsia="Calibri" w:hAnsi="Bookman Old Style" w:cstheme="majorHAnsi"/>
          <w:color w:val="000000" w:themeColor="text1"/>
          <w:sz w:val="24"/>
          <w:szCs w:val="24"/>
        </w:rPr>
        <w:t>Comisión Primera</w:t>
      </w:r>
      <w:r w:rsidRPr="001C6641">
        <w:rPr>
          <w:rFonts w:ascii="Bookman Old Style" w:eastAsia="Calibri" w:hAnsi="Bookman Old Style" w:cstheme="majorHAnsi"/>
          <w:color w:val="000000" w:themeColor="text1"/>
          <w:sz w:val="24"/>
          <w:szCs w:val="24"/>
        </w:rPr>
        <w:t xml:space="preserve"> de la Cámara de Representantes, el informe de ponencia</w:t>
      </w:r>
      <w:r w:rsidR="00C32F5A">
        <w:rPr>
          <w:rFonts w:ascii="Bookman Old Style" w:eastAsia="Calibri" w:hAnsi="Bookman Old Style" w:cstheme="majorHAnsi"/>
          <w:color w:val="000000" w:themeColor="text1"/>
          <w:sz w:val="24"/>
          <w:szCs w:val="24"/>
        </w:rPr>
        <w:t xml:space="preserve"> negativa</w:t>
      </w:r>
      <w:r w:rsidR="00FA2E5D" w:rsidRPr="001C6641">
        <w:rPr>
          <w:rFonts w:ascii="Bookman Old Style" w:eastAsia="Calibri" w:hAnsi="Bookman Old Style" w:cstheme="majorHAnsi"/>
          <w:color w:val="000000" w:themeColor="text1"/>
          <w:sz w:val="24"/>
          <w:szCs w:val="24"/>
        </w:rPr>
        <w:t xml:space="preserve"> para </w:t>
      </w:r>
      <w:r w:rsidR="00FB50DD" w:rsidRPr="001C6641">
        <w:rPr>
          <w:rFonts w:ascii="Bookman Old Style" w:eastAsia="Calibri" w:hAnsi="Bookman Old Style" w:cstheme="majorHAnsi"/>
          <w:color w:val="000000" w:themeColor="text1"/>
          <w:sz w:val="24"/>
          <w:szCs w:val="24"/>
        </w:rPr>
        <w:t>Primer</w:t>
      </w:r>
      <w:r w:rsidR="00FA2E5D" w:rsidRPr="001C6641">
        <w:rPr>
          <w:rFonts w:ascii="Bookman Old Style" w:eastAsia="Calibri" w:hAnsi="Bookman Old Style" w:cstheme="majorHAnsi"/>
          <w:color w:val="000000" w:themeColor="text1"/>
          <w:sz w:val="24"/>
          <w:szCs w:val="24"/>
        </w:rPr>
        <w:t xml:space="preserve"> Debate</w:t>
      </w:r>
      <w:r w:rsidRPr="001C6641">
        <w:rPr>
          <w:rFonts w:ascii="Bookman Old Style" w:eastAsia="Calibri" w:hAnsi="Bookman Old Style" w:cstheme="majorHAnsi"/>
          <w:color w:val="000000" w:themeColor="text1"/>
          <w:sz w:val="24"/>
          <w:szCs w:val="24"/>
        </w:rPr>
        <w:t xml:space="preserve"> </w:t>
      </w:r>
      <w:r w:rsidR="002B0601" w:rsidRPr="001C6641">
        <w:rPr>
          <w:rFonts w:ascii="Bookman Old Style" w:eastAsia="Calibri" w:hAnsi="Bookman Old Style" w:cstheme="majorHAnsi"/>
          <w:color w:val="000000" w:themeColor="text1"/>
          <w:sz w:val="24"/>
          <w:szCs w:val="24"/>
        </w:rPr>
        <w:t>a</w:t>
      </w:r>
      <w:r w:rsidRPr="001C6641">
        <w:rPr>
          <w:rFonts w:ascii="Bookman Old Style" w:eastAsia="Calibri" w:hAnsi="Bookman Old Style" w:cstheme="majorHAnsi"/>
          <w:color w:val="000000" w:themeColor="text1"/>
          <w:sz w:val="24"/>
          <w:szCs w:val="24"/>
        </w:rPr>
        <w:t xml:space="preserve">l </w:t>
      </w:r>
      <w:r w:rsidR="004C0649" w:rsidRPr="001C6641">
        <w:rPr>
          <w:rFonts w:ascii="Bookman Old Style" w:eastAsia="Calibri" w:hAnsi="Bookman Old Style" w:cstheme="majorHAnsi"/>
          <w:b/>
          <w:color w:val="000000" w:themeColor="text1"/>
          <w:sz w:val="24"/>
          <w:szCs w:val="24"/>
        </w:rPr>
        <w:t xml:space="preserve">Proyecto de </w:t>
      </w:r>
      <w:r w:rsidR="00AE3C94" w:rsidRPr="001C6641">
        <w:rPr>
          <w:rFonts w:ascii="Bookman Old Style" w:eastAsia="Calibri" w:hAnsi="Bookman Old Style" w:cstheme="majorHAnsi"/>
          <w:b/>
          <w:color w:val="000000" w:themeColor="text1"/>
          <w:sz w:val="24"/>
          <w:szCs w:val="24"/>
        </w:rPr>
        <w:t xml:space="preserve">Ley </w:t>
      </w:r>
      <w:r w:rsidR="00A86E08">
        <w:rPr>
          <w:rFonts w:ascii="Bookman Old Style" w:eastAsia="Calibri" w:hAnsi="Bookman Old Style" w:cstheme="majorHAnsi"/>
          <w:b/>
          <w:color w:val="000000" w:themeColor="text1"/>
          <w:sz w:val="24"/>
          <w:szCs w:val="24"/>
        </w:rPr>
        <w:t xml:space="preserve">Estatutaria N° </w:t>
      </w:r>
      <w:r w:rsidR="00A86E08">
        <w:rPr>
          <w:rFonts w:ascii="Bookman Old Style" w:hAnsi="Bookman Old Style" w:cstheme="majorHAnsi"/>
          <w:b/>
          <w:sz w:val="24"/>
          <w:szCs w:val="24"/>
        </w:rPr>
        <w:t>021</w:t>
      </w:r>
      <w:r w:rsidR="00AE3C94" w:rsidRPr="001C6641">
        <w:rPr>
          <w:rFonts w:ascii="Bookman Old Style" w:hAnsi="Bookman Old Style" w:cstheme="majorHAnsi"/>
          <w:b/>
          <w:sz w:val="24"/>
          <w:szCs w:val="24"/>
        </w:rPr>
        <w:t xml:space="preserve"> </w:t>
      </w:r>
      <w:r w:rsidR="00C17B3E">
        <w:rPr>
          <w:rFonts w:ascii="Bookman Old Style" w:hAnsi="Bookman Old Style" w:cstheme="majorHAnsi"/>
          <w:b/>
          <w:sz w:val="24"/>
          <w:szCs w:val="24"/>
          <w:highlight w:val="white"/>
        </w:rPr>
        <w:t>de 2021</w:t>
      </w:r>
      <w:r w:rsidR="00AE3C94" w:rsidRPr="001C6641">
        <w:rPr>
          <w:rFonts w:ascii="Bookman Old Style" w:hAnsi="Bookman Old Style" w:cstheme="majorHAnsi"/>
          <w:b/>
          <w:sz w:val="24"/>
          <w:szCs w:val="24"/>
          <w:highlight w:val="white"/>
        </w:rPr>
        <w:t xml:space="preserve"> Cámara</w:t>
      </w:r>
      <w:r w:rsidR="00AE3C94" w:rsidRPr="001C6641">
        <w:rPr>
          <w:rFonts w:ascii="Bookman Old Style" w:hAnsi="Bookman Old Style" w:cstheme="majorHAnsi"/>
          <w:b/>
          <w:color w:val="252525"/>
          <w:sz w:val="24"/>
          <w:szCs w:val="24"/>
          <w:highlight w:val="white"/>
        </w:rPr>
        <w:t xml:space="preserve"> </w:t>
      </w:r>
      <w:r w:rsidR="00AE3C94" w:rsidRPr="001C6641">
        <w:rPr>
          <w:rFonts w:ascii="Bookman Old Style" w:hAnsi="Bookman Old Style" w:cstheme="majorHAnsi"/>
          <w:b/>
          <w:color w:val="252525"/>
          <w:sz w:val="24"/>
          <w:szCs w:val="24"/>
        </w:rPr>
        <w:t xml:space="preserve"> </w:t>
      </w:r>
      <w:r w:rsidR="00A86E08" w:rsidRPr="00A86E08">
        <w:rPr>
          <w:rFonts w:ascii="Bookman Old Style" w:eastAsia="Calibri" w:hAnsi="Bookman Old Style" w:cstheme="majorHAnsi"/>
          <w:b/>
          <w:color w:val="000000" w:themeColor="text1"/>
          <w:sz w:val="24"/>
          <w:szCs w:val="24"/>
        </w:rPr>
        <w:t>“Por la cual se fortalece la Administración de Justicia en beneficio de los niños, niñas y adolescentes y se crean Unidades Especializadas de Justicia para la Infancia y la Adolescencia y se ordena la implementación de estrategias de prevención”</w:t>
      </w:r>
    </w:p>
    <w:p w14:paraId="1EF5A49D" w14:textId="308B8850" w:rsidR="00160819" w:rsidRPr="001C6641" w:rsidRDefault="004C0649" w:rsidP="00AA3F8F">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hAnsi="Bookman Old Style" w:cstheme="majorHAnsi"/>
          <w:b/>
          <w:sz w:val="24"/>
          <w:szCs w:val="24"/>
        </w:rPr>
        <w:t>.</w:t>
      </w:r>
    </w:p>
    <w:p w14:paraId="50B8CD50" w14:textId="77777777" w:rsidR="00160819" w:rsidRPr="001C6641" w:rsidRDefault="00160819" w:rsidP="00AA3F8F">
      <w:pPr>
        <w:spacing w:line="240" w:lineRule="auto"/>
        <w:contextualSpacing w:val="0"/>
        <w:jc w:val="both"/>
        <w:rPr>
          <w:rFonts w:ascii="Bookman Old Style" w:eastAsia="Calibri" w:hAnsi="Bookman Old Style" w:cstheme="majorHAnsi"/>
          <w:color w:val="000000" w:themeColor="text1"/>
          <w:sz w:val="24"/>
          <w:szCs w:val="24"/>
        </w:rPr>
      </w:pPr>
    </w:p>
    <w:p w14:paraId="5CA94B54" w14:textId="77777777" w:rsidR="002B0601" w:rsidRPr="001C6641" w:rsidRDefault="002B0601" w:rsidP="00AA3F8F">
      <w:pPr>
        <w:spacing w:line="240" w:lineRule="auto"/>
        <w:contextualSpacing w:val="0"/>
        <w:jc w:val="both"/>
        <w:rPr>
          <w:rFonts w:ascii="Bookman Old Style" w:eastAsia="Calibri" w:hAnsi="Bookman Old Style" w:cstheme="majorHAnsi"/>
          <w:color w:val="000000" w:themeColor="text1"/>
          <w:sz w:val="24"/>
          <w:szCs w:val="24"/>
        </w:rPr>
      </w:pPr>
    </w:p>
    <w:p w14:paraId="65BBCA7A" w14:textId="77777777" w:rsidR="00160819" w:rsidRPr="001C6641" w:rsidRDefault="006E6254" w:rsidP="00AA3F8F">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 xml:space="preserve">Cordialmente, </w:t>
      </w:r>
    </w:p>
    <w:p w14:paraId="705398E9" w14:textId="77777777" w:rsidR="00160819" w:rsidRPr="001C6641" w:rsidRDefault="00160819" w:rsidP="00AA3F8F">
      <w:pPr>
        <w:spacing w:line="240" w:lineRule="auto"/>
        <w:contextualSpacing w:val="0"/>
        <w:jc w:val="both"/>
        <w:rPr>
          <w:rFonts w:ascii="Bookman Old Style" w:eastAsia="Calibri" w:hAnsi="Bookman Old Style" w:cstheme="majorHAnsi"/>
          <w:color w:val="000000" w:themeColor="text1"/>
          <w:sz w:val="24"/>
          <w:szCs w:val="24"/>
        </w:rPr>
      </w:pPr>
    </w:p>
    <w:p w14:paraId="521E26BE" w14:textId="77777777" w:rsidR="00AA3F8F" w:rsidRPr="001C6641" w:rsidRDefault="00AA3F8F" w:rsidP="00AA3F8F">
      <w:pPr>
        <w:spacing w:line="240" w:lineRule="auto"/>
        <w:contextualSpacing w:val="0"/>
        <w:jc w:val="both"/>
        <w:rPr>
          <w:rFonts w:ascii="Bookman Old Style" w:eastAsia="Calibri" w:hAnsi="Bookman Old Style" w:cstheme="majorHAnsi"/>
          <w:color w:val="000000" w:themeColor="text1"/>
          <w:sz w:val="24"/>
          <w:szCs w:val="24"/>
        </w:rPr>
      </w:pPr>
    </w:p>
    <w:p w14:paraId="3BD81D4D" w14:textId="77777777" w:rsidR="00D24FB6" w:rsidRPr="001C6641" w:rsidRDefault="00D24FB6" w:rsidP="00D24FB6">
      <w:pPr>
        <w:spacing w:line="240" w:lineRule="auto"/>
        <w:contextualSpacing w:val="0"/>
        <w:rPr>
          <w:rFonts w:ascii="Bookman Old Style" w:eastAsia="Calibri" w:hAnsi="Bookman Old Style" w:cstheme="majorHAnsi"/>
          <w:color w:val="000000" w:themeColor="text1"/>
          <w:sz w:val="24"/>
          <w:szCs w:val="24"/>
        </w:rPr>
      </w:pPr>
    </w:p>
    <w:p w14:paraId="6CE8F5F3" w14:textId="198A19F4" w:rsidR="00D24FB6" w:rsidRDefault="00D24FB6" w:rsidP="00D24FB6">
      <w:pPr>
        <w:rPr>
          <w:rFonts w:ascii="Bookman Old Style" w:hAnsi="Bookman Old Style" w:cstheme="majorHAnsi"/>
          <w:sz w:val="24"/>
          <w:szCs w:val="24"/>
        </w:rPr>
      </w:pPr>
    </w:p>
    <w:p w14:paraId="62126CBF" w14:textId="77777777" w:rsidR="00A67F8C" w:rsidRPr="001C6641" w:rsidRDefault="00A67F8C" w:rsidP="00D24FB6">
      <w:pPr>
        <w:rPr>
          <w:rFonts w:ascii="Bookman Old Style" w:hAnsi="Bookman Old Style" w:cstheme="majorHAnsi"/>
          <w:sz w:val="24"/>
          <w:szCs w:val="24"/>
        </w:rPr>
      </w:pPr>
    </w:p>
    <w:p w14:paraId="40306975" w14:textId="1DF88417" w:rsidR="00D24FB6" w:rsidRPr="00A67F8C" w:rsidRDefault="001C6641" w:rsidP="00A86E08">
      <w:pPr>
        <w:jc w:val="center"/>
        <w:rPr>
          <w:rFonts w:ascii="Bookman Old Style" w:hAnsi="Bookman Old Style" w:cstheme="majorHAnsi"/>
          <w:b/>
          <w:bCs/>
          <w:sz w:val="28"/>
          <w:szCs w:val="24"/>
        </w:rPr>
      </w:pPr>
      <w:r w:rsidRPr="00A67F8C">
        <w:rPr>
          <w:rFonts w:ascii="Bookman Old Style" w:hAnsi="Bookman Old Style" w:cstheme="majorHAnsi"/>
          <w:b/>
          <w:bCs/>
          <w:sz w:val="28"/>
          <w:szCs w:val="24"/>
          <w:lang w:eastAsia="es-MX"/>
        </w:rPr>
        <w:t>Jorge Eliécer Tamayo Marulanda</w:t>
      </w:r>
    </w:p>
    <w:p w14:paraId="718A9466" w14:textId="517A0AC8" w:rsidR="00D24FB6" w:rsidRPr="00A67F8C" w:rsidRDefault="00A86E08" w:rsidP="00A67F8C">
      <w:pPr>
        <w:jc w:val="center"/>
        <w:rPr>
          <w:rFonts w:ascii="Bookman Old Style" w:hAnsi="Bookman Old Style" w:cstheme="majorHAnsi"/>
          <w:b/>
          <w:bCs/>
          <w:sz w:val="28"/>
          <w:szCs w:val="24"/>
        </w:rPr>
      </w:pPr>
      <w:r w:rsidRPr="00A67F8C">
        <w:rPr>
          <w:rFonts w:ascii="Bookman Old Style" w:hAnsi="Bookman Old Style" w:cstheme="majorHAnsi"/>
          <w:b/>
          <w:bCs/>
          <w:sz w:val="28"/>
          <w:szCs w:val="24"/>
        </w:rPr>
        <w:t>Representante a la Cámara</w:t>
      </w:r>
      <w:bookmarkStart w:id="0" w:name="_GoBack"/>
      <w:bookmarkEnd w:id="0"/>
    </w:p>
    <w:p w14:paraId="7EF19B58" w14:textId="518BDADA" w:rsidR="00D24FB6" w:rsidRPr="001C6641" w:rsidRDefault="00D24FB6" w:rsidP="00A86E08">
      <w:pPr>
        <w:rPr>
          <w:rFonts w:ascii="Bookman Old Style" w:hAnsi="Bookman Old Style" w:cstheme="majorHAnsi"/>
          <w:b/>
          <w:bCs/>
          <w:sz w:val="24"/>
          <w:szCs w:val="24"/>
        </w:rPr>
      </w:pPr>
    </w:p>
    <w:p w14:paraId="17791661" w14:textId="77777777" w:rsidR="00000DE4" w:rsidRPr="00D86DAA" w:rsidRDefault="00000DE4" w:rsidP="00000DE4">
      <w:pPr>
        <w:spacing w:line="240" w:lineRule="auto"/>
        <w:contextualSpacing w:val="0"/>
        <w:rPr>
          <w:rFonts w:asciiTheme="majorHAnsi" w:eastAsia="Calibri" w:hAnsiTheme="majorHAnsi" w:cstheme="majorHAnsi"/>
          <w:b/>
          <w:color w:val="000000" w:themeColor="text1"/>
          <w:sz w:val="24"/>
          <w:szCs w:val="24"/>
        </w:rPr>
      </w:pPr>
    </w:p>
    <w:p w14:paraId="1B5C45E2" w14:textId="77777777" w:rsidR="00000DE4" w:rsidRPr="00D86DAA" w:rsidRDefault="00000DE4" w:rsidP="00000DE4">
      <w:pPr>
        <w:spacing w:line="240" w:lineRule="auto"/>
        <w:contextualSpacing w:val="0"/>
        <w:jc w:val="center"/>
        <w:rPr>
          <w:rFonts w:asciiTheme="majorHAnsi" w:eastAsia="Calibri" w:hAnsiTheme="majorHAnsi" w:cstheme="majorHAnsi"/>
          <w:b/>
          <w:color w:val="000000" w:themeColor="text1"/>
          <w:sz w:val="24"/>
          <w:szCs w:val="24"/>
        </w:rPr>
        <w:sectPr w:rsidR="00000DE4" w:rsidRPr="00D86DAA" w:rsidSect="00390E20">
          <w:headerReference w:type="default" r:id="rId8"/>
          <w:pgSz w:w="12242" w:h="15842" w:code="1"/>
          <w:pgMar w:top="1701" w:right="1418" w:bottom="1418" w:left="1418" w:header="720" w:footer="720" w:gutter="0"/>
          <w:pgNumType w:start="0"/>
          <w:cols w:space="720"/>
          <w:docGrid w:linePitch="299"/>
        </w:sectPr>
      </w:pPr>
    </w:p>
    <w:p w14:paraId="51190763" w14:textId="61F287BC" w:rsidR="004C0649" w:rsidRPr="001C6641" w:rsidRDefault="006E6254" w:rsidP="00A86E08">
      <w:pPr>
        <w:spacing w:line="240" w:lineRule="auto"/>
        <w:contextualSpacing w:val="0"/>
        <w:jc w:val="both"/>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lastRenderedPageBreak/>
        <w:t xml:space="preserve">INFORME DE PONENCIA PARA </w:t>
      </w:r>
      <w:r w:rsidR="00BA6CBA" w:rsidRPr="001C6641">
        <w:rPr>
          <w:rFonts w:ascii="Bookman Old Style" w:eastAsia="Calibri" w:hAnsi="Bookman Old Style" w:cstheme="majorHAnsi"/>
          <w:b/>
          <w:color w:val="000000" w:themeColor="text1"/>
          <w:sz w:val="24"/>
          <w:szCs w:val="24"/>
        </w:rPr>
        <w:t>PRIMER</w:t>
      </w:r>
      <w:r w:rsidR="002B0601" w:rsidRPr="001C6641">
        <w:rPr>
          <w:rFonts w:ascii="Bookman Old Style" w:eastAsia="Calibri" w:hAnsi="Bookman Old Style" w:cstheme="majorHAnsi"/>
          <w:b/>
          <w:color w:val="000000" w:themeColor="text1"/>
          <w:sz w:val="24"/>
          <w:szCs w:val="24"/>
        </w:rPr>
        <w:t xml:space="preserve"> DEBATE </w:t>
      </w:r>
      <w:r w:rsidRPr="001C6641">
        <w:rPr>
          <w:rFonts w:ascii="Bookman Old Style" w:eastAsia="Calibri" w:hAnsi="Bookman Old Style" w:cstheme="majorHAnsi"/>
          <w:b/>
          <w:color w:val="000000" w:themeColor="text1"/>
          <w:sz w:val="24"/>
          <w:szCs w:val="24"/>
        </w:rPr>
        <w:t>DEL</w:t>
      </w:r>
      <w:r w:rsidR="002B0601" w:rsidRPr="001C6641">
        <w:rPr>
          <w:rFonts w:ascii="Bookman Old Style" w:eastAsia="Calibri" w:hAnsi="Bookman Old Style" w:cstheme="majorHAnsi"/>
          <w:b/>
          <w:color w:val="000000" w:themeColor="text1"/>
          <w:sz w:val="24"/>
          <w:szCs w:val="24"/>
        </w:rPr>
        <w:t xml:space="preserve"> PROYECTO </w:t>
      </w:r>
      <w:r w:rsidR="00AE3C94" w:rsidRPr="001C6641">
        <w:rPr>
          <w:rFonts w:ascii="Bookman Old Style" w:eastAsia="Calibri" w:hAnsi="Bookman Old Style" w:cstheme="majorHAnsi"/>
          <w:b/>
          <w:color w:val="000000" w:themeColor="text1"/>
          <w:sz w:val="24"/>
          <w:szCs w:val="24"/>
        </w:rPr>
        <w:t xml:space="preserve">DE LEY </w:t>
      </w:r>
      <w:r w:rsidR="00A86E08">
        <w:rPr>
          <w:rFonts w:ascii="Bookman Old Style" w:eastAsia="Calibri" w:hAnsi="Bookman Old Style" w:cstheme="majorHAnsi"/>
          <w:b/>
          <w:color w:val="000000" w:themeColor="text1"/>
          <w:sz w:val="24"/>
          <w:szCs w:val="24"/>
        </w:rPr>
        <w:t>ESTATUTARIA N° 021</w:t>
      </w:r>
      <w:r w:rsidR="00AE3C94" w:rsidRPr="001C6641">
        <w:rPr>
          <w:rFonts w:ascii="Bookman Old Style" w:hAnsi="Bookman Old Style" w:cstheme="majorHAnsi"/>
          <w:b/>
          <w:sz w:val="24"/>
          <w:szCs w:val="24"/>
        </w:rPr>
        <w:t xml:space="preserve"> </w:t>
      </w:r>
      <w:r w:rsidR="00AE3C94" w:rsidRPr="001C6641">
        <w:rPr>
          <w:rFonts w:ascii="Bookman Old Style" w:hAnsi="Bookman Old Style" w:cstheme="majorHAnsi"/>
          <w:b/>
          <w:sz w:val="24"/>
          <w:szCs w:val="24"/>
          <w:highlight w:val="white"/>
        </w:rPr>
        <w:t>DE 202</w:t>
      </w:r>
      <w:r w:rsidR="00A86E08">
        <w:rPr>
          <w:rFonts w:ascii="Bookman Old Style" w:hAnsi="Bookman Old Style" w:cstheme="majorHAnsi"/>
          <w:b/>
          <w:sz w:val="24"/>
          <w:szCs w:val="24"/>
          <w:highlight w:val="white"/>
        </w:rPr>
        <w:t>1</w:t>
      </w:r>
      <w:r w:rsidR="00AE3C94" w:rsidRPr="001C6641">
        <w:rPr>
          <w:rFonts w:ascii="Bookman Old Style" w:hAnsi="Bookman Old Style" w:cstheme="majorHAnsi"/>
          <w:b/>
          <w:sz w:val="24"/>
          <w:szCs w:val="24"/>
          <w:highlight w:val="white"/>
        </w:rPr>
        <w:t xml:space="preserve"> CÁMARA</w:t>
      </w:r>
      <w:r w:rsidR="00AE3C94" w:rsidRPr="001C6641">
        <w:rPr>
          <w:rFonts w:ascii="Bookman Old Style" w:hAnsi="Bookman Old Style" w:cstheme="majorHAnsi"/>
          <w:b/>
          <w:color w:val="252525"/>
          <w:sz w:val="24"/>
          <w:szCs w:val="24"/>
          <w:highlight w:val="white"/>
        </w:rPr>
        <w:t xml:space="preserve"> </w:t>
      </w:r>
      <w:r w:rsidR="00AE3C94" w:rsidRPr="001C6641">
        <w:rPr>
          <w:rFonts w:ascii="Bookman Old Style" w:hAnsi="Bookman Old Style" w:cstheme="majorHAnsi"/>
          <w:b/>
          <w:sz w:val="24"/>
          <w:szCs w:val="24"/>
        </w:rPr>
        <w:t xml:space="preserve">“POR </w:t>
      </w:r>
      <w:r w:rsidR="00A86E08" w:rsidRPr="00A86E08">
        <w:rPr>
          <w:rFonts w:ascii="Bookman Old Style" w:eastAsia="Calibri" w:hAnsi="Bookman Old Style" w:cstheme="majorHAnsi"/>
          <w:b/>
          <w:color w:val="000000" w:themeColor="text1"/>
          <w:sz w:val="24"/>
          <w:szCs w:val="24"/>
        </w:rPr>
        <w:t>LA CUAL SE FORTALECE LA ADMINISTRACIÓN DE JUSTICIA EN BENEFICIO DE LOS NIÑOS, NIÑAS Y ADOLESCENTES Y SE CREAN UNIDADES ESPECIALIZADAS DE JUSTICIA PARA LA INFANCIA Y LA ADOLESCENCIA Y SE ORDENA LA IMPLEMENTACIÓN DE ESTRATEGIAS DE PREVENCIÓN”</w:t>
      </w:r>
    </w:p>
    <w:p w14:paraId="7769FFF8" w14:textId="51537BAB" w:rsidR="00A3753A" w:rsidRDefault="00A3753A" w:rsidP="007566D1">
      <w:pPr>
        <w:spacing w:line="240" w:lineRule="auto"/>
        <w:contextualSpacing w:val="0"/>
        <w:jc w:val="both"/>
        <w:rPr>
          <w:rFonts w:ascii="Bookman Old Style" w:eastAsia="Calibri" w:hAnsi="Bookman Old Style" w:cstheme="majorHAnsi"/>
          <w:color w:val="000000" w:themeColor="text1"/>
          <w:sz w:val="24"/>
          <w:szCs w:val="24"/>
        </w:rPr>
      </w:pPr>
    </w:p>
    <w:p w14:paraId="6FC6855A" w14:textId="1C902387" w:rsidR="00E05E5A" w:rsidRPr="001C6641" w:rsidRDefault="006E6254" w:rsidP="007566D1">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En atención a la designación</w:t>
      </w:r>
      <w:r w:rsidR="003B5F59">
        <w:rPr>
          <w:rFonts w:ascii="Bookman Old Style" w:eastAsia="Calibri" w:hAnsi="Bookman Old Style" w:cstheme="majorHAnsi"/>
          <w:color w:val="000000" w:themeColor="text1"/>
          <w:sz w:val="24"/>
          <w:szCs w:val="24"/>
        </w:rPr>
        <w:t xml:space="preserve"> que </w:t>
      </w:r>
      <w:r w:rsidR="00A86E08">
        <w:rPr>
          <w:rFonts w:ascii="Bookman Old Style" w:eastAsia="Calibri" w:hAnsi="Bookman Old Style" w:cstheme="majorHAnsi"/>
          <w:color w:val="000000" w:themeColor="text1"/>
          <w:sz w:val="24"/>
          <w:szCs w:val="24"/>
        </w:rPr>
        <w:t>me</w:t>
      </w:r>
      <w:r w:rsidR="003B5F59">
        <w:rPr>
          <w:rFonts w:ascii="Bookman Old Style" w:eastAsia="Calibri" w:hAnsi="Bookman Old Style" w:cstheme="majorHAnsi"/>
          <w:color w:val="000000" w:themeColor="text1"/>
          <w:sz w:val="24"/>
          <w:szCs w:val="24"/>
        </w:rPr>
        <w:t xml:space="preserve"> hiciera</w:t>
      </w:r>
      <w:r w:rsidRPr="001C6641">
        <w:rPr>
          <w:rFonts w:ascii="Bookman Old Style" w:eastAsia="Calibri" w:hAnsi="Bookman Old Style" w:cstheme="majorHAnsi"/>
          <w:color w:val="000000" w:themeColor="text1"/>
          <w:sz w:val="24"/>
          <w:szCs w:val="24"/>
        </w:rPr>
        <w:t xml:space="preserve"> la Presidencia de la Comisión Primera de la Cámara de Representantes, </w:t>
      </w:r>
      <w:r w:rsidR="00251138" w:rsidRPr="001C6641">
        <w:rPr>
          <w:rFonts w:ascii="Bookman Old Style" w:eastAsia="Calibri" w:hAnsi="Bookman Old Style" w:cstheme="majorHAnsi"/>
          <w:color w:val="000000" w:themeColor="text1"/>
          <w:sz w:val="24"/>
          <w:szCs w:val="24"/>
        </w:rPr>
        <w:t>present</w:t>
      </w:r>
      <w:r w:rsidR="00A86E08">
        <w:rPr>
          <w:rFonts w:ascii="Bookman Old Style" w:eastAsia="Calibri" w:hAnsi="Bookman Old Style" w:cstheme="majorHAnsi"/>
          <w:color w:val="000000" w:themeColor="text1"/>
          <w:sz w:val="24"/>
          <w:szCs w:val="24"/>
        </w:rPr>
        <w:t>ó</w:t>
      </w:r>
      <w:r w:rsidRPr="001C6641">
        <w:rPr>
          <w:rFonts w:ascii="Bookman Old Style" w:eastAsia="Calibri" w:hAnsi="Bookman Old Style" w:cstheme="majorHAnsi"/>
          <w:color w:val="000000" w:themeColor="text1"/>
          <w:sz w:val="24"/>
          <w:szCs w:val="24"/>
        </w:rPr>
        <w:t xml:space="preserve"> </w:t>
      </w:r>
      <w:r w:rsidRPr="001C6641">
        <w:rPr>
          <w:rFonts w:ascii="Bookman Old Style" w:eastAsia="Calibri" w:hAnsi="Bookman Old Style" w:cstheme="majorHAnsi"/>
          <w:b/>
          <w:color w:val="000000" w:themeColor="text1"/>
          <w:sz w:val="24"/>
          <w:szCs w:val="24"/>
        </w:rPr>
        <w:t>INFORME DE PONENCIA</w:t>
      </w:r>
      <w:r w:rsidR="00AA3F8F" w:rsidRPr="001C6641">
        <w:rPr>
          <w:rFonts w:ascii="Bookman Old Style" w:eastAsia="Calibri" w:hAnsi="Bookman Old Style" w:cstheme="majorHAnsi"/>
          <w:b/>
          <w:color w:val="000000" w:themeColor="text1"/>
          <w:sz w:val="24"/>
          <w:szCs w:val="24"/>
        </w:rPr>
        <w:t xml:space="preserve"> </w:t>
      </w:r>
      <w:r w:rsidR="00C32F5A">
        <w:rPr>
          <w:rFonts w:ascii="Bookman Old Style" w:eastAsia="Calibri" w:hAnsi="Bookman Old Style" w:cstheme="majorHAnsi"/>
          <w:b/>
          <w:color w:val="000000" w:themeColor="text1"/>
          <w:sz w:val="24"/>
          <w:szCs w:val="24"/>
        </w:rPr>
        <w:t>NEGATIVA</w:t>
      </w:r>
      <w:r w:rsidR="00182D9F" w:rsidRPr="001C6641">
        <w:rPr>
          <w:rFonts w:ascii="Bookman Old Style" w:eastAsia="Calibri" w:hAnsi="Bookman Old Style" w:cstheme="majorHAnsi"/>
          <w:b/>
          <w:color w:val="000000" w:themeColor="text1"/>
          <w:sz w:val="24"/>
          <w:szCs w:val="24"/>
        </w:rPr>
        <w:t xml:space="preserve"> </w:t>
      </w:r>
      <w:r w:rsidRPr="001C6641">
        <w:rPr>
          <w:rFonts w:ascii="Bookman Old Style" w:eastAsia="Calibri" w:hAnsi="Bookman Old Style" w:cstheme="majorHAnsi"/>
          <w:color w:val="000000" w:themeColor="text1"/>
          <w:sz w:val="24"/>
          <w:szCs w:val="24"/>
        </w:rPr>
        <w:t xml:space="preserve">para </w:t>
      </w:r>
      <w:r w:rsidR="00FB50DD" w:rsidRPr="001C6641">
        <w:rPr>
          <w:rFonts w:ascii="Bookman Old Style" w:eastAsia="Calibri" w:hAnsi="Bookman Old Style" w:cstheme="majorHAnsi"/>
          <w:color w:val="000000" w:themeColor="text1"/>
          <w:sz w:val="24"/>
          <w:szCs w:val="24"/>
        </w:rPr>
        <w:t>Primer</w:t>
      </w:r>
      <w:r w:rsidR="00584E09" w:rsidRPr="001C6641">
        <w:rPr>
          <w:rFonts w:ascii="Bookman Old Style" w:eastAsia="Calibri" w:hAnsi="Bookman Old Style" w:cstheme="majorHAnsi"/>
          <w:color w:val="000000" w:themeColor="text1"/>
          <w:sz w:val="24"/>
          <w:szCs w:val="24"/>
        </w:rPr>
        <w:t xml:space="preserve"> Debate</w:t>
      </w:r>
      <w:r w:rsidR="00FA2E5D" w:rsidRPr="001C6641">
        <w:rPr>
          <w:rFonts w:ascii="Bookman Old Style" w:eastAsia="Calibri" w:hAnsi="Bookman Old Style" w:cstheme="majorHAnsi"/>
          <w:color w:val="000000" w:themeColor="text1"/>
          <w:sz w:val="24"/>
          <w:szCs w:val="24"/>
        </w:rPr>
        <w:t xml:space="preserve"> </w:t>
      </w:r>
      <w:r w:rsidR="004C0649" w:rsidRPr="001C6641">
        <w:rPr>
          <w:rFonts w:ascii="Bookman Old Style" w:eastAsia="Calibri" w:hAnsi="Bookman Old Style" w:cstheme="majorHAnsi"/>
          <w:color w:val="000000" w:themeColor="text1"/>
          <w:sz w:val="24"/>
          <w:szCs w:val="24"/>
        </w:rPr>
        <w:t>a</w:t>
      </w:r>
      <w:r w:rsidRPr="001C6641">
        <w:rPr>
          <w:rFonts w:ascii="Bookman Old Style" w:eastAsia="Calibri" w:hAnsi="Bookman Old Style" w:cstheme="majorHAnsi"/>
          <w:color w:val="000000" w:themeColor="text1"/>
          <w:sz w:val="24"/>
          <w:szCs w:val="24"/>
        </w:rPr>
        <w:t xml:space="preserve">l </w:t>
      </w:r>
      <w:r w:rsidR="004C0649" w:rsidRPr="001C6641">
        <w:rPr>
          <w:rFonts w:ascii="Bookman Old Style" w:eastAsia="Calibri" w:hAnsi="Bookman Old Style" w:cstheme="majorHAnsi"/>
          <w:color w:val="000000" w:themeColor="text1"/>
          <w:sz w:val="24"/>
          <w:szCs w:val="24"/>
        </w:rPr>
        <w:t>P</w:t>
      </w:r>
      <w:r w:rsidRPr="001C6641">
        <w:rPr>
          <w:rFonts w:ascii="Bookman Old Style" w:eastAsia="Calibri" w:hAnsi="Bookman Old Style" w:cstheme="majorHAnsi"/>
          <w:color w:val="000000" w:themeColor="text1"/>
          <w:sz w:val="24"/>
          <w:szCs w:val="24"/>
        </w:rPr>
        <w:t xml:space="preserve">royecto de </w:t>
      </w:r>
      <w:r w:rsidR="004C0649" w:rsidRPr="001C6641">
        <w:rPr>
          <w:rFonts w:ascii="Bookman Old Style" w:eastAsia="Calibri" w:hAnsi="Bookman Old Style" w:cstheme="majorHAnsi"/>
          <w:color w:val="000000" w:themeColor="text1"/>
          <w:sz w:val="24"/>
          <w:szCs w:val="24"/>
        </w:rPr>
        <w:t>L</w:t>
      </w:r>
      <w:r w:rsidRPr="001C6641">
        <w:rPr>
          <w:rFonts w:ascii="Bookman Old Style" w:eastAsia="Calibri" w:hAnsi="Bookman Old Style" w:cstheme="majorHAnsi"/>
          <w:color w:val="000000" w:themeColor="text1"/>
          <w:sz w:val="24"/>
          <w:szCs w:val="24"/>
        </w:rPr>
        <w:t>e</w:t>
      </w:r>
      <w:r w:rsidR="004C0649" w:rsidRPr="001C6641">
        <w:rPr>
          <w:rFonts w:ascii="Bookman Old Style" w:eastAsia="Calibri" w:hAnsi="Bookman Old Style" w:cstheme="majorHAnsi"/>
          <w:color w:val="000000" w:themeColor="text1"/>
          <w:sz w:val="24"/>
          <w:szCs w:val="24"/>
        </w:rPr>
        <w:t>y</w:t>
      </w:r>
      <w:r w:rsidRPr="001C6641">
        <w:rPr>
          <w:rFonts w:ascii="Bookman Old Style" w:eastAsia="Calibri" w:hAnsi="Bookman Old Style" w:cstheme="majorHAnsi"/>
          <w:color w:val="000000" w:themeColor="text1"/>
          <w:sz w:val="24"/>
          <w:szCs w:val="24"/>
        </w:rPr>
        <w:t xml:space="preserve"> de </w:t>
      </w:r>
      <w:r w:rsidR="004C0649" w:rsidRPr="001C6641">
        <w:rPr>
          <w:rFonts w:ascii="Bookman Old Style" w:eastAsia="Calibri" w:hAnsi="Bookman Old Style" w:cstheme="majorHAnsi"/>
          <w:color w:val="000000" w:themeColor="text1"/>
          <w:sz w:val="24"/>
          <w:szCs w:val="24"/>
        </w:rPr>
        <w:t xml:space="preserve">la </w:t>
      </w:r>
      <w:r w:rsidRPr="001C6641">
        <w:rPr>
          <w:rFonts w:ascii="Bookman Old Style" w:eastAsia="Calibri" w:hAnsi="Bookman Old Style" w:cstheme="majorHAnsi"/>
          <w:color w:val="000000" w:themeColor="text1"/>
          <w:sz w:val="24"/>
          <w:szCs w:val="24"/>
        </w:rPr>
        <w:t>referencia</w:t>
      </w:r>
      <w:r w:rsidR="00FB50DD" w:rsidRPr="001C6641">
        <w:rPr>
          <w:rFonts w:ascii="Bookman Old Style" w:eastAsia="Calibri" w:hAnsi="Bookman Old Style" w:cstheme="majorHAnsi"/>
          <w:color w:val="000000" w:themeColor="text1"/>
          <w:sz w:val="24"/>
          <w:szCs w:val="24"/>
        </w:rPr>
        <w:t>, previa</w:t>
      </w:r>
      <w:r w:rsidRPr="001C6641">
        <w:rPr>
          <w:rFonts w:ascii="Bookman Old Style" w:eastAsia="Calibri" w:hAnsi="Bookman Old Style" w:cstheme="majorHAnsi"/>
          <w:color w:val="000000" w:themeColor="text1"/>
          <w:sz w:val="24"/>
          <w:szCs w:val="24"/>
        </w:rPr>
        <w:t xml:space="preserve"> las siguientes consideraciones. </w:t>
      </w:r>
    </w:p>
    <w:p w14:paraId="2DF6B506" w14:textId="77777777" w:rsidR="00B50F88" w:rsidRPr="00D86DAA" w:rsidRDefault="00B50F88" w:rsidP="00640D69">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rPr>
      </w:pPr>
    </w:p>
    <w:p w14:paraId="6C8B6D3C" w14:textId="77777777" w:rsidR="00640D69" w:rsidRPr="00D86DAA" w:rsidRDefault="00640D69" w:rsidP="00640D69">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highlight w:val="white"/>
        </w:rPr>
      </w:pPr>
    </w:p>
    <w:p w14:paraId="3BEA90A2" w14:textId="34BFFA55" w:rsidR="00160819" w:rsidRPr="002E10D4" w:rsidRDefault="006E6254" w:rsidP="002E10D4">
      <w:pPr>
        <w:pStyle w:val="Prrafodelista"/>
        <w:widowControl w:val="0"/>
        <w:numPr>
          <w:ilvl w:val="0"/>
          <w:numId w:val="22"/>
        </w:numPr>
        <w:shd w:val="clear" w:color="auto" w:fill="FFFFFF"/>
        <w:spacing w:line="240" w:lineRule="auto"/>
        <w:contextualSpacing w:val="0"/>
        <w:jc w:val="both"/>
        <w:rPr>
          <w:rFonts w:ascii="Bookman Old Style" w:eastAsia="Calibri" w:hAnsi="Bookman Old Style" w:cstheme="majorHAnsi"/>
          <w:b/>
          <w:color w:val="000000" w:themeColor="text1"/>
          <w:sz w:val="24"/>
          <w:szCs w:val="24"/>
          <w:highlight w:val="white"/>
        </w:rPr>
      </w:pPr>
      <w:r w:rsidRPr="002E10D4">
        <w:rPr>
          <w:rFonts w:ascii="Bookman Old Style" w:eastAsia="Calibri" w:hAnsi="Bookman Old Style" w:cstheme="majorHAnsi"/>
          <w:b/>
          <w:color w:val="000000" w:themeColor="text1"/>
          <w:sz w:val="24"/>
          <w:szCs w:val="24"/>
          <w:highlight w:val="white"/>
        </w:rPr>
        <w:t>OBJETO DEL PROYECTO DE LE</w:t>
      </w:r>
      <w:r w:rsidR="0032471E" w:rsidRPr="002E10D4">
        <w:rPr>
          <w:rFonts w:ascii="Bookman Old Style" w:eastAsia="Calibri" w:hAnsi="Bookman Old Style" w:cstheme="majorHAnsi"/>
          <w:b/>
          <w:color w:val="000000" w:themeColor="text1"/>
          <w:sz w:val="24"/>
          <w:szCs w:val="24"/>
          <w:highlight w:val="white"/>
        </w:rPr>
        <w:t>Y</w:t>
      </w:r>
    </w:p>
    <w:p w14:paraId="30BB57D1" w14:textId="77777777" w:rsidR="00AA3F8F" w:rsidRPr="001C6641" w:rsidRDefault="00AA3F8F" w:rsidP="00B90CB0">
      <w:pPr>
        <w:widowControl w:val="0"/>
        <w:shd w:val="clear" w:color="auto" w:fill="FFFFFF"/>
        <w:spacing w:line="240" w:lineRule="auto"/>
        <w:contextualSpacing w:val="0"/>
        <w:jc w:val="both"/>
        <w:rPr>
          <w:rFonts w:ascii="Bookman Old Style" w:eastAsia="Calibri" w:hAnsi="Bookman Old Style" w:cstheme="majorHAnsi"/>
          <w:color w:val="000000" w:themeColor="text1"/>
          <w:sz w:val="24"/>
          <w:szCs w:val="24"/>
          <w:highlight w:val="white"/>
        </w:rPr>
      </w:pPr>
    </w:p>
    <w:p w14:paraId="3FA7AEB6" w14:textId="641A9634" w:rsidR="00894A1B" w:rsidRPr="00894A1B" w:rsidRDefault="00894A1B" w:rsidP="00894A1B">
      <w:pPr>
        <w:widowControl w:val="0"/>
        <w:shd w:val="clear" w:color="auto" w:fill="FFFFFF"/>
        <w:spacing w:line="240" w:lineRule="auto"/>
        <w:contextualSpacing w:val="0"/>
        <w:jc w:val="both"/>
        <w:rPr>
          <w:rFonts w:ascii="Bookman Old Style" w:hAnsi="Bookman Old Style" w:cstheme="majorHAnsi"/>
          <w:sz w:val="24"/>
          <w:szCs w:val="24"/>
        </w:rPr>
      </w:pPr>
      <w:r w:rsidRPr="00894A1B">
        <w:rPr>
          <w:rFonts w:ascii="Bookman Old Style" w:hAnsi="Bookman Old Style" w:cstheme="majorHAnsi"/>
          <w:sz w:val="24"/>
          <w:szCs w:val="24"/>
        </w:rPr>
        <w:t>Esta propuesta busca fortalecer la de atención a casos de delitos que se cometan contr</w:t>
      </w:r>
      <w:r w:rsidR="001F202C">
        <w:rPr>
          <w:rFonts w:ascii="Bookman Old Style" w:hAnsi="Bookman Old Style" w:cstheme="majorHAnsi"/>
          <w:sz w:val="24"/>
          <w:szCs w:val="24"/>
        </w:rPr>
        <w:t xml:space="preserve">a niños, niñas o adolescentes. </w:t>
      </w:r>
      <w:r w:rsidRPr="00894A1B">
        <w:rPr>
          <w:rFonts w:ascii="Bookman Old Style" w:hAnsi="Bookman Old Style" w:cstheme="majorHAnsi"/>
          <w:sz w:val="24"/>
          <w:szCs w:val="24"/>
        </w:rPr>
        <w:t xml:space="preserve">Es un hecho que no existen suficientes Fiscales que puedan tramitar la investigación, además de que en muchos Municipios los Fiscales conocen de otros casos que cargan sus obligaciones laborales, lo que deriva en contribuir a la impunidad de estos delitos; aunado a lo anterior, y con la misma dinámica de promiscuidad en conocimiento de casos, los Fiscales no cuentan con suficiente cantidad de investigadores del Cuerpo Técnico de Investigación –CTI- tampoco hay suficientes agentes de policía que ayuden a adelantar el programa metodológico de investigación, aun si se contará con todos estos equipos investigativos, no se cuenta con suficiente número de Jueces de Garantías y de Conocimiento que puedan conocer y evaluar las medidas necesarias de manera pronta para legalizar las pruebas que se aporten, las audiencias están sujetas a las agendas de los jueces; lo mismo ocurre con los Jueces de Conocimiento, quienes tienen superabundancia de casos que obligan a que las audiencias de imputación, acusación y juicio oral se sometan a espera de más de 8 meses. </w:t>
      </w:r>
    </w:p>
    <w:p w14:paraId="1EE6653E" w14:textId="77777777" w:rsidR="00894A1B" w:rsidRPr="00894A1B" w:rsidRDefault="00894A1B" w:rsidP="00894A1B">
      <w:pPr>
        <w:widowControl w:val="0"/>
        <w:shd w:val="clear" w:color="auto" w:fill="FFFFFF"/>
        <w:spacing w:line="240" w:lineRule="auto"/>
        <w:contextualSpacing w:val="0"/>
        <w:jc w:val="both"/>
        <w:rPr>
          <w:rFonts w:ascii="Bookman Old Style" w:hAnsi="Bookman Old Style" w:cstheme="majorHAnsi"/>
          <w:sz w:val="24"/>
          <w:szCs w:val="24"/>
        </w:rPr>
      </w:pPr>
    </w:p>
    <w:p w14:paraId="41BB37B2" w14:textId="34E91BDC" w:rsidR="003457C9" w:rsidRPr="00894A1B" w:rsidRDefault="00894A1B" w:rsidP="00894A1B">
      <w:pPr>
        <w:widowControl w:val="0"/>
        <w:shd w:val="clear" w:color="auto" w:fill="FFFFFF"/>
        <w:spacing w:line="240" w:lineRule="auto"/>
        <w:contextualSpacing w:val="0"/>
        <w:jc w:val="both"/>
        <w:rPr>
          <w:rFonts w:ascii="Bookman Old Style" w:hAnsi="Bookman Old Style" w:cstheme="majorHAnsi"/>
          <w:sz w:val="24"/>
          <w:szCs w:val="24"/>
        </w:rPr>
      </w:pPr>
      <w:r w:rsidRPr="00894A1B">
        <w:rPr>
          <w:rFonts w:ascii="Bookman Old Style" w:hAnsi="Bookman Old Style" w:cstheme="majorHAnsi"/>
          <w:sz w:val="24"/>
          <w:szCs w:val="24"/>
        </w:rPr>
        <w:t>Pero aún</w:t>
      </w:r>
      <w:r>
        <w:rPr>
          <w:rFonts w:ascii="Bookman Old Style" w:hAnsi="Bookman Old Style" w:cstheme="majorHAnsi"/>
          <w:sz w:val="24"/>
          <w:szCs w:val="24"/>
        </w:rPr>
        <w:t>,</w:t>
      </w:r>
      <w:r w:rsidRPr="00894A1B">
        <w:rPr>
          <w:rFonts w:ascii="Bookman Old Style" w:hAnsi="Bookman Old Style" w:cstheme="majorHAnsi"/>
          <w:sz w:val="24"/>
          <w:szCs w:val="24"/>
        </w:rPr>
        <w:t xml:space="preserve"> si se contara con la cantidad suficiente de Fiscales y Jueces señalados, los agresores sexuales muchas veces requieren de un Defensor Público para su derecho de defensa y la Defensoría del Pueblo no tiene suficiente cantidad de defensores que atiendan este tema y entonces se aplaza la audiencia hasta cuando haya profesional del derecho suficiente para atender estos casos; esto tarda hasta 6 meses por audiencia. Asimismo, se requiere mayor cantidad de Defensores de Familia, como quiera que estos tienen la obligación de asistir a todas las audiencias que involucren a niños, niñas o adolescentes como víctimas. Debe resaltarse en este punto que las Defensorías de Familia deben contar con mayor equipo de personal psicosocial, como quiera que estos conocen de los casos en donde niños, niñas o adolescentes han sido víctimas de violencia sexual, siendo su trabajo interdisciplinario, fundamental para llegar a un buen resultado.</w:t>
      </w:r>
    </w:p>
    <w:p w14:paraId="46548B6E" w14:textId="77777777" w:rsidR="003663B9" w:rsidRPr="00D86DAA" w:rsidRDefault="003663B9" w:rsidP="00B90CB0">
      <w:pPr>
        <w:widowControl w:val="0"/>
        <w:shd w:val="clear" w:color="auto" w:fill="FFFFFF"/>
        <w:spacing w:line="240" w:lineRule="auto"/>
        <w:contextualSpacing w:val="0"/>
        <w:jc w:val="both"/>
        <w:rPr>
          <w:rFonts w:asciiTheme="majorHAnsi" w:eastAsia="Calibri" w:hAnsiTheme="majorHAnsi" w:cstheme="majorHAnsi"/>
          <w:color w:val="000000" w:themeColor="text1"/>
          <w:sz w:val="24"/>
          <w:szCs w:val="24"/>
          <w:highlight w:val="white"/>
        </w:rPr>
      </w:pPr>
    </w:p>
    <w:p w14:paraId="3475E25D" w14:textId="53501B5B" w:rsidR="00160819" w:rsidRPr="002E10D4" w:rsidRDefault="00C13168" w:rsidP="002E10D4">
      <w:pPr>
        <w:pStyle w:val="Prrafodelista"/>
        <w:numPr>
          <w:ilvl w:val="0"/>
          <w:numId w:val="22"/>
        </w:numPr>
        <w:shd w:val="clear" w:color="auto" w:fill="FFFFFF"/>
        <w:spacing w:line="240" w:lineRule="auto"/>
        <w:contextualSpacing w:val="0"/>
        <w:jc w:val="both"/>
        <w:rPr>
          <w:rFonts w:ascii="Bookman Old Style" w:eastAsia="Calibri" w:hAnsi="Bookman Old Style" w:cstheme="majorHAnsi"/>
          <w:b/>
          <w:color w:val="000000" w:themeColor="text1"/>
          <w:sz w:val="24"/>
          <w:szCs w:val="24"/>
          <w:highlight w:val="white"/>
        </w:rPr>
      </w:pPr>
      <w:r w:rsidRPr="002E10D4">
        <w:rPr>
          <w:rFonts w:ascii="Bookman Old Style" w:eastAsia="Calibri" w:hAnsi="Bookman Old Style" w:cstheme="majorHAnsi"/>
          <w:b/>
          <w:color w:val="000000" w:themeColor="text1"/>
          <w:sz w:val="24"/>
          <w:szCs w:val="24"/>
          <w:highlight w:val="white"/>
        </w:rPr>
        <w:t>CONSIDERACIONES DE LOS AUTORES</w:t>
      </w:r>
      <w:r w:rsidR="006E6254" w:rsidRPr="002E10D4">
        <w:rPr>
          <w:rFonts w:ascii="Bookman Old Style" w:eastAsia="Calibri" w:hAnsi="Bookman Old Style" w:cstheme="majorHAnsi"/>
          <w:b/>
          <w:color w:val="000000" w:themeColor="text1"/>
          <w:sz w:val="24"/>
          <w:szCs w:val="24"/>
          <w:highlight w:val="white"/>
        </w:rPr>
        <w:t>.</w:t>
      </w:r>
    </w:p>
    <w:p w14:paraId="2979D6BD" w14:textId="77777777" w:rsidR="003457C9" w:rsidRPr="00D86DAA" w:rsidRDefault="003457C9" w:rsidP="00B90CB0">
      <w:pPr>
        <w:spacing w:line="240" w:lineRule="auto"/>
        <w:contextualSpacing w:val="0"/>
        <w:jc w:val="both"/>
        <w:rPr>
          <w:rFonts w:asciiTheme="majorHAnsi" w:eastAsia="Calibri" w:hAnsiTheme="majorHAnsi" w:cstheme="majorHAnsi"/>
          <w:color w:val="000000" w:themeColor="text1"/>
          <w:sz w:val="24"/>
          <w:szCs w:val="24"/>
        </w:rPr>
      </w:pPr>
    </w:p>
    <w:p w14:paraId="1E1573AD"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Según la Comisión Económica para América Latina y el Caribe (2018) Colombia es el segundo país más desigual en la región y presenta uno de los índices más significativos de violaciones graves y masivas a los derechos humanos. Según el Departamento Nacional de Estadística - DANE, la población total es de 48´258.494; el documento Bases del Plan de Desarrollo 2018-2022 “Pacto por Colombia, pacto por la Equidad” el 27% de la población vive en pobreza y el 7.4% vive en pobreza extrema. Por su parte, la Unidad para la de Atención y Reparación Integral a las Víctimas (2019) indica que en Colombia hay 8´847.047 víctimas del conflicto armado interno, de los cuales 1´369.622 son niños, niñas y/o adolescentes.</w:t>
      </w:r>
    </w:p>
    <w:p w14:paraId="3803818D"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798DBF8F"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La violencia directa, se ve refleja en investigaciones como la realizada por el grupo Grand Hyatt, el Ministerio de la Protección Social, el Instituto Colombiano de Bienestar Familiar y varias Agencias de Cooperación Internacional, en la Encuesta Nacional de Violencia presentada el 22 de julio de 2019, más del 45% de las mujeres y más del 42% de los hombres sufrieron algún tipo de violencia antes de los 18 años ya sea física o psicológica, el mismo estudio evidencia que más del 15% de las mujeres y más de 11% de los hombres antes de los 18 años sufrieron algún tipo de acceso carnal abusivos, actos sexuales abusivos. Por situaciones como las descritas, reza el documento, más del 17% de las mujeres y del 24% de los hombres fueron separados de sus padres antes de los 18 años por las autoridades que lideran el Sistema Nacional de Protección Infantil.</w:t>
      </w:r>
    </w:p>
    <w:p w14:paraId="4DFAB9C6"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26B5BF44"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Por su parte, el Instituto Nacional de Medicina Legal y Ciencias Forenses, en su documento FORENSIS (2018), en esta vigencia se reportaron 49.669 casos de violencia Intrafamiliar, lo que indica que cada día ocurrieron 136 delitos, donde el 86% de las víctimas fueron mujeres. En lo atinente a muertes de niños, niñas y adolescentes, la investigación sostiene que, en el año 2018, sumaron 710, lo que quiere decir que cada día mueren asesinados 1,94. menores de edad. Con relación al a maltrato infantil, se describe una cifra de 10.794 casos de violencia contra niños, niñas y adolescentes: diariamente 29.57. Niñas: 5,659, Niños: 5.135 Procuraduría General de la Nación, sostiene que la impunidad en estos casos supera el 94%</w:t>
      </w:r>
    </w:p>
    <w:p w14:paraId="2577617B"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6FE373FD"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La Fiscalía General de la Nación, a marzo de 2018 ha entregado información, respecto de la cantidad de Fiscales que tienen a su cargo la investigación de delitos sexuales, este ente señala:</w:t>
      </w:r>
    </w:p>
    <w:p w14:paraId="03E5959E"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19A986AC" w14:textId="77777777" w:rsidR="009E47EB" w:rsidRPr="009E47EB" w:rsidRDefault="009E47EB" w:rsidP="009E47EB">
      <w:pPr>
        <w:numPr>
          <w:ilvl w:val="0"/>
          <w:numId w:val="20"/>
        </w:numPr>
        <w:spacing w:line="240" w:lineRule="auto"/>
        <w:ind w:left="567"/>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Entre los casos presentados desde el 2013 y 2017, existen 69.182 casos abiertos de delitos sexuales contra niños y niñas.</w:t>
      </w:r>
    </w:p>
    <w:p w14:paraId="17A037C6" w14:textId="77777777" w:rsidR="009E47EB" w:rsidRPr="009E47EB" w:rsidRDefault="009E47EB" w:rsidP="009E47EB">
      <w:pPr>
        <w:numPr>
          <w:ilvl w:val="0"/>
          <w:numId w:val="20"/>
        </w:numPr>
        <w:spacing w:line="240" w:lineRule="auto"/>
        <w:ind w:left="567"/>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De los casos del 2013 hasta marzo de 2018, hay 1.098 casos abiertos, de los cuales 417 están en etapa de juicio y solo 5 casos ya tienen una condena.</w:t>
      </w:r>
    </w:p>
    <w:p w14:paraId="78885EC0" w14:textId="77777777" w:rsidR="009E47EB" w:rsidRPr="009E47EB" w:rsidRDefault="009E47EB" w:rsidP="009E47EB">
      <w:pPr>
        <w:numPr>
          <w:ilvl w:val="0"/>
          <w:numId w:val="20"/>
        </w:numPr>
        <w:spacing w:line="240" w:lineRule="auto"/>
        <w:ind w:left="567"/>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lastRenderedPageBreak/>
        <w:t>En el año 2017 aún continúan 52.313 casos abiertos de los cuales 6.566 entraron a etapa de juicio y tan solo 13 han sido condenados.</w:t>
      </w:r>
    </w:p>
    <w:p w14:paraId="22A7D1F4"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1B2E4E31"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En cifras más actualizadas, por medio de solicitud de información realizada por parte de la Representante Norma Hurtado Sánchez al Instituto Colombiano de Bienestar Familiar - ICBF, relacionada con los delitos contra la infancia y la adolescencia, se obtuvo la base de datos proveniente del Sistema de Información Misional – SIM, la cual fue complementada con cifras proporcionadas por parte de la Fiscalía General de la Nación y a partir de la cual se hace el siguiente análisis de las mismas.</w:t>
      </w:r>
    </w:p>
    <w:p w14:paraId="5A7A6B64"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2576C102"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Según datos del Sistema de Información Misional y proporcionados por el Instituto de Bienestar Familiar, con corte al 31 de mayo del año en curso, existe un total de 74.443 entre niños, niñas y adolescentes que se encuentran en un proceso administrativo de restablecimiento de derechos, ocupando una mayor porción las de sexo femenino, lo cual se puede atribuir en parte a que la mayoría de los delitos contra la infancia y la adolescencia son de tipo sexuales y estos en gran medida ocurren en contra de las mujeres.</w:t>
      </w:r>
    </w:p>
    <w:p w14:paraId="57D72FDC" w14:textId="77777777" w:rsidR="009E47EB" w:rsidRPr="009E47EB" w:rsidRDefault="009E47EB" w:rsidP="009E47EB">
      <w:pPr>
        <w:spacing w:line="240" w:lineRule="auto"/>
        <w:contextualSpacing w:val="0"/>
        <w:jc w:val="both"/>
        <w:rPr>
          <w:rFonts w:ascii="Bookman Old Style" w:hAnsi="Bookman Old Style" w:cstheme="majorHAnsi"/>
          <w:b/>
          <w:sz w:val="24"/>
          <w:szCs w:val="24"/>
          <w:lang w:val="es-ES"/>
        </w:rPr>
      </w:pPr>
    </w:p>
    <w:p w14:paraId="7553E55B"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Por rangos de edad, el mayor número de niñas, niños y adolescentes inmersos en este proceso a nivel nacional se encuentra entre los 12 y 17 años con un total de 31.972. Posteriormente le sigue el grupo poblacional comprendido entre los 6 y 11 años con 20.517. A partir de los 18 años se concentra la menor cantidad de niñas, niños y adolescentes con solo 10.011.</w:t>
      </w:r>
    </w:p>
    <w:p w14:paraId="2E92DD7A"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53477041" w14:textId="77777777" w:rsidR="009E47EB" w:rsidRPr="009E47EB" w:rsidRDefault="009E47EB" w:rsidP="009E47EB">
      <w:pPr>
        <w:spacing w:line="240" w:lineRule="auto"/>
        <w:contextualSpacing w:val="0"/>
        <w:jc w:val="center"/>
        <w:rPr>
          <w:rFonts w:ascii="Bookman Old Style" w:hAnsi="Bookman Old Style" w:cstheme="majorHAnsi"/>
          <w:sz w:val="24"/>
          <w:szCs w:val="24"/>
          <w:lang w:val="es-ES"/>
        </w:rPr>
      </w:pPr>
      <w:r w:rsidRPr="009E47EB">
        <w:rPr>
          <w:rFonts w:ascii="Bookman Old Style" w:hAnsi="Bookman Old Style" w:cstheme="majorHAnsi"/>
          <w:noProof/>
          <w:sz w:val="24"/>
          <w:szCs w:val="24"/>
        </w:rPr>
        <w:drawing>
          <wp:inline distT="0" distB="0" distL="0" distR="0" wp14:anchorId="7061D0EE" wp14:editId="73992395">
            <wp:extent cx="4361290" cy="2735017"/>
            <wp:effectExtent l="0" t="0" r="0" b="0"/>
            <wp:docPr id="8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4361290" cy="2735017"/>
                    </a:xfrm>
                    <a:prstGeom prst="rect">
                      <a:avLst/>
                    </a:prstGeom>
                    <a:ln/>
                  </pic:spPr>
                </pic:pic>
              </a:graphicData>
            </a:graphic>
          </wp:inline>
        </w:drawing>
      </w:r>
    </w:p>
    <w:p w14:paraId="76AA4CC5" w14:textId="45F3CAFC" w:rsidR="009E47EB" w:rsidRDefault="009E47EB" w:rsidP="009E47EB">
      <w:pPr>
        <w:spacing w:line="240" w:lineRule="auto"/>
        <w:contextualSpacing w:val="0"/>
        <w:jc w:val="center"/>
        <w:rPr>
          <w:rFonts w:ascii="Bookman Old Style" w:hAnsi="Bookman Old Style" w:cstheme="majorHAnsi"/>
          <w:b/>
          <w:sz w:val="20"/>
          <w:szCs w:val="24"/>
          <w:lang w:val="es-ES"/>
        </w:rPr>
      </w:pPr>
      <w:r w:rsidRPr="009E47EB">
        <w:rPr>
          <w:rFonts w:ascii="Bookman Old Style" w:hAnsi="Bookman Old Style" w:cstheme="majorHAnsi"/>
          <w:b/>
          <w:sz w:val="20"/>
          <w:szCs w:val="24"/>
          <w:lang w:val="es-ES"/>
        </w:rPr>
        <w:t xml:space="preserve">Fuente: Sistema de Información Misional - SIM. </w:t>
      </w:r>
      <w:r>
        <w:rPr>
          <w:rFonts w:ascii="Bookman Old Style" w:hAnsi="Bookman Old Style" w:cstheme="majorHAnsi"/>
          <w:b/>
          <w:sz w:val="20"/>
          <w:szCs w:val="24"/>
          <w:lang w:val="es-ES"/>
        </w:rPr>
        <w:t>–</w:t>
      </w:r>
      <w:r w:rsidRPr="009E47EB">
        <w:rPr>
          <w:rFonts w:ascii="Bookman Old Style" w:hAnsi="Bookman Old Style" w:cstheme="majorHAnsi"/>
          <w:b/>
          <w:sz w:val="20"/>
          <w:szCs w:val="24"/>
          <w:lang w:val="es-ES"/>
        </w:rPr>
        <w:t xml:space="preserve"> ICBF</w:t>
      </w:r>
    </w:p>
    <w:p w14:paraId="17CF329E" w14:textId="25CA53ED" w:rsidR="009E47EB" w:rsidRDefault="009E47EB" w:rsidP="009E47EB">
      <w:pPr>
        <w:spacing w:line="240" w:lineRule="auto"/>
        <w:contextualSpacing w:val="0"/>
        <w:jc w:val="center"/>
        <w:rPr>
          <w:rFonts w:ascii="Bookman Old Style" w:hAnsi="Bookman Old Style" w:cstheme="majorHAnsi"/>
          <w:b/>
          <w:sz w:val="20"/>
          <w:szCs w:val="24"/>
          <w:lang w:val="es-ES"/>
        </w:rPr>
      </w:pPr>
    </w:p>
    <w:p w14:paraId="5E0261B8" w14:textId="44F47FC3" w:rsidR="009E47EB" w:rsidRDefault="009E47EB" w:rsidP="009E47EB">
      <w:pPr>
        <w:spacing w:line="240" w:lineRule="auto"/>
        <w:contextualSpacing w:val="0"/>
        <w:jc w:val="center"/>
        <w:rPr>
          <w:rFonts w:ascii="Bookman Old Style" w:hAnsi="Bookman Old Style" w:cstheme="majorHAnsi"/>
          <w:b/>
          <w:sz w:val="20"/>
          <w:szCs w:val="24"/>
          <w:lang w:val="es-ES"/>
        </w:rPr>
      </w:pPr>
    </w:p>
    <w:p w14:paraId="72D6421D" w14:textId="221B9DCD" w:rsidR="009E47EB" w:rsidRDefault="009E47EB" w:rsidP="009E47EB">
      <w:pPr>
        <w:spacing w:line="240" w:lineRule="auto"/>
        <w:contextualSpacing w:val="0"/>
        <w:jc w:val="center"/>
        <w:rPr>
          <w:rFonts w:ascii="Bookman Old Style" w:hAnsi="Bookman Old Style" w:cstheme="majorHAnsi"/>
          <w:b/>
          <w:sz w:val="20"/>
          <w:szCs w:val="24"/>
          <w:lang w:val="es-ES"/>
        </w:rPr>
      </w:pPr>
    </w:p>
    <w:p w14:paraId="18819086" w14:textId="15D30DF2" w:rsidR="009E47EB" w:rsidRDefault="009E47EB" w:rsidP="009E47EB">
      <w:pPr>
        <w:spacing w:line="240" w:lineRule="auto"/>
        <w:contextualSpacing w:val="0"/>
        <w:jc w:val="center"/>
        <w:rPr>
          <w:rFonts w:ascii="Bookman Old Style" w:hAnsi="Bookman Old Style" w:cstheme="majorHAnsi"/>
          <w:b/>
          <w:sz w:val="20"/>
          <w:szCs w:val="24"/>
          <w:lang w:val="es-ES"/>
        </w:rPr>
      </w:pPr>
    </w:p>
    <w:p w14:paraId="5CCAC3CB" w14:textId="77777777" w:rsidR="009E47EB" w:rsidRPr="009E47EB" w:rsidRDefault="009E47EB" w:rsidP="009E47EB">
      <w:pPr>
        <w:spacing w:line="240" w:lineRule="auto"/>
        <w:contextualSpacing w:val="0"/>
        <w:jc w:val="center"/>
        <w:rPr>
          <w:rFonts w:ascii="Bookman Old Style" w:hAnsi="Bookman Old Style" w:cstheme="majorHAnsi"/>
          <w:b/>
          <w:sz w:val="24"/>
          <w:szCs w:val="24"/>
          <w:lang w:val="es-ES"/>
        </w:rPr>
      </w:pPr>
    </w:p>
    <w:p w14:paraId="7E5015A0" w14:textId="77777777" w:rsidR="009E47EB" w:rsidRPr="009E47EB" w:rsidRDefault="009E47EB" w:rsidP="009E47EB">
      <w:pPr>
        <w:spacing w:line="240" w:lineRule="auto"/>
        <w:contextualSpacing w:val="0"/>
        <w:jc w:val="center"/>
        <w:rPr>
          <w:rFonts w:ascii="Bookman Old Style" w:hAnsi="Bookman Old Style" w:cstheme="majorHAnsi"/>
          <w:sz w:val="24"/>
          <w:szCs w:val="24"/>
          <w:lang w:val="es-ES"/>
        </w:rPr>
      </w:pPr>
      <w:r w:rsidRPr="009E47EB">
        <w:rPr>
          <w:rFonts w:ascii="Bookman Old Style" w:hAnsi="Bookman Old Style" w:cstheme="majorHAnsi"/>
          <w:noProof/>
          <w:sz w:val="24"/>
          <w:szCs w:val="24"/>
        </w:rPr>
        <w:drawing>
          <wp:inline distT="0" distB="0" distL="0" distR="0" wp14:anchorId="54F70556" wp14:editId="239497F9">
            <wp:extent cx="4044462" cy="2352905"/>
            <wp:effectExtent l="0" t="0" r="0" b="0"/>
            <wp:docPr id="8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0"/>
                    <a:srcRect/>
                    <a:stretch>
                      <a:fillRect/>
                    </a:stretch>
                  </pic:blipFill>
                  <pic:spPr>
                    <a:xfrm>
                      <a:off x="0" y="0"/>
                      <a:ext cx="4044462" cy="2352905"/>
                    </a:xfrm>
                    <a:prstGeom prst="rect">
                      <a:avLst/>
                    </a:prstGeom>
                    <a:ln/>
                  </pic:spPr>
                </pic:pic>
              </a:graphicData>
            </a:graphic>
          </wp:inline>
        </w:drawing>
      </w:r>
    </w:p>
    <w:p w14:paraId="615AA943" w14:textId="77777777" w:rsidR="009E47EB" w:rsidRPr="009E47EB" w:rsidRDefault="009E47EB" w:rsidP="009E47EB">
      <w:pPr>
        <w:spacing w:line="240" w:lineRule="auto"/>
        <w:contextualSpacing w:val="0"/>
        <w:jc w:val="center"/>
        <w:rPr>
          <w:rFonts w:ascii="Bookman Old Style" w:hAnsi="Bookman Old Style" w:cstheme="majorHAnsi"/>
          <w:b/>
          <w:sz w:val="24"/>
          <w:szCs w:val="24"/>
          <w:lang w:val="es-ES"/>
        </w:rPr>
      </w:pPr>
      <w:r w:rsidRPr="009E47EB">
        <w:rPr>
          <w:rFonts w:ascii="Bookman Old Style" w:hAnsi="Bookman Old Style" w:cstheme="majorHAnsi"/>
          <w:b/>
          <w:szCs w:val="24"/>
          <w:lang w:val="es-ES"/>
        </w:rPr>
        <w:t>Fuente: Sistema de Información Misional - SIM. - ICBF</w:t>
      </w:r>
    </w:p>
    <w:p w14:paraId="6E1C5F35"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517D555C"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En cuanto a la distribución por departamentos, sobresale Bogotá como capital con 14.082 niñas, niños y adolescentes en proceso de restablecimiento de derechos, seguido de Valle del Cauca y Antioquia con 9.494 y 8.891 procesos respectivamente. Por su parte, los departamentos con menos reportes de casos de delitos contra menores son San Andrés Islas con 60 y Vaupés con 61.</w:t>
      </w:r>
    </w:p>
    <w:p w14:paraId="504093D8"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5874B51C"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1054E5BE" w14:textId="77777777" w:rsidR="009E47EB" w:rsidRPr="009E47EB" w:rsidRDefault="009E47EB" w:rsidP="009E47EB">
      <w:pPr>
        <w:spacing w:line="240" w:lineRule="auto"/>
        <w:contextualSpacing w:val="0"/>
        <w:jc w:val="center"/>
        <w:rPr>
          <w:rFonts w:ascii="Bookman Old Style" w:hAnsi="Bookman Old Style" w:cstheme="majorHAnsi"/>
          <w:sz w:val="24"/>
          <w:szCs w:val="24"/>
          <w:lang w:val="es-ES"/>
        </w:rPr>
      </w:pPr>
      <w:r w:rsidRPr="009E47EB">
        <w:rPr>
          <w:rFonts w:ascii="Bookman Old Style" w:hAnsi="Bookman Old Style" w:cstheme="majorHAnsi"/>
          <w:noProof/>
          <w:sz w:val="24"/>
          <w:szCs w:val="24"/>
        </w:rPr>
        <w:drawing>
          <wp:inline distT="0" distB="0" distL="0" distR="0" wp14:anchorId="1696FC3C" wp14:editId="79ACB374">
            <wp:extent cx="4462272" cy="2311604"/>
            <wp:effectExtent l="0" t="0" r="0" b="0"/>
            <wp:docPr id="8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4463262" cy="2312117"/>
                    </a:xfrm>
                    <a:prstGeom prst="rect">
                      <a:avLst/>
                    </a:prstGeom>
                    <a:ln/>
                  </pic:spPr>
                </pic:pic>
              </a:graphicData>
            </a:graphic>
          </wp:inline>
        </w:drawing>
      </w:r>
    </w:p>
    <w:p w14:paraId="23FE5316" w14:textId="77777777" w:rsidR="009E47EB" w:rsidRPr="009E47EB" w:rsidRDefault="009E47EB" w:rsidP="009E47EB">
      <w:pPr>
        <w:spacing w:line="240" w:lineRule="auto"/>
        <w:contextualSpacing w:val="0"/>
        <w:jc w:val="center"/>
        <w:rPr>
          <w:rFonts w:ascii="Bookman Old Style" w:hAnsi="Bookman Old Style" w:cstheme="majorHAnsi"/>
          <w:b/>
          <w:szCs w:val="24"/>
          <w:lang w:val="es-ES"/>
        </w:rPr>
      </w:pPr>
      <w:r w:rsidRPr="009E47EB">
        <w:rPr>
          <w:rFonts w:ascii="Bookman Old Style" w:hAnsi="Bookman Old Style" w:cstheme="majorHAnsi"/>
          <w:b/>
          <w:szCs w:val="24"/>
          <w:lang w:val="es-ES"/>
        </w:rPr>
        <w:t>Fuente: Sistema de Información Misional - SIM. – ICBF</w:t>
      </w:r>
    </w:p>
    <w:p w14:paraId="45D7F792" w14:textId="11F755EA" w:rsidR="009E47EB" w:rsidRDefault="009E47EB" w:rsidP="009E47EB">
      <w:pPr>
        <w:spacing w:line="240" w:lineRule="auto"/>
        <w:contextualSpacing w:val="0"/>
        <w:jc w:val="both"/>
        <w:rPr>
          <w:rFonts w:ascii="Bookman Old Style" w:hAnsi="Bookman Old Style" w:cstheme="majorHAnsi"/>
          <w:b/>
          <w:sz w:val="24"/>
          <w:szCs w:val="24"/>
          <w:lang w:val="es-ES"/>
        </w:rPr>
      </w:pPr>
    </w:p>
    <w:p w14:paraId="58A7A988" w14:textId="77777777" w:rsidR="009E47EB" w:rsidRPr="009E47EB" w:rsidRDefault="009E47EB" w:rsidP="009E47EB">
      <w:pPr>
        <w:spacing w:line="240" w:lineRule="auto"/>
        <w:contextualSpacing w:val="0"/>
        <w:jc w:val="both"/>
        <w:rPr>
          <w:rFonts w:ascii="Bookman Old Style" w:hAnsi="Bookman Old Style" w:cstheme="majorHAnsi"/>
          <w:b/>
          <w:sz w:val="24"/>
          <w:szCs w:val="24"/>
          <w:lang w:val="es-ES"/>
        </w:rPr>
      </w:pPr>
    </w:p>
    <w:p w14:paraId="09418312"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De igual forma, en relación con el total de denuncias presentadas por Departamentos, resalta Bogotá lo cual coincide con el hecho que sea donde más procesos de restitución de derechos lleva el ICBF.</w:t>
      </w:r>
    </w:p>
    <w:p w14:paraId="314DF3A6" w14:textId="2C454BA7" w:rsidR="009E47EB" w:rsidRDefault="009E47EB" w:rsidP="009E47EB">
      <w:pPr>
        <w:spacing w:line="240" w:lineRule="auto"/>
        <w:contextualSpacing w:val="0"/>
        <w:jc w:val="both"/>
        <w:rPr>
          <w:rFonts w:ascii="Bookman Old Style" w:hAnsi="Bookman Old Style" w:cstheme="majorHAnsi"/>
          <w:sz w:val="24"/>
          <w:szCs w:val="24"/>
          <w:lang w:val="es-ES"/>
        </w:rPr>
      </w:pPr>
    </w:p>
    <w:p w14:paraId="79741636"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1689044B" w14:textId="77777777" w:rsidR="009E47EB" w:rsidRPr="009E47EB" w:rsidRDefault="009E47EB" w:rsidP="009E47EB">
      <w:pPr>
        <w:spacing w:line="240" w:lineRule="auto"/>
        <w:contextualSpacing w:val="0"/>
        <w:jc w:val="center"/>
        <w:rPr>
          <w:rFonts w:ascii="Bookman Old Style" w:hAnsi="Bookman Old Style" w:cstheme="majorHAnsi"/>
          <w:sz w:val="24"/>
          <w:szCs w:val="24"/>
          <w:lang w:val="es-ES"/>
        </w:rPr>
      </w:pPr>
      <w:r w:rsidRPr="009E47EB">
        <w:rPr>
          <w:rFonts w:ascii="Bookman Old Style" w:hAnsi="Bookman Old Style" w:cstheme="majorHAnsi"/>
          <w:noProof/>
          <w:sz w:val="24"/>
          <w:szCs w:val="24"/>
        </w:rPr>
        <w:lastRenderedPageBreak/>
        <w:drawing>
          <wp:inline distT="0" distB="0" distL="0" distR="0" wp14:anchorId="61BCC4C6" wp14:editId="57110736">
            <wp:extent cx="5376672" cy="2465222"/>
            <wp:effectExtent l="0" t="0" r="0" b="0"/>
            <wp:docPr id="9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2"/>
                    <a:srcRect/>
                    <a:stretch>
                      <a:fillRect/>
                    </a:stretch>
                  </pic:blipFill>
                  <pic:spPr>
                    <a:xfrm>
                      <a:off x="0" y="0"/>
                      <a:ext cx="5395840" cy="2474011"/>
                    </a:xfrm>
                    <a:prstGeom prst="rect">
                      <a:avLst/>
                    </a:prstGeom>
                    <a:ln/>
                  </pic:spPr>
                </pic:pic>
              </a:graphicData>
            </a:graphic>
          </wp:inline>
        </w:drawing>
      </w:r>
    </w:p>
    <w:p w14:paraId="217674AF" w14:textId="77777777" w:rsidR="009E47EB" w:rsidRPr="009E47EB" w:rsidRDefault="009E47EB" w:rsidP="009E47EB">
      <w:pPr>
        <w:spacing w:line="240" w:lineRule="auto"/>
        <w:contextualSpacing w:val="0"/>
        <w:jc w:val="center"/>
        <w:rPr>
          <w:rFonts w:ascii="Bookman Old Style" w:hAnsi="Bookman Old Style" w:cstheme="majorHAnsi"/>
          <w:b/>
          <w:szCs w:val="24"/>
          <w:lang w:val="es-ES"/>
        </w:rPr>
      </w:pPr>
      <w:r w:rsidRPr="009E47EB">
        <w:rPr>
          <w:rFonts w:ascii="Bookman Old Style" w:hAnsi="Bookman Old Style" w:cstheme="majorHAnsi"/>
          <w:b/>
          <w:szCs w:val="24"/>
          <w:lang w:val="es-ES"/>
        </w:rPr>
        <w:t>Fuente: Sistema de Información Misional - SIM. - ICBF</w:t>
      </w:r>
    </w:p>
    <w:p w14:paraId="58672355" w14:textId="0BB69695" w:rsidR="009E47EB" w:rsidRDefault="009E47EB" w:rsidP="009E47EB">
      <w:pPr>
        <w:spacing w:line="240" w:lineRule="auto"/>
        <w:contextualSpacing w:val="0"/>
        <w:jc w:val="both"/>
        <w:rPr>
          <w:rFonts w:ascii="Bookman Old Style" w:hAnsi="Bookman Old Style" w:cstheme="majorHAnsi"/>
          <w:sz w:val="24"/>
          <w:szCs w:val="24"/>
          <w:lang w:val="es-ES"/>
        </w:rPr>
      </w:pPr>
    </w:p>
    <w:p w14:paraId="76BB9231"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07C351D8" w14:textId="77777777" w:rsidR="009E47EB" w:rsidRPr="009E47EB" w:rsidRDefault="009E47EB" w:rsidP="009E47EB">
      <w:pPr>
        <w:spacing w:line="240" w:lineRule="auto"/>
        <w:contextualSpacing w:val="0"/>
        <w:jc w:val="center"/>
        <w:rPr>
          <w:rFonts w:ascii="Bookman Old Style" w:hAnsi="Bookman Old Style" w:cstheme="majorHAnsi"/>
          <w:sz w:val="24"/>
          <w:szCs w:val="24"/>
          <w:lang w:val="es-ES"/>
        </w:rPr>
      </w:pPr>
      <w:r w:rsidRPr="009E47EB">
        <w:rPr>
          <w:rFonts w:ascii="Bookman Old Style" w:hAnsi="Bookman Old Style" w:cstheme="majorHAnsi"/>
          <w:noProof/>
          <w:sz w:val="24"/>
          <w:szCs w:val="24"/>
        </w:rPr>
        <w:drawing>
          <wp:inline distT="0" distB="0" distL="0" distR="0" wp14:anchorId="223B6A19" wp14:editId="479FD214">
            <wp:extent cx="5237683" cy="2443277"/>
            <wp:effectExtent l="0" t="0" r="1270" b="0"/>
            <wp:docPr id="9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3"/>
                    <a:srcRect/>
                    <a:stretch>
                      <a:fillRect/>
                    </a:stretch>
                  </pic:blipFill>
                  <pic:spPr>
                    <a:xfrm>
                      <a:off x="0" y="0"/>
                      <a:ext cx="5252111" cy="2450007"/>
                    </a:xfrm>
                    <a:prstGeom prst="rect">
                      <a:avLst/>
                    </a:prstGeom>
                    <a:ln/>
                  </pic:spPr>
                </pic:pic>
              </a:graphicData>
            </a:graphic>
          </wp:inline>
        </w:drawing>
      </w:r>
    </w:p>
    <w:p w14:paraId="6B277666" w14:textId="77777777" w:rsidR="009E47EB" w:rsidRPr="009E47EB" w:rsidRDefault="009E47EB" w:rsidP="009E47EB">
      <w:pPr>
        <w:spacing w:line="240" w:lineRule="auto"/>
        <w:contextualSpacing w:val="0"/>
        <w:jc w:val="center"/>
        <w:rPr>
          <w:rFonts w:ascii="Bookman Old Style" w:hAnsi="Bookman Old Style" w:cstheme="majorHAnsi"/>
          <w:b/>
          <w:szCs w:val="24"/>
          <w:lang w:val="es-ES"/>
        </w:rPr>
      </w:pPr>
      <w:r w:rsidRPr="009E47EB">
        <w:rPr>
          <w:rFonts w:ascii="Bookman Old Style" w:hAnsi="Bookman Old Style" w:cstheme="majorHAnsi"/>
          <w:b/>
          <w:szCs w:val="24"/>
          <w:lang w:val="es-ES"/>
        </w:rPr>
        <w:t>Fuente: Sistema de Información Misional - SIM. - ICBF</w:t>
      </w:r>
    </w:p>
    <w:p w14:paraId="63F62A54"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75C2BB58"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La información relacionada con los motivos de ingreso de las denuncias que recibe el ICBF y que prestan mérito para iniciar un proceso de restablecimiento del derecho a niños, niñas y adolescentes, demuestran que el abuso sexual constituye el principal delito con un total de 19.045 procesos, seguido de la omisión o negligencia con 15.474 y la falta absoluta o temporal de responsables con 8.490 procesos.</w:t>
      </w:r>
    </w:p>
    <w:p w14:paraId="4A9A0F36"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1346685B" w14:textId="77777777" w:rsidR="009E47EB" w:rsidRPr="009E47EB" w:rsidRDefault="009E47EB" w:rsidP="009E47EB">
      <w:pPr>
        <w:spacing w:line="240" w:lineRule="auto"/>
        <w:contextualSpacing w:val="0"/>
        <w:jc w:val="center"/>
        <w:rPr>
          <w:rFonts w:ascii="Bookman Old Style" w:hAnsi="Bookman Old Style" w:cstheme="majorHAnsi"/>
          <w:sz w:val="24"/>
          <w:szCs w:val="24"/>
          <w:lang w:val="es-ES"/>
        </w:rPr>
      </w:pPr>
      <w:r w:rsidRPr="009E47EB">
        <w:rPr>
          <w:rFonts w:ascii="Bookman Old Style" w:hAnsi="Bookman Old Style" w:cstheme="majorHAnsi"/>
          <w:noProof/>
          <w:sz w:val="24"/>
          <w:szCs w:val="24"/>
        </w:rPr>
        <w:lastRenderedPageBreak/>
        <w:drawing>
          <wp:inline distT="0" distB="0" distL="0" distR="0" wp14:anchorId="388D79FB" wp14:editId="66BF3F6C">
            <wp:extent cx="4886554" cy="2260396"/>
            <wp:effectExtent l="0" t="0" r="0" b="6985"/>
            <wp:docPr id="94"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4"/>
                    <a:srcRect/>
                    <a:stretch>
                      <a:fillRect/>
                    </a:stretch>
                  </pic:blipFill>
                  <pic:spPr>
                    <a:xfrm>
                      <a:off x="0" y="0"/>
                      <a:ext cx="4894502" cy="2264073"/>
                    </a:xfrm>
                    <a:prstGeom prst="rect">
                      <a:avLst/>
                    </a:prstGeom>
                    <a:ln/>
                  </pic:spPr>
                </pic:pic>
              </a:graphicData>
            </a:graphic>
          </wp:inline>
        </w:drawing>
      </w:r>
    </w:p>
    <w:p w14:paraId="0F1E2774" w14:textId="77777777" w:rsidR="009E47EB" w:rsidRPr="009E47EB" w:rsidRDefault="009E47EB" w:rsidP="009E47EB">
      <w:pPr>
        <w:spacing w:line="240" w:lineRule="auto"/>
        <w:contextualSpacing w:val="0"/>
        <w:jc w:val="center"/>
        <w:rPr>
          <w:rFonts w:ascii="Bookman Old Style" w:hAnsi="Bookman Old Style" w:cstheme="majorHAnsi"/>
          <w:b/>
          <w:szCs w:val="24"/>
          <w:lang w:val="es-ES"/>
        </w:rPr>
      </w:pPr>
      <w:r w:rsidRPr="009E47EB">
        <w:rPr>
          <w:rFonts w:ascii="Bookman Old Style" w:hAnsi="Bookman Old Style" w:cstheme="majorHAnsi"/>
          <w:b/>
          <w:szCs w:val="24"/>
          <w:lang w:val="es-ES"/>
        </w:rPr>
        <w:t>Fuente: Sistema de Información Misional - SIM. – ICBF</w:t>
      </w:r>
    </w:p>
    <w:p w14:paraId="12DC500E" w14:textId="7445A4FF" w:rsidR="009E47EB" w:rsidRDefault="009E47EB" w:rsidP="009E47EB">
      <w:pPr>
        <w:spacing w:line="240" w:lineRule="auto"/>
        <w:contextualSpacing w:val="0"/>
        <w:jc w:val="both"/>
        <w:rPr>
          <w:rFonts w:ascii="Bookman Old Style" w:hAnsi="Bookman Old Style" w:cstheme="majorHAnsi"/>
          <w:sz w:val="24"/>
          <w:szCs w:val="24"/>
          <w:lang w:val="es-ES"/>
        </w:rPr>
      </w:pPr>
    </w:p>
    <w:p w14:paraId="2ED7B928"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28F7E46E"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 xml:space="preserve">La gráfica anterior demuestra </w:t>
      </w:r>
      <w:proofErr w:type="spellStart"/>
      <w:r w:rsidRPr="009E47EB">
        <w:rPr>
          <w:rFonts w:ascii="Bookman Old Style" w:hAnsi="Bookman Old Style" w:cstheme="majorHAnsi"/>
          <w:sz w:val="24"/>
          <w:szCs w:val="24"/>
          <w:lang w:val="es-ES"/>
        </w:rPr>
        <w:t>porcentualemente</w:t>
      </w:r>
      <w:proofErr w:type="spellEnd"/>
      <w:r w:rsidRPr="009E47EB">
        <w:rPr>
          <w:rFonts w:ascii="Bookman Old Style" w:hAnsi="Bookman Old Style" w:cstheme="majorHAnsi"/>
          <w:sz w:val="24"/>
          <w:szCs w:val="24"/>
          <w:lang w:val="es-ES"/>
        </w:rPr>
        <w:t xml:space="preserve"> el valor que estos tres delitos representan sobre el total general de los procesos administrativos para restablecimiento de derechos a menores y adolescentes, resaltando los casos en los que son víctimas de violencia sexual.</w:t>
      </w:r>
    </w:p>
    <w:p w14:paraId="49032468"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18987875"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 xml:space="preserve">De otra parte, se analizó la información proporcionada por la Fiscalía General de la Nación en relación con los delitos contra la infancia y adolescencia para el periodo comprendido entre el 01/01/2016 y el 30/06/2021, observándose una tendencia al alza en los últimos años, especialmente en el 2019 y una reducción en el 2020 probablemente por efectos de la cuarentena a la que fuimos sometidos por los efectos del </w:t>
      </w:r>
      <w:proofErr w:type="spellStart"/>
      <w:r w:rsidRPr="009E47EB">
        <w:rPr>
          <w:rFonts w:ascii="Bookman Old Style" w:hAnsi="Bookman Old Style" w:cstheme="majorHAnsi"/>
          <w:sz w:val="24"/>
          <w:szCs w:val="24"/>
          <w:lang w:val="es-ES"/>
        </w:rPr>
        <w:t>Covid</w:t>
      </w:r>
      <w:proofErr w:type="spellEnd"/>
      <w:r w:rsidRPr="009E47EB">
        <w:rPr>
          <w:rFonts w:ascii="Bookman Old Style" w:hAnsi="Bookman Old Style" w:cstheme="majorHAnsi"/>
          <w:sz w:val="24"/>
          <w:szCs w:val="24"/>
          <w:lang w:val="es-ES"/>
        </w:rPr>
        <w:t xml:space="preserve"> – 19.</w:t>
      </w:r>
    </w:p>
    <w:p w14:paraId="2C51EFB4"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5E65A601" w14:textId="77777777" w:rsidR="009E47EB" w:rsidRPr="009E47EB" w:rsidRDefault="009E47EB" w:rsidP="009E47EB">
      <w:pPr>
        <w:spacing w:line="240" w:lineRule="auto"/>
        <w:contextualSpacing w:val="0"/>
        <w:jc w:val="center"/>
        <w:rPr>
          <w:rFonts w:ascii="Bookman Old Style" w:hAnsi="Bookman Old Style" w:cstheme="majorHAnsi"/>
          <w:sz w:val="24"/>
          <w:szCs w:val="24"/>
          <w:lang w:val="es-ES"/>
        </w:rPr>
      </w:pPr>
      <w:r w:rsidRPr="009E47EB">
        <w:rPr>
          <w:rFonts w:ascii="Bookman Old Style" w:hAnsi="Bookman Old Style" w:cstheme="majorHAnsi"/>
          <w:noProof/>
          <w:sz w:val="24"/>
          <w:szCs w:val="24"/>
        </w:rPr>
        <w:drawing>
          <wp:inline distT="0" distB="0" distL="0" distR="0" wp14:anchorId="17009BB0" wp14:editId="0D616544">
            <wp:extent cx="3882788" cy="2272353"/>
            <wp:effectExtent l="0" t="0" r="3810" b="0"/>
            <wp:docPr id="93"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5"/>
                    <a:srcRect/>
                    <a:stretch>
                      <a:fillRect/>
                    </a:stretch>
                  </pic:blipFill>
                  <pic:spPr>
                    <a:xfrm>
                      <a:off x="0" y="0"/>
                      <a:ext cx="3889870" cy="2276498"/>
                    </a:xfrm>
                    <a:prstGeom prst="rect">
                      <a:avLst/>
                    </a:prstGeom>
                    <a:ln/>
                  </pic:spPr>
                </pic:pic>
              </a:graphicData>
            </a:graphic>
          </wp:inline>
        </w:drawing>
      </w:r>
    </w:p>
    <w:p w14:paraId="7C9E577D" w14:textId="77777777" w:rsidR="009E47EB" w:rsidRPr="009E47EB" w:rsidRDefault="009E47EB" w:rsidP="009E47EB">
      <w:pPr>
        <w:spacing w:line="240" w:lineRule="auto"/>
        <w:contextualSpacing w:val="0"/>
        <w:jc w:val="center"/>
        <w:rPr>
          <w:rFonts w:ascii="Bookman Old Style" w:hAnsi="Bookman Old Style" w:cstheme="majorHAnsi"/>
          <w:b/>
          <w:szCs w:val="24"/>
          <w:lang w:val="es-ES"/>
        </w:rPr>
      </w:pPr>
      <w:r w:rsidRPr="009E47EB">
        <w:rPr>
          <w:rFonts w:ascii="Bookman Old Style" w:hAnsi="Bookman Old Style" w:cstheme="majorHAnsi"/>
          <w:b/>
          <w:szCs w:val="24"/>
          <w:lang w:val="es-ES"/>
        </w:rPr>
        <w:t>Fuente: Fiscalía General de la Nación.</w:t>
      </w:r>
    </w:p>
    <w:p w14:paraId="618F6286" w14:textId="6F6E44BB" w:rsidR="009E47EB" w:rsidRDefault="009E47EB" w:rsidP="009E47EB">
      <w:pPr>
        <w:spacing w:line="240" w:lineRule="auto"/>
        <w:contextualSpacing w:val="0"/>
        <w:jc w:val="both"/>
        <w:rPr>
          <w:rFonts w:ascii="Bookman Old Style" w:hAnsi="Bookman Old Style" w:cstheme="majorHAnsi"/>
          <w:b/>
          <w:sz w:val="24"/>
          <w:szCs w:val="24"/>
          <w:lang w:val="es-ES"/>
        </w:rPr>
      </w:pPr>
    </w:p>
    <w:p w14:paraId="744F9E1C" w14:textId="77777777" w:rsidR="009E47EB" w:rsidRPr="009E47EB" w:rsidRDefault="009E47EB" w:rsidP="009E47EB">
      <w:pPr>
        <w:spacing w:line="240" w:lineRule="auto"/>
        <w:contextualSpacing w:val="0"/>
        <w:jc w:val="both"/>
        <w:rPr>
          <w:rFonts w:ascii="Bookman Old Style" w:hAnsi="Bookman Old Style" w:cstheme="majorHAnsi"/>
          <w:b/>
          <w:sz w:val="24"/>
          <w:szCs w:val="24"/>
          <w:lang w:val="es-ES"/>
        </w:rPr>
      </w:pPr>
    </w:p>
    <w:p w14:paraId="54C3A24B"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lastRenderedPageBreak/>
        <w:t xml:space="preserve">Al igual que en los datos suministrados por el ICBF, con los informado por la FGN se puede inferir que dentro de los delitos contra los menores y adolescentes priman los de tipo sexual con 157.344, seguido de los delitos contra la familia con 11.058 y los delitos por reclutamiento ilícito con 2.290 casos de un total de 171.947 de delitos que fueron cometidos durante el periodo en estudio. </w:t>
      </w:r>
    </w:p>
    <w:p w14:paraId="7035FB7F"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61FE38B0" w14:textId="77777777" w:rsidR="009E47EB" w:rsidRPr="009E47EB" w:rsidRDefault="009E47EB" w:rsidP="009E47EB">
      <w:pPr>
        <w:spacing w:line="240" w:lineRule="auto"/>
        <w:contextualSpacing w:val="0"/>
        <w:jc w:val="center"/>
        <w:rPr>
          <w:rFonts w:ascii="Bookman Old Style" w:hAnsi="Bookman Old Style" w:cstheme="majorHAnsi"/>
          <w:sz w:val="24"/>
          <w:szCs w:val="24"/>
          <w:lang w:val="es-ES"/>
        </w:rPr>
      </w:pPr>
      <w:r w:rsidRPr="009E47EB">
        <w:rPr>
          <w:rFonts w:ascii="Bookman Old Style" w:hAnsi="Bookman Old Style" w:cstheme="majorHAnsi"/>
          <w:noProof/>
          <w:sz w:val="24"/>
          <w:szCs w:val="24"/>
        </w:rPr>
        <w:drawing>
          <wp:inline distT="0" distB="0" distL="0" distR="0" wp14:anchorId="6C768943" wp14:editId="1A7CCBF3">
            <wp:extent cx="4019266" cy="2279176"/>
            <wp:effectExtent l="0" t="0" r="635" b="6985"/>
            <wp:docPr id="9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6"/>
                    <a:srcRect/>
                    <a:stretch>
                      <a:fillRect/>
                    </a:stretch>
                  </pic:blipFill>
                  <pic:spPr>
                    <a:xfrm>
                      <a:off x="0" y="0"/>
                      <a:ext cx="4021042" cy="2280183"/>
                    </a:xfrm>
                    <a:prstGeom prst="rect">
                      <a:avLst/>
                    </a:prstGeom>
                    <a:ln/>
                  </pic:spPr>
                </pic:pic>
              </a:graphicData>
            </a:graphic>
          </wp:inline>
        </w:drawing>
      </w:r>
    </w:p>
    <w:p w14:paraId="70D19406" w14:textId="77777777" w:rsidR="009E47EB" w:rsidRPr="009E47EB" w:rsidRDefault="009E47EB" w:rsidP="009E47EB">
      <w:pPr>
        <w:spacing w:line="240" w:lineRule="auto"/>
        <w:contextualSpacing w:val="0"/>
        <w:jc w:val="center"/>
        <w:rPr>
          <w:rFonts w:ascii="Bookman Old Style" w:hAnsi="Bookman Old Style" w:cstheme="majorHAnsi"/>
          <w:b/>
          <w:szCs w:val="24"/>
          <w:lang w:val="es-ES"/>
        </w:rPr>
      </w:pPr>
      <w:r w:rsidRPr="009E47EB">
        <w:rPr>
          <w:rFonts w:ascii="Bookman Old Style" w:hAnsi="Bookman Old Style" w:cstheme="majorHAnsi"/>
          <w:b/>
          <w:szCs w:val="24"/>
          <w:lang w:val="es-ES"/>
        </w:rPr>
        <w:t>Fuente: Fiscalía General de la Nación.</w:t>
      </w:r>
    </w:p>
    <w:p w14:paraId="33288D16" w14:textId="6A36C977" w:rsidR="009E47EB" w:rsidRDefault="009E47EB" w:rsidP="009E47EB">
      <w:pPr>
        <w:spacing w:line="240" w:lineRule="auto"/>
        <w:contextualSpacing w:val="0"/>
        <w:jc w:val="both"/>
        <w:rPr>
          <w:rFonts w:ascii="Bookman Old Style" w:hAnsi="Bookman Old Style" w:cstheme="majorHAnsi"/>
          <w:sz w:val="24"/>
          <w:szCs w:val="24"/>
          <w:lang w:val="es-ES"/>
        </w:rPr>
      </w:pPr>
    </w:p>
    <w:p w14:paraId="52DBD4E3"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35B955D7"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Si se analiza cada uno de estos delitos por separado, resalta que a partir del 2016 los delitos sexuales y los que atentan contra la familia, han presentado una tendencia al alza, incrementando el número de casos cada año. Sin embargo, se evidencia que en el 2020 las cifras tienen un descenso en su comportamiento.</w:t>
      </w:r>
    </w:p>
    <w:p w14:paraId="221EF292"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184CA03C" w14:textId="77777777" w:rsidR="009E47EB" w:rsidRPr="009E47EB" w:rsidRDefault="009E47EB" w:rsidP="009E47EB">
      <w:pPr>
        <w:spacing w:line="240" w:lineRule="auto"/>
        <w:contextualSpacing w:val="0"/>
        <w:jc w:val="center"/>
        <w:rPr>
          <w:rFonts w:ascii="Bookman Old Style" w:hAnsi="Bookman Old Style" w:cstheme="majorHAnsi"/>
          <w:sz w:val="24"/>
          <w:szCs w:val="24"/>
          <w:lang w:val="es-ES"/>
        </w:rPr>
      </w:pPr>
      <w:r w:rsidRPr="009E47EB">
        <w:rPr>
          <w:rFonts w:ascii="Bookman Old Style" w:hAnsi="Bookman Old Style" w:cstheme="majorHAnsi"/>
          <w:noProof/>
          <w:sz w:val="24"/>
          <w:szCs w:val="24"/>
        </w:rPr>
        <w:drawing>
          <wp:inline distT="0" distB="0" distL="0" distR="0" wp14:anchorId="40A8DF73" wp14:editId="29912522">
            <wp:extent cx="4380931" cy="2272353"/>
            <wp:effectExtent l="0" t="0" r="635" b="0"/>
            <wp:docPr id="96"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7"/>
                    <a:srcRect/>
                    <a:stretch>
                      <a:fillRect/>
                    </a:stretch>
                  </pic:blipFill>
                  <pic:spPr>
                    <a:xfrm>
                      <a:off x="0" y="0"/>
                      <a:ext cx="4387421" cy="2275719"/>
                    </a:xfrm>
                    <a:prstGeom prst="rect">
                      <a:avLst/>
                    </a:prstGeom>
                    <a:ln/>
                  </pic:spPr>
                </pic:pic>
              </a:graphicData>
            </a:graphic>
          </wp:inline>
        </w:drawing>
      </w:r>
    </w:p>
    <w:p w14:paraId="4EABE56E" w14:textId="77777777" w:rsidR="009E47EB" w:rsidRPr="009E47EB" w:rsidRDefault="009E47EB" w:rsidP="009E47EB">
      <w:pPr>
        <w:spacing w:line="240" w:lineRule="auto"/>
        <w:contextualSpacing w:val="0"/>
        <w:jc w:val="center"/>
        <w:rPr>
          <w:rFonts w:ascii="Bookman Old Style" w:hAnsi="Bookman Old Style" w:cstheme="majorHAnsi"/>
          <w:b/>
          <w:szCs w:val="24"/>
          <w:lang w:val="es-ES"/>
        </w:rPr>
      </w:pPr>
      <w:r w:rsidRPr="009E47EB">
        <w:rPr>
          <w:rFonts w:ascii="Bookman Old Style" w:hAnsi="Bookman Old Style" w:cstheme="majorHAnsi"/>
          <w:b/>
          <w:szCs w:val="24"/>
          <w:lang w:val="es-ES"/>
        </w:rPr>
        <w:t>Fuente: Fiscalía General de la Nación.</w:t>
      </w:r>
    </w:p>
    <w:p w14:paraId="338D7950" w14:textId="77777777" w:rsidR="009E47EB" w:rsidRPr="009E47EB" w:rsidRDefault="009E47EB" w:rsidP="009E47EB">
      <w:pPr>
        <w:spacing w:line="240" w:lineRule="auto"/>
        <w:contextualSpacing w:val="0"/>
        <w:jc w:val="both"/>
        <w:rPr>
          <w:rFonts w:ascii="Bookman Old Style" w:hAnsi="Bookman Old Style" w:cstheme="majorHAnsi"/>
          <w:b/>
          <w:sz w:val="24"/>
          <w:szCs w:val="24"/>
          <w:lang w:val="es-ES"/>
        </w:rPr>
      </w:pPr>
    </w:p>
    <w:p w14:paraId="5573CF6C" w14:textId="77777777" w:rsidR="009E47EB" w:rsidRPr="009E47EB" w:rsidRDefault="009E47EB" w:rsidP="009E47EB">
      <w:pPr>
        <w:spacing w:line="240" w:lineRule="auto"/>
        <w:contextualSpacing w:val="0"/>
        <w:jc w:val="center"/>
        <w:rPr>
          <w:rFonts w:ascii="Bookman Old Style" w:hAnsi="Bookman Old Style" w:cstheme="majorHAnsi"/>
          <w:sz w:val="24"/>
          <w:szCs w:val="24"/>
          <w:lang w:val="es-ES"/>
        </w:rPr>
      </w:pPr>
      <w:r w:rsidRPr="009E47EB">
        <w:rPr>
          <w:rFonts w:ascii="Bookman Old Style" w:hAnsi="Bookman Old Style" w:cstheme="majorHAnsi"/>
          <w:noProof/>
          <w:sz w:val="24"/>
          <w:szCs w:val="24"/>
        </w:rPr>
        <w:lastRenderedPageBreak/>
        <w:drawing>
          <wp:inline distT="0" distB="0" distL="0" distR="0" wp14:anchorId="404A4179" wp14:editId="7BBE9AAA">
            <wp:extent cx="4442346" cy="2320119"/>
            <wp:effectExtent l="0" t="0" r="0" b="4445"/>
            <wp:docPr id="100"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8"/>
                    <a:srcRect/>
                    <a:stretch>
                      <a:fillRect/>
                    </a:stretch>
                  </pic:blipFill>
                  <pic:spPr>
                    <a:xfrm>
                      <a:off x="0" y="0"/>
                      <a:ext cx="4447545" cy="2322835"/>
                    </a:xfrm>
                    <a:prstGeom prst="rect">
                      <a:avLst/>
                    </a:prstGeom>
                    <a:ln/>
                  </pic:spPr>
                </pic:pic>
              </a:graphicData>
            </a:graphic>
          </wp:inline>
        </w:drawing>
      </w:r>
    </w:p>
    <w:p w14:paraId="56E94883" w14:textId="77777777" w:rsidR="009E47EB" w:rsidRPr="009E47EB" w:rsidRDefault="009E47EB" w:rsidP="009E47EB">
      <w:pPr>
        <w:spacing w:line="240" w:lineRule="auto"/>
        <w:contextualSpacing w:val="0"/>
        <w:jc w:val="center"/>
        <w:rPr>
          <w:rFonts w:ascii="Bookman Old Style" w:hAnsi="Bookman Old Style" w:cstheme="majorHAnsi"/>
          <w:b/>
          <w:szCs w:val="24"/>
          <w:lang w:val="es-ES"/>
        </w:rPr>
      </w:pPr>
      <w:r w:rsidRPr="009E47EB">
        <w:rPr>
          <w:rFonts w:ascii="Bookman Old Style" w:hAnsi="Bookman Old Style" w:cstheme="majorHAnsi"/>
          <w:b/>
          <w:szCs w:val="24"/>
          <w:lang w:val="es-ES"/>
        </w:rPr>
        <w:t>Fuente: Fiscalía General de la Nación.</w:t>
      </w:r>
    </w:p>
    <w:p w14:paraId="416C0B28" w14:textId="77777777" w:rsidR="009E47EB" w:rsidRDefault="009E47EB" w:rsidP="009E47EB">
      <w:pPr>
        <w:spacing w:line="240" w:lineRule="auto"/>
        <w:contextualSpacing w:val="0"/>
        <w:jc w:val="both"/>
        <w:rPr>
          <w:rFonts w:ascii="Bookman Old Style" w:hAnsi="Bookman Old Style" w:cstheme="majorHAnsi"/>
          <w:sz w:val="24"/>
          <w:szCs w:val="24"/>
          <w:lang w:val="es-ES"/>
        </w:rPr>
      </w:pPr>
    </w:p>
    <w:p w14:paraId="02C6F11A" w14:textId="77777777" w:rsidR="009E47EB" w:rsidRDefault="009E47EB" w:rsidP="009E47EB">
      <w:pPr>
        <w:spacing w:line="240" w:lineRule="auto"/>
        <w:contextualSpacing w:val="0"/>
        <w:jc w:val="both"/>
        <w:rPr>
          <w:rFonts w:ascii="Bookman Old Style" w:hAnsi="Bookman Old Style" w:cstheme="majorHAnsi"/>
          <w:sz w:val="24"/>
          <w:szCs w:val="24"/>
          <w:lang w:val="es-ES"/>
        </w:rPr>
      </w:pPr>
    </w:p>
    <w:p w14:paraId="4E8FA11B" w14:textId="5E6278F3"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Por su parte, el indicador de los delitos por el reclutamiento ilícito de menores y adolescentes viene presentando una tendencia a la baja, lo que se puede entender por el proceso de paz que fue adelantado con la guerrilla de las FARC, quienes por años fueron los principales reclutadores de menores en todo el país.</w:t>
      </w:r>
    </w:p>
    <w:p w14:paraId="772468A4"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4ACF41A1" w14:textId="77777777" w:rsidR="009E47EB" w:rsidRPr="009E47EB" w:rsidRDefault="009E47EB" w:rsidP="009E47EB">
      <w:pPr>
        <w:spacing w:line="240" w:lineRule="auto"/>
        <w:contextualSpacing w:val="0"/>
        <w:jc w:val="center"/>
        <w:rPr>
          <w:rFonts w:ascii="Bookman Old Style" w:hAnsi="Bookman Old Style" w:cstheme="majorHAnsi"/>
          <w:sz w:val="24"/>
          <w:szCs w:val="24"/>
          <w:lang w:val="es-ES"/>
        </w:rPr>
      </w:pPr>
      <w:r w:rsidRPr="009E47EB">
        <w:rPr>
          <w:rFonts w:ascii="Bookman Old Style" w:hAnsi="Bookman Old Style" w:cstheme="majorHAnsi"/>
          <w:noProof/>
          <w:sz w:val="24"/>
          <w:szCs w:val="24"/>
        </w:rPr>
        <w:drawing>
          <wp:inline distT="0" distB="0" distL="0" distR="0" wp14:anchorId="5A40788C" wp14:editId="765D7862">
            <wp:extent cx="3949700" cy="2247900"/>
            <wp:effectExtent l="0" t="0" r="0" b="0"/>
            <wp:docPr id="98"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9"/>
                    <a:srcRect/>
                    <a:stretch>
                      <a:fillRect/>
                    </a:stretch>
                  </pic:blipFill>
                  <pic:spPr>
                    <a:xfrm>
                      <a:off x="0" y="0"/>
                      <a:ext cx="3950294" cy="2248238"/>
                    </a:xfrm>
                    <a:prstGeom prst="rect">
                      <a:avLst/>
                    </a:prstGeom>
                    <a:ln/>
                  </pic:spPr>
                </pic:pic>
              </a:graphicData>
            </a:graphic>
          </wp:inline>
        </w:drawing>
      </w:r>
    </w:p>
    <w:p w14:paraId="0C15A69E" w14:textId="77777777" w:rsidR="009E47EB" w:rsidRPr="009E47EB" w:rsidRDefault="009E47EB" w:rsidP="009E47EB">
      <w:pPr>
        <w:spacing w:line="240" w:lineRule="auto"/>
        <w:contextualSpacing w:val="0"/>
        <w:jc w:val="center"/>
        <w:rPr>
          <w:rFonts w:ascii="Bookman Old Style" w:hAnsi="Bookman Old Style" w:cstheme="majorHAnsi"/>
          <w:b/>
          <w:szCs w:val="24"/>
          <w:lang w:val="es-ES"/>
        </w:rPr>
      </w:pPr>
      <w:r w:rsidRPr="009E47EB">
        <w:rPr>
          <w:rFonts w:ascii="Bookman Old Style" w:hAnsi="Bookman Old Style" w:cstheme="majorHAnsi"/>
          <w:b/>
          <w:szCs w:val="24"/>
          <w:lang w:val="es-ES"/>
        </w:rPr>
        <w:t>Fuente: Fiscalía General de la Nación.</w:t>
      </w:r>
    </w:p>
    <w:p w14:paraId="35A5A8CE"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795FD4C6" w14:textId="77777777" w:rsidR="00602218" w:rsidRDefault="00602218" w:rsidP="009E47EB">
      <w:pPr>
        <w:spacing w:line="240" w:lineRule="auto"/>
        <w:contextualSpacing w:val="0"/>
        <w:jc w:val="both"/>
        <w:rPr>
          <w:rFonts w:ascii="Bookman Old Style" w:hAnsi="Bookman Old Style" w:cstheme="majorHAnsi"/>
          <w:sz w:val="24"/>
          <w:szCs w:val="24"/>
          <w:lang w:val="es-ES"/>
        </w:rPr>
      </w:pPr>
    </w:p>
    <w:p w14:paraId="2F49C386" w14:textId="205F0C19"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 xml:space="preserve">La información suministrada por la FGN, permite hacer un análisis en cuanto a los procesos adelantados en relación con los delitos contra menores y adolescentes. En la siguiente gráfica se representa el tiempo promedio en meses que tarda un proceso de esta naturaleza, desde el momento en que se produce la denuncia hasta que se registra una actuación de archivo o de sentencia. </w:t>
      </w:r>
    </w:p>
    <w:p w14:paraId="3BDEB99B"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6A83458C"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 xml:space="preserve">En el caso del archivo, el tiempo promedio en días para que se efectúe esta acción, varía dependiendo el tipo de delito, siendo los procesos por reclutamiento ilícito </w:t>
      </w:r>
      <w:r w:rsidRPr="009E47EB">
        <w:rPr>
          <w:rFonts w:ascii="Bookman Old Style" w:hAnsi="Bookman Old Style" w:cstheme="majorHAnsi"/>
          <w:sz w:val="24"/>
          <w:szCs w:val="24"/>
          <w:lang w:val="es-ES"/>
        </w:rPr>
        <w:lastRenderedPageBreak/>
        <w:t>los que más tardan en decretar un archivo con un promedio de 623 días, seguido de los delitos por estupefacientes con 544 días y los delitos sexuales con 518 días en promedio.</w:t>
      </w:r>
    </w:p>
    <w:p w14:paraId="49100EAF"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08102EF6"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noProof/>
          <w:sz w:val="24"/>
          <w:szCs w:val="24"/>
        </w:rPr>
        <w:drawing>
          <wp:inline distT="0" distB="0" distL="0" distR="0" wp14:anchorId="7AE04C85" wp14:editId="09E49384">
            <wp:extent cx="3371850" cy="1771650"/>
            <wp:effectExtent l="0" t="0" r="0" b="0"/>
            <wp:docPr id="99"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20"/>
                    <a:srcRect/>
                    <a:stretch>
                      <a:fillRect/>
                    </a:stretch>
                  </pic:blipFill>
                  <pic:spPr>
                    <a:xfrm>
                      <a:off x="0" y="0"/>
                      <a:ext cx="3380654" cy="1776276"/>
                    </a:xfrm>
                    <a:prstGeom prst="rect">
                      <a:avLst/>
                    </a:prstGeom>
                    <a:ln/>
                  </pic:spPr>
                </pic:pic>
              </a:graphicData>
            </a:graphic>
          </wp:inline>
        </w:drawing>
      </w:r>
    </w:p>
    <w:p w14:paraId="6FE64F9B" w14:textId="77777777" w:rsidR="009E47EB" w:rsidRPr="009E47EB" w:rsidRDefault="009E47EB" w:rsidP="009E47EB">
      <w:pPr>
        <w:spacing w:line="240" w:lineRule="auto"/>
        <w:contextualSpacing w:val="0"/>
        <w:jc w:val="both"/>
        <w:rPr>
          <w:rFonts w:ascii="Bookman Old Style" w:hAnsi="Bookman Old Style" w:cstheme="majorHAnsi"/>
          <w:b/>
          <w:sz w:val="24"/>
          <w:szCs w:val="24"/>
          <w:lang w:val="es-ES"/>
        </w:rPr>
      </w:pPr>
      <w:r w:rsidRPr="009E47EB">
        <w:rPr>
          <w:rFonts w:ascii="Bookman Old Style" w:hAnsi="Bookman Old Style" w:cstheme="majorHAnsi"/>
          <w:b/>
          <w:sz w:val="24"/>
          <w:szCs w:val="24"/>
          <w:lang w:val="es-ES"/>
        </w:rPr>
        <w:tab/>
        <w:t>Fuente: Fiscalía General de la Nación.</w:t>
      </w:r>
      <w:r w:rsidRPr="009E47EB">
        <w:rPr>
          <w:rFonts w:ascii="Bookman Old Style" w:hAnsi="Bookman Old Style" w:cstheme="majorHAnsi"/>
          <w:b/>
          <w:sz w:val="24"/>
          <w:szCs w:val="24"/>
          <w:lang w:val="es-ES"/>
        </w:rPr>
        <w:tab/>
      </w:r>
    </w:p>
    <w:p w14:paraId="7188EF02" w14:textId="77777777" w:rsidR="009E47EB" w:rsidRPr="009E47EB" w:rsidRDefault="009E47EB" w:rsidP="009E47EB">
      <w:pPr>
        <w:spacing w:line="240" w:lineRule="auto"/>
        <w:contextualSpacing w:val="0"/>
        <w:jc w:val="both"/>
        <w:rPr>
          <w:rFonts w:ascii="Bookman Old Style" w:hAnsi="Bookman Old Style" w:cstheme="majorHAnsi"/>
          <w:b/>
          <w:sz w:val="24"/>
          <w:szCs w:val="24"/>
          <w:lang w:val="es-ES"/>
        </w:rPr>
      </w:pPr>
    </w:p>
    <w:p w14:paraId="2D4609C0"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En relación con el tiempo promedio en días para que se ejecute una decisión de sentencia absolutoria, éste también varía dependiendo el tipo de delito, siendo los delitos contra la familia los que más tiempo llevan en resolverse con un promedio de 1.071 días, seguido de los delitos sexuales con 860 y los de estupefacientes con 810 días. Esta situación puede tener su origen principalmente en la falta de fiscales especializados que hay en el país para atender el alto número de denuncias que se presentan por los delitos contra menores.</w:t>
      </w:r>
    </w:p>
    <w:p w14:paraId="72F0E57C"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1EA0C4FA"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noProof/>
          <w:sz w:val="24"/>
          <w:szCs w:val="24"/>
        </w:rPr>
        <w:drawing>
          <wp:inline distT="0" distB="0" distL="0" distR="0" wp14:anchorId="20FBD28C" wp14:editId="5EA9CA78">
            <wp:extent cx="3984171" cy="2155372"/>
            <wp:effectExtent l="0" t="0" r="0" b="0"/>
            <wp:docPr id="101"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1"/>
                    <a:srcRect/>
                    <a:stretch>
                      <a:fillRect/>
                    </a:stretch>
                  </pic:blipFill>
                  <pic:spPr>
                    <a:xfrm>
                      <a:off x="0" y="0"/>
                      <a:ext cx="3988159" cy="2157529"/>
                    </a:xfrm>
                    <a:prstGeom prst="rect">
                      <a:avLst/>
                    </a:prstGeom>
                    <a:ln/>
                  </pic:spPr>
                </pic:pic>
              </a:graphicData>
            </a:graphic>
          </wp:inline>
        </w:drawing>
      </w:r>
    </w:p>
    <w:p w14:paraId="18B17946"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b/>
          <w:sz w:val="24"/>
          <w:szCs w:val="24"/>
          <w:lang w:val="es-ES"/>
        </w:rPr>
        <w:t>Fuente: Fiscalía General de la Nación.</w:t>
      </w:r>
    </w:p>
    <w:p w14:paraId="6B862CB9"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156E9B30"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Para el caso de las sentencias condenatorias, los procesos que más tardan en resolver una sentencia de este tipo, son aquellos relacionados con los delitos sexuales con 688 días en promedio, seguido de los delitos de estupefacientes con 557 días.</w:t>
      </w:r>
    </w:p>
    <w:p w14:paraId="4F443C28"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07C49B75"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noProof/>
          <w:sz w:val="24"/>
          <w:szCs w:val="24"/>
        </w:rPr>
        <w:lastRenderedPageBreak/>
        <w:drawing>
          <wp:inline distT="0" distB="0" distL="0" distR="0" wp14:anchorId="7586DA6B" wp14:editId="189196C2">
            <wp:extent cx="5106389" cy="2624446"/>
            <wp:effectExtent l="0" t="0" r="0" b="5080"/>
            <wp:docPr id="102"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2"/>
                    <a:srcRect/>
                    <a:stretch>
                      <a:fillRect/>
                    </a:stretch>
                  </pic:blipFill>
                  <pic:spPr>
                    <a:xfrm>
                      <a:off x="0" y="0"/>
                      <a:ext cx="5114575" cy="2628653"/>
                    </a:xfrm>
                    <a:prstGeom prst="rect">
                      <a:avLst/>
                    </a:prstGeom>
                    <a:ln/>
                  </pic:spPr>
                </pic:pic>
              </a:graphicData>
            </a:graphic>
          </wp:inline>
        </w:drawing>
      </w:r>
    </w:p>
    <w:p w14:paraId="1C8C9193" w14:textId="77777777" w:rsidR="009E47EB" w:rsidRPr="009E47EB" w:rsidRDefault="009E47EB" w:rsidP="009E47EB">
      <w:pPr>
        <w:spacing w:line="240" w:lineRule="auto"/>
        <w:contextualSpacing w:val="0"/>
        <w:jc w:val="both"/>
        <w:rPr>
          <w:rFonts w:ascii="Bookman Old Style" w:hAnsi="Bookman Old Style" w:cstheme="majorHAnsi"/>
          <w:b/>
          <w:sz w:val="24"/>
          <w:szCs w:val="24"/>
          <w:lang w:val="es-ES"/>
        </w:rPr>
      </w:pPr>
      <w:r w:rsidRPr="009E47EB">
        <w:rPr>
          <w:rFonts w:ascii="Bookman Old Style" w:hAnsi="Bookman Old Style" w:cstheme="majorHAnsi"/>
          <w:b/>
          <w:sz w:val="24"/>
          <w:szCs w:val="24"/>
          <w:lang w:val="es-ES"/>
        </w:rPr>
        <w:t>Fuente: Fiscalía General de la Nación.</w:t>
      </w:r>
    </w:p>
    <w:p w14:paraId="57B98579"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03426155"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noProof/>
          <w:sz w:val="24"/>
          <w:szCs w:val="24"/>
        </w:rPr>
        <w:drawing>
          <wp:inline distT="0" distB="0" distL="0" distR="0" wp14:anchorId="3DA2F239" wp14:editId="144EC474">
            <wp:extent cx="5231080" cy="2642259"/>
            <wp:effectExtent l="0" t="0" r="8255" b="5715"/>
            <wp:docPr id="103"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23"/>
                    <a:srcRect/>
                    <a:stretch>
                      <a:fillRect/>
                    </a:stretch>
                  </pic:blipFill>
                  <pic:spPr>
                    <a:xfrm>
                      <a:off x="0" y="0"/>
                      <a:ext cx="5235042" cy="2644260"/>
                    </a:xfrm>
                    <a:prstGeom prst="rect">
                      <a:avLst/>
                    </a:prstGeom>
                    <a:ln/>
                  </pic:spPr>
                </pic:pic>
              </a:graphicData>
            </a:graphic>
          </wp:inline>
        </w:drawing>
      </w:r>
    </w:p>
    <w:p w14:paraId="249C9C59" w14:textId="77777777" w:rsidR="009E47EB" w:rsidRPr="009E47EB" w:rsidRDefault="009E47EB" w:rsidP="009E47EB">
      <w:pPr>
        <w:spacing w:line="240" w:lineRule="auto"/>
        <w:contextualSpacing w:val="0"/>
        <w:jc w:val="both"/>
        <w:rPr>
          <w:rFonts w:ascii="Bookman Old Style" w:hAnsi="Bookman Old Style" w:cstheme="majorHAnsi"/>
          <w:b/>
          <w:sz w:val="24"/>
          <w:szCs w:val="24"/>
          <w:lang w:val="es-ES"/>
        </w:rPr>
      </w:pPr>
      <w:r w:rsidRPr="009E47EB">
        <w:rPr>
          <w:rFonts w:ascii="Bookman Old Style" w:hAnsi="Bookman Old Style" w:cstheme="majorHAnsi"/>
          <w:b/>
          <w:sz w:val="24"/>
          <w:szCs w:val="24"/>
          <w:lang w:val="es-ES"/>
        </w:rPr>
        <w:t>Fuente: Fiscalía General de la Nación.</w:t>
      </w:r>
    </w:p>
    <w:p w14:paraId="2726CB17"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164A0A26"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En cuanto a las sentencias sancionatorias en procesos contra la infancia y adolescencia, los procesos que más tardan en producir esta acción son los relacionados con delitos de estupefacientes con 569 días en promedio y los delitos sexuales con 565.</w:t>
      </w:r>
    </w:p>
    <w:p w14:paraId="317410A6"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4CAF76A9"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noProof/>
          <w:sz w:val="24"/>
          <w:szCs w:val="24"/>
        </w:rPr>
        <w:lastRenderedPageBreak/>
        <w:drawing>
          <wp:inline distT="0" distB="0" distL="0" distR="0" wp14:anchorId="5BEF1E56" wp14:editId="7F6BA64D">
            <wp:extent cx="4795876" cy="2088108"/>
            <wp:effectExtent l="0" t="0" r="5080" b="7620"/>
            <wp:docPr id="10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24"/>
                    <a:srcRect/>
                    <a:stretch>
                      <a:fillRect/>
                    </a:stretch>
                  </pic:blipFill>
                  <pic:spPr>
                    <a:xfrm>
                      <a:off x="0" y="0"/>
                      <a:ext cx="4803881" cy="2091593"/>
                    </a:xfrm>
                    <a:prstGeom prst="rect">
                      <a:avLst/>
                    </a:prstGeom>
                    <a:ln/>
                  </pic:spPr>
                </pic:pic>
              </a:graphicData>
            </a:graphic>
          </wp:inline>
        </w:drawing>
      </w:r>
    </w:p>
    <w:p w14:paraId="026820BE"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b/>
          <w:sz w:val="24"/>
          <w:szCs w:val="24"/>
          <w:lang w:val="es-ES"/>
        </w:rPr>
        <w:t>Fuente: Fiscalía General de la Nación.</w:t>
      </w:r>
    </w:p>
    <w:p w14:paraId="6FBCC959"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3885619B"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En relación con el número total de indiciados por delitos contra menores y adolescentes y cuyos procesos terminaron en una sentencia durante el periodo 01/01/2016 – 30/06/2021, se puede concluir que este indicador ha tenido un comportamiento que refleja un aumento con el paso de los años, siendo de 166 indiciados en el año 2016 y 1.989 al cierre del 2020.</w:t>
      </w:r>
    </w:p>
    <w:p w14:paraId="6FFE550B"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0B1169C1"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Igual situación ocurre con las actuaciones de archivo, las cuales han ido en ascenso durante los últimos 5 años, pasando de 1,949 en el 2016 a 12.725 en el 2.020.</w:t>
      </w:r>
    </w:p>
    <w:p w14:paraId="3612D42D"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0B628BA2"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noProof/>
          <w:sz w:val="24"/>
          <w:szCs w:val="24"/>
        </w:rPr>
        <w:drawing>
          <wp:inline distT="0" distB="0" distL="0" distR="0" wp14:anchorId="5FD7C8BD" wp14:editId="743CE2BC">
            <wp:extent cx="5035247" cy="2320120"/>
            <wp:effectExtent l="0" t="0" r="0" b="4445"/>
            <wp:docPr id="105"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25"/>
                    <a:srcRect/>
                    <a:stretch>
                      <a:fillRect/>
                    </a:stretch>
                  </pic:blipFill>
                  <pic:spPr>
                    <a:xfrm>
                      <a:off x="0" y="0"/>
                      <a:ext cx="5044926" cy="2324580"/>
                    </a:xfrm>
                    <a:prstGeom prst="rect">
                      <a:avLst/>
                    </a:prstGeom>
                    <a:ln/>
                  </pic:spPr>
                </pic:pic>
              </a:graphicData>
            </a:graphic>
          </wp:inline>
        </w:drawing>
      </w:r>
    </w:p>
    <w:p w14:paraId="5E936BB0"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b/>
          <w:sz w:val="24"/>
          <w:szCs w:val="24"/>
          <w:lang w:val="es-ES"/>
        </w:rPr>
        <w:t>Fuente: Fiscalía General de la Nación.</w:t>
      </w:r>
    </w:p>
    <w:p w14:paraId="589734B9"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3BCE8BBA"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 xml:space="preserve">La falta de recurso humano se evidencia en este mismo informe, de esto, solo citaremos diez ejemplos para demostrar la insuficiencia de recursos humanos y técnicos para brindar una pronta y cumplida justicia: </w:t>
      </w:r>
    </w:p>
    <w:p w14:paraId="7DD33555"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2AB20B1F"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 xml:space="preserve">Antioquia cuenta con 978 despachos para investigar 21.344 casos, Atlántico cuenta con 152 despachos para investigar 6.804, Santander, cuenta con 513 </w:t>
      </w:r>
      <w:r w:rsidRPr="009E47EB">
        <w:rPr>
          <w:rFonts w:ascii="Bookman Old Style" w:hAnsi="Bookman Old Style" w:cstheme="majorHAnsi"/>
          <w:sz w:val="24"/>
          <w:szCs w:val="24"/>
          <w:lang w:val="es-ES"/>
        </w:rPr>
        <w:lastRenderedPageBreak/>
        <w:t>despachos para investigar 8.970 casos, Bolívar, cuenta con 262 despacho, para investigar 5.531 casos, Meta cuenta con 262 despachos para investigar 5.234 casos. Risaralda, tiene 120 despacho para un total de 4.632 casos, Tolima cuenta con 346 despachos para investigar 6.726 casos, Norte de Santander tiene 189 despachos para investigar 3.962 casos y Choco tiene 25 despacho para 694 casos.</w:t>
      </w:r>
    </w:p>
    <w:p w14:paraId="0B6166E0"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32B46536"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En cifras más actualizadas, la Fiscalía General de la Nación reporta, a solicitud de información elevada por la Representante Norma Hurtado</w:t>
      </w:r>
      <w:r w:rsidRPr="009E47EB">
        <w:rPr>
          <w:rFonts w:ascii="Bookman Old Style" w:hAnsi="Bookman Old Style" w:cstheme="majorHAnsi"/>
          <w:sz w:val="24"/>
          <w:szCs w:val="24"/>
          <w:vertAlign w:val="superscript"/>
          <w:lang w:val="es-ES"/>
        </w:rPr>
        <w:footnoteReference w:id="1"/>
      </w:r>
      <w:r w:rsidRPr="009E47EB">
        <w:rPr>
          <w:rFonts w:ascii="Bookman Old Style" w:hAnsi="Bookman Old Style" w:cstheme="majorHAnsi"/>
          <w:sz w:val="24"/>
          <w:szCs w:val="24"/>
          <w:lang w:val="es-ES"/>
        </w:rPr>
        <w:t xml:space="preserve">, que cuenta con el Grupo de Trabajo Nacional de Violencia de Género para la Atención de Delitos que Afectan a Mujeres, Niños, Niñas y Adolescentes con solamente un </w:t>
      </w:r>
      <w:r w:rsidRPr="009E47EB">
        <w:rPr>
          <w:rFonts w:ascii="Bookman Old Style" w:hAnsi="Bookman Old Style" w:cstheme="majorHAnsi"/>
          <w:b/>
          <w:sz w:val="24"/>
          <w:szCs w:val="24"/>
          <w:lang w:val="es-ES"/>
        </w:rPr>
        <w:t xml:space="preserve">equipo de 6 fiscales, asistentes y una coordinadora, </w:t>
      </w:r>
      <w:r w:rsidRPr="009E47EB">
        <w:rPr>
          <w:rFonts w:ascii="Bookman Old Style" w:hAnsi="Bookman Old Style" w:cstheme="majorHAnsi"/>
          <w:sz w:val="24"/>
          <w:szCs w:val="24"/>
          <w:lang w:val="es-ES"/>
        </w:rPr>
        <w:t xml:space="preserve">quienes actúan como fiscales de reacción frente a las situaciones que se presentan en el territorio nacional.  – FGN. En línea con lo anterior, la planta de fiscales que corresponden al </w:t>
      </w:r>
      <w:r w:rsidRPr="009E47EB">
        <w:rPr>
          <w:rFonts w:ascii="Bookman Old Style" w:hAnsi="Bookman Old Style" w:cstheme="majorHAnsi"/>
          <w:b/>
          <w:sz w:val="24"/>
          <w:szCs w:val="24"/>
          <w:lang w:val="es-ES"/>
        </w:rPr>
        <w:t>Sistema de Responsabilidad Penal para Adolescentes se compone de 205 fiscales</w:t>
      </w:r>
      <w:r w:rsidRPr="009E47EB">
        <w:rPr>
          <w:rFonts w:ascii="Bookman Old Style" w:hAnsi="Bookman Old Style" w:cstheme="majorHAnsi"/>
          <w:sz w:val="24"/>
          <w:szCs w:val="24"/>
          <w:lang w:val="es-ES"/>
        </w:rPr>
        <w:t>, distribuidos en las 35 direcciones seccionales del país. – FGN</w:t>
      </w:r>
    </w:p>
    <w:p w14:paraId="4D9B872F"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629DE340"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 xml:space="preserve">Es de anotar que estos despachos de Fiscalía no solo investigan delitos sexuales contra niños, niñas y adolescentes sino también delitos sexuales contra personas mayores y en otros casos otra clase de delitos y por cada 10 despachos de Fiscales hay un investigador, el cual debe recaudar la prueba pertinente para lograr condenas. Esto está demostrando que la ineficiencia del sistema se debe a la falta de recursos humanos y financieros para poder lograr que un proceso llegue a juicio oral antes de los 3 años que se convierten fácilmente en 6 años, tiempo durante el cual el niño, niña o adolescente tiene que ser interrogado y muchas veces </w:t>
      </w:r>
      <w:proofErr w:type="spellStart"/>
      <w:r w:rsidRPr="009E47EB">
        <w:rPr>
          <w:rFonts w:ascii="Bookman Old Style" w:hAnsi="Bookman Old Style" w:cstheme="majorHAnsi"/>
          <w:sz w:val="24"/>
          <w:szCs w:val="24"/>
          <w:lang w:val="es-ES"/>
        </w:rPr>
        <w:t>revictimizado</w:t>
      </w:r>
      <w:proofErr w:type="spellEnd"/>
      <w:r w:rsidRPr="009E47EB">
        <w:rPr>
          <w:rFonts w:ascii="Bookman Old Style" w:hAnsi="Bookman Old Style" w:cstheme="majorHAnsi"/>
          <w:sz w:val="24"/>
          <w:szCs w:val="24"/>
          <w:lang w:val="es-ES"/>
        </w:rPr>
        <w:t xml:space="preserve"> y los pocos testigos que pueden haber, se cansan de esperar o desisten de dar su versión.</w:t>
      </w:r>
    </w:p>
    <w:p w14:paraId="5E23EB89"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230FC615"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De lo anterior, se evidencia que la FGN no cuenta con una unidad especializada de investigación que atienda de manera oportuna y eficiente la exorbitante cantidad de delitos que se cometen contra la infancia y la adolescencia, pues dentro de sus unidades especiales existentes cuenta con las siguientes:</w:t>
      </w:r>
    </w:p>
    <w:p w14:paraId="2F2EC8E7"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30DE2561" w14:textId="77777777" w:rsidR="009E47EB" w:rsidRPr="009E47EB" w:rsidRDefault="009E47EB" w:rsidP="009E47EB">
      <w:pPr>
        <w:numPr>
          <w:ilvl w:val="0"/>
          <w:numId w:val="19"/>
        </w:num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Fiscalía Delegada ante la Corte Suprema de Justicia;</w:t>
      </w:r>
    </w:p>
    <w:p w14:paraId="554CBD73" w14:textId="77777777" w:rsidR="009E47EB" w:rsidRPr="009E47EB" w:rsidRDefault="009E47EB" w:rsidP="009E47EB">
      <w:pPr>
        <w:numPr>
          <w:ilvl w:val="0"/>
          <w:numId w:val="19"/>
        </w:num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 xml:space="preserve">Unidad Especial de Investigación para el Desmantelamiento de las Organizaciones y Conductas Criminales Responsables de Homicidios y Masacres; </w:t>
      </w:r>
    </w:p>
    <w:p w14:paraId="7C0CBBFE" w14:textId="77777777" w:rsidR="009E47EB" w:rsidRPr="009E47EB" w:rsidRDefault="009E47EB" w:rsidP="009E47EB">
      <w:pPr>
        <w:numPr>
          <w:ilvl w:val="0"/>
          <w:numId w:val="19"/>
        </w:num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Delegada para la Seguridad Ciudadana. Esta dependencia está compuesta por 35 Direcciones Seccionales de Fiscalías; por la Dirección de Atención al Usuario, Intervención Temprana y Asignaciones y por la Dirección de Apoyo a la Investigación y Análisis para la Seguridad Ciudadana;</w:t>
      </w:r>
    </w:p>
    <w:p w14:paraId="0F94E99A" w14:textId="77777777" w:rsidR="009E47EB" w:rsidRPr="009E47EB" w:rsidRDefault="009E47EB" w:rsidP="009E47EB">
      <w:pPr>
        <w:numPr>
          <w:ilvl w:val="0"/>
          <w:numId w:val="19"/>
        </w:num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lastRenderedPageBreak/>
        <w:t>Delegada contra la Criminalidad Organizada. Esta dependencia está compuesta por la Dirección Especializada contra las Organizaciones Criminales, la Dirección Especializada contra la Corrupción, la Dirección Especializada contra el Narcotráfico, la Dirección de Justicia Transicional, la Dirección de Apoyo a la Investigación y Análisis contra la Criminalidad Organizada y la Dirección Especializada contra las Violaciones a los Derechos Humanos;</w:t>
      </w:r>
    </w:p>
    <w:p w14:paraId="5ED262D4" w14:textId="77777777" w:rsidR="009E47EB" w:rsidRPr="009E47EB" w:rsidRDefault="009E47EB" w:rsidP="009E47EB">
      <w:pPr>
        <w:numPr>
          <w:ilvl w:val="0"/>
          <w:numId w:val="19"/>
        </w:num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 xml:space="preserve">Delegada para las Finanzas Criminales. Esta dependencia se encuentra compuesta por la Dirección Especializada contra el Lavado de Activos, la Dirección Especializada de Extinción del Derecho de Dominio, la Dirección Especializada de Investigaciones Financieras y la Dirección Especializada contra los Delitos Fiscales. </w:t>
      </w:r>
    </w:p>
    <w:p w14:paraId="48264D76"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007677AC"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A la problemática se suma, la a publicación ‘</w:t>
      </w:r>
      <w:proofErr w:type="spellStart"/>
      <w:r w:rsidRPr="009E47EB">
        <w:rPr>
          <w:rFonts w:ascii="Bookman Old Style" w:hAnsi="Bookman Old Style" w:cstheme="majorHAnsi"/>
          <w:sz w:val="24"/>
          <w:szCs w:val="24"/>
          <w:lang w:val="es-ES"/>
        </w:rPr>
        <w:t>Masatugó</w:t>
      </w:r>
      <w:proofErr w:type="spellEnd"/>
      <w:r w:rsidRPr="009E47EB">
        <w:rPr>
          <w:rFonts w:ascii="Bookman Old Style" w:hAnsi="Bookman Old Style" w:cstheme="majorHAnsi"/>
          <w:sz w:val="24"/>
          <w:szCs w:val="24"/>
          <w:lang w:val="es-ES"/>
        </w:rPr>
        <w:t>’ del Instituto de Medicina Legal cuando señala que para los años 2009-2014, las niñas entre los 10 y 14 años son la población más vulnerable de sufrir algún tipo de abuso o violencia en el 75% de los casos el principal agresor es un miembro de la familia, especialmente padrastros, padres o tíos.</w:t>
      </w:r>
    </w:p>
    <w:p w14:paraId="5BD99FC1"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46D297A4"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 xml:space="preserve">En lo atinente a la Explotación Sexual Comercial de Niños, Niñas y Adolescentes, el Fiscal Delegado para Infancia y Adolescencia Mario Gómez (El Tiempo, 2018) que Colombia sigue siendo uno de los países que más víctimas infantiles cobra en el marco de este inhumano flagelo, indicando que en los últimos cinco años y medio se han registrado 7.534 víctimas, lo que supone una media de 112 casos al mes. El Procurador Fernando Carrillo, ha comenzado una cruzada contra este delito “La explotación sexual en el marco del conflicto armado es una de aquellas heridas que han quedado abiertas. Si a ello se suma la explotación sexual de niños, niñas y adolescentes, opacada por el humo de la guerra de cinco décadas, nos deja un escenario de una complejidad extrema. La impunidad de estos delitos poco va a contribuir a cicatrizar esas heridas.” </w:t>
      </w:r>
    </w:p>
    <w:p w14:paraId="18103C6E"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41EB173C"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 xml:space="preserve">Otro de los delitos que ataca especialmente a nuestros adolescentes es el reclutamiento por parte de grupos armados organizados, flagelo este que ahora ataca a niños, niñas y adolescentes venezolanos, por parte de grupos armado-organizados no estatales y a la minería ilegal.  A este respecto la Defensoría del Pueblo señaló que durante el año 2018 y lo corrido del año 2019, la Defensoría emitió 105 Alertas Tempranas, de las cuales en 63 (el 60 %), tienen que ver con riesgo de reclutamiento y utilización ilícita de menores de edad por parte de actores armados. (El Tiempo, 2019). Por ello, el órgano de control hizo un llamado urgente para que el Estado proteja a los menores de edad que se reclutan a estas organizaciones. </w:t>
      </w:r>
    </w:p>
    <w:p w14:paraId="72E73960"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2B911D40"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 xml:space="preserve">El mismo comandante del Ejército Nacional, señalo que casi la mitad de los integrantes de las disidencias del país son menores de edad, así lo indicó el diario El Tiempo, 14 de septiembre de 2019, documento este que predica entre 1960 y </w:t>
      </w:r>
      <w:r w:rsidRPr="009E47EB">
        <w:rPr>
          <w:rFonts w:ascii="Bookman Old Style" w:hAnsi="Bookman Old Style" w:cstheme="majorHAnsi"/>
          <w:sz w:val="24"/>
          <w:szCs w:val="24"/>
          <w:lang w:val="es-ES"/>
        </w:rPr>
        <w:lastRenderedPageBreak/>
        <w:t xml:space="preserve">2016 afectó a 16.879 niños y adolescentes reclutados por actores del conflicto armado. </w:t>
      </w:r>
    </w:p>
    <w:p w14:paraId="791BE003"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3D6DC309"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El documento Bases para el Plan Nacional de Desarrollo 2018-2022, ha evidenciado que en “términos de credibilidad, el sistema judicial colombiano se encuentra afectado por la pérdida de oportunidad y la eficacia en la respuesta por parte de la Justicia. Igualmente, se han reconocido deficiencias en la inversión de los recursos y en el modelo de gestión y de atención al usuario, inadecuada infraestructura física y tecnológica, falta de apoyo técnico en el proceso y en la decisión judicial, y restringido cumplimiento de las decisiones judiciales (Corporación Excelencia en la Justicia, 2016)</w:t>
      </w:r>
      <w:r w:rsidRPr="009E47EB">
        <w:rPr>
          <w:rFonts w:ascii="Bookman Old Style" w:hAnsi="Bookman Old Style" w:cstheme="majorHAnsi"/>
          <w:sz w:val="24"/>
          <w:szCs w:val="24"/>
          <w:vertAlign w:val="superscript"/>
          <w:lang w:val="es-ES"/>
        </w:rPr>
        <w:footnoteReference w:id="2"/>
      </w:r>
      <w:r w:rsidRPr="009E47EB">
        <w:rPr>
          <w:rFonts w:ascii="Bookman Old Style" w:hAnsi="Bookman Old Style" w:cstheme="majorHAnsi"/>
          <w:sz w:val="24"/>
          <w:szCs w:val="24"/>
          <w:lang w:val="es-ES"/>
        </w:rPr>
        <w:t xml:space="preserve">.” </w:t>
      </w:r>
    </w:p>
    <w:p w14:paraId="36DFF222"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4858CF3A"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Esto ha aumentado la desconfianza en el sistema judicial, que “pasó de 16,7 % en 2014, al 20,8% en 2016 (Consejo Privado de Competitividad, 2017).  (…) Esto ha dificultado la colaboración armónica de los poderes públicos y de los diferentes sectores administrativos, para afrontar su baja efectividad”</w:t>
      </w:r>
      <w:r w:rsidRPr="009E47EB">
        <w:rPr>
          <w:rFonts w:ascii="Bookman Old Style" w:hAnsi="Bookman Old Style" w:cstheme="majorHAnsi"/>
          <w:sz w:val="24"/>
          <w:szCs w:val="24"/>
          <w:vertAlign w:val="superscript"/>
          <w:lang w:val="es-ES"/>
        </w:rPr>
        <w:footnoteReference w:id="3"/>
      </w:r>
    </w:p>
    <w:p w14:paraId="1212CBD9"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76230D42"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Este mismo documento reconoce que Colombia “ha desatendido la criminalización primaria (fase legislativa), generando una producción normativa desarticulada y descontextualizada en materia de procedimientos de investigación y judicialización. Por el contrario, ha concentrado sus esfuerzos en la criminalización terciaria (ejecución de la sanción), desconociendo los problemas estructurales de la criminalidad. Como consecuencia, este enfoque ha generado dificultades para entender y enfrentar el fenómeno del crimen organizado con estrategias de prevención y de investigación integral y focalizada, y para superar el Estado de Cosas Inconstitucional (ECI) declarado desde 1998. (…) Por su parte, el trámite de las causas penales enfrenta dificultades en relación con la capacidad probatoria que conlleva niveles altos de impunidad, toda vez que los esfuerzos se encuentran dispersos en la persecución de un número elevado de delitos con una capacidad limitada. (Comisión Asesora de Política Criminal, 2012)”</w:t>
      </w:r>
      <w:r w:rsidRPr="009E47EB">
        <w:rPr>
          <w:rFonts w:ascii="Bookman Old Style" w:hAnsi="Bookman Old Style" w:cstheme="majorHAnsi"/>
          <w:sz w:val="24"/>
          <w:szCs w:val="24"/>
          <w:vertAlign w:val="superscript"/>
          <w:lang w:val="es-ES"/>
        </w:rPr>
        <w:footnoteReference w:id="4"/>
      </w:r>
      <w:r w:rsidRPr="009E47EB">
        <w:rPr>
          <w:rFonts w:ascii="Bookman Old Style" w:hAnsi="Bookman Old Style" w:cstheme="majorHAnsi"/>
          <w:sz w:val="24"/>
          <w:szCs w:val="24"/>
          <w:lang w:val="es-ES"/>
        </w:rPr>
        <w:t xml:space="preserve"> </w:t>
      </w:r>
    </w:p>
    <w:p w14:paraId="39C09D7B"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2D663EF1"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t>La Organización para la Cooperación y el Desarrollo Económicos (OCDE), señaló que, en Colombia, para el año 2017, por cada 100.000 habitantes tiene en promedio de 10.95 jueces, mientras que el estándar internacional, es de 65 jueces por cada 100.000 habitantes. Nuestro país cuenta con 522 juzgados penales del circuito con funciones de conocimiento, 405 civiles, 337 de familia, 97 promiscuos del circuito, 280 laborales, 342 de carácter administrativo</w:t>
      </w:r>
      <w:r w:rsidRPr="009E47EB">
        <w:rPr>
          <w:rFonts w:ascii="Bookman Old Style" w:hAnsi="Bookman Old Style" w:cstheme="majorHAnsi"/>
          <w:sz w:val="24"/>
          <w:szCs w:val="24"/>
          <w:vertAlign w:val="superscript"/>
          <w:lang w:val="es-ES"/>
        </w:rPr>
        <w:footnoteReference w:id="5"/>
      </w:r>
      <w:r w:rsidRPr="009E47EB">
        <w:rPr>
          <w:rFonts w:ascii="Bookman Old Style" w:hAnsi="Bookman Old Style" w:cstheme="majorHAnsi"/>
          <w:sz w:val="24"/>
          <w:szCs w:val="24"/>
          <w:lang w:val="es-ES"/>
        </w:rPr>
        <w:t>.</w:t>
      </w:r>
    </w:p>
    <w:p w14:paraId="4689736D"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p>
    <w:p w14:paraId="221DE834" w14:textId="77777777" w:rsidR="009E47EB" w:rsidRPr="009E47EB" w:rsidRDefault="009E47EB" w:rsidP="009E47EB">
      <w:pPr>
        <w:spacing w:line="240" w:lineRule="auto"/>
        <w:contextualSpacing w:val="0"/>
        <w:jc w:val="both"/>
        <w:rPr>
          <w:rFonts w:ascii="Bookman Old Style" w:hAnsi="Bookman Old Style" w:cstheme="majorHAnsi"/>
          <w:sz w:val="24"/>
          <w:szCs w:val="24"/>
          <w:lang w:val="es-ES"/>
        </w:rPr>
      </w:pPr>
      <w:r w:rsidRPr="009E47EB">
        <w:rPr>
          <w:rFonts w:ascii="Bookman Old Style" w:hAnsi="Bookman Old Style" w:cstheme="majorHAnsi"/>
          <w:sz w:val="24"/>
          <w:szCs w:val="24"/>
          <w:lang w:val="es-ES"/>
        </w:rPr>
        <w:lastRenderedPageBreak/>
        <w:t xml:space="preserve">Estas cifras muestran que falta mucho para cumplir el mandato de la Constitución Política, la cual consagra en su preámbulo y los Artículos 228 y 229: acceso a la administración de justicia como un derecho fundamental. </w:t>
      </w:r>
    </w:p>
    <w:p w14:paraId="7ED3569C" w14:textId="77777777" w:rsidR="00160819" w:rsidRPr="001C6641" w:rsidRDefault="00160819" w:rsidP="00AA3F8F">
      <w:pPr>
        <w:spacing w:line="240" w:lineRule="auto"/>
        <w:contextualSpacing w:val="0"/>
        <w:jc w:val="both"/>
        <w:rPr>
          <w:rFonts w:ascii="Bookman Old Style" w:hAnsi="Bookman Old Style" w:cstheme="majorHAnsi"/>
          <w:color w:val="000000" w:themeColor="text1"/>
          <w:sz w:val="24"/>
          <w:szCs w:val="24"/>
          <w:highlight w:val="yellow"/>
        </w:rPr>
      </w:pPr>
    </w:p>
    <w:p w14:paraId="0CAE8853" w14:textId="77777777" w:rsidR="00787A95" w:rsidRPr="001C6641" w:rsidRDefault="00787A95" w:rsidP="00AA3F8F">
      <w:pPr>
        <w:spacing w:line="240" w:lineRule="auto"/>
        <w:contextualSpacing w:val="0"/>
        <w:jc w:val="both"/>
        <w:rPr>
          <w:rFonts w:ascii="Bookman Old Style" w:hAnsi="Bookman Old Style" w:cstheme="majorHAnsi"/>
          <w:color w:val="000000" w:themeColor="text1"/>
          <w:sz w:val="24"/>
          <w:szCs w:val="24"/>
          <w:highlight w:val="yellow"/>
        </w:rPr>
      </w:pPr>
    </w:p>
    <w:p w14:paraId="38221002" w14:textId="08CA659E" w:rsidR="005C7107" w:rsidRPr="002E10D4" w:rsidRDefault="005C7107" w:rsidP="002E10D4">
      <w:pPr>
        <w:pStyle w:val="Prrafodelista"/>
        <w:numPr>
          <w:ilvl w:val="0"/>
          <w:numId w:val="22"/>
        </w:numPr>
        <w:spacing w:line="240" w:lineRule="auto"/>
        <w:contextualSpacing w:val="0"/>
        <w:jc w:val="both"/>
        <w:rPr>
          <w:rFonts w:ascii="Bookman Old Style" w:eastAsia="Calibri" w:hAnsi="Bookman Old Style" w:cstheme="majorHAnsi"/>
          <w:b/>
          <w:color w:val="000000" w:themeColor="text1"/>
          <w:sz w:val="24"/>
          <w:szCs w:val="24"/>
        </w:rPr>
      </w:pPr>
      <w:r w:rsidRPr="002E10D4">
        <w:rPr>
          <w:rFonts w:ascii="Bookman Old Style" w:eastAsia="Calibri" w:hAnsi="Bookman Old Style" w:cstheme="majorHAnsi"/>
          <w:b/>
          <w:color w:val="000000" w:themeColor="text1"/>
          <w:sz w:val="24"/>
          <w:szCs w:val="24"/>
        </w:rPr>
        <w:t xml:space="preserve">CONCEPTOS ALLEGADOS </w:t>
      </w:r>
    </w:p>
    <w:p w14:paraId="25BE83B2" w14:textId="60444037" w:rsidR="005C7107" w:rsidRDefault="005C7107" w:rsidP="005C7107">
      <w:pPr>
        <w:spacing w:line="240" w:lineRule="auto"/>
        <w:contextualSpacing w:val="0"/>
        <w:jc w:val="both"/>
        <w:rPr>
          <w:rFonts w:ascii="Bookman Old Style" w:eastAsia="Calibri" w:hAnsi="Bookman Old Style" w:cstheme="majorHAnsi"/>
          <w:b/>
          <w:color w:val="000000" w:themeColor="text1"/>
          <w:sz w:val="24"/>
          <w:szCs w:val="24"/>
        </w:rPr>
      </w:pPr>
    </w:p>
    <w:p w14:paraId="35606322" w14:textId="77777777" w:rsidR="00955A28" w:rsidRDefault="00955A28" w:rsidP="005C7107">
      <w:pPr>
        <w:spacing w:line="240" w:lineRule="auto"/>
        <w:contextualSpacing w:val="0"/>
        <w:jc w:val="both"/>
        <w:rPr>
          <w:rFonts w:ascii="Bookman Old Style" w:eastAsia="Calibri" w:hAnsi="Bookman Old Style" w:cstheme="majorHAnsi"/>
          <w:b/>
          <w:color w:val="000000" w:themeColor="text1"/>
          <w:sz w:val="24"/>
          <w:szCs w:val="24"/>
        </w:rPr>
      </w:pPr>
    </w:p>
    <w:p w14:paraId="4BC8C996" w14:textId="4FC9D1F7" w:rsidR="005C7107" w:rsidRDefault="005C7107" w:rsidP="005C7107">
      <w:pPr>
        <w:spacing w:line="240" w:lineRule="auto"/>
        <w:contextualSpacing w:val="0"/>
        <w:jc w:val="both"/>
        <w:rPr>
          <w:rFonts w:ascii="Bookman Old Style" w:eastAsia="Calibri" w:hAnsi="Bookman Old Style" w:cstheme="majorHAnsi"/>
          <w:b/>
          <w:color w:val="000000" w:themeColor="text1"/>
          <w:sz w:val="24"/>
          <w:szCs w:val="24"/>
        </w:rPr>
      </w:pPr>
      <w:r>
        <w:rPr>
          <w:rFonts w:ascii="Bookman Old Style" w:eastAsia="Calibri" w:hAnsi="Bookman Old Style" w:cstheme="majorHAnsi"/>
          <w:b/>
          <w:color w:val="000000" w:themeColor="text1"/>
          <w:sz w:val="24"/>
          <w:szCs w:val="24"/>
        </w:rPr>
        <w:t>3.1 DEL CONSEJO DE POLÍTICA CRIMINAL</w:t>
      </w:r>
    </w:p>
    <w:p w14:paraId="4A9FDE86" w14:textId="7AEA467C" w:rsidR="005C7107" w:rsidRDefault="005C7107" w:rsidP="005C7107">
      <w:pPr>
        <w:spacing w:line="240" w:lineRule="auto"/>
        <w:contextualSpacing w:val="0"/>
        <w:jc w:val="both"/>
        <w:rPr>
          <w:rFonts w:ascii="Bookman Old Style" w:eastAsia="Calibri" w:hAnsi="Bookman Old Style" w:cstheme="majorHAnsi"/>
          <w:b/>
          <w:color w:val="000000" w:themeColor="text1"/>
          <w:sz w:val="24"/>
          <w:szCs w:val="24"/>
        </w:rPr>
      </w:pPr>
    </w:p>
    <w:p w14:paraId="26DDDD72" w14:textId="77777777" w:rsidR="005C7107" w:rsidRDefault="005C7107" w:rsidP="005C7107">
      <w:pPr>
        <w:spacing w:line="240" w:lineRule="auto"/>
        <w:contextualSpacing w:val="0"/>
        <w:jc w:val="both"/>
        <w:rPr>
          <w:rFonts w:ascii="Bookman Old Style" w:eastAsia="Calibri" w:hAnsi="Bookman Old Style" w:cstheme="majorHAnsi"/>
          <w:color w:val="000000" w:themeColor="text1"/>
          <w:sz w:val="24"/>
          <w:szCs w:val="24"/>
        </w:rPr>
      </w:pPr>
      <w:r>
        <w:rPr>
          <w:rFonts w:ascii="Bookman Old Style" w:eastAsia="Calibri" w:hAnsi="Bookman Old Style" w:cstheme="majorHAnsi"/>
          <w:color w:val="000000" w:themeColor="text1"/>
          <w:sz w:val="24"/>
          <w:szCs w:val="24"/>
        </w:rPr>
        <w:t>El Consejo de Política Criminal, emitió concepto desfavorable al proyecto de ley; de los cuales se transcriben algunos apartes:</w:t>
      </w:r>
    </w:p>
    <w:p w14:paraId="089F0F17" w14:textId="4AA7EA8C" w:rsidR="005C7107" w:rsidRPr="005C7107" w:rsidRDefault="005C7107" w:rsidP="005C7107">
      <w:pPr>
        <w:spacing w:line="240" w:lineRule="auto"/>
        <w:contextualSpacing w:val="0"/>
        <w:jc w:val="both"/>
        <w:rPr>
          <w:rFonts w:ascii="Bookman Old Style" w:eastAsia="Calibri" w:hAnsi="Bookman Old Style" w:cstheme="majorHAnsi"/>
          <w:color w:val="000000" w:themeColor="text1"/>
          <w:sz w:val="24"/>
          <w:szCs w:val="24"/>
        </w:rPr>
      </w:pPr>
      <w:r>
        <w:rPr>
          <w:rFonts w:ascii="Bookman Old Style" w:eastAsia="Calibri" w:hAnsi="Bookman Old Style" w:cstheme="majorHAnsi"/>
          <w:color w:val="000000" w:themeColor="text1"/>
          <w:sz w:val="24"/>
          <w:szCs w:val="24"/>
        </w:rPr>
        <w:t xml:space="preserve"> </w:t>
      </w:r>
    </w:p>
    <w:p w14:paraId="6163DFF3" w14:textId="194BC455" w:rsidR="005C7107" w:rsidRDefault="005C7107" w:rsidP="005C7107">
      <w:pPr>
        <w:spacing w:line="240" w:lineRule="auto"/>
        <w:ind w:left="426"/>
        <w:contextualSpacing w:val="0"/>
        <w:jc w:val="both"/>
        <w:rPr>
          <w:rFonts w:ascii="Bookman Old Style" w:hAnsi="Bookman Old Style"/>
          <w:i/>
        </w:rPr>
      </w:pPr>
      <w:r w:rsidRPr="005C7107">
        <w:rPr>
          <w:rFonts w:ascii="Bookman Old Style" w:hAnsi="Bookman Old Style"/>
          <w:i/>
        </w:rPr>
        <w:t>“En primer lugar, nuestra Constitución Política establece en su artículo 44, la prevalencia de los derechos de los niños, el deber de protegerlos “contra toda forma de abandono, violencia física o moral, secuestro, venta, abuso sexual, explotación laboral o económica y trabajos riesgosos”; la obligación de la familia, la sociedad y el Estado de asistirlos y protegerlos.</w:t>
      </w:r>
    </w:p>
    <w:p w14:paraId="0AB7BF42" w14:textId="77777777" w:rsidR="005C7107" w:rsidRPr="005C7107" w:rsidRDefault="005C7107" w:rsidP="005C7107">
      <w:pPr>
        <w:spacing w:line="240" w:lineRule="auto"/>
        <w:ind w:left="426"/>
        <w:contextualSpacing w:val="0"/>
        <w:jc w:val="both"/>
        <w:rPr>
          <w:rFonts w:ascii="Bookman Old Style" w:hAnsi="Bookman Old Style"/>
          <w:i/>
        </w:rPr>
      </w:pPr>
    </w:p>
    <w:p w14:paraId="08ED80E4" w14:textId="4646F8CA" w:rsidR="005C7107" w:rsidRDefault="005C7107" w:rsidP="005C7107">
      <w:pPr>
        <w:spacing w:line="240" w:lineRule="auto"/>
        <w:ind w:left="426"/>
        <w:contextualSpacing w:val="0"/>
        <w:jc w:val="both"/>
        <w:rPr>
          <w:rFonts w:ascii="Bookman Old Style" w:hAnsi="Bookman Old Style"/>
          <w:i/>
        </w:rPr>
      </w:pPr>
      <w:r w:rsidRPr="005C7107">
        <w:rPr>
          <w:rFonts w:ascii="Bookman Old Style" w:hAnsi="Bookman Old Style"/>
          <w:i/>
        </w:rPr>
        <w:t>Para el cumplimiento de lo dispuesto en el artículo anterior, se expidió la Ley 1098 de 2006 (Código de la Infancia y la Adolescencia-) cuya finalidad consagrada en el artículo primero, es “garantizar a los niños, a las niñas y a los adolescentes su pleno y armonioso desarrollo, para que crezcan en el seno de la familia y de la comunidad, en un ambiente de felicidad, amor y comprensión”.</w:t>
      </w:r>
    </w:p>
    <w:p w14:paraId="2BC32DC8" w14:textId="77777777" w:rsidR="005C7107" w:rsidRPr="005C7107" w:rsidRDefault="005C7107" w:rsidP="005C7107">
      <w:pPr>
        <w:spacing w:line="240" w:lineRule="auto"/>
        <w:ind w:left="426"/>
        <w:contextualSpacing w:val="0"/>
        <w:jc w:val="both"/>
        <w:rPr>
          <w:rFonts w:ascii="Bookman Old Style" w:hAnsi="Bookman Old Style"/>
          <w:i/>
        </w:rPr>
      </w:pPr>
    </w:p>
    <w:p w14:paraId="6211200B" w14:textId="49333414" w:rsidR="005C7107" w:rsidRPr="005C7107" w:rsidRDefault="005C7107" w:rsidP="005C7107">
      <w:pPr>
        <w:spacing w:line="240" w:lineRule="auto"/>
        <w:ind w:left="426"/>
        <w:contextualSpacing w:val="0"/>
        <w:jc w:val="both"/>
        <w:rPr>
          <w:rFonts w:ascii="Bookman Old Style" w:hAnsi="Bookman Old Style"/>
          <w:i/>
        </w:rPr>
      </w:pPr>
      <w:r w:rsidRPr="005C7107">
        <w:rPr>
          <w:rFonts w:ascii="Bookman Old Style" w:hAnsi="Bookman Old Style"/>
          <w:i/>
        </w:rPr>
        <w:t>El numeral 3 del artículo 41 del Código de Infancia y Adolescencia dispone que</w:t>
      </w:r>
      <w:r>
        <w:rPr>
          <w:rFonts w:ascii="Bookman Old Style" w:hAnsi="Bookman Old Style"/>
          <w:i/>
        </w:rPr>
        <w:t xml:space="preserve"> </w:t>
      </w:r>
      <w:r w:rsidRPr="005C7107">
        <w:rPr>
          <w:rFonts w:ascii="Bookman Old Style" w:hAnsi="Bookman Old Style"/>
          <w:i/>
        </w:rPr>
        <w:t>el Estado está obligado a “Garantizar la asignación de los recursos necesarios para el cumplimiento de las políticas públicas de niñez y adolescencia, en los niveles nacional, departamental, distrital y municipal para asegurar la prevalencia de sus derechos”.</w:t>
      </w:r>
    </w:p>
    <w:p w14:paraId="5BEBA233" w14:textId="77777777" w:rsidR="002E10D4" w:rsidRDefault="002E10D4" w:rsidP="005C7107">
      <w:pPr>
        <w:spacing w:line="240" w:lineRule="auto"/>
        <w:ind w:left="426"/>
        <w:contextualSpacing w:val="0"/>
        <w:jc w:val="both"/>
        <w:rPr>
          <w:rFonts w:ascii="Bookman Old Style" w:hAnsi="Bookman Old Style"/>
          <w:i/>
        </w:rPr>
      </w:pPr>
    </w:p>
    <w:p w14:paraId="21F7FAA3" w14:textId="7DB3456C" w:rsidR="005C7107" w:rsidRPr="005C7107" w:rsidRDefault="005C7107" w:rsidP="005C7107">
      <w:pPr>
        <w:spacing w:line="240" w:lineRule="auto"/>
        <w:ind w:left="426"/>
        <w:contextualSpacing w:val="0"/>
        <w:jc w:val="both"/>
        <w:rPr>
          <w:rFonts w:ascii="Bookman Old Style" w:hAnsi="Bookman Old Style"/>
          <w:i/>
        </w:rPr>
      </w:pPr>
      <w:r w:rsidRPr="005C7107">
        <w:rPr>
          <w:rFonts w:ascii="Bookman Old Style" w:hAnsi="Bookman Old Style"/>
          <w:i/>
        </w:rPr>
        <w:t>Es necesario hacer precisión que la protección de los niños, niñas y adolescentes, se materializa en el artículo 204 del Código de Infancia y Adolescencia toda vez que establece que el Presidente de la República, los gobernadores y los alcaldes son los responsables del diseño, la ejecución y la evaluación de las políticas públicas de infancia adolescencia en el ámbito nacional, departamental, distrital y municipal con la correspondiente asignación de recursos financieros, físicos y humanos.</w:t>
      </w:r>
    </w:p>
    <w:p w14:paraId="5378931C" w14:textId="77777777" w:rsidR="002E10D4" w:rsidRDefault="002E10D4" w:rsidP="005C7107">
      <w:pPr>
        <w:spacing w:line="240" w:lineRule="auto"/>
        <w:ind w:left="426"/>
        <w:contextualSpacing w:val="0"/>
        <w:jc w:val="both"/>
        <w:rPr>
          <w:rFonts w:ascii="Bookman Old Style" w:hAnsi="Bookman Old Style"/>
          <w:i/>
        </w:rPr>
      </w:pPr>
    </w:p>
    <w:p w14:paraId="4C4F1635" w14:textId="37D25BCF" w:rsidR="002E10D4" w:rsidRDefault="005C7107" w:rsidP="002E10D4">
      <w:pPr>
        <w:spacing w:line="240" w:lineRule="auto"/>
        <w:ind w:left="426"/>
        <w:contextualSpacing w:val="0"/>
        <w:jc w:val="both"/>
        <w:rPr>
          <w:rFonts w:ascii="Bookman Old Style" w:hAnsi="Bookman Old Style"/>
          <w:i/>
        </w:rPr>
      </w:pPr>
      <w:r w:rsidRPr="005C7107">
        <w:rPr>
          <w:rFonts w:ascii="Bookman Old Style" w:hAnsi="Bookman Old Style"/>
          <w:i/>
        </w:rPr>
        <w:t xml:space="preserve">Segundo, sobre “disminuir la impunidad y lograr la eficiencia en la justicia de los delitos que se cometen contra los niños, niñas y adolescentes” presentada en la exposición de motivos se debe indicar que, existe en nuestro ordenamiento diferente normatividad como la ley 906 de 2004 Código de Procedimiento Penal, Ley 1098 de 2006 Código de Infancia y Adolescencia y todo un desglose </w:t>
      </w:r>
      <w:r w:rsidR="002E10D4" w:rsidRPr="002E10D4">
        <w:rPr>
          <w:rFonts w:ascii="Bookman Old Style" w:hAnsi="Bookman Old Style"/>
          <w:i/>
        </w:rPr>
        <w:t>jurídico que tienen como objetivo reducir la delincuencia y el accionar delictivo contra Niños, Niñas y Adolescentes en nuestro país fortaleciendo la institucionalidad para la investigación y sanción de los delitos, de forma que se materialice la prevalencia de sus derechos.</w:t>
      </w:r>
    </w:p>
    <w:p w14:paraId="1C18EA4B" w14:textId="5022A640" w:rsidR="002E10D4" w:rsidRDefault="002E10D4" w:rsidP="002E10D4">
      <w:pPr>
        <w:spacing w:line="240" w:lineRule="auto"/>
        <w:ind w:left="426"/>
        <w:contextualSpacing w:val="0"/>
        <w:jc w:val="both"/>
        <w:rPr>
          <w:rFonts w:ascii="Bookman Old Style" w:hAnsi="Bookman Old Style"/>
          <w:i/>
        </w:rPr>
      </w:pPr>
    </w:p>
    <w:p w14:paraId="5C50C036" w14:textId="7016CA9B" w:rsidR="002E10D4" w:rsidRDefault="002E10D4" w:rsidP="002E10D4">
      <w:pPr>
        <w:spacing w:line="240" w:lineRule="auto"/>
        <w:ind w:left="426"/>
        <w:contextualSpacing w:val="0"/>
        <w:jc w:val="both"/>
        <w:rPr>
          <w:rFonts w:ascii="Bookman Old Style" w:hAnsi="Bookman Old Style"/>
          <w:i/>
        </w:rPr>
      </w:pPr>
      <w:r>
        <w:rPr>
          <w:rFonts w:ascii="Bookman Old Style" w:hAnsi="Bookman Old Style"/>
          <w:i/>
        </w:rPr>
        <w:t>(…)</w:t>
      </w:r>
    </w:p>
    <w:p w14:paraId="356791F2" w14:textId="77777777" w:rsidR="002E10D4" w:rsidRDefault="002E10D4" w:rsidP="002E10D4">
      <w:pPr>
        <w:spacing w:line="240" w:lineRule="auto"/>
        <w:ind w:left="426"/>
        <w:contextualSpacing w:val="0"/>
        <w:jc w:val="both"/>
        <w:rPr>
          <w:rFonts w:ascii="Bookman Old Style" w:hAnsi="Bookman Old Style"/>
          <w:i/>
        </w:rPr>
      </w:pPr>
    </w:p>
    <w:p w14:paraId="6229FC92" w14:textId="612C312B" w:rsidR="002E10D4" w:rsidRDefault="002E10D4" w:rsidP="002E10D4">
      <w:pPr>
        <w:spacing w:line="240" w:lineRule="auto"/>
        <w:ind w:left="426"/>
        <w:contextualSpacing w:val="0"/>
        <w:jc w:val="both"/>
        <w:rPr>
          <w:rFonts w:ascii="Bookman Old Style" w:hAnsi="Bookman Old Style"/>
          <w:i/>
        </w:rPr>
      </w:pPr>
      <w:r w:rsidRPr="002E10D4">
        <w:rPr>
          <w:rFonts w:ascii="Bookman Old Style" w:hAnsi="Bookman Old Style"/>
          <w:i/>
        </w:rPr>
        <w:lastRenderedPageBreak/>
        <w:t>Tercero, ante la propuesta de creación de la Unidad Especializada de Atención a Delitos contra Niños, Niñas y Adolescentes, se debe recalcar que no es viable desde ningún punto de vista ya que no se tuvo en cuenta la normatividad</w:t>
      </w:r>
      <w:r>
        <w:rPr>
          <w:rFonts w:ascii="Bookman Old Style" w:hAnsi="Bookman Old Style"/>
          <w:i/>
        </w:rPr>
        <w:t xml:space="preserve"> </w:t>
      </w:r>
      <w:r w:rsidRPr="002E10D4">
        <w:rPr>
          <w:rFonts w:ascii="Bookman Old Style" w:hAnsi="Bookman Old Style"/>
          <w:i/>
        </w:rPr>
        <w:t>existente, como la ley 906 de 2004, la ley 1098 de 2006, el decreto ley 898 de 2017, entre otros. Adicional a ello, no están claras las medidas de funcionamiento, los recursos a utilizar, el personal humano que desarrollará</w:t>
      </w:r>
      <w:r>
        <w:rPr>
          <w:rFonts w:ascii="Bookman Old Style" w:hAnsi="Bookman Old Style"/>
          <w:i/>
        </w:rPr>
        <w:t xml:space="preserve"> </w:t>
      </w:r>
      <w:r w:rsidRPr="002E10D4">
        <w:rPr>
          <w:rFonts w:ascii="Bookman Old Style" w:hAnsi="Bookman Old Style"/>
          <w:i/>
        </w:rPr>
        <w:t>las funciones, modo de escogencia del mismo, infraestructura y dinámica económica para su puesta en marcha, establec</w:t>
      </w:r>
      <w:r>
        <w:rPr>
          <w:rFonts w:ascii="Bookman Old Style" w:hAnsi="Bookman Old Style"/>
          <w:i/>
        </w:rPr>
        <w:t xml:space="preserve">iendo de manera general que se </w:t>
      </w:r>
      <w:r w:rsidRPr="002E10D4">
        <w:rPr>
          <w:rFonts w:ascii="Bookman Old Style" w:hAnsi="Bookman Old Style"/>
          <w:i/>
        </w:rPr>
        <w:t>asignen los recursos financieros por medio del Ministerio de Hacienda acorde a las necesidades presupuestales que justifique cada entidad, lo que nos brinda vacíos en el desarrollo y avance del proyecto.</w:t>
      </w:r>
      <w:r w:rsidR="001F202C">
        <w:rPr>
          <w:rFonts w:ascii="Bookman Old Style" w:hAnsi="Bookman Old Style"/>
          <w:i/>
        </w:rPr>
        <w:t>”</w:t>
      </w:r>
    </w:p>
    <w:p w14:paraId="0723C96F" w14:textId="17666E89" w:rsidR="001F202C" w:rsidRDefault="001F202C" w:rsidP="001F202C">
      <w:pPr>
        <w:spacing w:line="240" w:lineRule="auto"/>
        <w:contextualSpacing w:val="0"/>
        <w:jc w:val="both"/>
        <w:rPr>
          <w:rFonts w:ascii="Bookman Old Style" w:hAnsi="Bookman Old Style"/>
          <w:sz w:val="24"/>
        </w:rPr>
      </w:pPr>
    </w:p>
    <w:p w14:paraId="412B22F8" w14:textId="77777777" w:rsidR="00955A28" w:rsidRDefault="00955A28" w:rsidP="001F202C">
      <w:pPr>
        <w:spacing w:line="240" w:lineRule="auto"/>
        <w:contextualSpacing w:val="0"/>
        <w:jc w:val="both"/>
        <w:rPr>
          <w:rFonts w:ascii="Bookman Old Style" w:hAnsi="Bookman Old Style"/>
          <w:sz w:val="24"/>
        </w:rPr>
      </w:pPr>
    </w:p>
    <w:p w14:paraId="4FAB378A" w14:textId="71861D9E" w:rsidR="001F202C" w:rsidRPr="001F202C" w:rsidRDefault="00E413F7" w:rsidP="001F202C">
      <w:pPr>
        <w:spacing w:line="240" w:lineRule="auto"/>
        <w:contextualSpacing w:val="0"/>
        <w:jc w:val="both"/>
        <w:rPr>
          <w:rFonts w:ascii="Bookman Old Style" w:hAnsi="Bookman Old Style"/>
          <w:sz w:val="24"/>
        </w:rPr>
      </w:pPr>
      <w:r>
        <w:rPr>
          <w:rFonts w:ascii="Bookman Old Style" w:hAnsi="Bookman Old Style"/>
          <w:sz w:val="24"/>
        </w:rPr>
        <w:t xml:space="preserve">También nos recuerdan en el concepto que en el Congreso se está tramitando dos Proyecto de Ley el 124 de 2020 Cámara - 481 de 2021 Senado, que tiene el mismo objeto. </w:t>
      </w:r>
    </w:p>
    <w:p w14:paraId="28FAB1C2" w14:textId="77777777" w:rsidR="002E10D4" w:rsidRDefault="002E10D4" w:rsidP="002E10D4">
      <w:pPr>
        <w:spacing w:line="240" w:lineRule="auto"/>
        <w:ind w:left="426"/>
        <w:contextualSpacing w:val="0"/>
        <w:jc w:val="both"/>
        <w:rPr>
          <w:rFonts w:ascii="Bookman Old Style" w:hAnsi="Bookman Old Style"/>
          <w:i/>
        </w:rPr>
      </w:pPr>
    </w:p>
    <w:p w14:paraId="3F10C8B3" w14:textId="033B8DC7" w:rsidR="002E10D4" w:rsidRDefault="002E10D4" w:rsidP="002E10D4">
      <w:pPr>
        <w:spacing w:line="240" w:lineRule="auto"/>
        <w:contextualSpacing w:val="0"/>
        <w:jc w:val="both"/>
        <w:rPr>
          <w:rFonts w:ascii="Bookman Old Style" w:hAnsi="Bookman Old Style"/>
          <w:sz w:val="24"/>
        </w:rPr>
      </w:pPr>
    </w:p>
    <w:p w14:paraId="1EBAC79D" w14:textId="705B610F" w:rsidR="001F202C" w:rsidRDefault="001F202C" w:rsidP="001F202C">
      <w:pPr>
        <w:spacing w:line="240" w:lineRule="auto"/>
        <w:contextualSpacing w:val="0"/>
        <w:jc w:val="both"/>
        <w:rPr>
          <w:rFonts w:ascii="Bookman Old Style" w:hAnsi="Bookman Old Style"/>
          <w:b/>
          <w:sz w:val="24"/>
        </w:rPr>
      </w:pPr>
      <w:r>
        <w:rPr>
          <w:rFonts w:ascii="Bookman Old Style" w:hAnsi="Bookman Old Style"/>
          <w:b/>
          <w:sz w:val="24"/>
        </w:rPr>
        <w:t xml:space="preserve">3.2 </w:t>
      </w:r>
      <w:r w:rsidRPr="001F202C">
        <w:rPr>
          <w:rFonts w:ascii="Bookman Old Style" w:hAnsi="Bookman Old Style"/>
          <w:b/>
          <w:sz w:val="24"/>
        </w:rPr>
        <w:t>CONCEPTO DEL MINISTERIO DE HACIENDA</w:t>
      </w:r>
    </w:p>
    <w:p w14:paraId="7CA7602D" w14:textId="753B9F0D" w:rsidR="001F202C" w:rsidRDefault="001F202C" w:rsidP="001F202C">
      <w:pPr>
        <w:spacing w:line="240" w:lineRule="auto"/>
        <w:contextualSpacing w:val="0"/>
        <w:jc w:val="both"/>
        <w:rPr>
          <w:rFonts w:ascii="Bookman Old Style" w:hAnsi="Bookman Old Style"/>
          <w:b/>
          <w:sz w:val="24"/>
        </w:rPr>
      </w:pPr>
    </w:p>
    <w:p w14:paraId="0B51B315" w14:textId="105B94F5" w:rsidR="001F202C" w:rsidRDefault="001F202C" w:rsidP="001F202C">
      <w:pPr>
        <w:spacing w:line="240" w:lineRule="auto"/>
        <w:contextualSpacing w:val="0"/>
        <w:jc w:val="both"/>
        <w:rPr>
          <w:rFonts w:ascii="Bookman Old Style" w:hAnsi="Bookman Old Style"/>
          <w:sz w:val="24"/>
        </w:rPr>
      </w:pPr>
      <w:r>
        <w:rPr>
          <w:rFonts w:ascii="Bookman Old Style" w:hAnsi="Bookman Old Style"/>
          <w:sz w:val="24"/>
        </w:rPr>
        <w:t>El Ministerio de Hacienda y Crédito Público</w:t>
      </w:r>
      <w:r w:rsidR="00D02F55">
        <w:rPr>
          <w:rFonts w:ascii="Bookman Old Style" w:hAnsi="Bookman Old Style"/>
          <w:sz w:val="24"/>
        </w:rPr>
        <w:t xml:space="preserve"> también remitió concepto desfavorable al proyecto de ley al considerar que la puesta en marcha de la iniciativa tendría un costo aproximado de $12.79 Billones de pesos al año</w:t>
      </w:r>
      <w:r w:rsidR="00E413F7">
        <w:rPr>
          <w:rFonts w:ascii="Bookman Old Style" w:hAnsi="Bookman Old Style"/>
          <w:sz w:val="24"/>
        </w:rPr>
        <w:t xml:space="preserve"> por concepto de los funcionarios requeridos</w:t>
      </w:r>
      <w:r w:rsidR="00D02F55">
        <w:rPr>
          <w:rFonts w:ascii="Bookman Old Style" w:hAnsi="Bookman Old Style"/>
          <w:sz w:val="24"/>
        </w:rPr>
        <w:t xml:space="preserve"> sí se implementará en cada uno de los 1.122 municipios del país</w:t>
      </w:r>
      <w:r w:rsidR="00E413F7">
        <w:rPr>
          <w:rFonts w:ascii="Bookman Old Style" w:hAnsi="Bookman Old Style"/>
          <w:sz w:val="24"/>
        </w:rPr>
        <w:t>; sin tener en cuenta los costos adicionales que se requerirían para las instalaciones en donde deberán operar dichas unidades especiales</w:t>
      </w:r>
      <w:r w:rsidR="00D02F55">
        <w:rPr>
          <w:rFonts w:ascii="Bookman Old Style" w:hAnsi="Bookman Old Style"/>
          <w:sz w:val="24"/>
        </w:rPr>
        <w:t>.</w:t>
      </w:r>
    </w:p>
    <w:p w14:paraId="753171B6" w14:textId="6BA9E9A6" w:rsidR="00D02F55" w:rsidRDefault="00D02F55" w:rsidP="001F202C">
      <w:pPr>
        <w:spacing w:line="240" w:lineRule="auto"/>
        <w:contextualSpacing w:val="0"/>
        <w:jc w:val="both"/>
        <w:rPr>
          <w:rFonts w:ascii="Bookman Old Style" w:hAnsi="Bookman Old Style"/>
          <w:sz w:val="24"/>
        </w:rPr>
      </w:pPr>
    </w:p>
    <w:p w14:paraId="52122C2B" w14:textId="77777777" w:rsidR="00D02F55" w:rsidRPr="001F202C" w:rsidRDefault="00D02F55" w:rsidP="001F202C">
      <w:pPr>
        <w:spacing w:line="240" w:lineRule="auto"/>
        <w:contextualSpacing w:val="0"/>
        <w:jc w:val="both"/>
        <w:rPr>
          <w:rFonts w:ascii="Bookman Old Style" w:hAnsi="Bookman Old Style"/>
          <w:sz w:val="24"/>
        </w:rPr>
      </w:pPr>
    </w:p>
    <w:p w14:paraId="1EB09020" w14:textId="3C3F4FAB" w:rsidR="00C13168" w:rsidRPr="001F202C" w:rsidRDefault="00C13168" w:rsidP="001F202C">
      <w:pPr>
        <w:pStyle w:val="Prrafodelista"/>
        <w:numPr>
          <w:ilvl w:val="0"/>
          <w:numId w:val="22"/>
        </w:numPr>
        <w:spacing w:line="240" w:lineRule="auto"/>
        <w:contextualSpacing w:val="0"/>
        <w:jc w:val="both"/>
        <w:rPr>
          <w:rFonts w:ascii="Bookman Old Style" w:eastAsia="Calibri" w:hAnsi="Bookman Old Style" w:cstheme="majorHAnsi"/>
          <w:color w:val="000000" w:themeColor="text1"/>
          <w:sz w:val="24"/>
          <w:szCs w:val="24"/>
        </w:rPr>
      </w:pPr>
      <w:r w:rsidRPr="001F202C">
        <w:rPr>
          <w:rFonts w:ascii="Bookman Old Style" w:eastAsia="Calibri" w:hAnsi="Bookman Old Style" w:cstheme="majorHAnsi"/>
          <w:b/>
          <w:color w:val="000000" w:themeColor="text1"/>
          <w:sz w:val="24"/>
          <w:szCs w:val="24"/>
        </w:rPr>
        <w:t>CONSIDERACIONES</w:t>
      </w:r>
      <w:r w:rsidR="006E6254" w:rsidRPr="001F202C">
        <w:rPr>
          <w:rFonts w:ascii="Bookman Old Style" w:eastAsia="Calibri" w:hAnsi="Bookman Old Style" w:cstheme="majorHAnsi"/>
          <w:b/>
          <w:color w:val="000000" w:themeColor="text1"/>
          <w:sz w:val="24"/>
          <w:szCs w:val="24"/>
        </w:rPr>
        <w:t xml:space="preserve"> </w:t>
      </w:r>
      <w:r w:rsidRPr="001F202C">
        <w:rPr>
          <w:rFonts w:ascii="Bookman Old Style" w:eastAsia="Calibri" w:hAnsi="Bookman Old Style" w:cstheme="majorHAnsi"/>
          <w:b/>
          <w:color w:val="000000" w:themeColor="text1"/>
          <w:sz w:val="24"/>
          <w:szCs w:val="24"/>
        </w:rPr>
        <w:t>DEL</w:t>
      </w:r>
      <w:r w:rsidR="00E413F7">
        <w:rPr>
          <w:rFonts w:ascii="Bookman Old Style" w:eastAsia="Calibri" w:hAnsi="Bookman Old Style" w:cstheme="majorHAnsi"/>
          <w:b/>
          <w:color w:val="000000" w:themeColor="text1"/>
          <w:sz w:val="24"/>
          <w:szCs w:val="24"/>
        </w:rPr>
        <w:t xml:space="preserve"> </w:t>
      </w:r>
      <w:r w:rsidRPr="001F202C">
        <w:rPr>
          <w:rFonts w:ascii="Bookman Old Style" w:eastAsia="Calibri" w:hAnsi="Bookman Old Style" w:cstheme="majorHAnsi"/>
          <w:b/>
          <w:color w:val="000000" w:themeColor="text1"/>
          <w:sz w:val="24"/>
          <w:szCs w:val="24"/>
        </w:rPr>
        <w:t>PONENTE</w:t>
      </w:r>
    </w:p>
    <w:p w14:paraId="7027DCB9" w14:textId="56845311" w:rsidR="00A22815" w:rsidRPr="001C6641" w:rsidRDefault="00A22815" w:rsidP="00C13168">
      <w:pPr>
        <w:spacing w:line="240" w:lineRule="auto"/>
        <w:contextualSpacing w:val="0"/>
        <w:jc w:val="both"/>
        <w:rPr>
          <w:rFonts w:ascii="Bookman Old Style" w:eastAsia="Calibri" w:hAnsi="Bookman Old Style" w:cstheme="majorHAnsi"/>
          <w:b/>
          <w:color w:val="000000" w:themeColor="text1"/>
          <w:sz w:val="24"/>
          <w:szCs w:val="24"/>
        </w:rPr>
      </w:pPr>
    </w:p>
    <w:p w14:paraId="65FDA273" w14:textId="5CA966A5" w:rsidR="00295F9D" w:rsidRPr="001C6641" w:rsidRDefault="00E413F7" w:rsidP="0082516D">
      <w:pPr>
        <w:spacing w:line="240" w:lineRule="auto"/>
        <w:contextualSpacing w:val="0"/>
        <w:jc w:val="both"/>
        <w:rPr>
          <w:rFonts w:ascii="Bookman Old Style" w:eastAsia="Calibri" w:hAnsi="Bookman Old Style" w:cstheme="majorHAnsi"/>
          <w:b/>
          <w:color w:val="000000" w:themeColor="text1"/>
          <w:sz w:val="24"/>
          <w:szCs w:val="24"/>
        </w:rPr>
      </w:pPr>
      <w:r>
        <w:rPr>
          <w:rFonts w:ascii="Bookman Old Style" w:eastAsia="Calibri" w:hAnsi="Bookman Old Style" w:cstheme="majorHAnsi"/>
          <w:bCs/>
          <w:sz w:val="24"/>
          <w:szCs w:val="24"/>
        </w:rPr>
        <w:t xml:space="preserve">Una vez analizados los conceptos allegados por las diferentes entidades y </w:t>
      </w:r>
      <w:r w:rsidR="0082516D">
        <w:rPr>
          <w:rFonts w:ascii="Bookman Old Style" w:eastAsia="Calibri" w:hAnsi="Bookman Old Style" w:cstheme="majorHAnsi"/>
          <w:bCs/>
          <w:sz w:val="24"/>
          <w:szCs w:val="24"/>
        </w:rPr>
        <w:t xml:space="preserve">de observar que el pasado 10 de mayo de los corrientes fue sancionada la Ley 2205 de 2022 </w:t>
      </w:r>
      <w:r w:rsidR="0082516D" w:rsidRPr="0082516D">
        <w:rPr>
          <w:rFonts w:ascii="Bookman Old Style" w:eastAsia="Calibri" w:hAnsi="Bookman Old Style" w:cstheme="majorHAnsi"/>
          <w:b/>
          <w:bCs/>
          <w:sz w:val="24"/>
          <w:szCs w:val="24"/>
        </w:rPr>
        <w:t>“</w:t>
      </w:r>
      <w:r w:rsidR="0082516D" w:rsidRPr="0082516D">
        <w:rPr>
          <w:rFonts w:ascii="Bookman Old Style" w:eastAsia="Calibri" w:hAnsi="Bookman Old Style" w:cstheme="majorHAnsi"/>
          <w:b/>
          <w:bCs/>
          <w:sz w:val="24"/>
          <w:szCs w:val="24"/>
        </w:rPr>
        <w:t>P</w:t>
      </w:r>
      <w:r w:rsidR="0082516D" w:rsidRPr="0082516D">
        <w:rPr>
          <w:rFonts w:ascii="Bookman Old Style" w:eastAsia="Calibri" w:hAnsi="Bookman Old Style" w:cstheme="majorHAnsi"/>
          <w:b/>
          <w:bCs/>
          <w:sz w:val="24"/>
          <w:szCs w:val="24"/>
        </w:rPr>
        <w:t>or medio de la cual se modifican los artículos 175 y 201 de la ley 906 de 2004, con el fin de establecer un término perentorio para la etapa de indagación, tratándose de delitos graves realizados contra los niños, niñas y adolescentes, se crea la Unidad Especial de Investigación de delitos priorizados cometidos contra la infancia y la adolescencia, y se dictan otras disposiciones”</w:t>
      </w:r>
      <w:r w:rsidR="0082516D">
        <w:rPr>
          <w:rFonts w:ascii="Bookman Old Style" w:eastAsia="Calibri" w:hAnsi="Bookman Old Style" w:cstheme="majorHAnsi"/>
          <w:b/>
          <w:bCs/>
          <w:sz w:val="24"/>
          <w:szCs w:val="24"/>
        </w:rPr>
        <w:t xml:space="preserve">; </w:t>
      </w:r>
      <w:r w:rsidR="0082516D">
        <w:rPr>
          <w:rFonts w:ascii="Bookman Old Style" w:eastAsia="Calibri" w:hAnsi="Bookman Old Style" w:cstheme="majorHAnsi"/>
          <w:bCs/>
          <w:sz w:val="24"/>
          <w:szCs w:val="24"/>
        </w:rPr>
        <w:t xml:space="preserve">ya ésta corporación ha creado </w:t>
      </w:r>
      <w:r w:rsidR="00955A28">
        <w:rPr>
          <w:rFonts w:ascii="Bookman Old Style" w:eastAsia="Calibri" w:hAnsi="Bookman Old Style" w:cstheme="majorHAnsi"/>
          <w:bCs/>
          <w:sz w:val="24"/>
          <w:szCs w:val="24"/>
        </w:rPr>
        <w:t>l</w:t>
      </w:r>
      <w:r w:rsidR="0082516D">
        <w:rPr>
          <w:rFonts w:ascii="Bookman Old Style" w:eastAsia="Calibri" w:hAnsi="Bookman Old Style" w:cstheme="majorHAnsi"/>
          <w:bCs/>
          <w:sz w:val="24"/>
          <w:szCs w:val="24"/>
        </w:rPr>
        <w:t xml:space="preserve">a </w:t>
      </w:r>
      <w:r w:rsidR="00955A28">
        <w:rPr>
          <w:rFonts w:ascii="Bookman Old Style" w:eastAsia="Calibri" w:hAnsi="Bookman Old Style" w:cstheme="majorHAnsi"/>
          <w:bCs/>
          <w:sz w:val="24"/>
          <w:szCs w:val="24"/>
        </w:rPr>
        <w:t xml:space="preserve">Unidad Especial </w:t>
      </w:r>
      <w:r w:rsidR="0082516D">
        <w:rPr>
          <w:rFonts w:ascii="Bookman Old Style" w:eastAsia="Calibri" w:hAnsi="Bookman Old Style" w:cstheme="majorHAnsi"/>
          <w:bCs/>
          <w:sz w:val="24"/>
          <w:szCs w:val="24"/>
        </w:rPr>
        <w:t>Investigativa</w:t>
      </w:r>
      <w:r w:rsidR="00955A28">
        <w:rPr>
          <w:rFonts w:ascii="Bookman Old Style" w:eastAsia="Calibri" w:hAnsi="Bookman Old Style" w:cstheme="majorHAnsi"/>
          <w:bCs/>
          <w:sz w:val="24"/>
          <w:szCs w:val="24"/>
        </w:rPr>
        <w:t xml:space="preserve"> objeto de ésta iniciativa;</w:t>
      </w:r>
      <w:r w:rsidR="0082516D">
        <w:rPr>
          <w:rFonts w:ascii="Bookman Old Style" w:eastAsia="Calibri" w:hAnsi="Bookman Old Style" w:cstheme="majorHAnsi"/>
          <w:bCs/>
          <w:sz w:val="24"/>
          <w:szCs w:val="24"/>
        </w:rPr>
        <w:t xml:space="preserve"> adem</w:t>
      </w:r>
      <w:r w:rsidR="00955A28">
        <w:rPr>
          <w:rFonts w:ascii="Bookman Old Style" w:eastAsia="Calibri" w:hAnsi="Bookman Old Style" w:cstheme="majorHAnsi"/>
          <w:bCs/>
          <w:sz w:val="24"/>
          <w:szCs w:val="24"/>
        </w:rPr>
        <w:t>ás de que se creó un proceso más expedito para estos casos; razón por la cual se propone el archivo de la misma, con el ánimo de esperar la aplicación y efectividad de la recién sancionada ley.</w:t>
      </w:r>
    </w:p>
    <w:p w14:paraId="1F448E31" w14:textId="34259E75" w:rsidR="00B151F9" w:rsidRDefault="00B151F9" w:rsidP="00B151F9">
      <w:pPr>
        <w:spacing w:line="240" w:lineRule="auto"/>
        <w:rPr>
          <w:rFonts w:asciiTheme="majorHAnsi" w:eastAsia="Calibri" w:hAnsiTheme="majorHAnsi" w:cstheme="majorHAnsi"/>
          <w:b/>
          <w:color w:val="000000" w:themeColor="text1"/>
          <w:sz w:val="24"/>
          <w:szCs w:val="24"/>
        </w:rPr>
      </w:pPr>
    </w:p>
    <w:p w14:paraId="223CCE6A" w14:textId="3B557036" w:rsidR="0082516D" w:rsidRDefault="0082516D" w:rsidP="00B151F9">
      <w:pPr>
        <w:spacing w:line="240" w:lineRule="auto"/>
        <w:rPr>
          <w:rFonts w:asciiTheme="majorHAnsi" w:eastAsia="Calibri" w:hAnsiTheme="majorHAnsi" w:cstheme="majorHAnsi"/>
          <w:b/>
          <w:color w:val="000000" w:themeColor="text1"/>
          <w:sz w:val="24"/>
          <w:szCs w:val="24"/>
        </w:rPr>
      </w:pPr>
    </w:p>
    <w:p w14:paraId="6EBAF9DF" w14:textId="2D8C69EF" w:rsidR="00955A28" w:rsidRDefault="00955A28" w:rsidP="00B151F9">
      <w:pPr>
        <w:spacing w:line="240" w:lineRule="auto"/>
        <w:rPr>
          <w:rFonts w:asciiTheme="majorHAnsi" w:eastAsia="Calibri" w:hAnsiTheme="majorHAnsi" w:cstheme="majorHAnsi"/>
          <w:b/>
          <w:color w:val="000000" w:themeColor="text1"/>
          <w:sz w:val="24"/>
          <w:szCs w:val="24"/>
        </w:rPr>
      </w:pPr>
    </w:p>
    <w:p w14:paraId="7EC8AE77" w14:textId="77777777" w:rsidR="00955A28" w:rsidRPr="00D86DAA" w:rsidRDefault="00955A28" w:rsidP="00B151F9">
      <w:pPr>
        <w:spacing w:line="240" w:lineRule="auto"/>
        <w:rPr>
          <w:rFonts w:asciiTheme="majorHAnsi" w:eastAsia="Calibri" w:hAnsiTheme="majorHAnsi" w:cstheme="majorHAnsi"/>
          <w:b/>
          <w:color w:val="000000" w:themeColor="text1"/>
          <w:sz w:val="24"/>
          <w:szCs w:val="24"/>
        </w:rPr>
      </w:pPr>
    </w:p>
    <w:p w14:paraId="42D59E07" w14:textId="110FC24A" w:rsidR="006537E0" w:rsidRPr="001F202C" w:rsidRDefault="006537E0" w:rsidP="001F202C">
      <w:pPr>
        <w:pStyle w:val="Prrafodelista"/>
        <w:numPr>
          <w:ilvl w:val="0"/>
          <w:numId w:val="22"/>
        </w:numPr>
        <w:spacing w:line="240" w:lineRule="auto"/>
        <w:rPr>
          <w:rFonts w:ascii="Bookman Old Style" w:hAnsi="Bookman Old Style" w:cstheme="majorHAnsi"/>
          <w:b/>
          <w:sz w:val="24"/>
          <w:szCs w:val="24"/>
        </w:rPr>
      </w:pPr>
      <w:r w:rsidRPr="001F202C">
        <w:rPr>
          <w:rFonts w:ascii="Bookman Old Style" w:hAnsi="Bookman Old Style" w:cstheme="majorHAnsi"/>
          <w:b/>
          <w:sz w:val="24"/>
          <w:szCs w:val="24"/>
        </w:rPr>
        <w:lastRenderedPageBreak/>
        <w:t>CONFLICTOS DE INTERÉS</w:t>
      </w:r>
    </w:p>
    <w:p w14:paraId="181C50E1" w14:textId="77777777" w:rsidR="006537E0" w:rsidRPr="001C6641" w:rsidRDefault="006537E0" w:rsidP="006829EC">
      <w:pPr>
        <w:spacing w:line="240" w:lineRule="auto"/>
        <w:jc w:val="both"/>
        <w:rPr>
          <w:rFonts w:ascii="Bookman Old Style" w:hAnsi="Bookman Old Style" w:cstheme="majorHAnsi"/>
          <w:sz w:val="24"/>
          <w:szCs w:val="24"/>
        </w:rPr>
      </w:pPr>
    </w:p>
    <w:p w14:paraId="11579584" w14:textId="77777777" w:rsidR="006537E0" w:rsidRPr="001C6641" w:rsidRDefault="00EF4925" w:rsidP="006829EC">
      <w:pPr>
        <w:spacing w:line="240" w:lineRule="auto"/>
        <w:ind w:firstLine="6"/>
        <w:jc w:val="both"/>
        <w:rPr>
          <w:rFonts w:ascii="Bookman Old Style" w:hAnsi="Bookman Old Style" w:cstheme="majorHAnsi"/>
          <w:sz w:val="24"/>
          <w:szCs w:val="24"/>
        </w:rPr>
      </w:pPr>
      <w:r w:rsidRPr="001C6641">
        <w:rPr>
          <w:rFonts w:ascii="Bookman Old Style" w:hAnsi="Bookman Old Style" w:cstheme="majorHAnsi"/>
          <w:sz w:val="24"/>
          <w:szCs w:val="24"/>
        </w:rPr>
        <w:t>Dando cumplimiento</w:t>
      </w:r>
      <w:r w:rsidR="006537E0" w:rsidRPr="001C6641">
        <w:rPr>
          <w:rFonts w:ascii="Bookman Old Style" w:hAnsi="Bookman Old Style" w:cstheme="majorHAnsi"/>
          <w:sz w:val="24"/>
          <w:szCs w:val="24"/>
        </w:rPr>
        <w:t xml:space="preserve"> a lo establecido en el artículo 3 de la Ley 2003 del 19 de noviembre de 2019, por la cual se modifica parcialmente la Ley 5 de 1992, se hacen las siguientes consideraciones:</w:t>
      </w:r>
    </w:p>
    <w:p w14:paraId="680FB142" w14:textId="77777777" w:rsidR="006537E0" w:rsidRPr="001C6641" w:rsidRDefault="006537E0" w:rsidP="006829EC">
      <w:pPr>
        <w:spacing w:line="240" w:lineRule="auto"/>
        <w:ind w:firstLine="6"/>
        <w:jc w:val="both"/>
        <w:rPr>
          <w:rFonts w:ascii="Bookman Old Style" w:hAnsi="Bookman Old Style" w:cstheme="majorHAnsi"/>
          <w:sz w:val="24"/>
          <w:szCs w:val="24"/>
        </w:rPr>
      </w:pPr>
      <w:r w:rsidRPr="001C6641">
        <w:rPr>
          <w:rFonts w:ascii="Bookman Old Style" w:hAnsi="Bookman Old Style" w:cstheme="majorHAnsi"/>
          <w:sz w:val="24"/>
          <w:szCs w:val="24"/>
        </w:rPr>
        <w:t xml:space="preserve"> </w:t>
      </w:r>
    </w:p>
    <w:p w14:paraId="3D1015AE" w14:textId="26024B3E" w:rsidR="006537E0" w:rsidRPr="001C6641" w:rsidRDefault="006537E0" w:rsidP="006829EC">
      <w:pPr>
        <w:spacing w:line="240" w:lineRule="auto"/>
        <w:ind w:firstLine="6"/>
        <w:jc w:val="both"/>
        <w:rPr>
          <w:rFonts w:ascii="Bookman Old Style" w:hAnsi="Bookman Old Style" w:cstheme="majorHAnsi"/>
          <w:sz w:val="24"/>
          <w:szCs w:val="24"/>
        </w:rPr>
      </w:pPr>
      <w:r w:rsidRPr="001C6641">
        <w:rPr>
          <w:rFonts w:ascii="Bookman Old Style" w:hAnsi="Bookman Old Style" w:cstheme="majorHAnsi"/>
          <w:sz w:val="24"/>
          <w:szCs w:val="24"/>
        </w:rPr>
        <w:t xml:space="preserve">Frente al presente proyecto, se estima que </w:t>
      </w:r>
      <w:r w:rsidR="002E10D4">
        <w:rPr>
          <w:rFonts w:ascii="Bookman Old Style" w:hAnsi="Bookman Old Style" w:cstheme="majorHAnsi"/>
          <w:sz w:val="24"/>
          <w:szCs w:val="24"/>
        </w:rPr>
        <w:t xml:space="preserve">el actual proyecto de ley </w:t>
      </w:r>
      <w:r w:rsidRPr="001C6641">
        <w:rPr>
          <w:rFonts w:ascii="Bookman Old Style" w:hAnsi="Bookman Old Style" w:cstheme="majorHAnsi"/>
          <w:sz w:val="24"/>
          <w:szCs w:val="24"/>
        </w:rPr>
        <w:t xml:space="preserve">podría generar posibles conflictos de interés, cuando se cuenten con familiares dentro de los grados exigidos por la ley, que sean </w:t>
      </w:r>
      <w:r w:rsidR="002E10D4">
        <w:rPr>
          <w:rFonts w:ascii="Bookman Old Style" w:hAnsi="Bookman Old Style" w:cstheme="majorHAnsi"/>
          <w:sz w:val="24"/>
          <w:szCs w:val="24"/>
        </w:rPr>
        <w:t xml:space="preserve">denunciantes </w:t>
      </w:r>
      <w:r w:rsidR="00595C11">
        <w:rPr>
          <w:rFonts w:ascii="Bookman Old Style" w:hAnsi="Bookman Old Style" w:cstheme="majorHAnsi"/>
          <w:sz w:val="24"/>
          <w:szCs w:val="24"/>
        </w:rPr>
        <w:t xml:space="preserve">o implicados </w:t>
      </w:r>
      <w:r w:rsidR="002E10D4">
        <w:rPr>
          <w:rFonts w:ascii="Bookman Old Style" w:hAnsi="Bookman Old Style" w:cstheme="majorHAnsi"/>
          <w:sz w:val="24"/>
          <w:szCs w:val="24"/>
        </w:rPr>
        <w:t xml:space="preserve">de cualquier tipo de delito </w:t>
      </w:r>
      <w:r w:rsidR="00595C11">
        <w:rPr>
          <w:rFonts w:ascii="Bookman Old Style" w:hAnsi="Bookman Old Style" w:cstheme="majorHAnsi"/>
          <w:sz w:val="24"/>
          <w:szCs w:val="24"/>
        </w:rPr>
        <w:t>en contra de los niños, niñas y adolescentes.</w:t>
      </w:r>
      <w:r w:rsidRPr="001C6641">
        <w:rPr>
          <w:rFonts w:ascii="Bookman Old Style" w:hAnsi="Bookman Old Style" w:cstheme="majorHAnsi"/>
          <w:sz w:val="24"/>
          <w:szCs w:val="24"/>
        </w:rPr>
        <w:t xml:space="preserve"> </w:t>
      </w:r>
    </w:p>
    <w:p w14:paraId="2D1C92D9" w14:textId="77777777" w:rsidR="006537E0" w:rsidRPr="001C6641" w:rsidRDefault="006537E0" w:rsidP="006829EC">
      <w:pPr>
        <w:spacing w:line="240" w:lineRule="auto"/>
        <w:ind w:left="-700"/>
        <w:jc w:val="both"/>
        <w:rPr>
          <w:rFonts w:ascii="Bookman Old Style" w:hAnsi="Bookman Old Style" w:cstheme="majorHAnsi"/>
          <w:sz w:val="24"/>
          <w:szCs w:val="24"/>
        </w:rPr>
      </w:pPr>
    </w:p>
    <w:p w14:paraId="3C3A521E" w14:textId="77777777" w:rsidR="006537E0" w:rsidRPr="001C6641" w:rsidRDefault="006537E0" w:rsidP="006829EC">
      <w:pPr>
        <w:spacing w:line="240" w:lineRule="auto"/>
        <w:jc w:val="both"/>
        <w:rPr>
          <w:rFonts w:ascii="Bookman Old Style" w:hAnsi="Bookman Old Style" w:cstheme="majorHAnsi"/>
          <w:sz w:val="24"/>
          <w:szCs w:val="24"/>
        </w:rPr>
      </w:pPr>
      <w:r w:rsidRPr="001C6641">
        <w:rPr>
          <w:rFonts w:ascii="Bookman Old Style" w:hAnsi="Bookman Old Style" w:cstheme="majorHAnsi"/>
          <w:sz w:val="24"/>
          <w:szCs w:val="24"/>
        </w:rPr>
        <w:t>La descripción de los posibles conflictos de interés que se puedan presentar frente al trámite del presente proyecto de ley, conforme a lo dispuesto en el artículo 291 de la ley 5 de 1992 modificado por la ley 2003 de 2019, no exime del deber del Congresista de identificar otras causales adicionales.</w:t>
      </w:r>
    </w:p>
    <w:p w14:paraId="246D2716" w14:textId="77777777" w:rsidR="006537E0" w:rsidRPr="001C6641" w:rsidRDefault="006537E0" w:rsidP="006829EC">
      <w:pPr>
        <w:spacing w:line="240" w:lineRule="auto"/>
        <w:contextualSpacing w:val="0"/>
        <w:jc w:val="both"/>
        <w:rPr>
          <w:rFonts w:ascii="Bookman Old Style" w:eastAsia="Calibri" w:hAnsi="Bookman Old Style" w:cstheme="majorHAnsi"/>
          <w:b/>
          <w:color w:val="000000" w:themeColor="text1"/>
          <w:sz w:val="24"/>
          <w:szCs w:val="24"/>
        </w:rPr>
      </w:pPr>
    </w:p>
    <w:p w14:paraId="0A8136D6" w14:textId="77777777" w:rsidR="006829EC" w:rsidRPr="001C6641" w:rsidRDefault="006829EC" w:rsidP="006829EC">
      <w:pPr>
        <w:spacing w:line="240" w:lineRule="auto"/>
        <w:contextualSpacing w:val="0"/>
        <w:jc w:val="both"/>
        <w:rPr>
          <w:rFonts w:ascii="Bookman Old Style" w:eastAsia="Calibri" w:hAnsi="Bookman Old Style" w:cstheme="majorHAnsi"/>
          <w:b/>
          <w:color w:val="000000" w:themeColor="text1"/>
          <w:sz w:val="24"/>
          <w:szCs w:val="24"/>
        </w:rPr>
      </w:pPr>
    </w:p>
    <w:p w14:paraId="1A2159EE" w14:textId="77777777" w:rsidR="00160819" w:rsidRPr="001C6641" w:rsidRDefault="006537E0" w:rsidP="006829EC">
      <w:pPr>
        <w:spacing w:line="240" w:lineRule="auto"/>
        <w:ind w:left="720"/>
        <w:contextualSpacing w:val="0"/>
        <w:jc w:val="both"/>
        <w:rPr>
          <w:rFonts w:ascii="Bookman Old Style" w:eastAsia="Calibri" w:hAnsi="Bookman Old Style" w:cstheme="majorHAnsi"/>
          <w:b/>
          <w:color w:val="000000" w:themeColor="text1"/>
          <w:sz w:val="24"/>
          <w:szCs w:val="24"/>
        </w:rPr>
      </w:pPr>
      <w:r w:rsidRPr="001C6641">
        <w:rPr>
          <w:rFonts w:ascii="Bookman Old Style" w:eastAsia="Calibri" w:hAnsi="Bookman Old Style" w:cstheme="majorHAnsi"/>
          <w:b/>
          <w:color w:val="000000" w:themeColor="text1"/>
          <w:sz w:val="24"/>
          <w:szCs w:val="24"/>
        </w:rPr>
        <w:t xml:space="preserve">VII. </w:t>
      </w:r>
      <w:r w:rsidR="006E6254" w:rsidRPr="001C6641">
        <w:rPr>
          <w:rFonts w:ascii="Bookman Old Style" w:eastAsia="Calibri" w:hAnsi="Bookman Old Style" w:cstheme="majorHAnsi"/>
          <w:b/>
          <w:color w:val="000000" w:themeColor="text1"/>
          <w:sz w:val="24"/>
          <w:szCs w:val="24"/>
        </w:rPr>
        <w:t>P</w:t>
      </w:r>
      <w:r w:rsidR="009146B7" w:rsidRPr="001C6641">
        <w:rPr>
          <w:rFonts w:ascii="Bookman Old Style" w:eastAsia="Calibri" w:hAnsi="Bookman Old Style" w:cstheme="majorHAnsi"/>
          <w:b/>
          <w:color w:val="000000" w:themeColor="text1"/>
          <w:sz w:val="24"/>
          <w:szCs w:val="24"/>
        </w:rPr>
        <w:t>R</w:t>
      </w:r>
      <w:r w:rsidR="006E6254" w:rsidRPr="001C6641">
        <w:rPr>
          <w:rFonts w:ascii="Bookman Old Style" w:eastAsia="Calibri" w:hAnsi="Bookman Old Style" w:cstheme="majorHAnsi"/>
          <w:b/>
          <w:color w:val="000000" w:themeColor="text1"/>
          <w:sz w:val="24"/>
          <w:szCs w:val="24"/>
        </w:rPr>
        <w:t>O</w:t>
      </w:r>
      <w:r w:rsidR="009146B7" w:rsidRPr="001C6641">
        <w:rPr>
          <w:rFonts w:ascii="Bookman Old Style" w:eastAsia="Calibri" w:hAnsi="Bookman Old Style" w:cstheme="majorHAnsi"/>
          <w:b/>
          <w:color w:val="000000" w:themeColor="text1"/>
          <w:sz w:val="24"/>
          <w:szCs w:val="24"/>
        </w:rPr>
        <w:t>POSICIÓN</w:t>
      </w:r>
      <w:r w:rsidR="006E6254" w:rsidRPr="001C6641">
        <w:rPr>
          <w:rFonts w:ascii="Bookman Old Style" w:eastAsia="Calibri" w:hAnsi="Bookman Old Style" w:cstheme="majorHAnsi"/>
          <w:b/>
          <w:color w:val="000000" w:themeColor="text1"/>
          <w:sz w:val="24"/>
          <w:szCs w:val="24"/>
        </w:rPr>
        <w:t xml:space="preserve"> </w:t>
      </w:r>
    </w:p>
    <w:p w14:paraId="0C83BD0E" w14:textId="77777777" w:rsidR="00B50F88" w:rsidRPr="00D86DAA" w:rsidRDefault="00B50F88" w:rsidP="006829EC">
      <w:pPr>
        <w:spacing w:line="240" w:lineRule="auto"/>
        <w:contextualSpacing w:val="0"/>
        <w:rPr>
          <w:rFonts w:asciiTheme="majorHAnsi" w:eastAsia="Calibri" w:hAnsiTheme="majorHAnsi" w:cstheme="majorHAnsi"/>
          <w:b/>
          <w:color w:val="000000" w:themeColor="text1"/>
          <w:sz w:val="24"/>
          <w:szCs w:val="24"/>
        </w:rPr>
      </w:pPr>
    </w:p>
    <w:p w14:paraId="3C89128D" w14:textId="4B0F5D72" w:rsidR="00295F9D" w:rsidRPr="001C6641" w:rsidRDefault="006E6254" w:rsidP="006829EC">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 xml:space="preserve">Con fundamento en las razones aquí expuestas, </w:t>
      </w:r>
      <w:r w:rsidR="00FB50DD" w:rsidRPr="001C6641">
        <w:rPr>
          <w:rFonts w:ascii="Bookman Old Style" w:eastAsia="Calibri" w:hAnsi="Bookman Old Style" w:cstheme="majorHAnsi"/>
          <w:color w:val="000000" w:themeColor="text1"/>
          <w:sz w:val="24"/>
          <w:szCs w:val="24"/>
        </w:rPr>
        <w:t>solicitó</w:t>
      </w:r>
      <w:r w:rsidR="00EA6747" w:rsidRPr="001C6641">
        <w:rPr>
          <w:rFonts w:ascii="Bookman Old Style" w:eastAsia="Calibri" w:hAnsi="Bookman Old Style" w:cstheme="majorHAnsi"/>
          <w:color w:val="000000" w:themeColor="text1"/>
          <w:sz w:val="24"/>
          <w:szCs w:val="24"/>
        </w:rPr>
        <w:t xml:space="preserve"> de manera respetuosa a los Honorables R</w:t>
      </w:r>
      <w:r w:rsidRPr="001C6641">
        <w:rPr>
          <w:rFonts w:ascii="Bookman Old Style" w:eastAsia="Calibri" w:hAnsi="Bookman Old Style" w:cstheme="majorHAnsi"/>
          <w:color w:val="000000" w:themeColor="text1"/>
          <w:sz w:val="24"/>
          <w:szCs w:val="24"/>
        </w:rPr>
        <w:t xml:space="preserve">epresentantes de la </w:t>
      </w:r>
      <w:r w:rsidR="00927900" w:rsidRPr="001C6641">
        <w:rPr>
          <w:rFonts w:ascii="Bookman Old Style" w:eastAsia="Calibri" w:hAnsi="Bookman Old Style" w:cstheme="majorHAnsi"/>
          <w:color w:val="000000" w:themeColor="text1"/>
          <w:sz w:val="24"/>
          <w:szCs w:val="24"/>
        </w:rPr>
        <w:t>Comisión Primera</w:t>
      </w:r>
      <w:r w:rsidR="00E05E5A" w:rsidRPr="001C6641">
        <w:rPr>
          <w:rFonts w:ascii="Bookman Old Style" w:eastAsia="Calibri" w:hAnsi="Bookman Old Style" w:cstheme="majorHAnsi"/>
          <w:color w:val="000000" w:themeColor="text1"/>
          <w:sz w:val="24"/>
          <w:szCs w:val="24"/>
        </w:rPr>
        <w:t xml:space="preserve"> de la </w:t>
      </w:r>
      <w:r w:rsidRPr="001C6641">
        <w:rPr>
          <w:rFonts w:ascii="Bookman Old Style" w:eastAsia="Calibri" w:hAnsi="Bookman Old Style" w:cstheme="majorHAnsi"/>
          <w:color w:val="000000" w:themeColor="text1"/>
          <w:sz w:val="24"/>
          <w:szCs w:val="24"/>
        </w:rPr>
        <w:t>Cámara</w:t>
      </w:r>
      <w:r w:rsidR="00141426" w:rsidRPr="001C6641">
        <w:rPr>
          <w:rFonts w:ascii="Bookman Old Style" w:eastAsia="Calibri" w:hAnsi="Bookman Old Style" w:cstheme="majorHAnsi"/>
          <w:color w:val="000000" w:themeColor="text1"/>
          <w:sz w:val="24"/>
          <w:szCs w:val="24"/>
        </w:rPr>
        <w:t xml:space="preserve"> de Representantes</w:t>
      </w:r>
      <w:r w:rsidRPr="001C6641">
        <w:rPr>
          <w:rFonts w:ascii="Bookman Old Style" w:eastAsia="Calibri" w:hAnsi="Bookman Old Style" w:cstheme="majorHAnsi"/>
          <w:color w:val="000000" w:themeColor="text1"/>
          <w:sz w:val="24"/>
          <w:szCs w:val="24"/>
        </w:rPr>
        <w:t xml:space="preserve"> dar </w:t>
      </w:r>
      <w:r w:rsidR="002E10D4" w:rsidRPr="002E10D4">
        <w:rPr>
          <w:rFonts w:ascii="Bookman Old Style" w:eastAsia="Calibri" w:hAnsi="Bookman Old Style" w:cstheme="majorHAnsi"/>
          <w:b/>
          <w:color w:val="000000" w:themeColor="text1"/>
          <w:sz w:val="24"/>
          <w:szCs w:val="24"/>
        </w:rPr>
        <w:t>PONENCIA DE ARCHIVO</w:t>
      </w:r>
      <w:r w:rsidR="003457C9" w:rsidRPr="001C6641">
        <w:rPr>
          <w:rFonts w:ascii="Bookman Old Style" w:eastAsia="Calibri" w:hAnsi="Bookman Old Style" w:cstheme="majorHAnsi"/>
          <w:color w:val="000000" w:themeColor="text1"/>
          <w:sz w:val="24"/>
          <w:szCs w:val="24"/>
        </w:rPr>
        <w:t xml:space="preserve"> </w:t>
      </w:r>
      <w:r w:rsidR="00C13168" w:rsidRPr="001C6641">
        <w:rPr>
          <w:rFonts w:ascii="Bookman Old Style" w:eastAsia="Calibri" w:hAnsi="Bookman Old Style" w:cstheme="majorHAnsi"/>
          <w:color w:val="000000" w:themeColor="text1"/>
          <w:sz w:val="24"/>
          <w:szCs w:val="24"/>
        </w:rPr>
        <w:t>a</w:t>
      </w:r>
      <w:r w:rsidRPr="001C6641">
        <w:rPr>
          <w:rFonts w:ascii="Bookman Old Style" w:eastAsia="Calibri" w:hAnsi="Bookman Old Style" w:cstheme="majorHAnsi"/>
          <w:color w:val="000000" w:themeColor="text1"/>
          <w:sz w:val="24"/>
          <w:szCs w:val="24"/>
        </w:rPr>
        <w:t>l Proyec</w:t>
      </w:r>
      <w:r w:rsidR="003457C9" w:rsidRPr="001C6641">
        <w:rPr>
          <w:rFonts w:ascii="Bookman Old Style" w:eastAsia="Calibri" w:hAnsi="Bookman Old Style" w:cstheme="majorHAnsi"/>
          <w:color w:val="000000" w:themeColor="text1"/>
          <w:sz w:val="24"/>
          <w:szCs w:val="24"/>
        </w:rPr>
        <w:t xml:space="preserve">to de </w:t>
      </w:r>
      <w:r w:rsidR="006537E0" w:rsidRPr="001C6641">
        <w:rPr>
          <w:rFonts w:ascii="Bookman Old Style" w:eastAsia="Calibri" w:hAnsi="Bookman Old Style" w:cstheme="majorHAnsi"/>
          <w:color w:val="000000" w:themeColor="text1"/>
          <w:sz w:val="24"/>
          <w:szCs w:val="24"/>
        </w:rPr>
        <w:t>Ley</w:t>
      </w:r>
      <w:r w:rsidR="003457C9" w:rsidRPr="001C6641">
        <w:rPr>
          <w:rFonts w:ascii="Bookman Old Style" w:eastAsia="Calibri" w:hAnsi="Bookman Old Style" w:cstheme="majorHAnsi"/>
          <w:color w:val="000000" w:themeColor="text1"/>
          <w:sz w:val="24"/>
          <w:szCs w:val="24"/>
        </w:rPr>
        <w:t xml:space="preserve"> </w:t>
      </w:r>
      <w:r w:rsidR="00622FFE">
        <w:rPr>
          <w:rFonts w:ascii="Bookman Old Style" w:eastAsia="Calibri" w:hAnsi="Bookman Old Style" w:cstheme="majorHAnsi"/>
          <w:color w:val="000000" w:themeColor="text1"/>
          <w:sz w:val="24"/>
          <w:szCs w:val="24"/>
        </w:rPr>
        <w:t xml:space="preserve">Estatutaria N° </w:t>
      </w:r>
      <w:r w:rsidR="00622FFE">
        <w:rPr>
          <w:rFonts w:ascii="Bookman Old Style" w:hAnsi="Bookman Old Style" w:cstheme="majorHAnsi"/>
          <w:bCs/>
          <w:sz w:val="24"/>
          <w:szCs w:val="24"/>
        </w:rPr>
        <w:t>021</w:t>
      </w:r>
      <w:r w:rsidR="00E618CC" w:rsidRPr="001C6641">
        <w:rPr>
          <w:rFonts w:ascii="Bookman Old Style" w:hAnsi="Bookman Old Style" w:cstheme="majorHAnsi"/>
          <w:bCs/>
          <w:sz w:val="24"/>
          <w:szCs w:val="24"/>
        </w:rPr>
        <w:t xml:space="preserve"> </w:t>
      </w:r>
      <w:r w:rsidR="00E618CC" w:rsidRPr="001C6641">
        <w:rPr>
          <w:rFonts w:ascii="Bookman Old Style" w:hAnsi="Bookman Old Style" w:cstheme="majorHAnsi"/>
          <w:bCs/>
          <w:sz w:val="24"/>
          <w:szCs w:val="24"/>
          <w:highlight w:val="white"/>
        </w:rPr>
        <w:t>de 202</w:t>
      </w:r>
      <w:r w:rsidR="00622FFE">
        <w:rPr>
          <w:rFonts w:ascii="Bookman Old Style" w:hAnsi="Bookman Old Style" w:cstheme="majorHAnsi"/>
          <w:bCs/>
          <w:sz w:val="24"/>
          <w:szCs w:val="24"/>
          <w:highlight w:val="white"/>
        </w:rPr>
        <w:t>1</w:t>
      </w:r>
      <w:r w:rsidR="00E618CC" w:rsidRPr="001C6641">
        <w:rPr>
          <w:rFonts w:ascii="Bookman Old Style" w:hAnsi="Bookman Old Style" w:cstheme="majorHAnsi"/>
          <w:bCs/>
          <w:sz w:val="24"/>
          <w:szCs w:val="24"/>
          <w:highlight w:val="white"/>
        </w:rPr>
        <w:t xml:space="preserve"> Cámara</w:t>
      </w:r>
      <w:r w:rsidR="00E618CC" w:rsidRPr="001C6641">
        <w:rPr>
          <w:rFonts w:ascii="Bookman Old Style" w:hAnsi="Bookman Old Style" w:cstheme="majorHAnsi"/>
          <w:bCs/>
          <w:color w:val="252525"/>
          <w:sz w:val="24"/>
          <w:szCs w:val="24"/>
          <w:highlight w:val="white"/>
        </w:rPr>
        <w:t xml:space="preserve"> </w:t>
      </w:r>
      <w:r w:rsidR="00E618CC" w:rsidRPr="001C6641">
        <w:rPr>
          <w:rFonts w:ascii="Bookman Old Style" w:hAnsi="Bookman Old Style" w:cstheme="majorHAnsi"/>
          <w:bCs/>
          <w:sz w:val="24"/>
          <w:szCs w:val="24"/>
        </w:rPr>
        <w:t>“</w:t>
      </w:r>
      <w:r w:rsidR="00622FFE" w:rsidRPr="00622FFE">
        <w:rPr>
          <w:rFonts w:ascii="Bookman Old Style" w:eastAsia="Calibri" w:hAnsi="Bookman Old Style" w:cstheme="majorHAnsi"/>
          <w:color w:val="000000" w:themeColor="text1"/>
          <w:sz w:val="24"/>
          <w:szCs w:val="24"/>
        </w:rPr>
        <w:t>Por la cual se fortalece la Administración de Justicia en beneficio de los niños, niñas y adolescentes, se crean Unidades Especializadas de Justicia para la Infancia y la Adolescencia y se ordena la implementación de estrategias de prevención</w:t>
      </w:r>
      <w:r w:rsidR="00E618CC" w:rsidRPr="00622FFE">
        <w:rPr>
          <w:rFonts w:ascii="Bookman Old Style" w:eastAsia="Calibri" w:hAnsi="Bookman Old Style" w:cstheme="majorHAnsi"/>
          <w:color w:val="000000" w:themeColor="text1"/>
          <w:sz w:val="24"/>
          <w:szCs w:val="24"/>
        </w:rPr>
        <w:t>”</w:t>
      </w:r>
      <w:r w:rsidR="002E10D4">
        <w:rPr>
          <w:rFonts w:ascii="Bookman Old Style" w:hAnsi="Bookman Old Style" w:cstheme="majorHAnsi"/>
          <w:bCs/>
          <w:sz w:val="24"/>
          <w:szCs w:val="24"/>
        </w:rPr>
        <w:t>.</w:t>
      </w:r>
      <w:r w:rsidR="00BE07E1">
        <w:rPr>
          <w:rFonts w:ascii="Bookman Old Style" w:hAnsi="Bookman Old Style" w:cstheme="majorHAnsi"/>
          <w:bCs/>
          <w:sz w:val="24"/>
          <w:szCs w:val="24"/>
        </w:rPr>
        <w:t xml:space="preserve"> </w:t>
      </w:r>
    </w:p>
    <w:p w14:paraId="719985A9" w14:textId="27F9CC69" w:rsidR="00EF4925" w:rsidRDefault="00EF4925" w:rsidP="006829EC">
      <w:pPr>
        <w:spacing w:line="240" w:lineRule="auto"/>
        <w:contextualSpacing w:val="0"/>
        <w:jc w:val="both"/>
        <w:rPr>
          <w:rFonts w:ascii="Bookman Old Style" w:eastAsia="Calibri" w:hAnsi="Bookman Old Style" w:cstheme="majorHAnsi"/>
          <w:color w:val="000000" w:themeColor="text1"/>
          <w:sz w:val="24"/>
          <w:szCs w:val="24"/>
        </w:rPr>
      </w:pPr>
    </w:p>
    <w:p w14:paraId="35239A02" w14:textId="77777777" w:rsidR="00955A28" w:rsidRPr="001C6641" w:rsidRDefault="00955A28" w:rsidP="006829EC">
      <w:pPr>
        <w:spacing w:line="240" w:lineRule="auto"/>
        <w:contextualSpacing w:val="0"/>
        <w:jc w:val="both"/>
        <w:rPr>
          <w:rFonts w:ascii="Bookman Old Style" w:eastAsia="Calibri" w:hAnsi="Bookman Old Style" w:cstheme="majorHAnsi"/>
          <w:color w:val="000000" w:themeColor="text1"/>
          <w:sz w:val="24"/>
          <w:szCs w:val="24"/>
        </w:rPr>
      </w:pPr>
    </w:p>
    <w:p w14:paraId="04B99648" w14:textId="4FB15DF6" w:rsidR="00E05E5A" w:rsidRPr="00BE07E1" w:rsidRDefault="006E6254" w:rsidP="00BE07E1">
      <w:pPr>
        <w:spacing w:line="240" w:lineRule="auto"/>
        <w:contextualSpacing w:val="0"/>
        <w:jc w:val="both"/>
        <w:rPr>
          <w:rFonts w:ascii="Bookman Old Style" w:eastAsia="Calibri" w:hAnsi="Bookman Old Style" w:cstheme="majorHAnsi"/>
          <w:color w:val="000000" w:themeColor="text1"/>
          <w:sz w:val="24"/>
          <w:szCs w:val="24"/>
        </w:rPr>
      </w:pPr>
      <w:r w:rsidRPr="001C6641">
        <w:rPr>
          <w:rFonts w:ascii="Bookman Old Style" w:eastAsia="Calibri" w:hAnsi="Bookman Old Style" w:cstheme="majorHAnsi"/>
          <w:color w:val="000000" w:themeColor="text1"/>
          <w:sz w:val="24"/>
          <w:szCs w:val="24"/>
        </w:rPr>
        <w:t xml:space="preserve">Cordialmente, </w:t>
      </w:r>
    </w:p>
    <w:p w14:paraId="1618FC7A" w14:textId="77777777" w:rsidR="00EE0353" w:rsidRDefault="00EE0353" w:rsidP="00EE0353">
      <w:pPr>
        <w:rPr>
          <w:rFonts w:asciiTheme="majorHAnsi" w:hAnsiTheme="majorHAnsi" w:cstheme="majorHAnsi"/>
          <w:sz w:val="24"/>
          <w:szCs w:val="24"/>
        </w:rPr>
      </w:pPr>
    </w:p>
    <w:p w14:paraId="64C6AA74" w14:textId="77777777" w:rsidR="001C6641" w:rsidRDefault="001C6641" w:rsidP="00EE0353">
      <w:pPr>
        <w:rPr>
          <w:rFonts w:asciiTheme="majorHAnsi" w:hAnsiTheme="majorHAnsi" w:cstheme="majorHAnsi"/>
          <w:sz w:val="24"/>
          <w:szCs w:val="24"/>
        </w:rPr>
      </w:pPr>
    </w:p>
    <w:p w14:paraId="348609BF" w14:textId="4EBD8CA2" w:rsidR="001C6641" w:rsidRDefault="001C6641" w:rsidP="00EE0353">
      <w:pPr>
        <w:rPr>
          <w:rFonts w:asciiTheme="majorHAnsi" w:hAnsiTheme="majorHAnsi" w:cstheme="majorHAnsi"/>
          <w:sz w:val="24"/>
          <w:szCs w:val="24"/>
        </w:rPr>
      </w:pPr>
    </w:p>
    <w:p w14:paraId="58C8FF3D" w14:textId="31F49F94" w:rsidR="00A67F8C" w:rsidRDefault="00A67F8C" w:rsidP="00EE0353">
      <w:pPr>
        <w:rPr>
          <w:rFonts w:asciiTheme="majorHAnsi" w:hAnsiTheme="majorHAnsi" w:cstheme="majorHAnsi"/>
          <w:sz w:val="24"/>
          <w:szCs w:val="24"/>
        </w:rPr>
      </w:pPr>
    </w:p>
    <w:p w14:paraId="109AB122" w14:textId="77777777" w:rsidR="00A67F8C" w:rsidRPr="00D86DAA" w:rsidRDefault="00A67F8C" w:rsidP="00EE0353">
      <w:pPr>
        <w:rPr>
          <w:rFonts w:asciiTheme="majorHAnsi" w:hAnsiTheme="majorHAnsi" w:cstheme="majorHAnsi"/>
          <w:sz w:val="24"/>
          <w:szCs w:val="24"/>
        </w:rPr>
      </w:pPr>
    </w:p>
    <w:p w14:paraId="2D28909C" w14:textId="2A545756" w:rsidR="001C6641" w:rsidRPr="00955A28" w:rsidRDefault="001C6641" w:rsidP="00A67F8C">
      <w:pPr>
        <w:jc w:val="center"/>
        <w:rPr>
          <w:rFonts w:ascii="Bookman Old Style" w:hAnsi="Bookman Old Style" w:cstheme="majorHAnsi"/>
          <w:b/>
          <w:bCs/>
          <w:sz w:val="28"/>
          <w:szCs w:val="24"/>
        </w:rPr>
      </w:pPr>
      <w:r w:rsidRPr="00955A28">
        <w:rPr>
          <w:rFonts w:ascii="Bookman Old Style" w:hAnsi="Bookman Old Style" w:cstheme="majorHAnsi"/>
          <w:b/>
          <w:bCs/>
          <w:sz w:val="28"/>
          <w:szCs w:val="24"/>
          <w:lang w:eastAsia="es-MX"/>
        </w:rPr>
        <w:t>Jor</w:t>
      </w:r>
      <w:r w:rsidR="00622FFE" w:rsidRPr="00955A28">
        <w:rPr>
          <w:rFonts w:ascii="Bookman Old Style" w:hAnsi="Bookman Old Style" w:cstheme="majorHAnsi"/>
          <w:b/>
          <w:bCs/>
          <w:sz w:val="28"/>
          <w:szCs w:val="24"/>
          <w:lang w:eastAsia="es-MX"/>
        </w:rPr>
        <w:t>ge Eliécer Tamayo Marulanda</w:t>
      </w:r>
    </w:p>
    <w:p w14:paraId="090EB937" w14:textId="7922FFD5" w:rsidR="00EE0353" w:rsidRPr="00A3753A" w:rsidRDefault="001C6641" w:rsidP="00A67F8C">
      <w:pPr>
        <w:jc w:val="center"/>
        <w:rPr>
          <w:rFonts w:ascii="Bookman Old Style" w:hAnsi="Bookman Old Style" w:cstheme="majorHAnsi"/>
          <w:sz w:val="24"/>
          <w:szCs w:val="24"/>
          <w:lang w:eastAsia="es-MX"/>
        </w:rPr>
      </w:pPr>
      <w:r w:rsidRPr="00955A28">
        <w:rPr>
          <w:rFonts w:ascii="Bookman Old Style" w:hAnsi="Bookman Old Style" w:cstheme="majorHAnsi"/>
          <w:b/>
          <w:bCs/>
          <w:sz w:val="28"/>
          <w:szCs w:val="24"/>
        </w:rPr>
        <w:t>Ponente</w:t>
      </w:r>
    </w:p>
    <w:p w14:paraId="702A1315" w14:textId="017173A0" w:rsidR="00E91D97" w:rsidRPr="002E10D4" w:rsidRDefault="00E91D97" w:rsidP="00711659">
      <w:pPr>
        <w:rPr>
          <w:rFonts w:asciiTheme="majorHAnsi" w:eastAsia="Calibri" w:hAnsiTheme="majorHAnsi" w:cstheme="majorHAnsi"/>
          <w:b/>
          <w:color w:val="000000" w:themeColor="text1"/>
          <w:sz w:val="24"/>
          <w:szCs w:val="24"/>
        </w:rPr>
      </w:pPr>
    </w:p>
    <w:sectPr w:rsidR="00E91D97" w:rsidRPr="002E10D4" w:rsidSect="00711659">
      <w:pgSz w:w="12242" w:h="15842" w:code="1"/>
      <w:pgMar w:top="1701"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919F1" w14:textId="77777777" w:rsidR="003B5F59" w:rsidRDefault="003B5F59">
      <w:pPr>
        <w:spacing w:line="240" w:lineRule="auto"/>
      </w:pPr>
      <w:r>
        <w:separator/>
      </w:r>
    </w:p>
  </w:endnote>
  <w:endnote w:type="continuationSeparator" w:id="0">
    <w:p w14:paraId="4000843D" w14:textId="77777777" w:rsidR="003B5F59" w:rsidRDefault="003B5F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Work Sans">
    <w:altName w:val="Calibri"/>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51C02" w14:textId="77777777" w:rsidR="003B5F59" w:rsidRDefault="003B5F59">
      <w:pPr>
        <w:spacing w:line="240" w:lineRule="auto"/>
      </w:pPr>
      <w:r>
        <w:separator/>
      </w:r>
    </w:p>
  </w:footnote>
  <w:footnote w:type="continuationSeparator" w:id="0">
    <w:p w14:paraId="67005A7C" w14:textId="77777777" w:rsidR="003B5F59" w:rsidRDefault="003B5F59">
      <w:pPr>
        <w:spacing w:line="240" w:lineRule="auto"/>
      </w:pPr>
      <w:r>
        <w:continuationSeparator/>
      </w:r>
    </w:p>
  </w:footnote>
  <w:footnote w:id="1">
    <w:p w14:paraId="5ED32B99" w14:textId="77777777" w:rsidR="009E47EB" w:rsidRDefault="009E47EB" w:rsidP="009E47EB">
      <w:pPr>
        <w:pBdr>
          <w:top w:val="nil"/>
          <w:left w:val="nil"/>
          <w:bottom w:val="nil"/>
          <w:right w:val="nil"/>
          <w:between w:val="nil"/>
        </w:pBdr>
        <w:spacing w:line="240" w:lineRule="auto"/>
        <w:jc w:val="both"/>
        <w:rPr>
          <w:rFonts w:ascii="Arial Narrow" w:eastAsia="Arial Narrow" w:hAnsi="Arial Narrow" w:cs="Arial Narrow"/>
          <w:color w:val="000000"/>
          <w:sz w:val="20"/>
          <w:szCs w:val="20"/>
        </w:rPr>
      </w:pPr>
      <w:r>
        <w:rPr>
          <w:vertAlign w:val="superscript"/>
        </w:rPr>
        <w:footnoteRef/>
      </w:r>
      <w:r>
        <w:rPr>
          <w:rFonts w:ascii="Arial Narrow" w:eastAsia="Arial Narrow" w:hAnsi="Arial Narrow" w:cs="Arial Narrow"/>
          <w:color w:val="000000"/>
          <w:sz w:val="20"/>
          <w:szCs w:val="20"/>
        </w:rPr>
        <w:t xml:space="preserve"> Fiscalía General de la Nación. (08 de julio de 2021). Respuesta a solicitud de información con radicado interno No. 20216170014045. Bogotá, Colombia.</w:t>
      </w:r>
    </w:p>
  </w:footnote>
  <w:footnote w:id="2">
    <w:p w14:paraId="663C7C99" w14:textId="77777777" w:rsidR="009E47EB" w:rsidRDefault="009E47EB" w:rsidP="009E47EB">
      <w:pPr>
        <w:pBdr>
          <w:top w:val="nil"/>
          <w:left w:val="nil"/>
          <w:bottom w:val="nil"/>
          <w:right w:val="nil"/>
          <w:between w:val="nil"/>
        </w:pBdr>
        <w:spacing w:line="240" w:lineRule="auto"/>
        <w:rPr>
          <w:rFonts w:ascii="Arial Narrow" w:eastAsia="Arial Narrow" w:hAnsi="Arial Narrow" w:cs="Arial Narrow"/>
          <w:color w:val="000000"/>
          <w:sz w:val="16"/>
          <w:szCs w:val="16"/>
        </w:rPr>
      </w:pPr>
      <w:r>
        <w:rPr>
          <w:vertAlign w:val="superscript"/>
        </w:rPr>
        <w:footnoteRef/>
      </w:r>
      <w:r>
        <w:rPr>
          <w:color w:val="000000"/>
          <w:sz w:val="20"/>
          <w:szCs w:val="20"/>
        </w:rPr>
        <w:t xml:space="preserve"> </w:t>
      </w:r>
      <w:r>
        <w:rPr>
          <w:rFonts w:ascii="Arial Narrow" w:eastAsia="Arial Narrow" w:hAnsi="Arial Narrow" w:cs="Arial Narrow"/>
          <w:color w:val="000000"/>
          <w:sz w:val="16"/>
          <w:szCs w:val="16"/>
        </w:rPr>
        <w:t>Departamento Nacional de Planeación, Bases Plan Nacional de Desarrollo, pacto por Colombia, pacto por la equidad, Pág. 45.</w:t>
      </w:r>
    </w:p>
  </w:footnote>
  <w:footnote w:id="3">
    <w:p w14:paraId="3984E8A0" w14:textId="77777777" w:rsidR="009E47EB" w:rsidRDefault="009E47EB" w:rsidP="009E47EB">
      <w:pPr>
        <w:pBdr>
          <w:top w:val="nil"/>
          <w:left w:val="nil"/>
          <w:bottom w:val="nil"/>
          <w:right w:val="nil"/>
          <w:between w:val="nil"/>
        </w:pBdr>
        <w:spacing w:line="240" w:lineRule="auto"/>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Ibídem.</w:t>
      </w:r>
    </w:p>
  </w:footnote>
  <w:footnote w:id="4">
    <w:p w14:paraId="3ADD234F" w14:textId="77777777" w:rsidR="009E47EB" w:rsidRDefault="009E47EB" w:rsidP="009E47EB">
      <w:pPr>
        <w:pBdr>
          <w:top w:val="nil"/>
          <w:left w:val="nil"/>
          <w:bottom w:val="nil"/>
          <w:right w:val="nil"/>
          <w:between w:val="nil"/>
        </w:pBdr>
        <w:spacing w:line="240" w:lineRule="auto"/>
        <w:rPr>
          <w:color w:val="000000"/>
          <w:sz w:val="20"/>
          <w:szCs w:val="20"/>
        </w:rPr>
      </w:pPr>
      <w:r>
        <w:rPr>
          <w:vertAlign w:val="superscript"/>
        </w:rPr>
        <w:footnoteRef/>
      </w:r>
      <w:r>
        <w:rPr>
          <w:rFonts w:ascii="Arial Narrow" w:eastAsia="Arial Narrow" w:hAnsi="Arial Narrow" w:cs="Arial Narrow"/>
          <w:color w:val="000000"/>
          <w:sz w:val="16"/>
          <w:szCs w:val="16"/>
        </w:rPr>
        <w:t xml:space="preserve"> Ídem, Pág. 47.</w:t>
      </w:r>
    </w:p>
  </w:footnote>
  <w:footnote w:id="5">
    <w:p w14:paraId="50A057BA" w14:textId="77777777" w:rsidR="009E47EB" w:rsidRDefault="009E47EB" w:rsidP="009E47EB">
      <w:pPr>
        <w:pBdr>
          <w:top w:val="nil"/>
          <w:left w:val="nil"/>
          <w:bottom w:val="nil"/>
          <w:right w:val="nil"/>
          <w:between w:val="nil"/>
        </w:pBdr>
        <w:spacing w:line="240" w:lineRule="auto"/>
        <w:rPr>
          <w:rFonts w:ascii="Arial Narrow" w:eastAsia="Arial Narrow" w:hAnsi="Arial Narrow" w:cs="Arial Narrow"/>
          <w:color w:val="000000"/>
          <w:sz w:val="16"/>
          <w:szCs w:val="16"/>
        </w:rPr>
      </w:pPr>
      <w:r>
        <w:rPr>
          <w:vertAlign w:val="superscript"/>
        </w:rPr>
        <w:footnoteRef/>
      </w:r>
      <w:r>
        <w:rPr>
          <w:rFonts w:ascii="Arial Narrow" w:eastAsia="Arial Narrow" w:hAnsi="Arial Narrow" w:cs="Arial Narrow"/>
          <w:color w:val="000000"/>
          <w:sz w:val="16"/>
          <w:szCs w:val="16"/>
        </w:rPr>
        <w:t xml:space="preserve"> Fuente El Nuevo Siglo, septiembre 8 de 2017.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C93F3" w14:textId="77777777" w:rsidR="003B5F59" w:rsidRDefault="003B5F59">
    <w:pPr>
      <w:contextualSpacing w:val="0"/>
      <w:jc w:val="center"/>
    </w:pPr>
    <w:r>
      <w:rPr>
        <w:noProof/>
      </w:rPr>
      <w:drawing>
        <wp:inline distT="114300" distB="114300" distL="114300" distR="114300" wp14:anchorId="5E80680C" wp14:editId="7F247AB5">
          <wp:extent cx="1947863" cy="57775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7863" cy="5777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4B3"/>
    <w:multiLevelType w:val="hybridMultilevel"/>
    <w:tmpl w:val="69C4FAD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1EA265C"/>
    <w:multiLevelType w:val="hybridMultilevel"/>
    <w:tmpl w:val="DB0A96E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486FE7"/>
    <w:multiLevelType w:val="hybridMultilevel"/>
    <w:tmpl w:val="9536A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3E071E"/>
    <w:multiLevelType w:val="multilevel"/>
    <w:tmpl w:val="5D888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793A00"/>
    <w:multiLevelType w:val="hybridMultilevel"/>
    <w:tmpl w:val="8BBE5F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7A36D15"/>
    <w:multiLevelType w:val="hybridMultilevel"/>
    <w:tmpl w:val="D41CB2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F400354"/>
    <w:multiLevelType w:val="hybridMultilevel"/>
    <w:tmpl w:val="510CADCC"/>
    <w:lvl w:ilvl="0" w:tplc="00921C56">
      <w:start w:val="6"/>
      <w:numFmt w:val="bullet"/>
      <w:lvlText w:val="-"/>
      <w:lvlJc w:val="left"/>
      <w:pPr>
        <w:ind w:left="720" w:hanging="360"/>
      </w:pPr>
      <w:rPr>
        <w:rFonts w:ascii="Calibri" w:eastAsia="Arial" w:hAnsi="Calibri"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DEB5EB4"/>
    <w:multiLevelType w:val="multilevel"/>
    <w:tmpl w:val="BDD2B5C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01E37FC"/>
    <w:multiLevelType w:val="hybridMultilevel"/>
    <w:tmpl w:val="0AA02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4C23DAE"/>
    <w:multiLevelType w:val="hybridMultilevel"/>
    <w:tmpl w:val="635052F4"/>
    <w:lvl w:ilvl="0" w:tplc="2F4AA9E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6312DA"/>
    <w:multiLevelType w:val="hybridMultilevel"/>
    <w:tmpl w:val="E452A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CA3421"/>
    <w:multiLevelType w:val="multilevel"/>
    <w:tmpl w:val="102CA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3F26805"/>
    <w:multiLevelType w:val="multilevel"/>
    <w:tmpl w:val="B8D2F6AC"/>
    <w:lvl w:ilvl="0">
      <w:start w:val="1"/>
      <w:numFmt w:val="upperRoman"/>
      <w:lvlText w:val="%1."/>
      <w:lvlJc w:val="left"/>
      <w:pPr>
        <w:ind w:left="1080" w:hanging="72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91314D7"/>
    <w:multiLevelType w:val="multilevel"/>
    <w:tmpl w:val="5D888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2401975"/>
    <w:multiLevelType w:val="hybridMultilevel"/>
    <w:tmpl w:val="E2E2BC2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8452AB5"/>
    <w:multiLevelType w:val="multilevel"/>
    <w:tmpl w:val="102CA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AF10E63"/>
    <w:multiLevelType w:val="hybridMultilevel"/>
    <w:tmpl w:val="6298E374"/>
    <w:lvl w:ilvl="0" w:tplc="240A0017">
      <w:start w:val="1"/>
      <w:numFmt w:val="lowerLetter"/>
      <w:lvlText w:val="%1)"/>
      <w:lvlJc w:val="left"/>
      <w:pPr>
        <w:ind w:left="1000" w:hanging="360"/>
      </w:pPr>
    </w:lvl>
    <w:lvl w:ilvl="1" w:tplc="240A0019" w:tentative="1">
      <w:start w:val="1"/>
      <w:numFmt w:val="lowerLetter"/>
      <w:lvlText w:val="%2."/>
      <w:lvlJc w:val="left"/>
      <w:pPr>
        <w:ind w:left="1720" w:hanging="360"/>
      </w:pPr>
    </w:lvl>
    <w:lvl w:ilvl="2" w:tplc="240A001B" w:tentative="1">
      <w:start w:val="1"/>
      <w:numFmt w:val="lowerRoman"/>
      <w:lvlText w:val="%3."/>
      <w:lvlJc w:val="right"/>
      <w:pPr>
        <w:ind w:left="2440" w:hanging="180"/>
      </w:pPr>
    </w:lvl>
    <w:lvl w:ilvl="3" w:tplc="240A000F" w:tentative="1">
      <w:start w:val="1"/>
      <w:numFmt w:val="decimal"/>
      <w:lvlText w:val="%4."/>
      <w:lvlJc w:val="left"/>
      <w:pPr>
        <w:ind w:left="3160" w:hanging="360"/>
      </w:pPr>
    </w:lvl>
    <w:lvl w:ilvl="4" w:tplc="240A0019" w:tentative="1">
      <w:start w:val="1"/>
      <w:numFmt w:val="lowerLetter"/>
      <w:lvlText w:val="%5."/>
      <w:lvlJc w:val="left"/>
      <w:pPr>
        <w:ind w:left="3880" w:hanging="360"/>
      </w:pPr>
    </w:lvl>
    <w:lvl w:ilvl="5" w:tplc="240A001B" w:tentative="1">
      <w:start w:val="1"/>
      <w:numFmt w:val="lowerRoman"/>
      <w:lvlText w:val="%6."/>
      <w:lvlJc w:val="right"/>
      <w:pPr>
        <w:ind w:left="4600" w:hanging="180"/>
      </w:pPr>
    </w:lvl>
    <w:lvl w:ilvl="6" w:tplc="240A000F" w:tentative="1">
      <w:start w:val="1"/>
      <w:numFmt w:val="decimal"/>
      <w:lvlText w:val="%7."/>
      <w:lvlJc w:val="left"/>
      <w:pPr>
        <w:ind w:left="5320" w:hanging="360"/>
      </w:pPr>
    </w:lvl>
    <w:lvl w:ilvl="7" w:tplc="240A0019" w:tentative="1">
      <w:start w:val="1"/>
      <w:numFmt w:val="lowerLetter"/>
      <w:lvlText w:val="%8."/>
      <w:lvlJc w:val="left"/>
      <w:pPr>
        <w:ind w:left="6040" w:hanging="360"/>
      </w:pPr>
    </w:lvl>
    <w:lvl w:ilvl="8" w:tplc="240A001B" w:tentative="1">
      <w:start w:val="1"/>
      <w:numFmt w:val="lowerRoman"/>
      <w:lvlText w:val="%9."/>
      <w:lvlJc w:val="right"/>
      <w:pPr>
        <w:ind w:left="6760" w:hanging="180"/>
      </w:pPr>
    </w:lvl>
  </w:abstractNum>
  <w:abstractNum w:abstractNumId="17" w15:restartNumberingAfterBreak="0">
    <w:nsid w:val="5B4D50E0"/>
    <w:multiLevelType w:val="multilevel"/>
    <w:tmpl w:val="BDF4C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D2467E9"/>
    <w:multiLevelType w:val="multilevel"/>
    <w:tmpl w:val="102CA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B2824A8"/>
    <w:multiLevelType w:val="hybridMultilevel"/>
    <w:tmpl w:val="43D475DE"/>
    <w:lvl w:ilvl="0" w:tplc="49584696">
      <w:start w:val="5"/>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C850B8E"/>
    <w:multiLevelType w:val="multilevel"/>
    <w:tmpl w:val="F8E28A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64749F3"/>
    <w:multiLevelType w:val="multilevel"/>
    <w:tmpl w:val="446E808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D545BFA"/>
    <w:multiLevelType w:val="multilevel"/>
    <w:tmpl w:val="5D888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E834709"/>
    <w:multiLevelType w:val="multilevel"/>
    <w:tmpl w:val="EF4CFC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7"/>
  </w:num>
  <w:num w:numId="2">
    <w:abstractNumId w:val="2"/>
  </w:num>
  <w:num w:numId="3">
    <w:abstractNumId w:val="8"/>
  </w:num>
  <w:num w:numId="4">
    <w:abstractNumId w:val="0"/>
  </w:num>
  <w:num w:numId="5">
    <w:abstractNumId w:val="9"/>
  </w:num>
  <w:num w:numId="6">
    <w:abstractNumId w:val="23"/>
  </w:num>
  <w:num w:numId="7">
    <w:abstractNumId w:val="10"/>
  </w:num>
  <w:num w:numId="8">
    <w:abstractNumId w:val="13"/>
  </w:num>
  <w:num w:numId="9">
    <w:abstractNumId w:val="22"/>
  </w:num>
  <w:num w:numId="10">
    <w:abstractNumId w:val="11"/>
  </w:num>
  <w:num w:numId="11">
    <w:abstractNumId w:val="16"/>
  </w:num>
  <w:num w:numId="12">
    <w:abstractNumId w:val="3"/>
  </w:num>
  <w:num w:numId="13">
    <w:abstractNumId w:val="15"/>
  </w:num>
  <w:num w:numId="14">
    <w:abstractNumId w:val="18"/>
  </w:num>
  <w:num w:numId="15">
    <w:abstractNumId w:val="6"/>
  </w:num>
  <w:num w:numId="16">
    <w:abstractNumId w:val="14"/>
  </w:num>
  <w:num w:numId="17">
    <w:abstractNumId w:val="5"/>
  </w:num>
  <w:num w:numId="18">
    <w:abstractNumId w:val="7"/>
  </w:num>
  <w:num w:numId="19">
    <w:abstractNumId w:val="20"/>
  </w:num>
  <w:num w:numId="20">
    <w:abstractNumId w:val="21"/>
  </w:num>
  <w:num w:numId="21">
    <w:abstractNumId w:val="1"/>
  </w:num>
  <w:num w:numId="22">
    <w:abstractNumId w:val="12"/>
  </w:num>
  <w:num w:numId="23">
    <w:abstractNumId w:val="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19"/>
    <w:rsid w:val="00000DE4"/>
    <w:rsid w:val="00056449"/>
    <w:rsid w:val="00075E7A"/>
    <w:rsid w:val="00090274"/>
    <w:rsid w:val="00093792"/>
    <w:rsid w:val="000A4C58"/>
    <w:rsid w:val="000D1BE8"/>
    <w:rsid w:val="000D4BA0"/>
    <w:rsid w:val="000F20C9"/>
    <w:rsid w:val="00112A49"/>
    <w:rsid w:val="0011409C"/>
    <w:rsid w:val="0011651B"/>
    <w:rsid w:val="00141426"/>
    <w:rsid w:val="00146094"/>
    <w:rsid w:val="00150263"/>
    <w:rsid w:val="00160819"/>
    <w:rsid w:val="0017108D"/>
    <w:rsid w:val="00182D9F"/>
    <w:rsid w:val="0018672B"/>
    <w:rsid w:val="00190A1D"/>
    <w:rsid w:val="001C6641"/>
    <w:rsid w:val="001D2130"/>
    <w:rsid w:val="001F202C"/>
    <w:rsid w:val="001F2144"/>
    <w:rsid w:val="00200469"/>
    <w:rsid w:val="0021592A"/>
    <w:rsid w:val="002265FE"/>
    <w:rsid w:val="00227968"/>
    <w:rsid w:val="00240172"/>
    <w:rsid w:val="00251138"/>
    <w:rsid w:val="00255353"/>
    <w:rsid w:val="00262413"/>
    <w:rsid w:val="00295F9D"/>
    <w:rsid w:val="002A732B"/>
    <w:rsid w:val="002B0601"/>
    <w:rsid w:val="002C0C19"/>
    <w:rsid w:val="002C2442"/>
    <w:rsid w:val="002C59B2"/>
    <w:rsid w:val="002E0A8E"/>
    <w:rsid w:val="002E10D4"/>
    <w:rsid w:val="002F0EE1"/>
    <w:rsid w:val="00303BB0"/>
    <w:rsid w:val="0030579C"/>
    <w:rsid w:val="0031073B"/>
    <w:rsid w:val="0032471E"/>
    <w:rsid w:val="003355CB"/>
    <w:rsid w:val="00343530"/>
    <w:rsid w:val="00344779"/>
    <w:rsid w:val="003457C9"/>
    <w:rsid w:val="003540FA"/>
    <w:rsid w:val="003663B9"/>
    <w:rsid w:val="00370DB4"/>
    <w:rsid w:val="00390E20"/>
    <w:rsid w:val="00392593"/>
    <w:rsid w:val="003A45AD"/>
    <w:rsid w:val="003B1330"/>
    <w:rsid w:val="003B13D1"/>
    <w:rsid w:val="003B5883"/>
    <w:rsid w:val="003B5F59"/>
    <w:rsid w:val="003C04B4"/>
    <w:rsid w:val="003E1DCD"/>
    <w:rsid w:val="003E63A9"/>
    <w:rsid w:val="003F0D50"/>
    <w:rsid w:val="003F2620"/>
    <w:rsid w:val="004018EB"/>
    <w:rsid w:val="00403FBB"/>
    <w:rsid w:val="00407BD3"/>
    <w:rsid w:val="00414C9A"/>
    <w:rsid w:val="0041714F"/>
    <w:rsid w:val="00425726"/>
    <w:rsid w:val="00427AED"/>
    <w:rsid w:val="0044250E"/>
    <w:rsid w:val="00456C63"/>
    <w:rsid w:val="00476ABE"/>
    <w:rsid w:val="00481648"/>
    <w:rsid w:val="00492E97"/>
    <w:rsid w:val="004A05D5"/>
    <w:rsid w:val="004A3398"/>
    <w:rsid w:val="004B0CEA"/>
    <w:rsid w:val="004C04A5"/>
    <w:rsid w:val="004C0649"/>
    <w:rsid w:val="004E0884"/>
    <w:rsid w:val="004F0055"/>
    <w:rsid w:val="004F63BE"/>
    <w:rsid w:val="00514ED6"/>
    <w:rsid w:val="0052145D"/>
    <w:rsid w:val="00547357"/>
    <w:rsid w:val="00556E86"/>
    <w:rsid w:val="00575FF5"/>
    <w:rsid w:val="00584E09"/>
    <w:rsid w:val="00591DC6"/>
    <w:rsid w:val="00595C11"/>
    <w:rsid w:val="005B1FBB"/>
    <w:rsid w:val="005B29AD"/>
    <w:rsid w:val="005C7107"/>
    <w:rsid w:val="005E7367"/>
    <w:rsid w:val="00602218"/>
    <w:rsid w:val="00603559"/>
    <w:rsid w:val="00622FFE"/>
    <w:rsid w:val="0062785D"/>
    <w:rsid w:val="00640D69"/>
    <w:rsid w:val="0065352E"/>
    <w:rsid w:val="006537E0"/>
    <w:rsid w:val="0065582C"/>
    <w:rsid w:val="006564A1"/>
    <w:rsid w:val="00663CB1"/>
    <w:rsid w:val="0067444A"/>
    <w:rsid w:val="006829EC"/>
    <w:rsid w:val="00693F48"/>
    <w:rsid w:val="006B6025"/>
    <w:rsid w:val="006B603E"/>
    <w:rsid w:val="006D7873"/>
    <w:rsid w:val="006E6254"/>
    <w:rsid w:val="006F0D77"/>
    <w:rsid w:val="006F2235"/>
    <w:rsid w:val="006F409D"/>
    <w:rsid w:val="006F6967"/>
    <w:rsid w:val="00711659"/>
    <w:rsid w:val="007427B7"/>
    <w:rsid w:val="007441AF"/>
    <w:rsid w:val="00750368"/>
    <w:rsid w:val="00751549"/>
    <w:rsid w:val="007566D1"/>
    <w:rsid w:val="00756CC8"/>
    <w:rsid w:val="00761E17"/>
    <w:rsid w:val="0076338C"/>
    <w:rsid w:val="007744B7"/>
    <w:rsid w:val="00787A95"/>
    <w:rsid w:val="0079558C"/>
    <w:rsid w:val="00797AE0"/>
    <w:rsid w:val="007A230B"/>
    <w:rsid w:val="007B0447"/>
    <w:rsid w:val="007B34D2"/>
    <w:rsid w:val="007B7DEB"/>
    <w:rsid w:val="007D0380"/>
    <w:rsid w:val="007D12D9"/>
    <w:rsid w:val="007D2CB6"/>
    <w:rsid w:val="00813A8B"/>
    <w:rsid w:val="00820900"/>
    <w:rsid w:val="0082516D"/>
    <w:rsid w:val="008332A0"/>
    <w:rsid w:val="0085728A"/>
    <w:rsid w:val="00871087"/>
    <w:rsid w:val="008716B8"/>
    <w:rsid w:val="00872D5F"/>
    <w:rsid w:val="00873A88"/>
    <w:rsid w:val="008869C3"/>
    <w:rsid w:val="00894A1B"/>
    <w:rsid w:val="008A672E"/>
    <w:rsid w:val="008C3401"/>
    <w:rsid w:val="008C42B7"/>
    <w:rsid w:val="008C5722"/>
    <w:rsid w:val="00913C54"/>
    <w:rsid w:val="009146B7"/>
    <w:rsid w:val="00927900"/>
    <w:rsid w:val="009333A9"/>
    <w:rsid w:val="00934B72"/>
    <w:rsid w:val="00935E35"/>
    <w:rsid w:val="00937936"/>
    <w:rsid w:val="00944A88"/>
    <w:rsid w:val="0095234A"/>
    <w:rsid w:val="00954AA3"/>
    <w:rsid w:val="00955A28"/>
    <w:rsid w:val="0096447B"/>
    <w:rsid w:val="0096465D"/>
    <w:rsid w:val="00967EF2"/>
    <w:rsid w:val="00975DBF"/>
    <w:rsid w:val="0099277F"/>
    <w:rsid w:val="00994592"/>
    <w:rsid w:val="009A6E46"/>
    <w:rsid w:val="009B6D5A"/>
    <w:rsid w:val="009C2743"/>
    <w:rsid w:val="009C31BE"/>
    <w:rsid w:val="009C3A52"/>
    <w:rsid w:val="009D6115"/>
    <w:rsid w:val="009D61DB"/>
    <w:rsid w:val="009D73D5"/>
    <w:rsid w:val="009E47EB"/>
    <w:rsid w:val="009E7FDB"/>
    <w:rsid w:val="009F002B"/>
    <w:rsid w:val="00A05F92"/>
    <w:rsid w:val="00A22815"/>
    <w:rsid w:val="00A31F7F"/>
    <w:rsid w:val="00A3753A"/>
    <w:rsid w:val="00A455AA"/>
    <w:rsid w:val="00A46927"/>
    <w:rsid w:val="00A67F8C"/>
    <w:rsid w:val="00A76EB3"/>
    <w:rsid w:val="00A8254A"/>
    <w:rsid w:val="00A86E08"/>
    <w:rsid w:val="00A96114"/>
    <w:rsid w:val="00A96340"/>
    <w:rsid w:val="00AA3F8F"/>
    <w:rsid w:val="00AA617D"/>
    <w:rsid w:val="00AC03B1"/>
    <w:rsid w:val="00AC0CEA"/>
    <w:rsid w:val="00AE3C94"/>
    <w:rsid w:val="00AE47B8"/>
    <w:rsid w:val="00AF6F12"/>
    <w:rsid w:val="00B03F11"/>
    <w:rsid w:val="00B10E42"/>
    <w:rsid w:val="00B151F9"/>
    <w:rsid w:val="00B2604A"/>
    <w:rsid w:val="00B4080B"/>
    <w:rsid w:val="00B47B3E"/>
    <w:rsid w:val="00B50F88"/>
    <w:rsid w:val="00B512BF"/>
    <w:rsid w:val="00B62298"/>
    <w:rsid w:val="00B72810"/>
    <w:rsid w:val="00B75D6F"/>
    <w:rsid w:val="00B90CB0"/>
    <w:rsid w:val="00BA5581"/>
    <w:rsid w:val="00BA6CBA"/>
    <w:rsid w:val="00BB3F06"/>
    <w:rsid w:val="00BB7156"/>
    <w:rsid w:val="00BC194B"/>
    <w:rsid w:val="00BC5C79"/>
    <w:rsid w:val="00BC744A"/>
    <w:rsid w:val="00BD4D91"/>
    <w:rsid w:val="00BE07E1"/>
    <w:rsid w:val="00BF1B82"/>
    <w:rsid w:val="00C050DD"/>
    <w:rsid w:val="00C13168"/>
    <w:rsid w:val="00C15EDA"/>
    <w:rsid w:val="00C17B3E"/>
    <w:rsid w:val="00C20AC4"/>
    <w:rsid w:val="00C26739"/>
    <w:rsid w:val="00C32F5A"/>
    <w:rsid w:val="00C40116"/>
    <w:rsid w:val="00C4147D"/>
    <w:rsid w:val="00C83DA8"/>
    <w:rsid w:val="00CA4EC9"/>
    <w:rsid w:val="00CA5537"/>
    <w:rsid w:val="00CD1853"/>
    <w:rsid w:val="00CD2DA1"/>
    <w:rsid w:val="00CE0926"/>
    <w:rsid w:val="00CF3BDA"/>
    <w:rsid w:val="00D027BD"/>
    <w:rsid w:val="00D02F55"/>
    <w:rsid w:val="00D0726F"/>
    <w:rsid w:val="00D24921"/>
    <w:rsid w:val="00D24FB6"/>
    <w:rsid w:val="00D276A9"/>
    <w:rsid w:val="00D30083"/>
    <w:rsid w:val="00D53189"/>
    <w:rsid w:val="00D55052"/>
    <w:rsid w:val="00D66300"/>
    <w:rsid w:val="00D86DAA"/>
    <w:rsid w:val="00DC2B20"/>
    <w:rsid w:val="00DC3CFA"/>
    <w:rsid w:val="00DC7461"/>
    <w:rsid w:val="00DE1376"/>
    <w:rsid w:val="00DE234E"/>
    <w:rsid w:val="00E05E5A"/>
    <w:rsid w:val="00E11F55"/>
    <w:rsid w:val="00E413F7"/>
    <w:rsid w:val="00E4498A"/>
    <w:rsid w:val="00E45268"/>
    <w:rsid w:val="00E528D2"/>
    <w:rsid w:val="00E532B1"/>
    <w:rsid w:val="00E617AF"/>
    <w:rsid w:val="00E618CC"/>
    <w:rsid w:val="00E70198"/>
    <w:rsid w:val="00E8135B"/>
    <w:rsid w:val="00E91D97"/>
    <w:rsid w:val="00EA6747"/>
    <w:rsid w:val="00EB722B"/>
    <w:rsid w:val="00EE0353"/>
    <w:rsid w:val="00EE21D3"/>
    <w:rsid w:val="00EE5536"/>
    <w:rsid w:val="00EE5D72"/>
    <w:rsid w:val="00EF0818"/>
    <w:rsid w:val="00EF4925"/>
    <w:rsid w:val="00F0360A"/>
    <w:rsid w:val="00F04055"/>
    <w:rsid w:val="00F11715"/>
    <w:rsid w:val="00F11E8F"/>
    <w:rsid w:val="00F263BD"/>
    <w:rsid w:val="00F33B93"/>
    <w:rsid w:val="00F51E69"/>
    <w:rsid w:val="00F61480"/>
    <w:rsid w:val="00F63D2B"/>
    <w:rsid w:val="00F90A3E"/>
    <w:rsid w:val="00FA0DE7"/>
    <w:rsid w:val="00FA2E5D"/>
    <w:rsid w:val="00FB3466"/>
    <w:rsid w:val="00FB50DD"/>
    <w:rsid w:val="00FC2FE6"/>
    <w:rsid w:val="00FC6262"/>
    <w:rsid w:val="00FD5884"/>
    <w:rsid w:val="00FD7D96"/>
    <w:rsid w:val="00FF2F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63CC"/>
  <w15:docId w15:val="{C8D6CBD2-00F4-4E66-97A6-223AD33B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787A9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A95"/>
    <w:rPr>
      <w:rFonts w:ascii="Segoe UI" w:hAnsi="Segoe UI" w:cs="Segoe UI"/>
      <w:sz w:val="18"/>
      <w:szCs w:val="18"/>
    </w:rPr>
  </w:style>
  <w:style w:type="character" w:styleId="Hipervnculo">
    <w:name w:val="Hyperlink"/>
    <w:basedOn w:val="Fuentedeprrafopredeter"/>
    <w:uiPriority w:val="99"/>
    <w:unhideWhenUsed/>
    <w:rsid w:val="00182D9F"/>
    <w:rPr>
      <w:strike w:val="0"/>
      <w:dstrike w:val="0"/>
      <w:color w:val="111111"/>
      <w:u w:val="none"/>
      <w:effect w:val="none"/>
      <w:shd w:val="clear" w:color="auto" w:fill="auto"/>
    </w:rPr>
  </w:style>
  <w:style w:type="paragraph" w:styleId="Sinespaciado">
    <w:name w:val="No Spacing"/>
    <w:uiPriority w:val="1"/>
    <w:qFormat/>
    <w:rsid w:val="00182D9F"/>
    <w:pPr>
      <w:spacing w:line="240" w:lineRule="auto"/>
      <w:contextualSpacing w:val="0"/>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DE234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E234E"/>
  </w:style>
  <w:style w:type="paragraph" w:styleId="Piedepgina">
    <w:name w:val="footer"/>
    <w:basedOn w:val="Normal"/>
    <w:link w:val="PiedepginaCar"/>
    <w:uiPriority w:val="99"/>
    <w:unhideWhenUsed/>
    <w:rsid w:val="00DE234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E234E"/>
  </w:style>
  <w:style w:type="table" w:styleId="Tablaconcuadrcula">
    <w:name w:val="Table Grid"/>
    <w:basedOn w:val="Tablanormal"/>
    <w:uiPriority w:val="39"/>
    <w:rsid w:val="007515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F9D"/>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user-highlighted-active">
    <w:name w:val="user-highlighted-active"/>
    <w:basedOn w:val="Fuentedeprrafopredeter"/>
    <w:rsid w:val="00295F9D"/>
  </w:style>
  <w:style w:type="character" w:styleId="Textoennegrita">
    <w:name w:val="Strong"/>
    <w:basedOn w:val="Fuentedeprrafopredeter"/>
    <w:uiPriority w:val="22"/>
    <w:qFormat/>
    <w:rsid w:val="00295F9D"/>
    <w:rPr>
      <w:b/>
      <w:bCs/>
    </w:rPr>
  </w:style>
  <w:style w:type="character" w:styleId="nfasis">
    <w:name w:val="Emphasis"/>
    <w:basedOn w:val="Fuentedeprrafopredeter"/>
    <w:uiPriority w:val="20"/>
    <w:qFormat/>
    <w:rsid w:val="00295F9D"/>
    <w:rPr>
      <w:i/>
      <w:iCs/>
    </w:rPr>
  </w:style>
  <w:style w:type="paragraph" w:styleId="Prrafodelista">
    <w:name w:val="List Paragraph"/>
    <w:aliases w:val="Ha,Resume Title"/>
    <w:basedOn w:val="Normal"/>
    <w:link w:val="PrrafodelistaCar"/>
    <w:uiPriority w:val="34"/>
    <w:qFormat/>
    <w:rsid w:val="00295F9D"/>
    <w:pPr>
      <w:ind w:left="720"/>
    </w:pPr>
  </w:style>
  <w:style w:type="paragraph" w:styleId="Textonotaalfinal">
    <w:name w:val="endnote text"/>
    <w:basedOn w:val="Normal"/>
    <w:link w:val="TextonotaalfinalCar"/>
    <w:uiPriority w:val="99"/>
    <w:semiHidden/>
    <w:unhideWhenUsed/>
    <w:rsid w:val="00514ED6"/>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514ED6"/>
    <w:rPr>
      <w:sz w:val="20"/>
      <w:szCs w:val="20"/>
    </w:rPr>
  </w:style>
  <w:style w:type="character" w:styleId="Refdenotaalfinal">
    <w:name w:val="endnote reference"/>
    <w:basedOn w:val="Fuentedeprrafopredeter"/>
    <w:uiPriority w:val="99"/>
    <w:semiHidden/>
    <w:unhideWhenUsed/>
    <w:rsid w:val="00514ED6"/>
    <w:rPr>
      <w:vertAlign w:val="superscript"/>
    </w:rPr>
  </w:style>
  <w:style w:type="paragraph" w:styleId="Textonotapie">
    <w:name w:val="footnote text"/>
    <w:basedOn w:val="Normal"/>
    <w:link w:val="TextonotapieCar"/>
    <w:uiPriority w:val="99"/>
    <w:semiHidden/>
    <w:unhideWhenUsed/>
    <w:rsid w:val="00514ED6"/>
    <w:pPr>
      <w:spacing w:line="240" w:lineRule="auto"/>
    </w:pPr>
    <w:rPr>
      <w:sz w:val="20"/>
      <w:szCs w:val="20"/>
    </w:rPr>
  </w:style>
  <w:style w:type="character" w:customStyle="1" w:styleId="TextonotapieCar">
    <w:name w:val="Texto nota pie Car"/>
    <w:basedOn w:val="Fuentedeprrafopredeter"/>
    <w:link w:val="Textonotapie"/>
    <w:uiPriority w:val="99"/>
    <w:semiHidden/>
    <w:rsid w:val="00514ED6"/>
    <w:rPr>
      <w:sz w:val="20"/>
      <w:szCs w:val="20"/>
    </w:rPr>
  </w:style>
  <w:style w:type="character" w:styleId="Refdenotaalpie">
    <w:name w:val="footnote reference"/>
    <w:basedOn w:val="Fuentedeprrafopredeter"/>
    <w:uiPriority w:val="99"/>
    <w:semiHidden/>
    <w:unhideWhenUsed/>
    <w:rsid w:val="00514ED6"/>
    <w:rPr>
      <w:vertAlign w:val="superscript"/>
    </w:rPr>
  </w:style>
  <w:style w:type="paragraph" w:customStyle="1" w:styleId="TableParagraph">
    <w:name w:val="Table Paragraph"/>
    <w:basedOn w:val="Normal"/>
    <w:uiPriority w:val="1"/>
    <w:qFormat/>
    <w:rsid w:val="000F20C9"/>
    <w:pPr>
      <w:widowControl w:val="0"/>
      <w:autoSpaceDE w:val="0"/>
      <w:autoSpaceDN w:val="0"/>
      <w:spacing w:before="2" w:line="228" w:lineRule="exact"/>
      <w:ind w:left="149" w:right="59"/>
      <w:contextualSpacing w:val="0"/>
      <w:jc w:val="center"/>
    </w:pPr>
    <w:rPr>
      <w:rFonts w:ascii="Times New Roman" w:eastAsia="Times New Roman" w:hAnsi="Times New Roman" w:cs="Times New Roman"/>
      <w:lang w:val="es-ES" w:eastAsia="en-US"/>
    </w:rPr>
  </w:style>
  <w:style w:type="paragraph" w:customStyle="1" w:styleId="Default">
    <w:name w:val="Default"/>
    <w:rsid w:val="00146094"/>
    <w:pPr>
      <w:autoSpaceDE w:val="0"/>
      <w:autoSpaceDN w:val="0"/>
      <w:adjustRightInd w:val="0"/>
      <w:spacing w:line="240" w:lineRule="auto"/>
      <w:contextualSpacing w:val="0"/>
    </w:pPr>
    <w:rPr>
      <w:rFonts w:ascii="Work Sans" w:hAnsi="Work Sans" w:cs="Work Sans"/>
      <w:color w:val="000000"/>
      <w:sz w:val="24"/>
      <w:szCs w:val="24"/>
    </w:rPr>
  </w:style>
  <w:style w:type="character" w:customStyle="1" w:styleId="PrrafodelistaCar">
    <w:name w:val="Párrafo de lista Car"/>
    <w:aliases w:val="Ha Car,Resume Title Car"/>
    <w:link w:val="Prrafodelista"/>
    <w:uiPriority w:val="34"/>
    <w:locked/>
    <w:rsid w:val="005B2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72108">
      <w:bodyDiv w:val="1"/>
      <w:marLeft w:val="0"/>
      <w:marRight w:val="0"/>
      <w:marTop w:val="0"/>
      <w:marBottom w:val="0"/>
      <w:divBdr>
        <w:top w:val="none" w:sz="0" w:space="0" w:color="auto"/>
        <w:left w:val="none" w:sz="0" w:space="0" w:color="auto"/>
        <w:bottom w:val="none" w:sz="0" w:space="0" w:color="auto"/>
        <w:right w:val="none" w:sz="0" w:space="0" w:color="auto"/>
      </w:divBdr>
      <w:divsChild>
        <w:div w:id="1119838749">
          <w:marLeft w:val="0"/>
          <w:marRight w:val="0"/>
          <w:marTop w:val="0"/>
          <w:marBottom w:val="0"/>
          <w:divBdr>
            <w:top w:val="none" w:sz="0" w:space="0" w:color="auto"/>
            <w:left w:val="none" w:sz="0" w:space="0" w:color="auto"/>
            <w:bottom w:val="none" w:sz="0" w:space="0" w:color="auto"/>
            <w:right w:val="none" w:sz="0" w:space="0" w:color="auto"/>
          </w:divBdr>
          <w:divsChild>
            <w:div w:id="1227954638">
              <w:marLeft w:val="0"/>
              <w:marRight w:val="0"/>
              <w:marTop w:val="0"/>
              <w:marBottom w:val="0"/>
              <w:divBdr>
                <w:top w:val="none" w:sz="0" w:space="0" w:color="auto"/>
                <w:left w:val="none" w:sz="0" w:space="0" w:color="auto"/>
                <w:bottom w:val="none" w:sz="0" w:space="0" w:color="auto"/>
                <w:right w:val="none" w:sz="0" w:space="0" w:color="auto"/>
              </w:divBdr>
              <w:divsChild>
                <w:div w:id="892427586">
                  <w:marLeft w:val="0"/>
                  <w:marRight w:val="0"/>
                  <w:marTop w:val="0"/>
                  <w:marBottom w:val="0"/>
                  <w:divBdr>
                    <w:top w:val="none" w:sz="0" w:space="0" w:color="auto"/>
                    <w:left w:val="none" w:sz="0" w:space="0" w:color="auto"/>
                    <w:bottom w:val="none" w:sz="0" w:space="0" w:color="auto"/>
                    <w:right w:val="none" w:sz="0" w:space="0" w:color="auto"/>
                  </w:divBdr>
                </w:div>
              </w:divsChild>
            </w:div>
            <w:div w:id="292909435">
              <w:marLeft w:val="0"/>
              <w:marRight w:val="0"/>
              <w:marTop w:val="0"/>
              <w:marBottom w:val="0"/>
              <w:divBdr>
                <w:top w:val="none" w:sz="0" w:space="0" w:color="auto"/>
                <w:left w:val="none" w:sz="0" w:space="0" w:color="auto"/>
                <w:bottom w:val="none" w:sz="0" w:space="0" w:color="auto"/>
                <w:right w:val="none" w:sz="0" w:space="0" w:color="auto"/>
              </w:divBdr>
              <w:divsChild>
                <w:div w:id="81607241">
                  <w:marLeft w:val="0"/>
                  <w:marRight w:val="0"/>
                  <w:marTop w:val="0"/>
                  <w:marBottom w:val="0"/>
                  <w:divBdr>
                    <w:top w:val="none" w:sz="0" w:space="0" w:color="auto"/>
                    <w:left w:val="none" w:sz="0" w:space="0" w:color="auto"/>
                    <w:bottom w:val="none" w:sz="0" w:space="0" w:color="auto"/>
                    <w:right w:val="none" w:sz="0" w:space="0" w:color="auto"/>
                  </w:divBdr>
                </w:div>
              </w:divsChild>
            </w:div>
            <w:div w:id="406074100">
              <w:marLeft w:val="0"/>
              <w:marRight w:val="0"/>
              <w:marTop w:val="0"/>
              <w:marBottom w:val="0"/>
              <w:divBdr>
                <w:top w:val="none" w:sz="0" w:space="0" w:color="auto"/>
                <w:left w:val="none" w:sz="0" w:space="0" w:color="auto"/>
                <w:bottom w:val="none" w:sz="0" w:space="0" w:color="auto"/>
                <w:right w:val="none" w:sz="0" w:space="0" w:color="auto"/>
              </w:divBdr>
              <w:divsChild>
                <w:div w:id="26151877">
                  <w:marLeft w:val="0"/>
                  <w:marRight w:val="0"/>
                  <w:marTop w:val="0"/>
                  <w:marBottom w:val="0"/>
                  <w:divBdr>
                    <w:top w:val="none" w:sz="0" w:space="0" w:color="auto"/>
                    <w:left w:val="none" w:sz="0" w:space="0" w:color="auto"/>
                    <w:bottom w:val="none" w:sz="0" w:space="0" w:color="auto"/>
                    <w:right w:val="none" w:sz="0" w:space="0" w:color="auto"/>
                  </w:divBdr>
                </w:div>
              </w:divsChild>
            </w:div>
            <w:div w:id="1013730050">
              <w:marLeft w:val="0"/>
              <w:marRight w:val="0"/>
              <w:marTop w:val="0"/>
              <w:marBottom w:val="0"/>
              <w:divBdr>
                <w:top w:val="none" w:sz="0" w:space="0" w:color="auto"/>
                <w:left w:val="none" w:sz="0" w:space="0" w:color="auto"/>
                <w:bottom w:val="none" w:sz="0" w:space="0" w:color="auto"/>
                <w:right w:val="none" w:sz="0" w:space="0" w:color="auto"/>
              </w:divBdr>
              <w:divsChild>
                <w:div w:id="11330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48649">
      <w:bodyDiv w:val="1"/>
      <w:marLeft w:val="0"/>
      <w:marRight w:val="0"/>
      <w:marTop w:val="0"/>
      <w:marBottom w:val="0"/>
      <w:divBdr>
        <w:top w:val="none" w:sz="0" w:space="0" w:color="auto"/>
        <w:left w:val="none" w:sz="0" w:space="0" w:color="auto"/>
        <w:bottom w:val="none" w:sz="0" w:space="0" w:color="auto"/>
        <w:right w:val="none" w:sz="0" w:space="0" w:color="auto"/>
      </w:divBdr>
    </w:div>
    <w:div w:id="935554989">
      <w:bodyDiv w:val="1"/>
      <w:marLeft w:val="0"/>
      <w:marRight w:val="0"/>
      <w:marTop w:val="0"/>
      <w:marBottom w:val="0"/>
      <w:divBdr>
        <w:top w:val="none" w:sz="0" w:space="0" w:color="auto"/>
        <w:left w:val="none" w:sz="0" w:space="0" w:color="auto"/>
        <w:bottom w:val="none" w:sz="0" w:space="0" w:color="auto"/>
        <w:right w:val="none" w:sz="0" w:space="0" w:color="auto"/>
      </w:divBdr>
      <w:divsChild>
        <w:div w:id="259534783">
          <w:marLeft w:val="0"/>
          <w:marRight w:val="0"/>
          <w:marTop w:val="0"/>
          <w:marBottom w:val="0"/>
          <w:divBdr>
            <w:top w:val="none" w:sz="0" w:space="0" w:color="auto"/>
            <w:left w:val="none" w:sz="0" w:space="0" w:color="auto"/>
            <w:bottom w:val="none" w:sz="0" w:space="0" w:color="auto"/>
            <w:right w:val="none" w:sz="0" w:space="0" w:color="auto"/>
          </w:divBdr>
          <w:divsChild>
            <w:div w:id="1878153032">
              <w:marLeft w:val="0"/>
              <w:marRight w:val="0"/>
              <w:marTop w:val="0"/>
              <w:marBottom w:val="0"/>
              <w:divBdr>
                <w:top w:val="none" w:sz="0" w:space="0" w:color="auto"/>
                <w:left w:val="none" w:sz="0" w:space="0" w:color="auto"/>
                <w:bottom w:val="none" w:sz="0" w:space="0" w:color="auto"/>
                <w:right w:val="none" w:sz="0" w:space="0" w:color="auto"/>
              </w:divBdr>
              <w:divsChild>
                <w:div w:id="861893369">
                  <w:marLeft w:val="0"/>
                  <w:marRight w:val="0"/>
                  <w:marTop w:val="0"/>
                  <w:marBottom w:val="0"/>
                  <w:divBdr>
                    <w:top w:val="none" w:sz="0" w:space="0" w:color="auto"/>
                    <w:left w:val="none" w:sz="0" w:space="0" w:color="auto"/>
                    <w:bottom w:val="none" w:sz="0" w:space="0" w:color="auto"/>
                    <w:right w:val="none" w:sz="0" w:space="0" w:color="auto"/>
                  </w:divBdr>
                  <w:divsChild>
                    <w:div w:id="1941448761">
                      <w:marLeft w:val="0"/>
                      <w:marRight w:val="0"/>
                      <w:marTop w:val="0"/>
                      <w:marBottom w:val="0"/>
                      <w:divBdr>
                        <w:top w:val="none" w:sz="0" w:space="0" w:color="auto"/>
                        <w:left w:val="none" w:sz="0" w:space="0" w:color="auto"/>
                        <w:bottom w:val="none" w:sz="0" w:space="0" w:color="auto"/>
                        <w:right w:val="none" w:sz="0" w:space="0" w:color="auto"/>
                      </w:divBdr>
                      <w:divsChild>
                        <w:div w:id="1604069115">
                          <w:marLeft w:val="0"/>
                          <w:marRight w:val="0"/>
                          <w:marTop w:val="0"/>
                          <w:marBottom w:val="0"/>
                          <w:divBdr>
                            <w:top w:val="none" w:sz="0" w:space="0" w:color="auto"/>
                            <w:left w:val="none" w:sz="0" w:space="0" w:color="auto"/>
                            <w:bottom w:val="none" w:sz="0" w:space="0" w:color="auto"/>
                            <w:right w:val="none" w:sz="0" w:space="0" w:color="auto"/>
                          </w:divBdr>
                          <w:divsChild>
                            <w:div w:id="1051349290">
                              <w:marLeft w:val="0"/>
                              <w:marRight w:val="0"/>
                              <w:marTop w:val="0"/>
                              <w:marBottom w:val="0"/>
                              <w:divBdr>
                                <w:top w:val="none" w:sz="0" w:space="0" w:color="auto"/>
                                <w:left w:val="none" w:sz="0" w:space="0" w:color="auto"/>
                                <w:bottom w:val="none" w:sz="0" w:space="0" w:color="auto"/>
                                <w:right w:val="none" w:sz="0" w:space="0" w:color="auto"/>
                              </w:divBdr>
                              <w:divsChild>
                                <w:div w:id="1112670680">
                                  <w:marLeft w:val="0"/>
                                  <w:marRight w:val="0"/>
                                  <w:marTop w:val="0"/>
                                  <w:marBottom w:val="0"/>
                                  <w:divBdr>
                                    <w:top w:val="none" w:sz="0" w:space="0" w:color="auto"/>
                                    <w:left w:val="none" w:sz="0" w:space="0" w:color="auto"/>
                                    <w:bottom w:val="none" w:sz="0" w:space="0" w:color="auto"/>
                                    <w:right w:val="none" w:sz="0" w:space="0" w:color="auto"/>
                                  </w:divBdr>
                                  <w:divsChild>
                                    <w:div w:id="244729849">
                                      <w:marLeft w:val="0"/>
                                      <w:marRight w:val="0"/>
                                      <w:marTop w:val="0"/>
                                      <w:marBottom w:val="0"/>
                                      <w:divBdr>
                                        <w:top w:val="none" w:sz="0" w:space="0" w:color="auto"/>
                                        <w:left w:val="none" w:sz="0" w:space="0" w:color="auto"/>
                                        <w:bottom w:val="none" w:sz="0" w:space="0" w:color="auto"/>
                                        <w:right w:val="none" w:sz="0" w:space="0" w:color="auto"/>
                                      </w:divBdr>
                                      <w:divsChild>
                                        <w:div w:id="733814606">
                                          <w:marLeft w:val="0"/>
                                          <w:marRight w:val="0"/>
                                          <w:marTop w:val="0"/>
                                          <w:marBottom w:val="0"/>
                                          <w:divBdr>
                                            <w:top w:val="none" w:sz="0" w:space="0" w:color="auto"/>
                                            <w:left w:val="none" w:sz="0" w:space="0" w:color="auto"/>
                                            <w:bottom w:val="none" w:sz="0" w:space="0" w:color="auto"/>
                                            <w:right w:val="none" w:sz="0" w:space="0" w:color="auto"/>
                                          </w:divBdr>
                                          <w:divsChild>
                                            <w:div w:id="1036391767">
                                              <w:marLeft w:val="0"/>
                                              <w:marRight w:val="0"/>
                                              <w:marTop w:val="0"/>
                                              <w:marBottom w:val="0"/>
                                              <w:divBdr>
                                                <w:top w:val="none" w:sz="0" w:space="0" w:color="auto"/>
                                                <w:left w:val="none" w:sz="0" w:space="0" w:color="auto"/>
                                                <w:bottom w:val="none" w:sz="0" w:space="0" w:color="auto"/>
                                                <w:right w:val="none" w:sz="0" w:space="0" w:color="auto"/>
                                              </w:divBdr>
                                              <w:divsChild>
                                                <w:div w:id="1855069034">
                                                  <w:marLeft w:val="0"/>
                                                  <w:marRight w:val="0"/>
                                                  <w:marTop w:val="0"/>
                                                  <w:marBottom w:val="0"/>
                                                  <w:divBdr>
                                                    <w:top w:val="none" w:sz="0" w:space="0" w:color="auto"/>
                                                    <w:left w:val="none" w:sz="0" w:space="0" w:color="auto"/>
                                                    <w:bottom w:val="none" w:sz="0" w:space="0" w:color="auto"/>
                                                    <w:right w:val="none" w:sz="0" w:space="0" w:color="auto"/>
                                                  </w:divBdr>
                                                  <w:divsChild>
                                                    <w:div w:id="1671592678">
                                                      <w:marLeft w:val="0"/>
                                                      <w:marRight w:val="0"/>
                                                      <w:marTop w:val="0"/>
                                                      <w:marBottom w:val="0"/>
                                                      <w:divBdr>
                                                        <w:top w:val="none" w:sz="0" w:space="0" w:color="auto"/>
                                                        <w:left w:val="none" w:sz="0" w:space="0" w:color="auto"/>
                                                        <w:bottom w:val="none" w:sz="0" w:space="0" w:color="auto"/>
                                                        <w:right w:val="none" w:sz="0" w:space="0" w:color="auto"/>
                                                      </w:divBdr>
                                                      <w:divsChild>
                                                        <w:div w:id="1536651054">
                                                          <w:marLeft w:val="0"/>
                                                          <w:marRight w:val="0"/>
                                                          <w:marTop w:val="0"/>
                                                          <w:marBottom w:val="0"/>
                                                          <w:divBdr>
                                                            <w:top w:val="none" w:sz="0" w:space="0" w:color="auto"/>
                                                            <w:left w:val="none" w:sz="0" w:space="0" w:color="auto"/>
                                                            <w:bottom w:val="none" w:sz="0" w:space="0" w:color="auto"/>
                                                            <w:right w:val="none" w:sz="0" w:space="0" w:color="auto"/>
                                                          </w:divBdr>
                                                          <w:divsChild>
                                                            <w:div w:id="1846356770">
                                                              <w:marLeft w:val="0"/>
                                                              <w:marRight w:val="0"/>
                                                              <w:marTop w:val="0"/>
                                                              <w:marBottom w:val="0"/>
                                                              <w:divBdr>
                                                                <w:top w:val="none" w:sz="0" w:space="0" w:color="auto"/>
                                                                <w:left w:val="none" w:sz="0" w:space="0" w:color="auto"/>
                                                                <w:bottom w:val="none" w:sz="0" w:space="0" w:color="auto"/>
                                                                <w:right w:val="none" w:sz="0" w:space="0" w:color="auto"/>
                                                              </w:divBdr>
                                                              <w:divsChild>
                                                                <w:div w:id="1307973857">
                                                                  <w:marLeft w:val="0"/>
                                                                  <w:marRight w:val="0"/>
                                                                  <w:marTop w:val="0"/>
                                                                  <w:marBottom w:val="0"/>
                                                                  <w:divBdr>
                                                                    <w:top w:val="none" w:sz="0" w:space="0" w:color="auto"/>
                                                                    <w:left w:val="none" w:sz="0" w:space="0" w:color="auto"/>
                                                                    <w:bottom w:val="none" w:sz="0" w:space="0" w:color="auto"/>
                                                                    <w:right w:val="none" w:sz="0" w:space="0" w:color="auto"/>
                                                                  </w:divBdr>
                                                                  <w:divsChild>
                                                                    <w:div w:id="238445060">
                                                                      <w:marLeft w:val="0"/>
                                                                      <w:marRight w:val="0"/>
                                                                      <w:marTop w:val="0"/>
                                                                      <w:marBottom w:val="0"/>
                                                                      <w:divBdr>
                                                                        <w:top w:val="none" w:sz="0" w:space="0" w:color="auto"/>
                                                                        <w:left w:val="none" w:sz="0" w:space="0" w:color="auto"/>
                                                                        <w:bottom w:val="none" w:sz="0" w:space="0" w:color="auto"/>
                                                                        <w:right w:val="none" w:sz="0" w:space="0" w:color="auto"/>
                                                                      </w:divBdr>
                                                                      <w:divsChild>
                                                                        <w:div w:id="2008361470">
                                                                          <w:marLeft w:val="0"/>
                                                                          <w:marRight w:val="0"/>
                                                                          <w:marTop w:val="0"/>
                                                                          <w:marBottom w:val="0"/>
                                                                          <w:divBdr>
                                                                            <w:top w:val="none" w:sz="0" w:space="0" w:color="auto"/>
                                                                            <w:left w:val="none" w:sz="0" w:space="0" w:color="auto"/>
                                                                            <w:bottom w:val="none" w:sz="0" w:space="0" w:color="auto"/>
                                                                            <w:right w:val="none" w:sz="0" w:space="0" w:color="auto"/>
                                                                          </w:divBdr>
                                                                          <w:divsChild>
                                                                            <w:div w:id="520705407">
                                                                              <w:marLeft w:val="0"/>
                                                                              <w:marRight w:val="0"/>
                                                                              <w:marTop w:val="0"/>
                                                                              <w:marBottom w:val="0"/>
                                                                              <w:divBdr>
                                                                                <w:top w:val="none" w:sz="0" w:space="0" w:color="auto"/>
                                                                                <w:left w:val="none" w:sz="0" w:space="0" w:color="auto"/>
                                                                                <w:bottom w:val="none" w:sz="0" w:space="0" w:color="auto"/>
                                                                                <w:right w:val="none" w:sz="0" w:space="0" w:color="auto"/>
                                                                              </w:divBdr>
                                                                              <w:divsChild>
                                                                                <w:div w:id="840893805">
                                                                                  <w:marLeft w:val="0"/>
                                                                                  <w:marRight w:val="0"/>
                                                                                  <w:marTop w:val="0"/>
                                                                                  <w:marBottom w:val="0"/>
                                                                                  <w:divBdr>
                                                                                    <w:top w:val="none" w:sz="0" w:space="0" w:color="auto"/>
                                                                                    <w:left w:val="none" w:sz="0" w:space="0" w:color="auto"/>
                                                                                    <w:bottom w:val="none" w:sz="0" w:space="0" w:color="auto"/>
                                                                                    <w:right w:val="none" w:sz="0" w:space="0" w:color="auto"/>
                                                                                  </w:divBdr>
                                                                                  <w:divsChild>
                                                                                    <w:div w:id="478308888">
                                                                                      <w:marLeft w:val="0"/>
                                                                                      <w:marRight w:val="0"/>
                                                                                      <w:marTop w:val="0"/>
                                                                                      <w:marBottom w:val="0"/>
                                                                                      <w:divBdr>
                                                                                        <w:top w:val="none" w:sz="0" w:space="0" w:color="auto"/>
                                                                                        <w:left w:val="none" w:sz="0" w:space="0" w:color="auto"/>
                                                                                        <w:bottom w:val="none" w:sz="0" w:space="0" w:color="auto"/>
                                                                                        <w:right w:val="none" w:sz="0" w:space="0" w:color="auto"/>
                                                                                      </w:divBdr>
                                                                                      <w:divsChild>
                                                                                        <w:div w:id="1163664477">
                                                                                          <w:marLeft w:val="0"/>
                                                                                          <w:marRight w:val="0"/>
                                                                                          <w:marTop w:val="0"/>
                                                                                          <w:marBottom w:val="0"/>
                                                                                          <w:divBdr>
                                                                                            <w:top w:val="none" w:sz="0" w:space="0" w:color="auto"/>
                                                                                            <w:left w:val="none" w:sz="0" w:space="0" w:color="auto"/>
                                                                                            <w:bottom w:val="none" w:sz="0" w:space="0" w:color="auto"/>
                                                                                            <w:right w:val="none" w:sz="0" w:space="0" w:color="auto"/>
                                                                                          </w:divBdr>
                                                                                          <w:divsChild>
                                                                                            <w:div w:id="62220601">
                                                                                              <w:marLeft w:val="0"/>
                                                                                              <w:marRight w:val="0"/>
                                                                                              <w:marTop w:val="0"/>
                                                                                              <w:marBottom w:val="0"/>
                                                                                              <w:divBdr>
                                                                                                <w:top w:val="none" w:sz="0" w:space="0" w:color="auto"/>
                                                                                                <w:left w:val="none" w:sz="0" w:space="0" w:color="auto"/>
                                                                                                <w:bottom w:val="none" w:sz="0" w:space="0" w:color="auto"/>
                                                                                                <w:right w:val="none" w:sz="0" w:space="0" w:color="auto"/>
                                                                                              </w:divBdr>
                                                                                              <w:divsChild>
                                                                                                <w:div w:id="732394137">
                                                                                                  <w:marLeft w:val="0"/>
                                                                                                  <w:marRight w:val="0"/>
                                                                                                  <w:marTop w:val="0"/>
                                                                                                  <w:marBottom w:val="0"/>
                                                                                                  <w:divBdr>
                                                                                                    <w:top w:val="none" w:sz="0" w:space="0" w:color="auto"/>
                                                                                                    <w:left w:val="none" w:sz="0" w:space="0" w:color="auto"/>
                                                                                                    <w:bottom w:val="none" w:sz="0" w:space="0" w:color="auto"/>
                                                                                                    <w:right w:val="none" w:sz="0" w:space="0" w:color="auto"/>
                                                                                                  </w:divBdr>
                                                                                                  <w:divsChild>
                                                                                                    <w:div w:id="1136097149">
                                                                                                      <w:marLeft w:val="0"/>
                                                                                                      <w:marRight w:val="0"/>
                                                                                                      <w:marTop w:val="0"/>
                                                                                                      <w:marBottom w:val="0"/>
                                                                                                      <w:divBdr>
                                                                                                        <w:top w:val="none" w:sz="0" w:space="0" w:color="auto"/>
                                                                                                        <w:left w:val="none" w:sz="0" w:space="0" w:color="auto"/>
                                                                                                        <w:bottom w:val="none" w:sz="0" w:space="0" w:color="auto"/>
                                                                                                        <w:right w:val="none" w:sz="0" w:space="0" w:color="auto"/>
                                                                                                      </w:divBdr>
                                                                                                      <w:divsChild>
                                                                                                        <w:div w:id="116608381">
                                                                                                          <w:marLeft w:val="0"/>
                                                                                                          <w:marRight w:val="0"/>
                                                                                                          <w:marTop w:val="0"/>
                                                                                                          <w:marBottom w:val="0"/>
                                                                                                          <w:divBdr>
                                                                                                            <w:top w:val="none" w:sz="0" w:space="0" w:color="auto"/>
                                                                                                            <w:left w:val="none" w:sz="0" w:space="0" w:color="auto"/>
                                                                                                            <w:bottom w:val="none" w:sz="0" w:space="0" w:color="auto"/>
                                                                                                            <w:right w:val="none" w:sz="0" w:space="0" w:color="auto"/>
                                                                                                          </w:divBdr>
                                                                                                          <w:divsChild>
                                                                                                            <w:div w:id="283848063">
                                                                                                              <w:marLeft w:val="0"/>
                                                                                                              <w:marRight w:val="0"/>
                                                                                                              <w:marTop w:val="0"/>
                                                                                                              <w:marBottom w:val="0"/>
                                                                                                              <w:divBdr>
                                                                                                                <w:top w:val="none" w:sz="0" w:space="0" w:color="auto"/>
                                                                                                                <w:left w:val="none" w:sz="0" w:space="0" w:color="auto"/>
                                                                                                                <w:bottom w:val="none" w:sz="0" w:space="0" w:color="auto"/>
                                                                                                                <w:right w:val="none" w:sz="0" w:space="0" w:color="auto"/>
                                                                                                              </w:divBdr>
                                                                                                              <w:divsChild>
                                                                                                                <w:div w:id="1101340084">
                                                                                                                  <w:marLeft w:val="0"/>
                                                                                                                  <w:marRight w:val="0"/>
                                                                                                                  <w:marTop w:val="0"/>
                                                                                                                  <w:marBottom w:val="0"/>
                                                                                                                  <w:divBdr>
                                                                                                                    <w:top w:val="none" w:sz="0" w:space="0" w:color="auto"/>
                                                                                                                    <w:left w:val="none" w:sz="0" w:space="0" w:color="auto"/>
                                                                                                                    <w:bottom w:val="none" w:sz="0" w:space="0" w:color="auto"/>
                                                                                                                    <w:right w:val="none" w:sz="0" w:space="0" w:color="auto"/>
                                                                                                                  </w:divBdr>
                                                                                                                  <w:divsChild>
                                                                                                                    <w:div w:id="1594783050">
                                                                                                                      <w:marLeft w:val="0"/>
                                                                                                                      <w:marRight w:val="0"/>
                                                                                                                      <w:marTop w:val="0"/>
                                                                                                                      <w:marBottom w:val="0"/>
                                                                                                                      <w:divBdr>
                                                                                                                        <w:top w:val="none" w:sz="0" w:space="0" w:color="auto"/>
                                                                                                                        <w:left w:val="none" w:sz="0" w:space="0" w:color="auto"/>
                                                                                                                        <w:bottom w:val="none" w:sz="0" w:space="0" w:color="auto"/>
                                                                                                                        <w:right w:val="none" w:sz="0" w:space="0" w:color="auto"/>
                                                                                                                      </w:divBdr>
                                                                                                                      <w:divsChild>
                                                                                                                        <w:div w:id="1192449479">
                                                                                                                          <w:marLeft w:val="0"/>
                                                                                                                          <w:marRight w:val="0"/>
                                                                                                                          <w:marTop w:val="0"/>
                                                                                                                          <w:marBottom w:val="0"/>
                                                                                                                          <w:divBdr>
                                                                                                                            <w:top w:val="none" w:sz="0" w:space="0" w:color="auto"/>
                                                                                                                            <w:left w:val="none" w:sz="0" w:space="0" w:color="auto"/>
                                                                                                                            <w:bottom w:val="none" w:sz="0" w:space="0" w:color="auto"/>
                                                                                                                            <w:right w:val="none" w:sz="0" w:space="0" w:color="auto"/>
                                                                                                                          </w:divBdr>
                                                                                                                          <w:divsChild>
                                                                                                                            <w:div w:id="156848256">
                                                                                                                              <w:marLeft w:val="0"/>
                                                                                                                              <w:marRight w:val="0"/>
                                                                                                                              <w:marTop w:val="0"/>
                                                                                                                              <w:marBottom w:val="0"/>
                                                                                                                              <w:divBdr>
                                                                                                                                <w:top w:val="none" w:sz="0" w:space="0" w:color="auto"/>
                                                                                                                                <w:left w:val="none" w:sz="0" w:space="0" w:color="auto"/>
                                                                                                                                <w:bottom w:val="none" w:sz="0" w:space="0" w:color="auto"/>
                                                                                                                                <w:right w:val="none" w:sz="0" w:space="0" w:color="auto"/>
                                                                                                                              </w:divBdr>
                                                                                                                            </w:div>
                                                                                                                            <w:div w:id="1757169154">
                                                                                                                              <w:marLeft w:val="0"/>
                                                                                                                              <w:marRight w:val="0"/>
                                                                                                                              <w:marTop w:val="0"/>
                                                                                                                              <w:marBottom w:val="0"/>
                                                                                                                              <w:divBdr>
                                                                                                                                <w:top w:val="none" w:sz="0" w:space="0" w:color="auto"/>
                                                                                                                                <w:left w:val="none" w:sz="0" w:space="0" w:color="auto"/>
                                                                                                                                <w:bottom w:val="none" w:sz="0" w:space="0" w:color="auto"/>
                                                                                                                                <w:right w:val="none" w:sz="0" w:space="0" w:color="auto"/>
                                                                                                                              </w:divBdr>
                                                                                                                            </w:div>
                                                                                                                            <w:div w:id="1654528360">
                                                                                                                              <w:marLeft w:val="0"/>
                                                                                                                              <w:marRight w:val="0"/>
                                                                                                                              <w:marTop w:val="0"/>
                                                                                                                              <w:marBottom w:val="0"/>
                                                                                                                              <w:divBdr>
                                                                                                                                <w:top w:val="none" w:sz="0" w:space="0" w:color="auto"/>
                                                                                                                                <w:left w:val="none" w:sz="0" w:space="0" w:color="auto"/>
                                                                                                                                <w:bottom w:val="none" w:sz="0" w:space="0" w:color="auto"/>
                                                                                                                                <w:right w:val="none" w:sz="0" w:space="0" w:color="auto"/>
                                                                                                                              </w:divBdr>
                                                                                                                            </w:div>
                                                                                                                            <w:div w:id="958341550">
                                                                                                                              <w:marLeft w:val="0"/>
                                                                                                                              <w:marRight w:val="0"/>
                                                                                                                              <w:marTop w:val="0"/>
                                                                                                                              <w:marBottom w:val="0"/>
                                                                                                                              <w:divBdr>
                                                                                                                                <w:top w:val="none" w:sz="0" w:space="0" w:color="auto"/>
                                                                                                                                <w:left w:val="none" w:sz="0" w:space="0" w:color="auto"/>
                                                                                                                                <w:bottom w:val="none" w:sz="0" w:space="0" w:color="auto"/>
                                                                                                                                <w:right w:val="none" w:sz="0" w:space="0" w:color="auto"/>
                                                                                                                              </w:divBdr>
                                                                                                                            </w:div>
                                                                                                                            <w:div w:id="487988223">
                                                                                                                              <w:marLeft w:val="0"/>
                                                                                                                              <w:marRight w:val="0"/>
                                                                                                                              <w:marTop w:val="0"/>
                                                                                                                              <w:marBottom w:val="0"/>
                                                                                                                              <w:divBdr>
                                                                                                                                <w:top w:val="none" w:sz="0" w:space="0" w:color="auto"/>
                                                                                                                                <w:left w:val="none" w:sz="0" w:space="0" w:color="auto"/>
                                                                                                                                <w:bottom w:val="none" w:sz="0" w:space="0" w:color="auto"/>
                                                                                                                                <w:right w:val="none" w:sz="0" w:space="0" w:color="auto"/>
                                                                                                                              </w:divBdr>
                                                                                                                            </w:div>
                                                                                                                            <w:div w:id="321472123">
                                                                                                                              <w:marLeft w:val="0"/>
                                                                                                                              <w:marRight w:val="0"/>
                                                                                                                              <w:marTop w:val="0"/>
                                                                                                                              <w:marBottom w:val="0"/>
                                                                                                                              <w:divBdr>
                                                                                                                                <w:top w:val="none" w:sz="0" w:space="0" w:color="auto"/>
                                                                                                                                <w:left w:val="none" w:sz="0" w:space="0" w:color="auto"/>
                                                                                                                                <w:bottom w:val="none" w:sz="0" w:space="0" w:color="auto"/>
                                                                                                                                <w:right w:val="none" w:sz="0" w:space="0" w:color="auto"/>
                                                                                                                              </w:divBdr>
                                                                                                                            </w:div>
                                                                                                                            <w:div w:id="1450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846137">
      <w:bodyDiv w:val="1"/>
      <w:marLeft w:val="0"/>
      <w:marRight w:val="0"/>
      <w:marTop w:val="0"/>
      <w:marBottom w:val="0"/>
      <w:divBdr>
        <w:top w:val="none" w:sz="0" w:space="0" w:color="auto"/>
        <w:left w:val="none" w:sz="0" w:space="0" w:color="auto"/>
        <w:bottom w:val="none" w:sz="0" w:space="0" w:color="auto"/>
        <w:right w:val="none" w:sz="0" w:space="0" w:color="auto"/>
      </w:divBdr>
    </w:div>
    <w:div w:id="1150829313">
      <w:bodyDiv w:val="1"/>
      <w:marLeft w:val="0"/>
      <w:marRight w:val="0"/>
      <w:marTop w:val="0"/>
      <w:marBottom w:val="0"/>
      <w:divBdr>
        <w:top w:val="none" w:sz="0" w:space="0" w:color="auto"/>
        <w:left w:val="none" w:sz="0" w:space="0" w:color="auto"/>
        <w:bottom w:val="none" w:sz="0" w:space="0" w:color="auto"/>
        <w:right w:val="none" w:sz="0" w:space="0" w:color="auto"/>
      </w:divBdr>
      <w:divsChild>
        <w:div w:id="903639690">
          <w:marLeft w:val="0"/>
          <w:marRight w:val="0"/>
          <w:marTop w:val="0"/>
          <w:marBottom w:val="0"/>
          <w:divBdr>
            <w:top w:val="none" w:sz="0" w:space="0" w:color="auto"/>
            <w:left w:val="none" w:sz="0" w:space="0" w:color="auto"/>
            <w:bottom w:val="none" w:sz="0" w:space="0" w:color="auto"/>
            <w:right w:val="none" w:sz="0" w:space="0" w:color="auto"/>
          </w:divBdr>
          <w:divsChild>
            <w:div w:id="2083527871">
              <w:marLeft w:val="0"/>
              <w:marRight w:val="0"/>
              <w:marTop w:val="0"/>
              <w:marBottom w:val="0"/>
              <w:divBdr>
                <w:top w:val="none" w:sz="0" w:space="0" w:color="auto"/>
                <w:left w:val="none" w:sz="0" w:space="0" w:color="auto"/>
                <w:bottom w:val="none" w:sz="0" w:space="0" w:color="auto"/>
                <w:right w:val="none" w:sz="0" w:space="0" w:color="auto"/>
              </w:divBdr>
              <w:divsChild>
                <w:div w:id="343553665">
                  <w:marLeft w:val="0"/>
                  <w:marRight w:val="0"/>
                  <w:marTop w:val="0"/>
                  <w:marBottom w:val="0"/>
                  <w:divBdr>
                    <w:top w:val="none" w:sz="0" w:space="0" w:color="auto"/>
                    <w:left w:val="none" w:sz="0" w:space="0" w:color="auto"/>
                    <w:bottom w:val="none" w:sz="0" w:space="0" w:color="auto"/>
                    <w:right w:val="none" w:sz="0" w:space="0" w:color="auto"/>
                  </w:divBdr>
                </w:div>
              </w:divsChild>
            </w:div>
            <w:div w:id="1952589945">
              <w:marLeft w:val="0"/>
              <w:marRight w:val="0"/>
              <w:marTop w:val="0"/>
              <w:marBottom w:val="0"/>
              <w:divBdr>
                <w:top w:val="none" w:sz="0" w:space="0" w:color="auto"/>
                <w:left w:val="none" w:sz="0" w:space="0" w:color="auto"/>
                <w:bottom w:val="none" w:sz="0" w:space="0" w:color="auto"/>
                <w:right w:val="none" w:sz="0" w:space="0" w:color="auto"/>
              </w:divBdr>
              <w:divsChild>
                <w:div w:id="1788499890">
                  <w:marLeft w:val="0"/>
                  <w:marRight w:val="0"/>
                  <w:marTop w:val="0"/>
                  <w:marBottom w:val="0"/>
                  <w:divBdr>
                    <w:top w:val="none" w:sz="0" w:space="0" w:color="auto"/>
                    <w:left w:val="none" w:sz="0" w:space="0" w:color="auto"/>
                    <w:bottom w:val="none" w:sz="0" w:space="0" w:color="auto"/>
                    <w:right w:val="none" w:sz="0" w:space="0" w:color="auto"/>
                  </w:divBdr>
                </w:div>
              </w:divsChild>
            </w:div>
            <w:div w:id="44725158">
              <w:marLeft w:val="0"/>
              <w:marRight w:val="0"/>
              <w:marTop w:val="0"/>
              <w:marBottom w:val="0"/>
              <w:divBdr>
                <w:top w:val="none" w:sz="0" w:space="0" w:color="auto"/>
                <w:left w:val="none" w:sz="0" w:space="0" w:color="auto"/>
                <w:bottom w:val="none" w:sz="0" w:space="0" w:color="auto"/>
                <w:right w:val="none" w:sz="0" w:space="0" w:color="auto"/>
              </w:divBdr>
              <w:divsChild>
                <w:div w:id="730152951">
                  <w:marLeft w:val="0"/>
                  <w:marRight w:val="0"/>
                  <w:marTop w:val="0"/>
                  <w:marBottom w:val="0"/>
                  <w:divBdr>
                    <w:top w:val="none" w:sz="0" w:space="0" w:color="auto"/>
                    <w:left w:val="none" w:sz="0" w:space="0" w:color="auto"/>
                    <w:bottom w:val="none" w:sz="0" w:space="0" w:color="auto"/>
                    <w:right w:val="none" w:sz="0" w:space="0" w:color="auto"/>
                  </w:divBdr>
                </w:div>
              </w:divsChild>
            </w:div>
            <w:div w:id="1286152573">
              <w:marLeft w:val="0"/>
              <w:marRight w:val="0"/>
              <w:marTop w:val="0"/>
              <w:marBottom w:val="0"/>
              <w:divBdr>
                <w:top w:val="none" w:sz="0" w:space="0" w:color="auto"/>
                <w:left w:val="none" w:sz="0" w:space="0" w:color="auto"/>
                <w:bottom w:val="none" w:sz="0" w:space="0" w:color="auto"/>
                <w:right w:val="none" w:sz="0" w:space="0" w:color="auto"/>
              </w:divBdr>
              <w:divsChild>
                <w:div w:id="11971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240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F7EE1-962A-4D75-99CC-7DD8F5A9A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4452</Words>
  <Characters>24490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Rodriguez</dc:creator>
  <cp:lastModifiedBy>Jorge Horacio Rodriguez Figueroa UTL</cp:lastModifiedBy>
  <cp:revision>3</cp:revision>
  <cp:lastPrinted>2022-06-15T18:57:00Z</cp:lastPrinted>
  <dcterms:created xsi:type="dcterms:W3CDTF">2022-06-15T14:17:00Z</dcterms:created>
  <dcterms:modified xsi:type="dcterms:W3CDTF">2022-06-15T20:22:00Z</dcterms:modified>
</cp:coreProperties>
</file>