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5FC42" w14:textId="77777777" w:rsidR="00212908" w:rsidRDefault="00212908" w:rsidP="00212908">
      <w:pPr>
        <w:jc w:val="center"/>
        <w:rPr>
          <w:rFonts w:ascii="Bookman Old Style" w:hAnsi="Bookman Old Style" w:cstheme="minorHAnsi"/>
          <w:b/>
        </w:rPr>
      </w:pPr>
    </w:p>
    <w:p w14:paraId="1EE14E27" w14:textId="0EEEF60B" w:rsidR="00F36280" w:rsidRDefault="00212908" w:rsidP="00212908">
      <w:pPr>
        <w:jc w:val="center"/>
        <w:rPr>
          <w:rFonts w:ascii="Bookman Old Style" w:hAnsi="Bookman Old Style" w:cstheme="minorHAnsi"/>
          <w:b/>
        </w:rPr>
      </w:pPr>
      <w:r>
        <w:rPr>
          <w:rFonts w:ascii="Bookman Old Style" w:hAnsi="Bookman Old Style" w:cstheme="minorHAnsi"/>
          <w:b/>
        </w:rPr>
        <w:t xml:space="preserve">INFORME DE PONENCIA PARA PRIMER DEBATE EN PRIMERA VUELTA AL PROYECTO DE ACTO LEGISLATIVO NÚMERO </w:t>
      </w:r>
      <w:r w:rsidR="002667F2">
        <w:rPr>
          <w:rFonts w:ascii="Bookman Old Style" w:hAnsi="Bookman Old Style" w:cstheme="minorHAnsi"/>
          <w:b/>
        </w:rPr>
        <w:t>041</w:t>
      </w:r>
      <w:r>
        <w:rPr>
          <w:rFonts w:ascii="Bookman Old Style" w:hAnsi="Bookman Old Style" w:cstheme="minorHAnsi"/>
          <w:b/>
        </w:rPr>
        <w:t xml:space="preserve"> DE 2021 CÁMARA</w:t>
      </w:r>
    </w:p>
    <w:p w14:paraId="3E89C06F" w14:textId="0CFCA372" w:rsidR="00212908" w:rsidRPr="00485CC5" w:rsidRDefault="00212908" w:rsidP="00212908">
      <w:pPr>
        <w:jc w:val="center"/>
        <w:rPr>
          <w:rFonts w:ascii="Bookman Old Style" w:hAnsi="Bookman Old Style" w:cstheme="minorHAnsi"/>
          <w:b/>
        </w:rPr>
      </w:pPr>
      <w:bookmarkStart w:id="0" w:name="_Hlk80467508"/>
      <w:r w:rsidRPr="00485CC5">
        <w:rPr>
          <w:rFonts w:ascii="Bookman Old Style" w:hAnsi="Bookman Old Style" w:cstheme="minorHAnsi"/>
        </w:rPr>
        <w:t>“</w:t>
      </w:r>
      <w:r w:rsidR="002667F2" w:rsidRPr="002667F2">
        <w:rPr>
          <w:rFonts w:ascii="Bookman Old Style" w:hAnsi="Bookman Old Style" w:cstheme="minorHAnsi"/>
          <w:i/>
          <w:iCs/>
        </w:rPr>
        <w:t>Por el cual se modifican los artículos 45 y 65 de la constitución política estableciendo el derecho fundamental a la alimentación y a no padecer hambre</w:t>
      </w:r>
      <w:r w:rsidR="002667F2">
        <w:rPr>
          <w:rFonts w:ascii="Bookman Old Style" w:hAnsi="Bookman Old Style" w:cstheme="minorHAnsi"/>
          <w:i/>
          <w:iCs/>
        </w:rPr>
        <w:t>”.</w:t>
      </w:r>
    </w:p>
    <w:bookmarkEnd w:id="0"/>
    <w:p w14:paraId="447FE4DE" w14:textId="77777777" w:rsidR="00F36280" w:rsidRDefault="00F36280" w:rsidP="00F36280">
      <w:pPr>
        <w:rPr>
          <w:rFonts w:ascii="Bookman Old Style" w:hAnsi="Bookman Old Style" w:cstheme="minorHAnsi"/>
          <w:b/>
        </w:rPr>
      </w:pPr>
    </w:p>
    <w:p w14:paraId="607275AA" w14:textId="77777777" w:rsidR="00212908" w:rsidRDefault="00212908" w:rsidP="00F36280">
      <w:pPr>
        <w:rPr>
          <w:rFonts w:ascii="Bookman Old Style" w:hAnsi="Bookman Old Style" w:cstheme="minorHAnsi"/>
        </w:rPr>
      </w:pPr>
    </w:p>
    <w:p w14:paraId="20C251BA" w14:textId="512278E3" w:rsidR="00F36280" w:rsidRDefault="00212908" w:rsidP="00F36280">
      <w:pPr>
        <w:rPr>
          <w:rFonts w:ascii="Bookman Old Style" w:hAnsi="Bookman Old Style" w:cstheme="minorHAnsi"/>
        </w:rPr>
      </w:pPr>
      <w:r>
        <w:rPr>
          <w:rFonts w:ascii="Bookman Old Style" w:hAnsi="Bookman Old Style" w:cstheme="minorHAnsi"/>
        </w:rPr>
        <w:t xml:space="preserve">Bogotá D.C. </w:t>
      </w:r>
      <w:r w:rsidR="002B406E">
        <w:rPr>
          <w:rFonts w:ascii="Bookman Old Style" w:hAnsi="Bookman Old Style" w:cstheme="minorHAnsi"/>
        </w:rPr>
        <w:t>24</w:t>
      </w:r>
      <w:r>
        <w:rPr>
          <w:rFonts w:ascii="Bookman Old Style" w:hAnsi="Bookman Old Style" w:cstheme="minorHAnsi"/>
        </w:rPr>
        <w:t xml:space="preserve"> de agosto de 2021</w:t>
      </w:r>
    </w:p>
    <w:p w14:paraId="21BF8982" w14:textId="77777777" w:rsidR="00212908" w:rsidRPr="00485CC5" w:rsidRDefault="00212908" w:rsidP="00F36280">
      <w:pPr>
        <w:rPr>
          <w:rFonts w:ascii="Bookman Old Style" w:hAnsi="Bookman Old Style" w:cstheme="minorHAnsi"/>
        </w:rPr>
      </w:pPr>
    </w:p>
    <w:p w14:paraId="3C6002AD" w14:textId="77777777" w:rsidR="00212908" w:rsidRDefault="00212908" w:rsidP="00F36280">
      <w:pPr>
        <w:rPr>
          <w:rFonts w:ascii="Bookman Old Style" w:hAnsi="Bookman Old Style" w:cstheme="minorHAnsi"/>
        </w:rPr>
      </w:pPr>
    </w:p>
    <w:p w14:paraId="27E809CF" w14:textId="77777777" w:rsidR="00212908" w:rsidRDefault="00212908" w:rsidP="00F36280">
      <w:pPr>
        <w:rPr>
          <w:rFonts w:ascii="Bookman Old Style" w:hAnsi="Bookman Old Style" w:cstheme="minorHAnsi"/>
        </w:rPr>
      </w:pPr>
      <w:r>
        <w:rPr>
          <w:rFonts w:ascii="Bookman Old Style" w:hAnsi="Bookman Old Style" w:cstheme="minorHAnsi"/>
        </w:rPr>
        <w:t>Honorable Representante</w:t>
      </w:r>
    </w:p>
    <w:p w14:paraId="1DC843BD" w14:textId="7448B8DF" w:rsidR="00F36280" w:rsidRPr="00F120F7" w:rsidRDefault="00777581" w:rsidP="00F36280">
      <w:pPr>
        <w:rPr>
          <w:rFonts w:ascii="Bookman Old Style" w:hAnsi="Bookman Old Style" w:cstheme="minorHAnsi"/>
          <w:b/>
          <w:bCs/>
        </w:rPr>
      </w:pPr>
      <w:r>
        <w:rPr>
          <w:rFonts w:ascii="Bookman Old Style" w:hAnsi="Bookman Old Style" w:cstheme="minorHAnsi"/>
          <w:b/>
          <w:bCs/>
        </w:rPr>
        <w:t>JULIO CÉ</w:t>
      </w:r>
      <w:r w:rsidR="00212908" w:rsidRPr="00F120F7">
        <w:rPr>
          <w:rFonts w:ascii="Bookman Old Style" w:hAnsi="Bookman Old Style" w:cstheme="minorHAnsi"/>
          <w:b/>
          <w:bCs/>
        </w:rPr>
        <w:t>SAR TRIANA QUINTERO</w:t>
      </w:r>
      <w:r w:rsidR="00F36280" w:rsidRPr="00F120F7">
        <w:rPr>
          <w:rFonts w:ascii="Bookman Old Style" w:hAnsi="Bookman Old Style" w:cstheme="minorHAnsi"/>
          <w:b/>
          <w:bCs/>
        </w:rPr>
        <w:t xml:space="preserve"> </w:t>
      </w:r>
    </w:p>
    <w:p w14:paraId="069C4997" w14:textId="77777777" w:rsidR="00F120F7" w:rsidRDefault="00F120F7" w:rsidP="00F36280">
      <w:pPr>
        <w:rPr>
          <w:rFonts w:ascii="Bookman Old Style" w:hAnsi="Bookman Old Style" w:cstheme="minorHAnsi"/>
        </w:rPr>
      </w:pPr>
      <w:r>
        <w:rPr>
          <w:rFonts w:ascii="Bookman Old Style" w:hAnsi="Bookman Old Style" w:cstheme="minorHAnsi"/>
        </w:rPr>
        <w:t>Presidente</w:t>
      </w:r>
    </w:p>
    <w:p w14:paraId="4BEB8E4E" w14:textId="77777777" w:rsidR="00F120F7" w:rsidRPr="00F120F7" w:rsidRDefault="00F120F7" w:rsidP="00F36280">
      <w:pPr>
        <w:rPr>
          <w:rFonts w:ascii="Bookman Old Style" w:hAnsi="Bookman Old Style" w:cstheme="minorHAnsi"/>
          <w:b/>
          <w:bCs/>
        </w:rPr>
      </w:pPr>
      <w:r w:rsidRPr="00F120F7">
        <w:rPr>
          <w:rFonts w:ascii="Bookman Old Style" w:hAnsi="Bookman Old Style" w:cstheme="minorHAnsi"/>
          <w:b/>
          <w:bCs/>
        </w:rPr>
        <w:t>Comisión Primera Constitucional</w:t>
      </w:r>
    </w:p>
    <w:p w14:paraId="26DB6801" w14:textId="1589D2FF" w:rsidR="00F36280" w:rsidRPr="00485CC5" w:rsidRDefault="00F36280" w:rsidP="00F36280">
      <w:pPr>
        <w:rPr>
          <w:rFonts w:ascii="Bookman Old Style" w:hAnsi="Bookman Old Style" w:cstheme="minorHAnsi"/>
        </w:rPr>
      </w:pPr>
      <w:r w:rsidRPr="00485CC5">
        <w:rPr>
          <w:rFonts w:ascii="Bookman Old Style" w:hAnsi="Bookman Old Style" w:cstheme="minorHAnsi"/>
        </w:rPr>
        <w:t>Cámara de Representantes</w:t>
      </w:r>
    </w:p>
    <w:p w14:paraId="4A31A6A2" w14:textId="6412FC9E" w:rsidR="00F36280" w:rsidRPr="00485CC5" w:rsidRDefault="00F36280" w:rsidP="00F36280">
      <w:pPr>
        <w:rPr>
          <w:rFonts w:ascii="Bookman Old Style" w:hAnsi="Bookman Old Style" w:cstheme="minorHAnsi"/>
        </w:rPr>
      </w:pPr>
      <w:r w:rsidRPr="00485CC5">
        <w:rPr>
          <w:rFonts w:ascii="Bookman Old Style" w:hAnsi="Bookman Old Style" w:cstheme="minorHAnsi"/>
        </w:rPr>
        <w:t>Ciudad</w:t>
      </w:r>
      <w:r w:rsidR="00F120F7">
        <w:rPr>
          <w:rFonts w:ascii="Bookman Old Style" w:hAnsi="Bookman Old Style" w:cstheme="minorHAnsi"/>
        </w:rPr>
        <w:t>.</w:t>
      </w:r>
    </w:p>
    <w:p w14:paraId="6DD27E7F" w14:textId="77777777" w:rsidR="00F36280" w:rsidRPr="00485CC5" w:rsidRDefault="00F36280" w:rsidP="00F36280">
      <w:pPr>
        <w:rPr>
          <w:rFonts w:ascii="Bookman Old Style" w:hAnsi="Bookman Old Style" w:cstheme="minorHAnsi"/>
          <w:b/>
        </w:rPr>
      </w:pPr>
    </w:p>
    <w:p w14:paraId="5ADE69DA" w14:textId="77777777" w:rsidR="00F36280" w:rsidRPr="00485CC5" w:rsidRDefault="00F36280" w:rsidP="00F36280">
      <w:pPr>
        <w:rPr>
          <w:rFonts w:ascii="Bookman Old Style" w:hAnsi="Bookman Old Style" w:cstheme="minorHAnsi"/>
          <w:b/>
        </w:rPr>
      </w:pPr>
    </w:p>
    <w:p w14:paraId="28388E84" w14:textId="00F94230" w:rsidR="00F120F7" w:rsidRPr="00F46028" w:rsidRDefault="00F120F7" w:rsidP="00F120F7">
      <w:pPr>
        <w:pStyle w:val="NormalWeb"/>
        <w:shd w:val="clear" w:color="auto" w:fill="FFFFFF"/>
        <w:spacing w:before="0" w:beforeAutospacing="0" w:after="0" w:afterAutospacing="0"/>
        <w:ind w:left="3969"/>
        <w:jc w:val="both"/>
        <w:rPr>
          <w:rFonts w:ascii="Bookman Old Style" w:hAnsi="Bookman Old Style" w:cs="Arial"/>
          <w:bCs/>
          <w:sz w:val="22"/>
          <w:szCs w:val="22"/>
        </w:rPr>
      </w:pPr>
      <w:r w:rsidRPr="00F46028">
        <w:rPr>
          <w:rFonts w:ascii="Bookman Old Style" w:hAnsi="Bookman Old Style" w:cs="Arial"/>
          <w:b/>
          <w:bCs/>
          <w:sz w:val="22"/>
          <w:szCs w:val="22"/>
          <w:lang w:val="es-ES_tradnl"/>
        </w:rPr>
        <w:t>Referencia:</w:t>
      </w:r>
      <w:r w:rsidRPr="00F46028">
        <w:rPr>
          <w:rFonts w:ascii="Bookman Old Style" w:hAnsi="Bookman Old Style" w:cs="Arial"/>
          <w:b/>
          <w:bCs/>
          <w:sz w:val="22"/>
          <w:szCs w:val="22"/>
          <w:lang w:val="es-ES_tradnl"/>
        </w:rPr>
        <w:tab/>
        <w:t>Informe de Ponencia para p</w:t>
      </w:r>
      <w:r>
        <w:rPr>
          <w:rFonts w:ascii="Bookman Old Style" w:hAnsi="Bookman Old Style" w:cs="Arial"/>
          <w:b/>
          <w:bCs/>
          <w:sz w:val="22"/>
          <w:szCs w:val="22"/>
          <w:lang w:val="es-ES_tradnl"/>
        </w:rPr>
        <w:t>rimer</w:t>
      </w:r>
      <w:r w:rsidR="00F157B2">
        <w:rPr>
          <w:rFonts w:ascii="Bookman Old Style" w:hAnsi="Bookman Old Style" w:cs="Arial"/>
          <w:b/>
          <w:bCs/>
          <w:sz w:val="22"/>
          <w:szCs w:val="22"/>
          <w:lang w:val="es-ES_tradnl"/>
        </w:rPr>
        <w:t xml:space="preserve"> debate en primera vuelta</w:t>
      </w:r>
      <w:r>
        <w:rPr>
          <w:rFonts w:ascii="Bookman Old Style" w:hAnsi="Bookman Old Style" w:cs="Arial"/>
          <w:b/>
          <w:bCs/>
          <w:sz w:val="22"/>
          <w:szCs w:val="22"/>
          <w:lang w:val="es-ES_tradnl"/>
        </w:rPr>
        <w:t xml:space="preserve"> al Proyecto de Acto Legislativo</w:t>
      </w:r>
      <w:r w:rsidRPr="00F46028">
        <w:rPr>
          <w:rFonts w:ascii="Bookman Old Style" w:hAnsi="Bookman Old Style" w:cs="Arial"/>
          <w:b/>
          <w:bCs/>
          <w:sz w:val="22"/>
          <w:szCs w:val="22"/>
          <w:lang w:val="es-ES_tradnl"/>
        </w:rPr>
        <w:t xml:space="preserve"> número </w:t>
      </w:r>
      <w:r>
        <w:rPr>
          <w:rFonts w:ascii="Bookman Old Style" w:hAnsi="Bookman Old Style" w:cs="Arial"/>
          <w:b/>
          <w:bCs/>
          <w:sz w:val="22"/>
          <w:szCs w:val="22"/>
          <w:lang w:val="es-ES_tradnl"/>
        </w:rPr>
        <w:t>0</w:t>
      </w:r>
      <w:r w:rsidR="002667F2">
        <w:rPr>
          <w:rFonts w:ascii="Bookman Old Style" w:hAnsi="Bookman Old Style" w:cs="Arial"/>
          <w:b/>
          <w:bCs/>
          <w:sz w:val="22"/>
          <w:szCs w:val="22"/>
          <w:lang w:val="es-ES_tradnl"/>
        </w:rPr>
        <w:t>41</w:t>
      </w:r>
      <w:r>
        <w:rPr>
          <w:rFonts w:ascii="Bookman Old Style" w:hAnsi="Bookman Old Style" w:cs="Arial"/>
          <w:b/>
          <w:bCs/>
          <w:sz w:val="22"/>
          <w:szCs w:val="22"/>
          <w:lang w:val="es-ES_tradnl"/>
        </w:rPr>
        <w:t xml:space="preserve"> de 2021</w:t>
      </w:r>
      <w:r w:rsidRPr="00F46028">
        <w:rPr>
          <w:rFonts w:ascii="Bookman Old Style" w:hAnsi="Bookman Old Style" w:cs="Arial"/>
          <w:b/>
          <w:bCs/>
          <w:sz w:val="22"/>
          <w:szCs w:val="22"/>
          <w:lang w:val="es-ES_tradnl"/>
        </w:rPr>
        <w:t xml:space="preserve"> Cámara.</w:t>
      </w:r>
    </w:p>
    <w:p w14:paraId="1F21D0F4" w14:textId="77777777" w:rsidR="00F36280" w:rsidRPr="00485CC5" w:rsidRDefault="00F36280" w:rsidP="00F36280">
      <w:pPr>
        <w:jc w:val="right"/>
        <w:rPr>
          <w:rFonts w:ascii="Bookman Old Style" w:hAnsi="Bookman Old Style" w:cstheme="minorHAnsi"/>
          <w:b/>
        </w:rPr>
      </w:pPr>
    </w:p>
    <w:p w14:paraId="6F59E054" w14:textId="77777777" w:rsidR="00F36280" w:rsidRPr="00485CC5" w:rsidRDefault="00F36280" w:rsidP="00F36280">
      <w:pPr>
        <w:rPr>
          <w:rFonts w:ascii="Bookman Old Style" w:hAnsi="Bookman Old Style" w:cstheme="minorHAnsi"/>
          <w:b/>
        </w:rPr>
      </w:pPr>
    </w:p>
    <w:p w14:paraId="58E2A301" w14:textId="77777777" w:rsidR="00F120F7" w:rsidRDefault="00F120F7" w:rsidP="00F36280">
      <w:pPr>
        <w:jc w:val="both"/>
        <w:rPr>
          <w:rFonts w:ascii="Bookman Old Style" w:hAnsi="Bookman Old Style" w:cstheme="minorHAnsi"/>
        </w:rPr>
      </w:pPr>
      <w:r>
        <w:rPr>
          <w:rFonts w:ascii="Bookman Old Style" w:hAnsi="Bookman Old Style" w:cstheme="minorHAnsi"/>
        </w:rPr>
        <w:t>Honorables Representantes:</w:t>
      </w:r>
    </w:p>
    <w:p w14:paraId="193B735B" w14:textId="77777777" w:rsidR="00F120F7" w:rsidRDefault="00F120F7" w:rsidP="00F36280">
      <w:pPr>
        <w:jc w:val="both"/>
        <w:rPr>
          <w:rFonts w:ascii="Bookman Old Style" w:hAnsi="Bookman Old Style" w:cstheme="minorHAnsi"/>
        </w:rPr>
      </w:pPr>
    </w:p>
    <w:p w14:paraId="5C86A864" w14:textId="5D47F089" w:rsidR="00F120F7" w:rsidRPr="00C530CB" w:rsidRDefault="00F120F7" w:rsidP="00F120F7">
      <w:pPr>
        <w:pStyle w:val="NormalWeb"/>
        <w:shd w:val="clear" w:color="auto" w:fill="FFFFFF"/>
        <w:spacing w:before="0" w:beforeAutospacing="0" w:after="0" w:afterAutospacing="0"/>
        <w:jc w:val="both"/>
        <w:rPr>
          <w:rFonts w:ascii="Bookman Old Style" w:hAnsi="Bookman Old Style" w:cs="Arial"/>
          <w:sz w:val="22"/>
          <w:szCs w:val="22"/>
          <w:lang w:val="es-ES"/>
        </w:rPr>
      </w:pPr>
      <w:r w:rsidRPr="00F46028">
        <w:rPr>
          <w:rFonts w:ascii="Bookman Old Style" w:hAnsi="Bookman Old Style" w:cs="Arial"/>
          <w:bCs/>
          <w:sz w:val="22"/>
          <w:szCs w:val="22"/>
          <w:lang w:val="es-ES_tradnl"/>
        </w:rPr>
        <w:t>En cumplimiento del encargo hecho por la Honorable Mesa Directiva de la Comisión Primera Constitucional de la Cámara de Representantes del Congreso de la República y de conformidad con lo establecido en el artículo 156 de la Ley 5ª de 1992, me permito rendir Informe de Ponencia para primer debate</w:t>
      </w:r>
      <w:r>
        <w:rPr>
          <w:rFonts w:ascii="Bookman Old Style" w:hAnsi="Bookman Old Style" w:cs="Arial"/>
          <w:bCs/>
          <w:sz w:val="22"/>
          <w:szCs w:val="22"/>
          <w:lang w:val="es-ES_tradnl"/>
        </w:rPr>
        <w:t xml:space="preserve"> en primera vuelta al Proyecto de Acto Legislativo</w:t>
      </w:r>
      <w:r w:rsidRPr="00F46028">
        <w:rPr>
          <w:rFonts w:ascii="Bookman Old Style" w:hAnsi="Bookman Old Style" w:cs="Arial"/>
          <w:bCs/>
          <w:sz w:val="22"/>
          <w:szCs w:val="22"/>
          <w:lang w:val="es-ES_tradnl"/>
        </w:rPr>
        <w:t xml:space="preserve"> número </w:t>
      </w:r>
      <w:r>
        <w:rPr>
          <w:rFonts w:ascii="Bookman Old Style" w:hAnsi="Bookman Old Style" w:cs="Arial"/>
          <w:bCs/>
          <w:sz w:val="22"/>
          <w:szCs w:val="22"/>
          <w:lang w:val="es-ES_tradnl"/>
        </w:rPr>
        <w:t>0</w:t>
      </w:r>
      <w:r w:rsidR="002667F2">
        <w:rPr>
          <w:rFonts w:ascii="Bookman Old Style" w:hAnsi="Bookman Old Style" w:cs="Arial"/>
          <w:bCs/>
          <w:sz w:val="22"/>
          <w:szCs w:val="22"/>
          <w:lang w:val="es-ES_tradnl"/>
        </w:rPr>
        <w:t>41</w:t>
      </w:r>
      <w:r>
        <w:rPr>
          <w:rFonts w:ascii="Bookman Old Style" w:hAnsi="Bookman Old Style" w:cs="Arial"/>
          <w:bCs/>
          <w:sz w:val="22"/>
          <w:szCs w:val="22"/>
          <w:lang w:val="es-ES_tradnl"/>
        </w:rPr>
        <w:t xml:space="preserve"> de 2021</w:t>
      </w:r>
      <w:r w:rsidRPr="00F46028">
        <w:rPr>
          <w:rFonts w:ascii="Bookman Old Style" w:hAnsi="Bookman Old Style" w:cs="Arial"/>
          <w:bCs/>
          <w:sz w:val="22"/>
          <w:szCs w:val="22"/>
          <w:lang w:val="es-ES_tradnl"/>
        </w:rPr>
        <w:t xml:space="preserve"> Cámara, </w:t>
      </w:r>
      <w:bookmarkStart w:id="1" w:name="_Hlk80473702"/>
      <w:r w:rsidR="002667F2" w:rsidRPr="002667F2">
        <w:rPr>
          <w:rFonts w:ascii="Bookman Old Style" w:hAnsi="Bookman Old Style" w:cs="Arial"/>
          <w:bCs/>
          <w:i/>
          <w:sz w:val="22"/>
          <w:szCs w:val="22"/>
        </w:rPr>
        <w:t>“Por el cual se modifican los artículos 45 y 65 de la constitución política estableciendo el derecho fundamental a la alimentación y a no padecer hambre”</w:t>
      </w:r>
      <w:bookmarkEnd w:id="1"/>
      <w:r>
        <w:rPr>
          <w:rFonts w:ascii="Bookman Old Style" w:hAnsi="Bookman Old Style" w:cs="Arial"/>
          <w:bCs/>
          <w:i/>
          <w:sz w:val="22"/>
          <w:szCs w:val="22"/>
        </w:rPr>
        <w:t xml:space="preserve">, </w:t>
      </w:r>
      <w:r w:rsidRPr="00F46028">
        <w:rPr>
          <w:rFonts w:ascii="Bookman Old Style" w:hAnsi="Bookman Old Style" w:cs="Arial"/>
          <w:sz w:val="22"/>
          <w:szCs w:val="22"/>
          <w:lang w:val="es-ES"/>
        </w:rPr>
        <w:t>con base en las siguie</w:t>
      </w:r>
      <w:r>
        <w:rPr>
          <w:rFonts w:ascii="Bookman Old Style" w:hAnsi="Bookman Old Style" w:cs="Arial"/>
          <w:sz w:val="22"/>
          <w:szCs w:val="22"/>
          <w:lang w:val="es-ES"/>
        </w:rPr>
        <w:t>ntes consideraciones:</w:t>
      </w:r>
    </w:p>
    <w:p w14:paraId="52FCDF80" w14:textId="7CC6E7B9" w:rsidR="00011ACE" w:rsidRDefault="00011ACE" w:rsidP="009D3B87">
      <w:pPr>
        <w:pStyle w:val="Sinespaciado"/>
        <w:pBdr>
          <w:bottom w:val="single" w:sz="4" w:space="1" w:color="auto"/>
        </w:pBdr>
        <w:tabs>
          <w:tab w:val="left" w:pos="8055"/>
        </w:tabs>
        <w:rPr>
          <w:rFonts w:ascii="Bookman Old Style" w:hAnsi="Bookman Old Style" w:cs="Arial"/>
          <w:b/>
        </w:rPr>
      </w:pPr>
    </w:p>
    <w:p w14:paraId="75B49353" w14:textId="6C97EDC5" w:rsidR="009D3B87" w:rsidRDefault="009D3B87" w:rsidP="009D3B87">
      <w:pPr>
        <w:pStyle w:val="Sinespaciado"/>
        <w:pBdr>
          <w:bottom w:val="single" w:sz="4" w:space="1" w:color="auto"/>
        </w:pBdr>
        <w:tabs>
          <w:tab w:val="left" w:pos="8055"/>
        </w:tabs>
        <w:rPr>
          <w:rFonts w:ascii="Bookman Old Style" w:hAnsi="Bookman Old Style" w:cs="Arial"/>
          <w:b/>
        </w:rPr>
      </w:pPr>
    </w:p>
    <w:p w14:paraId="1B89861F" w14:textId="77777777" w:rsidR="005D6452" w:rsidRDefault="005D6452" w:rsidP="009D3B87">
      <w:pPr>
        <w:pStyle w:val="Sinespaciado"/>
        <w:pBdr>
          <w:bottom w:val="single" w:sz="4" w:space="1" w:color="auto"/>
        </w:pBdr>
        <w:tabs>
          <w:tab w:val="left" w:pos="8055"/>
        </w:tabs>
        <w:rPr>
          <w:rFonts w:ascii="Bookman Old Style" w:hAnsi="Bookman Old Style" w:cs="Arial"/>
          <w:b/>
        </w:rPr>
      </w:pPr>
    </w:p>
    <w:p w14:paraId="5A5EB547" w14:textId="331F4DEA" w:rsidR="00F36280" w:rsidRPr="00485CC5" w:rsidRDefault="00F36280" w:rsidP="00F36280">
      <w:pPr>
        <w:pStyle w:val="Sinespaciado"/>
        <w:pBdr>
          <w:bottom w:val="single" w:sz="4" w:space="1" w:color="auto"/>
        </w:pBdr>
        <w:tabs>
          <w:tab w:val="left" w:pos="8055"/>
        </w:tabs>
        <w:jc w:val="center"/>
        <w:rPr>
          <w:rFonts w:ascii="Bookman Old Style" w:hAnsi="Bookman Old Style" w:cs="Arial"/>
          <w:b/>
        </w:rPr>
      </w:pPr>
      <w:r w:rsidRPr="00485CC5">
        <w:rPr>
          <w:rFonts w:ascii="Bookman Old Style" w:hAnsi="Bookman Old Style" w:cs="Arial"/>
          <w:b/>
        </w:rPr>
        <w:t>EXPOSICIÓN DE MOTIVOS.</w:t>
      </w:r>
    </w:p>
    <w:p w14:paraId="7E5D46B9" w14:textId="77777777" w:rsidR="00F36280" w:rsidRPr="00485CC5" w:rsidRDefault="00F36280" w:rsidP="00F36280">
      <w:pPr>
        <w:pStyle w:val="Sinespaciado"/>
        <w:tabs>
          <w:tab w:val="left" w:pos="8055"/>
        </w:tabs>
        <w:jc w:val="center"/>
        <w:rPr>
          <w:rFonts w:ascii="Bookman Old Style" w:hAnsi="Bookman Old Style" w:cs="Arial"/>
          <w:b/>
          <w:sz w:val="28"/>
          <w:szCs w:val="28"/>
        </w:rPr>
      </w:pPr>
    </w:p>
    <w:p w14:paraId="42AB9A68" w14:textId="2B84BF61" w:rsidR="00F36280" w:rsidRDefault="000B0FBF" w:rsidP="000B0FBF">
      <w:pPr>
        <w:pBdr>
          <w:top w:val="nil"/>
          <w:left w:val="nil"/>
          <w:bottom w:val="nil"/>
          <w:right w:val="nil"/>
          <w:between w:val="nil"/>
        </w:pBdr>
        <w:ind w:right="115"/>
        <w:rPr>
          <w:rFonts w:ascii="Bookman Old Style" w:eastAsia="Calibri" w:hAnsi="Bookman Old Style" w:cs="Calibri"/>
          <w:b/>
          <w:szCs w:val="24"/>
        </w:rPr>
      </w:pPr>
      <w:r>
        <w:rPr>
          <w:rFonts w:ascii="Bookman Old Style" w:eastAsia="Calibri" w:hAnsi="Bookman Old Style" w:cs="Calibri"/>
          <w:b/>
          <w:szCs w:val="24"/>
        </w:rPr>
        <w:t>CONTENIDO.</w:t>
      </w:r>
    </w:p>
    <w:p w14:paraId="1EAEB931" w14:textId="77777777" w:rsidR="009D3B87" w:rsidRDefault="009D3B87" w:rsidP="000B0FBF">
      <w:pPr>
        <w:pBdr>
          <w:top w:val="nil"/>
          <w:left w:val="nil"/>
          <w:bottom w:val="nil"/>
          <w:right w:val="nil"/>
          <w:between w:val="nil"/>
        </w:pBdr>
        <w:ind w:right="115"/>
        <w:rPr>
          <w:rFonts w:ascii="Bookman Old Style" w:eastAsia="Calibri" w:hAnsi="Bookman Old Style" w:cs="Calibri"/>
          <w:b/>
          <w:szCs w:val="24"/>
        </w:rPr>
      </w:pPr>
    </w:p>
    <w:p w14:paraId="0AE7B163" w14:textId="62822F82" w:rsidR="009D3B87" w:rsidRDefault="009D3B87"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Trámite de la iniciativa.</w:t>
      </w:r>
    </w:p>
    <w:p w14:paraId="4C4F4E97" w14:textId="0D39D4DF" w:rsidR="004561C0" w:rsidRDefault="002667F2"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Objeto del Proyecto de Acto Legislativo</w:t>
      </w:r>
      <w:r w:rsidR="004561C0">
        <w:rPr>
          <w:rFonts w:ascii="Bookman Old Style" w:eastAsia="Calibri" w:hAnsi="Bookman Old Style" w:cs="Calibri"/>
          <w:bCs/>
          <w:szCs w:val="24"/>
        </w:rPr>
        <w:t>.</w:t>
      </w:r>
    </w:p>
    <w:p w14:paraId="1986C349" w14:textId="7267CCF2" w:rsidR="000B0FBF" w:rsidRPr="00647748" w:rsidRDefault="002667F2"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Conveniencia del Proyecto</w:t>
      </w:r>
      <w:r w:rsidR="000B0FBF" w:rsidRPr="00647748">
        <w:rPr>
          <w:rFonts w:ascii="Bookman Old Style" w:eastAsia="Calibri" w:hAnsi="Bookman Old Style" w:cs="Calibri"/>
          <w:bCs/>
          <w:szCs w:val="24"/>
        </w:rPr>
        <w:t>.</w:t>
      </w:r>
    </w:p>
    <w:p w14:paraId="61FE857C" w14:textId="4A736A74" w:rsidR="000B0FBF" w:rsidRPr="00647748" w:rsidRDefault="002667F2"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Derecho humano a la alimentación y nutrición adecuadas: alcance y contenidos</w:t>
      </w:r>
      <w:r w:rsidR="000B0FBF" w:rsidRPr="00647748">
        <w:rPr>
          <w:rFonts w:ascii="Bookman Old Style" w:eastAsia="Calibri" w:hAnsi="Bookman Old Style" w:cs="Calibri"/>
          <w:bCs/>
          <w:szCs w:val="24"/>
        </w:rPr>
        <w:t>.</w:t>
      </w:r>
    </w:p>
    <w:p w14:paraId="7C53C833" w14:textId="14EB5C6C" w:rsidR="000B0FBF" w:rsidRPr="00647748" w:rsidRDefault="002667F2"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Instrumentos de derecho internacional</w:t>
      </w:r>
      <w:r w:rsidR="00114CF9">
        <w:rPr>
          <w:rFonts w:ascii="Bookman Old Style" w:eastAsia="Calibri" w:hAnsi="Bookman Old Style" w:cs="Calibri"/>
          <w:bCs/>
          <w:szCs w:val="24"/>
        </w:rPr>
        <w:t>.</w:t>
      </w:r>
    </w:p>
    <w:p w14:paraId="621A0259" w14:textId="06E62658" w:rsidR="00FF35F1" w:rsidRDefault="00C44254"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Cuadro comparativo</w:t>
      </w:r>
      <w:r w:rsidRPr="00647748">
        <w:rPr>
          <w:rFonts w:ascii="Bookman Old Style" w:eastAsia="Calibri" w:hAnsi="Bookman Old Style" w:cs="Calibri"/>
          <w:bCs/>
          <w:szCs w:val="24"/>
        </w:rPr>
        <w:t xml:space="preserve"> Constitución</w:t>
      </w:r>
      <w:r w:rsidR="00FF35F1">
        <w:rPr>
          <w:rFonts w:ascii="Bookman Old Style" w:eastAsia="Calibri" w:hAnsi="Bookman Old Style" w:cs="Calibri"/>
          <w:bCs/>
          <w:szCs w:val="24"/>
        </w:rPr>
        <w:t>.</w:t>
      </w:r>
    </w:p>
    <w:p w14:paraId="6BEBF969" w14:textId="6864B0BF" w:rsidR="00647748" w:rsidRPr="00647748" w:rsidRDefault="00C44254"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lastRenderedPageBreak/>
        <w:t>Conclusión</w:t>
      </w:r>
      <w:r w:rsidR="005B5FC0">
        <w:rPr>
          <w:rFonts w:ascii="Bookman Old Style" w:eastAsia="Calibri" w:hAnsi="Bookman Old Style" w:cs="Calibri"/>
          <w:bCs/>
          <w:szCs w:val="24"/>
        </w:rPr>
        <w:t>.</w:t>
      </w:r>
    </w:p>
    <w:p w14:paraId="7FA50554" w14:textId="21A92FC4" w:rsidR="009D3B87" w:rsidRDefault="009D3B87"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Competencia del Congreso</w:t>
      </w:r>
    </w:p>
    <w:p w14:paraId="6EBCA10C" w14:textId="6AFCCF2E" w:rsidR="005B598C" w:rsidRPr="00647748" w:rsidRDefault="005B598C"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Conflicto</w:t>
      </w:r>
      <w:r w:rsidR="00254DDC">
        <w:rPr>
          <w:rFonts w:ascii="Bookman Old Style" w:eastAsia="Calibri" w:hAnsi="Bookman Old Style" w:cs="Calibri"/>
          <w:bCs/>
          <w:szCs w:val="24"/>
        </w:rPr>
        <w:t>s</w:t>
      </w:r>
      <w:r>
        <w:rPr>
          <w:rFonts w:ascii="Bookman Old Style" w:eastAsia="Calibri" w:hAnsi="Bookman Old Style" w:cs="Calibri"/>
          <w:bCs/>
          <w:szCs w:val="24"/>
        </w:rPr>
        <w:t xml:space="preserve"> de Interés.</w:t>
      </w:r>
    </w:p>
    <w:p w14:paraId="1E67F89A" w14:textId="4E655E44" w:rsidR="009D3B87" w:rsidRDefault="009D3B87"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Proposición.</w:t>
      </w:r>
    </w:p>
    <w:p w14:paraId="557B3DCC" w14:textId="35055689" w:rsidR="00647748" w:rsidRPr="002667F2" w:rsidRDefault="009D3B87" w:rsidP="002667F2">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Texto propuesto para primer debate al Proyecto de Acto Legislativo número 0</w:t>
      </w:r>
      <w:r w:rsidR="002667F2">
        <w:rPr>
          <w:rFonts w:ascii="Bookman Old Style" w:eastAsia="Calibri" w:hAnsi="Bookman Old Style" w:cs="Calibri"/>
          <w:bCs/>
          <w:szCs w:val="24"/>
        </w:rPr>
        <w:t>41</w:t>
      </w:r>
      <w:r>
        <w:rPr>
          <w:rFonts w:ascii="Bookman Old Style" w:eastAsia="Calibri" w:hAnsi="Bookman Old Style" w:cs="Calibri"/>
          <w:bCs/>
          <w:szCs w:val="24"/>
        </w:rPr>
        <w:t xml:space="preserve"> de 2021 Cámara</w:t>
      </w:r>
      <w:r w:rsidR="005B5FC0" w:rsidRPr="002667F2">
        <w:rPr>
          <w:rFonts w:ascii="Bookman Old Style" w:eastAsia="Calibri" w:hAnsi="Bookman Old Style" w:cs="Calibri"/>
          <w:bCs/>
          <w:szCs w:val="24"/>
        </w:rPr>
        <w:t>.</w:t>
      </w:r>
    </w:p>
    <w:p w14:paraId="34F7E83C" w14:textId="05EB07F1" w:rsidR="00FF35F1" w:rsidRDefault="00FF35F1" w:rsidP="00407EBA">
      <w:pPr>
        <w:pBdr>
          <w:top w:val="nil"/>
          <w:left w:val="nil"/>
          <w:bottom w:val="nil"/>
          <w:right w:val="nil"/>
          <w:between w:val="nil"/>
        </w:pBdr>
        <w:ind w:right="115"/>
        <w:rPr>
          <w:rFonts w:ascii="Bookman Old Style" w:eastAsia="Calibri" w:hAnsi="Bookman Old Style" w:cs="Calibri"/>
          <w:b/>
          <w:szCs w:val="24"/>
        </w:rPr>
      </w:pPr>
    </w:p>
    <w:p w14:paraId="249C5044" w14:textId="77777777" w:rsidR="005D6452" w:rsidRPr="00485CC5" w:rsidRDefault="005D6452" w:rsidP="00407EBA">
      <w:pPr>
        <w:pBdr>
          <w:top w:val="nil"/>
          <w:left w:val="nil"/>
          <w:bottom w:val="nil"/>
          <w:right w:val="nil"/>
          <w:between w:val="nil"/>
        </w:pBdr>
        <w:ind w:right="115"/>
        <w:rPr>
          <w:rFonts w:ascii="Bookman Old Style" w:eastAsia="Calibri" w:hAnsi="Bookman Old Style" w:cs="Calibri"/>
          <w:b/>
          <w:szCs w:val="24"/>
        </w:rPr>
      </w:pPr>
    </w:p>
    <w:p w14:paraId="51882C71" w14:textId="2824D7D7" w:rsidR="00407EBA" w:rsidRDefault="00407EBA" w:rsidP="00B64773">
      <w:pPr>
        <w:pStyle w:val="Ttulo2"/>
        <w:numPr>
          <w:ilvl w:val="0"/>
          <w:numId w:val="35"/>
        </w:numPr>
        <w:ind w:left="0" w:firstLine="0"/>
        <w:jc w:val="center"/>
        <w:rPr>
          <w:rFonts w:ascii="Bookman Old Style" w:eastAsia="Calibri" w:hAnsi="Bookman Old Style" w:cs="Calibri"/>
          <w:sz w:val="22"/>
          <w:szCs w:val="24"/>
        </w:rPr>
      </w:pPr>
      <w:r>
        <w:rPr>
          <w:rFonts w:ascii="Bookman Old Style" w:eastAsia="Calibri" w:hAnsi="Bookman Old Style" w:cs="Calibri"/>
          <w:sz w:val="22"/>
          <w:szCs w:val="24"/>
        </w:rPr>
        <w:t>TRÁMITE DE LA INICIATIVA.</w:t>
      </w:r>
    </w:p>
    <w:p w14:paraId="4108D126" w14:textId="77777777" w:rsidR="00407EBA" w:rsidRDefault="00407EBA" w:rsidP="00407EBA">
      <w:pPr>
        <w:pStyle w:val="Ttulo2"/>
        <w:ind w:left="360"/>
        <w:rPr>
          <w:rFonts w:ascii="Bookman Old Style" w:eastAsia="Calibri" w:hAnsi="Bookman Old Style" w:cs="Calibri"/>
          <w:sz w:val="22"/>
          <w:szCs w:val="24"/>
        </w:rPr>
      </w:pPr>
    </w:p>
    <w:p w14:paraId="300582E9" w14:textId="37BFD127" w:rsidR="00407EBA" w:rsidRPr="00407EBA" w:rsidRDefault="00407EBA" w:rsidP="00407EBA">
      <w:pPr>
        <w:pStyle w:val="Ttulo2"/>
        <w:jc w:val="both"/>
        <w:rPr>
          <w:rFonts w:ascii="Bookman Old Style" w:eastAsia="Calibri" w:hAnsi="Bookman Old Style" w:cs="Calibri"/>
          <w:b w:val="0"/>
          <w:bCs/>
          <w:sz w:val="22"/>
          <w:szCs w:val="24"/>
        </w:rPr>
      </w:pPr>
      <w:r>
        <w:rPr>
          <w:rFonts w:ascii="Bookman Old Style" w:eastAsia="Calibri" w:hAnsi="Bookman Old Style" w:cs="Calibri"/>
          <w:b w:val="0"/>
          <w:bCs/>
          <w:sz w:val="22"/>
          <w:szCs w:val="24"/>
        </w:rPr>
        <w:t>El Proyecto de Acto Legislativo número 0</w:t>
      </w:r>
      <w:r w:rsidR="008F39D0">
        <w:rPr>
          <w:rFonts w:ascii="Bookman Old Style" w:eastAsia="Calibri" w:hAnsi="Bookman Old Style" w:cs="Calibri"/>
          <w:b w:val="0"/>
          <w:bCs/>
          <w:sz w:val="22"/>
          <w:szCs w:val="24"/>
        </w:rPr>
        <w:t>41</w:t>
      </w:r>
      <w:r>
        <w:rPr>
          <w:rFonts w:ascii="Bookman Old Style" w:eastAsia="Calibri" w:hAnsi="Bookman Old Style" w:cs="Calibri"/>
          <w:b w:val="0"/>
          <w:bCs/>
          <w:sz w:val="22"/>
          <w:szCs w:val="24"/>
        </w:rPr>
        <w:t xml:space="preserve"> de 2021 Cámara fue radicado el día 20 de julio de 2021 por los </w:t>
      </w:r>
      <w:r w:rsidR="008F39D0" w:rsidRPr="008F39D0">
        <w:rPr>
          <w:rFonts w:ascii="Bookman Old Style" w:eastAsia="Calibri" w:hAnsi="Bookman Old Style" w:cs="Calibri"/>
          <w:b w:val="0"/>
          <w:bCs/>
          <w:sz w:val="22"/>
          <w:szCs w:val="24"/>
        </w:rPr>
        <w:t>H.R.</w:t>
      </w:r>
      <w:r w:rsidR="008F39D0">
        <w:rPr>
          <w:rFonts w:ascii="Bookman Old Style" w:eastAsia="Calibri" w:hAnsi="Bookman Old Style" w:cs="Calibri"/>
          <w:b w:val="0"/>
          <w:bCs/>
          <w:sz w:val="22"/>
          <w:szCs w:val="24"/>
        </w:rPr>
        <w:t xml:space="preserve"> </w:t>
      </w:r>
      <w:r w:rsidR="008F39D0" w:rsidRPr="008F39D0">
        <w:rPr>
          <w:rFonts w:ascii="Bookman Old Style" w:eastAsia="Calibri" w:hAnsi="Bookman Old Style" w:cs="Calibri"/>
          <w:b w:val="0"/>
          <w:bCs/>
          <w:sz w:val="22"/>
          <w:szCs w:val="24"/>
        </w:rPr>
        <w:t>Julián Peinado Ramírez, Juan Carlos Lozada Vargas, John Jairo Roldan Avendaño, Jezmi Lizeth Barraza Arraut, Andrés David Calle Aguas, Alejandro Alberto Vega Pérez, Alfredo Rafael Deluque Zuleta, Harry Giovanny González García, Norma Hurtado Sánchez, Cesar Augusto Lorduy Maldonado</w:t>
      </w:r>
      <w:r>
        <w:rPr>
          <w:rFonts w:ascii="Bookman Old Style" w:eastAsia="Calibri" w:hAnsi="Bookman Old Style" w:cs="Calibri"/>
          <w:b w:val="0"/>
          <w:bCs/>
          <w:sz w:val="22"/>
          <w:szCs w:val="24"/>
        </w:rPr>
        <w:t xml:space="preserve"> y los </w:t>
      </w:r>
      <w:r w:rsidRPr="00407EBA">
        <w:rPr>
          <w:rFonts w:ascii="Bookman Old Style" w:eastAsia="Calibri" w:hAnsi="Bookman Old Style" w:cs="Calibri"/>
          <w:b w:val="0"/>
          <w:bCs/>
          <w:sz w:val="22"/>
          <w:szCs w:val="24"/>
        </w:rPr>
        <w:t>H.S.</w:t>
      </w:r>
      <w:r>
        <w:rPr>
          <w:rFonts w:ascii="Bookman Old Style" w:eastAsia="Calibri" w:hAnsi="Bookman Old Style" w:cs="Calibri"/>
          <w:b w:val="0"/>
          <w:bCs/>
          <w:sz w:val="22"/>
          <w:szCs w:val="24"/>
        </w:rPr>
        <w:t xml:space="preserve"> </w:t>
      </w:r>
      <w:r w:rsidR="008F39D0" w:rsidRPr="008F39D0">
        <w:rPr>
          <w:rFonts w:ascii="Bookman Old Style" w:eastAsia="Calibri" w:hAnsi="Bookman Old Style" w:cs="Calibri"/>
          <w:b w:val="0"/>
          <w:bCs/>
          <w:sz w:val="22"/>
          <w:szCs w:val="24"/>
        </w:rPr>
        <w:t>Juan Luis Castro Córdoba</w:t>
      </w:r>
      <w:r w:rsidR="008F39D0">
        <w:rPr>
          <w:rFonts w:ascii="Bookman Old Style" w:eastAsia="Calibri" w:hAnsi="Bookman Old Style" w:cs="Calibri"/>
          <w:b w:val="0"/>
          <w:bCs/>
          <w:sz w:val="22"/>
          <w:szCs w:val="24"/>
        </w:rPr>
        <w:t xml:space="preserve"> y </w:t>
      </w:r>
      <w:r w:rsidR="008F39D0" w:rsidRPr="008F39D0">
        <w:rPr>
          <w:rFonts w:ascii="Bookman Old Style" w:eastAsia="Calibri" w:hAnsi="Bookman Old Style" w:cs="Calibri"/>
          <w:b w:val="0"/>
          <w:bCs/>
          <w:sz w:val="22"/>
          <w:szCs w:val="24"/>
        </w:rPr>
        <w:t xml:space="preserve">Angélica </w:t>
      </w:r>
      <w:r w:rsidR="008F39D0">
        <w:rPr>
          <w:rFonts w:ascii="Bookman Old Style" w:eastAsia="Calibri" w:hAnsi="Bookman Old Style" w:cs="Calibri"/>
          <w:b w:val="0"/>
          <w:bCs/>
          <w:sz w:val="22"/>
          <w:szCs w:val="24"/>
        </w:rPr>
        <w:t>L</w:t>
      </w:r>
      <w:r w:rsidR="008F39D0" w:rsidRPr="008F39D0">
        <w:rPr>
          <w:rFonts w:ascii="Bookman Old Style" w:eastAsia="Calibri" w:hAnsi="Bookman Old Style" w:cs="Calibri"/>
          <w:b w:val="0"/>
          <w:bCs/>
          <w:sz w:val="22"/>
          <w:szCs w:val="24"/>
        </w:rPr>
        <w:t xml:space="preserve">isbeth </w:t>
      </w:r>
      <w:r w:rsidR="008F39D0">
        <w:rPr>
          <w:rFonts w:ascii="Bookman Old Style" w:eastAsia="Calibri" w:hAnsi="Bookman Old Style" w:cs="Calibri"/>
          <w:b w:val="0"/>
          <w:bCs/>
          <w:sz w:val="22"/>
          <w:szCs w:val="24"/>
        </w:rPr>
        <w:t>L</w:t>
      </w:r>
      <w:r w:rsidR="008F39D0" w:rsidRPr="008F39D0">
        <w:rPr>
          <w:rFonts w:ascii="Bookman Old Style" w:eastAsia="Calibri" w:hAnsi="Bookman Old Style" w:cs="Calibri"/>
          <w:b w:val="0"/>
          <w:bCs/>
          <w:sz w:val="22"/>
          <w:szCs w:val="24"/>
        </w:rPr>
        <w:t xml:space="preserve">ozano </w:t>
      </w:r>
      <w:r w:rsidR="008F39D0">
        <w:rPr>
          <w:rFonts w:ascii="Bookman Old Style" w:eastAsia="Calibri" w:hAnsi="Bookman Old Style" w:cs="Calibri"/>
          <w:b w:val="0"/>
          <w:bCs/>
          <w:sz w:val="22"/>
          <w:szCs w:val="24"/>
        </w:rPr>
        <w:t>C</w:t>
      </w:r>
      <w:r w:rsidR="008F39D0" w:rsidRPr="008F39D0">
        <w:rPr>
          <w:rFonts w:ascii="Bookman Old Style" w:eastAsia="Calibri" w:hAnsi="Bookman Old Style" w:cs="Calibri"/>
          <w:b w:val="0"/>
          <w:bCs/>
          <w:sz w:val="22"/>
          <w:szCs w:val="24"/>
        </w:rPr>
        <w:t>orrea</w:t>
      </w:r>
      <w:r>
        <w:rPr>
          <w:rFonts w:ascii="Bookman Old Style" w:eastAsia="Calibri" w:hAnsi="Bookman Old Style" w:cs="Calibri"/>
          <w:b w:val="0"/>
          <w:bCs/>
          <w:sz w:val="22"/>
          <w:szCs w:val="24"/>
        </w:rPr>
        <w:t>. El día 1</w:t>
      </w:r>
      <w:r w:rsidR="008F39D0">
        <w:rPr>
          <w:rFonts w:ascii="Bookman Old Style" w:eastAsia="Calibri" w:hAnsi="Bookman Old Style" w:cs="Calibri"/>
          <w:b w:val="0"/>
          <w:bCs/>
          <w:sz w:val="22"/>
          <w:szCs w:val="24"/>
        </w:rPr>
        <w:t>8</w:t>
      </w:r>
      <w:r>
        <w:rPr>
          <w:rFonts w:ascii="Bookman Old Style" w:eastAsia="Calibri" w:hAnsi="Bookman Old Style" w:cs="Calibri"/>
          <w:b w:val="0"/>
          <w:bCs/>
          <w:sz w:val="22"/>
          <w:szCs w:val="24"/>
        </w:rPr>
        <w:t xml:space="preserve"> de agosto se designó como ponente al H.R. Juan Carlos Lozada Vargas.</w:t>
      </w:r>
    </w:p>
    <w:p w14:paraId="55C7ADC1" w14:textId="1BBFFE86" w:rsidR="00407EBA" w:rsidRDefault="00407EBA" w:rsidP="00407EBA">
      <w:pPr>
        <w:rPr>
          <w:rFonts w:eastAsia="Calibri"/>
        </w:rPr>
      </w:pPr>
    </w:p>
    <w:p w14:paraId="2F94088A" w14:textId="77777777" w:rsidR="005D6452" w:rsidRPr="00407EBA" w:rsidRDefault="005D6452" w:rsidP="00407EBA">
      <w:pPr>
        <w:rPr>
          <w:rFonts w:eastAsia="Calibri"/>
        </w:rPr>
      </w:pPr>
    </w:p>
    <w:p w14:paraId="0A376DD9" w14:textId="129D6178" w:rsidR="009B6C3A" w:rsidRDefault="008F39D0" w:rsidP="00B64773">
      <w:pPr>
        <w:pStyle w:val="Ttulo2"/>
        <w:numPr>
          <w:ilvl w:val="0"/>
          <w:numId w:val="35"/>
        </w:numPr>
        <w:ind w:left="0" w:firstLine="0"/>
        <w:jc w:val="center"/>
        <w:rPr>
          <w:rFonts w:ascii="Bookman Old Style" w:eastAsia="Calibri" w:hAnsi="Bookman Old Style" w:cs="Calibri"/>
          <w:sz w:val="22"/>
          <w:szCs w:val="24"/>
        </w:rPr>
      </w:pPr>
      <w:r>
        <w:rPr>
          <w:rFonts w:ascii="Bookman Old Style" w:eastAsia="Calibri" w:hAnsi="Bookman Old Style" w:cs="Calibri"/>
          <w:sz w:val="22"/>
          <w:szCs w:val="24"/>
        </w:rPr>
        <w:t>OBJETO DEL PROYECTO DE ACTO LEGISLATIVO</w:t>
      </w:r>
      <w:r w:rsidR="008D6C03">
        <w:rPr>
          <w:rFonts w:ascii="Bookman Old Style" w:eastAsia="Calibri" w:hAnsi="Bookman Old Style" w:cs="Calibri"/>
          <w:sz w:val="22"/>
          <w:szCs w:val="24"/>
        </w:rPr>
        <w:t>.</w:t>
      </w:r>
    </w:p>
    <w:p w14:paraId="0B7DCF83" w14:textId="77777777" w:rsidR="009B6C3A" w:rsidRPr="009B6C3A" w:rsidRDefault="009B6C3A" w:rsidP="009B6C3A">
      <w:pPr>
        <w:rPr>
          <w:rFonts w:eastAsia="Calibri"/>
        </w:rPr>
      </w:pPr>
    </w:p>
    <w:p w14:paraId="000CC632" w14:textId="184D0F77" w:rsidR="00AF62CD" w:rsidRPr="008F39D0" w:rsidRDefault="008F39D0" w:rsidP="009B6C3A">
      <w:pPr>
        <w:jc w:val="both"/>
        <w:rPr>
          <w:rFonts w:ascii="Bookman Old Style" w:hAnsi="Bookman Old Style"/>
        </w:rPr>
      </w:pPr>
      <w:r w:rsidRPr="008F39D0">
        <w:rPr>
          <w:rFonts w:ascii="Bookman Old Style" w:hAnsi="Bookman Old Style"/>
        </w:rPr>
        <w:t xml:space="preserve">El presente acto legislativo busca elevar a rango constitucional el derecho humano a la alimentación y a no padecer hambre, poniendo a Colombia a la altura de los mandatos establecidos en normas internacionales de derechos humanos que han desarrollado este derecho y permitiendo que el país avance en desarrollos normativos acordes con los instrumentos internacionales de derechos humanos que el Estado ha ratificado. </w:t>
      </w:r>
      <w:r w:rsidR="00E716E1">
        <w:rPr>
          <w:rFonts w:ascii="Bookman Old Style" w:hAnsi="Bookman Old Style"/>
        </w:rPr>
        <w:t>S</w:t>
      </w:r>
      <w:r w:rsidRPr="008F39D0">
        <w:rPr>
          <w:rFonts w:ascii="Bookman Old Style" w:hAnsi="Bookman Old Style"/>
        </w:rPr>
        <w:t>e propone</w:t>
      </w:r>
      <w:r w:rsidR="00E716E1">
        <w:rPr>
          <w:rFonts w:ascii="Bookman Old Style" w:hAnsi="Bookman Old Style"/>
        </w:rPr>
        <w:t xml:space="preserve"> entonces</w:t>
      </w:r>
      <w:r w:rsidRPr="008F39D0">
        <w:rPr>
          <w:rFonts w:ascii="Bookman Old Style" w:hAnsi="Bookman Old Style"/>
        </w:rPr>
        <w:t xml:space="preserve"> modificar el artículo 65 de la Constitución Política de Colombia para elevar a rango constitucional los derechos a la alimentación y nutrición adecuada, y a no padecer hambre. </w:t>
      </w:r>
      <w:r w:rsidR="00E716E1">
        <w:rPr>
          <w:rFonts w:ascii="Bookman Old Style" w:hAnsi="Bookman Old Style"/>
        </w:rPr>
        <w:t>C</w:t>
      </w:r>
      <w:r w:rsidR="00E716E1" w:rsidRPr="008F39D0">
        <w:rPr>
          <w:rFonts w:ascii="Bookman Old Style" w:hAnsi="Bookman Old Style"/>
        </w:rPr>
        <w:t>rea</w:t>
      </w:r>
      <w:r w:rsidR="00E716E1">
        <w:rPr>
          <w:rFonts w:ascii="Bookman Old Style" w:hAnsi="Bookman Old Style"/>
        </w:rPr>
        <w:t xml:space="preserve">ndo, además, </w:t>
      </w:r>
      <w:r w:rsidR="00E716E1" w:rsidRPr="008F39D0">
        <w:rPr>
          <w:rFonts w:ascii="Bookman Old Style" w:hAnsi="Bookman Old Style"/>
        </w:rPr>
        <w:t>un</w:t>
      </w:r>
      <w:r w:rsidRPr="008F39D0">
        <w:rPr>
          <w:rFonts w:ascii="Bookman Old Style" w:hAnsi="Bookman Old Style"/>
        </w:rPr>
        <w:t xml:space="preserve"> mandato específico para que el Estado garantice estos derechos. Por otro </w:t>
      </w:r>
      <w:r w:rsidR="00E716E1" w:rsidRPr="008F39D0">
        <w:rPr>
          <w:rFonts w:ascii="Bookman Old Style" w:hAnsi="Bookman Old Style"/>
        </w:rPr>
        <w:t>lado,</w:t>
      </w:r>
      <w:r w:rsidR="00E716E1">
        <w:rPr>
          <w:rFonts w:ascii="Bookman Old Style" w:hAnsi="Bookman Old Style"/>
        </w:rPr>
        <w:t xml:space="preserve"> y bajo esta misma línea</w:t>
      </w:r>
      <w:r w:rsidRPr="008F39D0">
        <w:rPr>
          <w:rFonts w:ascii="Bookman Old Style" w:hAnsi="Bookman Old Style"/>
        </w:rPr>
        <w:t xml:space="preserve">, el Acto Legislativo </w:t>
      </w:r>
      <w:r w:rsidR="00E716E1">
        <w:rPr>
          <w:rFonts w:ascii="Bookman Old Style" w:hAnsi="Bookman Old Style"/>
        </w:rPr>
        <w:t>041</w:t>
      </w:r>
      <w:r w:rsidRPr="008F39D0">
        <w:rPr>
          <w:rFonts w:ascii="Bookman Old Style" w:hAnsi="Bookman Old Style"/>
        </w:rPr>
        <w:t xml:space="preserve"> de 202</w:t>
      </w:r>
      <w:r w:rsidR="00E716E1">
        <w:rPr>
          <w:rFonts w:ascii="Bookman Old Style" w:hAnsi="Bookman Old Style"/>
        </w:rPr>
        <w:t>1</w:t>
      </w:r>
      <w:r w:rsidRPr="008F39D0">
        <w:rPr>
          <w:rFonts w:ascii="Bookman Old Style" w:hAnsi="Bookman Old Style"/>
        </w:rPr>
        <w:t xml:space="preserve"> Cámara pretende modificar el artículo 45 de la constitución, para establecer e</w:t>
      </w:r>
      <w:r w:rsidR="00E716E1">
        <w:rPr>
          <w:rFonts w:ascii="Bookman Old Style" w:hAnsi="Bookman Old Style"/>
        </w:rPr>
        <w:t>ste</w:t>
      </w:r>
      <w:r w:rsidRPr="008F39D0">
        <w:rPr>
          <w:rFonts w:ascii="Bookman Old Style" w:hAnsi="Bookman Old Style"/>
        </w:rPr>
        <w:t xml:space="preserve"> mismo derecho para los adolescentes</w:t>
      </w:r>
      <w:r w:rsidR="00E716E1">
        <w:rPr>
          <w:rFonts w:ascii="Bookman Old Style" w:hAnsi="Bookman Old Style"/>
        </w:rPr>
        <w:t xml:space="preserve"> del país</w:t>
      </w:r>
      <w:r w:rsidR="00DA389D" w:rsidRPr="008F39D0">
        <w:rPr>
          <w:rFonts w:ascii="Bookman Old Style" w:eastAsia="Calibri" w:hAnsi="Bookman Old Style" w:cs="Calibri"/>
          <w:bCs/>
          <w:iCs/>
        </w:rPr>
        <w:t>.</w:t>
      </w:r>
    </w:p>
    <w:p w14:paraId="25EDC6DE" w14:textId="5D184FE7" w:rsidR="009B6C3A" w:rsidRDefault="009B6C3A" w:rsidP="009B6C3A">
      <w:pPr>
        <w:jc w:val="both"/>
        <w:rPr>
          <w:rFonts w:eastAsia="Calibri"/>
        </w:rPr>
      </w:pPr>
    </w:p>
    <w:p w14:paraId="08BE2C7C" w14:textId="77777777" w:rsidR="005D6452" w:rsidRPr="009B6C3A" w:rsidRDefault="005D6452" w:rsidP="009B6C3A">
      <w:pPr>
        <w:jc w:val="both"/>
        <w:rPr>
          <w:rFonts w:eastAsia="Calibri"/>
        </w:rPr>
      </w:pPr>
    </w:p>
    <w:p w14:paraId="2DF304FF" w14:textId="276ED3F2" w:rsidR="00F36280" w:rsidRPr="00485CC5" w:rsidRDefault="00AD27B6" w:rsidP="00B64773">
      <w:pPr>
        <w:pStyle w:val="Ttulo2"/>
        <w:numPr>
          <w:ilvl w:val="0"/>
          <w:numId w:val="35"/>
        </w:numPr>
        <w:ind w:left="0" w:firstLine="0"/>
        <w:jc w:val="center"/>
        <w:rPr>
          <w:rFonts w:ascii="Bookman Old Style" w:eastAsia="Calibri" w:hAnsi="Bookman Old Style" w:cs="Calibri"/>
          <w:sz w:val="22"/>
          <w:szCs w:val="24"/>
        </w:rPr>
      </w:pPr>
      <w:r>
        <w:rPr>
          <w:rFonts w:ascii="Bookman Old Style" w:eastAsia="Calibri" w:hAnsi="Bookman Old Style" w:cs="Calibri"/>
          <w:sz w:val="22"/>
          <w:szCs w:val="24"/>
        </w:rPr>
        <w:t>CONVENIENCIA DEL PROYECTO</w:t>
      </w:r>
      <w:r w:rsidR="008D6C03">
        <w:rPr>
          <w:rFonts w:ascii="Bookman Old Style" w:eastAsia="Calibri" w:hAnsi="Bookman Old Style" w:cs="Calibri"/>
          <w:sz w:val="22"/>
          <w:szCs w:val="24"/>
        </w:rPr>
        <w:t>.</w:t>
      </w:r>
    </w:p>
    <w:p w14:paraId="5F137603" w14:textId="77777777" w:rsidR="00F36280" w:rsidRPr="00485CC5" w:rsidRDefault="00F36280" w:rsidP="00F36280">
      <w:pPr>
        <w:pStyle w:val="Ttulo2"/>
        <w:ind w:left="0"/>
        <w:rPr>
          <w:rFonts w:ascii="Bookman Old Style" w:eastAsia="Calibri" w:hAnsi="Bookman Old Style" w:cs="Calibri"/>
          <w:b w:val="0"/>
          <w:sz w:val="22"/>
          <w:szCs w:val="24"/>
        </w:rPr>
      </w:pPr>
    </w:p>
    <w:p w14:paraId="72E2A29A" w14:textId="3C9CFEF7" w:rsidR="00AD27B6" w:rsidRPr="00AD27B6" w:rsidRDefault="00AD27B6" w:rsidP="00AD27B6">
      <w:pPr>
        <w:jc w:val="both"/>
        <w:rPr>
          <w:rFonts w:ascii="Bookman Old Style" w:hAnsi="Bookman Old Style"/>
        </w:rPr>
      </w:pPr>
      <w:r w:rsidRPr="00AD27B6">
        <w:rPr>
          <w:rFonts w:ascii="Bookman Old Style" w:hAnsi="Bookman Old Style"/>
        </w:rPr>
        <w:t xml:space="preserve">De acuerdo con el Reporte Global sobre Crisis Alimentarias 2020, </w:t>
      </w:r>
      <w:r w:rsidR="00E716E1" w:rsidRPr="00AD27B6">
        <w:rPr>
          <w:rFonts w:ascii="Bookman Old Style" w:hAnsi="Bookman Old Style"/>
        </w:rPr>
        <w:t>desde que el informe comenzó a producirse en 2017</w:t>
      </w:r>
      <w:r w:rsidR="00E716E1">
        <w:rPr>
          <w:rFonts w:ascii="Bookman Old Style" w:hAnsi="Bookman Old Style"/>
        </w:rPr>
        <w:t xml:space="preserve">, </w:t>
      </w:r>
      <w:r w:rsidRPr="00AD27B6">
        <w:rPr>
          <w:rFonts w:ascii="Bookman Old Style" w:hAnsi="Bookman Old Style"/>
        </w:rPr>
        <w:t xml:space="preserve">en 2019 se presentó el nivel más alto de inseguridad alimentaria aguda – es decir, aquella en que </w:t>
      </w:r>
      <w:r w:rsidRPr="00AD27B6">
        <w:rPr>
          <w:rFonts w:ascii="Bookman Old Style" w:hAnsi="Bookman Old Style"/>
          <w:i/>
          <w:iCs/>
        </w:rPr>
        <w:t>“(…) la incapacidad de una persona para consumir alimentos adecuados</w:t>
      </w:r>
      <w:r w:rsidRPr="00AD27B6">
        <w:rPr>
          <w:rFonts w:ascii="Bookman Old Style" w:hAnsi="Bookman Old Style"/>
          <w:i/>
          <w:iCs/>
        </w:rPr>
        <w:br/>
        <w:t>pone en peligro inmediato su vida o sus medios de subsistencia</w:t>
      </w:r>
      <w:r w:rsidRPr="00AD27B6">
        <w:rPr>
          <w:rFonts w:ascii="Bookman Old Style" w:hAnsi="Bookman Old Style"/>
        </w:rPr>
        <w:t>”</w:t>
      </w:r>
      <w:r w:rsidRPr="00AD27B6">
        <w:rPr>
          <w:rFonts w:ascii="Bookman Old Style" w:hAnsi="Bookman Old Style"/>
          <w:vertAlign w:val="superscript"/>
        </w:rPr>
        <w:footnoteReference w:id="1"/>
      </w:r>
      <w:r w:rsidRPr="00AD27B6">
        <w:rPr>
          <w:rFonts w:ascii="Bookman Old Style" w:hAnsi="Bookman Old Style"/>
        </w:rPr>
        <w:t xml:space="preserve">. Aproximadamente 135 millones de personas se </w:t>
      </w:r>
      <w:r w:rsidR="005938E8" w:rsidRPr="00AD27B6">
        <w:rPr>
          <w:rFonts w:ascii="Bookman Old Style" w:hAnsi="Bookman Old Style"/>
        </w:rPr>
        <w:t>encontrab</w:t>
      </w:r>
      <w:r w:rsidR="005938E8">
        <w:rPr>
          <w:rFonts w:ascii="Bookman Old Style" w:hAnsi="Bookman Old Style"/>
        </w:rPr>
        <w:t>an</w:t>
      </w:r>
      <w:r w:rsidRPr="00AD27B6">
        <w:rPr>
          <w:rFonts w:ascii="Bookman Old Style" w:hAnsi="Bookman Old Style"/>
        </w:rPr>
        <w:t xml:space="preserve"> en ese nivel de </w:t>
      </w:r>
      <w:r w:rsidRPr="00AD27B6">
        <w:rPr>
          <w:rFonts w:ascii="Bookman Old Style" w:hAnsi="Bookman Old Style"/>
        </w:rPr>
        <w:lastRenderedPageBreak/>
        <w:t>inseguridad alimentaria, mientras que otros 183 millones est</w:t>
      </w:r>
      <w:r w:rsidR="00E5082E">
        <w:rPr>
          <w:rFonts w:ascii="Bookman Old Style" w:hAnsi="Bookman Old Style"/>
        </w:rPr>
        <w:t>aban</w:t>
      </w:r>
      <w:r w:rsidRPr="00AD27B6">
        <w:rPr>
          <w:rFonts w:ascii="Bookman Old Style" w:hAnsi="Bookman Old Style"/>
        </w:rPr>
        <w:t xml:space="preserve"> en riesgo de llegar a ese nivel</w:t>
      </w:r>
      <w:r w:rsidRPr="00AD27B6">
        <w:rPr>
          <w:rFonts w:ascii="Bookman Old Style" w:hAnsi="Bookman Old Style"/>
          <w:vertAlign w:val="superscript"/>
        </w:rPr>
        <w:footnoteReference w:id="2"/>
      </w:r>
      <w:r w:rsidRPr="00AD27B6">
        <w:rPr>
          <w:rFonts w:ascii="Bookman Old Style" w:hAnsi="Bookman Old Style"/>
        </w:rPr>
        <w:t>. Aunque el reporte se hizo antes de que la enfermedad causada por el COVID-19 se convirtiera en una pandemia, en este se sostiene lo siguiente:</w:t>
      </w:r>
    </w:p>
    <w:p w14:paraId="34198D7E" w14:textId="77777777" w:rsidR="00AD27B6" w:rsidRDefault="00AD27B6" w:rsidP="00AD27B6">
      <w:pPr>
        <w:ind w:left="709" w:right="709"/>
        <w:jc w:val="both"/>
        <w:rPr>
          <w:rFonts w:ascii="Bookman Old Style" w:hAnsi="Bookman Old Style"/>
        </w:rPr>
      </w:pPr>
    </w:p>
    <w:p w14:paraId="7B84EAFF" w14:textId="49D9658C" w:rsidR="00AD27B6" w:rsidRPr="00AD27B6" w:rsidRDefault="00AD27B6" w:rsidP="00AD27B6">
      <w:pPr>
        <w:ind w:left="851" w:right="900"/>
        <w:jc w:val="both"/>
        <w:rPr>
          <w:rFonts w:ascii="Bookman Old Style" w:hAnsi="Bookman Old Style"/>
          <w:i/>
          <w:iCs/>
        </w:rPr>
      </w:pPr>
      <w:r w:rsidRPr="00AD27B6">
        <w:rPr>
          <w:rFonts w:ascii="Bookman Old Style" w:hAnsi="Bookman Old Style"/>
          <w:i/>
          <w:iCs/>
        </w:rPr>
        <w:t>“La pandemia probablemente devastará los medios de subsistencia y la seguridad alimentaria, especialmente en contextos de fragilidad y particularmente para las personas más vulnerables que trabajan en los sectores agrícolas y no agrícolas informales. Una recesión global probablemente interrumpa las cadenas de suministro de alimento”.</w:t>
      </w:r>
    </w:p>
    <w:p w14:paraId="762D7B20" w14:textId="77777777" w:rsidR="00AD27B6" w:rsidRDefault="00AD27B6" w:rsidP="00AD27B6">
      <w:pPr>
        <w:jc w:val="both"/>
        <w:rPr>
          <w:rFonts w:ascii="Bookman Old Style" w:hAnsi="Bookman Old Style"/>
        </w:rPr>
      </w:pPr>
    </w:p>
    <w:p w14:paraId="465E66A0" w14:textId="0695ECBA" w:rsidR="00E5082E" w:rsidRDefault="00E5082E" w:rsidP="00AD27B6">
      <w:pPr>
        <w:jc w:val="both"/>
        <w:rPr>
          <w:rFonts w:ascii="Bookman Old Style" w:hAnsi="Bookman Old Style"/>
        </w:rPr>
      </w:pPr>
      <w:r>
        <w:rPr>
          <w:rFonts w:ascii="Bookman Old Style" w:hAnsi="Bookman Old Style"/>
        </w:rPr>
        <w:t>El 6 de mayo de 2021 se publicó el Informe Mundial de Crisis Alimentarias 2021, en donde se señala:</w:t>
      </w:r>
    </w:p>
    <w:p w14:paraId="40A75F3B" w14:textId="6FFD3518" w:rsidR="00E5082E" w:rsidRDefault="00E5082E" w:rsidP="00AD27B6">
      <w:pPr>
        <w:jc w:val="both"/>
        <w:rPr>
          <w:rFonts w:ascii="Bookman Old Style" w:hAnsi="Bookman Old Style"/>
        </w:rPr>
      </w:pPr>
    </w:p>
    <w:p w14:paraId="770D20A1" w14:textId="77777777" w:rsidR="00E5082E" w:rsidRDefault="00E5082E" w:rsidP="00E5082E">
      <w:pPr>
        <w:pStyle w:val="Prrafodelista"/>
        <w:numPr>
          <w:ilvl w:val="0"/>
          <w:numId w:val="48"/>
        </w:numPr>
        <w:jc w:val="both"/>
        <w:rPr>
          <w:rFonts w:ascii="Bookman Old Style" w:hAnsi="Bookman Old Style"/>
        </w:rPr>
      </w:pPr>
      <w:r>
        <w:rPr>
          <w:rFonts w:ascii="Bookman Old Style" w:hAnsi="Bookman Old Style"/>
        </w:rPr>
        <w:t>Colombia es uno de los seis (6) países de la región en donde existe una brecha de datos en razón a la crisis migratoria vigente.</w:t>
      </w:r>
    </w:p>
    <w:p w14:paraId="4EAB8CEB" w14:textId="20146126" w:rsidR="00E5082E" w:rsidRPr="00E5082E" w:rsidRDefault="00E5082E" w:rsidP="00E5082E">
      <w:pPr>
        <w:pStyle w:val="Prrafodelista"/>
        <w:numPr>
          <w:ilvl w:val="0"/>
          <w:numId w:val="48"/>
        </w:numPr>
        <w:jc w:val="both"/>
        <w:rPr>
          <w:rFonts w:ascii="Bookman Old Style" w:hAnsi="Bookman Old Style"/>
        </w:rPr>
      </w:pPr>
      <w:r w:rsidRPr="00E5082E">
        <w:rPr>
          <w:rFonts w:ascii="Bookman Old Style" w:hAnsi="Bookman Old Style"/>
        </w:rPr>
        <w:t>155 millones de personas de 55 países o regiones en el mundo se encuentran en una situación de crisis o emergencia alimentaria</w:t>
      </w:r>
      <w:r>
        <w:rPr>
          <w:rFonts w:ascii="Bookman Old Style" w:hAnsi="Bookman Old Style"/>
        </w:rPr>
        <w:t>.</w:t>
      </w:r>
      <w:r>
        <w:rPr>
          <w:rStyle w:val="Refdenotaalpie"/>
          <w:rFonts w:ascii="Bookman Old Style" w:hAnsi="Bookman Old Style"/>
        </w:rPr>
        <w:footnoteReference w:id="3"/>
      </w:r>
    </w:p>
    <w:p w14:paraId="35383EFC" w14:textId="4CD299AD" w:rsidR="00AD27B6" w:rsidRPr="00AD27B6" w:rsidRDefault="00AD27B6" w:rsidP="00AD27B6">
      <w:pPr>
        <w:jc w:val="both"/>
        <w:rPr>
          <w:rFonts w:ascii="Bookman Old Style" w:hAnsi="Bookman Old Style"/>
        </w:rPr>
      </w:pPr>
      <w:r w:rsidRPr="00AD27B6">
        <w:rPr>
          <w:rFonts w:ascii="Bookman Old Style" w:hAnsi="Bookman Old Style"/>
        </w:rPr>
        <w:t>Según la Organización Mundial para la Alimentación y la Agricultura (por su sigla en inglés FAO), en Colombia padecieron hambre al menos 2,4 millones de personas en el trienio 2016-2018 y la baja talla para la edad afecta a medio millón de niños menores de 5 años</w:t>
      </w:r>
      <w:r w:rsidRPr="00AD27B6">
        <w:rPr>
          <w:rFonts w:ascii="Bookman Old Style" w:hAnsi="Bookman Old Style"/>
          <w:vertAlign w:val="superscript"/>
        </w:rPr>
        <w:footnoteReference w:id="4"/>
      </w:r>
      <w:r w:rsidRPr="00AD27B6">
        <w:rPr>
          <w:rFonts w:ascii="Bookman Old Style" w:hAnsi="Bookman Old Style"/>
        </w:rPr>
        <w:t>.</w:t>
      </w:r>
    </w:p>
    <w:p w14:paraId="1CB8B2AF" w14:textId="77777777" w:rsidR="00AD27B6" w:rsidRDefault="00AD27B6" w:rsidP="00AD27B6">
      <w:pPr>
        <w:jc w:val="both"/>
        <w:rPr>
          <w:rFonts w:ascii="Bookman Old Style" w:hAnsi="Bookman Old Style"/>
        </w:rPr>
      </w:pPr>
    </w:p>
    <w:p w14:paraId="49D5173F" w14:textId="3EE2C552" w:rsidR="00AD27B6" w:rsidRPr="00AD27B6" w:rsidRDefault="00AD27B6" w:rsidP="00AD27B6">
      <w:pPr>
        <w:jc w:val="both"/>
        <w:rPr>
          <w:rFonts w:ascii="Bookman Old Style" w:hAnsi="Bookman Old Style"/>
        </w:rPr>
      </w:pPr>
      <w:r w:rsidRPr="00AD27B6">
        <w:rPr>
          <w:rFonts w:ascii="Bookman Old Style" w:hAnsi="Bookman Old Style"/>
        </w:rPr>
        <w:t>Por su parte, la última Encuesta Nacional de Situación Nutricional de Colombia, ENSIN 2015</w:t>
      </w:r>
      <w:r w:rsidRPr="00AD27B6">
        <w:rPr>
          <w:rFonts w:ascii="Bookman Old Style" w:hAnsi="Bookman Old Style"/>
          <w:vertAlign w:val="superscript"/>
        </w:rPr>
        <w:footnoteReference w:id="5"/>
      </w:r>
      <w:r w:rsidRPr="00AD27B6">
        <w:rPr>
          <w:rFonts w:ascii="Bookman Old Style" w:hAnsi="Bookman Old Style"/>
        </w:rPr>
        <w:t xml:space="preserve"> es reveladora sobre la precariedad del panorama sobre el acceso a alimentos y el disfrute del derecho a la alimentación por parte de la población colombiana. Los datos revelan que más de la mitad de los hogares colombianos continúa con dificultades para conseguir alimentos, en la medida en que el 54.2% de ellos se encuentran en inseguridad alimentaria. </w:t>
      </w:r>
    </w:p>
    <w:p w14:paraId="36B7A932" w14:textId="77777777" w:rsidR="00AD27B6" w:rsidRDefault="00AD27B6" w:rsidP="00AD27B6">
      <w:pPr>
        <w:jc w:val="both"/>
        <w:rPr>
          <w:rFonts w:ascii="Bookman Old Style" w:hAnsi="Bookman Old Style"/>
        </w:rPr>
      </w:pPr>
    </w:p>
    <w:p w14:paraId="0EE9B397" w14:textId="67800E76" w:rsidR="00AD27B6" w:rsidRPr="00AD27B6" w:rsidRDefault="00AD27B6" w:rsidP="00AD27B6">
      <w:pPr>
        <w:jc w:val="both"/>
        <w:rPr>
          <w:rFonts w:ascii="Bookman Old Style" w:hAnsi="Bookman Old Style"/>
        </w:rPr>
      </w:pPr>
      <w:r w:rsidRPr="00AD27B6">
        <w:rPr>
          <w:rFonts w:ascii="Bookman Old Style" w:hAnsi="Bookman Old Style"/>
        </w:rPr>
        <w:t>De igual modo, esta Encuesta revela que ocho de cada diez hogares de población indígena y cinco de cada diez del resto de la población se encuentran en inseguridad alimentaria, así como seis de cada diez hogares liderados por mujeres y cuatro de cada diez liderados por hombres tienen este mismo problema.</w:t>
      </w:r>
    </w:p>
    <w:p w14:paraId="1F38F79D" w14:textId="77777777" w:rsidR="00AD27B6" w:rsidRDefault="00AD27B6" w:rsidP="00AD27B6">
      <w:pPr>
        <w:jc w:val="both"/>
        <w:rPr>
          <w:rFonts w:ascii="Bookman Old Style" w:hAnsi="Bookman Old Style"/>
        </w:rPr>
      </w:pPr>
    </w:p>
    <w:p w14:paraId="369B6A51" w14:textId="537A8B25" w:rsidR="00AD27B6" w:rsidRPr="00AD27B6" w:rsidRDefault="00AD27B6" w:rsidP="00AD27B6">
      <w:pPr>
        <w:jc w:val="both"/>
        <w:rPr>
          <w:rFonts w:ascii="Bookman Old Style" w:hAnsi="Bookman Old Style"/>
        </w:rPr>
      </w:pPr>
      <w:r w:rsidRPr="00AD27B6">
        <w:rPr>
          <w:rFonts w:ascii="Bookman Old Style" w:hAnsi="Bookman Old Style"/>
        </w:rPr>
        <w:t xml:space="preserve">Con respecto a la población entre 13 y 17 años rango de edad en el que se demanda mayor consumo de alimentos ricos en energía, proteínas y micronutrientes, sector de la población a la cual se dirige una parte importante de este proyecto legislativo, </w:t>
      </w:r>
      <w:r w:rsidRPr="00AD27B6">
        <w:rPr>
          <w:rFonts w:ascii="Bookman Old Style" w:hAnsi="Bookman Old Style"/>
        </w:rPr>
        <w:lastRenderedPageBreak/>
        <w:t>la ENSIN revela que la desnutrición crónica afecta a uno de cada diez adolescentes, especialmente a los indígenas en un 36,5%, a los más pobres de la población en un 14,9% y a quienes viven en zonas rurales en un 15,7%. Además, se encontró que uno de cada cinco adolescentes (17,9%) presenta un exceso de peso derivado del consumo de alimentación que aporta pocos nutrientes.</w:t>
      </w:r>
    </w:p>
    <w:p w14:paraId="773A65F9" w14:textId="77777777" w:rsidR="005938E8" w:rsidRDefault="005938E8" w:rsidP="00AD27B6">
      <w:pPr>
        <w:jc w:val="both"/>
        <w:rPr>
          <w:rFonts w:ascii="Bookman Old Style" w:hAnsi="Bookman Old Style"/>
        </w:rPr>
      </w:pPr>
    </w:p>
    <w:p w14:paraId="034A83B1" w14:textId="068D5674" w:rsidR="00AD27B6" w:rsidRPr="00AD27B6" w:rsidRDefault="00AD27B6" w:rsidP="00AD27B6">
      <w:pPr>
        <w:jc w:val="both"/>
        <w:rPr>
          <w:rFonts w:ascii="Bookman Old Style" w:hAnsi="Bookman Old Style"/>
        </w:rPr>
      </w:pPr>
      <w:r w:rsidRPr="00AD27B6">
        <w:rPr>
          <w:rFonts w:ascii="Bookman Old Style" w:hAnsi="Bookman Old Style"/>
        </w:rPr>
        <w:t xml:space="preserve">Como se pretende con este proyecto para Colombia, muchos otros Estados han realizado un reconocimiento explícito del derecho a la alimentación constitucionalmente. Países como Brasil, Ecuador, Guatemala, Nicaragua, Guyana, Panamá, Haití y </w:t>
      </w:r>
      <w:proofErr w:type="spellStart"/>
      <w:r w:rsidRPr="00AD27B6">
        <w:rPr>
          <w:rFonts w:ascii="Bookman Old Style" w:hAnsi="Bookman Old Style"/>
        </w:rPr>
        <w:t>Suriname</w:t>
      </w:r>
      <w:proofErr w:type="spellEnd"/>
      <w:r w:rsidRPr="00AD27B6">
        <w:rPr>
          <w:rFonts w:ascii="Bookman Old Style" w:hAnsi="Bookman Old Style"/>
        </w:rPr>
        <w:t xml:space="preserve"> han realizado un reconocimiento explícito del derecho a la alimentación constitucionalmente. Otros países como Honduras, Brasil, Costa Rica, Cuba, Ecuador, Guatemala, Panamá, Bolivia, Paraguay, Perú, República Dominicana y Uruguay lo han constitucionalizado como componente de otros derechos o circunscribiéndolo a poblaciones de especial protección. </w:t>
      </w:r>
    </w:p>
    <w:p w14:paraId="2D3EC272" w14:textId="77777777" w:rsidR="00AD27B6" w:rsidRPr="00AD27B6" w:rsidRDefault="00AD27B6" w:rsidP="00AD27B6">
      <w:pPr>
        <w:jc w:val="both"/>
        <w:rPr>
          <w:rFonts w:ascii="Bookman Old Style" w:hAnsi="Bookman Old Style"/>
        </w:rPr>
      </w:pPr>
    </w:p>
    <w:p w14:paraId="5CAABDBE" w14:textId="37D68CFD" w:rsidR="00AD27B6" w:rsidRPr="00AD27B6" w:rsidRDefault="00AD27B6" w:rsidP="00AD27B6">
      <w:pPr>
        <w:jc w:val="both"/>
        <w:rPr>
          <w:rFonts w:ascii="Bookman Old Style" w:hAnsi="Bookman Old Style"/>
          <w:b/>
          <w:i/>
        </w:rPr>
      </w:pPr>
      <w:r w:rsidRPr="00AD27B6">
        <w:rPr>
          <w:rFonts w:ascii="Bookman Old Style" w:hAnsi="Bookman Old Style"/>
        </w:rPr>
        <w:t xml:space="preserve">Constitucionalizar el derecho a la alimentación implica adoptar dos normas diferentes. Por un lado, una que puede clasificarse como derecho de segunda generación, es decir un derecho económico, social y cultural, de realización progresiva que es el </w:t>
      </w:r>
      <w:r w:rsidRPr="00AD27B6">
        <w:rPr>
          <w:rFonts w:ascii="Bookman Old Style" w:hAnsi="Bookman Old Style"/>
          <w:i/>
        </w:rPr>
        <w:t>derecho a una alimentación adecuada</w:t>
      </w:r>
      <w:r w:rsidRPr="00AD27B6">
        <w:rPr>
          <w:rFonts w:ascii="Bookman Old Style" w:hAnsi="Bookman Old Style"/>
        </w:rPr>
        <w:t xml:space="preserve">. Por otro lado, uno que en el marco de clasificación de los derechos en Colombia se denominaría como fundamental que es el </w:t>
      </w:r>
      <w:r w:rsidRPr="00AD27B6">
        <w:rPr>
          <w:rFonts w:ascii="Bookman Old Style" w:hAnsi="Bookman Old Style"/>
          <w:i/>
        </w:rPr>
        <w:t xml:space="preserve">derecho fundamental a </w:t>
      </w:r>
      <w:r w:rsidR="004E5548">
        <w:rPr>
          <w:rFonts w:ascii="Bookman Old Style" w:hAnsi="Bookman Old Style"/>
          <w:i/>
        </w:rPr>
        <w:t>n</w:t>
      </w:r>
      <w:r w:rsidRPr="00AD27B6">
        <w:rPr>
          <w:rFonts w:ascii="Bookman Old Style" w:hAnsi="Bookman Old Style"/>
          <w:i/>
        </w:rPr>
        <w:t>o padecer hambre</w:t>
      </w:r>
      <w:r w:rsidR="004E5548">
        <w:rPr>
          <w:rFonts w:ascii="Bookman Old Style" w:hAnsi="Bookman Old Style"/>
          <w:i/>
        </w:rPr>
        <w:t>.</w:t>
      </w:r>
      <w:r w:rsidRPr="00AD27B6">
        <w:rPr>
          <w:rFonts w:ascii="Bookman Old Style" w:hAnsi="Bookman Old Style"/>
          <w:b/>
          <w:i/>
        </w:rPr>
        <w:t xml:space="preserve"> </w:t>
      </w:r>
    </w:p>
    <w:p w14:paraId="7F249D77" w14:textId="77777777" w:rsidR="00AD27B6" w:rsidRPr="00AD27B6" w:rsidRDefault="00AD27B6" w:rsidP="00AD27B6">
      <w:pPr>
        <w:jc w:val="both"/>
        <w:rPr>
          <w:rFonts w:ascii="Bookman Old Style" w:hAnsi="Bookman Old Style"/>
        </w:rPr>
      </w:pPr>
    </w:p>
    <w:p w14:paraId="1D3E14D2" w14:textId="514267F2" w:rsidR="00AD27B6" w:rsidRPr="00AD27B6" w:rsidRDefault="00AD27B6" w:rsidP="00AD27B6">
      <w:pPr>
        <w:jc w:val="both"/>
        <w:rPr>
          <w:rFonts w:ascii="Bookman Old Style" w:hAnsi="Bookman Old Style"/>
        </w:rPr>
      </w:pPr>
      <w:r w:rsidRPr="00AD27B6">
        <w:rPr>
          <w:rFonts w:ascii="Bookman Old Style" w:hAnsi="Bookman Old Style"/>
        </w:rPr>
        <w:t xml:space="preserve">La relevancia de este proyecto </w:t>
      </w:r>
      <w:r w:rsidR="004E5548">
        <w:rPr>
          <w:rFonts w:ascii="Bookman Old Style" w:hAnsi="Bookman Old Style"/>
        </w:rPr>
        <w:t xml:space="preserve">radica </w:t>
      </w:r>
      <w:r w:rsidRPr="00AD27B6">
        <w:rPr>
          <w:rFonts w:ascii="Bookman Old Style" w:hAnsi="Bookman Old Style"/>
        </w:rPr>
        <w:t xml:space="preserve">en que al consagrar </w:t>
      </w:r>
      <w:r w:rsidR="004E5548">
        <w:rPr>
          <w:rFonts w:ascii="Bookman Old Style" w:hAnsi="Bookman Old Style"/>
        </w:rPr>
        <w:t xml:space="preserve">este nuevo </w:t>
      </w:r>
      <w:r w:rsidRPr="00AD27B6">
        <w:rPr>
          <w:rFonts w:ascii="Bookman Old Style" w:hAnsi="Bookman Old Style"/>
        </w:rPr>
        <w:t>derecho como</w:t>
      </w:r>
      <w:r w:rsidR="004E5548">
        <w:rPr>
          <w:rFonts w:ascii="Bookman Old Style" w:hAnsi="Bookman Old Style"/>
        </w:rPr>
        <w:t xml:space="preserve"> uno de carácter</w:t>
      </w:r>
      <w:r w:rsidRPr="00AD27B6">
        <w:rPr>
          <w:rFonts w:ascii="Bookman Old Style" w:hAnsi="Bookman Old Style"/>
        </w:rPr>
        <w:t xml:space="preserve"> fundamental</w:t>
      </w:r>
      <w:r w:rsidR="004E5548">
        <w:rPr>
          <w:rFonts w:ascii="Bookman Old Style" w:hAnsi="Bookman Old Style"/>
        </w:rPr>
        <w:t>,</w:t>
      </w:r>
      <w:r w:rsidRPr="00AD27B6">
        <w:rPr>
          <w:rFonts w:ascii="Bookman Old Style" w:hAnsi="Bookman Old Style"/>
        </w:rPr>
        <w:t xml:space="preserve"> establece</w:t>
      </w:r>
      <w:r w:rsidR="004E5548">
        <w:rPr>
          <w:rFonts w:ascii="Bookman Old Style" w:hAnsi="Bookman Old Style"/>
        </w:rPr>
        <w:t xml:space="preserve"> a su vez</w:t>
      </w:r>
      <w:r w:rsidRPr="00AD27B6">
        <w:rPr>
          <w:rFonts w:ascii="Bookman Old Style" w:hAnsi="Bookman Old Style"/>
        </w:rPr>
        <w:t xml:space="preserve"> </w:t>
      </w:r>
      <w:r w:rsidR="004E5548">
        <w:rPr>
          <w:rFonts w:ascii="Bookman Old Style" w:hAnsi="Bookman Old Style"/>
        </w:rPr>
        <w:t>una</w:t>
      </w:r>
      <w:r w:rsidRPr="00AD27B6">
        <w:rPr>
          <w:rFonts w:ascii="Bookman Old Style" w:hAnsi="Bookman Old Style"/>
        </w:rPr>
        <w:t xml:space="preserve"> obligación </w:t>
      </w:r>
      <w:r w:rsidR="004E5548">
        <w:rPr>
          <w:rFonts w:ascii="Bookman Old Style" w:hAnsi="Bookman Old Style"/>
        </w:rPr>
        <w:t>a</w:t>
      </w:r>
      <w:r w:rsidRPr="00AD27B6">
        <w:rPr>
          <w:rFonts w:ascii="Bookman Old Style" w:hAnsi="Bookman Old Style"/>
        </w:rPr>
        <w:t xml:space="preserve">l </w:t>
      </w:r>
      <w:r w:rsidR="004E5548">
        <w:rPr>
          <w:rFonts w:ascii="Bookman Old Style" w:hAnsi="Bookman Old Style"/>
        </w:rPr>
        <w:t>e</w:t>
      </w:r>
      <w:r w:rsidRPr="00AD27B6">
        <w:rPr>
          <w:rFonts w:ascii="Bookman Old Style" w:hAnsi="Bookman Old Style"/>
        </w:rPr>
        <w:t xml:space="preserve">stado </w:t>
      </w:r>
      <w:r w:rsidR="005938E8">
        <w:rPr>
          <w:rFonts w:ascii="Bookman Old Style" w:hAnsi="Bookman Old Style"/>
        </w:rPr>
        <w:t xml:space="preserve">de </w:t>
      </w:r>
      <w:r w:rsidRPr="00AD27B6">
        <w:rPr>
          <w:rFonts w:ascii="Bookman Old Style" w:hAnsi="Bookman Old Style"/>
        </w:rPr>
        <w:t xml:space="preserve">construir políticas públicas en torno al desarrollo del mismo, es decir, destinar recursos tanto políticos, económicos y administrativos </w:t>
      </w:r>
      <w:r w:rsidR="004E5548">
        <w:rPr>
          <w:rFonts w:ascii="Bookman Old Style" w:hAnsi="Bookman Old Style"/>
        </w:rPr>
        <w:t xml:space="preserve">a </w:t>
      </w:r>
      <w:r w:rsidRPr="00AD27B6">
        <w:rPr>
          <w:rFonts w:ascii="Bookman Old Style" w:hAnsi="Bookman Old Style"/>
        </w:rPr>
        <w:t>que contribuyan a concretar el fin para el cuál fue promulgado el derecho</w:t>
      </w:r>
      <w:r w:rsidRPr="00AD27B6">
        <w:rPr>
          <w:rFonts w:ascii="Bookman Old Style" w:hAnsi="Bookman Old Style"/>
          <w:vertAlign w:val="superscript"/>
        </w:rPr>
        <w:footnoteReference w:id="6"/>
      </w:r>
      <w:r w:rsidRPr="00AD27B6">
        <w:rPr>
          <w:rFonts w:ascii="Bookman Old Style" w:hAnsi="Bookman Old Style"/>
        </w:rPr>
        <w:t xml:space="preserve">. </w:t>
      </w:r>
    </w:p>
    <w:p w14:paraId="2A1454CE" w14:textId="77777777" w:rsidR="00AD27B6" w:rsidRPr="00AD27B6" w:rsidRDefault="00AD27B6" w:rsidP="00AD27B6">
      <w:pPr>
        <w:pBdr>
          <w:top w:val="nil"/>
          <w:left w:val="nil"/>
          <w:bottom w:val="nil"/>
          <w:right w:val="nil"/>
          <w:between w:val="nil"/>
        </w:pBdr>
        <w:jc w:val="both"/>
        <w:rPr>
          <w:rFonts w:ascii="Bookman Old Style" w:hAnsi="Bookman Old Style"/>
          <w:color w:val="000000"/>
        </w:rPr>
      </w:pPr>
    </w:p>
    <w:p w14:paraId="71B16AE4" w14:textId="3EC49711" w:rsidR="00AD27B6" w:rsidRPr="00AD27B6" w:rsidRDefault="00AD27B6" w:rsidP="00AD27B6">
      <w:pPr>
        <w:pBdr>
          <w:top w:val="nil"/>
          <w:left w:val="nil"/>
          <w:bottom w:val="nil"/>
          <w:right w:val="nil"/>
          <w:between w:val="nil"/>
        </w:pBdr>
        <w:jc w:val="both"/>
        <w:rPr>
          <w:rFonts w:ascii="Bookman Old Style" w:hAnsi="Bookman Old Style"/>
          <w:color w:val="000000"/>
        </w:rPr>
      </w:pPr>
      <w:r w:rsidRPr="00AD27B6">
        <w:rPr>
          <w:rFonts w:ascii="Bookman Old Style" w:hAnsi="Bookman Old Style"/>
          <w:color w:val="000000"/>
        </w:rPr>
        <w:t xml:space="preserve">Este Congreso ha intentado en otras ocasiones constitucionalizar este derecho, aunque las iniciativas no han logrado completar la totalidad de debates requeridos. Es por ello </w:t>
      </w:r>
      <w:r w:rsidR="004E5548" w:rsidRPr="00AD27B6">
        <w:rPr>
          <w:rFonts w:ascii="Bookman Old Style" w:hAnsi="Bookman Old Style"/>
          <w:color w:val="000000"/>
        </w:rPr>
        <w:t>por lo que</w:t>
      </w:r>
      <w:r w:rsidRPr="00AD27B6">
        <w:rPr>
          <w:rFonts w:ascii="Bookman Old Style" w:hAnsi="Bookman Old Style"/>
          <w:color w:val="000000"/>
        </w:rPr>
        <w:t xml:space="preserve"> se recogen elementos de esas</w:t>
      </w:r>
      <w:r w:rsidR="004E5548">
        <w:rPr>
          <w:rFonts w:ascii="Bookman Old Style" w:hAnsi="Bookman Old Style"/>
          <w:color w:val="000000"/>
        </w:rPr>
        <w:t xml:space="preserve"> anteriores</w:t>
      </w:r>
      <w:r w:rsidRPr="00AD27B6">
        <w:rPr>
          <w:rFonts w:ascii="Bookman Old Style" w:hAnsi="Bookman Old Style"/>
          <w:color w:val="000000"/>
        </w:rPr>
        <w:t xml:space="preserve"> discusiones para nutrir este proyecto</w:t>
      </w:r>
      <w:r w:rsidR="004E5548">
        <w:rPr>
          <w:rFonts w:ascii="Bookman Old Style" w:hAnsi="Bookman Old Style"/>
          <w:color w:val="000000"/>
        </w:rPr>
        <w:t xml:space="preserve"> en curso, para lo cual se</w:t>
      </w:r>
      <w:r w:rsidRPr="00AD27B6">
        <w:rPr>
          <w:rFonts w:ascii="Bookman Old Style" w:hAnsi="Bookman Old Style"/>
          <w:color w:val="000000"/>
        </w:rPr>
        <w:t xml:space="preserve"> recogieron las actas de dichas discusiones para concretar el articulado que hoy se presenta</w:t>
      </w:r>
      <w:r w:rsidRPr="00AD27B6">
        <w:rPr>
          <w:rFonts w:ascii="Bookman Old Style" w:hAnsi="Bookman Old Style"/>
          <w:color w:val="000000"/>
          <w:vertAlign w:val="superscript"/>
        </w:rPr>
        <w:footnoteReference w:id="7"/>
      </w:r>
      <w:r w:rsidRPr="00AD27B6">
        <w:rPr>
          <w:rFonts w:ascii="Bookman Old Style" w:hAnsi="Bookman Old Style"/>
          <w:color w:val="000000"/>
        </w:rPr>
        <w:t xml:space="preserve">. </w:t>
      </w:r>
    </w:p>
    <w:p w14:paraId="6FCC62B3" w14:textId="77777777" w:rsidR="00AD27B6" w:rsidRPr="00AD27B6" w:rsidRDefault="00AD27B6" w:rsidP="00AD27B6">
      <w:pPr>
        <w:pBdr>
          <w:top w:val="nil"/>
          <w:left w:val="nil"/>
          <w:bottom w:val="nil"/>
          <w:right w:val="nil"/>
          <w:between w:val="nil"/>
        </w:pBdr>
        <w:jc w:val="both"/>
        <w:rPr>
          <w:rFonts w:ascii="Bookman Old Style" w:hAnsi="Bookman Old Style"/>
          <w:color w:val="000000"/>
        </w:rPr>
      </w:pPr>
    </w:p>
    <w:p w14:paraId="3E5EAC48" w14:textId="4FDFE3F7" w:rsidR="00AD27B6" w:rsidRPr="00AD27B6" w:rsidRDefault="00AD27B6" w:rsidP="00AD27B6">
      <w:pPr>
        <w:pBdr>
          <w:top w:val="nil"/>
          <w:left w:val="nil"/>
          <w:bottom w:val="nil"/>
          <w:right w:val="nil"/>
          <w:between w:val="nil"/>
        </w:pBdr>
        <w:jc w:val="both"/>
        <w:rPr>
          <w:rFonts w:ascii="Bookman Old Style" w:hAnsi="Bookman Old Style"/>
          <w:color w:val="000000"/>
        </w:rPr>
      </w:pPr>
      <w:r w:rsidRPr="00AD27B6">
        <w:rPr>
          <w:rFonts w:ascii="Bookman Old Style" w:hAnsi="Bookman Old Style"/>
          <w:color w:val="000000"/>
        </w:rPr>
        <w:t>De</w:t>
      </w:r>
      <w:r w:rsidRPr="00AD27B6">
        <w:rPr>
          <w:rFonts w:ascii="Bookman Old Style" w:hAnsi="Bookman Old Style"/>
          <w:b/>
          <w:color w:val="000000"/>
        </w:rPr>
        <w:t xml:space="preserve"> </w:t>
      </w:r>
      <w:r w:rsidRPr="00AD27B6">
        <w:rPr>
          <w:rFonts w:ascii="Bookman Old Style" w:hAnsi="Bookman Old Style"/>
          <w:color w:val="000000"/>
        </w:rPr>
        <w:t>esta forma desde el año 2011</w:t>
      </w:r>
      <w:r w:rsidR="004E5548">
        <w:rPr>
          <w:rFonts w:ascii="Bookman Old Style" w:hAnsi="Bookman Old Style"/>
          <w:color w:val="000000"/>
        </w:rPr>
        <w:t>,</w:t>
      </w:r>
      <w:r w:rsidRPr="00AD27B6">
        <w:rPr>
          <w:rFonts w:ascii="Bookman Old Style" w:hAnsi="Bookman Old Style"/>
          <w:color w:val="000000"/>
        </w:rPr>
        <w:t xml:space="preserve"> fecha en la cual un proyecto de ley con la misma finalidad alcanzó a surtir 7 debates, se introdujo que este no podía ser sujeto de una sola modificación al artículo 65, pues era necesario establecerlo también como un derecho de los adolescentes en el artículo 45</w:t>
      </w:r>
      <w:r w:rsidR="004E5548">
        <w:rPr>
          <w:rFonts w:ascii="Bookman Old Style" w:hAnsi="Bookman Old Style"/>
          <w:color w:val="000000"/>
        </w:rPr>
        <w:t xml:space="preserve"> constitucional</w:t>
      </w:r>
      <w:r w:rsidRPr="00AD27B6">
        <w:rPr>
          <w:rFonts w:ascii="Bookman Old Style" w:hAnsi="Bookman Old Style"/>
          <w:color w:val="000000"/>
        </w:rPr>
        <w:t xml:space="preserve">, </w:t>
      </w:r>
      <w:r w:rsidR="004E5548">
        <w:rPr>
          <w:rFonts w:ascii="Bookman Old Style" w:hAnsi="Bookman Old Style"/>
          <w:color w:val="000000"/>
        </w:rPr>
        <w:t xml:space="preserve">si </w:t>
      </w:r>
      <w:r w:rsidRPr="00AD27B6">
        <w:rPr>
          <w:rFonts w:ascii="Bookman Old Style" w:hAnsi="Bookman Old Style"/>
          <w:color w:val="000000"/>
        </w:rPr>
        <w:t xml:space="preserve">bien </w:t>
      </w:r>
      <w:r w:rsidR="004E5548">
        <w:rPr>
          <w:rFonts w:ascii="Bookman Old Style" w:hAnsi="Bookman Old Style"/>
          <w:color w:val="000000"/>
        </w:rPr>
        <w:t xml:space="preserve">el derecho se encuentra en el contenido del </w:t>
      </w:r>
      <w:r w:rsidRPr="00AD27B6">
        <w:rPr>
          <w:rFonts w:ascii="Bookman Old Style" w:hAnsi="Bookman Old Style"/>
          <w:color w:val="000000"/>
        </w:rPr>
        <w:t>artículo 44 como un derecho fundamental</w:t>
      </w:r>
      <w:r w:rsidR="004E5548">
        <w:rPr>
          <w:rFonts w:ascii="Bookman Old Style" w:hAnsi="Bookman Old Style"/>
          <w:color w:val="000000"/>
        </w:rPr>
        <w:t>,</w:t>
      </w:r>
      <w:r w:rsidRPr="00AD27B6">
        <w:rPr>
          <w:rFonts w:ascii="Bookman Old Style" w:hAnsi="Bookman Old Style"/>
          <w:color w:val="000000"/>
        </w:rPr>
        <w:t xml:space="preserve"> este es solo exigible para los niños y niñas, por lo que </w:t>
      </w:r>
      <w:r w:rsidR="004E5548">
        <w:rPr>
          <w:rFonts w:ascii="Bookman Old Style" w:hAnsi="Bookman Old Style"/>
          <w:color w:val="000000"/>
        </w:rPr>
        <w:t>es menester</w:t>
      </w:r>
      <w:r w:rsidRPr="00AD27B6">
        <w:rPr>
          <w:rFonts w:ascii="Bookman Old Style" w:hAnsi="Bookman Old Style"/>
          <w:color w:val="000000"/>
        </w:rPr>
        <w:t xml:space="preserve"> </w:t>
      </w:r>
      <w:r w:rsidR="004E5548">
        <w:rPr>
          <w:rFonts w:ascii="Bookman Old Style" w:hAnsi="Bookman Old Style"/>
          <w:color w:val="000000"/>
        </w:rPr>
        <w:t>darle un mayor alcance poblacional</w:t>
      </w:r>
      <w:r w:rsidRPr="00AD27B6">
        <w:rPr>
          <w:rFonts w:ascii="Bookman Old Style" w:hAnsi="Bookman Old Style"/>
          <w:color w:val="000000"/>
        </w:rPr>
        <w:t xml:space="preserve">. </w:t>
      </w:r>
    </w:p>
    <w:p w14:paraId="4F129548" w14:textId="77777777" w:rsidR="00AD27B6" w:rsidRPr="00AD27B6" w:rsidRDefault="00AD27B6" w:rsidP="00AD27B6">
      <w:pPr>
        <w:pBdr>
          <w:top w:val="nil"/>
          <w:left w:val="nil"/>
          <w:bottom w:val="nil"/>
          <w:right w:val="nil"/>
          <w:between w:val="nil"/>
        </w:pBdr>
        <w:jc w:val="both"/>
        <w:rPr>
          <w:rFonts w:ascii="Bookman Old Style" w:hAnsi="Bookman Old Style"/>
          <w:color w:val="000000"/>
        </w:rPr>
      </w:pPr>
    </w:p>
    <w:p w14:paraId="51041EF2" w14:textId="5B3956F7" w:rsidR="00AD27B6" w:rsidRDefault="00AD27B6" w:rsidP="00AD27B6">
      <w:pPr>
        <w:pBdr>
          <w:top w:val="nil"/>
          <w:left w:val="nil"/>
          <w:bottom w:val="nil"/>
          <w:right w:val="nil"/>
          <w:between w:val="nil"/>
        </w:pBdr>
        <w:jc w:val="both"/>
        <w:rPr>
          <w:rFonts w:ascii="Bookman Old Style" w:hAnsi="Bookman Old Style"/>
          <w:color w:val="000000"/>
        </w:rPr>
      </w:pPr>
      <w:r w:rsidRPr="00AD27B6">
        <w:rPr>
          <w:rFonts w:ascii="Bookman Old Style" w:hAnsi="Bookman Old Style"/>
          <w:color w:val="000000"/>
        </w:rPr>
        <w:t xml:space="preserve">Al introducir ambas modificaciones estamos estableciendo que el derecho fundamental a la alimentación es un derecho universal, </w:t>
      </w:r>
      <w:r w:rsidRPr="00AD27B6">
        <w:rPr>
          <w:rFonts w:ascii="Bookman Old Style" w:hAnsi="Bookman Old Style"/>
          <w:i/>
          <w:color w:val="000000"/>
        </w:rPr>
        <w:t>erga omnes</w:t>
      </w:r>
      <w:r w:rsidRPr="00AD27B6">
        <w:rPr>
          <w:rFonts w:ascii="Bookman Old Style" w:hAnsi="Bookman Old Style"/>
          <w:color w:val="000000"/>
        </w:rPr>
        <w:t xml:space="preserve"> y que las </w:t>
      </w:r>
      <w:r w:rsidRPr="00AD27B6">
        <w:rPr>
          <w:rFonts w:ascii="Bookman Old Style" w:hAnsi="Bookman Old Style"/>
          <w:color w:val="000000"/>
        </w:rPr>
        <w:lastRenderedPageBreak/>
        <w:t>políticas que se construyan a su alrededor deberán estar al alcance de todas las personas.</w:t>
      </w:r>
    </w:p>
    <w:p w14:paraId="41CA3293" w14:textId="77777777" w:rsidR="004E5548" w:rsidRPr="00AD27B6" w:rsidRDefault="004E5548" w:rsidP="00AD27B6">
      <w:pPr>
        <w:pBdr>
          <w:top w:val="nil"/>
          <w:left w:val="nil"/>
          <w:bottom w:val="nil"/>
          <w:right w:val="nil"/>
          <w:between w:val="nil"/>
        </w:pBdr>
        <w:jc w:val="both"/>
        <w:rPr>
          <w:rFonts w:ascii="Bookman Old Style" w:hAnsi="Bookman Old Style"/>
          <w:color w:val="000000"/>
        </w:rPr>
      </w:pPr>
    </w:p>
    <w:p w14:paraId="0F4E5C5B" w14:textId="02BD432E" w:rsidR="00AF62CD" w:rsidRDefault="00AF62CD" w:rsidP="00F36280">
      <w:pPr>
        <w:rPr>
          <w:rFonts w:ascii="Bookman Old Style" w:eastAsia="Calibri" w:hAnsi="Bookman Old Style" w:cs="Calibri"/>
        </w:rPr>
      </w:pPr>
    </w:p>
    <w:p w14:paraId="31C6DCAE" w14:textId="77777777" w:rsidR="005D6452" w:rsidRPr="00AD27B6" w:rsidRDefault="005D6452" w:rsidP="00F36280">
      <w:pPr>
        <w:rPr>
          <w:rFonts w:ascii="Bookman Old Style" w:eastAsia="Calibri" w:hAnsi="Bookman Old Style" w:cs="Calibri"/>
        </w:rPr>
      </w:pPr>
    </w:p>
    <w:p w14:paraId="5D13AAD9" w14:textId="1E969DAC" w:rsidR="00F36280" w:rsidRPr="00485CC5" w:rsidRDefault="00AD27B6" w:rsidP="00B64773">
      <w:pPr>
        <w:pStyle w:val="Ttulo2"/>
        <w:numPr>
          <w:ilvl w:val="0"/>
          <w:numId w:val="35"/>
        </w:numPr>
        <w:ind w:left="0" w:firstLine="0"/>
        <w:jc w:val="center"/>
        <w:rPr>
          <w:rFonts w:ascii="Bookman Old Style" w:eastAsia="Calibri" w:hAnsi="Bookman Old Style" w:cs="Calibri"/>
          <w:sz w:val="22"/>
          <w:szCs w:val="24"/>
        </w:rPr>
      </w:pPr>
      <w:r>
        <w:rPr>
          <w:rFonts w:ascii="Bookman Old Style" w:eastAsia="Calibri" w:hAnsi="Bookman Old Style" w:cs="Calibri"/>
          <w:sz w:val="22"/>
          <w:szCs w:val="24"/>
        </w:rPr>
        <w:t>DERECHO HUMANO A LA ALIMENTACIÓN Y NUTRICIÓN ADECUADAS: ALCANCE Y CONTENIDOS</w:t>
      </w:r>
      <w:r w:rsidR="008D6C03">
        <w:rPr>
          <w:rFonts w:ascii="Bookman Old Style" w:eastAsia="Calibri" w:hAnsi="Bookman Old Style" w:cs="Calibri"/>
          <w:sz w:val="22"/>
          <w:szCs w:val="24"/>
        </w:rPr>
        <w:t>.</w:t>
      </w:r>
    </w:p>
    <w:p w14:paraId="568E2E28" w14:textId="77777777" w:rsidR="00F36280" w:rsidRPr="00485CC5" w:rsidRDefault="00F36280" w:rsidP="00AD27B6">
      <w:pPr>
        <w:rPr>
          <w:rFonts w:ascii="Bookman Old Style" w:hAnsi="Bookman Old Style" w:cs="Calibri"/>
          <w:szCs w:val="24"/>
        </w:rPr>
      </w:pPr>
    </w:p>
    <w:p w14:paraId="4C85E7D9" w14:textId="77777777" w:rsidR="00AD27B6" w:rsidRPr="009D46DA" w:rsidRDefault="00AD27B6" w:rsidP="00AD27B6">
      <w:pPr>
        <w:jc w:val="both"/>
        <w:rPr>
          <w:rFonts w:ascii="Bookman Old Style" w:hAnsi="Bookman Old Style"/>
        </w:rPr>
      </w:pPr>
      <w:r w:rsidRPr="009D46DA">
        <w:rPr>
          <w:rFonts w:ascii="Bookman Old Style" w:hAnsi="Bookman Old Style"/>
        </w:rPr>
        <w:t>Desde sus primeros abordajes hasta la actualidad se han producido diversos desarrollos en torno a las miradas sobre el derecho humano a la alimentación. A partir de un abordaje holístico, organizaciones internacionales como FIAN</w:t>
      </w:r>
      <w:r w:rsidRPr="009D46DA">
        <w:rPr>
          <w:rFonts w:ascii="Bookman Old Style" w:hAnsi="Bookman Old Style"/>
          <w:vertAlign w:val="superscript"/>
        </w:rPr>
        <w:footnoteReference w:id="8"/>
      </w:r>
      <w:r w:rsidRPr="009D46DA">
        <w:rPr>
          <w:rFonts w:ascii="Bookman Old Style" w:hAnsi="Bookman Old Style"/>
        </w:rPr>
        <w:t xml:space="preserve"> han reconceptualizado el derecho a la alimentación adecuada como derecho humano a la alimentación y nutrición adecuadas (DHANA), con el objetivo de resaltar la importancia del componente nutricional, más allá del enfoque medicalizado y restrictivo que le ha sido dado tradicionalmente por otros enfoques. Así mismo, y reconociendo que este derecho debe interpretarse desde la comprensión de su intrínseca relación con el proceso alimentario y conceptos como la soberanía alimentaria y las autonomías alimentarias, la denominación de adecuadas se señala en plural, para significar la importancia de dar respuesta a las necesidades específicas de cada colectivo humano, en tanto no hay una sola alimentación y nutrición, sino que éstas se deben corresponder con las especificidades de cada pueblo. Esta mirada también apunta a entender que la garantía de este derecho debe superar una mirada antropocéntrica, pues la protección ambiental y los derechos de la naturaleza también son indispensables para garantizar el DHANA de esta y de las futuras generaciones.</w:t>
      </w:r>
      <w:r w:rsidRPr="009D46DA">
        <w:rPr>
          <w:rFonts w:ascii="Bookman Old Style" w:hAnsi="Bookman Old Style"/>
          <w:vertAlign w:val="superscript"/>
        </w:rPr>
        <w:footnoteReference w:id="9"/>
      </w:r>
      <w:r w:rsidRPr="009D46DA">
        <w:rPr>
          <w:rFonts w:ascii="Bookman Old Style" w:hAnsi="Bookman Old Style"/>
        </w:rPr>
        <w:t xml:space="preserve"> Como derecho humano, además, la alimentación se interrelaciona y es interdependiente con otros derechos. </w:t>
      </w:r>
    </w:p>
    <w:p w14:paraId="723B8BA4" w14:textId="77777777" w:rsidR="00AD27B6" w:rsidRDefault="00AD27B6" w:rsidP="00AD27B6">
      <w:pPr>
        <w:jc w:val="both"/>
        <w:rPr>
          <w:rFonts w:ascii="Bookman Old Style" w:hAnsi="Bookman Old Style"/>
        </w:rPr>
      </w:pPr>
    </w:p>
    <w:p w14:paraId="481C6026" w14:textId="18A44D70" w:rsidR="00AD27B6" w:rsidRPr="009D46DA" w:rsidRDefault="00AD27B6" w:rsidP="00AD27B6">
      <w:pPr>
        <w:jc w:val="both"/>
        <w:rPr>
          <w:rFonts w:ascii="Bookman Old Style" w:hAnsi="Bookman Old Style"/>
        </w:rPr>
      </w:pPr>
      <w:r w:rsidRPr="009D46DA">
        <w:rPr>
          <w:rFonts w:ascii="Bookman Old Style" w:hAnsi="Bookman Old Style"/>
        </w:rPr>
        <w:t xml:space="preserve">Otro de los elementos a destacar es la importancia de reconocer la alimentación como proceso, lo cual se contrapone a la mirada según la cual se suele caer en el error de creer que lo alimentario se reduce al acto de comer. Esta percepción favorece la violación misma del derecho, pues enaltece visiones precarias o asistencialistas, desdibujando la discusión de fondo sobre los problemas estructurales que llevan al hambre y la malnutrición, sus causas, sus responsables y su perpetuación. </w:t>
      </w:r>
    </w:p>
    <w:p w14:paraId="7F55C645" w14:textId="77777777" w:rsidR="00AD27B6" w:rsidRDefault="00AD27B6" w:rsidP="00AD27B6">
      <w:pPr>
        <w:jc w:val="both"/>
        <w:rPr>
          <w:rFonts w:ascii="Bookman Old Style" w:hAnsi="Bookman Old Style"/>
        </w:rPr>
      </w:pPr>
    </w:p>
    <w:p w14:paraId="04040B25" w14:textId="4AFA6C45" w:rsidR="00AD27B6" w:rsidRDefault="00AD27B6" w:rsidP="00AD27B6">
      <w:pPr>
        <w:jc w:val="both"/>
        <w:rPr>
          <w:rFonts w:ascii="Bookman Old Style" w:hAnsi="Bookman Old Style"/>
        </w:rPr>
      </w:pPr>
      <w:r w:rsidRPr="009D46DA">
        <w:rPr>
          <w:rFonts w:ascii="Bookman Old Style" w:hAnsi="Bookman Old Style"/>
        </w:rPr>
        <w:t xml:space="preserve">La alimentación concebida desde una perspectiva de derechos implica que no se reduce a exigir o garantizar el acto de comer o de cubrir las necesidades alimentarias y nutricionales de un individuo o un colectivo humano. Por supuesto, en situaciones de emergencia, este es un factor importante, pero el </w:t>
      </w:r>
      <w:r w:rsidR="00FE146B">
        <w:rPr>
          <w:rFonts w:ascii="Bookman Old Style" w:hAnsi="Bookman Old Style"/>
        </w:rPr>
        <w:t>d</w:t>
      </w:r>
      <w:r w:rsidRPr="009D46DA">
        <w:rPr>
          <w:rFonts w:ascii="Bookman Old Style" w:hAnsi="Bookman Old Style"/>
        </w:rPr>
        <w:t>erecho humano a la alimentación y nutrición adecuada es mucho más complejo, dado que hace referencia a la alimentación como proceso.</w:t>
      </w:r>
    </w:p>
    <w:p w14:paraId="0418650B" w14:textId="36E8FF88" w:rsidR="00FE146B" w:rsidRDefault="00FE146B" w:rsidP="00AD27B6">
      <w:pPr>
        <w:jc w:val="both"/>
        <w:rPr>
          <w:rFonts w:ascii="Bookman Old Style" w:hAnsi="Bookman Old Style"/>
        </w:rPr>
      </w:pPr>
    </w:p>
    <w:p w14:paraId="239FE883" w14:textId="48A7B6D7" w:rsidR="00FE146B" w:rsidRDefault="00FE146B" w:rsidP="00AD27B6">
      <w:pPr>
        <w:jc w:val="both"/>
        <w:rPr>
          <w:rFonts w:ascii="Bookman Old Style" w:hAnsi="Bookman Old Style"/>
        </w:rPr>
      </w:pPr>
    </w:p>
    <w:p w14:paraId="651E3A5C" w14:textId="53B1B69C" w:rsidR="00FE146B" w:rsidRDefault="00FE146B" w:rsidP="00AD27B6">
      <w:pPr>
        <w:jc w:val="both"/>
        <w:rPr>
          <w:rFonts w:ascii="Bookman Old Style" w:hAnsi="Bookman Old Style"/>
        </w:rPr>
      </w:pPr>
    </w:p>
    <w:p w14:paraId="63B75AAF" w14:textId="0C1EC784" w:rsidR="00FE146B" w:rsidRDefault="00FE146B" w:rsidP="00AD27B6">
      <w:pPr>
        <w:jc w:val="both"/>
        <w:rPr>
          <w:rFonts w:ascii="Bookman Old Style" w:hAnsi="Bookman Old Style"/>
        </w:rPr>
      </w:pPr>
    </w:p>
    <w:p w14:paraId="13D8C190" w14:textId="7D866409" w:rsidR="00FE146B" w:rsidRDefault="00FE146B" w:rsidP="00AD27B6">
      <w:pPr>
        <w:jc w:val="both"/>
        <w:rPr>
          <w:rFonts w:ascii="Bookman Old Style" w:hAnsi="Bookman Old Style"/>
        </w:rPr>
      </w:pPr>
    </w:p>
    <w:p w14:paraId="27B8AC5A" w14:textId="72B8AE91" w:rsidR="00FE146B" w:rsidRDefault="00FE146B" w:rsidP="00AD27B6">
      <w:pPr>
        <w:jc w:val="both"/>
        <w:rPr>
          <w:rFonts w:ascii="Bookman Old Style" w:hAnsi="Bookman Old Style"/>
        </w:rPr>
      </w:pPr>
    </w:p>
    <w:p w14:paraId="320DE185" w14:textId="77777777" w:rsidR="00FE146B" w:rsidRDefault="00FE146B" w:rsidP="00AD27B6">
      <w:pPr>
        <w:jc w:val="both"/>
        <w:rPr>
          <w:rFonts w:ascii="Bookman Old Style" w:hAnsi="Bookman Old Style"/>
        </w:rPr>
      </w:pPr>
    </w:p>
    <w:p w14:paraId="03A1765D" w14:textId="1E92E265" w:rsidR="00AD27B6" w:rsidRPr="009D46DA" w:rsidRDefault="00AD27B6" w:rsidP="00AD27B6">
      <w:pPr>
        <w:jc w:val="both"/>
        <w:rPr>
          <w:rFonts w:ascii="Bookman Old Style" w:hAnsi="Bookman Old Style"/>
        </w:rPr>
      </w:pPr>
      <w:r w:rsidRPr="009D46DA">
        <w:rPr>
          <w:rFonts w:ascii="Bookman Old Style" w:hAnsi="Bookman Old Style"/>
        </w:rPr>
        <w:t xml:space="preserve"> </w:t>
      </w:r>
    </w:p>
    <w:p w14:paraId="6446781E" w14:textId="77777777" w:rsidR="00AD27B6" w:rsidRPr="009D46DA" w:rsidRDefault="00AD27B6" w:rsidP="00AD27B6">
      <w:pPr>
        <w:jc w:val="center"/>
        <w:rPr>
          <w:rFonts w:ascii="Bookman Old Style" w:hAnsi="Bookman Old Style"/>
        </w:rPr>
      </w:pPr>
      <w:r w:rsidRPr="009D46DA">
        <w:rPr>
          <w:rFonts w:ascii="Bookman Old Style" w:hAnsi="Bookman Old Style"/>
        </w:rPr>
        <w:t>Gráfico 1. La alimentación como proceso</w:t>
      </w:r>
    </w:p>
    <w:p w14:paraId="7E7B08C9" w14:textId="77777777" w:rsidR="00AD27B6" w:rsidRPr="009D46DA" w:rsidRDefault="00AD27B6" w:rsidP="00AD27B6">
      <w:pPr>
        <w:jc w:val="center"/>
        <w:rPr>
          <w:rFonts w:ascii="Bookman Old Style" w:hAnsi="Bookman Old Style"/>
        </w:rPr>
      </w:pPr>
      <w:r w:rsidRPr="009D46DA">
        <w:rPr>
          <w:rFonts w:ascii="Bookman Old Style" w:hAnsi="Bookman Old Style"/>
          <w:noProof/>
        </w:rPr>
        <w:drawing>
          <wp:inline distT="0" distB="0" distL="0" distR="0" wp14:anchorId="3C6CB04E" wp14:editId="30B4706F">
            <wp:extent cx="5534921" cy="1908510"/>
            <wp:effectExtent l="0" t="0" r="0" b="0"/>
            <wp:docPr id="4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5534921" cy="1908510"/>
                    </a:xfrm>
                    <a:prstGeom prst="rect">
                      <a:avLst/>
                    </a:prstGeom>
                    <a:ln/>
                  </pic:spPr>
                </pic:pic>
              </a:graphicData>
            </a:graphic>
          </wp:inline>
        </w:drawing>
      </w:r>
    </w:p>
    <w:p w14:paraId="510D0AD1" w14:textId="77777777" w:rsidR="00AD27B6" w:rsidRPr="00AD27B6" w:rsidRDefault="00AD27B6" w:rsidP="00AD27B6">
      <w:pPr>
        <w:ind w:left="567"/>
        <w:jc w:val="both"/>
        <w:rPr>
          <w:rFonts w:ascii="Bookman Old Style" w:hAnsi="Bookman Old Style"/>
          <w:i/>
          <w:iCs/>
          <w:sz w:val="18"/>
          <w:szCs w:val="18"/>
        </w:rPr>
      </w:pPr>
      <w:r w:rsidRPr="00AD27B6">
        <w:rPr>
          <w:rFonts w:ascii="Bookman Old Style" w:hAnsi="Bookman Old Style"/>
          <w:i/>
          <w:iCs/>
          <w:sz w:val="18"/>
          <w:szCs w:val="18"/>
        </w:rPr>
        <w:t>Fuente: FIAN Colombia. La exigibilidad del Derecho Humano a la Alimentación. Qué es y cómo hacerla, 2015, p.17.</w:t>
      </w:r>
    </w:p>
    <w:p w14:paraId="75176BE3" w14:textId="77777777" w:rsidR="00AD27B6" w:rsidRDefault="00AD27B6" w:rsidP="00AD27B6">
      <w:pPr>
        <w:jc w:val="both"/>
        <w:rPr>
          <w:rFonts w:ascii="Bookman Old Style" w:hAnsi="Bookman Old Style"/>
        </w:rPr>
      </w:pPr>
    </w:p>
    <w:p w14:paraId="7C64E13E" w14:textId="03B29554" w:rsidR="00AD27B6" w:rsidRPr="009D46DA" w:rsidRDefault="00AD27B6" w:rsidP="00AD27B6">
      <w:pPr>
        <w:jc w:val="both"/>
        <w:rPr>
          <w:rFonts w:ascii="Bookman Old Style" w:hAnsi="Bookman Old Style"/>
        </w:rPr>
      </w:pPr>
      <w:r w:rsidRPr="009D46DA">
        <w:rPr>
          <w:rFonts w:ascii="Bookman Old Style" w:hAnsi="Bookman Old Style"/>
        </w:rPr>
        <w:t xml:space="preserve">Como se observa en la figura, el proceso alimentario implica la concepción de su circularidad y da cuenta de la transacción física y económica junto con los intercambios culturales, sociales, políticos, de poder, ambientales, cosmogónicos y de conocimientos. De esta manera, el proceso alimentario tiene múltiples fases, que incluyen: </w:t>
      </w:r>
    </w:p>
    <w:p w14:paraId="77D2045A" w14:textId="77777777" w:rsidR="00AD27B6" w:rsidRDefault="00AD27B6" w:rsidP="00AD27B6">
      <w:pPr>
        <w:jc w:val="both"/>
        <w:rPr>
          <w:rFonts w:ascii="Bookman Old Style" w:hAnsi="Bookman Old Style"/>
        </w:rPr>
      </w:pPr>
    </w:p>
    <w:p w14:paraId="45220840" w14:textId="7B18C706" w:rsidR="00AD27B6" w:rsidRPr="009D46DA" w:rsidRDefault="00AD27B6" w:rsidP="00AD27B6">
      <w:pPr>
        <w:ind w:left="720"/>
        <w:jc w:val="both"/>
        <w:rPr>
          <w:rFonts w:ascii="Bookman Old Style" w:hAnsi="Bookman Old Style"/>
        </w:rPr>
      </w:pPr>
      <w:r w:rsidRPr="00AD27B6">
        <w:rPr>
          <w:rFonts w:ascii="Bookman Old Style" w:hAnsi="Bookman Old Style"/>
          <w:b/>
          <w:bCs/>
        </w:rPr>
        <w:t>i. Producción:</w:t>
      </w:r>
      <w:r w:rsidRPr="009D46DA">
        <w:rPr>
          <w:rFonts w:ascii="Bookman Old Style" w:hAnsi="Bookman Old Style"/>
        </w:rPr>
        <w:t xml:space="preserve"> es la forma primaria como se consigue un alimento, donde también se consideran mecanismos de obtención, tales como la pesca, la cría, la caza, la recolección, entre otros. En la caracterización de estos mecanismos es fundamental ver quiénes se encargan de estas labores, cómo lo hacen, cuál es la relación que tienen con los factores productivos, si lo que producen ayuda a su alimentación vía autoconsumo, si están protegidos y si reciben apoyo por parte del Estado para la producción de alimentos. </w:t>
      </w:r>
    </w:p>
    <w:p w14:paraId="1D7173B1" w14:textId="77777777" w:rsidR="00AD27B6" w:rsidRDefault="00AD27B6" w:rsidP="00AD27B6">
      <w:pPr>
        <w:ind w:left="720"/>
        <w:jc w:val="both"/>
        <w:rPr>
          <w:rFonts w:ascii="Bookman Old Style" w:hAnsi="Bookman Old Style"/>
        </w:rPr>
      </w:pPr>
    </w:p>
    <w:p w14:paraId="45A35B7D" w14:textId="6B3ADC72" w:rsidR="00AD27B6" w:rsidRPr="009D46DA" w:rsidRDefault="00AD27B6" w:rsidP="00AD27B6">
      <w:pPr>
        <w:ind w:left="720"/>
        <w:jc w:val="both"/>
        <w:rPr>
          <w:rFonts w:ascii="Bookman Old Style" w:hAnsi="Bookman Old Style"/>
        </w:rPr>
      </w:pPr>
      <w:r w:rsidRPr="00AD27B6">
        <w:rPr>
          <w:rFonts w:ascii="Bookman Old Style" w:hAnsi="Bookman Old Style"/>
          <w:b/>
          <w:bCs/>
        </w:rPr>
        <w:t>ii. Intercambio de alimentos:</w:t>
      </w:r>
      <w:r w:rsidRPr="009D46DA">
        <w:rPr>
          <w:rFonts w:ascii="Bookman Old Style" w:hAnsi="Bookman Old Style"/>
        </w:rPr>
        <w:t xml:space="preserve"> se da por mecanismos de mercado, pero también mediante las redes solidarias y comunitarias, vía parentesco y vecindad, que suelen tomar una mayor relevancia en los momentos de crisis. Es importante identificar qué productos circulan por esta vía no monetaria en formas y momentos culturales o sociales específicos, tales como celebraciones, ritos de paso, etc., pues forman parte del primer acervo cultural que suele romperse cuando hay violaciones al derecho. </w:t>
      </w:r>
    </w:p>
    <w:p w14:paraId="7702E594" w14:textId="77777777" w:rsidR="00AD27B6" w:rsidRDefault="00AD27B6" w:rsidP="00AD27B6">
      <w:pPr>
        <w:ind w:left="720"/>
        <w:jc w:val="both"/>
        <w:rPr>
          <w:rFonts w:ascii="Bookman Old Style" w:hAnsi="Bookman Old Style"/>
        </w:rPr>
      </w:pPr>
    </w:p>
    <w:p w14:paraId="26F994E4" w14:textId="327D2E05" w:rsidR="00AD27B6" w:rsidRPr="009D46DA" w:rsidRDefault="00AD27B6" w:rsidP="00AD27B6">
      <w:pPr>
        <w:ind w:left="720"/>
        <w:jc w:val="both"/>
        <w:rPr>
          <w:rFonts w:ascii="Bookman Old Style" w:hAnsi="Bookman Old Style"/>
        </w:rPr>
      </w:pPr>
      <w:r w:rsidRPr="00AD27B6">
        <w:rPr>
          <w:rFonts w:ascii="Bookman Old Style" w:hAnsi="Bookman Old Style"/>
          <w:b/>
          <w:bCs/>
        </w:rPr>
        <w:t>iii. Transformación:</w:t>
      </w:r>
      <w:r w:rsidRPr="009D46DA">
        <w:rPr>
          <w:rFonts w:ascii="Bookman Old Style" w:hAnsi="Bookman Old Style"/>
        </w:rPr>
        <w:t xml:space="preserve"> contempla el proceso efectuado en los hogares, previo al consumo, incluyendo la transmisión de conocimientos asociados a su preparación como los saberes gastronómicos y culinarios. Así mismo, las transformaciones artesanales a pequeña escala y las del sector industrial. </w:t>
      </w:r>
    </w:p>
    <w:p w14:paraId="3CAD2E67" w14:textId="77777777" w:rsidR="00AD27B6" w:rsidRDefault="00AD27B6" w:rsidP="00AD27B6">
      <w:pPr>
        <w:ind w:left="720"/>
        <w:jc w:val="both"/>
        <w:rPr>
          <w:rFonts w:ascii="Bookman Old Style" w:hAnsi="Bookman Old Style"/>
        </w:rPr>
      </w:pPr>
    </w:p>
    <w:p w14:paraId="4FD1B76F" w14:textId="54455AA0" w:rsidR="00AD27B6" w:rsidRPr="009D46DA" w:rsidRDefault="00AD27B6" w:rsidP="00AD27B6">
      <w:pPr>
        <w:ind w:left="720"/>
        <w:jc w:val="both"/>
        <w:rPr>
          <w:rFonts w:ascii="Bookman Old Style" w:hAnsi="Bookman Old Style"/>
        </w:rPr>
      </w:pPr>
      <w:r w:rsidRPr="00AD27B6">
        <w:rPr>
          <w:rFonts w:ascii="Bookman Old Style" w:hAnsi="Bookman Old Style"/>
          <w:b/>
          <w:bCs/>
        </w:rPr>
        <w:lastRenderedPageBreak/>
        <w:t>iv. Consumo, uso o aprovechamiento biológico del alimento:</w:t>
      </w:r>
      <w:r w:rsidRPr="009D46DA">
        <w:rPr>
          <w:rFonts w:ascii="Bookman Old Style" w:hAnsi="Bookman Old Style"/>
        </w:rPr>
        <w:t xml:space="preserve"> esto es lo que se conoce como nutrición y tiene que ver con los mecanismos de acceso a los alimentos (físico o económico), la frecuencia en que aquellos que son nutricionalmente adecuados son ingeridos, la condición de salud de quien se alimenta, la salubridad del entorno físico, ambiental y humano, los faltantes o excesos nutricionales que pueden determinar una nutrición insuficiente o una malnutrición. </w:t>
      </w:r>
    </w:p>
    <w:p w14:paraId="67663135" w14:textId="77777777" w:rsidR="00AD27B6" w:rsidRDefault="00AD27B6" w:rsidP="00AD27B6">
      <w:pPr>
        <w:jc w:val="both"/>
        <w:rPr>
          <w:rFonts w:ascii="Bookman Old Style" w:hAnsi="Bookman Old Style"/>
        </w:rPr>
      </w:pPr>
    </w:p>
    <w:p w14:paraId="3B76F78A" w14:textId="2642AFFD" w:rsidR="00AD27B6" w:rsidRPr="009D46DA" w:rsidRDefault="00AD27B6" w:rsidP="00AD27B6">
      <w:pPr>
        <w:jc w:val="both"/>
        <w:rPr>
          <w:rFonts w:ascii="Bookman Old Style" w:hAnsi="Bookman Old Style"/>
        </w:rPr>
      </w:pPr>
      <w:r w:rsidRPr="009D46DA">
        <w:rPr>
          <w:rFonts w:ascii="Bookman Old Style" w:hAnsi="Bookman Old Style"/>
        </w:rPr>
        <w:t xml:space="preserve">Cuando la alimentación y la nutrición son adecuadas, reconstruyen o regeneran las condiciones vitales que, entre otras cosas, nos permiten, mediante nuestra fuerza de trabajo, salud e inteligencia, mantener en marcha de nuevo dicho proceso alimentario en condiciones de dignidad. En este punto es clave insistir en lo adecuado de la alimentación y no solo desde una perspectiva de lo inmediato, sino que también a largo plazo. </w:t>
      </w:r>
    </w:p>
    <w:p w14:paraId="6591D26E" w14:textId="77777777" w:rsidR="00AD27B6" w:rsidRDefault="00AD27B6" w:rsidP="00AD27B6">
      <w:pPr>
        <w:jc w:val="both"/>
        <w:rPr>
          <w:rFonts w:ascii="Bookman Old Style" w:hAnsi="Bookman Old Style"/>
        </w:rPr>
      </w:pPr>
    </w:p>
    <w:p w14:paraId="5E033748" w14:textId="31D222E7" w:rsidR="00AD27B6" w:rsidRPr="009D46DA" w:rsidRDefault="00AD27B6" w:rsidP="00AD27B6">
      <w:pPr>
        <w:jc w:val="both"/>
        <w:rPr>
          <w:rFonts w:ascii="Bookman Old Style" w:hAnsi="Bookman Old Style"/>
        </w:rPr>
      </w:pPr>
      <w:r w:rsidRPr="009D46DA">
        <w:rPr>
          <w:rFonts w:ascii="Bookman Old Style" w:hAnsi="Bookman Old Style"/>
        </w:rPr>
        <w:t xml:space="preserve">Desde esta mirada amplia e integral, y desde el reconocimiento de la circularidad del proceso alimentario, es también necesario integrar la comprensión de los sistemas productivos. Se trata de ver que los componentes que integran dichos sistemas no solo tocan factores bióticos, técnicos (el cómo se produce) o de resultados (medibles desde la eficacia y eficiencia), sino que responden a estructuras socioculturales, ambientales, económicas y políticas, y con ellas, a las formas de pensar y organizar el territorio. </w:t>
      </w:r>
    </w:p>
    <w:p w14:paraId="10AC2E3C" w14:textId="350CD60E" w:rsidR="00AF62CD" w:rsidRDefault="00AF62CD" w:rsidP="00F36280">
      <w:pPr>
        <w:rPr>
          <w:rFonts w:ascii="Bookman Old Style" w:hAnsi="Bookman Old Style" w:cs="Calibri"/>
          <w:szCs w:val="24"/>
        </w:rPr>
      </w:pPr>
    </w:p>
    <w:p w14:paraId="487CB592" w14:textId="77777777" w:rsidR="005D6452" w:rsidRPr="00485CC5" w:rsidRDefault="005D6452" w:rsidP="00F36280">
      <w:pPr>
        <w:rPr>
          <w:rFonts w:ascii="Bookman Old Style" w:hAnsi="Bookman Old Style" w:cs="Calibri"/>
          <w:szCs w:val="24"/>
        </w:rPr>
      </w:pPr>
    </w:p>
    <w:p w14:paraId="26102736" w14:textId="4CC74D60" w:rsidR="00F36280" w:rsidRPr="00485CC5" w:rsidRDefault="00AD27B6" w:rsidP="00B64773">
      <w:pPr>
        <w:pStyle w:val="Prrafodelista"/>
        <w:numPr>
          <w:ilvl w:val="0"/>
          <w:numId w:val="35"/>
        </w:numPr>
        <w:spacing w:after="0" w:line="240" w:lineRule="auto"/>
        <w:ind w:left="0" w:firstLine="0"/>
        <w:jc w:val="center"/>
        <w:rPr>
          <w:rFonts w:ascii="Bookman Old Style" w:eastAsia="Calibri" w:hAnsi="Bookman Old Style" w:cs="Calibri"/>
          <w:b/>
          <w:szCs w:val="24"/>
        </w:rPr>
      </w:pPr>
      <w:r>
        <w:rPr>
          <w:rFonts w:ascii="Bookman Old Style" w:eastAsia="Calibri" w:hAnsi="Bookman Old Style" w:cs="Calibri"/>
          <w:b/>
          <w:szCs w:val="24"/>
        </w:rPr>
        <w:t>INSTRUMENTOS DE DERECHO INTERNACIONAL</w:t>
      </w:r>
      <w:r w:rsidR="008D6C03">
        <w:rPr>
          <w:rFonts w:ascii="Bookman Old Style" w:eastAsia="Calibri" w:hAnsi="Bookman Old Style" w:cs="Calibri"/>
          <w:b/>
          <w:szCs w:val="24"/>
        </w:rPr>
        <w:t>.</w:t>
      </w:r>
    </w:p>
    <w:p w14:paraId="54BD09A6" w14:textId="77777777" w:rsidR="00F36280" w:rsidRPr="00485CC5" w:rsidRDefault="00F36280" w:rsidP="00F36280">
      <w:pPr>
        <w:pStyle w:val="Prrafodelista"/>
        <w:spacing w:after="0" w:line="240" w:lineRule="auto"/>
        <w:ind w:left="360"/>
        <w:rPr>
          <w:rFonts w:ascii="Bookman Old Style" w:eastAsia="Calibri" w:hAnsi="Bookman Old Style" w:cs="Calibri"/>
          <w:b/>
          <w:szCs w:val="24"/>
        </w:rPr>
      </w:pPr>
    </w:p>
    <w:p w14:paraId="6E6A45F0" w14:textId="77777777" w:rsidR="00AD27B6" w:rsidRPr="009D46DA" w:rsidRDefault="00AD27B6" w:rsidP="00AD27B6">
      <w:pPr>
        <w:jc w:val="both"/>
        <w:rPr>
          <w:rFonts w:ascii="Bookman Old Style" w:hAnsi="Bookman Old Style"/>
        </w:rPr>
      </w:pPr>
      <w:r w:rsidRPr="009D46DA">
        <w:rPr>
          <w:rFonts w:ascii="Bookman Old Style" w:hAnsi="Bookman Old Style"/>
        </w:rPr>
        <w:t xml:space="preserve">El primer instrumento de derecho internacional en el que se hace referencia a la alimentación como un derecho es la </w:t>
      </w:r>
      <w:r w:rsidRPr="009D46DA">
        <w:rPr>
          <w:rFonts w:ascii="Bookman Old Style" w:hAnsi="Bookman Old Style"/>
          <w:b/>
        </w:rPr>
        <w:t>Declaración Universal de Derechos del Hombre</w:t>
      </w:r>
      <w:r w:rsidRPr="009D46DA">
        <w:rPr>
          <w:rFonts w:ascii="Bookman Old Style" w:hAnsi="Bookman Old Style"/>
        </w:rPr>
        <w:t xml:space="preserve"> – en adelante DUDH – de 1948, la cual, en su artículo 25, establece que como parte del </w:t>
      </w:r>
      <w:r w:rsidRPr="009D46DA">
        <w:rPr>
          <w:rFonts w:ascii="Bookman Old Style" w:hAnsi="Bookman Old Style"/>
          <w:i/>
        </w:rPr>
        <w:t>“(…) derecho a un nivel de vida adecuado que (…) asegure, la salud y el bienestar (…)”</w:t>
      </w:r>
      <w:r w:rsidRPr="009D46DA">
        <w:rPr>
          <w:rFonts w:ascii="Bookman Old Style" w:hAnsi="Bookman Old Style"/>
        </w:rPr>
        <w:t xml:space="preserve"> toda persona debe tener asegurado, entre otros elementos, </w:t>
      </w:r>
      <w:r w:rsidRPr="009D46DA">
        <w:rPr>
          <w:rFonts w:ascii="Bookman Old Style" w:hAnsi="Bookman Old Style"/>
          <w:i/>
        </w:rPr>
        <w:t>“(…) la alimentación (…)”</w:t>
      </w:r>
      <w:r w:rsidRPr="009D46DA">
        <w:rPr>
          <w:rFonts w:ascii="Bookman Old Style" w:hAnsi="Bookman Old Style"/>
        </w:rPr>
        <w:t xml:space="preserve">. En esta declaración, la temática se aborda forma general.  </w:t>
      </w:r>
    </w:p>
    <w:p w14:paraId="02EE4BCD" w14:textId="77777777" w:rsidR="00DB281A" w:rsidRDefault="00DB281A" w:rsidP="00AD27B6">
      <w:pPr>
        <w:jc w:val="both"/>
        <w:rPr>
          <w:rFonts w:ascii="Bookman Old Style" w:hAnsi="Bookman Old Style"/>
          <w:b/>
          <w:bCs/>
        </w:rPr>
      </w:pPr>
    </w:p>
    <w:p w14:paraId="7E0A0A8F" w14:textId="132EBBFB" w:rsidR="00AD27B6" w:rsidRPr="009D46DA" w:rsidRDefault="00AD27B6" w:rsidP="00AD27B6">
      <w:pPr>
        <w:jc w:val="both"/>
        <w:rPr>
          <w:rFonts w:ascii="Bookman Old Style" w:hAnsi="Bookman Old Style"/>
        </w:rPr>
      </w:pPr>
      <w:r w:rsidRPr="00DB281A">
        <w:rPr>
          <w:rFonts w:ascii="Bookman Old Style" w:hAnsi="Bookman Old Style"/>
          <w:b/>
          <w:bCs/>
        </w:rPr>
        <w:t xml:space="preserve">El </w:t>
      </w:r>
      <w:r w:rsidRPr="009D46DA">
        <w:rPr>
          <w:rFonts w:ascii="Bookman Old Style" w:hAnsi="Bookman Old Style"/>
          <w:b/>
        </w:rPr>
        <w:t>Pacto Internacional de Derechos Económicos, Sociales y Culturales</w:t>
      </w:r>
      <w:r w:rsidRPr="009D46DA">
        <w:rPr>
          <w:rFonts w:ascii="Bookman Old Style" w:hAnsi="Bookman Old Style"/>
        </w:rPr>
        <w:t xml:space="preserve"> – en adelante PIDESC – es el instrumento internacional que desarrolla con mayor profundidad este derecho. Su artículo 11 trae dos numerales orientados a plantear las obligaciones específicas de los Estados respecto al tema. En el primer numeral, en un sentido similar al del artículo 25 de la DUDH, se reconoce la alimentación como parte del </w:t>
      </w:r>
      <w:r w:rsidRPr="009D46DA">
        <w:rPr>
          <w:rFonts w:ascii="Bookman Old Style" w:hAnsi="Bookman Old Style"/>
          <w:i/>
        </w:rPr>
        <w:t>“(…) derecho de toda persona a un nivel de vida adecuado (…)”</w:t>
      </w:r>
      <w:r w:rsidRPr="009D46DA">
        <w:rPr>
          <w:rFonts w:ascii="Bookman Old Style" w:hAnsi="Bookman Old Style"/>
        </w:rPr>
        <w:t xml:space="preserve">, además de crear el mandato para los Estados de tomar </w:t>
      </w:r>
      <w:r w:rsidRPr="009D46DA">
        <w:rPr>
          <w:rFonts w:ascii="Bookman Old Style" w:hAnsi="Bookman Old Style"/>
          <w:i/>
        </w:rPr>
        <w:t>“(…) las medidas apropiadas para asegurar la efectividad de este derecho (…)”</w:t>
      </w:r>
      <w:r w:rsidRPr="009D46DA">
        <w:rPr>
          <w:rFonts w:ascii="Bookman Old Style" w:hAnsi="Bookman Old Style"/>
        </w:rPr>
        <w:t xml:space="preserve">. </w:t>
      </w:r>
    </w:p>
    <w:p w14:paraId="0BCEAF7B" w14:textId="77777777" w:rsidR="00DB281A" w:rsidRDefault="00DB281A" w:rsidP="00AD27B6">
      <w:pPr>
        <w:jc w:val="both"/>
        <w:rPr>
          <w:rFonts w:ascii="Bookman Old Style" w:hAnsi="Bookman Old Style"/>
        </w:rPr>
      </w:pPr>
    </w:p>
    <w:p w14:paraId="6244123F" w14:textId="54F666B2" w:rsidR="00AD27B6" w:rsidRPr="009D46DA" w:rsidRDefault="00AD27B6" w:rsidP="00AD27B6">
      <w:pPr>
        <w:jc w:val="both"/>
        <w:rPr>
          <w:rFonts w:ascii="Bookman Old Style" w:hAnsi="Bookman Old Style"/>
        </w:rPr>
      </w:pPr>
      <w:r w:rsidRPr="009D46DA">
        <w:rPr>
          <w:rFonts w:ascii="Bookman Old Style" w:hAnsi="Bookman Old Style"/>
        </w:rPr>
        <w:t xml:space="preserve">En el segundo numeral, se establece que los Estados parte reconocen, de manera específica, </w:t>
      </w:r>
      <w:r w:rsidRPr="009D46DA">
        <w:rPr>
          <w:rFonts w:ascii="Bookman Old Style" w:hAnsi="Bookman Old Style"/>
          <w:i/>
        </w:rPr>
        <w:t xml:space="preserve">“(…) el derecho fundamental de toda persona a estar protegida contra el hambre (…)”. </w:t>
      </w:r>
      <w:r w:rsidRPr="009D46DA">
        <w:rPr>
          <w:rFonts w:ascii="Bookman Old Style" w:hAnsi="Bookman Old Style"/>
        </w:rPr>
        <w:t xml:space="preserve">A renglón seguido, se establece que se deberán tomar las medidas necesarias para: </w:t>
      </w:r>
    </w:p>
    <w:p w14:paraId="1A4A4F15" w14:textId="77777777" w:rsidR="00DB281A" w:rsidRDefault="00DB281A" w:rsidP="00DB281A">
      <w:pPr>
        <w:widowControl/>
        <w:pBdr>
          <w:top w:val="nil"/>
          <w:left w:val="nil"/>
          <w:bottom w:val="nil"/>
          <w:right w:val="nil"/>
          <w:between w:val="nil"/>
        </w:pBdr>
        <w:ind w:left="360"/>
        <w:jc w:val="both"/>
        <w:rPr>
          <w:rFonts w:ascii="Bookman Old Style" w:hAnsi="Bookman Old Style"/>
          <w:i/>
          <w:color w:val="000000"/>
        </w:rPr>
      </w:pPr>
    </w:p>
    <w:p w14:paraId="687CF64B" w14:textId="0EC442FB" w:rsidR="00AD27B6" w:rsidRPr="009D46DA" w:rsidRDefault="00AD27B6" w:rsidP="00DB281A">
      <w:pPr>
        <w:widowControl/>
        <w:numPr>
          <w:ilvl w:val="0"/>
          <w:numId w:val="45"/>
        </w:numPr>
        <w:pBdr>
          <w:top w:val="nil"/>
          <w:left w:val="nil"/>
          <w:bottom w:val="nil"/>
          <w:right w:val="nil"/>
          <w:between w:val="nil"/>
        </w:pBdr>
        <w:jc w:val="both"/>
        <w:rPr>
          <w:rFonts w:ascii="Bookman Old Style" w:hAnsi="Bookman Old Style"/>
          <w:i/>
          <w:color w:val="000000"/>
        </w:rPr>
      </w:pPr>
      <w:r w:rsidRPr="009D46DA">
        <w:rPr>
          <w:rFonts w:ascii="Bookman Old Style" w:hAnsi="Bookman Old Style"/>
          <w:i/>
          <w:color w:val="000000"/>
        </w:rPr>
        <w:lastRenderedPageBreak/>
        <w:t>“Mejorar los métodos de producción, conservación y distribución de alimentos mediante la plena utilización de los conocimientos técnicos y científicos, la divulgación de principios sobre nutrición y el perfeccionamiento o la reforma de los regímenes agrarios de modo que se logren la explotación y la utilización más eficaces de las riquezas naturales;</w:t>
      </w:r>
    </w:p>
    <w:p w14:paraId="6893F253" w14:textId="77777777" w:rsidR="00DB281A" w:rsidRDefault="00DB281A" w:rsidP="00DB281A">
      <w:pPr>
        <w:widowControl/>
        <w:pBdr>
          <w:top w:val="nil"/>
          <w:left w:val="nil"/>
          <w:bottom w:val="nil"/>
          <w:right w:val="nil"/>
          <w:between w:val="nil"/>
        </w:pBdr>
        <w:ind w:left="360"/>
        <w:jc w:val="both"/>
        <w:rPr>
          <w:rFonts w:ascii="Bookman Old Style" w:hAnsi="Bookman Old Style"/>
          <w:i/>
          <w:color w:val="000000"/>
        </w:rPr>
      </w:pPr>
    </w:p>
    <w:p w14:paraId="1D017B4E" w14:textId="3967211E" w:rsidR="00AD27B6" w:rsidRDefault="00AD27B6" w:rsidP="00DB281A">
      <w:pPr>
        <w:widowControl/>
        <w:numPr>
          <w:ilvl w:val="0"/>
          <w:numId w:val="45"/>
        </w:numPr>
        <w:pBdr>
          <w:top w:val="nil"/>
          <w:left w:val="nil"/>
          <w:bottom w:val="nil"/>
          <w:right w:val="nil"/>
          <w:between w:val="nil"/>
        </w:pBdr>
        <w:jc w:val="both"/>
        <w:rPr>
          <w:rFonts w:ascii="Bookman Old Style" w:hAnsi="Bookman Old Style"/>
          <w:i/>
          <w:color w:val="000000"/>
        </w:rPr>
      </w:pPr>
      <w:r w:rsidRPr="009D46DA">
        <w:rPr>
          <w:rFonts w:ascii="Bookman Old Style" w:hAnsi="Bookman Old Style"/>
          <w:i/>
          <w:color w:val="000000"/>
        </w:rPr>
        <w:t>“Asegurar una distribución equitativa de los alimentos mundiales en relación con las necesidades, teniendo en cuenta los problemas que se plantean tanto a los países que importan productos alimenticios como a los que los</w:t>
      </w:r>
      <w:r w:rsidRPr="009D46DA">
        <w:rPr>
          <w:rFonts w:ascii="Bookman Old Style" w:hAnsi="Bookman Old Style"/>
          <w:i/>
        </w:rPr>
        <w:t xml:space="preserve"> </w:t>
      </w:r>
      <w:r w:rsidR="00DB281A">
        <w:rPr>
          <w:rFonts w:ascii="Bookman Old Style" w:hAnsi="Bookman Old Style"/>
          <w:i/>
        </w:rPr>
        <w:t>exportan</w:t>
      </w:r>
      <w:r w:rsidRPr="009D46DA">
        <w:rPr>
          <w:rFonts w:ascii="Bookman Old Style" w:hAnsi="Bookman Old Style"/>
          <w:i/>
          <w:color w:val="000000"/>
        </w:rPr>
        <w:t>”.</w:t>
      </w:r>
    </w:p>
    <w:p w14:paraId="446E4268" w14:textId="77777777" w:rsidR="00DB281A" w:rsidRPr="009D46DA" w:rsidRDefault="00DB281A" w:rsidP="00DB281A">
      <w:pPr>
        <w:widowControl/>
        <w:pBdr>
          <w:top w:val="nil"/>
          <w:left w:val="nil"/>
          <w:bottom w:val="nil"/>
          <w:right w:val="nil"/>
          <w:between w:val="nil"/>
        </w:pBdr>
        <w:ind w:left="360"/>
        <w:jc w:val="both"/>
        <w:rPr>
          <w:rFonts w:ascii="Bookman Old Style" w:hAnsi="Bookman Old Style"/>
          <w:i/>
          <w:color w:val="000000"/>
        </w:rPr>
      </w:pPr>
    </w:p>
    <w:p w14:paraId="5CE433EE" w14:textId="77777777" w:rsidR="00AD27B6" w:rsidRPr="009D46DA" w:rsidRDefault="00AD27B6" w:rsidP="00AD27B6">
      <w:pPr>
        <w:jc w:val="both"/>
        <w:rPr>
          <w:rFonts w:ascii="Bookman Old Style" w:hAnsi="Bookman Old Style"/>
        </w:rPr>
      </w:pPr>
      <w:r w:rsidRPr="009D46DA">
        <w:rPr>
          <w:rFonts w:ascii="Bookman Old Style" w:hAnsi="Bookman Old Style"/>
        </w:rPr>
        <w:t xml:space="preserve">De esta forma, el PIDESC reconoce explícitamente el derecho objeto de este proyecto de acto legislativo, además de crear obligaciones específicas para los Estados, encaminando su labor a materializarlo. Es necesario llamara la atención sobre un punto: el derecho a estar protegido contra el hambre es el único clasificado como fundamental por este Pacta; lo que muestra su relevancia. </w:t>
      </w:r>
    </w:p>
    <w:p w14:paraId="494AFE98" w14:textId="77777777" w:rsidR="00DB281A" w:rsidRDefault="00DB281A" w:rsidP="00AD27B6">
      <w:pPr>
        <w:jc w:val="both"/>
        <w:rPr>
          <w:rFonts w:ascii="Bookman Old Style" w:hAnsi="Bookman Old Style"/>
        </w:rPr>
      </w:pPr>
    </w:p>
    <w:p w14:paraId="39A90E13" w14:textId="3830F59B" w:rsidR="00AD27B6" w:rsidRPr="009D46DA" w:rsidRDefault="00AD27B6" w:rsidP="00AD27B6">
      <w:pPr>
        <w:jc w:val="both"/>
        <w:rPr>
          <w:rFonts w:ascii="Bookman Old Style" w:hAnsi="Bookman Old Style"/>
        </w:rPr>
      </w:pPr>
      <w:r w:rsidRPr="009D46DA">
        <w:rPr>
          <w:rFonts w:ascii="Bookman Old Style" w:hAnsi="Bookman Old Style"/>
        </w:rPr>
        <w:t xml:space="preserve">Otros instrumentos internacionales consagran el derecho referido a poblaciones específicas. En ese sentido: </w:t>
      </w:r>
    </w:p>
    <w:p w14:paraId="23561359" w14:textId="77777777" w:rsidR="00DB281A" w:rsidRPr="00DB281A" w:rsidRDefault="00DB281A" w:rsidP="00DB281A">
      <w:pPr>
        <w:widowControl/>
        <w:pBdr>
          <w:top w:val="nil"/>
          <w:left w:val="nil"/>
          <w:bottom w:val="nil"/>
          <w:right w:val="nil"/>
          <w:between w:val="nil"/>
        </w:pBdr>
        <w:ind w:left="360"/>
        <w:jc w:val="both"/>
        <w:rPr>
          <w:rFonts w:ascii="Bookman Old Style" w:hAnsi="Bookman Old Style"/>
          <w:color w:val="000000"/>
        </w:rPr>
      </w:pPr>
    </w:p>
    <w:p w14:paraId="258DB5DD" w14:textId="457136F4" w:rsidR="00AD27B6" w:rsidRPr="009D46DA" w:rsidRDefault="00AD27B6" w:rsidP="00AD27B6">
      <w:pPr>
        <w:widowControl/>
        <w:numPr>
          <w:ilvl w:val="0"/>
          <w:numId w:val="46"/>
        </w:numPr>
        <w:pBdr>
          <w:top w:val="nil"/>
          <w:left w:val="nil"/>
          <w:bottom w:val="nil"/>
          <w:right w:val="nil"/>
          <w:between w:val="nil"/>
        </w:pBdr>
        <w:jc w:val="both"/>
        <w:rPr>
          <w:rFonts w:ascii="Bookman Old Style" w:hAnsi="Bookman Old Style"/>
          <w:color w:val="000000"/>
        </w:rPr>
      </w:pPr>
      <w:r w:rsidRPr="00DB281A">
        <w:rPr>
          <w:rFonts w:ascii="Bookman Old Style" w:hAnsi="Bookman Old Style"/>
          <w:b/>
          <w:bCs/>
          <w:color w:val="000000"/>
        </w:rPr>
        <w:t>La C</w:t>
      </w:r>
      <w:r w:rsidRPr="009D46DA">
        <w:rPr>
          <w:rFonts w:ascii="Bookman Old Style" w:hAnsi="Bookman Old Style"/>
          <w:b/>
          <w:color w:val="000000"/>
        </w:rPr>
        <w:t xml:space="preserve">onvención sobre los Derechos del Niño </w:t>
      </w:r>
      <w:r w:rsidRPr="009D46DA">
        <w:rPr>
          <w:rFonts w:ascii="Bookman Old Style" w:hAnsi="Bookman Old Style"/>
          <w:color w:val="000000"/>
        </w:rPr>
        <w:t xml:space="preserve">establece en su artículo 24 </w:t>
      </w:r>
      <w:r w:rsidRPr="00DB281A">
        <w:rPr>
          <w:rFonts w:ascii="Bookman Old Style" w:hAnsi="Bookman Old Style"/>
          <w:i/>
          <w:iCs/>
          <w:color w:val="000000"/>
        </w:rPr>
        <w:t>“(…) el derecho del niño al disfrute del más alto nivel posible de salud y a servicios para el tratamiento de las enfermedades y la rehabilitación de la salud (…)”</w:t>
      </w:r>
      <w:r w:rsidRPr="009D46DA">
        <w:rPr>
          <w:rFonts w:ascii="Bookman Old Style" w:hAnsi="Bookman Old Style"/>
          <w:color w:val="000000"/>
        </w:rPr>
        <w:t xml:space="preserve">, el cual será garantizado por el Estado a través de, entre otras medidas, </w:t>
      </w:r>
      <w:r w:rsidRPr="00DB281A">
        <w:rPr>
          <w:rFonts w:ascii="Bookman Old Style" w:hAnsi="Bookman Old Style"/>
          <w:i/>
          <w:iCs/>
          <w:color w:val="000000"/>
        </w:rPr>
        <w:t>“(…) combatir las enfermedades y la malnutrición en el marco de la atención primaria de la salud mediante, entre otras cosas, la aplicación de la tecnología disponible y el suministro de alimentos nutritivos adecuados y agua potable salubre, teniendo en cuenta los peligros y riesgos de contaminación del medio ambiente”</w:t>
      </w:r>
      <w:r w:rsidRPr="009D46DA">
        <w:rPr>
          <w:rFonts w:ascii="Bookman Old Style" w:hAnsi="Bookman Old Style"/>
          <w:color w:val="000000"/>
        </w:rPr>
        <w:t xml:space="preserve">. </w:t>
      </w:r>
    </w:p>
    <w:p w14:paraId="48869349" w14:textId="77777777" w:rsidR="00AD27B6" w:rsidRPr="009D46DA" w:rsidRDefault="00AD27B6" w:rsidP="00AD27B6">
      <w:pPr>
        <w:pBdr>
          <w:top w:val="nil"/>
          <w:left w:val="nil"/>
          <w:bottom w:val="nil"/>
          <w:right w:val="nil"/>
          <w:between w:val="nil"/>
        </w:pBdr>
        <w:ind w:left="360"/>
        <w:jc w:val="both"/>
        <w:rPr>
          <w:rFonts w:ascii="Bookman Old Style" w:hAnsi="Bookman Old Style"/>
          <w:color w:val="000000"/>
        </w:rPr>
      </w:pPr>
    </w:p>
    <w:p w14:paraId="6DCD339B" w14:textId="77777777" w:rsidR="00AD27B6" w:rsidRPr="009D46DA" w:rsidRDefault="00AD27B6" w:rsidP="00AD27B6">
      <w:pPr>
        <w:widowControl/>
        <w:numPr>
          <w:ilvl w:val="0"/>
          <w:numId w:val="46"/>
        </w:numPr>
        <w:pBdr>
          <w:top w:val="nil"/>
          <w:left w:val="nil"/>
          <w:bottom w:val="nil"/>
          <w:right w:val="nil"/>
          <w:between w:val="nil"/>
        </w:pBdr>
        <w:jc w:val="both"/>
        <w:rPr>
          <w:rFonts w:ascii="Bookman Old Style" w:hAnsi="Bookman Old Style"/>
          <w:color w:val="000000"/>
        </w:rPr>
      </w:pPr>
      <w:r w:rsidRPr="00DB281A">
        <w:rPr>
          <w:rFonts w:ascii="Bookman Old Style" w:hAnsi="Bookman Old Style"/>
          <w:b/>
          <w:bCs/>
          <w:color w:val="000000"/>
        </w:rPr>
        <w:t xml:space="preserve">La </w:t>
      </w:r>
      <w:r w:rsidRPr="009D46DA">
        <w:rPr>
          <w:rFonts w:ascii="Bookman Old Style" w:hAnsi="Bookman Old Style"/>
          <w:b/>
          <w:color w:val="000000"/>
        </w:rPr>
        <w:t xml:space="preserve">Convención sobre la Eliminación de todas las Formas de Discriminación contra la Mujer </w:t>
      </w:r>
      <w:r w:rsidRPr="009D46DA">
        <w:rPr>
          <w:rFonts w:ascii="Bookman Old Style" w:hAnsi="Bookman Old Style"/>
          <w:color w:val="000000"/>
        </w:rPr>
        <w:t xml:space="preserve">considera como una problemática a resolver </w:t>
      </w:r>
      <w:r w:rsidRPr="00DB281A">
        <w:rPr>
          <w:rFonts w:ascii="Bookman Old Style" w:hAnsi="Bookman Old Style"/>
          <w:i/>
          <w:iCs/>
          <w:color w:val="000000"/>
        </w:rPr>
        <w:t xml:space="preserve">“(…) el hecho de que en situaciones de pobreza la mujer tiene un acceso mínimo a la alimentación (…)” </w:t>
      </w:r>
      <w:r w:rsidRPr="009D46DA">
        <w:rPr>
          <w:rFonts w:ascii="Bookman Old Style" w:hAnsi="Bookman Old Style"/>
          <w:color w:val="000000"/>
        </w:rPr>
        <w:t xml:space="preserve">y establece como una obligación de los Estados parte el asegurar para la mujer </w:t>
      </w:r>
      <w:r w:rsidRPr="00DB281A">
        <w:rPr>
          <w:rFonts w:ascii="Bookman Old Style" w:hAnsi="Bookman Old Style"/>
          <w:i/>
          <w:iCs/>
          <w:color w:val="000000"/>
        </w:rPr>
        <w:t>“(…) una nutrición adecuada durante el embarazo y la lactancia (…)”.</w:t>
      </w:r>
      <w:r w:rsidRPr="009D46DA">
        <w:rPr>
          <w:rFonts w:ascii="Bookman Old Style" w:hAnsi="Bookman Old Style"/>
          <w:color w:val="000000"/>
        </w:rPr>
        <w:t xml:space="preserve"> </w:t>
      </w:r>
    </w:p>
    <w:p w14:paraId="7441A436" w14:textId="77777777" w:rsidR="00AD27B6" w:rsidRPr="009D46DA" w:rsidRDefault="00AD27B6" w:rsidP="00AD27B6">
      <w:pPr>
        <w:pBdr>
          <w:top w:val="nil"/>
          <w:left w:val="nil"/>
          <w:bottom w:val="nil"/>
          <w:right w:val="nil"/>
          <w:between w:val="nil"/>
        </w:pBdr>
        <w:ind w:left="360"/>
        <w:jc w:val="both"/>
        <w:rPr>
          <w:rFonts w:ascii="Bookman Old Style" w:hAnsi="Bookman Old Style"/>
          <w:color w:val="000000"/>
        </w:rPr>
      </w:pPr>
    </w:p>
    <w:p w14:paraId="1545A2D5" w14:textId="77777777" w:rsidR="00AD27B6" w:rsidRPr="009D46DA" w:rsidRDefault="00AD27B6" w:rsidP="00AD27B6">
      <w:pPr>
        <w:widowControl/>
        <w:numPr>
          <w:ilvl w:val="0"/>
          <w:numId w:val="46"/>
        </w:numPr>
        <w:pBdr>
          <w:top w:val="nil"/>
          <w:left w:val="nil"/>
          <w:bottom w:val="nil"/>
          <w:right w:val="nil"/>
          <w:between w:val="nil"/>
        </w:pBdr>
        <w:spacing w:after="160"/>
        <w:jc w:val="both"/>
        <w:rPr>
          <w:rFonts w:ascii="Bookman Old Style" w:hAnsi="Bookman Old Style"/>
          <w:color w:val="000000"/>
        </w:rPr>
      </w:pPr>
      <w:r w:rsidRPr="00DB281A">
        <w:rPr>
          <w:rFonts w:ascii="Bookman Old Style" w:hAnsi="Bookman Old Style"/>
          <w:b/>
          <w:bCs/>
          <w:color w:val="000000"/>
        </w:rPr>
        <w:t>La C</w:t>
      </w:r>
      <w:r w:rsidRPr="009D46DA">
        <w:rPr>
          <w:rFonts w:ascii="Bookman Old Style" w:hAnsi="Bookman Old Style"/>
          <w:b/>
          <w:color w:val="000000"/>
        </w:rPr>
        <w:t>onvención sobre el Derecho de las Personas con Discapacidad</w:t>
      </w:r>
      <w:r w:rsidRPr="009D46DA">
        <w:rPr>
          <w:rFonts w:ascii="Bookman Old Style" w:hAnsi="Bookman Old Style"/>
          <w:color w:val="000000"/>
        </w:rPr>
        <w:t xml:space="preserve">, en términos similares a la DUDH, establece que los Estados parte </w:t>
      </w:r>
      <w:r w:rsidRPr="00DB281A">
        <w:rPr>
          <w:rFonts w:ascii="Bookman Old Style" w:hAnsi="Bookman Old Style"/>
          <w:i/>
          <w:iCs/>
          <w:color w:val="000000"/>
        </w:rPr>
        <w:t>“(…) reconocen el derecho de las personas con discapacidad a un nivel de vida adecuado para ellas y sus familias, lo cual incluye alimentación (…)</w:t>
      </w:r>
      <w:r w:rsidRPr="009D46DA">
        <w:rPr>
          <w:rFonts w:ascii="Bookman Old Style" w:hAnsi="Bookman Old Style"/>
          <w:color w:val="000000"/>
        </w:rPr>
        <w:t>”.</w:t>
      </w:r>
    </w:p>
    <w:p w14:paraId="2B84788E" w14:textId="27CA3249" w:rsidR="00AD27B6" w:rsidRPr="009D46DA" w:rsidRDefault="00AD27B6" w:rsidP="00AD27B6">
      <w:pPr>
        <w:jc w:val="both"/>
        <w:rPr>
          <w:rFonts w:ascii="Bookman Old Style" w:hAnsi="Bookman Old Style"/>
        </w:rPr>
      </w:pPr>
      <w:r w:rsidRPr="009D46DA">
        <w:rPr>
          <w:rFonts w:ascii="Bookman Old Style" w:hAnsi="Bookman Old Style"/>
        </w:rPr>
        <w:t xml:space="preserve">De igual forma, hay declaraciones internacionales y resoluciones de la </w:t>
      </w:r>
      <w:proofErr w:type="gramStart"/>
      <w:r w:rsidRPr="009D46DA">
        <w:rPr>
          <w:rFonts w:ascii="Bookman Old Style" w:hAnsi="Bookman Old Style"/>
        </w:rPr>
        <w:t>ONU</w:t>
      </w:r>
      <w:proofErr w:type="gramEnd"/>
      <w:r w:rsidRPr="009D46DA">
        <w:rPr>
          <w:rFonts w:ascii="Bookman Old Style" w:hAnsi="Bookman Old Style"/>
        </w:rPr>
        <w:t xml:space="preserve"> así como instrumentos de carácter regional que tocan el derecho a la alimentación. Entre estos últimos, resalta, por su relevancia regional, el </w:t>
      </w:r>
      <w:r w:rsidRPr="009D46DA">
        <w:rPr>
          <w:rFonts w:ascii="Bookman Old Style" w:hAnsi="Bookman Old Style"/>
          <w:b/>
        </w:rPr>
        <w:t xml:space="preserve">Protocolo Adicional a la Convención Americana sobre Derechos Humanos en materia de Derechos Económicos, Sociales y Culturales, "Protocolo de San Salvador" </w:t>
      </w:r>
      <w:r w:rsidRPr="009D46DA">
        <w:rPr>
          <w:rFonts w:ascii="Bookman Old Style" w:hAnsi="Bookman Old Style"/>
        </w:rPr>
        <w:t>reconoce en su artículo 12 el derecho a la alimentación, y lo desarrolla en dos numeral</w:t>
      </w:r>
      <w:r w:rsidR="00566B76">
        <w:rPr>
          <w:rFonts w:ascii="Bookman Old Style" w:hAnsi="Bookman Old Style"/>
        </w:rPr>
        <w:t>es</w:t>
      </w:r>
      <w:r w:rsidRPr="009D46DA">
        <w:rPr>
          <w:rFonts w:ascii="Bookman Old Style" w:hAnsi="Bookman Old Style"/>
        </w:rPr>
        <w:t xml:space="preserve">: </w:t>
      </w:r>
    </w:p>
    <w:p w14:paraId="578932DD" w14:textId="77777777" w:rsidR="00DB281A" w:rsidRDefault="00DB281A" w:rsidP="00DB281A">
      <w:pPr>
        <w:widowControl/>
        <w:pBdr>
          <w:top w:val="nil"/>
          <w:left w:val="nil"/>
          <w:bottom w:val="nil"/>
          <w:right w:val="nil"/>
          <w:between w:val="nil"/>
        </w:pBdr>
        <w:ind w:left="360"/>
        <w:jc w:val="both"/>
        <w:rPr>
          <w:rFonts w:ascii="Bookman Old Style" w:hAnsi="Bookman Old Style"/>
          <w:color w:val="000000"/>
        </w:rPr>
      </w:pPr>
    </w:p>
    <w:p w14:paraId="1411BBC0" w14:textId="14889A03" w:rsidR="00AD27B6" w:rsidRPr="00566B76" w:rsidRDefault="00AD27B6" w:rsidP="00566B76">
      <w:pPr>
        <w:widowControl/>
        <w:numPr>
          <w:ilvl w:val="0"/>
          <w:numId w:val="44"/>
        </w:numPr>
        <w:pBdr>
          <w:top w:val="nil"/>
          <w:left w:val="nil"/>
          <w:bottom w:val="nil"/>
          <w:right w:val="nil"/>
          <w:between w:val="nil"/>
        </w:pBdr>
        <w:ind w:left="851" w:right="810" w:firstLine="0"/>
        <w:jc w:val="both"/>
        <w:rPr>
          <w:rFonts w:ascii="Bookman Old Style" w:hAnsi="Bookman Old Style"/>
          <w:i/>
          <w:iCs/>
          <w:color w:val="000000"/>
        </w:rPr>
      </w:pPr>
      <w:r w:rsidRPr="00566B76">
        <w:rPr>
          <w:rFonts w:ascii="Bookman Old Style" w:hAnsi="Bookman Old Style"/>
          <w:i/>
          <w:iCs/>
          <w:color w:val="000000"/>
        </w:rPr>
        <w:lastRenderedPageBreak/>
        <w:t>“Toda persona tiene derecho a una nutrición adecuada que le asegure la posibilidad de gozar del más alto nivel de desarrollo físico, emocional e intelectual.</w:t>
      </w:r>
    </w:p>
    <w:p w14:paraId="1E7BF592" w14:textId="77777777" w:rsidR="00DB281A" w:rsidRPr="00566B76" w:rsidRDefault="00DB281A" w:rsidP="00566B76">
      <w:pPr>
        <w:widowControl/>
        <w:pBdr>
          <w:top w:val="nil"/>
          <w:left w:val="nil"/>
          <w:bottom w:val="nil"/>
          <w:right w:val="nil"/>
          <w:between w:val="nil"/>
        </w:pBdr>
        <w:spacing w:after="160"/>
        <w:ind w:left="851" w:right="810" w:hanging="851"/>
        <w:jc w:val="both"/>
        <w:rPr>
          <w:rFonts w:ascii="Bookman Old Style" w:hAnsi="Bookman Old Style"/>
          <w:i/>
          <w:iCs/>
          <w:color w:val="000000"/>
        </w:rPr>
      </w:pPr>
    </w:p>
    <w:p w14:paraId="075C7844" w14:textId="1C8A4FDC" w:rsidR="00AD27B6" w:rsidRPr="00566B76" w:rsidRDefault="00AD27B6" w:rsidP="00566B76">
      <w:pPr>
        <w:widowControl/>
        <w:numPr>
          <w:ilvl w:val="0"/>
          <w:numId w:val="44"/>
        </w:numPr>
        <w:pBdr>
          <w:top w:val="nil"/>
          <w:left w:val="nil"/>
          <w:bottom w:val="nil"/>
          <w:right w:val="nil"/>
          <w:between w:val="nil"/>
        </w:pBdr>
        <w:spacing w:after="160"/>
        <w:ind w:left="851" w:right="810" w:firstLine="0"/>
        <w:jc w:val="both"/>
        <w:rPr>
          <w:rFonts w:ascii="Bookman Old Style" w:hAnsi="Bookman Old Style"/>
          <w:i/>
          <w:iCs/>
          <w:color w:val="000000"/>
        </w:rPr>
      </w:pPr>
      <w:r w:rsidRPr="00566B76">
        <w:rPr>
          <w:rFonts w:ascii="Bookman Old Style" w:hAnsi="Bookman Old Style"/>
          <w:i/>
          <w:iCs/>
          <w:color w:val="000000"/>
        </w:rPr>
        <w:t xml:space="preserve">Con el objeto de hacer efectivo este derecho y a erradicar la desnutrición, los </w:t>
      </w:r>
      <w:r w:rsidR="00DB281A" w:rsidRPr="00566B76">
        <w:rPr>
          <w:rFonts w:ascii="Bookman Old Style" w:hAnsi="Bookman Old Style"/>
          <w:i/>
          <w:iCs/>
          <w:color w:val="000000"/>
        </w:rPr>
        <w:t>Estados parte</w:t>
      </w:r>
      <w:r w:rsidRPr="00566B76">
        <w:rPr>
          <w:rFonts w:ascii="Bookman Old Style" w:hAnsi="Bookman Old Style"/>
          <w:i/>
          <w:iCs/>
          <w:color w:val="000000"/>
        </w:rPr>
        <w:t xml:space="preserve"> se comprometen a perfeccionar los métodos de producción, aprovisionamiento y distribución de alimentos, para lo cual se comprometen a promover una mayor cooperación internacional en apoyo de las políticas nacionales sobre la materia”</w:t>
      </w:r>
    </w:p>
    <w:p w14:paraId="6B4A5271" w14:textId="77777777" w:rsidR="00566B76" w:rsidRDefault="00AD27B6" w:rsidP="00AD27B6">
      <w:pPr>
        <w:jc w:val="both"/>
        <w:rPr>
          <w:rFonts w:ascii="Bookman Old Style" w:hAnsi="Bookman Old Style"/>
        </w:rPr>
      </w:pPr>
      <w:r w:rsidRPr="009D46DA">
        <w:rPr>
          <w:rFonts w:ascii="Bookman Old Style" w:hAnsi="Bookman Old Style"/>
        </w:rPr>
        <w:t>Existen por otra parte diferentes instrumentos de derecho internacional no vinculantes, con los que se ha logrado crear un marco de desarrollo e interpretación de este derecho. Estos son, principalmente, aquellos instrumentos producidos por la Organización de las Naciones Unidas para la Alimentación y la Agricultura – FAO, por sus siglas en inglés –, la Comisión de Derechos Humanos de las Naciones Unidas y el Comité de los Derechos Económicos, Sociales y Culturales (por su sigla en inglés CESCR).</w:t>
      </w:r>
    </w:p>
    <w:p w14:paraId="30BF1F80" w14:textId="77777777" w:rsidR="00566B76" w:rsidRDefault="00566B76" w:rsidP="00AD27B6">
      <w:pPr>
        <w:jc w:val="both"/>
        <w:rPr>
          <w:rFonts w:ascii="Bookman Old Style" w:hAnsi="Bookman Old Style"/>
        </w:rPr>
      </w:pPr>
    </w:p>
    <w:p w14:paraId="017E6F12" w14:textId="1D49BC07" w:rsidR="00AD27B6" w:rsidRPr="009D46DA" w:rsidRDefault="00AD27B6" w:rsidP="00AD27B6">
      <w:pPr>
        <w:jc w:val="both"/>
        <w:rPr>
          <w:rFonts w:ascii="Bookman Old Style" w:hAnsi="Bookman Old Style"/>
          <w:i/>
        </w:rPr>
      </w:pPr>
      <w:r w:rsidRPr="009D46DA">
        <w:rPr>
          <w:rFonts w:ascii="Bookman Old Style" w:hAnsi="Bookman Old Style"/>
        </w:rPr>
        <w:t xml:space="preserve">Vale la pena resaltar </w:t>
      </w:r>
      <w:r w:rsidRPr="00566B76">
        <w:rPr>
          <w:rFonts w:ascii="Bookman Old Style" w:hAnsi="Bookman Old Style"/>
          <w:b/>
          <w:bCs/>
        </w:rPr>
        <w:t>la Declaración Sobre el Derecho al Desarrollo de1986</w:t>
      </w:r>
      <w:r w:rsidRPr="009D46DA">
        <w:rPr>
          <w:rFonts w:ascii="Bookman Old Style" w:hAnsi="Bookman Old Style"/>
        </w:rPr>
        <w:t xml:space="preserve"> según la cual </w:t>
      </w:r>
      <w:r w:rsidRPr="009D46DA">
        <w:rPr>
          <w:rFonts w:ascii="Bookman Old Style" w:hAnsi="Bookman Old Style"/>
          <w:i/>
        </w:rPr>
        <w:t xml:space="preserve">“Los Estados deben adoptar, en el plano nacional, todas las medidas necesarias para la realización del derecho al desarrollo y garantizarán, entre otras cosas, la igualdad de oportunidades para todos en cuanto al acceso a los recursos básicos, la educación, los servicios de salud, los alimentos, la vivienda, el empleo y la justa distribución de los ingresos (…)” (art.8). </w:t>
      </w:r>
    </w:p>
    <w:p w14:paraId="43938CA3" w14:textId="77777777" w:rsidR="00DB281A" w:rsidRDefault="00DB281A" w:rsidP="00AD27B6">
      <w:pPr>
        <w:jc w:val="both"/>
        <w:rPr>
          <w:rFonts w:ascii="Bookman Old Style" w:hAnsi="Bookman Old Style"/>
          <w:i/>
        </w:rPr>
      </w:pPr>
    </w:p>
    <w:p w14:paraId="6A77B903" w14:textId="603975F5" w:rsidR="00AD27B6" w:rsidRPr="00DB281A" w:rsidRDefault="00DB281A" w:rsidP="00AD27B6">
      <w:pPr>
        <w:jc w:val="both"/>
        <w:rPr>
          <w:rFonts w:ascii="Bookman Old Style" w:hAnsi="Bookman Old Style"/>
          <w:iCs/>
        </w:rPr>
      </w:pPr>
      <w:r w:rsidRPr="00DB281A">
        <w:rPr>
          <w:rFonts w:ascii="Bookman Old Style" w:hAnsi="Bookman Old Style"/>
          <w:iCs/>
        </w:rPr>
        <w:t>Igualmente,</w:t>
      </w:r>
      <w:r w:rsidR="00AD27B6" w:rsidRPr="00DB281A">
        <w:rPr>
          <w:rFonts w:ascii="Bookman Old Style" w:hAnsi="Bookman Old Style"/>
          <w:iCs/>
        </w:rPr>
        <w:t xml:space="preserve"> </w:t>
      </w:r>
      <w:r w:rsidR="00AD27B6" w:rsidRPr="00566B76">
        <w:rPr>
          <w:rFonts w:ascii="Bookman Old Style" w:hAnsi="Bookman Old Style"/>
          <w:b/>
          <w:bCs/>
          <w:iCs/>
        </w:rPr>
        <w:t>la Declaración Universal Sobre la Erradicación del Hambre y la Malnutrición (1974)</w:t>
      </w:r>
      <w:r w:rsidR="00AD27B6" w:rsidRPr="00DB281A">
        <w:rPr>
          <w:rFonts w:ascii="Bookman Old Style" w:hAnsi="Bookman Old Style"/>
          <w:iCs/>
        </w:rPr>
        <w:t xml:space="preserve"> refiere que</w:t>
      </w:r>
      <w:r w:rsidRPr="00DB281A">
        <w:rPr>
          <w:rFonts w:ascii="Bookman Old Style" w:hAnsi="Bookman Old Style"/>
          <w:iCs/>
        </w:rPr>
        <w:t>:</w:t>
      </w:r>
    </w:p>
    <w:p w14:paraId="3D1521B9" w14:textId="77777777" w:rsidR="00DB281A" w:rsidRDefault="00DB281A" w:rsidP="00AD27B6">
      <w:pPr>
        <w:ind w:left="709" w:right="709"/>
        <w:jc w:val="both"/>
        <w:rPr>
          <w:rFonts w:ascii="Bookman Old Style" w:hAnsi="Bookman Old Style"/>
          <w:i/>
        </w:rPr>
      </w:pPr>
    </w:p>
    <w:p w14:paraId="0E01A021" w14:textId="4207B770" w:rsidR="00AD27B6" w:rsidRPr="009D46DA" w:rsidRDefault="00AD27B6" w:rsidP="00DB281A">
      <w:pPr>
        <w:ind w:left="851" w:right="900"/>
        <w:jc w:val="both"/>
        <w:rPr>
          <w:rFonts w:ascii="Bookman Old Style" w:hAnsi="Bookman Old Style"/>
          <w:i/>
        </w:rPr>
      </w:pPr>
      <w:r w:rsidRPr="009D46DA">
        <w:rPr>
          <w:rFonts w:ascii="Bookman Old Style" w:hAnsi="Bookman Old Style"/>
          <w:i/>
        </w:rPr>
        <w:t>“todos los hombres, mujeres y niños tienen el derecho inalienable a no padecer de hambre y malnutrición a fin de poder desarrollarse plenamente y conservar sus capacidades físicas y mentales (...) Los gobiernos tienen la responsabilidad fundamental de colaborar entre sí para conseguir una mayor producción alimentaria y una distribución más equitativa y eficaz de alimentos entre los países y dentro de ellos. Los gobiernos deberían iniciar inmediatamente una lucha concertada más intensa contra la malnutrición crónica y las enfermedades por carencia que afectan a los grupos vulnerables y de ingresos más bajos”.</w:t>
      </w:r>
    </w:p>
    <w:p w14:paraId="67E47274" w14:textId="77777777" w:rsidR="00DB281A" w:rsidRDefault="00DB281A" w:rsidP="00AD27B6">
      <w:pPr>
        <w:jc w:val="both"/>
        <w:rPr>
          <w:rFonts w:ascii="Bookman Old Style" w:hAnsi="Bookman Old Style"/>
        </w:rPr>
      </w:pPr>
    </w:p>
    <w:p w14:paraId="6F68D07A" w14:textId="2C197684" w:rsidR="00AD27B6" w:rsidRPr="009D46DA" w:rsidRDefault="00AD27B6" w:rsidP="00AD27B6">
      <w:pPr>
        <w:jc w:val="both"/>
        <w:rPr>
          <w:rFonts w:ascii="Bookman Old Style" w:hAnsi="Bookman Old Style"/>
        </w:rPr>
      </w:pPr>
      <w:r w:rsidRPr="009D46DA">
        <w:rPr>
          <w:rFonts w:ascii="Bookman Old Style" w:hAnsi="Bookman Old Style"/>
        </w:rPr>
        <w:t xml:space="preserve">Así mismo Las </w:t>
      </w:r>
      <w:r w:rsidRPr="00566B76">
        <w:rPr>
          <w:rFonts w:ascii="Bookman Old Style" w:hAnsi="Bookman Old Style"/>
          <w:b/>
          <w:bCs/>
        </w:rPr>
        <w:t>“Directrices voluntarias en apoyo de la realización progresiva del derecho a una alimentación adecuada en el contexto de la seguridad alimentaria nacional”</w:t>
      </w:r>
      <w:r w:rsidRPr="009D46DA">
        <w:rPr>
          <w:rFonts w:ascii="Bookman Old Style" w:hAnsi="Bookman Old Style"/>
        </w:rPr>
        <w:t xml:space="preserve"> aprobadas en 2004, son pertinentes pues tienen como objetivo central orientar a los Estados en sus esfuerzos de lograr la realización progresiva del derecho a una alimentación adecuada. </w:t>
      </w:r>
    </w:p>
    <w:p w14:paraId="05125A28" w14:textId="77777777" w:rsidR="00DB281A" w:rsidRDefault="00DB281A" w:rsidP="00AD27B6">
      <w:pPr>
        <w:jc w:val="both"/>
        <w:rPr>
          <w:rFonts w:ascii="Bookman Old Style" w:hAnsi="Bookman Old Style"/>
        </w:rPr>
      </w:pPr>
    </w:p>
    <w:p w14:paraId="2312C4E5" w14:textId="53ABE8E4" w:rsidR="00AD27B6" w:rsidRPr="009D46DA" w:rsidRDefault="00AD27B6" w:rsidP="00AD27B6">
      <w:pPr>
        <w:jc w:val="both"/>
        <w:rPr>
          <w:rFonts w:ascii="Bookman Old Style" w:hAnsi="Bookman Old Style"/>
        </w:rPr>
      </w:pPr>
      <w:r w:rsidRPr="009D46DA">
        <w:rPr>
          <w:rFonts w:ascii="Bookman Old Style" w:hAnsi="Bookman Old Style"/>
        </w:rPr>
        <w:t xml:space="preserve">Igualmente la Declaración de Naciones Unidas sobre los derechos de los campesinos y de otras personas que trabajan en las zonas rurales hace referencia </w:t>
      </w:r>
      <w:r w:rsidRPr="009D46DA">
        <w:rPr>
          <w:rFonts w:ascii="Bookman Old Style" w:hAnsi="Bookman Old Style"/>
        </w:rPr>
        <w:lastRenderedPageBreak/>
        <w:t>en el artículo 15 al derecho que tienen los campesinos a la alimentación, a no padecer hambre y a la soberanía alimentaria, que comprende el derecho a una alimentación saludable y culturalmente apropiada, producida mediante métodos ecológicamente racionales y sostenibles, y el derecho a definir sus propios sistemas de alimentación y agricultura.</w:t>
      </w:r>
      <w:r w:rsidRPr="009D46DA">
        <w:rPr>
          <w:rFonts w:ascii="Bookman Old Style" w:hAnsi="Bookman Old Style"/>
          <w:vertAlign w:val="superscript"/>
        </w:rPr>
        <w:footnoteReference w:id="10"/>
      </w:r>
    </w:p>
    <w:p w14:paraId="23FD9E3A" w14:textId="77777777" w:rsidR="00DB281A" w:rsidRDefault="00DB281A" w:rsidP="00AD27B6">
      <w:pPr>
        <w:jc w:val="both"/>
        <w:rPr>
          <w:rFonts w:ascii="Bookman Old Style" w:hAnsi="Bookman Old Style"/>
        </w:rPr>
      </w:pPr>
    </w:p>
    <w:p w14:paraId="22184050" w14:textId="624C4B9D" w:rsidR="00AD27B6" w:rsidRPr="009D46DA" w:rsidRDefault="00AD27B6" w:rsidP="00AD27B6">
      <w:pPr>
        <w:jc w:val="both"/>
        <w:rPr>
          <w:rFonts w:ascii="Bookman Old Style" w:hAnsi="Bookman Old Style"/>
        </w:rPr>
      </w:pPr>
      <w:r w:rsidRPr="009D46DA">
        <w:rPr>
          <w:rFonts w:ascii="Bookman Old Style" w:hAnsi="Bookman Old Style"/>
        </w:rPr>
        <w:t xml:space="preserve">Por su parte, el Comité de los Derechos Económicos, Sociales y Culturales se ha pronunciado en varias oportunidades en relación con el alcance del derecho a la alimentación y en su Observación General Número 12 de 1999 define el derecho a la alimentación adecuada como aquel que: </w:t>
      </w:r>
    </w:p>
    <w:p w14:paraId="3E3D415E" w14:textId="77777777" w:rsidR="00DB281A" w:rsidRDefault="00DB281A" w:rsidP="00AD27B6">
      <w:pPr>
        <w:ind w:left="709" w:right="709"/>
        <w:jc w:val="both"/>
        <w:rPr>
          <w:rFonts w:ascii="Bookman Old Style" w:hAnsi="Bookman Old Style"/>
          <w:i/>
        </w:rPr>
      </w:pPr>
    </w:p>
    <w:p w14:paraId="1767FC9B" w14:textId="00F125A1" w:rsidR="00AD27B6" w:rsidRPr="009D46DA" w:rsidRDefault="00AD27B6" w:rsidP="00DB281A">
      <w:pPr>
        <w:ind w:left="851" w:right="900"/>
        <w:jc w:val="both"/>
        <w:rPr>
          <w:rFonts w:ascii="Bookman Old Style" w:hAnsi="Bookman Old Style"/>
        </w:rPr>
      </w:pPr>
      <w:r w:rsidRPr="009D46DA">
        <w:rPr>
          <w:rFonts w:ascii="Bookman Old Style" w:hAnsi="Bookman Old Style"/>
          <w:i/>
        </w:rPr>
        <w:t>“se ejerce cuando ejerce cuando todo hombre, mujer o niño, ya sea sólo o en común con otros, tiene acceso físico y económico, en todo momento, a la alimentación adecuada o a medios para obtenerla. El Derecho a la Alimentación adecuada no debe interpretarse, por consiguiente, en forma estrecha o restrictiva asimilándolo a un conjunto de calorías, proteínas y otros elementos nutritivos concretos. El Derecho a la Alimentación adecuada tendrá que alcanzarse progresivamente. No obstante, los Estados tienen la obligación básica de adoptar las medidas necesarias para mitigar y aliviar el hambre tal como se dispone en el párrafo 2 del artículo 11, incluso en caso de desastre natural o de otra índole”</w:t>
      </w:r>
      <w:r w:rsidRPr="009D46DA">
        <w:rPr>
          <w:rFonts w:ascii="Bookman Old Style" w:hAnsi="Bookman Old Style"/>
          <w:vertAlign w:val="superscript"/>
        </w:rPr>
        <w:t xml:space="preserve"> </w:t>
      </w:r>
      <w:r w:rsidRPr="009D46DA">
        <w:rPr>
          <w:rFonts w:ascii="Bookman Old Style" w:hAnsi="Bookman Old Style"/>
          <w:vertAlign w:val="superscript"/>
        </w:rPr>
        <w:footnoteReference w:id="11"/>
      </w:r>
      <w:r w:rsidRPr="009D46DA">
        <w:rPr>
          <w:rFonts w:ascii="Bookman Old Style" w:hAnsi="Bookman Old Style"/>
        </w:rPr>
        <w:t>.</w:t>
      </w:r>
    </w:p>
    <w:p w14:paraId="4090754F" w14:textId="77777777" w:rsidR="00DB281A" w:rsidRDefault="00DB281A" w:rsidP="00AD27B6">
      <w:pPr>
        <w:jc w:val="both"/>
        <w:rPr>
          <w:rFonts w:ascii="Bookman Old Style" w:hAnsi="Bookman Old Style"/>
        </w:rPr>
      </w:pPr>
    </w:p>
    <w:p w14:paraId="0B527AFD" w14:textId="3271532B" w:rsidR="00AD27B6" w:rsidRPr="009D46DA" w:rsidRDefault="00AD27B6" w:rsidP="00AD27B6">
      <w:pPr>
        <w:jc w:val="both"/>
        <w:rPr>
          <w:rFonts w:ascii="Bookman Old Style" w:hAnsi="Bookman Old Style"/>
        </w:rPr>
      </w:pPr>
      <w:r w:rsidRPr="009D46DA">
        <w:rPr>
          <w:rFonts w:ascii="Bookman Old Style" w:hAnsi="Bookman Old Style"/>
        </w:rPr>
        <w:t>Esta Observación también señaló que el derecho a una alimentación adecuada está inseparablemente vinculado a la dignidad inherente de la persona humana y es indispensable para el disfrute de otros derechos humanos consagrados en la Carta Internacional de Derechos Humanos</w:t>
      </w:r>
      <w:r w:rsidRPr="009D46DA">
        <w:rPr>
          <w:rFonts w:ascii="Bookman Old Style" w:hAnsi="Bookman Old Style"/>
          <w:vertAlign w:val="superscript"/>
        </w:rPr>
        <w:footnoteReference w:id="12"/>
      </w:r>
      <w:r w:rsidRPr="009D46DA">
        <w:rPr>
          <w:rFonts w:ascii="Bookman Old Style" w:hAnsi="Bookman Old Style"/>
        </w:rPr>
        <w:t xml:space="preserve">. </w:t>
      </w:r>
    </w:p>
    <w:p w14:paraId="2FCEFA9E" w14:textId="77777777" w:rsidR="00DB281A" w:rsidRDefault="00DB281A" w:rsidP="00AD27B6">
      <w:pPr>
        <w:jc w:val="both"/>
        <w:rPr>
          <w:rFonts w:ascii="Bookman Old Style" w:hAnsi="Bookman Old Style"/>
        </w:rPr>
      </w:pPr>
    </w:p>
    <w:p w14:paraId="7644E39F" w14:textId="20928397" w:rsidR="00AD27B6" w:rsidRPr="009D46DA" w:rsidRDefault="00AD27B6" w:rsidP="00AD27B6">
      <w:pPr>
        <w:jc w:val="both"/>
        <w:rPr>
          <w:rFonts w:ascii="Bookman Old Style" w:hAnsi="Bookman Old Style"/>
        </w:rPr>
      </w:pPr>
      <w:r w:rsidRPr="009D46DA">
        <w:rPr>
          <w:rFonts w:ascii="Bookman Old Style" w:hAnsi="Bookman Old Style"/>
        </w:rPr>
        <w:t>En cuanto a las obligaciones de los Estados en relación con la garantía de este derecho esta Observación destaca la obligación principal de adoptar medidas para lograr progresivamente el pleno ejercicio del derecho lo “más rápidamente posible” además de comprometerse a adoptar medidas para garantizar que toda persona tenga acceso al mínimo de alimentos esenciales suficientes inocuos y nutritivamente adecuados para protegerla contra el hambre.</w:t>
      </w:r>
    </w:p>
    <w:p w14:paraId="489BEAFB" w14:textId="77777777" w:rsidR="00DB281A" w:rsidRDefault="00DB281A" w:rsidP="00AD27B6">
      <w:pPr>
        <w:jc w:val="both"/>
        <w:rPr>
          <w:rFonts w:ascii="Bookman Old Style" w:hAnsi="Bookman Old Style"/>
        </w:rPr>
      </w:pPr>
    </w:p>
    <w:p w14:paraId="4BDD2EF1" w14:textId="2F50C4D5" w:rsidR="00AD27B6" w:rsidRPr="009D46DA" w:rsidRDefault="00AD27B6" w:rsidP="00AD27B6">
      <w:pPr>
        <w:jc w:val="both"/>
        <w:rPr>
          <w:rFonts w:ascii="Bookman Old Style" w:hAnsi="Bookman Old Style"/>
        </w:rPr>
      </w:pPr>
      <w:r w:rsidRPr="009D46DA">
        <w:rPr>
          <w:rFonts w:ascii="Bookman Old Style" w:hAnsi="Bookman Old Style"/>
        </w:rPr>
        <w:t>Así mismo, entendido como derecho humano especifica que el derecho a la alimentación adecuada impone al Estado las obligaciones de respetar (abstenerse de adoptar medidas que impidan el acceso), proteger (velar porque terceros no priven a las personas del ejercicio de este derecho) y realizar (que comprende por un lado, la obligación de facilitar condiciones para el acceso y utilización por parte de la población de los recursos y medios que aseguren sus medios de vida incluida su seguridad alimentaria; y por otro, la obligación de hacer efectivo el derecho cuando una persona o grupo está en incapacidad de acceder al derecho)</w:t>
      </w:r>
      <w:r w:rsidRPr="009D46DA">
        <w:rPr>
          <w:rFonts w:ascii="Bookman Old Style" w:hAnsi="Bookman Old Style"/>
          <w:vertAlign w:val="superscript"/>
        </w:rPr>
        <w:footnoteReference w:id="13"/>
      </w:r>
      <w:r w:rsidRPr="009D46DA">
        <w:rPr>
          <w:rFonts w:ascii="Bookman Old Style" w:hAnsi="Bookman Old Style"/>
        </w:rPr>
        <w:t xml:space="preserve">. </w:t>
      </w:r>
    </w:p>
    <w:p w14:paraId="49D5EF79" w14:textId="77777777" w:rsidR="00DB281A" w:rsidRDefault="00DB281A" w:rsidP="00AD27B6">
      <w:pPr>
        <w:jc w:val="both"/>
        <w:rPr>
          <w:rFonts w:ascii="Bookman Old Style" w:hAnsi="Bookman Old Style"/>
        </w:rPr>
      </w:pPr>
    </w:p>
    <w:p w14:paraId="7F5EA7D7" w14:textId="1B91F7A3" w:rsidR="00AD27B6" w:rsidRPr="009D46DA" w:rsidRDefault="00AD27B6" w:rsidP="00AD27B6">
      <w:pPr>
        <w:jc w:val="both"/>
        <w:rPr>
          <w:rFonts w:ascii="Bookman Old Style" w:hAnsi="Bookman Old Style"/>
        </w:rPr>
      </w:pPr>
      <w:r w:rsidRPr="009D46DA">
        <w:rPr>
          <w:rFonts w:ascii="Bookman Old Style" w:hAnsi="Bookman Old Style"/>
        </w:rPr>
        <w:lastRenderedPageBreak/>
        <w:t xml:space="preserve">Finalmente, el último informe de la Relatora Especial para el derecho a la alimentación </w:t>
      </w:r>
      <w:proofErr w:type="spellStart"/>
      <w:r w:rsidRPr="009D46DA">
        <w:rPr>
          <w:rFonts w:ascii="Bookman Old Style" w:hAnsi="Bookman Old Style"/>
        </w:rPr>
        <w:t>Hilal</w:t>
      </w:r>
      <w:proofErr w:type="spellEnd"/>
      <w:r w:rsidRPr="009D46DA">
        <w:rPr>
          <w:rFonts w:ascii="Bookman Old Style" w:hAnsi="Bookman Old Style"/>
        </w:rPr>
        <w:t xml:space="preserve"> </w:t>
      </w:r>
      <w:proofErr w:type="spellStart"/>
      <w:r w:rsidRPr="009D46DA">
        <w:rPr>
          <w:rFonts w:ascii="Bookman Old Style" w:hAnsi="Bookman Old Style"/>
        </w:rPr>
        <w:t>Elver</w:t>
      </w:r>
      <w:proofErr w:type="spellEnd"/>
      <w:r w:rsidRPr="009D46DA">
        <w:rPr>
          <w:rFonts w:ascii="Bookman Old Style" w:hAnsi="Bookman Old Style"/>
        </w:rPr>
        <w:t xml:space="preserve"> publicado este año, destaca que a pesar del objetivo de “hambre cero” y lucha contra la malnutrición previsto para 2030, la realización del derecho a la alimentación sigue siendo una realidad lejana, cuando no imposible, para demasiadas personas. Al respecto señala que los Estados siguen haciendo caso omiso a los derechos económicos, sociales y culturales, sobre todo el derecho a la alimentación. Indica que hay 170 países que son parte del PIDESC y sin embargo tan solo 30 países han reconocido expresamente el derecho en la constitución. Añade que los Estados son garantes de derechos y todas las personas son titulares de estos más no receptores pasivos de caridad por lo que es una obligación de los Estados garantizar unas instituciones que posibiliten la exigibilidad del derecho a la alimentación</w:t>
      </w:r>
      <w:r w:rsidRPr="009D46DA">
        <w:rPr>
          <w:rFonts w:ascii="Bookman Old Style" w:hAnsi="Bookman Old Style"/>
          <w:vertAlign w:val="superscript"/>
        </w:rPr>
        <w:footnoteReference w:id="14"/>
      </w:r>
      <w:r w:rsidRPr="009D46DA">
        <w:rPr>
          <w:rFonts w:ascii="Bookman Old Style" w:hAnsi="Bookman Old Style"/>
        </w:rPr>
        <w:t xml:space="preserve">. </w:t>
      </w:r>
    </w:p>
    <w:p w14:paraId="26A4CE7A" w14:textId="77777777" w:rsidR="00DB281A" w:rsidRDefault="00DB281A" w:rsidP="00AD27B6">
      <w:pPr>
        <w:jc w:val="both"/>
        <w:rPr>
          <w:rFonts w:ascii="Bookman Old Style" w:hAnsi="Bookman Old Style"/>
        </w:rPr>
      </w:pPr>
    </w:p>
    <w:p w14:paraId="6D59F091" w14:textId="2596D637" w:rsidR="00AD27B6" w:rsidRPr="009D46DA" w:rsidRDefault="00AD27B6" w:rsidP="00AD27B6">
      <w:pPr>
        <w:jc w:val="both"/>
        <w:rPr>
          <w:rFonts w:ascii="Bookman Old Style" w:hAnsi="Bookman Old Style"/>
        </w:rPr>
      </w:pPr>
      <w:r w:rsidRPr="009D46DA">
        <w:rPr>
          <w:rFonts w:ascii="Bookman Old Style" w:hAnsi="Bookman Old Style"/>
        </w:rPr>
        <w:t>Como se advierte, además de las normas e instrumentos internacionales que establecen obligaciones y referentes relevantes frente al Estado colombiano en relación con las garantías del derecho a la alimentación, se está en mora de avanzar hacia la constitucionalización de este derecho y de garantizar su carácter fundamental en relación con la población más vulnerable.</w:t>
      </w:r>
    </w:p>
    <w:p w14:paraId="757AC498" w14:textId="77777777" w:rsidR="00AD27B6" w:rsidRDefault="00AD27B6" w:rsidP="00AD27B6">
      <w:pPr>
        <w:jc w:val="both"/>
        <w:rPr>
          <w:rFonts w:ascii="Bookman Old Style" w:hAnsi="Bookman Old Style"/>
        </w:rPr>
      </w:pPr>
    </w:p>
    <w:p w14:paraId="15A4FF58" w14:textId="126FFD3A" w:rsidR="00780580" w:rsidRPr="00780580" w:rsidRDefault="00AD27B6" w:rsidP="00AF33C0">
      <w:pPr>
        <w:jc w:val="both"/>
        <w:rPr>
          <w:rFonts w:ascii="Bookman Old Style" w:hAnsi="Bookman Old Style"/>
        </w:rPr>
      </w:pPr>
      <w:r w:rsidRPr="009D46DA">
        <w:rPr>
          <w:rFonts w:ascii="Bookman Old Style" w:hAnsi="Bookman Old Style"/>
        </w:rPr>
        <w:t>Finalmente es importante mencionar que la jurisprudencia de la Corte Constitucional en varias sentencias se ha referido al derecho a la alimentación adecuada, a veces en pronunciamientos directos sobre el conjunto de componentes que integran el derecho a la alimentación, y en otras oportunidades aplicando el concepto de conexidad con los derechos fundamentales. Aunque los pronunciamientos son numerosos, se pueden destacar a modo de ejemplo las sentencias que han hablado sobre el derecho a la alimentación de los niños y niñas</w:t>
      </w:r>
      <w:r w:rsidRPr="009D46DA">
        <w:rPr>
          <w:rFonts w:ascii="Bookman Old Style" w:hAnsi="Bookman Old Style"/>
          <w:vertAlign w:val="superscript"/>
        </w:rPr>
        <w:footnoteReference w:id="15"/>
      </w:r>
      <w:r w:rsidRPr="009D46DA">
        <w:rPr>
          <w:rFonts w:ascii="Bookman Old Style" w:hAnsi="Bookman Old Style"/>
        </w:rPr>
        <w:t>, la importancia del derecho en los entornos educativos</w:t>
      </w:r>
      <w:r w:rsidRPr="009D46DA">
        <w:rPr>
          <w:rFonts w:ascii="Bookman Old Style" w:hAnsi="Bookman Old Style"/>
          <w:vertAlign w:val="superscript"/>
        </w:rPr>
        <w:footnoteReference w:id="16"/>
      </w:r>
      <w:r w:rsidRPr="009D46DA">
        <w:rPr>
          <w:rFonts w:ascii="Bookman Old Style" w:hAnsi="Bookman Old Style"/>
        </w:rPr>
        <w:t>, la alimentación para comunidades rurales</w:t>
      </w:r>
      <w:r w:rsidRPr="009D46DA">
        <w:rPr>
          <w:rFonts w:ascii="Bookman Old Style" w:hAnsi="Bookman Old Style"/>
          <w:vertAlign w:val="superscript"/>
        </w:rPr>
        <w:footnoteReference w:id="17"/>
      </w:r>
      <w:r w:rsidRPr="009D46DA">
        <w:rPr>
          <w:rFonts w:ascii="Bookman Old Style" w:hAnsi="Bookman Old Style"/>
        </w:rPr>
        <w:t xml:space="preserve"> y víctimas de desplazamiento forzado</w:t>
      </w:r>
      <w:r w:rsidRPr="009D46DA">
        <w:rPr>
          <w:rFonts w:ascii="Bookman Old Style" w:hAnsi="Bookman Old Style"/>
          <w:vertAlign w:val="superscript"/>
        </w:rPr>
        <w:footnoteReference w:id="18"/>
      </w:r>
      <w:r w:rsidRPr="009D46DA">
        <w:rPr>
          <w:rFonts w:ascii="Bookman Old Style" w:hAnsi="Bookman Old Style"/>
        </w:rPr>
        <w:t>, la garantía de este derecho para personas privadas de la libertad</w:t>
      </w:r>
      <w:r w:rsidRPr="009D46DA">
        <w:rPr>
          <w:rFonts w:ascii="Bookman Old Style" w:hAnsi="Bookman Old Style"/>
          <w:vertAlign w:val="superscript"/>
        </w:rPr>
        <w:footnoteReference w:id="19"/>
      </w:r>
      <w:r w:rsidRPr="009D46DA">
        <w:rPr>
          <w:rFonts w:ascii="Bookman Old Style" w:hAnsi="Bookman Old Style"/>
        </w:rPr>
        <w:t xml:space="preserve"> y la amplia jurisprudencia de los derechos sociales en el estado colombiano, entre otras. </w:t>
      </w:r>
    </w:p>
    <w:p w14:paraId="655B6069" w14:textId="734E7DC0" w:rsidR="00F36280" w:rsidRDefault="00F36280" w:rsidP="00F36280">
      <w:pPr>
        <w:rPr>
          <w:rFonts w:ascii="Bookman Old Style" w:hAnsi="Bookman Old Style"/>
          <w:szCs w:val="24"/>
        </w:rPr>
      </w:pPr>
    </w:p>
    <w:p w14:paraId="253B152E" w14:textId="66A844E0" w:rsidR="005D6452" w:rsidRDefault="005D6452" w:rsidP="00F36280">
      <w:pPr>
        <w:rPr>
          <w:rFonts w:ascii="Bookman Old Style" w:hAnsi="Bookman Old Style"/>
          <w:szCs w:val="24"/>
        </w:rPr>
      </w:pPr>
    </w:p>
    <w:p w14:paraId="606723EF" w14:textId="6FDA6A81" w:rsidR="005D6452" w:rsidRDefault="005D6452" w:rsidP="00F36280">
      <w:pPr>
        <w:rPr>
          <w:rFonts w:ascii="Bookman Old Style" w:hAnsi="Bookman Old Style"/>
          <w:szCs w:val="24"/>
        </w:rPr>
      </w:pPr>
    </w:p>
    <w:p w14:paraId="2934B92C" w14:textId="66B08C72" w:rsidR="005D6452" w:rsidRDefault="005D6452" w:rsidP="00F36280">
      <w:pPr>
        <w:rPr>
          <w:rFonts w:ascii="Bookman Old Style" w:hAnsi="Bookman Old Style"/>
          <w:szCs w:val="24"/>
        </w:rPr>
      </w:pPr>
    </w:p>
    <w:p w14:paraId="1E08EBD9" w14:textId="574CB607" w:rsidR="005D6452" w:rsidRDefault="005D6452" w:rsidP="00F36280">
      <w:pPr>
        <w:rPr>
          <w:rFonts w:ascii="Bookman Old Style" w:hAnsi="Bookman Old Style"/>
          <w:szCs w:val="24"/>
        </w:rPr>
      </w:pPr>
    </w:p>
    <w:p w14:paraId="34F00E59" w14:textId="78634412" w:rsidR="005D6452" w:rsidRDefault="005D6452" w:rsidP="00F36280">
      <w:pPr>
        <w:rPr>
          <w:rFonts w:ascii="Bookman Old Style" w:hAnsi="Bookman Old Style"/>
          <w:szCs w:val="24"/>
        </w:rPr>
      </w:pPr>
    </w:p>
    <w:p w14:paraId="13375B48" w14:textId="4DB58CA2" w:rsidR="005D6452" w:rsidRDefault="005D6452" w:rsidP="00F36280">
      <w:pPr>
        <w:rPr>
          <w:rFonts w:ascii="Bookman Old Style" w:hAnsi="Bookman Old Style"/>
          <w:szCs w:val="24"/>
        </w:rPr>
      </w:pPr>
    </w:p>
    <w:p w14:paraId="48E0F486" w14:textId="79119211" w:rsidR="005D6452" w:rsidRDefault="005D6452" w:rsidP="00F36280">
      <w:pPr>
        <w:rPr>
          <w:rFonts w:ascii="Bookman Old Style" w:hAnsi="Bookman Old Style"/>
          <w:szCs w:val="24"/>
        </w:rPr>
      </w:pPr>
    </w:p>
    <w:p w14:paraId="321D8AC4" w14:textId="32614CF5" w:rsidR="005D6452" w:rsidRDefault="005D6452" w:rsidP="00F36280">
      <w:pPr>
        <w:rPr>
          <w:rFonts w:ascii="Bookman Old Style" w:hAnsi="Bookman Old Style"/>
          <w:szCs w:val="24"/>
        </w:rPr>
      </w:pPr>
    </w:p>
    <w:p w14:paraId="59D21EFB" w14:textId="6CFB6410" w:rsidR="005D6452" w:rsidRDefault="005D6452" w:rsidP="00F36280">
      <w:pPr>
        <w:rPr>
          <w:rFonts w:ascii="Bookman Old Style" w:hAnsi="Bookman Old Style"/>
          <w:szCs w:val="24"/>
        </w:rPr>
      </w:pPr>
    </w:p>
    <w:p w14:paraId="033AB4B3" w14:textId="7E32E64E" w:rsidR="005D6452" w:rsidRDefault="005D6452" w:rsidP="00F36280">
      <w:pPr>
        <w:rPr>
          <w:rFonts w:ascii="Bookman Old Style" w:hAnsi="Bookman Old Style"/>
          <w:szCs w:val="24"/>
        </w:rPr>
      </w:pPr>
    </w:p>
    <w:p w14:paraId="01BA2FC9" w14:textId="77777777" w:rsidR="005D6452" w:rsidRPr="00485CC5" w:rsidRDefault="005D6452" w:rsidP="00F36280">
      <w:pPr>
        <w:rPr>
          <w:rFonts w:ascii="Bookman Old Style" w:hAnsi="Bookman Old Style"/>
          <w:szCs w:val="24"/>
        </w:rPr>
      </w:pPr>
    </w:p>
    <w:p w14:paraId="37808D64" w14:textId="2C3FC0E6" w:rsidR="00F36280" w:rsidRPr="00485CC5" w:rsidRDefault="00F157B2" w:rsidP="0006298F">
      <w:pPr>
        <w:pStyle w:val="Ttulo2"/>
        <w:numPr>
          <w:ilvl w:val="0"/>
          <w:numId w:val="35"/>
        </w:numPr>
        <w:ind w:left="0" w:firstLine="0"/>
        <w:jc w:val="center"/>
        <w:rPr>
          <w:rFonts w:ascii="Bookman Old Style" w:eastAsia="Calibri" w:hAnsi="Bookman Old Style" w:cs="Calibri"/>
          <w:sz w:val="22"/>
          <w:szCs w:val="24"/>
        </w:rPr>
      </w:pPr>
      <w:r>
        <w:rPr>
          <w:rFonts w:ascii="Bookman Old Style" w:eastAsia="Calibri" w:hAnsi="Bookman Old Style" w:cs="Calibri"/>
          <w:sz w:val="22"/>
          <w:szCs w:val="24"/>
        </w:rPr>
        <w:lastRenderedPageBreak/>
        <w:t>CUADRO COMPARATIVO</w:t>
      </w:r>
      <w:r w:rsidR="00F36280" w:rsidRPr="00485CC5">
        <w:rPr>
          <w:rFonts w:ascii="Bookman Old Style" w:eastAsia="Calibri" w:hAnsi="Bookman Old Style" w:cs="Calibri"/>
          <w:sz w:val="22"/>
          <w:szCs w:val="24"/>
        </w:rPr>
        <w:t xml:space="preserve"> CONSTITUCIÓN</w:t>
      </w:r>
      <w:r w:rsidR="002D3A46">
        <w:rPr>
          <w:rFonts w:ascii="Bookman Old Style" w:eastAsia="Calibri" w:hAnsi="Bookman Old Style" w:cs="Calibri"/>
          <w:sz w:val="22"/>
          <w:szCs w:val="24"/>
        </w:rPr>
        <w:t>.</w:t>
      </w:r>
    </w:p>
    <w:p w14:paraId="59BD16CF" w14:textId="77777777" w:rsidR="00F36280" w:rsidRPr="00485CC5" w:rsidRDefault="00F36280" w:rsidP="00F36280">
      <w:pPr>
        <w:rPr>
          <w:rFonts w:ascii="Bookman Old Style" w:hAnsi="Bookman Old Style" w:cs="Calibri"/>
          <w:szCs w:val="24"/>
        </w:rPr>
      </w:pPr>
    </w:p>
    <w:tbl>
      <w:tblPr>
        <w:tblStyle w:val="Tablaconcuadrcula"/>
        <w:tblW w:w="9072" w:type="dxa"/>
        <w:tblInd w:w="-5" w:type="dxa"/>
        <w:tblLook w:val="04A0" w:firstRow="1" w:lastRow="0" w:firstColumn="1" w:lastColumn="0" w:noHBand="0" w:noVBand="1"/>
      </w:tblPr>
      <w:tblGrid>
        <w:gridCol w:w="4536"/>
        <w:gridCol w:w="4536"/>
      </w:tblGrid>
      <w:tr w:rsidR="00F36280" w:rsidRPr="00485CC5" w14:paraId="1F911420" w14:textId="77777777" w:rsidTr="005B5FC0">
        <w:tc>
          <w:tcPr>
            <w:tcW w:w="4536" w:type="dxa"/>
          </w:tcPr>
          <w:p w14:paraId="4D0B6F1A" w14:textId="77777777" w:rsidR="00F36280" w:rsidRDefault="00F36280" w:rsidP="005B5FC0">
            <w:pPr>
              <w:ind w:right="616"/>
              <w:jc w:val="right"/>
              <w:rPr>
                <w:rFonts w:ascii="Bookman Old Style" w:hAnsi="Bookman Old Style" w:cs="Calibri"/>
                <w:b/>
                <w:szCs w:val="24"/>
              </w:rPr>
            </w:pPr>
            <w:bookmarkStart w:id="2" w:name="Nivel078"/>
            <w:r w:rsidRPr="00485CC5">
              <w:rPr>
                <w:rFonts w:ascii="Bookman Old Style" w:hAnsi="Bookman Old Style" w:cs="Calibri"/>
                <w:b/>
                <w:szCs w:val="24"/>
              </w:rPr>
              <w:t>TEXTO LEGAL VIGENTE</w:t>
            </w:r>
          </w:p>
          <w:p w14:paraId="4620E91A" w14:textId="2B661859" w:rsidR="00C44254" w:rsidRPr="00C44254" w:rsidRDefault="00C44254" w:rsidP="00C44254">
            <w:pPr>
              <w:ind w:left="29"/>
              <w:jc w:val="center"/>
              <w:rPr>
                <w:rFonts w:ascii="Bookman Old Style" w:hAnsi="Bookman Old Style" w:cs="Calibri"/>
                <w:b/>
                <w:lang w:val="es-ES_tradnl"/>
              </w:rPr>
            </w:pPr>
            <w:r w:rsidRPr="00C44254">
              <w:rPr>
                <w:rFonts w:ascii="Bookman Old Style" w:hAnsi="Bookman Old Style" w:cs="Calibri"/>
                <w:b/>
                <w:lang w:val="es-ES_tradnl"/>
              </w:rPr>
              <w:t>Constitución Política de Colombia</w:t>
            </w:r>
          </w:p>
        </w:tc>
        <w:tc>
          <w:tcPr>
            <w:tcW w:w="4536" w:type="dxa"/>
          </w:tcPr>
          <w:p w14:paraId="17A1869D" w14:textId="77777777" w:rsidR="00F36280" w:rsidRDefault="00F36280" w:rsidP="005B5FC0">
            <w:pPr>
              <w:ind w:right="884"/>
              <w:jc w:val="right"/>
              <w:rPr>
                <w:rFonts w:ascii="Bookman Old Style" w:hAnsi="Bookman Old Style" w:cs="Calibri"/>
                <w:b/>
                <w:szCs w:val="24"/>
              </w:rPr>
            </w:pPr>
            <w:r w:rsidRPr="00485CC5">
              <w:rPr>
                <w:rFonts w:ascii="Bookman Old Style" w:hAnsi="Bookman Old Style" w:cs="Calibri"/>
                <w:b/>
                <w:szCs w:val="24"/>
              </w:rPr>
              <w:t>TEXTO PROPUESTO</w:t>
            </w:r>
          </w:p>
          <w:p w14:paraId="779B657B" w14:textId="206092DC" w:rsidR="00C44254" w:rsidRPr="00C44254" w:rsidRDefault="00C44254" w:rsidP="00C44254">
            <w:pPr>
              <w:ind w:left="29"/>
              <w:jc w:val="center"/>
              <w:rPr>
                <w:rFonts w:ascii="Bookman Old Style" w:hAnsi="Bookman Old Style" w:cs="Calibri"/>
                <w:b/>
              </w:rPr>
            </w:pPr>
            <w:r w:rsidRPr="00C44254">
              <w:rPr>
                <w:rFonts w:ascii="Bookman Old Style" w:hAnsi="Bookman Old Style" w:cs="Calibri"/>
                <w:b/>
              </w:rPr>
              <w:t>Constitución Política de Colombia</w:t>
            </w:r>
          </w:p>
        </w:tc>
      </w:tr>
      <w:tr w:rsidR="00F36280" w:rsidRPr="00485CC5" w14:paraId="5E31EDF7" w14:textId="77777777" w:rsidTr="005B5FC0">
        <w:tc>
          <w:tcPr>
            <w:tcW w:w="4536" w:type="dxa"/>
          </w:tcPr>
          <w:p w14:paraId="28D53DE5" w14:textId="65DF8434" w:rsidR="00C44254" w:rsidRPr="00C44254" w:rsidRDefault="00F36280" w:rsidP="00C44254">
            <w:pPr>
              <w:jc w:val="both"/>
              <w:rPr>
                <w:rFonts w:ascii="Bookman Old Style" w:hAnsi="Bookman Old Style" w:cs="Calibri"/>
                <w:lang w:val="es-ES_tradnl"/>
              </w:rPr>
            </w:pPr>
            <w:r w:rsidRPr="00C44254">
              <w:rPr>
                <w:rFonts w:ascii="Bookman Old Style" w:hAnsi="Bookman Old Style" w:cs="Calibri"/>
                <w:b/>
                <w:lang w:val="es-ES_tradnl"/>
              </w:rPr>
              <w:t>A</w:t>
            </w:r>
            <w:r w:rsidR="00C44254" w:rsidRPr="00C44254">
              <w:rPr>
                <w:rFonts w:ascii="Bookman Old Style" w:hAnsi="Bookman Old Style" w:cs="Calibri"/>
                <w:b/>
                <w:lang w:val="es-ES_tradnl"/>
              </w:rPr>
              <w:t>RT</w:t>
            </w:r>
            <w:r w:rsidR="00C44254">
              <w:rPr>
                <w:rFonts w:ascii="Bookman Old Style" w:hAnsi="Bookman Old Style" w:cs="Calibri"/>
                <w:b/>
                <w:lang w:val="es-ES_tradnl"/>
              </w:rPr>
              <w:t>Í</w:t>
            </w:r>
            <w:r w:rsidR="00C44254" w:rsidRPr="00C44254">
              <w:rPr>
                <w:rFonts w:ascii="Bookman Old Style" w:hAnsi="Bookman Old Style" w:cs="Calibri"/>
                <w:b/>
                <w:lang w:val="es-ES_tradnl"/>
              </w:rPr>
              <w:t>CULO</w:t>
            </w:r>
            <w:r w:rsidRPr="00C44254">
              <w:rPr>
                <w:rFonts w:ascii="Bookman Old Style" w:hAnsi="Bookman Old Style" w:cs="Calibri"/>
                <w:b/>
                <w:lang w:val="es-ES_tradnl"/>
              </w:rPr>
              <w:t xml:space="preserve"> 4</w:t>
            </w:r>
            <w:r w:rsidR="00AF33C0" w:rsidRPr="00C44254">
              <w:rPr>
                <w:rFonts w:ascii="Bookman Old Style" w:hAnsi="Bookman Old Style" w:cs="Calibri"/>
                <w:b/>
                <w:lang w:val="es-ES_tradnl"/>
              </w:rPr>
              <w:t>5</w:t>
            </w:r>
            <w:r w:rsidRPr="00C44254">
              <w:rPr>
                <w:rFonts w:ascii="Bookman Old Style" w:hAnsi="Bookman Old Style" w:cs="Calibri"/>
                <w:b/>
                <w:lang w:val="es-ES_tradnl"/>
              </w:rPr>
              <w:t>.</w:t>
            </w:r>
            <w:r w:rsidRPr="00C44254">
              <w:rPr>
                <w:rFonts w:ascii="Bookman Old Style" w:hAnsi="Bookman Old Style" w:cs="Calibri"/>
                <w:lang w:val="es-ES_tradnl"/>
              </w:rPr>
              <w:t xml:space="preserve"> </w:t>
            </w:r>
            <w:r w:rsidR="00C44254" w:rsidRPr="00C44254">
              <w:rPr>
                <w:rFonts w:ascii="Bookman Old Style" w:hAnsi="Bookman Old Style" w:cs="Calibri"/>
                <w:lang w:val="es-ES_tradnl"/>
              </w:rPr>
              <w:t>El adolescente tiene derecho a la protección y a la formación integral.</w:t>
            </w:r>
          </w:p>
          <w:p w14:paraId="17B43011" w14:textId="77777777" w:rsidR="00C44254" w:rsidRPr="00C44254" w:rsidRDefault="00C44254" w:rsidP="00C44254">
            <w:pPr>
              <w:ind w:left="29"/>
              <w:jc w:val="both"/>
              <w:rPr>
                <w:rFonts w:ascii="Bookman Old Style" w:hAnsi="Bookman Old Style" w:cs="Calibri"/>
                <w:lang w:val="es-ES_tradnl"/>
              </w:rPr>
            </w:pPr>
          </w:p>
          <w:p w14:paraId="0137B57C" w14:textId="77777777" w:rsidR="00C44254" w:rsidRDefault="00C44254" w:rsidP="00C44254">
            <w:pPr>
              <w:ind w:left="29"/>
              <w:jc w:val="both"/>
              <w:rPr>
                <w:rFonts w:ascii="Bookman Old Style" w:hAnsi="Bookman Old Style" w:cs="Calibri"/>
                <w:lang w:val="es-ES_tradnl"/>
              </w:rPr>
            </w:pPr>
          </w:p>
          <w:p w14:paraId="3C359837" w14:textId="77777777" w:rsidR="00C44254" w:rsidRDefault="00C44254" w:rsidP="00C44254">
            <w:pPr>
              <w:ind w:left="29"/>
              <w:jc w:val="both"/>
              <w:rPr>
                <w:rFonts w:ascii="Bookman Old Style" w:hAnsi="Bookman Old Style" w:cs="Calibri"/>
                <w:lang w:val="es-ES_tradnl"/>
              </w:rPr>
            </w:pPr>
          </w:p>
          <w:p w14:paraId="4F084570" w14:textId="77777777" w:rsidR="00C44254" w:rsidRDefault="00C44254" w:rsidP="00C44254">
            <w:pPr>
              <w:ind w:left="29"/>
              <w:jc w:val="both"/>
              <w:rPr>
                <w:rFonts w:ascii="Bookman Old Style" w:hAnsi="Bookman Old Style" w:cs="Calibri"/>
                <w:lang w:val="es-ES_tradnl"/>
              </w:rPr>
            </w:pPr>
          </w:p>
          <w:p w14:paraId="64A5D68B" w14:textId="77777777" w:rsidR="00F36280" w:rsidRDefault="00C44254" w:rsidP="00C44254">
            <w:pPr>
              <w:ind w:left="29"/>
              <w:jc w:val="both"/>
              <w:rPr>
                <w:rFonts w:ascii="Bookman Old Style" w:hAnsi="Bookman Old Style" w:cs="Calibri"/>
                <w:lang w:val="es-ES_tradnl"/>
              </w:rPr>
            </w:pPr>
            <w:r w:rsidRPr="00C44254">
              <w:rPr>
                <w:rFonts w:ascii="Bookman Old Style" w:hAnsi="Bookman Old Style" w:cs="Calibri"/>
                <w:lang w:val="es-ES_tradnl"/>
              </w:rPr>
              <w:t>El Estado y la sociedad garantizan la participación activa de los jóvenes en los organismos públicos y privados que tengan a cargo la protección, educación y progreso de la juventud.</w:t>
            </w:r>
          </w:p>
          <w:p w14:paraId="0F58B645" w14:textId="5E184898" w:rsidR="00062587" w:rsidRPr="00C44254" w:rsidRDefault="00062587" w:rsidP="00C44254">
            <w:pPr>
              <w:ind w:left="29"/>
              <w:jc w:val="both"/>
              <w:rPr>
                <w:rFonts w:ascii="Bookman Old Style" w:hAnsi="Bookman Old Style" w:cs="Calibri"/>
                <w:lang w:val="es-ES_tradnl"/>
              </w:rPr>
            </w:pPr>
          </w:p>
        </w:tc>
        <w:tc>
          <w:tcPr>
            <w:tcW w:w="4536" w:type="dxa"/>
          </w:tcPr>
          <w:p w14:paraId="31177DCF" w14:textId="641D62A5" w:rsidR="00C44254" w:rsidRPr="00C44254" w:rsidRDefault="00F36280" w:rsidP="00C44254">
            <w:pPr>
              <w:jc w:val="both"/>
              <w:rPr>
                <w:rFonts w:ascii="Bookman Old Style" w:eastAsia="Times New Roman" w:hAnsi="Bookman Old Style" w:cs="Calibri"/>
                <w:lang w:eastAsia="es-CO"/>
              </w:rPr>
            </w:pPr>
            <w:r w:rsidRPr="00C44254">
              <w:rPr>
                <w:rFonts w:ascii="Bookman Old Style" w:hAnsi="Bookman Old Style" w:cs="Calibri"/>
                <w:b/>
              </w:rPr>
              <w:t>ARTÍCULO 4</w:t>
            </w:r>
            <w:r w:rsidR="00C44254" w:rsidRPr="00C44254">
              <w:rPr>
                <w:rFonts w:ascii="Bookman Old Style" w:hAnsi="Bookman Old Style" w:cs="Calibri"/>
                <w:b/>
              </w:rPr>
              <w:t>5</w:t>
            </w:r>
            <w:r w:rsidRPr="00C44254">
              <w:rPr>
                <w:rFonts w:ascii="Bookman Old Style" w:hAnsi="Bookman Old Style" w:cs="Calibri"/>
                <w:b/>
              </w:rPr>
              <w:t xml:space="preserve">. </w:t>
            </w:r>
            <w:r w:rsidR="00C44254" w:rsidRPr="00C44254">
              <w:rPr>
                <w:rFonts w:ascii="Bookman Old Style" w:eastAsia="Times New Roman" w:hAnsi="Bookman Old Style" w:cs="Calibri"/>
                <w:lang w:eastAsia="es-CO"/>
              </w:rPr>
              <w:t>El adolescente tiene derecho a la protección y a la formación integral</w:t>
            </w:r>
            <w:r w:rsidR="00C44254" w:rsidRPr="00C44254">
              <w:rPr>
                <w:rFonts w:ascii="Bookman Old Style" w:eastAsia="Times New Roman" w:hAnsi="Bookman Old Style" w:cs="Calibri"/>
                <w:b/>
                <w:bCs/>
                <w:u w:val="single"/>
                <w:lang w:eastAsia="es-CO"/>
              </w:rPr>
              <w:t>, así como a recibir una alimentación adecuada y acorde a las necesidades nutricionales para su correcto desarrollo</w:t>
            </w:r>
            <w:r w:rsidR="00C44254" w:rsidRPr="00C44254">
              <w:rPr>
                <w:rFonts w:ascii="Bookman Old Style" w:eastAsia="Times New Roman" w:hAnsi="Bookman Old Style" w:cs="Calibri"/>
                <w:lang w:eastAsia="es-CO"/>
              </w:rPr>
              <w:t>.</w:t>
            </w:r>
          </w:p>
          <w:p w14:paraId="4F37247A" w14:textId="77777777" w:rsidR="00C44254" w:rsidRPr="00C44254" w:rsidRDefault="00C44254" w:rsidP="00C44254">
            <w:pPr>
              <w:ind w:left="29"/>
              <w:jc w:val="both"/>
              <w:rPr>
                <w:rFonts w:ascii="Bookman Old Style" w:eastAsia="Times New Roman" w:hAnsi="Bookman Old Style" w:cs="Calibri"/>
                <w:lang w:eastAsia="es-CO"/>
              </w:rPr>
            </w:pPr>
          </w:p>
          <w:p w14:paraId="1822F0F9" w14:textId="77777777" w:rsidR="00F36280" w:rsidRDefault="00C44254" w:rsidP="00C44254">
            <w:pPr>
              <w:ind w:left="29"/>
              <w:jc w:val="both"/>
              <w:rPr>
                <w:rFonts w:ascii="Bookman Old Style" w:eastAsia="Times New Roman" w:hAnsi="Bookman Old Style" w:cs="Calibri"/>
                <w:lang w:eastAsia="es-CO"/>
              </w:rPr>
            </w:pPr>
            <w:r w:rsidRPr="00C44254">
              <w:rPr>
                <w:rFonts w:ascii="Bookman Old Style" w:eastAsia="Times New Roman" w:hAnsi="Bookman Old Style" w:cs="Calibri"/>
                <w:lang w:eastAsia="es-CO"/>
              </w:rPr>
              <w:t>El Estado y la sociedad garantizan la participación activa de los jóvenes en los organismos públicos y privados que tengan a cargo la protección, educación y progreso de la juventud</w:t>
            </w:r>
          </w:p>
          <w:p w14:paraId="4DA8C247" w14:textId="49247ED8" w:rsidR="00062587" w:rsidRPr="00C44254" w:rsidRDefault="00062587" w:rsidP="00C44254">
            <w:pPr>
              <w:ind w:left="29"/>
              <w:jc w:val="both"/>
              <w:rPr>
                <w:rFonts w:ascii="Bookman Old Style" w:hAnsi="Bookman Old Style" w:cs="Calibri"/>
                <w:b/>
                <w:u w:val="single"/>
                <w:lang w:val="es-ES_tradnl"/>
              </w:rPr>
            </w:pPr>
          </w:p>
        </w:tc>
      </w:tr>
      <w:tr w:rsidR="00C44254" w:rsidRPr="00485CC5" w14:paraId="30E671C6" w14:textId="77777777" w:rsidTr="005B5FC0">
        <w:tc>
          <w:tcPr>
            <w:tcW w:w="4536" w:type="dxa"/>
          </w:tcPr>
          <w:p w14:paraId="7CF86651" w14:textId="77777777" w:rsidR="00C44254" w:rsidRDefault="00C44254" w:rsidP="00C44254">
            <w:pPr>
              <w:ind w:left="29"/>
              <w:jc w:val="both"/>
              <w:rPr>
                <w:rFonts w:ascii="Bookman Old Style" w:hAnsi="Bookman Old Style" w:cs="Calibri"/>
                <w:bCs/>
              </w:rPr>
            </w:pPr>
            <w:r w:rsidRPr="00C44254">
              <w:rPr>
                <w:rFonts w:ascii="Bookman Old Style" w:hAnsi="Bookman Old Style" w:cs="Calibri"/>
                <w:b/>
              </w:rPr>
              <w:t>ARTÍCULO 65.</w:t>
            </w:r>
            <w:r w:rsidRPr="00C44254">
              <w:rPr>
                <w:rFonts w:ascii="Bookman Old Style" w:hAnsi="Bookman Old Style" w:cs="Calibri"/>
                <w:bCs/>
              </w:rPr>
              <w:t xml:space="preserve"> </w:t>
            </w:r>
          </w:p>
          <w:p w14:paraId="47D7E160" w14:textId="77777777" w:rsidR="00C44254" w:rsidRDefault="00C44254" w:rsidP="00C44254">
            <w:pPr>
              <w:ind w:left="29"/>
              <w:jc w:val="both"/>
              <w:rPr>
                <w:rFonts w:ascii="Bookman Old Style" w:hAnsi="Bookman Old Style" w:cs="Calibri"/>
                <w:bCs/>
              </w:rPr>
            </w:pPr>
          </w:p>
          <w:p w14:paraId="2A9CB01B" w14:textId="77777777" w:rsidR="00C44254" w:rsidRDefault="00C44254" w:rsidP="00C44254">
            <w:pPr>
              <w:ind w:left="29"/>
              <w:jc w:val="both"/>
              <w:rPr>
                <w:rFonts w:ascii="Bookman Old Style" w:hAnsi="Bookman Old Style" w:cs="Calibri"/>
                <w:bCs/>
              </w:rPr>
            </w:pPr>
          </w:p>
          <w:p w14:paraId="6487FB1F" w14:textId="77777777" w:rsidR="00C44254" w:rsidRDefault="00C44254" w:rsidP="00C44254">
            <w:pPr>
              <w:ind w:left="29"/>
              <w:jc w:val="both"/>
              <w:rPr>
                <w:rFonts w:ascii="Bookman Old Style" w:hAnsi="Bookman Old Style" w:cs="Calibri"/>
                <w:bCs/>
              </w:rPr>
            </w:pPr>
          </w:p>
          <w:p w14:paraId="25B15B12" w14:textId="77777777" w:rsidR="00C44254" w:rsidRDefault="00C44254" w:rsidP="00C44254">
            <w:pPr>
              <w:ind w:left="29"/>
              <w:jc w:val="both"/>
              <w:rPr>
                <w:rFonts w:ascii="Bookman Old Style" w:hAnsi="Bookman Old Style" w:cs="Calibri"/>
                <w:bCs/>
              </w:rPr>
            </w:pPr>
          </w:p>
          <w:p w14:paraId="289D3095" w14:textId="77777777" w:rsidR="00C44254" w:rsidRDefault="00C44254" w:rsidP="00C44254">
            <w:pPr>
              <w:ind w:left="29"/>
              <w:jc w:val="both"/>
              <w:rPr>
                <w:rFonts w:ascii="Bookman Old Style" w:hAnsi="Bookman Old Style" w:cs="Calibri"/>
                <w:bCs/>
              </w:rPr>
            </w:pPr>
          </w:p>
          <w:p w14:paraId="6A605FDE" w14:textId="77777777" w:rsidR="00C44254" w:rsidRDefault="00C44254" w:rsidP="00C44254">
            <w:pPr>
              <w:ind w:left="29"/>
              <w:jc w:val="both"/>
              <w:rPr>
                <w:rFonts w:ascii="Bookman Old Style" w:hAnsi="Bookman Old Style" w:cs="Calibri"/>
                <w:bCs/>
              </w:rPr>
            </w:pPr>
          </w:p>
          <w:p w14:paraId="6097E4C7" w14:textId="77777777" w:rsidR="00C44254" w:rsidRDefault="00C44254" w:rsidP="00C44254">
            <w:pPr>
              <w:ind w:left="29"/>
              <w:jc w:val="both"/>
              <w:rPr>
                <w:rFonts w:ascii="Bookman Old Style" w:hAnsi="Bookman Old Style" w:cs="Calibri"/>
                <w:bCs/>
              </w:rPr>
            </w:pPr>
          </w:p>
          <w:p w14:paraId="690BE35A" w14:textId="77777777" w:rsidR="00C44254" w:rsidRDefault="00C44254" w:rsidP="00C44254">
            <w:pPr>
              <w:ind w:left="29"/>
              <w:jc w:val="both"/>
              <w:rPr>
                <w:rFonts w:ascii="Bookman Old Style" w:hAnsi="Bookman Old Style" w:cs="Calibri"/>
                <w:bCs/>
              </w:rPr>
            </w:pPr>
          </w:p>
          <w:p w14:paraId="23355BF0" w14:textId="3E309689" w:rsidR="00C44254" w:rsidRPr="00C44254" w:rsidRDefault="00C44254" w:rsidP="00C44254">
            <w:pPr>
              <w:ind w:left="29"/>
              <w:jc w:val="both"/>
              <w:rPr>
                <w:rFonts w:ascii="Bookman Old Style" w:hAnsi="Bookman Old Style" w:cs="Calibri"/>
                <w:bCs/>
                <w:lang w:val="es-ES_tradnl"/>
              </w:rPr>
            </w:pPr>
            <w:r w:rsidRPr="00C44254">
              <w:rPr>
                <w:rFonts w:ascii="Bookman Old Style" w:hAnsi="Bookman Old Style" w:cs="Calibri"/>
                <w:bCs/>
                <w:lang w:val="es-ES_tradnl"/>
              </w:rPr>
              <w:t>La producción de alimentos gozará de la especial protección del Estado. Para tal efecto, se otorgará prioridad al desarrollo integral de las actividades agrícolas, pecuarias, pesqueras, forestales y agroindustriales, así como también a la construcción de obras de infraestructura física y adecuación de tierras.</w:t>
            </w:r>
          </w:p>
          <w:p w14:paraId="5114C354" w14:textId="77777777" w:rsidR="00C44254" w:rsidRPr="00C44254" w:rsidRDefault="00C44254" w:rsidP="00C44254">
            <w:pPr>
              <w:ind w:left="29"/>
              <w:jc w:val="both"/>
              <w:rPr>
                <w:rFonts w:ascii="Bookman Old Style" w:hAnsi="Bookman Old Style" w:cs="Calibri"/>
                <w:bCs/>
                <w:lang w:val="es-ES_tradnl"/>
              </w:rPr>
            </w:pPr>
          </w:p>
          <w:p w14:paraId="093F0E8B" w14:textId="24964FC0" w:rsidR="00C44254" w:rsidRPr="00C44254" w:rsidRDefault="00C44254" w:rsidP="00C44254">
            <w:pPr>
              <w:ind w:left="29"/>
              <w:jc w:val="both"/>
              <w:rPr>
                <w:rFonts w:ascii="Bookman Old Style" w:hAnsi="Bookman Old Style" w:cs="Calibri"/>
                <w:b/>
                <w:lang w:val="es-ES_tradnl"/>
              </w:rPr>
            </w:pPr>
            <w:r w:rsidRPr="00C44254">
              <w:rPr>
                <w:rFonts w:ascii="Bookman Old Style" w:hAnsi="Bookman Old Style" w:cs="Calibri"/>
                <w:bCs/>
                <w:lang w:val="es-ES_tradnl"/>
              </w:rPr>
              <w:t>De igual manera, el Estado promoverá la investigación y la transferencia de tecnología para la producción de alimentos y materias primas de origen agropecuario, con el propósito de incrementar la productividad.</w:t>
            </w:r>
          </w:p>
        </w:tc>
        <w:tc>
          <w:tcPr>
            <w:tcW w:w="4536" w:type="dxa"/>
          </w:tcPr>
          <w:p w14:paraId="56B28A53" w14:textId="4068DD99" w:rsidR="00C44254" w:rsidRPr="00C44254" w:rsidRDefault="00C44254" w:rsidP="00C44254">
            <w:pPr>
              <w:ind w:left="29"/>
              <w:jc w:val="both"/>
              <w:rPr>
                <w:rFonts w:ascii="Bookman Old Style" w:hAnsi="Bookman Old Style" w:cs="Calibri"/>
                <w:bCs/>
              </w:rPr>
            </w:pPr>
            <w:r w:rsidRPr="00C44254">
              <w:rPr>
                <w:rFonts w:ascii="Bookman Old Style" w:hAnsi="Bookman Old Style" w:cs="Calibri"/>
                <w:b/>
              </w:rPr>
              <w:t>ARTÍCULO 65.</w:t>
            </w:r>
            <w:r w:rsidRPr="00C44254">
              <w:rPr>
                <w:rFonts w:ascii="Bookman Old Style" w:hAnsi="Bookman Old Style" w:cs="Calibri"/>
                <w:bCs/>
              </w:rPr>
              <w:t xml:space="preserve"> </w:t>
            </w:r>
            <w:r w:rsidRPr="00C44254">
              <w:rPr>
                <w:rFonts w:ascii="Bookman Old Style" w:hAnsi="Bookman Old Style" w:cs="Calibri"/>
                <w:b/>
                <w:u w:val="single"/>
              </w:rPr>
              <w:t>Toda persona goza del derecho a un mínimo de alimentación y nutrición adecuada, y a no padecer hambre. El Estado garantizará progresivamente estos derechos y promoverá condiciones de seguridad alimentaria y soberanía alimentaria en el territorio nacional.</w:t>
            </w:r>
          </w:p>
          <w:p w14:paraId="296976C9" w14:textId="77777777" w:rsidR="00C44254" w:rsidRDefault="00C44254" w:rsidP="00C44254">
            <w:pPr>
              <w:ind w:left="29"/>
              <w:jc w:val="both"/>
              <w:rPr>
                <w:rFonts w:ascii="Bookman Old Style" w:hAnsi="Bookman Old Style" w:cs="Calibri"/>
                <w:bCs/>
              </w:rPr>
            </w:pPr>
          </w:p>
          <w:p w14:paraId="1A718026" w14:textId="120A1F8F" w:rsidR="00C44254" w:rsidRPr="00C44254" w:rsidRDefault="00C44254" w:rsidP="00C44254">
            <w:pPr>
              <w:ind w:left="29"/>
              <w:jc w:val="both"/>
              <w:rPr>
                <w:rFonts w:ascii="Bookman Old Style" w:hAnsi="Bookman Old Style" w:cs="Calibri"/>
                <w:bCs/>
              </w:rPr>
            </w:pPr>
            <w:r w:rsidRPr="00C44254">
              <w:rPr>
                <w:rFonts w:ascii="Bookman Old Style" w:hAnsi="Bookman Old Style" w:cs="Calibri"/>
                <w:bCs/>
              </w:rPr>
              <w:t>La producción de alimentos gozará de la especial protección del Estado. Para tal efecto, se otorgará prioridad al desarrollo integral de las actividades agrícolas, pecuarias, pesqueras, forestales y agroindustriales, así como también a la construcción de obras de infraestructura física y adecuación de tierras.</w:t>
            </w:r>
          </w:p>
          <w:p w14:paraId="406F36AB" w14:textId="77777777" w:rsidR="00C44254" w:rsidRDefault="00C44254" w:rsidP="00C44254">
            <w:pPr>
              <w:ind w:left="29"/>
              <w:jc w:val="both"/>
              <w:rPr>
                <w:rFonts w:ascii="Bookman Old Style" w:hAnsi="Bookman Old Style" w:cs="Calibri"/>
                <w:bCs/>
              </w:rPr>
            </w:pPr>
          </w:p>
          <w:p w14:paraId="0F4DFE29" w14:textId="4DFEBB96" w:rsidR="00C44254" w:rsidRPr="00C44254" w:rsidRDefault="00C44254" w:rsidP="00C44254">
            <w:pPr>
              <w:ind w:left="29"/>
              <w:jc w:val="both"/>
              <w:rPr>
                <w:rFonts w:ascii="Bookman Old Style" w:hAnsi="Bookman Old Style" w:cs="Calibri"/>
                <w:bCs/>
              </w:rPr>
            </w:pPr>
            <w:r w:rsidRPr="00C44254">
              <w:rPr>
                <w:rFonts w:ascii="Bookman Old Style" w:hAnsi="Bookman Old Style" w:cs="Calibri"/>
                <w:bCs/>
              </w:rPr>
              <w:t>De igual manera, el Estado promoverá la investigación y la transferencia de tecnología para la producción de alimentos y materias primas de origen agropecuario, con el propósito de incrementar la productividad</w:t>
            </w:r>
            <w:r w:rsidRPr="00C44254">
              <w:rPr>
                <w:rFonts w:ascii="Bookman Old Style" w:hAnsi="Bookman Old Style" w:cs="Calibri"/>
                <w:b/>
                <w:u w:val="single"/>
              </w:rPr>
              <w:t>, dando prioridad a las formas de producción de alimentos que estén acorde con una dieta saludable y que generen un menor impacto ambiental</w:t>
            </w:r>
            <w:r w:rsidRPr="00C44254">
              <w:rPr>
                <w:rFonts w:ascii="Bookman Old Style" w:hAnsi="Bookman Old Style" w:cs="Calibri"/>
                <w:bCs/>
              </w:rPr>
              <w:t>.</w:t>
            </w:r>
          </w:p>
          <w:p w14:paraId="2AD54417" w14:textId="77777777" w:rsidR="00C44254" w:rsidRDefault="00C44254" w:rsidP="00C44254">
            <w:pPr>
              <w:ind w:left="29"/>
              <w:jc w:val="both"/>
              <w:rPr>
                <w:rFonts w:ascii="Bookman Old Style" w:hAnsi="Bookman Old Style" w:cs="Calibri"/>
                <w:bCs/>
              </w:rPr>
            </w:pPr>
          </w:p>
          <w:p w14:paraId="3A09EB5D" w14:textId="77777777" w:rsidR="00C44254" w:rsidRDefault="00C44254" w:rsidP="00C44254">
            <w:pPr>
              <w:ind w:left="29"/>
              <w:jc w:val="both"/>
              <w:rPr>
                <w:rFonts w:ascii="Bookman Old Style" w:hAnsi="Bookman Old Style" w:cs="Calibri"/>
                <w:b/>
                <w:u w:val="single"/>
              </w:rPr>
            </w:pPr>
            <w:r w:rsidRPr="00C44254">
              <w:rPr>
                <w:rFonts w:ascii="Bookman Old Style" w:hAnsi="Bookman Old Style" w:cs="Calibri"/>
                <w:b/>
                <w:u w:val="single"/>
              </w:rPr>
              <w:lastRenderedPageBreak/>
              <w:t>La parte general del Plan Nacional de Desarrollo deberá incluir un capítulo en el que se especifiquen las acciones que adelantará el Gobierno nacional, en coordinación con los demás órganos del Estado, para materializar lo establecido en este artículo.</w:t>
            </w:r>
          </w:p>
          <w:p w14:paraId="531D94E8" w14:textId="0F834565" w:rsidR="00062587" w:rsidRPr="00C44254" w:rsidRDefault="00062587" w:rsidP="00C44254">
            <w:pPr>
              <w:ind w:left="29"/>
              <w:jc w:val="both"/>
              <w:rPr>
                <w:rFonts w:ascii="Bookman Old Style" w:hAnsi="Bookman Old Style" w:cs="Calibri"/>
                <w:b/>
                <w:u w:val="single"/>
              </w:rPr>
            </w:pPr>
          </w:p>
        </w:tc>
      </w:tr>
      <w:bookmarkEnd w:id="2"/>
    </w:tbl>
    <w:p w14:paraId="0945392D" w14:textId="5EC7D65C" w:rsidR="00F36280" w:rsidRDefault="00F36280" w:rsidP="00F36280">
      <w:pPr>
        <w:rPr>
          <w:rFonts w:ascii="Bookman Old Style" w:eastAsia="Calibri" w:hAnsi="Bookman Old Style" w:cs="Calibri"/>
          <w:szCs w:val="24"/>
        </w:rPr>
      </w:pPr>
    </w:p>
    <w:p w14:paraId="337764F0" w14:textId="77777777" w:rsidR="005D6452" w:rsidRPr="00485CC5" w:rsidRDefault="005D6452" w:rsidP="00F36280">
      <w:pPr>
        <w:rPr>
          <w:rFonts w:ascii="Bookman Old Style" w:eastAsia="Calibri" w:hAnsi="Bookman Old Style" w:cs="Calibri"/>
          <w:szCs w:val="24"/>
        </w:rPr>
      </w:pPr>
    </w:p>
    <w:p w14:paraId="3FAF379C" w14:textId="23FAAB9D" w:rsidR="00F36280" w:rsidRPr="00485CC5" w:rsidRDefault="00F36280" w:rsidP="009D587D">
      <w:pPr>
        <w:pStyle w:val="Ttulo2"/>
        <w:numPr>
          <w:ilvl w:val="0"/>
          <w:numId w:val="35"/>
        </w:numPr>
        <w:ind w:left="0" w:firstLine="0"/>
        <w:jc w:val="center"/>
        <w:rPr>
          <w:rFonts w:ascii="Bookman Old Style" w:eastAsia="Calibri" w:hAnsi="Bookman Old Style" w:cs="Calibri"/>
          <w:sz w:val="22"/>
          <w:szCs w:val="24"/>
        </w:rPr>
      </w:pPr>
      <w:r w:rsidRPr="00485CC5">
        <w:rPr>
          <w:rFonts w:ascii="Bookman Old Style" w:eastAsia="Calibri" w:hAnsi="Bookman Old Style" w:cs="Calibri"/>
          <w:sz w:val="22"/>
          <w:szCs w:val="24"/>
        </w:rPr>
        <w:t>C</w:t>
      </w:r>
      <w:r w:rsidR="00062587">
        <w:rPr>
          <w:rFonts w:ascii="Bookman Old Style" w:eastAsia="Calibri" w:hAnsi="Bookman Old Style" w:cs="Calibri"/>
          <w:sz w:val="22"/>
          <w:szCs w:val="24"/>
        </w:rPr>
        <w:t>ONCLUSIÓN</w:t>
      </w:r>
      <w:r w:rsidR="002D3A46">
        <w:rPr>
          <w:rFonts w:ascii="Bookman Old Style" w:eastAsia="Calibri" w:hAnsi="Bookman Old Style" w:cs="Calibri"/>
          <w:sz w:val="22"/>
          <w:szCs w:val="24"/>
        </w:rPr>
        <w:t>.</w:t>
      </w:r>
    </w:p>
    <w:p w14:paraId="3FF5215B" w14:textId="77777777" w:rsidR="00F36280" w:rsidRPr="00485CC5" w:rsidRDefault="00F36280" w:rsidP="009D587D">
      <w:pPr>
        <w:pBdr>
          <w:top w:val="nil"/>
          <w:left w:val="nil"/>
          <w:bottom w:val="nil"/>
          <w:right w:val="nil"/>
          <w:between w:val="nil"/>
        </w:pBdr>
        <w:rPr>
          <w:rFonts w:ascii="Bookman Old Style" w:eastAsia="Calibri" w:hAnsi="Bookman Old Style" w:cs="Calibri"/>
          <w:szCs w:val="24"/>
        </w:rPr>
      </w:pPr>
    </w:p>
    <w:p w14:paraId="610A5933" w14:textId="77777777" w:rsidR="00062587" w:rsidRPr="009D46DA" w:rsidRDefault="00062587" w:rsidP="009D587D">
      <w:pPr>
        <w:jc w:val="both"/>
        <w:rPr>
          <w:rFonts w:ascii="Bookman Old Style" w:hAnsi="Bookman Old Style"/>
        </w:rPr>
      </w:pPr>
      <w:r w:rsidRPr="009D46DA">
        <w:rPr>
          <w:rFonts w:ascii="Bookman Old Style" w:hAnsi="Bookman Old Style"/>
        </w:rPr>
        <w:t xml:space="preserve">Es relevante, entonces, avanzar en la constitucionalización de lo dispuesto en el presente proyecto de acto legislativo para responder a las disposiciones internacionales que ha tratado la materia y avanzar en la materialización de un país que no padezca el flagelo del hambre. </w:t>
      </w:r>
    </w:p>
    <w:p w14:paraId="1F0E574B" w14:textId="77777777" w:rsidR="00062587" w:rsidRDefault="00062587" w:rsidP="009D587D">
      <w:pPr>
        <w:jc w:val="both"/>
        <w:rPr>
          <w:rFonts w:ascii="Bookman Old Style" w:hAnsi="Bookman Old Style"/>
        </w:rPr>
      </w:pPr>
    </w:p>
    <w:p w14:paraId="650CD576" w14:textId="37F3395F" w:rsidR="00062587" w:rsidRPr="009D46DA" w:rsidRDefault="00062587" w:rsidP="009D587D">
      <w:pPr>
        <w:jc w:val="both"/>
        <w:rPr>
          <w:rFonts w:ascii="Bookman Old Style" w:hAnsi="Bookman Old Style"/>
        </w:rPr>
      </w:pPr>
      <w:r w:rsidRPr="009D46DA">
        <w:rPr>
          <w:rFonts w:ascii="Bookman Old Style" w:hAnsi="Bookman Old Style"/>
        </w:rPr>
        <w:t>Por supuesto una modificación constitucional, en sí misma, no conjurará el problema sin embargo dará paso a: una ley estatutaria que regule la materia y que deberá ser aprobada por el Congreso de la República posterior a la entrada en vigencia del presente Acto Legislativo, y al trabajo conjunt</w:t>
      </w:r>
      <w:r w:rsidR="00566B76">
        <w:rPr>
          <w:rFonts w:ascii="Bookman Old Style" w:hAnsi="Bookman Old Style"/>
        </w:rPr>
        <w:t>o</w:t>
      </w:r>
      <w:r w:rsidRPr="009D46DA">
        <w:rPr>
          <w:rFonts w:ascii="Bookman Old Style" w:hAnsi="Bookman Old Style"/>
        </w:rPr>
        <w:t xml:space="preserve"> de todo el engranaje estatal para avanzar en llevar a cabo lo que aquí se dispone. </w:t>
      </w:r>
    </w:p>
    <w:p w14:paraId="0BF42FB5" w14:textId="77777777" w:rsidR="00062587" w:rsidRDefault="00062587" w:rsidP="009D587D">
      <w:pPr>
        <w:pStyle w:val="NormalWeb"/>
        <w:spacing w:before="0" w:beforeAutospacing="0" w:after="0" w:afterAutospacing="0"/>
        <w:ind w:right="115"/>
        <w:jc w:val="both"/>
        <w:rPr>
          <w:rFonts w:ascii="Bookman Old Style" w:hAnsi="Bookman Old Style"/>
          <w:sz w:val="22"/>
          <w:szCs w:val="22"/>
        </w:rPr>
      </w:pPr>
    </w:p>
    <w:p w14:paraId="12B42C85" w14:textId="23EB10E7" w:rsidR="00F709EB" w:rsidRDefault="00062587" w:rsidP="009D587D">
      <w:pPr>
        <w:pStyle w:val="NormalWeb"/>
        <w:spacing w:before="0" w:beforeAutospacing="0" w:after="0" w:afterAutospacing="0"/>
        <w:ind w:right="115"/>
        <w:jc w:val="both"/>
        <w:rPr>
          <w:rFonts w:ascii="Bookman Old Style" w:hAnsi="Bookman Old Style"/>
          <w:sz w:val="22"/>
          <w:szCs w:val="22"/>
        </w:rPr>
      </w:pPr>
      <w:r w:rsidRPr="009D46DA">
        <w:rPr>
          <w:rFonts w:ascii="Bookman Old Style" w:hAnsi="Bookman Old Style"/>
          <w:sz w:val="22"/>
          <w:szCs w:val="22"/>
        </w:rPr>
        <w:t>Así mismo, considerando la situación derivada por la pandemia, será necesario que la ley estatutaria que desarrolle este derecho fundamental contemple mecanismos dirigidos de manera específica a conjurar la situación actual en materia alimentaria. Por esto, se invita a los miembros del Congreso de la República a acompañar la presente iniciativa.</w:t>
      </w:r>
    </w:p>
    <w:p w14:paraId="4887FC69" w14:textId="066809AE" w:rsidR="00062587" w:rsidRDefault="00062587" w:rsidP="00062587">
      <w:pPr>
        <w:pStyle w:val="NormalWeb"/>
        <w:spacing w:before="0" w:beforeAutospacing="0" w:after="0" w:afterAutospacing="0"/>
        <w:ind w:right="115"/>
        <w:jc w:val="both"/>
        <w:rPr>
          <w:rFonts w:ascii="Bookman Old Style" w:eastAsia="Calibri" w:hAnsi="Bookman Old Style" w:cs="Calibri"/>
          <w:b/>
          <w:sz w:val="22"/>
          <w:lang w:val="es-ES_tradnl"/>
        </w:rPr>
      </w:pPr>
    </w:p>
    <w:p w14:paraId="60481E6B" w14:textId="77777777" w:rsidR="005D6452" w:rsidRPr="001E18FE" w:rsidRDefault="005D6452" w:rsidP="00062587">
      <w:pPr>
        <w:pStyle w:val="NormalWeb"/>
        <w:spacing w:before="0" w:beforeAutospacing="0" w:after="0" w:afterAutospacing="0"/>
        <w:ind w:right="115"/>
        <w:jc w:val="both"/>
        <w:rPr>
          <w:rFonts w:ascii="Bookman Old Style" w:eastAsia="Calibri" w:hAnsi="Bookman Old Style" w:cs="Calibri"/>
          <w:b/>
          <w:sz w:val="22"/>
          <w:lang w:val="es-ES_tradnl"/>
        </w:rPr>
      </w:pPr>
    </w:p>
    <w:p w14:paraId="326C7534" w14:textId="3A9E668A" w:rsidR="00EB3931" w:rsidRDefault="00EB3931" w:rsidP="00B64773">
      <w:pPr>
        <w:pStyle w:val="Ttulo2"/>
        <w:numPr>
          <w:ilvl w:val="0"/>
          <w:numId w:val="35"/>
        </w:numPr>
        <w:ind w:left="0" w:firstLine="0"/>
        <w:jc w:val="center"/>
        <w:rPr>
          <w:rFonts w:ascii="Bookman Old Style" w:eastAsia="Calibri" w:hAnsi="Bookman Old Style" w:cs="Calibri"/>
          <w:sz w:val="22"/>
          <w:szCs w:val="22"/>
        </w:rPr>
      </w:pPr>
      <w:r>
        <w:rPr>
          <w:rFonts w:ascii="Bookman Old Style" w:eastAsia="Calibri" w:hAnsi="Bookman Old Style" w:cs="Calibri"/>
          <w:sz w:val="22"/>
          <w:szCs w:val="22"/>
        </w:rPr>
        <w:t>COMPETENCIA DEL CONGRESO</w:t>
      </w:r>
      <w:r w:rsidR="002D3A46">
        <w:rPr>
          <w:rFonts w:ascii="Bookman Old Style" w:eastAsia="Calibri" w:hAnsi="Bookman Old Style" w:cs="Calibri"/>
          <w:sz w:val="22"/>
          <w:szCs w:val="22"/>
        </w:rPr>
        <w:t>.</w:t>
      </w:r>
    </w:p>
    <w:p w14:paraId="04177489" w14:textId="77777777" w:rsidR="00EB3931" w:rsidRDefault="00EB3931" w:rsidP="00EB3931">
      <w:pPr>
        <w:jc w:val="both"/>
        <w:rPr>
          <w:rFonts w:ascii="Bookman Old Style" w:hAnsi="Bookman Old Style"/>
          <w:b/>
          <w:color w:val="000000" w:themeColor="text1"/>
        </w:rPr>
      </w:pPr>
    </w:p>
    <w:p w14:paraId="31C49E68" w14:textId="58CF90C5" w:rsidR="00EB3931" w:rsidRPr="00253221" w:rsidRDefault="009D587D" w:rsidP="00EB3931">
      <w:pPr>
        <w:jc w:val="both"/>
        <w:rPr>
          <w:rFonts w:ascii="Bookman Old Style" w:hAnsi="Bookman Old Style"/>
          <w:b/>
          <w:color w:val="000000" w:themeColor="text1"/>
        </w:rPr>
      </w:pPr>
      <w:r>
        <w:rPr>
          <w:rFonts w:ascii="Bookman Old Style" w:hAnsi="Bookman Old Style"/>
          <w:b/>
          <w:color w:val="000000" w:themeColor="text1"/>
        </w:rPr>
        <w:t>8</w:t>
      </w:r>
      <w:r w:rsidR="00EB3931" w:rsidRPr="00253221">
        <w:rPr>
          <w:rFonts w:ascii="Bookman Old Style" w:hAnsi="Bookman Old Style"/>
          <w:b/>
          <w:color w:val="000000" w:themeColor="text1"/>
        </w:rPr>
        <w:t>.1 CONSTITUCIONAL:</w:t>
      </w:r>
    </w:p>
    <w:p w14:paraId="5EFDCFD9" w14:textId="77777777" w:rsidR="00EB3931" w:rsidRDefault="00EB3931" w:rsidP="00EB3931">
      <w:pPr>
        <w:contextualSpacing/>
        <w:jc w:val="both"/>
        <w:rPr>
          <w:rFonts w:ascii="Bookman Old Style" w:hAnsi="Bookman Old Style"/>
          <w:b/>
          <w:color w:val="000000" w:themeColor="text1"/>
        </w:rPr>
      </w:pPr>
    </w:p>
    <w:p w14:paraId="4A1BB064" w14:textId="77777777" w:rsidR="00EB3931" w:rsidRPr="00F46028" w:rsidRDefault="00EB3931" w:rsidP="00F46EAD">
      <w:pPr>
        <w:ind w:left="709"/>
        <w:contextualSpacing/>
        <w:jc w:val="both"/>
        <w:rPr>
          <w:rFonts w:ascii="Bookman Old Style" w:hAnsi="Bookman Old Style"/>
          <w:color w:val="000000" w:themeColor="text1"/>
        </w:rPr>
      </w:pPr>
      <w:r w:rsidRPr="00F46028">
        <w:rPr>
          <w:rFonts w:ascii="Bookman Old Style" w:hAnsi="Bookman Old Style"/>
          <w:b/>
          <w:color w:val="000000" w:themeColor="text1"/>
        </w:rPr>
        <w:t>ARTICULO 114</w:t>
      </w:r>
      <w:r w:rsidRPr="00F46028">
        <w:rPr>
          <w:rFonts w:ascii="Bookman Old Style" w:hAnsi="Bookman Old Style"/>
          <w:color w:val="000000" w:themeColor="text1"/>
        </w:rPr>
        <w:t>. Corresponde al Congreso de la República reformar la Constitución, hacer las leyes y ejercer control político sobre el gobierno y la administración.</w:t>
      </w:r>
    </w:p>
    <w:p w14:paraId="234AD022" w14:textId="77777777" w:rsidR="00EB3931" w:rsidRDefault="00EB3931" w:rsidP="00F46EAD">
      <w:pPr>
        <w:ind w:left="709"/>
        <w:contextualSpacing/>
        <w:jc w:val="both"/>
        <w:rPr>
          <w:rFonts w:ascii="Bookman Old Style" w:hAnsi="Bookman Old Style"/>
          <w:color w:val="000000" w:themeColor="text1"/>
        </w:rPr>
      </w:pPr>
    </w:p>
    <w:p w14:paraId="081F8019" w14:textId="77777777" w:rsidR="00EB3931" w:rsidRPr="00F46028" w:rsidRDefault="00EB3931" w:rsidP="00F46EAD">
      <w:pPr>
        <w:ind w:left="709"/>
        <w:contextualSpacing/>
        <w:jc w:val="both"/>
        <w:rPr>
          <w:rFonts w:ascii="Bookman Old Style" w:hAnsi="Bookman Old Style"/>
          <w:color w:val="000000" w:themeColor="text1"/>
        </w:rPr>
      </w:pPr>
      <w:r w:rsidRPr="00F46028">
        <w:rPr>
          <w:rFonts w:ascii="Bookman Old Style" w:hAnsi="Bookman Old Style"/>
          <w:color w:val="000000" w:themeColor="text1"/>
        </w:rPr>
        <w:t>El Congreso de la República, estará integrado por el Senado y la Cámara de Representantes</w:t>
      </w:r>
    </w:p>
    <w:p w14:paraId="3B81E718" w14:textId="77777777" w:rsidR="00EB3931" w:rsidRDefault="00EB3931" w:rsidP="00F46EAD">
      <w:pPr>
        <w:ind w:left="709"/>
        <w:contextualSpacing/>
        <w:jc w:val="both"/>
        <w:rPr>
          <w:rFonts w:ascii="Bookman Old Style" w:hAnsi="Bookman Old Style"/>
          <w:color w:val="000000" w:themeColor="text1"/>
        </w:rPr>
      </w:pPr>
    </w:p>
    <w:p w14:paraId="018B5D69" w14:textId="77777777" w:rsidR="00EB3931" w:rsidRPr="00F46028" w:rsidRDefault="00EB3931" w:rsidP="00F46EAD">
      <w:pPr>
        <w:ind w:left="709"/>
        <w:contextualSpacing/>
        <w:jc w:val="both"/>
        <w:rPr>
          <w:rFonts w:ascii="Bookman Old Style" w:hAnsi="Bookman Old Style"/>
          <w:color w:val="000000" w:themeColor="text1"/>
        </w:rPr>
      </w:pPr>
      <w:r w:rsidRPr="00F46028">
        <w:rPr>
          <w:rFonts w:ascii="Bookman Old Style" w:hAnsi="Bookman Old Style"/>
          <w:b/>
          <w:color w:val="000000" w:themeColor="text1"/>
        </w:rPr>
        <w:t>ARTICULO  150</w:t>
      </w:r>
      <w:r w:rsidRPr="00F46028">
        <w:rPr>
          <w:rFonts w:ascii="Bookman Old Style" w:hAnsi="Bookman Old Style"/>
          <w:color w:val="000000" w:themeColor="text1"/>
        </w:rPr>
        <w:t>. Corresponde al Congreso hacer las leyes. Por medio de ellas ejerce las siguientes funciones:</w:t>
      </w:r>
    </w:p>
    <w:p w14:paraId="5A8B48E1" w14:textId="77777777" w:rsidR="00EB3931" w:rsidRPr="00F46028" w:rsidRDefault="00EB3931" w:rsidP="00F46EAD">
      <w:pPr>
        <w:ind w:left="709"/>
        <w:contextualSpacing/>
        <w:jc w:val="both"/>
        <w:rPr>
          <w:rFonts w:ascii="Bookman Old Style" w:hAnsi="Bookman Old Style"/>
          <w:color w:val="000000" w:themeColor="text1"/>
        </w:rPr>
      </w:pPr>
    </w:p>
    <w:p w14:paraId="2C77C15F" w14:textId="77777777" w:rsidR="00EB3931" w:rsidRPr="00F46028" w:rsidRDefault="00EB3931" w:rsidP="00F46EAD">
      <w:pPr>
        <w:pStyle w:val="Prrafodelista"/>
        <w:numPr>
          <w:ilvl w:val="0"/>
          <w:numId w:val="43"/>
        </w:numPr>
        <w:spacing w:after="0" w:line="240" w:lineRule="auto"/>
        <w:ind w:left="709" w:firstLine="0"/>
        <w:jc w:val="both"/>
        <w:rPr>
          <w:rFonts w:ascii="Bookman Old Style" w:hAnsi="Bookman Old Style"/>
          <w:color w:val="000000" w:themeColor="text1"/>
        </w:rPr>
      </w:pPr>
      <w:r w:rsidRPr="00F46028">
        <w:rPr>
          <w:rFonts w:ascii="Bookman Old Style" w:hAnsi="Bookman Old Style"/>
          <w:color w:val="000000" w:themeColor="text1"/>
        </w:rPr>
        <w:t>Interpretar, reformar y derogar las leyes.</w:t>
      </w:r>
      <w:r w:rsidRPr="00F46028">
        <w:rPr>
          <w:rFonts w:ascii="Bookman Old Style" w:hAnsi="Bookman Old Style"/>
        </w:rPr>
        <w:t xml:space="preserve"> </w:t>
      </w:r>
    </w:p>
    <w:p w14:paraId="09423275" w14:textId="77777777" w:rsidR="00EB3931" w:rsidRPr="00F46028" w:rsidRDefault="00EB3931" w:rsidP="00F46EAD">
      <w:pPr>
        <w:pStyle w:val="Prrafodelista"/>
        <w:ind w:left="709"/>
        <w:jc w:val="both"/>
        <w:rPr>
          <w:rFonts w:ascii="Bookman Old Style" w:hAnsi="Bookman Old Style"/>
          <w:color w:val="000000" w:themeColor="text1"/>
        </w:rPr>
      </w:pPr>
    </w:p>
    <w:p w14:paraId="4B9656EB" w14:textId="77777777" w:rsidR="00EB3931" w:rsidRPr="00F46028" w:rsidRDefault="00EB3931" w:rsidP="00F46EAD">
      <w:pPr>
        <w:pStyle w:val="Prrafodelista"/>
        <w:numPr>
          <w:ilvl w:val="0"/>
          <w:numId w:val="43"/>
        </w:numPr>
        <w:spacing w:after="0" w:line="240" w:lineRule="auto"/>
        <w:ind w:left="709" w:firstLine="0"/>
        <w:jc w:val="both"/>
        <w:rPr>
          <w:rFonts w:ascii="Bookman Old Style" w:hAnsi="Bookman Old Style"/>
          <w:color w:val="000000" w:themeColor="text1"/>
        </w:rPr>
      </w:pPr>
      <w:r w:rsidRPr="00F46028">
        <w:rPr>
          <w:rFonts w:ascii="Bookman Old Style" w:hAnsi="Bookman Old Style"/>
          <w:color w:val="000000" w:themeColor="text1"/>
        </w:rPr>
        <w:t>Expedir códigos en todos los ramos de la legislación y reformar sus disposiciones.</w:t>
      </w:r>
    </w:p>
    <w:p w14:paraId="619159D9" w14:textId="77777777" w:rsidR="00EB3931" w:rsidRPr="00F46028" w:rsidRDefault="00EB3931" w:rsidP="00F46EAD">
      <w:pPr>
        <w:pStyle w:val="Prrafodelista"/>
        <w:ind w:left="709"/>
        <w:jc w:val="both"/>
        <w:rPr>
          <w:rFonts w:ascii="Bookman Old Style" w:hAnsi="Bookman Old Style"/>
          <w:color w:val="000000" w:themeColor="text1"/>
        </w:rPr>
      </w:pPr>
    </w:p>
    <w:p w14:paraId="2030C9ED" w14:textId="77777777" w:rsidR="00EB3931" w:rsidRPr="00F46028" w:rsidRDefault="00EB3931" w:rsidP="00F46EAD">
      <w:pPr>
        <w:pStyle w:val="Prrafodelista"/>
        <w:numPr>
          <w:ilvl w:val="0"/>
          <w:numId w:val="43"/>
        </w:numPr>
        <w:spacing w:after="0" w:line="240" w:lineRule="auto"/>
        <w:ind w:left="709" w:firstLine="0"/>
        <w:jc w:val="both"/>
        <w:rPr>
          <w:rFonts w:ascii="Bookman Old Style" w:hAnsi="Bookman Old Style"/>
          <w:color w:val="000000" w:themeColor="text1"/>
        </w:rPr>
      </w:pPr>
      <w:r w:rsidRPr="00F46028">
        <w:rPr>
          <w:rFonts w:ascii="Bookman Old Style" w:hAnsi="Bookman Old Style"/>
          <w:color w:val="000000" w:themeColor="text1"/>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14:paraId="0ABF58C0" w14:textId="77777777" w:rsidR="00EB3931" w:rsidRPr="00F46028" w:rsidRDefault="00EB3931" w:rsidP="00F46EAD">
      <w:pPr>
        <w:pStyle w:val="Prrafodelista"/>
        <w:ind w:left="709"/>
        <w:jc w:val="both"/>
        <w:rPr>
          <w:rFonts w:ascii="Bookman Old Style" w:hAnsi="Bookman Old Style"/>
          <w:color w:val="000000" w:themeColor="text1"/>
        </w:rPr>
      </w:pPr>
    </w:p>
    <w:p w14:paraId="7DCC2A2D" w14:textId="59D57B59" w:rsidR="00EB3931" w:rsidRPr="007039DA" w:rsidRDefault="00EB3931" w:rsidP="00F46EAD">
      <w:pPr>
        <w:pStyle w:val="Prrafodelista"/>
        <w:numPr>
          <w:ilvl w:val="0"/>
          <w:numId w:val="43"/>
        </w:numPr>
        <w:spacing w:after="0" w:line="240" w:lineRule="auto"/>
        <w:ind w:left="709" w:firstLine="0"/>
        <w:jc w:val="both"/>
        <w:rPr>
          <w:rFonts w:ascii="Bookman Old Style" w:hAnsi="Bookman Old Style"/>
          <w:color w:val="000000" w:themeColor="text1"/>
        </w:rPr>
      </w:pPr>
      <w:r w:rsidRPr="00F46028">
        <w:rPr>
          <w:rFonts w:ascii="Bookman Old Style" w:hAnsi="Bookman Old Style"/>
          <w:color w:val="000000" w:themeColor="text1"/>
        </w:rPr>
        <w:t>Definir la división general del territorio con arreglo a lo previsto en esta Constitución, fijar las bases y condiciones para crear, eliminar, modificar o fusionar entidades territoriales y establecer sus competencias</w:t>
      </w:r>
      <w:r>
        <w:rPr>
          <w:rFonts w:ascii="Bookman Old Style" w:hAnsi="Bookman Old Style"/>
          <w:color w:val="000000" w:themeColor="text1"/>
        </w:rPr>
        <w:t>.</w:t>
      </w:r>
    </w:p>
    <w:p w14:paraId="1C7B0EB7" w14:textId="77777777" w:rsidR="00EB3931" w:rsidRPr="00F46028" w:rsidRDefault="00EB3931" w:rsidP="00EB3931">
      <w:pPr>
        <w:jc w:val="both"/>
        <w:rPr>
          <w:rFonts w:ascii="Bookman Old Style" w:hAnsi="Bookman Old Style"/>
          <w:b/>
          <w:color w:val="000000" w:themeColor="text1"/>
        </w:rPr>
      </w:pPr>
    </w:p>
    <w:p w14:paraId="37F03A74" w14:textId="17F7A5EE" w:rsidR="00EB3931" w:rsidRPr="00253221" w:rsidRDefault="009D587D" w:rsidP="00EB3931">
      <w:pPr>
        <w:jc w:val="both"/>
        <w:rPr>
          <w:rFonts w:ascii="Bookman Old Style" w:hAnsi="Bookman Old Style"/>
          <w:b/>
          <w:color w:val="000000" w:themeColor="text1"/>
          <w:u w:val="single"/>
        </w:rPr>
      </w:pPr>
      <w:r>
        <w:rPr>
          <w:rFonts w:ascii="Bookman Old Style" w:hAnsi="Bookman Old Style"/>
          <w:b/>
          <w:color w:val="000000" w:themeColor="text1"/>
        </w:rPr>
        <w:t>8</w:t>
      </w:r>
      <w:r w:rsidR="00EB3931">
        <w:rPr>
          <w:rFonts w:ascii="Bookman Old Style" w:hAnsi="Bookman Old Style"/>
          <w:b/>
          <w:color w:val="000000" w:themeColor="text1"/>
        </w:rPr>
        <w:t xml:space="preserve">.2 </w:t>
      </w:r>
      <w:r w:rsidR="00EB3931" w:rsidRPr="00253221">
        <w:rPr>
          <w:rFonts w:ascii="Bookman Old Style" w:hAnsi="Bookman Old Style"/>
          <w:b/>
          <w:color w:val="000000" w:themeColor="text1"/>
        </w:rPr>
        <w:t>LEGAL:</w:t>
      </w:r>
      <w:r w:rsidR="00EB3931" w:rsidRPr="00253221">
        <w:rPr>
          <w:rFonts w:ascii="Bookman Old Style" w:hAnsi="Bookman Old Style"/>
          <w:b/>
          <w:color w:val="000000" w:themeColor="text1"/>
          <w:u w:val="single"/>
        </w:rPr>
        <w:t xml:space="preserve"> </w:t>
      </w:r>
    </w:p>
    <w:p w14:paraId="15FF41EB" w14:textId="77777777" w:rsidR="00EB3931" w:rsidRPr="00A22CFE" w:rsidRDefault="00EB3931" w:rsidP="00EB3931">
      <w:pPr>
        <w:jc w:val="both"/>
        <w:rPr>
          <w:rFonts w:ascii="Bookman Old Style" w:hAnsi="Bookman Old Style"/>
          <w:b/>
          <w:color w:val="000000" w:themeColor="text1"/>
          <w:u w:val="single"/>
        </w:rPr>
      </w:pPr>
    </w:p>
    <w:p w14:paraId="7C909CAC" w14:textId="77777777" w:rsidR="00EB3931" w:rsidRPr="00F46028" w:rsidRDefault="00EB3931" w:rsidP="00F46EAD">
      <w:pPr>
        <w:jc w:val="both"/>
        <w:rPr>
          <w:rFonts w:ascii="Bookman Old Style" w:hAnsi="Bookman Old Style" w:cs="Arial"/>
          <w:b/>
          <w:lang w:eastAsia="es-ES"/>
        </w:rPr>
      </w:pPr>
      <w:r w:rsidRPr="00F46028">
        <w:rPr>
          <w:rFonts w:ascii="Bookman Old Style" w:hAnsi="Bookman Old Style"/>
          <w:b/>
          <w:color w:val="000000" w:themeColor="text1"/>
        </w:rPr>
        <w:t>LEY 3 DE 1992.</w:t>
      </w:r>
      <w:r w:rsidRPr="00F46028">
        <w:rPr>
          <w:rFonts w:ascii="Bookman Old Style" w:hAnsi="Bookman Old Style" w:cs="Arial"/>
          <w:b/>
          <w:lang w:eastAsia="es-ES"/>
        </w:rPr>
        <w:t xml:space="preserve"> POR LA CUAL SE EXPIDEN NORMAS SOBRE LAS COMISIONES DEL CONGRESO DE COLOMBIA Y SE DICTAN OTRAS DISPOSICIONES.</w:t>
      </w:r>
    </w:p>
    <w:p w14:paraId="52D77D8D" w14:textId="77777777" w:rsidR="00EB3931" w:rsidRPr="00F46028" w:rsidRDefault="00EB3931" w:rsidP="00EB3931">
      <w:pPr>
        <w:ind w:left="851"/>
        <w:jc w:val="both"/>
        <w:rPr>
          <w:rFonts w:ascii="Bookman Old Style" w:hAnsi="Bookman Old Style"/>
          <w:b/>
          <w:color w:val="000000" w:themeColor="text1"/>
        </w:rPr>
      </w:pPr>
    </w:p>
    <w:p w14:paraId="2FF868DC" w14:textId="77777777" w:rsidR="00EB3931" w:rsidRPr="00F46028" w:rsidRDefault="00EB3931" w:rsidP="00F46EAD">
      <w:pPr>
        <w:ind w:left="709"/>
        <w:jc w:val="both"/>
        <w:rPr>
          <w:rFonts w:ascii="Bookman Old Style" w:hAnsi="Bookman Old Style"/>
          <w:i/>
          <w:color w:val="000000" w:themeColor="text1"/>
        </w:rPr>
      </w:pPr>
      <w:r w:rsidRPr="00F46028">
        <w:rPr>
          <w:rFonts w:ascii="Bookman Old Style" w:hAnsi="Bookman Old Style"/>
          <w:b/>
          <w:i/>
          <w:color w:val="000000" w:themeColor="text1"/>
        </w:rPr>
        <w:t xml:space="preserve">ARTÍCULO 2º </w:t>
      </w:r>
      <w:r w:rsidRPr="00F46028">
        <w:rPr>
          <w:rFonts w:ascii="Bookman Old Style" w:hAnsi="Bookman Old Style"/>
          <w:i/>
          <w:color w:val="000000" w:themeColor="text1"/>
        </w:rPr>
        <w:t>Tanto en el Senado como en la Cámara de Representantes funcionarán Comisiones Constitucionales Permanentes, encargadas de dar primer debate a los proyectos de acto legislativo o de ley referente a los asuntos de su competencia.</w:t>
      </w:r>
    </w:p>
    <w:p w14:paraId="67DB8335" w14:textId="77777777" w:rsidR="00EB3931" w:rsidRPr="00F46028" w:rsidRDefault="00EB3931" w:rsidP="00F46EAD">
      <w:pPr>
        <w:ind w:left="709"/>
        <w:jc w:val="both"/>
        <w:rPr>
          <w:rFonts w:ascii="Bookman Old Style" w:hAnsi="Bookman Old Style"/>
          <w:i/>
          <w:color w:val="000000" w:themeColor="text1"/>
        </w:rPr>
      </w:pPr>
    </w:p>
    <w:p w14:paraId="6B456670" w14:textId="77777777" w:rsidR="00EB3931" w:rsidRPr="00F46028" w:rsidRDefault="00EB3931" w:rsidP="00F46EAD">
      <w:pPr>
        <w:ind w:left="709"/>
        <w:jc w:val="both"/>
        <w:rPr>
          <w:rFonts w:ascii="Bookman Old Style" w:hAnsi="Bookman Old Style"/>
          <w:i/>
          <w:color w:val="000000" w:themeColor="text1"/>
        </w:rPr>
      </w:pPr>
      <w:r w:rsidRPr="00F46028">
        <w:rPr>
          <w:rFonts w:ascii="Bookman Old Style" w:hAnsi="Bookman Old Style"/>
          <w:i/>
          <w:color w:val="000000" w:themeColor="text1"/>
        </w:rPr>
        <w:t>Las Comisiones Constitucionales Permanentes en cada una de las Cámaras serán siete (7) a saber:</w:t>
      </w:r>
    </w:p>
    <w:p w14:paraId="6077BCE3" w14:textId="77777777" w:rsidR="00EB3931" w:rsidRPr="00F46028" w:rsidRDefault="00EB3931" w:rsidP="00F46EAD">
      <w:pPr>
        <w:ind w:left="709"/>
        <w:jc w:val="both"/>
        <w:rPr>
          <w:rFonts w:ascii="Bookman Old Style" w:hAnsi="Bookman Old Style"/>
          <w:i/>
          <w:color w:val="000000" w:themeColor="text1"/>
        </w:rPr>
      </w:pPr>
    </w:p>
    <w:p w14:paraId="6C964760" w14:textId="77777777" w:rsidR="00EB3931" w:rsidRPr="00F46028" w:rsidRDefault="00EB3931" w:rsidP="00F46EAD">
      <w:pPr>
        <w:ind w:left="709"/>
        <w:jc w:val="both"/>
        <w:rPr>
          <w:rFonts w:ascii="Bookman Old Style" w:hAnsi="Bookman Old Style"/>
          <w:i/>
          <w:color w:val="000000" w:themeColor="text1"/>
        </w:rPr>
      </w:pPr>
      <w:r w:rsidRPr="00F46028">
        <w:rPr>
          <w:rFonts w:ascii="Bookman Old Style" w:hAnsi="Bookman Old Style"/>
          <w:i/>
          <w:color w:val="000000" w:themeColor="text1"/>
        </w:rPr>
        <w:t>Comisión Primera.</w:t>
      </w:r>
    </w:p>
    <w:p w14:paraId="5C3D11D4" w14:textId="77777777" w:rsidR="00EB3931" w:rsidRPr="00F46028" w:rsidRDefault="00EB3931" w:rsidP="00F46EAD">
      <w:pPr>
        <w:ind w:left="709"/>
        <w:jc w:val="both"/>
        <w:rPr>
          <w:rFonts w:ascii="Bookman Old Style" w:hAnsi="Bookman Old Style"/>
          <w:i/>
          <w:color w:val="000000" w:themeColor="text1"/>
        </w:rPr>
      </w:pPr>
    </w:p>
    <w:p w14:paraId="5EF58B31" w14:textId="6DE9FA5E" w:rsidR="00EB3931" w:rsidRPr="007039DA" w:rsidRDefault="00EB3931" w:rsidP="00F46EAD">
      <w:pPr>
        <w:ind w:left="709"/>
        <w:jc w:val="both"/>
        <w:rPr>
          <w:rFonts w:ascii="Bookman Old Style" w:hAnsi="Bookman Old Style"/>
          <w:i/>
          <w:color w:val="000000" w:themeColor="text1"/>
        </w:rPr>
      </w:pPr>
      <w:r w:rsidRPr="00F46028">
        <w:rPr>
          <w:rFonts w:ascii="Bookman Old Style" w:hAnsi="Bookman Old Style"/>
          <w:i/>
          <w:color w:val="000000" w:themeColor="text1"/>
        </w:rPr>
        <w:t xml:space="preserve">Compuesta por diecinueve (19) miembros en el Senado y treinta y cinco (35) en la Cámara de Representantes, conocerá de: </w:t>
      </w:r>
      <w:r w:rsidRPr="00F517A8">
        <w:rPr>
          <w:rFonts w:ascii="Bookman Old Style" w:hAnsi="Bookman Old Style"/>
          <w:i/>
          <w:color w:val="000000" w:themeColor="text1"/>
        </w:rPr>
        <w:t>reforma constitucional</w:t>
      </w:r>
      <w:r w:rsidRPr="00F46028">
        <w:rPr>
          <w:rFonts w:ascii="Bookman Old Style" w:hAnsi="Bookman Old Style"/>
          <w:i/>
          <w:color w:val="000000" w:themeColor="text1"/>
        </w:rPr>
        <w:t>;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w:t>
      </w:r>
      <w:r>
        <w:rPr>
          <w:rFonts w:ascii="Bookman Old Style" w:hAnsi="Bookman Old Style"/>
          <w:i/>
          <w:color w:val="000000" w:themeColor="text1"/>
        </w:rPr>
        <w:t>nales; asuntos étnicos.</w:t>
      </w:r>
    </w:p>
    <w:p w14:paraId="7DBCC324" w14:textId="49C3D047" w:rsidR="00EB3931" w:rsidRDefault="00EB3931" w:rsidP="00EB3931">
      <w:pPr>
        <w:rPr>
          <w:rFonts w:eastAsia="Calibri"/>
        </w:rPr>
      </w:pPr>
    </w:p>
    <w:p w14:paraId="781A12B9" w14:textId="77777777" w:rsidR="005D6452" w:rsidRPr="00EB3931" w:rsidRDefault="005D6452" w:rsidP="00EB3931">
      <w:pPr>
        <w:rPr>
          <w:rFonts w:eastAsia="Calibri"/>
        </w:rPr>
      </w:pPr>
    </w:p>
    <w:p w14:paraId="251CB399" w14:textId="70139740" w:rsidR="00726850" w:rsidRPr="001E18FE" w:rsidRDefault="00726850" w:rsidP="00B64773">
      <w:pPr>
        <w:pStyle w:val="Ttulo2"/>
        <w:numPr>
          <w:ilvl w:val="0"/>
          <w:numId w:val="35"/>
        </w:numPr>
        <w:ind w:left="0" w:firstLine="0"/>
        <w:jc w:val="center"/>
        <w:rPr>
          <w:rFonts w:ascii="Bookman Old Style" w:eastAsia="Calibri" w:hAnsi="Bookman Old Style" w:cs="Calibri"/>
          <w:sz w:val="22"/>
          <w:szCs w:val="22"/>
        </w:rPr>
      </w:pPr>
      <w:r w:rsidRPr="001E18FE">
        <w:rPr>
          <w:rFonts w:ascii="Bookman Old Style" w:eastAsia="Calibri" w:hAnsi="Bookman Old Style" w:cs="Calibri"/>
          <w:sz w:val="22"/>
          <w:szCs w:val="22"/>
        </w:rPr>
        <w:t>CONFLICTO</w:t>
      </w:r>
      <w:r w:rsidR="00254DDC">
        <w:rPr>
          <w:rFonts w:ascii="Bookman Old Style" w:eastAsia="Calibri" w:hAnsi="Bookman Old Style" w:cs="Calibri"/>
          <w:sz w:val="22"/>
          <w:szCs w:val="22"/>
        </w:rPr>
        <w:t>S</w:t>
      </w:r>
      <w:r w:rsidRPr="001E18FE">
        <w:rPr>
          <w:rFonts w:ascii="Bookman Old Style" w:eastAsia="Calibri" w:hAnsi="Bookman Old Style" w:cs="Calibri"/>
          <w:sz w:val="22"/>
          <w:szCs w:val="22"/>
        </w:rPr>
        <w:t xml:space="preserve"> DE INTERÉS</w:t>
      </w:r>
      <w:r w:rsidR="002D3A46">
        <w:rPr>
          <w:rFonts w:ascii="Bookman Old Style" w:eastAsia="Calibri" w:hAnsi="Bookman Old Style" w:cs="Calibri"/>
          <w:sz w:val="22"/>
          <w:szCs w:val="22"/>
        </w:rPr>
        <w:t>.</w:t>
      </w:r>
    </w:p>
    <w:p w14:paraId="5922C0C8" w14:textId="77777777" w:rsidR="00726850" w:rsidRDefault="00726850" w:rsidP="001E18FE">
      <w:pPr>
        <w:pStyle w:val="Ttulo2"/>
        <w:ind w:left="0"/>
        <w:rPr>
          <w:rFonts w:ascii="Bookman Old Style" w:eastAsia="Calibri" w:hAnsi="Bookman Old Style" w:cs="Calibri"/>
          <w:b w:val="0"/>
          <w:sz w:val="22"/>
          <w:szCs w:val="22"/>
        </w:rPr>
      </w:pPr>
    </w:p>
    <w:p w14:paraId="3AA8611E" w14:textId="77777777" w:rsidR="009D587D" w:rsidRPr="003F50C8" w:rsidRDefault="009D587D" w:rsidP="009D587D">
      <w:pPr>
        <w:jc w:val="both"/>
        <w:rPr>
          <w:rFonts w:ascii="Bookman Old Style" w:hAnsi="Bookman Old Style" w:cs="Arial"/>
          <w:bCs/>
          <w:shd w:val="clear" w:color="auto" w:fill="FFFFFF"/>
        </w:rPr>
      </w:pPr>
      <w:r w:rsidRPr="003F50C8">
        <w:rPr>
          <w:rFonts w:ascii="Bookman Old Style" w:hAnsi="Bookman Old Style" w:cs="Arial"/>
          <w:bCs/>
          <w:shd w:val="clear" w:color="auto" w:fill="FFFFFF"/>
        </w:rPr>
        <w:t>Dando alcance a lo establecido en el artículo 3 de la Ley 2003 de 2019, “</w:t>
      </w:r>
      <w:r w:rsidRPr="003F50C8">
        <w:rPr>
          <w:rFonts w:ascii="Bookman Old Style" w:hAnsi="Bookman Old Style" w:cs="Arial"/>
          <w:bCs/>
          <w:i/>
          <w:shd w:val="clear" w:color="auto" w:fill="FFFFFF"/>
        </w:rPr>
        <w:t>Por la cual se modifica parcialmente la Ley 5 de 1992</w:t>
      </w:r>
      <w:r w:rsidRPr="003F50C8">
        <w:rPr>
          <w:rFonts w:ascii="Bookman Old Style" w:hAnsi="Bookman Old Style" w:cs="Arial"/>
          <w:bCs/>
          <w:shd w:val="clear" w:color="auto" w:fill="FFFFFF"/>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68A28806" w14:textId="77777777" w:rsidR="009D587D" w:rsidRPr="003F50C8" w:rsidRDefault="009D587D" w:rsidP="009D587D">
      <w:pPr>
        <w:jc w:val="both"/>
        <w:rPr>
          <w:rFonts w:ascii="Bookman Old Style" w:hAnsi="Bookman Old Style" w:cs="Arial"/>
          <w:bCs/>
          <w:shd w:val="clear" w:color="auto" w:fill="FFFFFF"/>
        </w:rPr>
      </w:pPr>
    </w:p>
    <w:p w14:paraId="3E493D00" w14:textId="77777777" w:rsidR="009D587D" w:rsidRPr="003F50C8" w:rsidRDefault="009D587D" w:rsidP="009D587D">
      <w:pPr>
        <w:ind w:left="851" w:right="900"/>
        <w:jc w:val="both"/>
        <w:rPr>
          <w:rFonts w:ascii="Bookman Old Style" w:hAnsi="Bookman Old Style" w:cs="Arial"/>
          <w:bCs/>
          <w:i/>
          <w:iCs/>
          <w:shd w:val="clear" w:color="auto" w:fill="FFFFFF"/>
        </w:rPr>
      </w:pPr>
      <w:r w:rsidRPr="003F50C8">
        <w:rPr>
          <w:rFonts w:ascii="Bookman Old Style" w:hAnsi="Bookman Old Style" w:cs="Arial"/>
          <w:bCs/>
          <w:i/>
          <w:iCs/>
          <w:shd w:val="clear" w:color="auto" w:fill="FFFFFF"/>
        </w:rPr>
        <w:t>“</w:t>
      </w:r>
      <w:r w:rsidRPr="003F50C8">
        <w:rPr>
          <w:rFonts w:ascii="Bookman Old Style" w:hAnsi="Bookman Old Style" w:cs="Arial"/>
          <w:b/>
          <w:bCs/>
          <w:i/>
          <w:iCs/>
          <w:shd w:val="clear" w:color="auto" w:fill="FFFFFF"/>
        </w:rPr>
        <w:t>Artículo 286. Régimen de conflicto de interés de los congresistas.</w:t>
      </w:r>
      <w:r w:rsidRPr="003F50C8">
        <w:rPr>
          <w:rFonts w:ascii="Bookman Old Style" w:hAnsi="Bookman Old Style" w:cs="Arial"/>
          <w:bCs/>
          <w:i/>
          <w:iCs/>
          <w:shd w:val="clear" w:color="auto" w:fill="FFFFFF"/>
        </w:rPr>
        <w:t xml:space="preserve"> Todos los congresistas deberán declarar los conflictos De intereses que pudieran surgir en ejercicio de sus </w:t>
      </w:r>
      <w:r w:rsidRPr="003F50C8">
        <w:rPr>
          <w:rFonts w:ascii="Bookman Old Style" w:hAnsi="Bookman Old Style" w:cs="Arial"/>
          <w:bCs/>
          <w:i/>
          <w:iCs/>
          <w:shd w:val="clear" w:color="auto" w:fill="FFFFFF"/>
        </w:rPr>
        <w:lastRenderedPageBreak/>
        <w:t>funciones.</w:t>
      </w:r>
    </w:p>
    <w:p w14:paraId="1AB5F548" w14:textId="77777777" w:rsidR="009D587D" w:rsidRPr="003F50C8" w:rsidRDefault="009D587D" w:rsidP="009D587D">
      <w:pPr>
        <w:ind w:left="851" w:right="900"/>
        <w:jc w:val="both"/>
        <w:rPr>
          <w:rFonts w:ascii="Bookman Old Style" w:hAnsi="Bookman Old Style" w:cs="Arial"/>
          <w:bCs/>
          <w:i/>
          <w:iCs/>
          <w:shd w:val="clear" w:color="auto" w:fill="FFFFFF"/>
        </w:rPr>
      </w:pPr>
    </w:p>
    <w:p w14:paraId="518F7B2F" w14:textId="77777777" w:rsidR="009D587D" w:rsidRPr="003F50C8" w:rsidRDefault="009D587D" w:rsidP="009D587D">
      <w:pPr>
        <w:ind w:left="851" w:right="900"/>
        <w:jc w:val="both"/>
        <w:rPr>
          <w:rFonts w:ascii="Bookman Old Style" w:hAnsi="Bookman Old Style" w:cs="Arial"/>
          <w:bCs/>
          <w:i/>
          <w:iCs/>
          <w:shd w:val="clear" w:color="auto" w:fill="FFFFFF"/>
        </w:rPr>
      </w:pPr>
      <w:r w:rsidRPr="003F50C8">
        <w:rPr>
          <w:rFonts w:ascii="Bookman Old Style" w:hAnsi="Bookman Old Style" w:cs="Arial"/>
          <w:bCs/>
          <w:i/>
          <w:iCs/>
          <w:shd w:val="clear" w:color="auto" w:fill="FFFFFF"/>
        </w:rPr>
        <w:t>Se entiende como conflicto de interés una situación donde la discusión o votación de un proyecto de ley o acto legislativo o artículo, pueda resultar en un beneficio particular, actual y directo a favor del congresista. </w:t>
      </w:r>
    </w:p>
    <w:p w14:paraId="0875A47A" w14:textId="77777777" w:rsidR="009D587D" w:rsidRPr="003F50C8" w:rsidRDefault="009D587D" w:rsidP="009D587D">
      <w:pPr>
        <w:ind w:left="851" w:right="900"/>
        <w:jc w:val="both"/>
        <w:rPr>
          <w:rFonts w:ascii="Bookman Old Style" w:hAnsi="Bookman Old Style" w:cs="Arial"/>
          <w:bCs/>
          <w:i/>
          <w:iCs/>
          <w:shd w:val="clear" w:color="auto" w:fill="FFFFFF"/>
        </w:rPr>
      </w:pPr>
    </w:p>
    <w:p w14:paraId="24338D1A" w14:textId="77777777" w:rsidR="009D587D" w:rsidRDefault="009D587D" w:rsidP="009D587D">
      <w:pPr>
        <w:widowControl/>
        <w:numPr>
          <w:ilvl w:val="0"/>
          <w:numId w:val="47"/>
        </w:numPr>
        <w:ind w:left="851" w:right="900" w:firstLine="0"/>
        <w:jc w:val="both"/>
        <w:rPr>
          <w:rFonts w:ascii="Bookman Old Style" w:hAnsi="Bookman Old Style" w:cs="Arial"/>
          <w:bCs/>
          <w:i/>
          <w:iCs/>
          <w:shd w:val="clear" w:color="auto" w:fill="FFFFFF"/>
        </w:rPr>
      </w:pPr>
      <w:r w:rsidRPr="0054356C">
        <w:rPr>
          <w:rFonts w:ascii="Bookman Old Style" w:hAnsi="Bookman Old Style" w:cs="Arial"/>
          <w:bCs/>
          <w:i/>
          <w:iCs/>
          <w:shd w:val="clear" w:color="auto" w:fill="FFFFFF"/>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68B8DB6F" w14:textId="77777777" w:rsidR="009D587D" w:rsidRPr="0054356C" w:rsidRDefault="009D587D" w:rsidP="009D587D">
      <w:pPr>
        <w:ind w:left="851" w:right="900"/>
        <w:jc w:val="both"/>
        <w:rPr>
          <w:rFonts w:ascii="Bookman Old Style" w:hAnsi="Bookman Old Style" w:cs="Arial"/>
          <w:bCs/>
          <w:i/>
          <w:iCs/>
          <w:shd w:val="clear" w:color="auto" w:fill="FFFFFF"/>
        </w:rPr>
      </w:pPr>
    </w:p>
    <w:p w14:paraId="16C72BFC" w14:textId="77777777" w:rsidR="009D587D" w:rsidRDefault="009D587D" w:rsidP="009D587D">
      <w:pPr>
        <w:widowControl/>
        <w:numPr>
          <w:ilvl w:val="0"/>
          <w:numId w:val="47"/>
        </w:numPr>
        <w:ind w:left="851" w:right="900" w:firstLine="0"/>
        <w:jc w:val="both"/>
        <w:rPr>
          <w:rFonts w:ascii="Bookman Old Style" w:hAnsi="Bookman Old Style" w:cs="Arial"/>
          <w:bCs/>
          <w:i/>
          <w:iCs/>
          <w:shd w:val="clear" w:color="auto" w:fill="FFFFFF"/>
        </w:rPr>
      </w:pPr>
      <w:r w:rsidRPr="0054356C">
        <w:rPr>
          <w:rFonts w:ascii="Bookman Old Style" w:hAnsi="Bookman Old Style" w:cs="Arial"/>
          <w:bCs/>
          <w:i/>
          <w:iCs/>
          <w:shd w:val="clear" w:color="auto" w:fill="FFFFFF"/>
        </w:rPr>
        <w:t>Beneficio actual: aquel que efectivamente se configura en las circunstancias presentes y existentes al momento en el que el congresista participa de la decisión. </w:t>
      </w:r>
    </w:p>
    <w:p w14:paraId="71EF2348" w14:textId="77777777" w:rsidR="009D587D" w:rsidRPr="0054356C" w:rsidRDefault="009D587D" w:rsidP="009D587D">
      <w:pPr>
        <w:ind w:right="900"/>
        <w:jc w:val="both"/>
        <w:rPr>
          <w:rFonts w:ascii="Bookman Old Style" w:hAnsi="Bookman Old Style" w:cs="Arial"/>
          <w:bCs/>
          <w:i/>
          <w:iCs/>
          <w:shd w:val="clear" w:color="auto" w:fill="FFFFFF"/>
        </w:rPr>
      </w:pPr>
    </w:p>
    <w:p w14:paraId="7E297EF5" w14:textId="1B0B3866" w:rsidR="009D587D" w:rsidRPr="0054356C" w:rsidRDefault="009D587D" w:rsidP="009D587D">
      <w:pPr>
        <w:widowControl/>
        <w:numPr>
          <w:ilvl w:val="0"/>
          <w:numId w:val="47"/>
        </w:numPr>
        <w:ind w:left="851" w:right="900" w:firstLine="0"/>
        <w:jc w:val="both"/>
        <w:rPr>
          <w:rFonts w:ascii="Bookman Old Style" w:hAnsi="Bookman Old Style" w:cs="Arial"/>
          <w:bCs/>
          <w:i/>
          <w:iCs/>
          <w:shd w:val="clear" w:color="auto" w:fill="FFFFFF"/>
        </w:rPr>
      </w:pPr>
      <w:r w:rsidRPr="0054356C">
        <w:rPr>
          <w:rFonts w:ascii="Bookman Old Style" w:hAnsi="Bookman Old Style" w:cs="Arial"/>
          <w:bCs/>
          <w:i/>
          <w:iCs/>
          <w:shd w:val="clear" w:color="auto" w:fill="FFFFFF"/>
        </w:rPr>
        <w:t>Beneficio directo: aquel que se produzca de forma específica respecto del congresista, de su cónyuge, compañero o compañera permanente, o parientes dentro del segundo grado de consanguinidad, segundo de afinidad o primero civil.</w:t>
      </w:r>
      <w:r>
        <w:rPr>
          <w:rFonts w:ascii="Bookman Old Style" w:hAnsi="Bookman Old Style" w:cs="Arial"/>
          <w:bCs/>
          <w:i/>
          <w:iCs/>
          <w:shd w:val="clear" w:color="auto" w:fill="FFFFFF"/>
        </w:rPr>
        <w:t>”</w:t>
      </w:r>
    </w:p>
    <w:p w14:paraId="0FC5AD8E" w14:textId="3622D29F" w:rsidR="009D587D" w:rsidRDefault="009D587D" w:rsidP="009D587D">
      <w:pPr>
        <w:ind w:right="49"/>
        <w:jc w:val="both"/>
        <w:rPr>
          <w:rFonts w:ascii="Bookman Old Style" w:hAnsi="Bookman Old Style" w:cs="Arial"/>
          <w:bCs/>
          <w:i/>
          <w:iCs/>
          <w:shd w:val="clear" w:color="auto" w:fill="FFFFFF"/>
        </w:rPr>
      </w:pPr>
      <w:r w:rsidRPr="003F50C8">
        <w:rPr>
          <w:rFonts w:ascii="Bookman Old Style" w:hAnsi="Bookman Old Style" w:cs="Arial"/>
          <w:bCs/>
          <w:i/>
          <w:iCs/>
          <w:shd w:val="clear" w:color="auto" w:fill="FFFFFF"/>
        </w:rPr>
        <w:t xml:space="preserve">                                                                                                        </w:t>
      </w:r>
    </w:p>
    <w:p w14:paraId="2D9FE5AC" w14:textId="77777777" w:rsidR="009D587D" w:rsidRDefault="009D587D" w:rsidP="009D587D">
      <w:pPr>
        <w:ind w:right="49"/>
        <w:jc w:val="both"/>
        <w:rPr>
          <w:rFonts w:ascii="Bookman Old Style" w:hAnsi="Bookman Old Style" w:cs="Arial"/>
          <w:bCs/>
          <w:shd w:val="clear" w:color="auto" w:fill="FFFFFF"/>
        </w:rPr>
      </w:pPr>
      <w:r w:rsidRPr="003F50C8">
        <w:rPr>
          <w:rFonts w:ascii="Bookman Old Style" w:hAnsi="Bookman Old Style" w:cs="Arial"/>
          <w:bCs/>
          <w:shd w:val="clear" w:color="auto" w:fill="FFFFFF"/>
        </w:rPr>
        <w:t>Sobre este asunto la Sala Plena Contenciosa Administrativa del Honorable Consejo de Estado en su sentencia 02830 del 16 de julio de 2019, M.P. Carlos Enrique Moreno Rubio, señaló que:</w:t>
      </w:r>
    </w:p>
    <w:p w14:paraId="6A7511BD" w14:textId="77777777" w:rsidR="009D587D" w:rsidRPr="003F50C8" w:rsidRDefault="009D587D" w:rsidP="009D587D">
      <w:pPr>
        <w:jc w:val="both"/>
        <w:rPr>
          <w:rFonts w:ascii="Bookman Old Style" w:hAnsi="Bookman Old Style" w:cs="Arial"/>
          <w:bCs/>
          <w:shd w:val="clear" w:color="auto" w:fill="FFFFFF"/>
        </w:rPr>
      </w:pPr>
    </w:p>
    <w:p w14:paraId="28367F91" w14:textId="77777777" w:rsidR="009D587D" w:rsidRPr="003F50C8" w:rsidRDefault="009D587D" w:rsidP="009D587D">
      <w:pPr>
        <w:ind w:left="851" w:right="900"/>
        <w:jc w:val="both"/>
        <w:rPr>
          <w:rFonts w:ascii="Bookman Old Style" w:hAnsi="Bookman Old Style" w:cs="Arial"/>
          <w:bCs/>
          <w:i/>
          <w:iCs/>
          <w:shd w:val="clear" w:color="auto" w:fill="FFFFFF"/>
        </w:rPr>
      </w:pPr>
      <w:r w:rsidRPr="003F50C8">
        <w:rPr>
          <w:rFonts w:ascii="Bookman Old Style" w:hAnsi="Bookman Old Style" w:cs="Arial"/>
          <w:bCs/>
          <w:i/>
          <w:iCs/>
          <w:shd w:val="clear" w:color="auto" w:fill="FFFFFF"/>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4DC89379" w14:textId="77777777" w:rsidR="009D587D" w:rsidRPr="003F50C8" w:rsidRDefault="009D587D" w:rsidP="009D587D">
      <w:pPr>
        <w:jc w:val="both"/>
        <w:rPr>
          <w:rFonts w:ascii="Bookman Old Style" w:hAnsi="Bookman Old Style" w:cs="Arial"/>
          <w:bCs/>
          <w:shd w:val="clear" w:color="auto" w:fill="FFFFFF"/>
        </w:rPr>
      </w:pPr>
    </w:p>
    <w:p w14:paraId="22CE72D5" w14:textId="1212ABC3" w:rsidR="009D587D" w:rsidRPr="003F50C8" w:rsidRDefault="009D587D" w:rsidP="009D587D">
      <w:pPr>
        <w:jc w:val="both"/>
        <w:rPr>
          <w:rFonts w:ascii="Bookman Old Style" w:hAnsi="Bookman Old Style" w:cs="Arial"/>
          <w:bCs/>
          <w:shd w:val="clear" w:color="auto" w:fill="FFFFFF"/>
        </w:rPr>
      </w:pPr>
      <w:r w:rsidRPr="003F50C8">
        <w:rPr>
          <w:rFonts w:ascii="Bookman Old Style" w:hAnsi="Bookman Old Style" w:cs="Arial"/>
          <w:bCs/>
          <w:shd w:val="clear" w:color="auto" w:fill="FFFFFF"/>
        </w:rPr>
        <w:t xml:space="preserve">Se tiene entonces que el presente proyecto de ley al tener por objeto </w:t>
      </w:r>
      <w:r w:rsidRPr="009D587D">
        <w:rPr>
          <w:rFonts w:ascii="Bookman Old Style" w:hAnsi="Bookman Old Style" w:cs="Arial"/>
          <w:bCs/>
          <w:shd w:val="clear" w:color="auto" w:fill="FFFFFF"/>
        </w:rPr>
        <w:t>elevar a rango constitucional el derecho humano a la alimentación y a no padecer hambre</w:t>
      </w:r>
      <w:r w:rsidR="00515AAA">
        <w:rPr>
          <w:rFonts w:ascii="Bookman Old Style" w:hAnsi="Bookman Old Style" w:cs="Arial"/>
        </w:rPr>
        <w:t>,</w:t>
      </w:r>
      <w:r>
        <w:rPr>
          <w:rFonts w:ascii="Bookman Old Style" w:hAnsi="Bookman Old Style" w:cs="Arial"/>
        </w:rPr>
        <w:t xml:space="preserve"> </w:t>
      </w:r>
      <w:r w:rsidR="002B406E">
        <w:rPr>
          <w:rFonts w:ascii="Bookman Old Style" w:hAnsi="Bookman Old Style" w:cs="Arial"/>
        </w:rPr>
        <w:t>al ser de alcance general, no genera</w:t>
      </w:r>
      <w:r>
        <w:rPr>
          <w:rFonts w:ascii="Bookman Old Style" w:hAnsi="Bookman Old Style" w:cs="Arial"/>
        </w:rPr>
        <w:t xml:space="preserve"> conflictos de interés en razón a</w:t>
      </w:r>
      <w:r w:rsidR="00515AAA">
        <w:rPr>
          <w:rFonts w:ascii="Bookman Old Style" w:hAnsi="Bookman Old Style" w:cs="Arial"/>
        </w:rPr>
        <w:t xml:space="preserve"> que</w:t>
      </w:r>
      <w:r>
        <w:rPr>
          <w:rFonts w:ascii="Bookman Old Style" w:hAnsi="Bookman Old Style" w:cs="Arial"/>
        </w:rPr>
        <w:t xml:space="preserve"> </w:t>
      </w:r>
      <w:r w:rsidR="002B406E">
        <w:rPr>
          <w:rFonts w:ascii="Bookman Old Style" w:hAnsi="Bookman Old Style" w:cs="Arial"/>
        </w:rPr>
        <w:t xml:space="preserve">no contempla </w:t>
      </w:r>
      <w:r>
        <w:rPr>
          <w:rFonts w:ascii="Bookman Old Style" w:hAnsi="Bookman Old Style" w:cs="Arial"/>
        </w:rPr>
        <w:t>beneficios particulares, actuales y directos a los congr</w:t>
      </w:r>
      <w:bookmarkStart w:id="3" w:name="_GoBack"/>
      <w:bookmarkEnd w:id="3"/>
      <w:r>
        <w:rPr>
          <w:rFonts w:ascii="Bookman Old Style" w:hAnsi="Bookman Old Style" w:cs="Arial"/>
        </w:rPr>
        <w:t>esistas</w:t>
      </w:r>
      <w:r w:rsidR="00685DCD">
        <w:rPr>
          <w:rFonts w:ascii="Bookman Old Style" w:hAnsi="Bookman Old Style" w:cs="Arial"/>
        </w:rPr>
        <w:t>,</w:t>
      </w:r>
      <w:r w:rsidR="00685DCD" w:rsidRPr="003F50C8">
        <w:rPr>
          <w:rFonts w:ascii="Bookman Old Style" w:hAnsi="Bookman Old Style" w:cs="Arial"/>
          <w:bCs/>
          <w:shd w:val="clear" w:color="auto" w:fill="FFFFFF"/>
        </w:rPr>
        <w:t xml:space="preserve"> cónyuge, compañero o compañera permanente o pariente dentro del segundo grado de consanguinidad, segundo de afinidad o primero civil</w:t>
      </w:r>
      <w:r>
        <w:rPr>
          <w:rFonts w:ascii="Bookman Old Style" w:hAnsi="Bookman Old Style" w:cs="Arial"/>
        </w:rPr>
        <w:t>, conforme a lo dispuesto en la ley</w:t>
      </w:r>
      <w:r w:rsidR="002B406E">
        <w:rPr>
          <w:rFonts w:ascii="Bookman Old Style" w:hAnsi="Bookman Old Style" w:cs="Arial"/>
        </w:rPr>
        <w:t>.</w:t>
      </w:r>
    </w:p>
    <w:p w14:paraId="015394FB" w14:textId="77777777" w:rsidR="009D587D" w:rsidRPr="003F50C8" w:rsidRDefault="009D587D" w:rsidP="009D587D">
      <w:pPr>
        <w:jc w:val="both"/>
        <w:rPr>
          <w:rFonts w:ascii="Bookman Old Style" w:hAnsi="Bookman Old Style" w:cs="Arial"/>
          <w:bCs/>
          <w:shd w:val="clear" w:color="auto" w:fill="FFFFFF"/>
        </w:rPr>
      </w:pPr>
    </w:p>
    <w:p w14:paraId="61104533" w14:textId="383075C5" w:rsidR="00726850" w:rsidRPr="009D587D" w:rsidRDefault="009D587D" w:rsidP="009D587D">
      <w:pPr>
        <w:jc w:val="both"/>
        <w:rPr>
          <w:rFonts w:ascii="Bookman Old Style" w:hAnsi="Bookman Old Style" w:cs="Arial"/>
          <w:bCs/>
          <w:shd w:val="clear" w:color="auto" w:fill="FFFFFF"/>
        </w:rPr>
      </w:pPr>
      <w:r w:rsidRPr="003F50C8">
        <w:rPr>
          <w:rFonts w:ascii="Bookman Old Style" w:hAnsi="Bookman Old Style" w:cs="Arial"/>
          <w:bCs/>
          <w:shd w:val="clear" w:color="auto" w:fill="FFFFFF"/>
        </w:rPr>
        <w:t xml:space="preserve">Es menester señalar, que la descripción de los posibles conflictos de interés que se puedan presentar frente al trámite o votación del presente proyecto de ley, </w:t>
      </w:r>
      <w:r w:rsidRPr="003F50C8">
        <w:rPr>
          <w:rFonts w:ascii="Bookman Old Style" w:hAnsi="Bookman Old Style" w:cs="Arial"/>
          <w:bCs/>
          <w:shd w:val="clear" w:color="auto" w:fill="FFFFFF"/>
        </w:rPr>
        <w:lastRenderedPageBreak/>
        <w:t>conforme a lo dispuesto en el artículo 291 de la Ley 5 de 1992 modificado por la Ley 2003 de 2019, no exime al Congresista de identificar causales adicionales en las que pueda estar incurso.</w:t>
      </w:r>
    </w:p>
    <w:p w14:paraId="10412A6D" w14:textId="1B4D48BB" w:rsidR="00F46EAD" w:rsidRDefault="00F46EAD" w:rsidP="001E18FE">
      <w:pPr>
        <w:rPr>
          <w:rFonts w:eastAsia="Calibri"/>
        </w:rPr>
      </w:pPr>
    </w:p>
    <w:p w14:paraId="7EEBFBC8" w14:textId="77777777" w:rsidR="005D6452" w:rsidRPr="001E18FE" w:rsidRDefault="005D6452" w:rsidP="001E18FE">
      <w:pPr>
        <w:rPr>
          <w:rFonts w:eastAsia="Calibri"/>
        </w:rPr>
      </w:pPr>
    </w:p>
    <w:p w14:paraId="7A9EC9D4" w14:textId="07E468CF" w:rsidR="002D3A46" w:rsidRDefault="002D3A46" w:rsidP="00B64773">
      <w:pPr>
        <w:pStyle w:val="Ttulo2"/>
        <w:numPr>
          <w:ilvl w:val="0"/>
          <w:numId w:val="35"/>
        </w:numPr>
        <w:ind w:left="0" w:firstLine="0"/>
        <w:jc w:val="center"/>
        <w:rPr>
          <w:rFonts w:ascii="Bookman Old Style" w:eastAsia="Calibri" w:hAnsi="Bookman Old Style" w:cs="Calibri"/>
          <w:sz w:val="22"/>
          <w:szCs w:val="22"/>
        </w:rPr>
      </w:pPr>
      <w:r>
        <w:rPr>
          <w:rFonts w:ascii="Bookman Old Style" w:eastAsia="Calibri" w:hAnsi="Bookman Old Style" w:cs="Calibri"/>
          <w:sz w:val="22"/>
          <w:szCs w:val="22"/>
        </w:rPr>
        <w:t>PROPOSICIÓN.</w:t>
      </w:r>
    </w:p>
    <w:p w14:paraId="280A6995" w14:textId="77777777" w:rsidR="007039DA" w:rsidRDefault="007039DA" w:rsidP="007039DA">
      <w:pPr>
        <w:jc w:val="both"/>
        <w:rPr>
          <w:rFonts w:ascii="Bookman Old Style" w:hAnsi="Bookman Old Style" w:cs="Arial"/>
        </w:rPr>
      </w:pPr>
    </w:p>
    <w:p w14:paraId="64E60274" w14:textId="5E9A52E3" w:rsidR="007039DA" w:rsidRDefault="007039DA" w:rsidP="007039DA">
      <w:pPr>
        <w:jc w:val="both"/>
        <w:rPr>
          <w:rFonts w:ascii="Bookman Old Style" w:hAnsi="Bookman Old Style" w:cs="Arial"/>
          <w:i/>
        </w:rPr>
      </w:pPr>
      <w:r w:rsidRPr="007039DA">
        <w:rPr>
          <w:rFonts w:ascii="Bookman Old Style" w:hAnsi="Bookman Old Style" w:cs="Arial"/>
        </w:rPr>
        <w:t xml:space="preserve">Con fundamento en las anteriores consideraciones, presento </w:t>
      </w:r>
      <w:r w:rsidRPr="007039DA">
        <w:rPr>
          <w:rFonts w:ascii="Bookman Old Style" w:hAnsi="Bookman Old Style" w:cs="Arial"/>
          <w:b/>
        </w:rPr>
        <w:t>ponencia positiva</w:t>
      </w:r>
      <w:r w:rsidRPr="007039DA">
        <w:rPr>
          <w:rFonts w:ascii="Bookman Old Style" w:hAnsi="Bookman Old Style" w:cs="Arial"/>
        </w:rPr>
        <w:t xml:space="preserve"> y solicito a los Honorables Representantes que integran la Comisión Primera de la Cámara de Representantes dar Primer Debate en primera vuelta al </w:t>
      </w:r>
      <w:r w:rsidRPr="007039DA">
        <w:rPr>
          <w:rFonts w:ascii="Bookman Old Style" w:hAnsi="Bookman Old Style" w:cs="Arial"/>
          <w:bCs/>
          <w:lang w:val="es-ES_tradnl"/>
        </w:rPr>
        <w:t>Proyecto de Acto Legislativo número 0</w:t>
      </w:r>
      <w:r w:rsidR="00A15087">
        <w:rPr>
          <w:rFonts w:ascii="Bookman Old Style" w:hAnsi="Bookman Old Style" w:cs="Arial"/>
          <w:bCs/>
          <w:lang w:val="es-ES_tradnl"/>
        </w:rPr>
        <w:t>41</w:t>
      </w:r>
      <w:r w:rsidRPr="007039DA">
        <w:rPr>
          <w:rFonts w:ascii="Bookman Old Style" w:hAnsi="Bookman Old Style" w:cs="Arial"/>
          <w:bCs/>
          <w:lang w:val="es-ES_tradnl"/>
        </w:rPr>
        <w:t xml:space="preserve"> de 202</w:t>
      </w:r>
      <w:r>
        <w:rPr>
          <w:rFonts w:ascii="Bookman Old Style" w:hAnsi="Bookman Old Style" w:cs="Arial"/>
          <w:bCs/>
          <w:lang w:val="es-ES_tradnl"/>
        </w:rPr>
        <w:t>1</w:t>
      </w:r>
      <w:r w:rsidRPr="007039DA">
        <w:rPr>
          <w:rFonts w:ascii="Bookman Old Style" w:hAnsi="Bookman Old Style" w:cs="Arial"/>
          <w:bCs/>
          <w:lang w:val="es-ES_tradnl"/>
        </w:rPr>
        <w:t xml:space="preserve"> Cámara</w:t>
      </w:r>
      <w:r w:rsidRPr="007039DA">
        <w:rPr>
          <w:rFonts w:ascii="Bookman Old Style" w:hAnsi="Bookman Old Style" w:cs="Arial"/>
          <w:lang w:val="es-ES"/>
        </w:rPr>
        <w:t xml:space="preserve"> </w:t>
      </w:r>
      <w:r w:rsidR="00A15087" w:rsidRPr="002667F2">
        <w:rPr>
          <w:rFonts w:ascii="Bookman Old Style" w:hAnsi="Bookman Old Style" w:cs="Arial"/>
          <w:bCs/>
          <w:i/>
        </w:rPr>
        <w:t>“Por el cual se modifican los artículos 45 y 65 de la constitución política estableciendo el derecho fundamental a la alimentación y a no padecer hambre”</w:t>
      </w:r>
      <w:r w:rsidRPr="007039DA">
        <w:rPr>
          <w:rFonts w:ascii="Bookman Old Style" w:hAnsi="Bookman Old Style" w:cs="Arial"/>
          <w:i/>
        </w:rPr>
        <w:t>.</w:t>
      </w:r>
    </w:p>
    <w:p w14:paraId="09799672" w14:textId="188D4AA4" w:rsidR="007039DA" w:rsidRDefault="007039DA" w:rsidP="007039DA">
      <w:pPr>
        <w:jc w:val="both"/>
        <w:rPr>
          <w:rFonts w:ascii="Bookman Old Style" w:hAnsi="Bookman Old Style" w:cs="Arial"/>
          <w:i/>
        </w:rPr>
      </w:pPr>
    </w:p>
    <w:p w14:paraId="4BF4386C" w14:textId="77777777" w:rsidR="007039DA" w:rsidRPr="00F46028" w:rsidRDefault="007039DA" w:rsidP="007039DA">
      <w:pPr>
        <w:jc w:val="both"/>
        <w:rPr>
          <w:rFonts w:ascii="Bookman Old Style" w:hAnsi="Bookman Old Style" w:cs="Arial"/>
        </w:rPr>
      </w:pPr>
      <w:r w:rsidRPr="00F46028">
        <w:rPr>
          <w:rFonts w:ascii="Bookman Old Style" w:hAnsi="Bookman Old Style" w:cs="Arial"/>
        </w:rPr>
        <w:t>Cordialmente,</w:t>
      </w:r>
    </w:p>
    <w:p w14:paraId="73256844" w14:textId="77777777" w:rsidR="007039DA" w:rsidRPr="00F46028" w:rsidRDefault="007039DA" w:rsidP="007039DA">
      <w:pPr>
        <w:contextualSpacing/>
        <w:jc w:val="both"/>
        <w:rPr>
          <w:rFonts w:ascii="Bookman Old Style" w:hAnsi="Bookman Old Style"/>
          <w:color w:val="000000" w:themeColor="text1"/>
        </w:rPr>
      </w:pPr>
    </w:p>
    <w:p w14:paraId="7D1DDB28" w14:textId="0CDFC0F5" w:rsidR="007039DA" w:rsidRDefault="007039DA" w:rsidP="007039DA">
      <w:pPr>
        <w:contextualSpacing/>
        <w:jc w:val="both"/>
        <w:rPr>
          <w:rFonts w:ascii="Bookman Old Style" w:hAnsi="Bookman Old Style"/>
          <w:color w:val="000000" w:themeColor="text1"/>
        </w:rPr>
      </w:pPr>
    </w:p>
    <w:p w14:paraId="7EFA2648" w14:textId="77777777" w:rsidR="00F46EAD" w:rsidRDefault="00F46EAD" w:rsidP="007039DA">
      <w:pPr>
        <w:contextualSpacing/>
        <w:jc w:val="both"/>
        <w:rPr>
          <w:rFonts w:ascii="Bookman Old Style" w:hAnsi="Bookman Old Style"/>
          <w:color w:val="000000" w:themeColor="text1"/>
        </w:rPr>
      </w:pPr>
    </w:p>
    <w:p w14:paraId="7D6D8171" w14:textId="77777777" w:rsidR="007039DA" w:rsidRPr="00F46028" w:rsidRDefault="007039DA" w:rsidP="007039DA">
      <w:pPr>
        <w:contextualSpacing/>
        <w:jc w:val="both"/>
        <w:rPr>
          <w:rFonts w:ascii="Bookman Old Style" w:hAnsi="Bookman Old Style"/>
          <w:color w:val="000000" w:themeColor="text1"/>
        </w:rPr>
      </w:pPr>
    </w:p>
    <w:p w14:paraId="6D0BCC40" w14:textId="77777777" w:rsidR="007039DA" w:rsidRPr="00F46028" w:rsidRDefault="007039DA" w:rsidP="007039DA">
      <w:pPr>
        <w:contextualSpacing/>
        <w:jc w:val="both"/>
        <w:rPr>
          <w:rFonts w:ascii="Bookman Old Style" w:hAnsi="Bookman Old Style"/>
          <w:color w:val="000000" w:themeColor="text1"/>
        </w:rPr>
      </w:pPr>
    </w:p>
    <w:p w14:paraId="78A7AB5B" w14:textId="77777777" w:rsidR="007039DA" w:rsidRPr="00F46028" w:rsidRDefault="007039DA" w:rsidP="007039DA">
      <w:pPr>
        <w:contextualSpacing/>
        <w:jc w:val="both"/>
        <w:rPr>
          <w:rFonts w:ascii="Bookman Old Style" w:hAnsi="Bookman Old Style"/>
          <w:color w:val="000000" w:themeColor="text1"/>
        </w:rPr>
      </w:pPr>
    </w:p>
    <w:p w14:paraId="5365C8DB" w14:textId="77777777" w:rsidR="007039DA" w:rsidRPr="00F46028" w:rsidRDefault="007039DA" w:rsidP="007039DA">
      <w:pPr>
        <w:pStyle w:val="Sinespaciado"/>
        <w:tabs>
          <w:tab w:val="left" w:pos="8055"/>
        </w:tabs>
        <w:jc w:val="center"/>
        <w:rPr>
          <w:rFonts w:ascii="Bookman Old Style" w:hAnsi="Bookman Old Style" w:cs="Arial"/>
          <w:b/>
        </w:rPr>
      </w:pPr>
      <w:r w:rsidRPr="00F46028">
        <w:rPr>
          <w:rFonts w:ascii="Bookman Old Style" w:hAnsi="Bookman Old Style" w:cs="Arial"/>
          <w:b/>
        </w:rPr>
        <w:t>JUAN CARLOS LOZADA VARGAS</w:t>
      </w:r>
    </w:p>
    <w:p w14:paraId="02D74AB6" w14:textId="77777777" w:rsidR="007039DA" w:rsidRPr="00F46028" w:rsidRDefault="007039DA" w:rsidP="007039DA">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p>
    <w:p w14:paraId="1859D0BB" w14:textId="77777777" w:rsidR="007039DA" w:rsidRPr="00F46028" w:rsidRDefault="007039DA" w:rsidP="007039DA">
      <w:pPr>
        <w:pStyle w:val="Sinespaciado"/>
        <w:tabs>
          <w:tab w:val="left" w:pos="8055"/>
        </w:tabs>
        <w:jc w:val="center"/>
        <w:rPr>
          <w:rFonts w:ascii="Bookman Old Style" w:hAnsi="Bookman Old Style" w:cs="Arial"/>
        </w:rPr>
      </w:pPr>
      <w:r w:rsidRPr="00F46028">
        <w:rPr>
          <w:rFonts w:ascii="Bookman Old Style" w:hAnsi="Bookman Old Style" w:cs="Arial"/>
        </w:rPr>
        <w:t>Ponente</w:t>
      </w:r>
    </w:p>
    <w:p w14:paraId="79F2C30B" w14:textId="71316B84" w:rsidR="00B64773" w:rsidRDefault="00B64773" w:rsidP="007039DA">
      <w:pPr>
        <w:rPr>
          <w:rFonts w:eastAsia="Calibri"/>
        </w:rPr>
      </w:pPr>
    </w:p>
    <w:p w14:paraId="0FF68956" w14:textId="7FFF6EBF" w:rsidR="00B64773" w:rsidRDefault="00B64773" w:rsidP="007039DA">
      <w:pPr>
        <w:rPr>
          <w:rFonts w:eastAsia="Calibri"/>
        </w:rPr>
      </w:pPr>
    </w:p>
    <w:p w14:paraId="054892AC" w14:textId="4C2F7892" w:rsidR="00B64773" w:rsidRDefault="00B64773" w:rsidP="007039DA">
      <w:pPr>
        <w:rPr>
          <w:rFonts w:eastAsia="Calibri"/>
        </w:rPr>
      </w:pPr>
    </w:p>
    <w:p w14:paraId="543159B2" w14:textId="6750E2FC" w:rsidR="00B64773" w:rsidRDefault="00B64773" w:rsidP="007039DA">
      <w:pPr>
        <w:rPr>
          <w:rFonts w:eastAsia="Calibri"/>
        </w:rPr>
      </w:pPr>
    </w:p>
    <w:p w14:paraId="2520BB82" w14:textId="56BEDB3C" w:rsidR="00F157B2" w:rsidRDefault="00F157B2" w:rsidP="007039DA">
      <w:pPr>
        <w:rPr>
          <w:rFonts w:eastAsia="Calibri"/>
        </w:rPr>
      </w:pPr>
    </w:p>
    <w:p w14:paraId="72ED8128" w14:textId="2BD7127B" w:rsidR="00F157B2" w:rsidRDefault="00F157B2" w:rsidP="007039DA">
      <w:pPr>
        <w:rPr>
          <w:rFonts w:eastAsia="Calibri"/>
        </w:rPr>
      </w:pPr>
    </w:p>
    <w:p w14:paraId="74ECCF99" w14:textId="735A635F" w:rsidR="00F157B2" w:rsidRDefault="00F157B2" w:rsidP="007039DA">
      <w:pPr>
        <w:rPr>
          <w:rFonts w:eastAsia="Calibri"/>
        </w:rPr>
      </w:pPr>
    </w:p>
    <w:p w14:paraId="6DA33403" w14:textId="73108193" w:rsidR="00F157B2" w:rsidRDefault="00F157B2" w:rsidP="007039DA">
      <w:pPr>
        <w:rPr>
          <w:rFonts w:eastAsia="Calibri"/>
        </w:rPr>
      </w:pPr>
    </w:p>
    <w:p w14:paraId="5B47CA3B" w14:textId="0926BACA" w:rsidR="00F157B2" w:rsidRDefault="00F157B2" w:rsidP="007039DA">
      <w:pPr>
        <w:rPr>
          <w:rFonts w:eastAsia="Calibri"/>
        </w:rPr>
      </w:pPr>
    </w:p>
    <w:p w14:paraId="2DD87A13" w14:textId="2F0554BE" w:rsidR="00F157B2" w:rsidRDefault="00F157B2" w:rsidP="007039DA">
      <w:pPr>
        <w:rPr>
          <w:rFonts w:eastAsia="Calibri"/>
        </w:rPr>
      </w:pPr>
    </w:p>
    <w:p w14:paraId="7A90B8E3" w14:textId="1D11E1B1" w:rsidR="00F46EAD" w:rsidRDefault="00F46EAD" w:rsidP="007039DA">
      <w:pPr>
        <w:rPr>
          <w:rFonts w:eastAsia="Calibri"/>
        </w:rPr>
      </w:pPr>
    </w:p>
    <w:p w14:paraId="520BF547" w14:textId="2FCD848D" w:rsidR="00F46EAD" w:rsidRDefault="00F46EAD" w:rsidP="007039DA">
      <w:pPr>
        <w:rPr>
          <w:rFonts w:eastAsia="Calibri"/>
        </w:rPr>
      </w:pPr>
    </w:p>
    <w:p w14:paraId="479CA0FD" w14:textId="3E271D4B" w:rsidR="00F157B2" w:rsidRDefault="00F157B2" w:rsidP="007039DA">
      <w:pPr>
        <w:rPr>
          <w:rFonts w:eastAsia="Calibri"/>
        </w:rPr>
      </w:pPr>
    </w:p>
    <w:p w14:paraId="7D9BA6FA" w14:textId="5761B1C4" w:rsidR="005D6452" w:rsidRDefault="005D6452" w:rsidP="007039DA">
      <w:pPr>
        <w:rPr>
          <w:rFonts w:eastAsia="Calibri"/>
        </w:rPr>
      </w:pPr>
    </w:p>
    <w:p w14:paraId="59ED8A3D" w14:textId="08DD1E6E" w:rsidR="005D6452" w:rsidRDefault="005D6452" w:rsidP="007039DA">
      <w:pPr>
        <w:rPr>
          <w:rFonts w:eastAsia="Calibri"/>
        </w:rPr>
      </w:pPr>
    </w:p>
    <w:p w14:paraId="25E51464" w14:textId="604BFD2B" w:rsidR="005D6452" w:rsidRDefault="005D6452" w:rsidP="007039DA">
      <w:pPr>
        <w:rPr>
          <w:rFonts w:eastAsia="Calibri"/>
        </w:rPr>
      </w:pPr>
    </w:p>
    <w:p w14:paraId="5E3C4757" w14:textId="0EB2EA6B" w:rsidR="005D6452" w:rsidRDefault="005D6452" w:rsidP="007039DA">
      <w:pPr>
        <w:rPr>
          <w:rFonts w:eastAsia="Calibri"/>
        </w:rPr>
      </w:pPr>
    </w:p>
    <w:p w14:paraId="00D7C638" w14:textId="4CB70F20" w:rsidR="002B406E" w:rsidRDefault="002B406E" w:rsidP="007039DA">
      <w:pPr>
        <w:rPr>
          <w:rFonts w:eastAsia="Calibri"/>
        </w:rPr>
      </w:pPr>
    </w:p>
    <w:p w14:paraId="25CC2CC6" w14:textId="1363A2ED" w:rsidR="002B406E" w:rsidRDefault="002B406E" w:rsidP="007039DA">
      <w:pPr>
        <w:rPr>
          <w:rFonts w:eastAsia="Calibri"/>
        </w:rPr>
      </w:pPr>
    </w:p>
    <w:p w14:paraId="706E171E" w14:textId="5CAA6EC6" w:rsidR="002B406E" w:rsidRDefault="002B406E" w:rsidP="007039DA">
      <w:pPr>
        <w:rPr>
          <w:rFonts w:eastAsia="Calibri"/>
        </w:rPr>
      </w:pPr>
    </w:p>
    <w:p w14:paraId="116884B0" w14:textId="020638CD" w:rsidR="002B406E" w:rsidRDefault="002B406E" w:rsidP="007039DA">
      <w:pPr>
        <w:rPr>
          <w:rFonts w:eastAsia="Calibri"/>
        </w:rPr>
      </w:pPr>
    </w:p>
    <w:p w14:paraId="43BDCEE3" w14:textId="154F9DE7" w:rsidR="002B406E" w:rsidRDefault="002B406E" w:rsidP="007039DA">
      <w:pPr>
        <w:rPr>
          <w:rFonts w:eastAsia="Calibri"/>
        </w:rPr>
      </w:pPr>
    </w:p>
    <w:p w14:paraId="2A69639D" w14:textId="19373E1B" w:rsidR="002B406E" w:rsidRDefault="002B406E" w:rsidP="007039DA">
      <w:pPr>
        <w:rPr>
          <w:rFonts w:eastAsia="Calibri"/>
        </w:rPr>
      </w:pPr>
    </w:p>
    <w:p w14:paraId="7756414F" w14:textId="3CE73FB8" w:rsidR="002B406E" w:rsidRDefault="002B406E" w:rsidP="007039DA">
      <w:pPr>
        <w:rPr>
          <w:rFonts w:eastAsia="Calibri"/>
        </w:rPr>
      </w:pPr>
    </w:p>
    <w:p w14:paraId="0E84577B" w14:textId="77777777" w:rsidR="002B406E" w:rsidRPr="007039DA" w:rsidRDefault="002B406E" w:rsidP="007039DA">
      <w:pPr>
        <w:rPr>
          <w:rFonts w:eastAsia="Calibri"/>
        </w:rPr>
      </w:pPr>
    </w:p>
    <w:p w14:paraId="1F3F092F" w14:textId="6B69FDAE" w:rsidR="007039DA" w:rsidRDefault="007039DA" w:rsidP="003B66B7">
      <w:pPr>
        <w:pStyle w:val="Ttulo2"/>
        <w:numPr>
          <w:ilvl w:val="0"/>
          <w:numId w:val="35"/>
        </w:numPr>
        <w:jc w:val="center"/>
        <w:rPr>
          <w:rFonts w:ascii="Bookman Old Style" w:eastAsia="Calibri" w:hAnsi="Bookman Old Style" w:cs="Calibri"/>
          <w:sz w:val="22"/>
          <w:szCs w:val="22"/>
        </w:rPr>
      </w:pPr>
      <w:r>
        <w:rPr>
          <w:rFonts w:ascii="Bookman Old Style" w:eastAsia="Calibri" w:hAnsi="Bookman Old Style" w:cs="Calibri"/>
          <w:sz w:val="22"/>
          <w:szCs w:val="22"/>
        </w:rPr>
        <w:lastRenderedPageBreak/>
        <w:t>TEXTO PROPUESTO PARA PRIMER DEBATE EN PRIMERA VUELTA AL PROYECTO DE ACTO LEGISLATIVO NÚMERO 0</w:t>
      </w:r>
      <w:r w:rsidR="00A15087">
        <w:rPr>
          <w:rFonts w:ascii="Bookman Old Style" w:eastAsia="Calibri" w:hAnsi="Bookman Old Style" w:cs="Calibri"/>
          <w:sz w:val="22"/>
          <w:szCs w:val="22"/>
        </w:rPr>
        <w:t>41</w:t>
      </w:r>
      <w:r>
        <w:rPr>
          <w:rFonts w:ascii="Bookman Old Style" w:eastAsia="Calibri" w:hAnsi="Bookman Old Style" w:cs="Calibri"/>
          <w:sz w:val="22"/>
          <w:szCs w:val="22"/>
        </w:rPr>
        <w:t xml:space="preserve"> DE 2021 CÁMARA. </w:t>
      </w:r>
    </w:p>
    <w:p w14:paraId="342CEA56" w14:textId="47CF6E9D" w:rsidR="007039DA" w:rsidRDefault="007039DA" w:rsidP="003B66B7">
      <w:pPr>
        <w:pStyle w:val="Ttulo2"/>
        <w:ind w:left="360"/>
        <w:jc w:val="center"/>
        <w:rPr>
          <w:rFonts w:ascii="Bookman Old Style" w:eastAsia="Calibri" w:hAnsi="Bookman Old Style" w:cs="Calibri"/>
          <w:b w:val="0"/>
          <w:bCs/>
          <w:i/>
          <w:iCs/>
          <w:sz w:val="22"/>
          <w:szCs w:val="22"/>
        </w:rPr>
      </w:pPr>
      <w:r w:rsidRPr="007039DA">
        <w:rPr>
          <w:rFonts w:ascii="Bookman Old Style" w:eastAsia="Calibri" w:hAnsi="Bookman Old Style" w:cs="Calibri"/>
          <w:b w:val="0"/>
          <w:bCs/>
          <w:i/>
          <w:iCs/>
          <w:sz w:val="22"/>
          <w:szCs w:val="22"/>
        </w:rPr>
        <w:t>“</w:t>
      </w:r>
      <w:r w:rsidR="00A15087" w:rsidRPr="00A15087">
        <w:rPr>
          <w:rFonts w:ascii="Bookman Old Style" w:eastAsia="Calibri" w:hAnsi="Bookman Old Style" w:cs="Calibri"/>
          <w:b w:val="0"/>
          <w:bCs/>
          <w:i/>
          <w:iCs/>
          <w:sz w:val="22"/>
          <w:szCs w:val="22"/>
        </w:rPr>
        <w:t>Por el cual se modifican los artículos 45 y 65 de la constitución política estableciendo el derecho fundamental a la alimentación y a no padecer hambre</w:t>
      </w:r>
      <w:r w:rsidRPr="007039DA">
        <w:rPr>
          <w:rFonts w:ascii="Bookman Old Style" w:eastAsia="Calibri" w:hAnsi="Bookman Old Style" w:cs="Calibri"/>
          <w:b w:val="0"/>
          <w:bCs/>
          <w:i/>
          <w:iCs/>
          <w:sz w:val="22"/>
          <w:szCs w:val="22"/>
        </w:rPr>
        <w:t>”.</w:t>
      </w:r>
    </w:p>
    <w:p w14:paraId="1B698C7D" w14:textId="6D525AE7" w:rsidR="007039DA" w:rsidRDefault="007039DA" w:rsidP="003B66B7">
      <w:pPr>
        <w:rPr>
          <w:rFonts w:eastAsia="Calibri"/>
        </w:rPr>
      </w:pPr>
    </w:p>
    <w:p w14:paraId="0B7630E1" w14:textId="77777777" w:rsidR="00E11D97" w:rsidRPr="007039DA" w:rsidRDefault="00E11D97" w:rsidP="003B66B7">
      <w:pPr>
        <w:rPr>
          <w:rFonts w:eastAsia="Calibri"/>
        </w:rPr>
      </w:pPr>
    </w:p>
    <w:p w14:paraId="3F27A0A8" w14:textId="41AF8E06" w:rsidR="007039DA" w:rsidRDefault="007039DA" w:rsidP="003B66B7">
      <w:pPr>
        <w:pStyle w:val="NormalWeb"/>
        <w:shd w:val="clear" w:color="auto" w:fill="FFFFFF"/>
        <w:spacing w:before="0" w:beforeAutospacing="0" w:after="0" w:afterAutospacing="0"/>
        <w:jc w:val="center"/>
        <w:rPr>
          <w:rStyle w:val="Textoennegrita"/>
          <w:rFonts w:ascii="Bookman Old Style" w:hAnsi="Bookman Old Style" w:cs="Calibri"/>
          <w:sz w:val="22"/>
          <w:szCs w:val="22"/>
        </w:rPr>
      </w:pPr>
      <w:r w:rsidRPr="00485CC5">
        <w:rPr>
          <w:rStyle w:val="Textoennegrita"/>
          <w:rFonts w:ascii="Bookman Old Style" w:hAnsi="Bookman Old Style" w:cs="Calibri"/>
          <w:sz w:val="22"/>
          <w:szCs w:val="22"/>
        </w:rPr>
        <w:t>EL CONGRESO DE COLOMBIA</w:t>
      </w:r>
    </w:p>
    <w:p w14:paraId="06E8410B" w14:textId="503DDD03" w:rsidR="00D20C8D" w:rsidRDefault="00D20C8D" w:rsidP="003B66B7">
      <w:pPr>
        <w:pStyle w:val="NormalWeb"/>
        <w:shd w:val="clear" w:color="auto" w:fill="FFFFFF"/>
        <w:spacing w:before="0" w:beforeAutospacing="0" w:after="0" w:afterAutospacing="0"/>
        <w:jc w:val="center"/>
        <w:rPr>
          <w:rFonts w:ascii="Bookman Old Style" w:hAnsi="Bookman Old Style" w:cs="Calibri"/>
          <w:sz w:val="22"/>
          <w:szCs w:val="22"/>
        </w:rPr>
      </w:pPr>
    </w:p>
    <w:p w14:paraId="70549B8C" w14:textId="77777777" w:rsidR="00E11D97" w:rsidRPr="00485CC5" w:rsidRDefault="00E11D97" w:rsidP="003B66B7">
      <w:pPr>
        <w:pStyle w:val="NormalWeb"/>
        <w:shd w:val="clear" w:color="auto" w:fill="FFFFFF"/>
        <w:spacing w:before="0" w:beforeAutospacing="0" w:after="0" w:afterAutospacing="0"/>
        <w:jc w:val="center"/>
        <w:rPr>
          <w:rFonts w:ascii="Bookman Old Style" w:hAnsi="Bookman Old Style" w:cs="Calibri"/>
          <w:sz w:val="22"/>
          <w:szCs w:val="22"/>
        </w:rPr>
      </w:pPr>
    </w:p>
    <w:p w14:paraId="6E4B1F00" w14:textId="1713F3B4" w:rsidR="007039DA" w:rsidRDefault="007039DA" w:rsidP="003B66B7">
      <w:pPr>
        <w:pStyle w:val="NormalWeb"/>
        <w:shd w:val="clear" w:color="auto" w:fill="FFFFFF"/>
        <w:spacing w:before="0" w:beforeAutospacing="0" w:after="0" w:afterAutospacing="0"/>
        <w:jc w:val="center"/>
        <w:rPr>
          <w:rStyle w:val="Textoennegrita"/>
          <w:rFonts w:ascii="Bookman Old Style" w:hAnsi="Bookman Old Style" w:cs="Calibri"/>
          <w:sz w:val="22"/>
          <w:szCs w:val="22"/>
        </w:rPr>
      </w:pPr>
      <w:r w:rsidRPr="00485CC5">
        <w:rPr>
          <w:rStyle w:val="Textoennegrita"/>
          <w:rFonts w:ascii="Bookman Old Style" w:hAnsi="Bookman Old Style" w:cs="Calibri"/>
          <w:sz w:val="22"/>
          <w:szCs w:val="22"/>
        </w:rPr>
        <w:t>DECRETA:</w:t>
      </w:r>
    </w:p>
    <w:p w14:paraId="7378F669" w14:textId="78E0336E" w:rsidR="00D20C8D" w:rsidRDefault="00D20C8D" w:rsidP="003B66B7">
      <w:pPr>
        <w:pStyle w:val="NormalWeb"/>
        <w:shd w:val="clear" w:color="auto" w:fill="FFFFFF"/>
        <w:spacing w:before="0" w:beforeAutospacing="0" w:after="0" w:afterAutospacing="0"/>
        <w:jc w:val="center"/>
        <w:rPr>
          <w:rFonts w:ascii="Bookman Old Style" w:hAnsi="Bookman Old Style" w:cs="Calibri"/>
          <w:sz w:val="22"/>
          <w:szCs w:val="22"/>
        </w:rPr>
      </w:pPr>
    </w:p>
    <w:p w14:paraId="4C22009E" w14:textId="77777777" w:rsidR="00E11D97" w:rsidRPr="00485CC5" w:rsidRDefault="00E11D97" w:rsidP="003B66B7">
      <w:pPr>
        <w:pStyle w:val="NormalWeb"/>
        <w:shd w:val="clear" w:color="auto" w:fill="FFFFFF"/>
        <w:spacing w:before="0" w:beforeAutospacing="0" w:after="0" w:afterAutospacing="0"/>
        <w:jc w:val="center"/>
        <w:rPr>
          <w:rFonts w:ascii="Bookman Old Style" w:hAnsi="Bookman Old Style" w:cs="Calibri"/>
          <w:sz w:val="22"/>
          <w:szCs w:val="22"/>
        </w:rPr>
      </w:pPr>
    </w:p>
    <w:p w14:paraId="52F13843" w14:textId="7FDB221E" w:rsidR="007039DA" w:rsidRPr="00485CC5" w:rsidRDefault="007039DA" w:rsidP="003B66B7">
      <w:pPr>
        <w:pStyle w:val="centrado"/>
        <w:spacing w:before="0" w:beforeAutospacing="0" w:after="0" w:afterAutospacing="0"/>
        <w:jc w:val="both"/>
        <w:rPr>
          <w:rFonts w:ascii="Bookman Old Style" w:hAnsi="Bookman Old Style" w:cs="Calibri"/>
          <w:b/>
          <w:bCs/>
          <w:sz w:val="22"/>
          <w:szCs w:val="22"/>
        </w:rPr>
      </w:pPr>
      <w:r w:rsidRPr="00485CC5">
        <w:rPr>
          <w:rFonts w:ascii="Bookman Old Style" w:hAnsi="Bookman Old Style" w:cs="Calibri"/>
          <w:b/>
          <w:bCs/>
          <w:sz w:val="22"/>
          <w:szCs w:val="22"/>
        </w:rPr>
        <w:t xml:space="preserve">ARTÍCULO 1º. </w:t>
      </w:r>
      <w:r w:rsidR="003B66B7" w:rsidRPr="009D46DA">
        <w:rPr>
          <w:rFonts w:ascii="Bookman Old Style" w:hAnsi="Bookman Old Style"/>
          <w:sz w:val="22"/>
          <w:szCs w:val="22"/>
        </w:rPr>
        <w:t>Modifíquese el artículo 45 de la Constitución Política, el cual quedará así:</w:t>
      </w:r>
    </w:p>
    <w:p w14:paraId="36382CEF" w14:textId="77777777" w:rsidR="003B66B7" w:rsidRDefault="003B66B7" w:rsidP="003B66B7">
      <w:pPr>
        <w:ind w:left="284"/>
        <w:jc w:val="both"/>
        <w:rPr>
          <w:rFonts w:ascii="Bookman Old Style" w:hAnsi="Bookman Old Style" w:cs="Calibri"/>
          <w:b/>
        </w:rPr>
      </w:pPr>
    </w:p>
    <w:p w14:paraId="3BF52772" w14:textId="72515BB5" w:rsidR="003B66B7" w:rsidRPr="003B66B7" w:rsidRDefault="007039DA" w:rsidP="003B66B7">
      <w:pPr>
        <w:ind w:left="284"/>
        <w:jc w:val="both"/>
        <w:rPr>
          <w:rFonts w:ascii="Bookman Old Style" w:hAnsi="Bookman Old Style" w:cs="Calibri"/>
        </w:rPr>
      </w:pPr>
      <w:r w:rsidRPr="00485CC5">
        <w:rPr>
          <w:rFonts w:ascii="Bookman Old Style" w:hAnsi="Bookman Old Style" w:cs="Calibri"/>
          <w:b/>
        </w:rPr>
        <w:t>ARTÍCULO 4</w:t>
      </w:r>
      <w:r w:rsidR="003B66B7">
        <w:rPr>
          <w:rFonts w:ascii="Bookman Old Style" w:hAnsi="Bookman Old Style" w:cs="Calibri"/>
          <w:b/>
        </w:rPr>
        <w:t>5</w:t>
      </w:r>
      <w:r w:rsidRPr="00485CC5">
        <w:rPr>
          <w:rFonts w:ascii="Bookman Old Style" w:hAnsi="Bookman Old Style" w:cs="Calibri"/>
          <w:b/>
        </w:rPr>
        <w:t xml:space="preserve">o. </w:t>
      </w:r>
      <w:r w:rsidR="003B66B7" w:rsidRPr="003B66B7">
        <w:rPr>
          <w:rFonts w:ascii="Bookman Old Style" w:hAnsi="Bookman Old Style" w:cs="Calibri"/>
        </w:rPr>
        <w:t>El adolescente tiene derecho a la protección y a la formación integral</w:t>
      </w:r>
      <w:r w:rsidR="003B66B7" w:rsidRPr="003B66B7">
        <w:rPr>
          <w:rFonts w:ascii="Bookman Old Style" w:hAnsi="Bookman Old Style" w:cs="Calibri"/>
          <w:b/>
          <w:bCs/>
          <w:u w:val="single"/>
        </w:rPr>
        <w:t>, así como a recibir una alimentación adecuada y acorde a las necesidades nutricionales para su correcto desarrollo</w:t>
      </w:r>
      <w:r w:rsidR="003B66B7" w:rsidRPr="003B66B7">
        <w:rPr>
          <w:rFonts w:ascii="Bookman Old Style" w:hAnsi="Bookman Old Style" w:cs="Calibri"/>
        </w:rPr>
        <w:t>.</w:t>
      </w:r>
    </w:p>
    <w:p w14:paraId="463B2A25" w14:textId="77777777" w:rsidR="00F46EAD" w:rsidRDefault="00F46EAD" w:rsidP="003B66B7">
      <w:pPr>
        <w:ind w:left="284"/>
        <w:jc w:val="both"/>
        <w:rPr>
          <w:rFonts w:ascii="Bookman Old Style" w:hAnsi="Bookman Old Style" w:cs="Calibri"/>
        </w:rPr>
      </w:pPr>
    </w:p>
    <w:p w14:paraId="0B084686" w14:textId="02E5D579" w:rsidR="007039DA" w:rsidRPr="00485CC5" w:rsidRDefault="003B66B7" w:rsidP="003B66B7">
      <w:pPr>
        <w:ind w:left="284"/>
        <w:jc w:val="both"/>
        <w:rPr>
          <w:rFonts w:ascii="Bookman Old Style" w:hAnsi="Bookman Old Style" w:cs="Calibri"/>
        </w:rPr>
      </w:pPr>
      <w:r w:rsidRPr="003B66B7">
        <w:rPr>
          <w:rFonts w:ascii="Bookman Old Style" w:hAnsi="Bookman Old Style" w:cs="Calibri"/>
        </w:rPr>
        <w:t>El Estado y la sociedad garantizan la participación activa de los jóvenes en los organismos públicos y privados que tengan a cargo la protección, educación y progreso de la juventud.</w:t>
      </w:r>
    </w:p>
    <w:p w14:paraId="5E1BF9F7" w14:textId="77777777" w:rsidR="003B66B7" w:rsidRDefault="003B66B7" w:rsidP="003B66B7">
      <w:pPr>
        <w:pStyle w:val="centrado"/>
        <w:spacing w:before="0" w:beforeAutospacing="0" w:after="0" w:afterAutospacing="0"/>
        <w:jc w:val="both"/>
        <w:rPr>
          <w:rFonts w:ascii="Bookman Old Style" w:hAnsi="Bookman Old Style" w:cs="Calibri"/>
          <w:b/>
          <w:bCs/>
          <w:sz w:val="22"/>
          <w:szCs w:val="22"/>
        </w:rPr>
      </w:pPr>
    </w:p>
    <w:p w14:paraId="000C52AD" w14:textId="132DC645" w:rsidR="003B66B7" w:rsidRPr="00485CC5" w:rsidRDefault="003B66B7" w:rsidP="003B66B7">
      <w:pPr>
        <w:pStyle w:val="centrado"/>
        <w:spacing w:before="0" w:beforeAutospacing="0" w:after="0" w:afterAutospacing="0"/>
        <w:jc w:val="both"/>
        <w:rPr>
          <w:rFonts w:ascii="Bookman Old Style" w:hAnsi="Bookman Old Style" w:cs="Calibri"/>
          <w:b/>
          <w:bCs/>
          <w:sz w:val="22"/>
          <w:szCs w:val="22"/>
        </w:rPr>
      </w:pPr>
      <w:r w:rsidRPr="00485CC5">
        <w:rPr>
          <w:rFonts w:ascii="Bookman Old Style" w:hAnsi="Bookman Old Style" w:cs="Calibri"/>
          <w:b/>
          <w:bCs/>
          <w:sz w:val="22"/>
          <w:szCs w:val="22"/>
        </w:rPr>
        <w:t xml:space="preserve">ARTÍCULO </w:t>
      </w:r>
      <w:r>
        <w:rPr>
          <w:rFonts w:ascii="Bookman Old Style" w:hAnsi="Bookman Old Style" w:cs="Calibri"/>
          <w:b/>
          <w:bCs/>
          <w:sz w:val="22"/>
          <w:szCs w:val="22"/>
        </w:rPr>
        <w:t>2</w:t>
      </w:r>
      <w:r w:rsidRPr="00485CC5">
        <w:rPr>
          <w:rFonts w:ascii="Bookman Old Style" w:hAnsi="Bookman Old Style" w:cs="Calibri"/>
          <w:b/>
          <w:bCs/>
          <w:sz w:val="22"/>
          <w:szCs w:val="22"/>
        </w:rPr>
        <w:t xml:space="preserve">º. </w:t>
      </w:r>
      <w:r w:rsidRPr="009D46DA">
        <w:rPr>
          <w:rFonts w:ascii="Bookman Old Style" w:hAnsi="Bookman Old Style"/>
          <w:sz w:val="22"/>
          <w:szCs w:val="22"/>
        </w:rPr>
        <w:t xml:space="preserve">Modifíquese el artículo </w:t>
      </w:r>
      <w:r>
        <w:rPr>
          <w:rFonts w:ascii="Bookman Old Style" w:hAnsi="Bookman Old Style"/>
          <w:sz w:val="22"/>
          <w:szCs w:val="22"/>
        </w:rPr>
        <w:t>65</w:t>
      </w:r>
      <w:r w:rsidRPr="009D46DA">
        <w:rPr>
          <w:rFonts w:ascii="Bookman Old Style" w:hAnsi="Bookman Old Style"/>
          <w:sz w:val="22"/>
          <w:szCs w:val="22"/>
        </w:rPr>
        <w:t xml:space="preserve"> de la Constitución Política, el cual quedará así:</w:t>
      </w:r>
    </w:p>
    <w:p w14:paraId="1B61D4CF" w14:textId="77777777" w:rsidR="003B66B7" w:rsidRDefault="003B66B7" w:rsidP="003B66B7">
      <w:pPr>
        <w:ind w:left="284"/>
        <w:jc w:val="both"/>
        <w:rPr>
          <w:rFonts w:ascii="Bookman Old Style" w:hAnsi="Bookman Old Style" w:cs="Calibri"/>
          <w:b/>
        </w:rPr>
      </w:pPr>
    </w:p>
    <w:p w14:paraId="7C055A5E" w14:textId="63E676A0" w:rsidR="003B66B7" w:rsidRPr="003B66B7" w:rsidRDefault="003B66B7" w:rsidP="003B66B7">
      <w:pPr>
        <w:ind w:left="284"/>
        <w:jc w:val="both"/>
        <w:rPr>
          <w:rFonts w:ascii="Bookman Old Style" w:hAnsi="Bookman Old Style" w:cs="Calibri"/>
        </w:rPr>
      </w:pPr>
      <w:r w:rsidRPr="00485CC5">
        <w:rPr>
          <w:rFonts w:ascii="Bookman Old Style" w:hAnsi="Bookman Old Style" w:cs="Calibri"/>
          <w:b/>
        </w:rPr>
        <w:t xml:space="preserve">ARTÍCULO </w:t>
      </w:r>
      <w:r>
        <w:rPr>
          <w:rFonts w:ascii="Bookman Old Style" w:hAnsi="Bookman Old Style" w:cs="Calibri"/>
          <w:b/>
        </w:rPr>
        <w:t>65</w:t>
      </w:r>
      <w:r w:rsidRPr="00485CC5">
        <w:rPr>
          <w:rFonts w:ascii="Bookman Old Style" w:hAnsi="Bookman Old Style" w:cs="Calibri"/>
          <w:b/>
        </w:rPr>
        <w:t xml:space="preserve">o. </w:t>
      </w:r>
      <w:r w:rsidRPr="003B66B7">
        <w:rPr>
          <w:rFonts w:ascii="Bookman Old Style" w:hAnsi="Bookman Old Style" w:cs="Calibri"/>
          <w:b/>
          <w:bCs/>
          <w:u w:val="single"/>
        </w:rPr>
        <w:t>Toda persona goza del derecho a un mínimo de alimentación y nutrición adecuada, y a no padecer hambre. El Estado garantizará progresivamente estos derechos y promoverá condiciones de seguridad alimentaria y soberanía alimentaria en el territorio nacional.</w:t>
      </w:r>
    </w:p>
    <w:p w14:paraId="7468C1FB" w14:textId="77777777" w:rsidR="003B66B7" w:rsidRPr="003B66B7" w:rsidRDefault="003B66B7" w:rsidP="003B66B7">
      <w:pPr>
        <w:ind w:left="284"/>
        <w:jc w:val="both"/>
        <w:rPr>
          <w:rFonts w:ascii="Bookman Old Style" w:hAnsi="Bookman Old Style" w:cs="Calibri"/>
        </w:rPr>
      </w:pPr>
      <w:r w:rsidRPr="003B66B7">
        <w:rPr>
          <w:rFonts w:ascii="Bookman Old Style" w:hAnsi="Bookman Old Style" w:cs="Calibri"/>
        </w:rPr>
        <w:t>La producción de alimentos gozará de la especial protección del Estado. Para tal efecto, se otorgará prioridad al desarrollo integral de las actividades agrícolas, pecuarias, pesqueras, forestales y agroindustriales, así como también a la construcción de obras de infraestructura física y adecuación de tierras.</w:t>
      </w:r>
    </w:p>
    <w:p w14:paraId="644FC932" w14:textId="77777777" w:rsidR="003B66B7" w:rsidRDefault="003B66B7" w:rsidP="003B66B7">
      <w:pPr>
        <w:ind w:left="284"/>
        <w:jc w:val="both"/>
        <w:rPr>
          <w:rFonts w:ascii="Bookman Old Style" w:hAnsi="Bookman Old Style" w:cs="Calibri"/>
        </w:rPr>
      </w:pPr>
    </w:p>
    <w:p w14:paraId="71E6A182" w14:textId="388F161B" w:rsidR="003B66B7" w:rsidRPr="003B66B7" w:rsidRDefault="003B66B7" w:rsidP="003B66B7">
      <w:pPr>
        <w:ind w:left="284"/>
        <w:jc w:val="both"/>
        <w:rPr>
          <w:rFonts w:ascii="Bookman Old Style" w:hAnsi="Bookman Old Style" w:cs="Calibri"/>
        </w:rPr>
      </w:pPr>
      <w:r w:rsidRPr="003B66B7">
        <w:rPr>
          <w:rFonts w:ascii="Bookman Old Style" w:hAnsi="Bookman Old Style" w:cs="Calibri"/>
        </w:rPr>
        <w:t>De igual manera, el Estado promoverá la investigación y la transferencia de tecnología para la producción de alimentos y materias primas de origen agropecuario, con el propósito de incrementar la productividad</w:t>
      </w:r>
      <w:r w:rsidRPr="003B66B7">
        <w:rPr>
          <w:rFonts w:ascii="Bookman Old Style" w:hAnsi="Bookman Old Style" w:cs="Calibri"/>
          <w:b/>
          <w:bCs/>
          <w:u w:val="single"/>
        </w:rPr>
        <w:t>, dando prioridad a las formas de producción de alimentos que estén acorde con una dieta saludable y que generen un menor impacto ambiental</w:t>
      </w:r>
      <w:r w:rsidRPr="003B66B7">
        <w:rPr>
          <w:rFonts w:ascii="Bookman Old Style" w:hAnsi="Bookman Old Style" w:cs="Calibri"/>
        </w:rPr>
        <w:t>.</w:t>
      </w:r>
    </w:p>
    <w:p w14:paraId="2B74BD4E" w14:textId="77777777" w:rsidR="003B66B7" w:rsidRDefault="003B66B7" w:rsidP="003B66B7">
      <w:pPr>
        <w:ind w:left="284"/>
        <w:jc w:val="both"/>
        <w:rPr>
          <w:rFonts w:ascii="Bookman Old Style" w:hAnsi="Bookman Old Style" w:cs="Calibri"/>
          <w:b/>
          <w:bCs/>
          <w:u w:val="single"/>
        </w:rPr>
      </w:pPr>
    </w:p>
    <w:p w14:paraId="37A28692" w14:textId="10ABD771" w:rsidR="007039DA" w:rsidRPr="003B66B7" w:rsidRDefault="003B66B7" w:rsidP="003B66B7">
      <w:pPr>
        <w:ind w:left="284"/>
        <w:jc w:val="both"/>
        <w:rPr>
          <w:rFonts w:ascii="Bookman Old Style" w:hAnsi="Bookman Old Style" w:cs="Calibri"/>
          <w:b/>
          <w:bCs/>
          <w:u w:val="single"/>
        </w:rPr>
      </w:pPr>
      <w:r w:rsidRPr="003B66B7">
        <w:rPr>
          <w:rFonts w:ascii="Bookman Old Style" w:hAnsi="Bookman Old Style" w:cs="Calibri"/>
          <w:b/>
          <w:bCs/>
          <w:u w:val="single"/>
        </w:rPr>
        <w:t>La parte general del Plan Nacional de Desarrollo deberá incluir un capítulo en el que se especifiquen las acciones que adelantará el Gobierno nacional, en coordinación con los demás órganos del Estado, para materializar lo establecido en este artículo.</w:t>
      </w:r>
    </w:p>
    <w:p w14:paraId="5FEC8B60" w14:textId="77777777" w:rsidR="003B66B7" w:rsidRDefault="003B66B7" w:rsidP="003B66B7">
      <w:pPr>
        <w:pStyle w:val="NormalWeb"/>
        <w:spacing w:before="0" w:beforeAutospacing="0" w:after="0" w:afterAutospacing="0"/>
        <w:jc w:val="both"/>
        <w:rPr>
          <w:rFonts w:ascii="Bookman Old Style" w:hAnsi="Bookman Old Style" w:cs="Calibri"/>
          <w:b/>
          <w:bCs/>
          <w:sz w:val="22"/>
          <w:szCs w:val="22"/>
        </w:rPr>
      </w:pPr>
    </w:p>
    <w:p w14:paraId="71114D74" w14:textId="5ECC0318" w:rsidR="007039DA" w:rsidRDefault="007039DA" w:rsidP="003B66B7">
      <w:pPr>
        <w:pStyle w:val="NormalWeb"/>
        <w:spacing w:before="0" w:beforeAutospacing="0" w:after="0" w:afterAutospacing="0"/>
        <w:jc w:val="both"/>
        <w:rPr>
          <w:rFonts w:ascii="Bookman Old Style" w:hAnsi="Bookman Old Style" w:cs="Calibri"/>
          <w:b/>
          <w:bCs/>
          <w:sz w:val="22"/>
          <w:szCs w:val="22"/>
        </w:rPr>
      </w:pPr>
      <w:r w:rsidRPr="00485CC5">
        <w:rPr>
          <w:rFonts w:ascii="Bookman Old Style" w:hAnsi="Bookman Old Style" w:cs="Calibri"/>
          <w:b/>
          <w:bCs/>
          <w:sz w:val="22"/>
          <w:szCs w:val="22"/>
        </w:rPr>
        <w:lastRenderedPageBreak/>
        <w:t xml:space="preserve">ARTÍCULO </w:t>
      </w:r>
      <w:r w:rsidR="00F46EAD">
        <w:rPr>
          <w:rFonts w:ascii="Bookman Old Style" w:hAnsi="Bookman Old Style" w:cs="Calibri"/>
          <w:b/>
          <w:bCs/>
          <w:sz w:val="22"/>
          <w:szCs w:val="22"/>
        </w:rPr>
        <w:t>3.</w:t>
      </w:r>
      <w:r>
        <w:rPr>
          <w:rFonts w:ascii="Bookman Old Style" w:hAnsi="Bookman Old Style" w:cs="Calibri"/>
          <w:b/>
          <w:bCs/>
          <w:sz w:val="22"/>
          <w:szCs w:val="22"/>
        </w:rPr>
        <w:t xml:space="preserve"> </w:t>
      </w:r>
      <w:r w:rsidR="00F46EAD" w:rsidRPr="00F46EAD">
        <w:rPr>
          <w:rFonts w:ascii="Bookman Old Style" w:hAnsi="Bookman Old Style" w:cs="Calibri"/>
          <w:sz w:val="22"/>
          <w:szCs w:val="22"/>
        </w:rPr>
        <w:t>Luego de la promulgación de este acto legislativo, el Congreso de la República tendrá hasta un (1) año para aprobar la ley estatutaria que desarrolle este derecho.</w:t>
      </w:r>
    </w:p>
    <w:p w14:paraId="01BBC130" w14:textId="77777777" w:rsidR="003B66B7" w:rsidRDefault="003B66B7" w:rsidP="003B66B7">
      <w:pPr>
        <w:pStyle w:val="NormalWeb"/>
        <w:spacing w:before="0" w:beforeAutospacing="0" w:after="0" w:afterAutospacing="0"/>
        <w:jc w:val="both"/>
        <w:rPr>
          <w:rFonts w:ascii="Bookman Old Style" w:hAnsi="Bookman Old Style" w:cs="Calibri"/>
          <w:b/>
          <w:bCs/>
          <w:sz w:val="22"/>
          <w:szCs w:val="22"/>
        </w:rPr>
      </w:pPr>
    </w:p>
    <w:p w14:paraId="3FD540BE" w14:textId="539F891B" w:rsidR="007039DA" w:rsidRPr="00485CC5" w:rsidRDefault="007039DA" w:rsidP="003B66B7">
      <w:pPr>
        <w:pStyle w:val="NormalWeb"/>
        <w:spacing w:before="0" w:beforeAutospacing="0" w:after="0" w:afterAutospacing="0"/>
        <w:jc w:val="both"/>
        <w:rPr>
          <w:rFonts w:ascii="Bookman Old Style" w:hAnsi="Bookman Old Style" w:cs="Calibri"/>
          <w:sz w:val="22"/>
          <w:szCs w:val="22"/>
        </w:rPr>
      </w:pPr>
      <w:r>
        <w:rPr>
          <w:rFonts w:ascii="Bookman Old Style" w:hAnsi="Bookman Old Style" w:cs="Calibri"/>
          <w:b/>
          <w:bCs/>
          <w:sz w:val="22"/>
          <w:szCs w:val="22"/>
        </w:rPr>
        <w:t xml:space="preserve">ARTÍCULO </w:t>
      </w:r>
      <w:r w:rsidR="00F46EAD">
        <w:rPr>
          <w:rFonts w:ascii="Bookman Old Style" w:hAnsi="Bookman Old Style" w:cs="Calibri"/>
          <w:b/>
          <w:bCs/>
          <w:sz w:val="22"/>
          <w:szCs w:val="22"/>
        </w:rPr>
        <w:t>4</w:t>
      </w:r>
      <w:r>
        <w:rPr>
          <w:rFonts w:ascii="Bookman Old Style" w:hAnsi="Bookman Old Style" w:cs="Calibri"/>
          <w:b/>
          <w:bCs/>
          <w:sz w:val="22"/>
          <w:szCs w:val="22"/>
        </w:rPr>
        <w:t xml:space="preserve">. </w:t>
      </w:r>
      <w:r w:rsidRPr="00485CC5">
        <w:rPr>
          <w:rFonts w:ascii="Bookman Old Style" w:hAnsi="Bookman Old Style" w:cs="Calibri"/>
          <w:b/>
          <w:bCs/>
          <w:sz w:val="22"/>
          <w:szCs w:val="22"/>
        </w:rPr>
        <w:t>VIGENCIA.</w:t>
      </w:r>
      <w:r>
        <w:rPr>
          <w:rFonts w:ascii="Bookman Old Style" w:hAnsi="Bookman Old Style" w:cs="Calibri"/>
          <w:sz w:val="22"/>
          <w:szCs w:val="22"/>
        </w:rPr>
        <w:t> </w:t>
      </w:r>
      <w:r w:rsidR="00F46EAD" w:rsidRPr="00F46EAD">
        <w:rPr>
          <w:rFonts w:ascii="Bookman Old Style" w:hAnsi="Bookman Old Style" w:cs="Calibri"/>
          <w:sz w:val="22"/>
          <w:szCs w:val="22"/>
        </w:rPr>
        <w:t>El presente Acto Legislativo rige a partir de su promulgación y deroga todas las normas que le sean contrarias</w:t>
      </w:r>
      <w:r>
        <w:rPr>
          <w:rFonts w:ascii="Bookman Old Style" w:hAnsi="Bookman Old Style" w:cs="Calibri"/>
          <w:sz w:val="22"/>
          <w:szCs w:val="22"/>
        </w:rPr>
        <w:t>.</w:t>
      </w:r>
    </w:p>
    <w:p w14:paraId="638EC798" w14:textId="2A5BC566" w:rsidR="00F46EAD" w:rsidRDefault="00F46EAD" w:rsidP="003B66B7">
      <w:pPr>
        <w:jc w:val="both"/>
        <w:rPr>
          <w:rFonts w:ascii="Bookman Old Style" w:hAnsi="Bookman Old Style" w:cs="Arial"/>
        </w:rPr>
      </w:pPr>
    </w:p>
    <w:p w14:paraId="1DB0A5CF" w14:textId="77777777" w:rsidR="00F46EAD" w:rsidRDefault="00F46EAD" w:rsidP="003B66B7">
      <w:pPr>
        <w:jc w:val="both"/>
        <w:rPr>
          <w:rFonts w:ascii="Bookman Old Style" w:hAnsi="Bookman Old Style" w:cs="Arial"/>
        </w:rPr>
      </w:pPr>
    </w:p>
    <w:p w14:paraId="2AD0B089" w14:textId="36DD5190" w:rsidR="007039DA" w:rsidRPr="00F46028" w:rsidRDefault="007039DA" w:rsidP="003B66B7">
      <w:pPr>
        <w:jc w:val="both"/>
        <w:rPr>
          <w:rFonts w:ascii="Bookman Old Style" w:hAnsi="Bookman Old Style" w:cs="Arial"/>
        </w:rPr>
      </w:pPr>
      <w:r w:rsidRPr="00F46028">
        <w:rPr>
          <w:rFonts w:ascii="Bookman Old Style" w:hAnsi="Bookman Old Style" w:cs="Arial"/>
        </w:rPr>
        <w:t>Cordialmente,</w:t>
      </w:r>
    </w:p>
    <w:p w14:paraId="23114C24" w14:textId="1CD5C22E" w:rsidR="007039DA" w:rsidRDefault="007039DA" w:rsidP="003B66B7">
      <w:pPr>
        <w:contextualSpacing/>
        <w:jc w:val="both"/>
        <w:rPr>
          <w:rFonts w:ascii="Bookman Old Style" w:hAnsi="Bookman Old Style"/>
          <w:color w:val="000000" w:themeColor="text1"/>
        </w:rPr>
      </w:pPr>
    </w:p>
    <w:p w14:paraId="4F87193B" w14:textId="77777777" w:rsidR="00F46EAD" w:rsidRPr="00F46028" w:rsidRDefault="00F46EAD" w:rsidP="003B66B7">
      <w:pPr>
        <w:contextualSpacing/>
        <w:jc w:val="both"/>
        <w:rPr>
          <w:rFonts w:ascii="Bookman Old Style" w:hAnsi="Bookman Old Style"/>
          <w:color w:val="000000" w:themeColor="text1"/>
        </w:rPr>
      </w:pPr>
    </w:p>
    <w:p w14:paraId="69A2D449" w14:textId="77777777" w:rsidR="007039DA" w:rsidRPr="00F46028" w:rsidRDefault="007039DA" w:rsidP="003B66B7">
      <w:pPr>
        <w:contextualSpacing/>
        <w:jc w:val="both"/>
        <w:rPr>
          <w:rFonts w:ascii="Bookman Old Style" w:hAnsi="Bookman Old Style"/>
          <w:color w:val="000000" w:themeColor="text1"/>
        </w:rPr>
      </w:pPr>
    </w:p>
    <w:p w14:paraId="26B6D67D" w14:textId="77777777" w:rsidR="007039DA" w:rsidRPr="00F46028" w:rsidRDefault="007039DA" w:rsidP="003B66B7">
      <w:pPr>
        <w:contextualSpacing/>
        <w:jc w:val="both"/>
        <w:rPr>
          <w:rFonts w:ascii="Bookman Old Style" w:hAnsi="Bookman Old Style"/>
          <w:color w:val="000000" w:themeColor="text1"/>
        </w:rPr>
      </w:pPr>
    </w:p>
    <w:p w14:paraId="4F4F5306" w14:textId="77777777" w:rsidR="007039DA" w:rsidRPr="00F46028" w:rsidRDefault="007039DA" w:rsidP="003B66B7">
      <w:pPr>
        <w:contextualSpacing/>
        <w:jc w:val="both"/>
        <w:rPr>
          <w:rFonts w:ascii="Bookman Old Style" w:hAnsi="Bookman Old Style"/>
          <w:color w:val="000000" w:themeColor="text1"/>
        </w:rPr>
      </w:pPr>
    </w:p>
    <w:p w14:paraId="3130F050" w14:textId="77777777" w:rsidR="007039DA" w:rsidRPr="00F46028" w:rsidRDefault="007039DA" w:rsidP="003B66B7">
      <w:pPr>
        <w:pStyle w:val="Sinespaciado"/>
        <w:tabs>
          <w:tab w:val="left" w:pos="8055"/>
        </w:tabs>
        <w:jc w:val="center"/>
        <w:rPr>
          <w:rFonts w:ascii="Bookman Old Style" w:hAnsi="Bookman Old Style" w:cs="Arial"/>
          <w:b/>
        </w:rPr>
      </w:pPr>
      <w:r w:rsidRPr="00F46028">
        <w:rPr>
          <w:rFonts w:ascii="Bookman Old Style" w:hAnsi="Bookman Old Style" w:cs="Arial"/>
          <w:b/>
        </w:rPr>
        <w:t>JUAN CARLOS LOZADA VARGAS</w:t>
      </w:r>
    </w:p>
    <w:p w14:paraId="3D7FEC74" w14:textId="00146363" w:rsidR="007039DA" w:rsidRPr="00F46028" w:rsidRDefault="007039DA" w:rsidP="003B66B7">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sidR="003B66B7">
        <w:rPr>
          <w:rFonts w:ascii="Bookman Old Style" w:hAnsi="Bookman Old Style" w:cs="Arial"/>
        </w:rPr>
        <w:t>.</w:t>
      </w:r>
    </w:p>
    <w:p w14:paraId="32ECAF87" w14:textId="24DAFC79" w:rsidR="00011ACE" w:rsidRPr="003B66B7" w:rsidRDefault="007039DA" w:rsidP="003B66B7">
      <w:pPr>
        <w:pStyle w:val="Sinespaciado"/>
        <w:tabs>
          <w:tab w:val="left" w:pos="8055"/>
        </w:tabs>
        <w:jc w:val="center"/>
        <w:rPr>
          <w:rFonts w:ascii="Bookman Old Style" w:hAnsi="Bookman Old Style" w:cs="Arial"/>
        </w:rPr>
      </w:pPr>
      <w:r w:rsidRPr="00F46028">
        <w:rPr>
          <w:rFonts w:ascii="Bookman Old Style" w:hAnsi="Bookman Old Style" w:cs="Arial"/>
        </w:rPr>
        <w:t>Ponente</w:t>
      </w:r>
      <w:r w:rsidR="003B66B7">
        <w:rPr>
          <w:rFonts w:ascii="Bookman Old Style" w:hAnsi="Bookman Old Style" w:cs="Arial"/>
        </w:rPr>
        <w:t>.</w:t>
      </w:r>
    </w:p>
    <w:sectPr w:rsidR="00011ACE" w:rsidRPr="003B66B7" w:rsidSect="00E11D97">
      <w:headerReference w:type="default" r:id="rId9"/>
      <w:footerReference w:type="default" r:id="rId10"/>
      <w:type w:val="continuous"/>
      <w:pgSz w:w="12240" w:h="15840"/>
      <w:pgMar w:top="1940" w:right="1580" w:bottom="1276" w:left="1912"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45E19" w14:textId="77777777" w:rsidR="00693E72" w:rsidRDefault="00693E72">
      <w:r>
        <w:separator/>
      </w:r>
    </w:p>
  </w:endnote>
  <w:endnote w:type="continuationSeparator" w:id="0">
    <w:p w14:paraId="4E3928EF" w14:textId="77777777" w:rsidR="00693E72" w:rsidRDefault="00693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371729"/>
      <w:docPartObj>
        <w:docPartGallery w:val="Page Numbers (Bottom of Page)"/>
        <w:docPartUnique/>
      </w:docPartObj>
    </w:sdtPr>
    <w:sdtEndPr/>
    <w:sdtContent>
      <w:sdt>
        <w:sdtPr>
          <w:id w:val="1728636285"/>
          <w:docPartObj>
            <w:docPartGallery w:val="Page Numbers (Top of Page)"/>
            <w:docPartUnique/>
          </w:docPartObj>
        </w:sdtPr>
        <w:sdtEndPr/>
        <w:sdtContent>
          <w:p w14:paraId="1C18F578" w14:textId="12F7A778" w:rsidR="00C04E96" w:rsidRDefault="00C04E96" w:rsidP="00F46EAD">
            <w:pPr>
              <w:pStyle w:val="Piedepgina"/>
              <w:ind w:left="-1701"/>
              <w:jc w:val="center"/>
            </w:pPr>
            <w:r>
              <w:t xml:space="preserve">                            </w:t>
            </w:r>
            <w:r>
              <w:rPr>
                <w:lang w:val="es-ES"/>
              </w:rPr>
              <w:t xml:space="preserve">Página </w:t>
            </w:r>
            <w:r>
              <w:rPr>
                <w:b/>
                <w:bCs/>
                <w:sz w:val="24"/>
                <w:szCs w:val="24"/>
              </w:rPr>
              <w:fldChar w:fldCharType="begin"/>
            </w:r>
            <w:r>
              <w:rPr>
                <w:b/>
                <w:bCs/>
              </w:rPr>
              <w:instrText>PAGE</w:instrText>
            </w:r>
            <w:r>
              <w:rPr>
                <w:b/>
                <w:bCs/>
                <w:sz w:val="24"/>
                <w:szCs w:val="24"/>
              </w:rPr>
              <w:fldChar w:fldCharType="separate"/>
            </w:r>
            <w:r w:rsidR="00515AAA">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15AAA">
              <w:rPr>
                <w:b/>
                <w:bCs/>
                <w:noProof/>
              </w:rPr>
              <w:t>18</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570E9" w14:textId="77777777" w:rsidR="00693E72" w:rsidRDefault="00693E72">
      <w:r>
        <w:separator/>
      </w:r>
    </w:p>
  </w:footnote>
  <w:footnote w:type="continuationSeparator" w:id="0">
    <w:p w14:paraId="3F22A5CA" w14:textId="77777777" w:rsidR="00693E72" w:rsidRDefault="00693E72">
      <w:r>
        <w:continuationSeparator/>
      </w:r>
    </w:p>
  </w:footnote>
  <w:footnote w:id="1">
    <w:p w14:paraId="26240D1F" w14:textId="62DDA433" w:rsidR="00AD27B6" w:rsidRPr="00E716E1" w:rsidRDefault="00AD27B6" w:rsidP="00AD27B6">
      <w:pPr>
        <w:pBdr>
          <w:top w:val="nil"/>
          <w:left w:val="nil"/>
          <w:bottom w:val="nil"/>
          <w:right w:val="nil"/>
          <w:between w:val="nil"/>
        </w:pBdr>
        <w:jc w:val="both"/>
        <w:rPr>
          <w:rFonts w:ascii="Bookman Old Style" w:hAnsi="Bookman Old Style"/>
          <w:sz w:val="16"/>
          <w:szCs w:val="16"/>
        </w:rPr>
      </w:pPr>
      <w:r w:rsidRPr="00AD27B6">
        <w:rPr>
          <w:rFonts w:ascii="Bookman Old Style" w:hAnsi="Bookman Old Style"/>
          <w:sz w:val="16"/>
          <w:szCs w:val="16"/>
          <w:vertAlign w:val="superscript"/>
        </w:rPr>
        <w:footnoteRef/>
      </w:r>
      <w:r w:rsidRPr="00AD27B6">
        <w:rPr>
          <w:rFonts w:ascii="Bookman Old Style" w:hAnsi="Bookman Old Style"/>
          <w:color w:val="000000"/>
          <w:sz w:val="16"/>
          <w:szCs w:val="16"/>
          <w:lang w:val="en-US"/>
        </w:rPr>
        <w:t xml:space="preserve"> </w:t>
      </w:r>
      <w:r w:rsidRPr="00AD27B6">
        <w:rPr>
          <w:rFonts w:ascii="Bookman Old Style" w:eastAsia="Arial" w:hAnsi="Bookman Old Style" w:cs="Arial"/>
          <w:color w:val="000000"/>
          <w:sz w:val="16"/>
          <w:szCs w:val="16"/>
          <w:lang w:val="en-US"/>
        </w:rPr>
        <w:t xml:space="preserve">Global Network </w:t>
      </w:r>
      <w:r w:rsidRPr="00E716E1">
        <w:rPr>
          <w:rFonts w:ascii="Bookman Old Style" w:eastAsia="Arial" w:hAnsi="Bookman Old Style" w:cs="Arial"/>
          <w:sz w:val="16"/>
          <w:szCs w:val="16"/>
          <w:lang w:val="en-US"/>
        </w:rPr>
        <w:t xml:space="preserve">Against Food Crises &amp; Food Security Information </w:t>
      </w:r>
      <w:proofErr w:type="spellStart"/>
      <w:r w:rsidRPr="00E716E1">
        <w:rPr>
          <w:rFonts w:ascii="Bookman Old Style" w:eastAsia="Arial" w:hAnsi="Bookman Old Style" w:cs="Arial"/>
          <w:sz w:val="16"/>
          <w:szCs w:val="16"/>
          <w:lang w:val="en-US"/>
        </w:rPr>
        <w:t>Netwotk</w:t>
      </w:r>
      <w:proofErr w:type="spellEnd"/>
      <w:r w:rsidRPr="00E716E1">
        <w:rPr>
          <w:rFonts w:ascii="Bookman Old Style" w:eastAsia="Arial" w:hAnsi="Bookman Old Style" w:cs="Arial"/>
          <w:sz w:val="16"/>
          <w:szCs w:val="16"/>
          <w:lang w:val="en-US"/>
        </w:rPr>
        <w:t xml:space="preserve">. </w:t>
      </w:r>
      <w:r w:rsidRPr="00E716E1">
        <w:rPr>
          <w:rFonts w:ascii="Bookman Old Style" w:eastAsia="Arial" w:hAnsi="Bookman Old Style" w:cs="Arial"/>
          <w:sz w:val="16"/>
          <w:szCs w:val="16"/>
        </w:rPr>
        <w:t xml:space="preserve">(21 de abril de 2020). El Informe mundial sobre las crisis alimentarias revela su magnitud, mientras la COVID-19 plantea nuevas amenazas para los países vulnerables. Disponible en: </w:t>
      </w:r>
      <w:r w:rsidRPr="00E716E1">
        <w:rPr>
          <w:rFonts w:ascii="Bookman Old Style" w:eastAsia="Arial" w:hAnsi="Bookman Old Style" w:cs="Arial"/>
          <w:sz w:val="16"/>
          <w:szCs w:val="16"/>
          <w:u w:val="single"/>
        </w:rPr>
        <w:t>http://www.fao.org/news/story/es/item/1271897/icode/</w:t>
      </w:r>
    </w:p>
  </w:footnote>
  <w:footnote w:id="2">
    <w:p w14:paraId="5018249E" w14:textId="1E6242B5" w:rsidR="00AD27B6" w:rsidRPr="00AD27B6" w:rsidRDefault="00AD27B6" w:rsidP="00AD27B6">
      <w:pPr>
        <w:pBdr>
          <w:top w:val="nil"/>
          <w:left w:val="nil"/>
          <w:bottom w:val="nil"/>
          <w:right w:val="nil"/>
          <w:between w:val="nil"/>
        </w:pBdr>
        <w:jc w:val="both"/>
        <w:rPr>
          <w:rFonts w:ascii="Bookman Old Style" w:hAnsi="Bookman Old Style"/>
          <w:color w:val="000000"/>
          <w:sz w:val="16"/>
          <w:szCs w:val="16"/>
          <w:lang w:val="en-US"/>
        </w:rPr>
      </w:pPr>
      <w:r w:rsidRPr="00E716E1">
        <w:rPr>
          <w:rFonts w:ascii="Bookman Old Style" w:hAnsi="Bookman Old Style"/>
          <w:sz w:val="16"/>
          <w:szCs w:val="16"/>
          <w:vertAlign w:val="superscript"/>
        </w:rPr>
        <w:footnoteRef/>
      </w:r>
      <w:r w:rsidRPr="00E716E1">
        <w:rPr>
          <w:rFonts w:ascii="Bookman Old Style" w:hAnsi="Bookman Old Style"/>
          <w:sz w:val="16"/>
          <w:szCs w:val="16"/>
          <w:lang w:val="en-US"/>
        </w:rPr>
        <w:t xml:space="preserve"> </w:t>
      </w:r>
      <w:r w:rsidRPr="00E716E1">
        <w:rPr>
          <w:rFonts w:ascii="Bookman Old Style" w:eastAsia="Arial" w:hAnsi="Bookman Old Style" w:cs="Arial"/>
          <w:sz w:val="16"/>
          <w:szCs w:val="16"/>
          <w:lang w:val="en-US"/>
        </w:rPr>
        <w:t xml:space="preserve">Global Network Against Food Crises &amp; Food Security Information </w:t>
      </w:r>
      <w:proofErr w:type="spellStart"/>
      <w:r w:rsidRPr="00E716E1">
        <w:rPr>
          <w:rFonts w:ascii="Bookman Old Style" w:eastAsia="Arial" w:hAnsi="Bookman Old Style" w:cs="Arial"/>
          <w:sz w:val="16"/>
          <w:szCs w:val="16"/>
          <w:lang w:val="en-US"/>
        </w:rPr>
        <w:t>Netwotk</w:t>
      </w:r>
      <w:proofErr w:type="spellEnd"/>
      <w:r w:rsidRPr="00E716E1">
        <w:rPr>
          <w:rFonts w:ascii="Bookman Old Style" w:eastAsia="Arial" w:hAnsi="Bookman Old Style" w:cs="Arial"/>
          <w:sz w:val="16"/>
          <w:szCs w:val="16"/>
          <w:lang w:val="en-US"/>
        </w:rPr>
        <w:t xml:space="preserve">. (2020). The Global Report on Food Crises 2020. </w:t>
      </w:r>
      <w:proofErr w:type="spellStart"/>
      <w:r w:rsidRPr="00E716E1">
        <w:rPr>
          <w:rFonts w:ascii="Bookman Old Style" w:eastAsia="Arial" w:hAnsi="Bookman Old Style" w:cs="Arial"/>
          <w:sz w:val="16"/>
          <w:szCs w:val="16"/>
          <w:lang w:val="en-US"/>
        </w:rPr>
        <w:t>Disponible</w:t>
      </w:r>
      <w:proofErr w:type="spellEnd"/>
      <w:r w:rsidRPr="00E716E1">
        <w:rPr>
          <w:rFonts w:ascii="Bookman Old Style" w:eastAsia="Arial" w:hAnsi="Bookman Old Style" w:cs="Arial"/>
          <w:sz w:val="16"/>
          <w:szCs w:val="16"/>
          <w:lang w:val="en-US"/>
        </w:rPr>
        <w:t xml:space="preserve"> </w:t>
      </w:r>
      <w:proofErr w:type="spellStart"/>
      <w:r w:rsidRPr="00E716E1">
        <w:rPr>
          <w:rFonts w:ascii="Bookman Old Style" w:eastAsia="Arial" w:hAnsi="Bookman Old Style" w:cs="Arial"/>
          <w:sz w:val="16"/>
          <w:szCs w:val="16"/>
          <w:lang w:val="en-US"/>
        </w:rPr>
        <w:t>en</w:t>
      </w:r>
      <w:proofErr w:type="spellEnd"/>
      <w:r w:rsidRPr="00E716E1">
        <w:rPr>
          <w:rFonts w:ascii="Bookman Old Style" w:eastAsia="Arial" w:hAnsi="Bookman Old Style" w:cs="Arial"/>
          <w:sz w:val="16"/>
          <w:szCs w:val="16"/>
          <w:lang w:val="en-US"/>
        </w:rPr>
        <w:t>:</w:t>
      </w:r>
      <w:r w:rsidR="005938E8">
        <w:rPr>
          <w:rFonts w:ascii="Bookman Old Style" w:eastAsia="Arial" w:hAnsi="Bookman Old Style" w:cs="Arial"/>
          <w:sz w:val="16"/>
          <w:szCs w:val="16"/>
          <w:lang w:val="en-US"/>
        </w:rPr>
        <w:t xml:space="preserve"> </w:t>
      </w:r>
      <w:r w:rsidRPr="00AD27B6">
        <w:rPr>
          <w:rFonts w:ascii="Bookman Old Style" w:eastAsia="Arial" w:hAnsi="Bookman Old Style" w:cs="Arial"/>
          <w:color w:val="000000"/>
          <w:sz w:val="16"/>
          <w:szCs w:val="16"/>
          <w:lang w:val="en-US"/>
        </w:rPr>
        <w:t>https://www.fsinplatform.org/sites/default/files/resources/files/GRFC_2020_ONLINE_200420.pdf</w:t>
      </w:r>
    </w:p>
  </w:footnote>
  <w:footnote w:id="3">
    <w:p w14:paraId="48DFC4AC" w14:textId="15853CBE" w:rsidR="00E5082E" w:rsidRPr="00E5082E" w:rsidRDefault="00E5082E" w:rsidP="00E5082E">
      <w:pPr>
        <w:pStyle w:val="Textonotapie"/>
        <w:jc w:val="both"/>
        <w:rPr>
          <w:rFonts w:ascii="Bookman Old Style" w:hAnsi="Bookman Old Style"/>
          <w:sz w:val="16"/>
          <w:szCs w:val="16"/>
          <w:lang w:val="es-ES"/>
        </w:rPr>
      </w:pPr>
      <w:r w:rsidRPr="00E5082E">
        <w:rPr>
          <w:rStyle w:val="Refdenotaalpie"/>
          <w:rFonts w:ascii="Bookman Old Style" w:hAnsi="Bookman Old Style"/>
          <w:sz w:val="16"/>
          <w:szCs w:val="16"/>
        </w:rPr>
        <w:footnoteRef/>
      </w:r>
      <w:r w:rsidR="005938E8">
        <w:rPr>
          <w:rFonts w:ascii="Bookman Old Style" w:hAnsi="Bookman Old Style"/>
          <w:sz w:val="16"/>
          <w:szCs w:val="16"/>
        </w:rPr>
        <w:t xml:space="preserve"> </w:t>
      </w:r>
      <w:r w:rsidRPr="00E5082E">
        <w:rPr>
          <w:rFonts w:ascii="Bookman Old Style" w:hAnsi="Bookman Old Style"/>
          <w:sz w:val="16"/>
          <w:szCs w:val="16"/>
        </w:rPr>
        <w:t>https://www.sica.int/noticias/155-millones-de-personas-en-el-mundo-se-encuentran-en-situacion-de-crisis-o-emergencia-alimentaria-segun-el-informe-mundial-de-crisis-alimentarias-2021-global-report-on-food-crises-2021_1_127184.html#:~:text=Portal%20del%20SICA,155%20millones%20de%20personas%20en%20el%20mundo%20se%20encuentran%20en,Report%20on%20Food%20Crises%202021)</w:t>
      </w:r>
    </w:p>
  </w:footnote>
  <w:footnote w:id="4">
    <w:p w14:paraId="4941B0BE" w14:textId="1A4EF257" w:rsidR="00AD27B6" w:rsidRPr="00E11D97" w:rsidRDefault="00AD27B6" w:rsidP="00AD27B6">
      <w:pPr>
        <w:pBdr>
          <w:top w:val="nil"/>
          <w:left w:val="nil"/>
          <w:bottom w:val="nil"/>
          <w:right w:val="nil"/>
          <w:between w:val="nil"/>
        </w:pBdr>
        <w:jc w:val="both"/>
        <w:rPr>
          <w:rFonts w:ascii="Bookman Old Style" w:eastAsia="Arial" w:hAnsi="Bookman Old Style" w:cs="Arial"/>
          <w:sz w:val="16"/>
          <w:szCs w:val="16"/>
        </w:rPr>
      </w:pPr>
      <w:r w:rsidRPr="00AD27B6">
        <w:rPr>
          <w:rFonts w:ascii="Bookman Old Style" w:hAnsi="Bookman Old Style"/>
          <w:sz w:val="16"/>
          <w:szCs w:val="16"/>
          <w:vertAlign w:val="superscript"/>
        </w:rPr>
        <w:footnoteRef/>
      </w:r>
      <w:r w:rsidRPr="00AD27B6">
        <w:rPr>
          <w:rFonts w:ascii="Bookman Old Style" w:eastAsia="Arial" w:hAnsi="Bookman Old Style" w:cs="Arial"/>
          <w:color w:val="000000"/>
          <w:sz w:val="16"/>
          <w:szCs w:val="16"/>
        </w:rPr>
        <w:t xml:space="preserve"> FAO. El estado de la seguridad alimentaria y la nutrición en el mundo. Protegerse frente a la desaceleración y el debilitamiento de la economía. 2019. Disponible </w:t>
      </w:r>
      <w:r w:rsidRPr="00E11D97">
        <w:rPr>
          <w:rFonts w:ascii="Bookman Old Style" w:eastAsia="Arial" w:hAnsi="Bookman Old Style" w:cs="Arial"/>
          <w:sz w:val="16"/>
          <w:szCs w:val="16"/>
        </w:rPr>
        <w:t xml:space="preserve">en: </w:t>
      </w:r>
      <w:r w:rsidRPr="00E11D97">
        <w:rPr>
          <w:rFonts w:ascii="Bookman Old Style" w:eastAsia="Arial" w:hAnsi="Bookman Old Style" w:cs="Arial"/>
          <w:sz w:val="16"/>
          <w:szCs w:val="16"/>
          <w:u w:val="single"/>
        </w:rPr>
        <w:t>http://www.fao.org/3/ca5162es/ca5162es.pdf</w:t>
      </w:r>
    </w:p>
  </w:footnote>
  <w:footnote w:id="5">
    <w:p w14:paraId="78263FB6" w14:textId="77777777" w:rsidR="00AD27B6" w:rsidRDefault="00AD27B6" w:rsidP="00AD27B6">
      <w:pPr>
        <w:pBdr>
          <w:top w:val="nil"/>
          <w:left w:val="nil"/>
          <w:bottom w:val="nil"/>
          <w:right w:val="nil"/>
          <w:between w:val="nil"/>
        </w:pBdr>
        <w:jc w:val="both"/>
        <w:rPr>
          <w:rFonts w:ascii="Arial" w:eastAsia="Arial" w:hAnsi="Arial" w:cs="Arial"/>
          <w:color w:val="000000"/>
          <w:sz w:val="20"/>
          <w:szCs w:val="20"/>
        </w:rPr>
      </w:pPr>
      <w:r w:rsidRPr="00E11D97">
        <w:rPr>
          <w:rFonts w:ascii="Bookman Old Style" w:hAnsi="Bookman Old Style"/>
          <w:sz w:val="16"/>
          <w:szCs w:val="16"/>
          <w:vertAlign w:val="superscript"/>
        </w:rPr>
        <w:footnoteRef/>
      </w:r>
      <w:r w:rsidRPr="00E11D97">
        <w:rPr>
          <w:rFonts w:ascii="Bookman Old Style" w:eastAsia="Arial" w:hAnsi="Bookman Old Style" w:cs="Arial"/>
          <w:sz w:val="16"/>
          <w:szCs w:val="16"/>
        </w:rPr>
        <w:t xml:space="preserve"> Instituto Colombiano de Bienestar Familiar, Instituto Nacional de Salud y Universidad Nacional de Colombia. Encuesta Nacional de Situación Nutricional. Bogotá, 2015.</w:t>
      </w:r>
    </w:p>
  </w:footnote>
  <w:footnote w:id="6">
    <w:p w14:paraId="6E672F63" w14:textId="77777777" w:rsidR="00AD27B6" w:rsidRPr="00AD27B6" w:rsidRDefault="00AD27B6" w:rsidP="00AD27B6">
      <w:pPr>
        <w:pBdr>
          <w:top w:val="nil"/>
          <w:left w:val="nil"/>
          <w:bottom w:val="nil"/>
          <w:right w:val="nil"/>
          <w:between w:val="nil"/>
        </w:pBdr>
        <w:jc w:val="both"/>
        <w:rPr>
          <w:rFonts w:ascii="Bookman Old Style" w:eastAsia="Arial" w:hAnsi="Bookman Old Style" w:cs="Arial"/>
          <w:color w:val="000000"/>
          <w:sz w:val="16"/>
          <w:szCs w:val="16"/>
        </w:rPr>
      </w:pPr>
      <w:r w:rsidRPr="00AD27B6">
        <w:rPr>
          <w:rFonts w:ascii="Bookman Old Style" w:hAnsi="Bookman Old Style"/>
          <w:sz w:val="16"/>
          <w:szCs w:val="16"/>
          <w:vertAlign w:val="superscript"/>
        </w:rPr>
        <w:footnoteRef/>
      </w:r>
      <w:r w:rsidRPr="00AD27B6">
        <w:rPr>
          <w:rFonts w:ascii="Bookman Old Style" w:eastAsia="Arial" w:hAnsi="Bookman Old Style" w:cs="Arial"/>
          <w:color w:val="000000"/>
          <w:sz w:val="16"/>
          <w:szCs w:val="16"/>
        </w:rPr>
        <w:t xml:space="preserve"> Ver: Velasco Cano, N., &amp; Llano, J. V. (2016). Derechos fundamentales: Un debate desde la argumentación jurídica, el garantismo y el comunitarismo. </w:t>
      </w:r>
      <w:proofErr w:type="spellStart"/>
      <w:r w:rsidRPr="00AD27B6">
        <w:rPr>
          <w:rFonts w:ascii="Bookman Old Style" w:eastAsia="Arial" w:hAnsi="Bookman Old Style" w:cs="Arial"/>
          <w:i/>
          <w:color w:val="000000"/>
          <w:sz w:val="16"/>
          <w:szCs w:val="16"/>
        </w:rPr>
        <w:t>Novum</w:t>
      </w:r>
      <w:proofErr w:type="spellEnd"/>
      <w:r w:rsidRPr="00AD27B6">
        <w:rPr>
          <w:rFonts w:ascii="Bookman Old Style" w:eastAsia="Arial" w:hAnsi="Bookman Old Style" w:cs="Arial"/>
          <w:i/>
          <w:color w:val="000000"/>
          <w:sz w:val="16"/>
          <w:szCs w:val="16"/>
        </w:rPr>
        <w:t xml:space="preserve"> </w:t>
      </w:r>
      <w:proofErr w:type="spellStart"/>
      <w:r w:rsidRPr="00AD27B6">
        <w:rPr>
          <w:rFonts w:ascii="Bookman Old Style" w:eastAsia="Arial" w:hAnsi="Bookman Old Style" w:cs="Arial"/>
          <w:i/>
          <w:color w:val="000000"/>
          <w:sz w:val="16"/>
          <w:szCs w:val="16"/>
        </w:rPr>
        <w:t>Jus</w:t>
      </w:r>
      <w:proofErr w:type="spellEnd"/>
      <w:r w:rsidRPr="00AD27B6">
        <w:rPr>
          <w:rFonts w:ascii="Bookman Old Style" w:eastAsia="Arial" w:hAnsi="Bookman Old Style" w:cs="Arial"/>
          <w:i/>
          <w:color w:val="000000"/>
          <w:sz w:val="16"/>
          <w:szCs w:val="16"/>
        </w:rPr>
        <w:t>: Revista Especializada en Sociología Jurídica y Política; Vol. 10, no. 2 (jul.-dic. 2016); p. 35-55</w:t>
      </w:r>
      <w:r w:rsidRPr="00AD27B6">
        <w:rPr>
          <w:rFonts w:ascii="Bookman Old Style" w:eastAsia="Arial" w:hAnsi="Bookman Old Style" w:cs="Arial"/>
          <w:color w:val="000000"/>
          <w:sz w:val="16"/>
          <w:szCs w:val="16"/>
        </w:rPr>
        <w:t>.</w:t>
      </w:r>
    </w:p>
  </w:footnote>
  <w:footnote w:id="7">
    <w:p w14:paraId="00CB097B" w14:textId="3697FDD7" w:rsidR="00AD27B6" w:rsidRPr="00E11D97" w:rsidRDefault="00AD27B6" w:rsidP="00AD27B6">
      <w:pPr>
        <w:pBdr>
          <w:top w:val="nil"/>
          <w:left w:val="nil"/>
          <w:bottom w:val="nil"/>
          <w:right w:val="nil"/>
          <w:between w:val="nil"/>
        </w:pBdr>
        <w:jc w:val="both"/>
        <w:rPr>
          <w:rFonts w:ascii="Bookman Old Style" w:eastAsia="Arial" w:hAnsi="Bookman Old Style" w:cs="Arial"/>
          <w:sz w:val="16"/>
          <w:szCs w:val="16"/>
        </w:rPr>
      </w:pPr>
      <w:r w:rsidRPr="00AD27B6">
        <w:rPr>
          <w:rFonts w:ascii="Bookman Old Style" w:hAnsi="Bookman Old Style"/>
          <w:sz w:val="16"/>
          <w:szCs w:val="16"/>
          <w:vertAlign w:val="superscript"/>
        </w:rPr>
        <w:footnoteRef/>
      </w:r>
      <w:r w:rsidRPr="00AD27B6">
        <w:rPr>
          <w:rFonts w:ascii="Bookman Old Style" w:eastAsia="Arial" w:hAnsi="Bookman Old Style" w:cs="Arial"/>
          <w:color w:val="000000"/>
          <w:sz w:val="16"/>
          <w:szCs w:val="16"/>
        </w:rPr>
        <w:t xml:space="preserve"> Ver: Gacetas del </w:t>
      </w:r>
      <w:r w:rsidRPr="00E11D97">
        <w:rPr>
          <w:rFonts w:ascii="Bookman Old Style" w:eastAsia="Arial" w:hAnsi="Bookman Old Style" w:cs="Arial"/>
          <w:sz w:val="16"/>
          <w:szCs w:val="16"/>
        </w:rPr>
        <w:t xml:space="preserve">Congreso </w:t>
      </w:r>
      <w:hyperlink r:id="rId1">
        <w:r w:rsidRPr="00E11D97">
          <w:rPr>
            <w:rFonts w:ascii="Bookman Old Style" w:eastAsia="Arial" w:hAnsi="Bookman Old Style" w:cs="Arial"/>
            <w:sz w:val="16"/>
            <w:szCs w:val="16"/>
            <w:u w:val="single"/>
          </w:rPr>
          <w:t>199/12</w:t>
        </w:r>
      </w:hyperlink>
      <w:r w:rsidRPr="00E11D97">
        <w:rPr>
          <w:rFonts w:ascii="Bookman Old Style" w:eastAsia="Arial" w:hAnsi="Bookman Old Style" w:cs="Arial"/>
          <w:sz w:val="16"/>
          <w:szCs w:val="16"/>
        </w:rPr>
        <w:t>,</w:t>
      </w:r>
      <w:hyperlink r:id="rId2">
        <w:r w:rsidRPr="00E11D97">
          <w:rPr>
            <w:rFonts w:ascii="Bookman Old Style" w:eastAsia="Arial" w:hAnsi="Bookman Old Style" w:cs="Arial"/>
            <w:sz w:val="16"/>
            <w:szCs w:val="16"/>
            <w:u w:val="single"/>
          </w:rPr>
          <w:t>254/12</w:t>
        </w:r>
      </w:hyperlink>
      <w:r w:rsidRPr="00E11D97">
        <w:rPr>
          <w:rFonts w:ascii="Bookman Old Style" w:eastAsia="Arial" w:hAnsi="Bookman Old Style" w:cs="Arial"/>
          <w:sz w:val="16"/>
          <w:szCs w:val="16"/>
        </w:rPr>
        <w:t xml:space="preserve">, </w:t>
      </w:r>
      <w:hyperlink r:id="rId3">
        <w:r w:rsidRPr="00E11D97">
          <w:rPr>
            <w:rFonts w:ascii="Bookman Old Style" w:eastAsia="Arial" w:hAnsi="Bookman Old Style" w:cs="Arial"/>
            <w:sz w:val="16"/>
            <w:szCs w:val="16"/>
            <w:u w:val="single"/>
          </w:rPr>
          <w:t>45/12, 199/12</w:t>
        </w:r>
      </w:hyperlink>
      <w:r w:rsidRPr="00E11D97">
        <w:rPr>
          <w:rFonts w:ascii="Bookman Old Style" w:eastAsia="Arial" w:hAnsi="Bookman Old Style" w:cs="Arial"/>
          <w:sz w:val="16"/>
          <w:szCs w:val="16"/>
        </w:rPr>
        <w:t xml:space="preserve">, </w:t>
      </w:r>
      <w:hyperlink r:id="rId4">
        <w:r w:rsidRPr="00E11D97">
          <w:rPr>
            <w:rFonts w:ascii="Bookman Old Style" w:eastAsia="Arial" w:hAnsi="Bookman Old Style" w:cs="Arial"/>
            <w:sz w:val="16"/>
            <w:szCs w:val="16"/>
            <w:u w:val="single"/>
          </w:rPr>
          <w:t>997/11, 63/12, 145/12</w:t>
        </w:r>
      </w:hyperlink>
      <w:r w:rsidRPr="00E11D97">
        <w:rPr>
          <w:rFonts w:ascii="Bookman Old Style" w:eastAsia="Arial" w:hAnsi="Bookman Old Style" w:cs="Arial"/>
          <w:sz w:val="16"/>
          <w:szCs w:val="16"/>
        </w:rPr>
        <w:t xml:space="preserve">, </w:t>
      </w:r>
      <w:hyperlink r:id="rId5">
        <w:r w:rsidRPr="00E11D97">
          <w:rPr>
            <w:rFonts w:ascii="Bookman Old Style" w:eastAsia="Arial" w:hAnsi="Bookman Old Style" w:cs="Arial"/>
            <w:sz w:val="16"/>
            <w:szCs w:val="16"/>
            <w:u w:val="single"/>
          </w:rPr>
          <w:t>958/11</w:t>
        </w:r>
      </w:hyperlink>
      <w:r w:rsidRPr="00E11D97">
        <w:rPr>
          <w:rFonts w:ascii="Bookman Old Style" w:eastAsia="Arial" w:hAnsi="Bookman Old Style" w:cs="Arial"/>
          <w:sz w:val="16"/>
          <w:szCs w:val="16"/>
        </w:rPr>
        <w:t xml:space="preserve">, </w:t>
      </w:r>
      <w:hyperlink r:id="rId6">
        <w:r w:rsidRPr="00E11D97">
          <w:rPr>
            <w:rFonts w:ascii="Bookman Old Style" w:eastAsia="Arial" w:hAnsi="Bookman Old Style" w:cs="Arial"/>
            <w:sz w:val="16"/>
            <w:szCs w:val="16"/>
            <w:u w:val="single"/>
          </w:rPr>
          <w:t>, 60/12</w:t>
        </w:r>
      </w:hyperlink>
      <w:r w:rsidRPr="00E11D97">
        <w:rPr>
          <w:rFonts w:ascii="Bookman Old Style" w:eastAsia="Arial" w:hAnsi="Bookman Old Style" w:cs="Arial"/>
          <w:sz w:val="16"/>
          <w:szCs w:val="16"/>
        </w:rPr>
        <w:t>,</w:t>
      </w:r>
      <w:hyperlink r:id="rId7">
        <w:r w:rsidRPr="00E11D97">
          <w:rPr>
            <w:rFonts w:ascii="Bookman Old Style" w:eastAsia="Arial" w:hAnsi="Bookman Old Style" w:cs="Arial"/>
            <w:sz w:val="16"/>
            <w:szCs w:val="16"/>
            <w:u w:val="single"/>
          </w:rPr>
          <w:t>908/11</w:t>
        </w:r>
      </w:hyperlink>
      <w:r w:rsidRPr="00E11D97">
        <w:rPr>
          <w:rFonts w:ascii="Bookman Old Style" w:eastAsia="Arial" w:hAnsi="Bookman Old Style" w:cs="Arial"/>
          <w:sz w:val="16"/>
          <w:szCs w:val="16"/>
        </w:rPr>
        <w:t>,</w:t>
      </w:r>
      <w:hyperlink r:id="rId8">
        <w:r w:rsidRPr="00E11D97">
          <w:rPr>
            <w:rFonts w:ascii="Bookman Old Style" w:eastAsia="Arial" w:hAnsi="Bookman Old Style" w:cs="Arial"/>
            <w:sz w:val="16"/>
            <w:szCs w:val="16"/>
            <w:u w:val="single"/>
          </w:rPr>
          <w:t>898/11, 908/11, 1013/11</w:t>
        </w:r>
      </w:hyperlink>
      <w:r w:rsidRPr="00E11D97">
        <w:rPr>
          <w:rFonts w:ascii="Bookman Old Style" w:eastAsia="Arial" w:hAnsi="Bookman Old Style" w:cs="Arial"/>
          <w:sz w:val="16"/>
          <w:szCs w:val="16"/>
        </w:rPr>
        <w:t xml:space="preserve">, </w:t>
      </w:r>
      <w:hyperlink r:id="rId9">
        <w:r w:rsidRPr="00E11D97">
          <w:rPr>
            <w:rFonts w:ascii="Bookman Old Style" w:eastAsia="Arial" w:hAnsi="Bookman Old Style" w:cs="Arial"/>
            <w:sz w:val="16"/>
            <w:szCs w:val="16"/>
            <w:u w:val="single"/>
          </w:rPr>
          <w:t>814/11</w:t>
        </w:r>
      </w:hyperlink>
      <w:r w:rsidRPr="00E11D97">
        <w:rPr>
          <w:rFonts w:ascii="Bookman Old Style" w:eastAsia="Arial" w:hAnsi="Bookman Old Style" w:cs="Arial"/>
          <w:sz w:val="16"/>
          <w:szCs w:val="16"/>
        </w:rPr>
        <w:t xml:space="preserve">, </w:t>
      </w:r>
      <w:hyperlink r:id="rId10">
        <w:r w:rsidRPr="00E11D97">
          <w:rPr>
            <w:rFonts w:ascii="Bookman Old Style" w:eastAsia="Arial" w:hAnsi="Bookman Old Style" w:cs="Arial"/>
            <w:sz w:val="16"/>
            <w:szCs w:val="16"/>
            <w:u w:val="single"/>
          </w:rPr>
          <w:t>705/11</w:t>
        </w:r>
      </w:hyperlink>
      <w:r w:rsidRPr="00E11D97">
        <w:rPr>
          <w:rFonts w:ascii="Bookman Old Style" w:eastAsia="Arial" w:hAnsi="Bookman Old Style" w:cs="Arial"/>
          <w:sz w:val="16"/>
          <w:szCs w:val="16"/>
        </w:rPr>
        <w:t xml:space="preserve">, </w:t>
      </w:r>
      <w:hyperlink r:id="rId11">
        <w:r w:rsidRPr="00E11D97">
          <w:rPr>
            <w:rFonts w:ascii="Bookman Old Style" w:eastAsia="Arial" w:hAnsi="Bookman Old Style" w:cs="Arial"/>
            <w:sz w:val="16"/>
            <w:szCs w:val="16"/>
            <w:u w:val="single"/>
          </w:rPr>
          <w:t>519/11, 585/11</w:t>
        </w:r>
      </w:hyperlink>
    </w:p>
  </w:footnote>
  <w:footnote w:id="8">
    <w:p w14:paraId="154A32D6" w14:textId="77777777" w:rsidR="00AD27B6" w:rsidRDefault="00AD27B6" w:rsidP="00AD27B6">
      <w:pPr>
        <w:pBdr>
          <w:top w:val="nil"/>
          <w:left w:val="nil"/>
          <w:bottom w:val="nil"/>
          <w:right w:val="nil"/>
          <w:between w:val="nil"/>
        </w:pBdr>
        <w:jc w:val="both"/>
        <w:rPr>
          <w:rFonts w:ascii="Arial" w:eastAsia="Arial" w:hAnsi="Arial" w:cs="Arial"/>
          <w:color w:val="0563C1"/>
          <w:sz w:val="20"/>
          <w:szCs w:val="20"/>
          <w:u w:val="single"/>
        </w:rPr>
      </w:pPr>
      <w:r w:rsidRPr="00E11D97">
        <w:rPr>
          <w:rFonts w:ascii="Bookman Old Style" w:hAnsi="Bookman Old Style"/>
          <w:sz w:val="16"/>
          <w:szCs w:val="16"/>
          <w:vertAlign w:val="superscript"/>
        </w:rPr>
        <w:footnoteRef/>
      </w:r>
      <w:r w:rsidRPr="00E11D97">
        <w:rPr>
          <w:rFonts w:ascii="Bookman Old Style" w:eastAsia="Arial" w:hAnsi="Bookman Old Style" w:cs="Arial"/>
          <w:sz w:val="16"/>
          <w:szCs w:val="16"/>
          <w:u w:val="single"/>
        </w:rPr>
        <w:t xml:space="preserve"> FIAN es la sigla de </w:t>
      </w:r>
      <w:proofErr w:type="spellStart"/>
      <w:r w:rsidRPr="00E11D97">
        <w:rPr>
          <w:rFonts w:ascii="Bookman Old Style" w:eastAsia="Arial" w:hAnsi="Bookman Old Style" w:cs="Arial"/>
          <w:sz w:val="16"/>
          <w:szCs w:val="16"/>
          <w:u w:val="single"/>
        </w:rPr>
        <w:t>Food</w:t>
      </w:r>
      <w:proofErr w:type="spellEnd"/>
      <w:r w:rsidRPr="00E11D97">
        <w:rPr>
          <w:rFonts w:ascii="Bookman Old Style" w:eastAsia="Arial" w:hAnsi="Bookman Old Style" w:cs="Arial"/>
          <w:sz w:val="16"/>
          <w:szCs w:val="16"/>
          <w:u w:val="single"/>
        </w:rPr>
        <w:t xml:space="preserve"> </w:t>
      </w:r>
      <w:proofErr w:type="spellStart"/>
      <w:r w:rsidRPr="00E11D97">
        <w:rPr>
          <w:rFonts w:ascii="Bookman Old Style" w:eastAsia="Arial" w:hAnsi="Bookman Old Style" w:cs="Arial"/>
          <w:sz w:val="16"/>
          <w:szCs w:val="16"/>
          <w:u w:val="single"/>
        </w:rPr>
        <w:t>First</w:t>
      </w:r>
      <w:proofErr w:type="spellEnd"/>
      <w:r w:rsidRPr="00E11D97">
        <w:rPr>
          <w:rFonts w:ascii="Bookman Old Style" w:eastAsia="Arial" w:hAnsi="Bookman Old Style" w:cs="Arial"/>
          <w:sz w:val="16"/>
          <w:szCs w:val="16"/>
          <w:u w:val="single"/>
        </w:rPr>
        <w:t xml:space="preserve"> </w:t>
      </w:r>
      <w:proofErr w:type="spellStart"/>
      <w:r w:rsidRPr="00E11D97">
        <w:rPr>
          <w:rFonts w:ascii="Bookman Old Style" w:eastAsia="Arial" w:hAnsi="Bookman Old Style" w:cs="Arial"/>
          <w:sz w:val="16"/>
          <w:szCs w:val="16"/>
          <w:u w:val="single"/>
        </w:rPr>
        <w:t>Action</w:t>
      </w:r>
      <w:proofErr w:type="spellEnd"/>
      <w:r w:rsidRPr="00E11D97">
        <w:rPr>
          <w:rFonts w:ascii="Bookman Old Style" w:eastAsia="Arial" w:hAnsi="Bookman Old Style" w:cs="Arial"/>
          <w:sz w:val="16"/>
          <w:szCs w:val="16"/>
          <w:u w:val="single"/>
        </w:rPr>
        <w:t xml:space="preserve"> Network, organización no gubernamental internacional con estatus consultivo ante Naciones Unidas. Ver: www.fian.org.</w:t>
      </w:r>
      <w:r w:rsidRPr="00E11D97">
        <w:rPr>
          <w:rFonts w:ascii="Arial" w:eastAsia="Arial" w:hAnsi="Arial" w:cs="Arial"/>
          <w:sz w:val="20"/>
          <w:szCs w:val="20"/>
          <w:u w:val="single"/>
        </w:rPr>
        <w:t xml:space="preserve"> </w:t>
      </w:r>
    </w:p>
  </w:footnote>
  <w:footnote w:id="9">
    <w:p w14:paraId="5A8CED6B" w14:textId="77777777" w:rsidR="00AD27B6" w:rsidRPr="00E11D97" w:rsidRDefault="00AD27B6" w:rsidP="00AD27B6">
      <w:pPr>
        <w:jc w:val="both"/>
        <w:rPr>
          <w:rFonts w:ascii="Bookman Old Style" w:eastAsia="Arial" w:hAnsi="Bookman Old Style" w:cs="Arial"/>
          <w:sz w:val="16"/>
          <w:szCs w:val="16"/>
        </w:rPr>
      </w:pPr>
      <w:r w:rsidRPr="00E11D97">
        <w:rPr>
          <w:rFonts w:ascii="Bookman Old Style" w:hAnsi="Bookman Old Style"/>
          <w:sz w:val="16"/>
          <w:szCs w:val="16"/>
          <w:vertAlign w:val="superscript"/>
        </w:rPr>
        <w:footnoteRef/>
      </w:r>
      <w:r w:rsidRPr="00E11D97">
        <w:rPr>
          <w:rFonts w:ascii="Bookman Old Style" w:eastAsia="Arial" w:hAnsi="Bookman Old Style" w:cs="Arial"/>
          <w:sz w:val="16"/>
          <w:szCs w:val="16"/>
        </w:rPr>
        <w:t xml:space="preserve"> Morales Juan Carlos y Carvajal Carolina. </w:t>
      </w:r>
      <w:r w:rsidRPr="00E11D97">
        <w:rPr>
          <w:rFonts w:ascii="Bookman Old Style" w:eastAsia="Arial" w:hAnsi="Bookman Old Style" w:cs="Arial"/>
          <w:i/>
          <w:sz w:val="16"/>
          <w:szCs w:val="16"/>
        </w:rPr>
        <w:t>Sin tierra, sin alimento y con el espejismo del agua represada: análisis de las violaciones del derecho humano a la alimentación y nutrición adecuadas en el caso del Proyecto Hidroeléctrico del Quimbo,</w:t>
      </w:r>
      <w:r w:rsidRPr="00E11D97">
        <w:rPr>
          <w:rFonts w:ascii="Bookman Old Style" w:eastAsia="Arial" w:hAnsi="Bookman Old Style" w:cs="Arial"/>
          <w:sz w:val="16"/>
          <w:szCs w:val="16"/>
        </w:rPr>
        <w:t xml:space="preserve"> 2020. FIAN Colombia (sin publicar).</w:t>
      </w:r>
    </w:p>
  </w:footnote>
  <w:footnote w:id="10">
    <w:p w14:paraId="6FD98F9F" w14:textId="77777777" w:rsidR="00AD27B6" w:rsidRPr="00AF33C0" w:rsidRDefault="00AD27B6" w:rsidP="00AD27B6">
      <w:pPr>
        <w:pBdr>
          <w:top w:val="nil"/>
          <w:left w:val="nil"/>
          <w:bottom w:val="nil"/>
          <w:right w:val="nil"/>
          <w:between w:val="nil"/>
        </w:pBdr>
        <w:jc w:val="both"/>
        <w:rPr>
          <w:rFonts w:ascii="Bookman Old Style" w:eastAsia="Arial" w:hAnsi="Bookman Old Style" w:cs="Arial"/>
          <w:color w:val="000000"/>
          <w:sz w:val="16"/>
          <w:szCs w:val="16"/>
        </w:rPr>
      </w:pPr>
      <w:r w:rsidRPr="00AF33C0">
        <w:rPr>
          <w:rFonts w:ascii="Bookman Old Style" w:hAnsi="Bookman Old Style"/>
          <w:sz w:val="16"/>
          <w:szCs w:val="16"/>
          <w:vertAlign w:val="superscript"/>
        </w:rPr>
        <w:footnoteRef/>
      </w:r>
      <w:r w:rsidRPr="00AF33C0">
        <w:rPr>
          <w:rFonts w:ascii="Bookman Old Style" w:eastAsia="Arial" w:hAnsi="Bookman Old Style" w:cs="Arial"/>
          <w:color w:val="000000"/>
          <w:sz w:val="16"/>
          <w:szCs w:val="16"/>
        </w:rPr>
        <w:t xml:space="preserve"> Asamblea General de las Naciones Unidas. Declaración sobre los derechos de los campesinos y de otras personas que trabajan en las zonas rurales. 2018. </w:t>
      </w:r>
      <w:r w:rsidRPr="00AF33C0">
        <w:rPr>
          <w:rFonts w:ascii="Bookman Old Style" w:hAnsi="Bookman Old Style"/>
          <w:color w:val="000000"/>
          <w:sz w:val="16"/>
          <w:szCs w:val="16"/>
        </w:rPr>
        <w:t>A/RES/73/165</w:t>
      </w:r>
      <w:r w:rsidRPr="00AF33C0">
        <w:rPr>
          <w:rFonts w:ascii="Bookman Old Style" w:eastAsia="Arial" w:hAnsi="Bookman Old Style" w:cs="Arial"/>
          <w:color w:val="000000"/>
          <w:sz w:val="16"/>
          <w:szCs w:val="16"/>
        </w:rPr>
        <w:t xml:space="preserve"> </w:t>
      </w:r>
    </w:p>
  </w:footnote>
  <w:footnote w:id="11">
    <w:p w14:paraId="0867B7E8" w14:textId="77777777" w:rsidR="00AD27B6" w:rsidRDefault="00AD27B6" w:rsidP="00AD27B6">
      <w:pPr>
        <w:pBdr>
          <w:top w:val="nil"/>
          <w:left w:val="nil"/>
          <w:bottom w:val="nil"/>
          <w:right w:val="nil"/>
          <w:between w:val="nil"/>
        </w:pBdr>
        <w:jc w:val="both"/>
        <w:rPr>
          <w:rFonts w:ascii="Arial" w:eastAsia="Arial" w:hAnsi="Arial" w:cs="Arial"/>
          <w:color w:val="000000"/>
          <w:sz w:val="20"/>
          <w:szCs w:val="20"/>
        </w:rPr>
      </w:pPr>
      <w:r w:rsidRPr="00AF33C0">
        <w:rPr>
          <w:rFonts w:ascii="Bookman Old Style" w:hAnsi="Bookman Old Style"/>
          <w:sz w:val="16"/>
          <w:szCs w:val="16"/>
          <w:vertAlign w:val="superscript"/>
        </w:rPr>
        <w:footnoteRef/>
      </w:r>
      <w:r w:rsidRPr="00AF33C0">
        <w:rPr>
          <w:rFonts w:ascii="Bookman Old Style" w:eastAsia="Arial" w:hAnsi="Bookman Old Style" w:cs="Arial"/>
          <w:color w:val="000000"/>
          <w:sz w:val="16"/>
          <w:szCs w:val="16"/>
        </w:rPr>
        <w:t xml:space="preserve"> CESCR. Observación General No.12. Documento E/C.12/1999/5</w:t>
      </w:r>
    </w:p>
  </w:footnote>
  <w:footnote w:id="12">
    <w:p w14:paraId="0E06FD8D" w14:textId="77777777" w:rsidR="00AD27B6" w:rsidRPr="00AF33C0" w:rsidRDefault="00AD27B6" w:rsidP="00AD27B6">
      <w:pPr>
        <w:pBdr>
          <w:top w:val="nil"/>
          <w:left w:val="nil"/>
          <w:bottom w:val="nil"/>
          <w:right w:val="nil"/>
          <w:between w:val="nil"/>
        </w:pBdr>
        <w:jc w:val="both"/>
        <w:rPr>
          <w:rFonts w:ascii="Bookman Old Style" w:eastAsia="Arial" w:hAnsi="Bookman Old Style" w:cs="Arial"/>
          <w:color w:val="000000"/>
          <w:sz w:val="16"/>
          <w:szCs w:val="16"/>
        </w:rPr>
      </w:pPr>
      <w:r w:rsidRPr="00AF33C0">
        <w:rPr>
          <w:rFonts w:ascii="Bookman Old Style" w:hAnsi="Bookman Old Style"/>
          <w:sz w:val="16"/>
          <w:szCs w:val="16"/>
          <w:vertAlign w:val="superscript"/>
        </w:rPr>
        <w:footnoteRef/>
      </w:r>
      <w:r w:rsidRPr="00AF33C0">
        <w:rPr>
          <w:rFonts w:ascii="Bookman Old Style" w:eastAsia="Arial" w:hAnsi="Bookman Old Style" w:cs="Arial"/>
          <w:color w:val="000000"/>
          <w:sz w:val="16"/>
          <w:szCs w:val="16"/>
        </w:rPr>
        <w:t xml:space="preserve"> </w:t>
      </w:r>
      <w:proofErr w:type="spellStart"/>
      <w:r w:rsidRPr="00AF33C0">
        <w:rPr>
          <w:rFonts w:ascii="Bookman Old Style" w:eastAsia="Arial" w:hAnsi="Bookman Old Style" w:cs="Arial"/>
          <w:color w:val="000000"/>
          <w:sz w:val="16"/>
          <w:szCs w:val="16"/>
        </w:rPr>
        <w:t>Íbidem</w:t>
      </w:r>
      <w:proofErr w:type="spellEnd"/>
      <w:r w:rsidRPr="00AF33C0">
        <w:rPr>
          <w:rFonts w:ascii="Bookman Old Style" w:eastAsia="Arial" w:hAnsi="Bookman Old Style" w:cs="Arial"/>
          <w:color w:val="000000"/>
          <w:sz w:val="16"/>
          <w:szCs w:val="16"/>
        </w:rPr>
        <w:t>. Párr. 4.</w:t>
      </w:r>
    </w:p>
  </w:footnote>
  <w:footnote w:id="13">
    <w:p w14:paraId="3D39BB87" w14:textId="77777777" w:rsidR="00AD27B6" w:rsidRPr="00AF33C0" w:rsidRDefault="00AD27B6" w:rsidP="00AD27B6">
      <w:pPr>
        <w:pBdr>
          <w:top w:val="nil"/>
          <w:left w:val="nil"/>
          <w:bottom w:val="nil"/>
          <w:right w:val="nil"/>
          <w:between w:val="nil"/>
        </w:pBdr>
        <w:jc w:val="both"/>
        <w:rPr>
          <w:rFonts w:ascii="Bookman Old Style" w:eastAsia="Arial" w:hAnsi="Bookman Old Style" w:cs="Arial"/>
          <w:color w:val="000000"/>
          <w:sz w:val="16"/>
          <w:szCs w:val="16"/>
        </w:rPr>
      </w:pPr>
      <w:r w:rsidRPr="00AF33C0">
        <w:rPr>
          <w:rFonts w:ascii="Bookman Old Style" w:hAnsi="Bookman Old Style"/>
          <w:sz w:val="16"/>
          <w:szCs w:val="16"/>
          <w:vertAlign w:val="superscript"/>
        </w:rPr>
        <w:footnoteRef/>
      </w:r>
      <w:r w:rsidRPr="00AF33C0">
        <w:rPr>
          <w:rFonts w:ascii="Bookman Old Style" w:eastAsia="Arial" w:hAnsi="Bookman Old Style" w:cs="Arial"/>
          <w:color w:val="000000"/>
          <w:sz w:val="16"/>
          <w:szCs w:val="16"/>
        </w:rPr>
        <w:t xml:space="preserve"> </w:t>
      </w:r>
      <w:proofErr w:type="spellStart"/>
      <w:r w:rsidRPr="00AF33C0">
        <w:rPr>
          <w:rFonts w:ascii="Bookman Old Style" w:eastAsia="Arial" w:hAnsi="Bookman Old Style" w:cs="Arial"/>
          <w:color w:val="000000"/>
          <w:sz w:val="16"/>
          <w:szCs w:val="16"/>
        </w:rPr>
        <w:t>Íbidem</w:t>
      </w:r>
      <w:proofErr w:type="spellEnd"/>
      <w:r w:rsidRPr="00AF33C0">
        <w:rPr>
          <w:rFonts w:ascii="Bookman Old Style" w:eastAsia="Arial" w:hAnsi="Bookman Old Style" w:cs="Arial"/>
          <w:color w:val="000000"/>
          <w:sz w:val="16"/>
          <w:szCs w:val="16"/>
        </w:rPr>
        <w:t>. Párr. 15</w:t>
      </w:r>
    </w:p>
  </w:footnote>
  <w:footnote w:id="14">
    <w:p w14:paraId="6ADBF173" w14:textId="77777777" w:rsidR="00AD27B6" w:rsidRDefault="00AD27B6" w:rsidP="00AD27B6">
      <w:pPr>
        <w:pBdr>
          <w:top w:val="nil"/>
          <w:left w:val="nil"/>
          <w:bottom w:val="nil"/>
          <w:right w:val="nil"/>
          <w:between w:val="nil"/>
        </w:pBdr>
        <w:jc w:val="both"/>
        <w:rPr>
          <w:rFonts w:ascii="Arial" w:eastAsia="Arial" w:hAnsi="Arial" w:cs="Arial"/>
          <w:color w:val="000000"/>
          <w:sz w:val="20"/>
          <w:szCs w:val="20"/>
        </w:rPr>
      </w:pPr>
      <w:r w:rsidRPr="00AF33C0">
        <w:rPr>
          <w:rFonts w:ascii="Bookman Old Style" w:hAnsi="Bookman Old Style"/>
          <w:sz w:val="16"/>
          <w:szCs w:val="16"/>
          <w:vertAlign w:val="superscript"/>
        </w:rPr>
        <w:footnoteRef/>
      </w:r>
      <w:r w:rsidRPr="00AF33C0">
        <w:rPr>
          <w:rFonts w:ascii="Bookman Old Style" w:eastAsia="Arial" w:hAnsi="Bookman Old Style" w:cs="Arial"/>
          <w:color w:val="000000"/>
          <w:sz w:val="16"/>
          <w:szCs w:val="16"/>
        </w:rPr>
        <w:t xml:space="preserve"> Consejo de Derechos Humanos. Asamblea General de Naciones Unidas. </w:t>
      </w:r>
      <w:proofErr w:type="spellStart"/>
      <w:r w:rsidRPr="00AF33C0">
        <w:rPr>
          <w:rFonts w:ascii="Bookman Old Style" w:eastAsia="Arial" w:hAnsi="Bookman Old Style" w:cs="Arial"/>
          <w:color w:val="000000"/>
          <w:sz w:val="16"/>
          <w:szCs w:val="16"/>
        </w:rPr>
        <w:t>lnforme</w:t>
      </w:r>
      <w:proofErr w:type="spellEnd"/>
      <w:r w:rsidRPr="00AF33C0">
        <w:rPr>
          <w:rFonts w:ascii="Bookman Old Style" w:eastAsia="Arial" w:hAnsi="Bookman Old Style" w:cs="Arial"/>
          <w:color w:val="000000"/>
          <w:sz w:val="16"/>
          <w:szCs w:val="16"/>
        </w:rPr>
        <w:t xml:space="preserve"> de la Relatora Especial sobre el derecho a la alimentación, </w:t>
      </w:r>
      <w:proofErr w:type="spellStart"/>
      <w:r w:rsidRPr="00AF33C0">
        <w:rPr>
          <w:rFonts w:ascii="Bookman Old Style" w:eastAsia="Arial" w:hAnsi="Bookman Old Style" w:cs="Arial"/>
          <w:color w:val="000000"/>
          <w:sz w:val="16"/>
          <w:szCs w:val="16"/>
        </w:rPr>
        <w:t>Hilal</w:t>
      </w:r>
      <w:proofErr w:type="spellEnd"/>
      <w:r w:rsidRPr="00AF33C0">
        <w:rPr>
          <w:rFonts w:ascii="Bookman Old Style" w:eastAsia="Arial" w:hAnsi="Bookman Old Style" w:cs="Arial"/>
          <w:color w:val="000000"/>
          <w:sz w:val="16"/>
          <w:szCs w:val="16"/>
        </w:rPr>
        <w:t xml:space="preserve"> </w:t>
      </w:r>
      <w:proofErr w:type="spellStart"/>
      <w:r w:rsidRPr="00AF33C0">
        <w:rPr>
          <w:rFonts w:ascii="Bookman Old Style" w:eastAsia="Arial" w:hAnsi="Bookman Old Style" w:cs="Arial"/>
          <w:color w:val="000000"/>
          <w:sz w:val="16"/>
          <w:szCs w:val="16"/>
        </w:rPr>
        <w:t>Elver</w:t>
      </w:r>
      <w:proofErr w:type="spellEnd"/>
      <w:r w:rsidRPr="00AF33C0">
        <w:rPr>
          <w:rFonts w:ascii="Bookman Old Style" w:eastAsia="Arial" w:hAnsi="Bookman Old Style" w:cs="Arial"/>
          <w:color w:val="000000"/>
          <w:sz w:val="16"/>
          <w:szCs w:val="16"/>
        </w:rPr>
        <w:t>. Perspectiva crítica de los sistemas alimentarios, las crisis alimentarias y el futuro del derecho a la alimentación 2020. A/HRC/43/44.</w:t>
      </w:r>
    </w:p>
  </w:footnote>
  <w:footnote w:id="15">
    <w:p w14:paraId="12CAA697" w14:textId="4379DE21" w:rsidR="00AD27B6" w:rsidRPr="00062587" w:rsidRDefault="00AD27B6" w:rsidP="00AD27B6">
      <w:pPr>
        <w:pBdr>
          <w:top w:val="nil"/>
          <w:left w:val="nil"/>
          <w:bottom w:val="nil"/>
          <w:right w:val="nil"/>
          <w:between w:val="nil"/>
        </w:pBdr>
        <w:jc w:val="both"/>
        <w:rPr>
          <w:rFonts w:ascii="Bookman Old Style" w:eastAsia="Arial" w:hAnsi="Bookman Old Style" w:cs="Arial"/>
          <w:color w:val="000000"/>
          <w:sz w:val="16"/>
          <w:szCs w:val="16"/>
        </w:rPr>
      </w:pPr>
      <w:r w:rsidRPr="00062587">
        <w:rPr>
          <w:rFonts w:ascii="Bookman Old Style" w:hAnsi="Bookman Old Style"/>
          <w:sz w:val="16"/>
          <w:szCs w:val="16"/>
          <w:vertAlign w:val="superscript"/>
        </w:rPr>
        <w:footnoteRef/>
      </w:r>
      <w:r w:rsidRPr="00062587">
        <w:rPr>
          <w:rFonts w:ascii="Bookman Old Style" w:eastAsia="Arial" w:hAnsi="Bookman Old Style" w:cs="Arial"/>
          <w:color w:val="000000"/>
          <w:sz w:val="16"/>
          <w:szCs w:val="16"/>
        </w:rPr>
        <w:t xml:space="preserve"> Ver </w:t>
      </w:r>
      <w:r w:rsidR="00062587">
        <w:rPr>
          <w:rFonts w:ascii="Bookman Old Style" w:eastAsia="Arial" w:hAnsi="Bookman Old Style" w:cs="Arial"/>
          <w:color w:val="000000"/>
          <w:sz w:val="16"/>
          <w:szCs w:val="16"/>
        </w:rPr>
        <w:t>S</w:t>
      </w:r>
      <w:r w:rsidRPr="00062587">
        <w:rPr>
          <w:rFonts w:ascii="Bookman Old Style" w:eastAsia="Arial" w:hAnsi="Bookman Old Style" w:cs="Arial"/>
          <w:color w:val="000000"/>
          <w:sz w:val="16"/>
          <w:szCs w:val="16"/>
        </w:rPr>
        <w:t>entencia T-029/2014 y T-302/2017</w:t>
      </w:r>
    </w:p>
  </w:footnote>
  <w:footnote w:id="16">
    <w:p w14:paraId="0365B238" w14:textId="354B6790" w:rsidR="00AD27B6" w:rsidRPr="00062587" w:rsidRDefault="00AD27B6" w:rsidP="00AD27B6">
      <w:pPr>
        <w:pBdr>
          <w:top w:val="nil"/>
          <w:left w:val="nil"/>
          <w:bottom w:val="nil"/>
          <w:right w:val="nil"/>
          <w:between w:val="nil"/>
        </w:pBdr>
        <w:jc w:val="both"/>
        <w:rPr>
          <w:rFonts w:ascii="Bookman Old Style" w:eastAsia="Arial" w:hAnsi="Bookman Old Style" w:cs="Arial"/>
          <w:color w:val="000000"/>
          <w:sz w:val="16"/>
          <w:szCs w:val="16"/>
        </w:rPr>
      </w:pPr>
      <w:r w:rsidRPr="00062587">
        <w:rPr>
          <w:rFonts w:ascii="Bookman Old Style" w:hAnsi="Bookman Old Style"/>
          <w:sz w:val="16"/>
          <w:szCs w:val="16"/>
          <w:vertAlign w:val="superscript"/>
        </w:rPr>
        <w:footnoteRef/>
      </w:r>
      <w:r w:rsidRPr="00062587">
        <w:rPr>
          <w:rFonts w:ascii="Bookman Old Style" w:eastAsia="Arial" w:hAnsi="Bookman Old Style" w:cs="Arial"/>
          <w:color w:val="000000"/>
          <w:sz w:val="16"/>
          <w:szCs w:val="16"/>
        </w:rPr>
        <w:t xml:space="preserve"> Ver sentencia T-273&lt;72014 y T-457/2018 sobre programa de alimentación escolar.</w:t>
      </w:r>
    </w:p>
  </w:footnote>
  <w:footnote w:id="17">
    <w:p w14:paraId="6F72CD22" w14:textId="77777777" w:rsidR="00AD27B6" w:rsidRPr="00062587" w:rsidRDefault="00AD27B6" w:rsidP="00AD27B6">
      <w:pPr>
        <w:pBdr>
          <w:top w:val="nil"/>
          <w:left w:val="nil"/>
          <w:bottom w:val="nil"/>
          <w:right w:val="nil"/>
          <w:between w:val="nil"/>
        </w:pBdr>
        <w:jc w:val="both"/>
        <w:rPr>
          <w:rFonts w:ascii="Bookman Old Style" w:eastAsia="Arial" w:hAnsi="Bookman Old Style" w:cs="Arial"/>
          <w:color w:val="000000"/>
          <w:sz w:val="16"/>
          <w:szCs w:val="16"/>
        </w:rPr>
      </w:pPr>
      <w:r w:rsidRPr="00062587">
        <w:rPr>
          <w:rFonts w:ascii="Bookman Old Style" w:hAnsi="Bookman Old Style"/>
          <w:sz w:val="16"/>
          <w:szCs w:val="16"/>
          <w:vertAlign w:val="superscript"/>
        </w:rPr>
        <w:footnoteRef/>
      </w:r>
      <w:r w:rsidRPr="00062587">
        <w:rPr>
          <w:rFonts w:ascii="Bookman Old Style" w:eastAsia="Arial" w:hAnsi="Bookman Old Style" w:cs="Arial"/>
          <w:color w:val="000000"/>
          <w:sz w:val="16"/>
          <w:szCs w:val="16"/>
        </w:rPr>
        <w:t xml:space="preserve"> Ver sentencias T-606/2015 sobre pescadores y T-622/2016 sobre comunidades negras del río Atrato.</w:t>
      </w:r>
    </w:p>
  </w:footnote>
  <w:footnote w:id="18">
    <w:p w14:paraId="2234736F" w14:textId="77777777" w:rsidR="00AD27B6" w:rsidRPr="00062587" w:rsidRDefault="00AD27B6" w:rsidP="00AD27B6">
      <w:pPr>
        <w:pBdr>
          <w:top w:val="nil"/>
          <w:left w:val="nil"/>
          <w:bottom w:val="nil"/>
          <w:right w:val="nil"/>
          <w:between w:val="nil"/>
        </w:pBdr>
        <w:jc w:val="both"/>
        <w:rPr>
          <w:rFonts w:ascii="Bookman Old Style" w:eastAsia="Arial" w:hAnsi="Bookman Old Style" w:cs="Arial"/>
          <w:color w:val="000000"/>
          <w:sz w:val="16"/>
          <w:szCs w:val="16"/>
        </w:rPr>
      </w:pPr>
      <w:r w:rsidRPr="00062587">
        <w:rPr>
          <w:rFonts w:ascii="Bookman Old Style" w:hAnsi="Bookman Old Style"/>
          <w:sz w:val="16"/>
          <w:szCs w:val="16"/>
          <w:vertAlign w:val="superscript"/>
        </w:rPr>
        <w:footnoteRef/>
      </w:r>
      <w:r w:rsidRPr="00062587">
        <w:rPr>
          <w:rFonts w:ascii="Bookman Old Style" w:eastAsia="Arial" w:hAnsi="Bookman Old Style" w:cs="Arial"/>
          <w:color w:val="000000"/>
          <w:sz w:val="16"/>
          <w:szCs w:val="16"/>
        </w:rPr>
        <w:t xml:space="preserve"> Ver sentencia T-367 de 2010</w:t>
      </w:r>
    </w:p>
  </w:footnote>
  <w:footnote w:id="19">
    <w:p w14:paraId="513D3A52" w14:textId="77777777" w:rsidR="00AD27B6" w:rsidRDefault="00AD27B6" w:rsidP="00AD27B6">
      <w:pPr>
        <w:pBdr>
          <w:top w:val="nil"/>
          <w:left w:val="nil"/>
          <w:bottom w:val="nil"/>
          <w:right w:val="nil"/>
          <w:between w:val="nil"/>
        </w:pBdr>
        <w:jc w:val="both"/>
        <w:rPr>
          <w:rFonts w:ascii="Arial" w:eastAsia="Arial" w:hAnsi="Arial" w:cs="Arial"/>
          <w:color w:val="000000"/>
          <w:sz w:val="20"/>
          <w:szCs w:val="20"/>
        </w:rPr>
      </w:pPr>
      <w:r w:rsidRPr="00062587">
        <w:rPr>
          <w:rFonts w:ascii="Bookman Old Style" w:hAnsi="Bookman Old Style"/>
          <w:sz w:val="16"/>
          <w:szCs w:val="16"/>
          <w:vertAlign w:val="superscript"/>
        </w:rPr>
        <w:footnoteRef/>
      </w:r>
      <w:r w:rsidRPr="00062587">
        <w:rPr>
          <w:rFonts w:ascii="Bookman Old Style" w:eastAsia="Arial" w:hAnsi="Bookman Old Style" w:cs="Arial"/>
          <w:color w:val="000000"/>
          <w:sz w:val="16"/>
          <w:szCs w:val="16"/>
        </w:rPr>
        <w:t xml:space="preserve"> Ver entre otras sentencias: T-388/2013, T-762/2015 y T-260/2019.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BF53B" w14:textId="77777777" w:rsidR="00C04E96" w:rsidRDefault="00C04E96">
    <w:pPr>
      <w:pBdr>
        <w:top w:val="nil"/>
        <w:left w:val="nil"/>
        <w:bottom w:val="nil"/>
        <w:right w:val="nil"/>
        <w:between w:val="nil"/>
      </w:pBdr>
      <w:rPr>
        <w:sz w:val="20"/>
        <w:szCs w:val="20"/>
      </w:rPr>
    </w:pPr>
    <w:r>
      <w:rPr>
        <w:noProof/>
      </w:rPr>
      <w:drawing>
        <wp:anchor distT="0" distB="0" distL="0" distR="0" simplePos="0" relativeHeight="251658240" behindDoc="0" locked="0" layoutInCell="1" allowOverlap="1" wp14:anchorId="1C17EB22" wp14:editId="5CA43098">
          <wp:simplePos x="0" y="0"/>
          <wp:positionH relativeFrom="margin">
            <wp:align>center</wp:align>
          </wp:positionH>
          <wp:positionV relativeFrom="paragraph">
            <wp:posOffset>-23854</wp:posOffset>
          </wp:positionV>
          <wp:extent cx="2200619" cy="647700"/>
          <wp:effectExtent l="0" t="0" r="9525" b="0"/>
          <wp:wrapSquare wrapText="bothSides" distT="0" distB="0" distL="0" distR="0"/>
          <wp:docPr id="8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00619" cy="647700"/>
                  </a:xfrm>
                  <a:prstGeom prst="rect">
                    <a:avLst/>
                  </a:prstGeom>
                  <a:ln/>
                </pic:spPr>
              </pic:pic>
            </a:graphicData>
          </a:graphic>
        </wp:anchor>
      </w:drawing>
    </w:r>
  </w:p>
  <w:p w14:paraId="7C4B91AD" w14:textId="77777777" w:rsidR="00C04E96" w:rsidRDefault="00C04E96">
    <w:pPr>
      <w:pBdr>
        <w:top w:val="nil"/>
        <w:left w:val="nil"/>
        <w:bottom w:val="nil"/>
        <w:right w:val="nil"/>
        <w:between w:val="nil"/>
      </w:pBdr>
      <w:rPr>
        <w:sz w:val="20"/>
        <w:szCs w:val="20"/>
      </w:rPr>
    </w:pPr>
  </w:p>
  <w:p w14:paraId="7A20915B" w14:textId="77777777" w:rsidR="00C04E96" w:rsidRDefault="00C04E96">
    <w:pPr>
      <w:pBdr>
        <w:top w:val="nil"/>
        <w:left w:val="nil"/>
        <w:bottom w:val="nil"/>
        <w:right w:val="nil"/>
        <w:between w:val="nil"/>
      </w:pBdr>
      <w:ind w:left="-1133"/>
      <w:rPr>
        <w:sz w:val="20"/>
        <w:szCs w:val="20"/>
      </w:rPr>
    </w:pPr>
  </w:p>
  <w:p w14:paraId="4E754578" w14:textId="77777777" w:rsidR="00C04E96" w:rsidRDefault="00C04E96">
    <w:pPr>
      <w:pBdr>
        <w:top w:val="nil"/>
        <w:left w:val="nil"/>
        <w:bottom w:val="nil"/>
        <w:right w:val="nil"/>
        <w:between w:val="nil"/>
      </w:pBdr>
      <w:rPr>
        <w:sz w:val="20"/>
        <w:szCs w:val="20"/>
      </w:rPr>
    </w:pPr>
  </w:p>
  <w:p w14:paraId="03F6FEB7" w14:textId="77777777" w:rsidR="00C04E96" w:rsidRDefault="00C04E9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1F8"/>
    <w:multiLevelType w:val="hybridMultilevel"/>
    <w:tmpl w:val="7E6A275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536D2"/>
    <w:multiLevelType w:val="hybridMultilevel"/>
    <w:tmpl w:val="B036A49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6FB76D0"/>
    <w:multiLevelType w:val="hybridMultilevel"/>
    <w:tmpl w:val="BBECE54C"/>
    <w:lvl w:ilvl="0" w:tplc="240A001B">
      <w:start w:val="1"/>
      <w:numFmt w:val="lowerRoman"/>
      <w:lvlText w:val="%1."/>
      <w:lvlJc w:val="right"/>
      <w:pPr>
        <w:ind w:left="1288" w:hanging="360"/>
      </w:pPr>
    </w:lvl>
    <w:lvl w:ilvl="1" w:tplc="240A0019" w:tentative="1">
      <w:start w:val="1"/>
      <w:numFmt w:val="lowerLetter"/>
      <w:lvlText w:val="%2."/>
      <w:lvlJc w:val="left"/>
      <w:pPr>
        <w:ind w:left="2008" w:hanging="360"/>
      </w:pPr>
    </w:lvl>
    <w:lvl w:ilvl="2" w:tplc="240A001B" w:tentative="1">
      <w:start w:val="1"/>
      <w:numFmt w:val="lowerRoman"/>
      <w:lvlText w:val="%3."/>
      <w:lvlJc w:val="right"/>
      <w:pPr>
        <w:ind w:left="2728" w:hanging="180"/>
      </w:pPr>
    </w:lvl>
    <w:lvl w:ilvl="3" w:tplc="240A000F" w:tentative="1">
      <w:start w:val="1"/>
      <w:numFmt w:val="decimal"/>
      <w:lvlText w:val="%4."/>
      <w:lvlJc w:val="left"/>
      <w:pPr>
        <w:ind w:left="3448" w:hanging="360"/>
      </w:pPr>
    </w:lvl>
    <w:lvl w:ilvl="4" w:tplc="240A0019" w:tentative="1">
      <w:start w:val="1"/>
      <w:numFmt w:val="lowerLetter"/>
      <w:lvlText w:val="%5."/>
      <w:lvlJc w:val="left"/>
      <w:pPr>
        <w:ind w:left="4168" w:hanging="360"/>
      </w:pPr>
    </w:lvl>
    <w:lvl w:ilvl="5" w:tplc="240A001B" w:tentative="1">
      <w:start w:val="1"/>
      <w:numFmt w:val="lowerRoman"/>
      <w:lvlText w:val="%6."/>
      <w:lvlJc w:val="right"/>
      <w:pPr>
        <w:ind w:left="4888" w:hanging="180"/>
      </w:pPr>
    </w:lvl>
    <w:lvl w:ilvl="6" w:tplc="240A000F" w:tentative="1">
      <w:start w:val="1"/>
      <w:numFmt w:val="decimal"/>
      <w:lvlText w:val="%7."/>
      <w:lvlJc w:val="left"/>
      <w:pPr>
        <w:ind w:left="5608" w:hanging="360"/>
      </w:pPr>
    </w:lvl>
    <w:lvl w:ilvl="7" w:tplc="240A0019" w:tentative="1">
      <w:start w:val="1"/>
      <w:numFmt w:val="lowerLetter"/>
      <w:lvlText w:val="%8."/>
      <w:lvlJc w:val="left"/>
      <w:pPr>
        <w:ind w:left="6328" w:hanging="360"/>
      </w:pPr>
    </w:lvl>
    <w:lvl w:ilvl="8" w:tplc="240A001B" w:tentative="1">
      <w:start w:val="1"/>
      <w:numFmt w:val="lowerRoman"/>
      <w:lvlText w:val="%9."/>
      <w:lvlJc w:val="right"/>
      <w:pPr>
        <w:ind w:left="7048" w:hanging="180"/>
      </w:pPr>
    </w:lvl>
  </w:abstractNum>
  <w:abstractNum w:abstractNumId="3" w15:restartNumberingAfterBreak="0">
    <w:nsid w:val="08AF5976"/>
    <w:multiLevelType w:val="hybridMultilevel"/>
    <w:tmpl w:val="B4885C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8FF52F2"/>
    <w:multiLevelType w:val="hybridMultilevel"/>
    <w:tmpl w:val="88D86D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B43425C"/>
    <w:multiLevelType w:val="hybridMultilevel"/>
    <w:tmpl w:val="C874BC4C"/>
    <w:lvl w:ilvl="0" w:tplc="D73A51B4">
      <w:start w:val="3"/>
      <w:numFmt w:val="bullet"/>
      <w:lvlText w:val=""/>
      <w:lvlJc w:val="left"/>
      <w:pPr>
        <w:ind w:left="720" w:hanging="360"/>
      </w:pPr>
      <w:rPr>
        <w:rFonts w:ascii="Symbol" w:eastAsiaTheme="minorHAnsi" w:hAnsi="Symbol" w:cstheme="minorBidi" w:hint="default"/>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C915990"/>
    <w:multiLevelType w:val="hybridMultilevel"/>
    <w:tmpl w:val="FCE22ACE"/>
    <w:lvl w:ilvl="0" w:tplc="D466FB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5F128B"/>
    <w:multiLevelType w:val="hybridMultilevel"/>
    <w:tmpl w:val="14FC4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EB20099"/>
    <w:multiLevelType w:val="hybridMultilevel"/>
    <w:tmpl w:val="4B485F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46B0DB7"/>
    <w:multiLevelType w:val="hybridMultilevel"/>
    <w:tmpl w:val="A4527A62"/>
    <w:lvl w:ilvl="0" w:tplc="C8142AC6">
      <w:numFmt w:val="bullet"/>
      <w:lvlText w:val="-"/>
      <w:lvlJc w:val="left"/>
      <w:pPr>
        <w:ind w:left="360" w:hanging="360"/>
      </w:pPr>
      <w:rPr>
        <w:rFonts w:ascii="Bookman Old Style" w:eastAsia="Calibri" w:hAnsi="Bookman Old Style"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5797F79"/>
    <w:multiLevelType w:val="hybridMultilevel"/>
    <w:tmpl w:val="5510A44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57B4E54"/>
    <w:multiLevelType w:val="multilevel"/>
    <w:tmpl w:val="5D1A38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18D735CF"/>
    <w:multiLevelType w:val="hybridMultilevel"/>
    <w:tmpl w:val="0082F0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8DA0818"/>
    <w:multiLevelType w:val="hybridMultilevel"/>
    <w:tmpl w:val="4AAC0A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CE24A0E"/>
    <w:multiLevelType w:val="multilevel"/>
    <w:tmpl w:val="8FBC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DD59C1"/>
    <w:multiLevelType w:val="hybridMultilevel"/>
    <w:tmpl w:val="1AEC536A"/>
    <w:lvl w:ilvl="0" w:tplc="B39E4A38">
      <w:numFmt w:val="bullet"/>
      <w:lvlText w:val="•"/>
      <w:lvlJc w:val="left"/>
      <w:pPr>
        <w:ind w:left="704" w:hanging="420"/>
      </w:pPr>
      <w:rPr>
        <w:rFonts w:ascii="Bookman Old Style" w:eastAsia="Times New Roman" w:hAnsi="Bookman Old Style" w:cs="Times New Roman"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6" w15:restartNumberingAfterBreak="0">
    <w:nsid w:val="1E6653E2"/>
    <w:multiLevelType w:val="hybridMultilevel"/>
    <w:tmpl w:val="E8C0A624"/>
    <w:lvl w:ilvl="0" w:tplc="F566E97C">
      <w:numFmt w:val="bullet"/>
      <w:lvlText w:val="-"/>
      <w:lvlJc w:val="left"/>
      <w:pPr>
        <w:ind w:left="720" w:hanging="360"/>
      </w:pPr>
      <w:rPr>
        <w:rFonts w:ascii="Calibri" w:eastAsia="Times New Roman"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204247E"/>
    <w:multiLevelType w:val="hybridMultilevel"/>
    <w:tmpl w:val="70EC83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24D2BED"/>
    <w:multiLevelType w:val="hybridMultilevel"/>
    <w:tmpl w:val="4A700DD8"/>
    <w:lvl w:ilvl="0" w:tplc="C8142AC6">
      <w:numFmt w:val="bullet"/>
      <w:lvlText w:val="-"/>
      <w:lvlJc w:val="left"/>
      <w:pPr>
        <w:ind w:left="720" w:hanging="360"/>
      </w:pPr>
      <w:rPr>
        <w:rFonts w:ascii="Bookman Old Style" w:eastAsia="Calibri" w:hAnsi="Bookman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8BF5725"/>
    <w:multiLevelType w:val="multilevel"/>
    <w:tmpl w:val="D680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A901F59"/>
    <w:multiLevelType w:val="hybridMultilevel"/>
    <w:tmpl w:val="8328F9D4"/>
    <w:lvl w:ilvl="0" w:tplc="C8142AC6">
      <w:numFmt w:val="bullet"/>
      <w:lvlText w:val="-"/>
      <w:lvlJc w:val="left"/>
      <w:pPr>
        <w:ind w:left="720" w:hanging="360"/>
      </w:pPr>
      <w:rPr>
        <w:rFonts w:ascii="Bookman Old Style" w:eastAsia="Calibri" w:hAnsi="Bookman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AFD62B7"/>
    <w:multiLevelType w:val="hybridMultilevel"/>
    <w:tmpl w:val="BD2E1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AF2F27"/>
    <w:multiLevelType w:val="hybridMultilevel"/>
    <w:tmpl w:val="2DBE18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8D15EE0"/>
    <w:multiLevelType w:val="multilevel"/>
    <w:tmpl w:val="D680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AB02AF4"/>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CD3CB1"/>
    <w:multiLevelType w:val="hybridMultilevel"/>
    <w:tmpl w:val="042C7F4C"/>
    <w:lvl w:ilvl="0" w:tplc="240A001B">
      <w:start w:val="1"/>
      <w:numFmt w:val="lowerRoman"/>
      <w:lvlText w:val="%1."/>
      <w:lvlJc w:val="righ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26900A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8C6255C"/>
    <w:multiLevelType w:val="multilevel"/>
    <w:tmpl w:val="F8D23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8E96444"/>
    <w:multiLevelType w:val="hybridMultilevel"/>
    <w:tmpl w:val="8EC498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9742DF9"/>
    <w:multiLevelType w:val="multilevel"/>
    <w:tmpl w:val="B3D4498A"/>
    <w:lvl w:ilvl="0">
      <w:start w:val="1"/>
      <w:numFmt w:val="bullet"/>
      <w:lvlText w:val="●"/>
      <w:lvlJc w:val="left"/>
      <w:pPr>
        <w:ind w:left="720" w:hanging="360"/>
      </w:pPr>
      <w:rPr>
        <w:rFonts w:ascii="Bookman Old Style" w:eastAsia="Noto Sans Symbols" w:hAnsi="Bookman Old Style" w:cs="Noto Sans Symbols" w:hint="default"/>
        <w:sz w:val="18"/>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AE90ED5"/>
    <w:multiLevelType w:val="hybridMultilevel"/>
    <w:tmpl w:val="53FA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A163B3"/>
    <w:multiLevelType w:val="hybridMultilevel"/>
    <w:tmpl w:val="2AC6709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33263A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8EB6951"/>
    <w:multiLevelType w:val="hybridMultilevel"/>
    <w:tmpl w:val="00C6F41A"/>
    <w:lvl w:ilvl="0" w:tplc="2F2023DC">
      <w:numFmt w:val="bullet"/>
      <w:lvlText w:val="-"/>
      <w:lvlJc w:val="left"/>
      <w:pPr>
        <w:ind w:left="720" w:hanging="360"/>
      </w:pPr>
      <w:rPr>
        <w:rFonts w:ascii="Bookman Old Style" w:eastAsia="Calibri" w:hAnsi="Bookman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8F16103"/>
    <w:multiLevelType w:val="hybridMultilevel"/>
    <w:tmpl w:val="D4DA2D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B021E58"/>
    <w:multiLevelType w:val="hybridMultilevel"/>
    <w:tmpl w:val="BDA03E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C5E5661"/>
    <w:multiLevelType w:val="multilevel"/>
    <w:tmpl w:val="3330453E"/>
    <w:lvl w:ilvl="0">
      <w:start w:val="1"/>
      <w:numFmt w:val="decimal"/>
      <w:lvlText w:val="%1."/>
      <w:lvlJc w:val="left"/>
      <w:pPr>
        <w:ind w:left="644" w:hanging="360"/>
      </w:pPr>
    </w:lvl>
    <w:lvl w:ilvl="1">
      <w:start w:val="1"/>
      <w:numFmt w:val="lowerLetter"/>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abstractNum w:abstractNumId="37" w15:restartNumberingAfterBreak="0">
    <w:nsid w:val="5DB77198"/>
    <w:multiLevelType w:val="hybridMultilevel"/>
    <w:tmpl w:val="6D56DDF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1D62AC5"/>
    <w:multiLevelType w:val="multilevel"/>
    <w:tmpl w:val="21B8F22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61F24752"/>
    <w:multiLevelType w:val="hybridMultilevel"/>
    <w:tmpl w:val="636A4B10"/>
    <w:lvl w:ilvl="0" w:tplc="0BAADA56">
      <w:start w:val="1"/>
      <w:numFmt w:val="lowerLetter"/>
      <w:lvlText w:val="%1)"/>
      <w:lvlJc w:val="left"/>
      <w:pPr>
        <w:ind w:left="786" w:hanging="360"/>
      </w:pPr>
      <w:rPr>
        <w:rFonts w:hint="default"/>
        <w:b w:val="0"/>
        <w:bCs/>
      </w:rPr>
    </w:lvl>
    <w:lvl w:ilvl="1" w:tplc="040A0019" w:tentative="1">
      <w:start w:val="1"/>
      <w:numFmt w:val="lowerLetter"/>
      <w:lvlText w:val="%2."/>
      <w:lvlJc w:val="left"/>
      <w:pPr>
        <w:ind w:left="1506" w:hanging="360"/>
      </w:pPr>
    </w:lvl>
    <w:lvl w:ilvl="2" w:tplc="040A001B" w:tentative="1">
      <w:start w:val="1"/>
      <w:numFmt w:val="lowerRoman"/>
      <w:lvlText w:val="%3."/>
      <w:lvlJc w:val="right"/>
      <w:pPr>
        <w:ind w:left="2226" w:hanging="180"/>
      </w:pPr>
    </w:lvl>
    <w:lvl w:ilvl="3" w:tplc="040A000F" w:tentative="1">
      <w:start w:val="1"/>
      <w:numFmt w:val="decimal"/>
      <w:lvlText w:val="%4."/>
      <w:lvlJc w:val="left"/>
      <w:pPr>
        <w:ind w:left="2946" w:hanging="360"/>
      </w:pPr>
    </w:lvl>
    <w:lvl w:ilvl="4" w:tplc="040A0019" w:tentative="1">
      <w:start w:val="1"/>
      <w:numFmt w:val="lowerLetter"/>
      <w:lvlText w:val="%5."/>
      <w:lvlJc w:val="left"/>
      <w:pPr>
        <w:ind w:left="3666" w:hanging="360"/>
      </w:pPr>
    </w:lvl>
    <w:lvl w:ilvl="5" w:tplc="040A001B" w:tentative="1">
      <w:start w:val="1"/>
      <w:numFmt w:val="lowerRoman"/>
      <w:lvlText w:val="%6."/>
      <w:lvlJc w:val="right"/>
      <w:pPr>
        <w:ind w:left="4386" w:hanging="180"/>
      </w:pPr>
    </w:lvl>
    <w:lvl w:ilvl="6" w:tplc="040A000F" w:tentative="1">
      <w:start w:val="1"/>
      <w:numFmt w:val="decimal"/>
      <w:lvlText w:val="%7."/>
      <w:lvlJc w:val="left"/>
      <w:pPr>
        <w:ind w:left="5106" w:hanging="360"/>
      </w:pPr>
    </w:lvl>
    <w:lvl w:ilvl="7" w:tplc="040A0019" w:tentative="1">
      <w:start w:val="1"/>
      <w:numFmt w:val="lowerLetter"/>
      <w:lvlText w:val="%8."/>
      <w:lvlJc w:val="left"/>
      <w:pPr>
        <w:ind w:left="5826" w:hanging="360"/>
      </w:pPr>
    </w:lvl>
    <w:lvl w:ilvl="8" w:tplc="040A001B" w:tentative="1">
      <w:start w:val="1"/>
      <w:numFmt w:val="lowerRoman"/>
      <w:lvlText w:val="%9."/>
      <w:lvlJc w:val="right"/>
      <w:pPr>
        <w:ind w:left="6546" w:hanging="180"/>
      </w:pPr>
    </w:lvl>
  </w:abstractNum>
  <w:abstractNum w:abstractNumId="40" w15:restartNumberingAfterBreak="0">
    <w:nsid w:val="63D115CE"/>
    <w:multiLevelType w:val="multilevel"/>
    <w:tmpl w:val="621C54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6455593A"/>
    <w:multiLevelType w:val="hybridMultilevel"/>
    <w:tmpl w:val="84BA7A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682A5C73"/>
    <w:multiLevelType w:val="hybridMultilevel"/>
    <w:tmpl w:val="020245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6F0F530B"/>
    <w:multiLevelType w:val="multilevel"/>
    <w:tmpl w:val="D680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F6A0764"/>
    <w:multiLevelType w:val="hybridMultilevel"/>
    <w:tmpl w:val="D2CA3C50"/>
    <w:lvl w:ilvl="0" w:tplc="4CD87B7C">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0997689"/>
    <w:multiLevelType w:val="hybridMultilevel"/>
    <w:tmpl w:val="7AD6C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89721F"/>
    <w:multiLevelType w:val="hybridMultilevel"/>
    <w:tmpl w:val="CB226F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D0E54F3"/>
    <w:multiLevelType w:val="hybridMultilevel"/>
    <w:tmpl w:val="72F20E4E"/>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19"/>
  </w:num>
  <w:num w:numId="2">
    <w:abstractNumId w:val="36"/>
  </w:num>
  <w:num w:numId="3">
    <w:abstractNumId w:val="32"/>
  </w:num>
  <w:num w:numId="4">
    <w:abstractNumId w:val="27"/>
  </w:num>
  <w:num w:numId="5">
    <w:abstractNumId w:val="12"/>
  </w:num>
  <w:num w:numId="6">
    <w:abstractNumId w:val="17"/>
  </w:num>
  <w:num w:numId="7">
    <w:abstractNumId w:val="7"/>
  </w:num>
  <w:num w:numId="8">
    <w:abstractNumId w:val="35"/>
  </w:num>
  <w:num w:numId="9">
    <w:abstractNumId w:val="0"/>
  </w:num>
  <w:num w:numId="10">
    <w:abstractNumId w:val="4"/>
  </w:num>
  <w:num w:numId="11">
    <w:abstractNumId w:val="31"/>
  </w:num>
  <w:num w:numId="12">
    <w:abstractNumId w:val="43"/>
  </w:num>
  <w:num w:numId="13">
    <w:abstractNumId w:val="23"/>
  </w:num>
  <w:num w:numId="14">
    <w:abstractNumId w:val="22"/>
  </w:num>
  <w:num w:numId="15">
    <w:abstractNumId w:val="5"/>
  </w:num>
  <w:num w:numId="16">
    <w:abstractNumId w:val="14"/>
  </w:num>
  <w:num w:numId="17">
    <w:abstractNumId w:val="42"/>
  </w:num>
  <w:num w:numId="18">
    <w:abstractNumId w:val="46"/>
  </w:num>
  <w:num w:numId="19">
    <w:abstractNumId w:val="28"/>
  </w:num>
  <w:num w:numId="20">
    <w:abstractNumId w:val="24"/>
  </w:num>
  <w:num w:numId="21">
    <w:abstractNumId w:val="16"/>
  </w:num>
  <w:num w:numId="22">
    <w:abstractNumId w:val="18"/>
  </w:num>
  <w:num w:numId="23">
    <w:abstractNumId w:val="3"/>
  </w:num>
  <w:num w:numId="24">
    <w:abstractNumId w:val="33"/>
  </w:num>
  <w:num w:numId="25">
    <w:abstractNumId w:val="47"/>
  </w:num>
  <w:num w:numId="26">
    <w:abstractNumId w:val="1"/>
  </w:num>
  <w:num w:numId="27">
    <w:abstractNumId w:val="41"/>
  </w:num>
  <w:num w:numId="28">
    <w:abstractNumId w:val="9"/>
  </w:num>
  <w:num w:numId="29">
    <w:abstractNumId w:val="20"/>
  </w:num>
  <w:num w:numId="30">
    <w:abstractNumId w:val="15"/>
  </w:num>
  <w:num w:numId="31">
    <w:abstractNumId w:val="13"/>
  </w:num>
  <w:num w:numId="32">
    <w:abstractNumId w:val="10"/>
  </w:num>
  <w:num w:numId="33">
    <w:abstractNumId w:val="44"/>
  </w:num>
  <w:num w:numId="34">
    <w:abstractNumId w:val="37"/>
  </w:num>
  <w:num w:numId="35">
    <w:abstractNumId w:val="26"/>
  </w:num>
  <w:num w:numId="36">
    <w:abstractNumId w:val="30"/>
  </w:num>
  <w:num w:numId="37">
    <w:abstractNumId w:val="2"/>
  </w:num>
  <w:num w:numId="38">
    <w:abstractNumId w:val="25"/>
  </w:num>
  <w:num w:numId="39">
    <w:abstractNumId w:val="45"/>
  </w:num>
  <w:num w:numId="40">
    <w:abstractNumId w:val="21"/>
  </w:num>
  <w:num w:numId="41">
    <w:abstractNumId w:val="29"/>
  </w:num>
  <w:num w:numId="42">
    <w:abstractNumId w:val="8"/>
  </w:num>
  <w:num w:numId="43">
    <w:abstractNumId w:val="6"/>
  </w:num>
  <w:num w:numId="44">
    <w:abstractNumId w:val="40"/>
  </w:num>
  <w:num w:numId="45">
    <w:abstractNumId w:val="38"/>
  </w:num>
  <w:num w:numId="46">
    <w:abstractNumId w:val="11"/>
  </w:num>
  <w:num w:numId="47">
    <w:abstractNumId w:val="39"/>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1CA"/>
    <w:rsid w:val="000046EF"/>
    <w:rsid w:val="0000563C"/>
    <w:rsid w:val="00005C61"/>
    <w:rsid w:val="00011ACE"/>
    <w:rsid w:val="00014056"/>
    <w:rsid w:val="000162F9"/>
    <w:rsid w:val="000270BE"/>
    <w:rsid w:val="00040D46"/>
    <w:rsid w:val="00042193"/>
    <w:rsid w:val="00046119"/>
    <w:rsid w:val="000512D5"/>
    <w:rsid w:val="00052783"/>
    <w:rsid w:val="00052A0B"/>
    <w:rsid w:val="0005414D"/>
    <w:rsid w:val="00062587"/>
    <w:rsid w:val="0006298F"/>
    <w:rsid w:val="000630CE"/>
    <w:rsid w:val="00065154"/>
    <w:rsid w:val="000722E4"/>
    <w:rsid w:val="000735F7"/>
    <w:rsid w:val="00076CAE"/>
    <w:rsid w:val="00077ACA"/>
    <w:rsid w:val="0008764E"/>
    <w:rsid w:val="00094288"/>
    <w:rsid w:val="000A0C3F"/>
    <w:rsid w:val="000A1BE0"/>
    <w:rsid w:val="000A2331"/>
    <w:rsid w:val="000B09F5"/>
    <w:rsid w:val="000B0FBF"/>
    <w:rsid w:val="000B2201"/>
    <w:rsid w:val="000B60A8"/>
    <w:rsid w:val="000C1A6A"/>
    <w:rsid w:val="000C7D93"/>
    <w:rsid w:val="000D695E"/>
    <w:rsid w:val="000E4706"/>
    <w:rsid w:val="000F026E"/>
    <w:rsid w:val="000F230B"/>
    <w:rsid w:val="000F6DEA"/>
    <w:rsid w:val="000F7EA5"/>
    <w:rsid w:val="0010074B"/>
    <w:rsid w:val="00101F36"/>
    <w:rsid w:val="0010392A"/>
    <w:rsid w:val="001044CA"/>
    <w:rsid w:val="00105026"/>
    <w:rsid w:val="00107C2A"/>
    <w:rsid w:val="00111B26"/>
    <w:rsid w:val="00114B56"/>
    <w:rsid w:val="00114CF9"/>
    <w:rsid w:val="001207C8"/>
    <w:rsid w:val="00123065"/>
    <w:rsid w:val="0012331A"/>
    <w:rsid w:val="001239FE"/>
    <w:rsid w:val="0013321A"/>
    <w:rsid w:val="001339FE"/>
    <w:rsid w:val="00141696"/>
    <w:rsid w:val="00145FCB"/>
    <w:rsid w:val="00150D77"/>
    <w:rsid w:val="00153ABB"/>
    <w:rsid w:val="00157A02"/>
    <w:rsid w:val="00157FAD"/>
    <w:rsid w:val="001600E5"/>
    <w:rsid w:val="001610AF"/>
    <w:rsid w:val="00165E31"/>
    <w:rsid w:val="001669E7"/>
    <w:rsid w:val="00167B87"/>
    <w:rsid w:val="00170353"/>
    <w:rsid w:val="00172842"/>
    <w:rsid w:val="00176820"/>
    <w:rsid w:val="00177B55"/>
    <w:rsid w:val="00181D6F"/>
    <w:rsid w:val="001A4AA6"/>
    <w:rsid w:val="001A51DC"/>
    <w:rsid w:val="001B1C71"/>
    <w:rsid w:val="001B4F33"/>
    <w:rsid w:val="001C6197"/>
    <w:rsid w:val="001C7182"/>
    <w:rsid w:val="001C7E8C"/>
    <w:rsid w:val="001D0620"/>
    <w:rsid w:val="001D3C09"/>
    <w:rsid w:val="001D40DA"/>
    <w:rsid w:val="001D665B"/>
    <w:rsid w:val="001E18FE"/>
    <w:rsid w:val="001E3462"/>
    <w:rsid w:val="001E3746"/>
    <w:rsid w:val="001E4F39"/>
    <w:rsid w:val="001E7A73"/>
    <w:rsid w:val="001F1D61"/>
    <w:rsid w:val="00201497"/>
    <w:rsid w:val="0020374C"/>
    <w:rsid w:val="0020530C"/>
    <w:rsid w:val="00205F20"/>
    <w:rsid w:val="0020675D"/>
    <w:rsid w:val="00212908"/>
    <w:rsid w:val="00216F89"/>
    <w:rsid w:val="00217CCE"/>
    <w:rsid w:val="00221308"/>
    <w:rsid w:val="00226CBA"/>
    <w:rsid w:val="00227788"/>
    <w:rsid w:val="00233318"/>
    <w:rsid w:val="0023556E"/>
    <w:rsid w:val="002357C7"/>
    <w:rsid w:val="00241DE6"/>
    <w:rsid w:val="00243376"/>
    <w:rsid w:val="00246DEE"/>
    <w:rsid w:val="00251DA4"/>
    <w:rsid w:val="00254DDC"/>
    <w:rsid w:val="002566D0"/>
    <w:rsid w:val="002604DB"/>
    <w:rsid w:val="00265ECD"/>
    <w:rsid w:val="002667F2"/>
    <w:rsid w:val="00267BD5"/>
    <w:rsid w:val="002722F9"/>
    <w:rsid w:val="00273E46"/>
    <w:rsid w:val="0027789D"/>
    <w:rsid w:val="002801C2"/>
    <w:rsid w:val="00282F87"/>
    <w:rsid w:val="00283F81"/>
    <w:rsid w:val="00286901"/>
    <w:rsid w:val="00286FA3"/>
    <w:rsid w:val="00291DEF"/>
    <w:rsid w:val="002921B3"/>
    <w:rsid w:val="0029353A"/>
    <w:rsid w:val="002B0DF0"/>
    <w:rsid w:val="002B11D9"/>
    <w:rsid w:val="002B1845"/>
    <w:rsid w:val="002B237E"/>
    <w:rsid w:val="002B31F4"/>
    <w:rsid w:val="002B406E"/>
    <w:rsid w:val="002B66B2"/>
    <w:rsid w:val="002B6B8C"/>
    <w:rsid w:val="002C24BA"/>
    <w:rsid w:val="002D3A46"/>
    <w:rsid w:val="002E0C5F"/>
    <w:rsid w:val="002E130A"/>
    <w:rsid w:val="002E290A"/>
    <w:rsid w:val="002E341B"/>
    <w:rsid w:val="002E6292"/>
    <w:rsid w:val="002F0580"/>
    <w:rsid w:val="002F4AFF"/>
    <w:rsid w:val="002F5A1E"/>
    <w:rsid w:val="002F6C67"/>
    <w:rsid w:val="002F7282"/>
    <w:rsid w:val="0030440D"/>
    <w:rsid w:val="0030792C"/>
    <w:rsid w:val="0031300C"/>
    <w:rsid w:val="00331601"/>
    <w:rsid w:val="00334B2E"/>
    <w:rsid w:val="00347F08"/>
    <w:rsid w:val="0035640A"/>
    <w:rsid w:val="00360CAA"/>
    <w:rsid w:val="0036234C"/>
    <w:rsid w:val="0036381C"/>
    <w:rsid w:val="00364A84"/>
    <w:rsid w:val="00366E17"/>
    <w:rsid w:val="00374D1A"/>
    <w:rsid w:val="003860F8"/>
    <w:rsid w:val="003A0C32"/>
    <w:rsid w:val="003B66B7"/>
    <w:rsid w:val="003B7E6E"/>
    <w:rsid w:val="003C1F07"/>
    <w:rsid w:val="003D75D6"/>
    <w:rsid w:val="003E0039"/>
    <w:rsid w:val="003E1722"/>
    <w:rsid w:val="003E1ACA"/>
    <w:rsid w:val="003E6C6A"/>
    <w:rsid w:val="003F4FE8"/>
    <w:rsid w:val="003F5182"/>
    <w:rsid w:val="003F6420"/>
    <w:rsid w:val="003F6492"/>
    <w:rsid w:val="003F7B12"/>
    <w:rsid w:val="00404730"/>
    <w:rsid w:val="00407458"/>
    <w:rsid w:val="00407EBA"/>
    <w:rsid w:val="00413FBA"/>
    <w:rsid w:val="0041471B"/>
    <w:rsid w:val="004151CA"/>
    <w:rsid w:val="00422FC6"/>
    <w:rsid w:val="00440DC4"/>
    <w:rsid w:val="00444E3F"/>
    <w:rsid w:val="00451771"/>
    <w:rsid w:val="00452196"/>
    <w:rsid w:val="004561C0"/>
    <w:rsid w:val="00464CCE"/>
    <w:rsid w:val="00466547"/>
    <w:rsid w:val="00467F87"/>
    <w:rsid w:val="00470A0B"/>
    <w:rsid w:val="00470AE7"/>
    <w:rsid w:val="00474C2B"/>
    <w:rsid w:val="00475543"/>
    <w:rsid w:val="004762E0"/>
    <w:rsid w:val="0048234F"/>
    <w:rsid w:val="00484D81"/>
    <w:rsid w:val="00485B08"/>
    <w:rsid w:val="004869B9"/>
    <w:rsid w:val="0048735C"/>
    <w:rsid w:val="004920BC"/>
    <w:rsid w:val="00497D15"/>
    <w:rsid w:val="004A0B24"/>
    <w:rsid w:val="004A7291"/>
    <w:rsid w:val="004B07EF"/>
    <w:rsid w:val="004C1887"/>
    <w:rsid w:val="004C6694"/>
    <w:rsid w:val="004D0A44"/>
    <w:rsid w:val="004D515A"/>
    <w:rsid w:val="004E207C"/>
    <w:rsid w:val="004E2D40"/>
    <w:rsid w:val="004E5548"/>
    <w:rsid w:val="004E6155"/>
    <w:rsid w:val="004F34EA"/>
    <w:rsid w:val="004F37BA"/>
    <w:rsid w:val="004F4302"/>
    <w:rsid w:val="004F57D0"/>
    <w:rsid w:val="004F666C"/>
    <w:rsid w:val="00500B87"/>
    <w:rsid w:val="00507BF9"/>
    <w:rsid w:val="00507DF0"/>
    <w:rsid w:val="00510F82"/>
    <w:rsid w:val="00513841"/>
    <w:rsid w:val="0051582D"/>
    <w:rsid w:val="00515AAA"/>
    <w:rsid w:val="00515FBE"/>
    <w:rsid w:val="0051681E"/>
    <w:rsid w:val="00517032"/>
    <w:rsid w:val="00521561"/>
    <w:rsid w:val="00522AEF"/>
    <w:rsid w:val="0052377B"/>
    <w:rsid w:val="00523C6F"/>
    <w:rsid w:val="00524AF4"/>
    <w:rsid w:val="00527D33"/>
    <w:rsid w:val="00530DC4"/>
    <w:rsid w:val="0053508D"/>
    <w:rsid w:val="0053597B"/>
    <w:rsid w:val="00537196"/>
    <w:rsid w:val="00537748"/>
    <w:rsid w:val="00543204"/>
    <w:rsid w:val="00546AD7"/>
    <w:rsid w:val="0055232E"/>
    <w:rsid w:val="005614AC"/>
    <w:rsid w:val="005647AE"/>
    <w:rsid w:val="00565530"/>
    <w:rsid w:val="00566088"/>
    <w:rsid w:val="00566B76"/>
    <w:rsid w:val="0058171F"/>
    <w:rsid w:val="00582C8C"/>
    <w:rsid w:val="00590D4F"/>
    <w:rsid w:val="0059124F"/>
    <w:rsid w:val="00591595"/>
    <w:rsid w:val="0059231F"/>
    <w:rsid w:val="005938E8"/>
    <w:rsid w:val="005947A7"/>
    <w:rsid w:val="00596B89"/>
    <w:rsid w:val="00597B4D"/>
    <w:rsid w:val="005A0028"/>
    <w:rsid w:val="005A1EE1"/>
    <w:rsid w:val="005A2DD7"/>
    <w:rsid w:val="005A42C0"/>
    <w:rsid w:val="005A581B"/>
    <w:rsid w:val="005A693D"/>
    <w:rsid w:val="005B214D"/>
    <w:rsid w:val="005B302D"/>
    <w:rsid w:val="005B5606"/>
    <w:rsid w:val="005B598C"/>
    <w:rsid w:val="005B5FC0"/>
    <w:rsid w:val="005B76C1"/>
    <w:rsid w:val="005C5218"/>
    <w:rsid w:val="005D0EC2"/>
    <w:rsid w:val="005D2978"/>
    <w:rsid w:val="005D4361"/>
    <w:rsid w:val="005D43AE"/>
    <w:rsid w:val="005D6452"/>
    <w:rsid w:val="005E1CCC"/>
    <w:rsid w:val="005E2983"/>
    <w:rsid w:val="005E5489"/>
    <w:rsid w:val="005F3882"/>
    <w:rsid w:val="005F39A4"/>
    <w:rsid w:val="005F6149"/>
    <w:rsid w:val="00604B59"/>
    <w:rsid w:val="00604EFF"/>
    <w:rsid w:val="0060522E"/>
    <w:rsid w:val="0061072A"/>
    <w:rsid w:val="006127F0"/>
    <w:rsid w:val="0061336F"/>
    <w:rsid w:val="0061619A"/>
    <w:rsid w:val="006163DA"/>
    <w:rsid w:val="0061646A"/>
    <w:rsid w:val="00616FE2"/>
    <w:rsid w:val="00621929"/>
    <w:rsid w:val="00623A7D"/>
    <w:rsid w:val="00631E18"/>
    <w:rsid w:val="00635E45"/>
    <w:rsid w:val="00641104"/>
    <w:rsid w:val="00642B4D"/>
    <w:rsid w:val="006430E7"/>
    <w:rsid w:val="00644E30"/>
    <w:rsid w:val="00647748"/>
    <w:rsid w:val="00650B75"/>
    <w:rsid w:val="00651345"/>
    <w:rsid w:val="006533F9"/>
    <w:rsid w:val="0065417F"/>
    <w:rsid w:val="00670E79"/>
    <w:rsid w:val="00670F1C"/>
    <w:rsid w:val="00671451"/>
    <w:rsid w:val="00673F79"/>
    <w:rsid w:val="006816C1"/>
    <w:rsid w:val="00685DCD"/>
    <w:rsid w:val="006905C7"/>
    <w:rsid w:val="00693E72"/>
    <w:rsid w:val="006A4844"/>
    <w:rsid w:val="006A4C6D"/>
    <w:rsid w:val="006B01C7"/>
    <w:rsid w:val="006B08D4"/>
    <w:rsid w:val="006B4855"/>
    <w:rsid w:val="006B5396"/>
    <w:rsid w:val="006B558E"/>
    <w:rsid w:val="006B572D"/>
    <w:rsid w:val="006C0501"/>
    <w:rsid w:val="006C75A9"/>
    <w:rsid w:val="006D04A0"/>
    <w:rsid w:val="006E0162"/>
    <w:rsid w:val="006E2F1E"/>
    <w:rsid w:val="006E36F8"/>
    <w:rsid w:val="006F1A50"/>
    <w:rsid w:val="00700900"/>
    <w:rsid w:val="00701F81"/>
    <w:rsid w:val="007039DA"/>
    <w:rsid w:val="00706B77"/>
    <w:rsid w:val="00710A07"/>
    <w:rsid w:val="00726850"/>
    <w:rsid w:val="00731C8C"/>
    <w:rsid w:val="007450AC"/>
    <w:rsid w:val="007457F0"/>
    <w:rsid w:val="00750120"/>
    <w:rsid w:val="00753C73"/>
    <w:rsid w:val="007570F5"/>
    <w:rsid w:val="007625A8"/>
    <w:rsid w:val="00767B0B"/>
    <w:rsid w:val="00773D52"/>
    <w:rsid w:val="00774D1B"/>
    <w:rsid w:val="00777581"/>
    <w:rsid w:val="00780580"/>
    <w:rsid w:val="007840E2"/>
    <w:rsid w:val="00787B1D"/>
    <w:rsid w:val="007946CC"/>
    <w:rsid w:val="0079491D"/>
    <w:rsid w:val="007A100A"/>
    <w:rsid w:val="007A6349"/>
    <w:rsid w:val="007B0B54"/>
    <w:rsid w:val="007B2B1D"/>
    <w:rsid w:val="007B514F"/>
    <w:rsid w:val="007B7910"/>
    <w:rsid w:val="007C00D8"/>
    <w:rsid w:val="007C03BC"/>
    <w:rsid w:val="007C33E0"/>
    <w:rsid w:val="007C3C0E"/>
    <w:rsid w:val="007D64B5"/>
    <w:rsid w:val="007E394B"/>
    <w:rsid w:val="007E41E3"/>
    <w:rsid w:val="007E446F"/>
    <w:rsid w:val="007E657A"/>
    <w:rsid w:val="007E733E"/>
    <w:rsid w:val="007F5631"/>
    <w:rsid w:val="007F6FA2"/>
    <w:rsid w:val="008029BE"/>
    <w:rsid w:val="00804E6C"/>
    <w:rsid w:val="00805F5F"/>
    <w:rsid w:val="00807589"/>
    <w:rsid w:val="008364B1"/>
    <w:rsid w:val="00840C22"/>
    <w:rsid w:val="0084110A"/>
    <w:rsid w:val="008450BB"/>
    <w:rsid w:val="00847EF6"/>
    <w:rsid w:val="0086491B"/>
    <w:rsid w:val="008665E2"/>
    <w:rsid w:val="0087042D"/>
    <w:rsid w:val="00870636"/>
    <w:rsid w:val="00871D9C"/>
    <w:rsid w:val="0087312F"/>
    <w:rsid w:val="008748EE"/>
    <w:rsid w:val="00874A9A"/>
    <w:rsid w:val="00884B2A"/>
    <w:rsid w:val="00885056"/>
    <w:rsid w:val="008859ED"/>
    <w:rsid w:val="00887C26"/>
    <w:rsid w:val="00893BCD"/>
    <w:rsid w:val="00897A62"/>
    <w:rsid w:val="008A1534"/>
    <w:rsid w:val="008A3FAE"/>
    <w:rsid w:val="008A7E74"/>
    <w:rsid w:val="008B3E73"/>
    <w:rsid w:val="008B599D"/>
    <w:rsid w:val="008B59BE"/>
    <w:rsid w:val="008D6C03"/>
    <w:rsid w:val="008E0EB9"/>
    <w:rsid w:val="008E35A3"/>
    <w:rsid w:val="008E6A66"/>
    <w:rsid w:val="008F056B"/>
    <w:rsid w:val="008F0CBB"/>
    <w:rsid w:val="008F2EDE"/>
    <w:rsid w:val="008F39D0"/>
    <w:rsid w:val="008F6E74"/>
    <w:rsid w:val="00900BD5"/>
    <w:rsid w:val="0090168D"/>
    <w:rsid w:val="009039AD"/>
    <w:rsid w:val="0090453E"/>
    <w:rsid w:val="00905273"/>
    <w:rsid w:val="00905CE1"/>
    <w:rsid w:val="009264F9"/>
    <w:rsid w:val="00947E59"/>
    <w:rsid w:val="009530B8"/>
    <w:rsid w:val="00954123"/>
    <w:rsid w:val="00955BE3"/>
    <w:rsid w:val="009602F0"/>
    <w:rsid w:val="009621D5"/>
    <w:rsid w:val="00962F80"/>
    <w:rsid w:val="0096352C"/>
    <w:rsid w:val="00963B79"/>
    <w:rsid w:val="00965204"/>
    <w:rsid w:val="009718AC"/>
    <w:rsid w:val="009727D6"/>
    <w:rsid w:val="0097387B"/>
    <w:rsid w:val="00974814"/>
    <w:rsid w:val="00980DEC"/>
    <w:rsid w:val="00987C6B"/>
    <w:rsid w:val="009903A6"/>
    <w:rsid w:val="009934B7"/>
    <w:rsid w:val="00997F25"/>
    <w:rsid w:val="009A3BA5"/>
    <w:rsid w:val="009A70F4"/>
    <w:rsid w:val="009B6C3A"/>
    <w:rsid w:val="009C4756"/>
    <w:rsid w:val="009C479B"/>
    <w:rsid w:val="009C61AC"/>
    <w:rsid w:val="009D3B87"/>
    <w:rsid w:val="009D587D"/>
    <w:rsid w:val="009D7859"/>
    <w:rsid w:val="009D7CC7"/>
    <w:rsid w:val="009E16C0"/>
    <w:rsid w:val="009E179B"/>
    <w:rsid w:val="009F60DE"/>
    <w:rsid w:val="00A04304"/>
    <w:rsid w:val="00A10791"/>
    <w:rsid w:val="00A11C45"/>
    <w:rsid w:val="00A14815"/>
    <w:rsid w:val="00A15087"/>
    <w:rsid w:val="00A201BB"/>
    <w:rsid w:val="00A21D0F"/>
    <w:rsid w:val="00A2457B"/>
    <w:rsid w:val="00A32C8F"/>
    <w:rsid w:val="00A35E2B"/>
    <w:rsid w:val="00A42582"/>
    <w:rsid w:val="00A52F19"/>
    <w:rsid w:val="00A559E0"/>
    <w:rsid w:val="00A56F31"/>
    <w:rsid w:val="00A570BF"/>
    <w:rsid w:val="00A62DEC"/>
    <w:rsid w:val="00A66627"/>
    <w:rsid w:val="00A671A8"/>
    <w:rsid w:val="00A74E9F"/>
    <w:rsid w:val="00A75F14"/>
    <w:rsid w:val="00A76026"/>
    <w:rsid w:val="00A77431"/>
    <w:rsid w:val="00A82A58"/>
    <w:rsid w:val="00A8335E"/>
    <w:rsid w:val="00A94C92"/>
    <w:rsid w:val="00A95292"/>
    <w:rsid w:val="00AB0626"/>
    <w:rsid w:val="00AB17F2"/>
    <w:rsid w:val="00AC1220"/>
    <w:rsid w:val="00AC3537"/>
    <w:rsid w:val="00AC69F2"/>
    <w:rsid w:val="00AC7731"/>
    <w:rsid w:val="00AC7FB2"/>
    <w:rsid w:val="00AD0A33"/>
    <w:rsid w:val="00AD27B6"/>
    <w:rsid w:val="00AD4551"/>
    <w:rsid w:val="00AD56C3"/>
    <w:rsid w:val="00AD5D59"/>
    <w:rsid w:val="00AD61CB"/>
    <w:rsid w:val="00AE0FDA"/>
    <w:rsid w:val="00AE3A7E"/>
    <w:rsid w:val="00AE3D41"/>
    <w:rsid w:val="00AF2FE8"/>
    <w:rsid w:val="00AF33C0"/>
    <w:rsid w:val="00AF4882"/>
    <w:rsid w:val="00AF4F69"/>
    <w:rsid w:val="00AF62CD"/>
    <w:rsid w:val="00AF6DD4"/>
    <w:rsid w:val="00B01914"/>
    <w:rsid w:val="00B022B6"/>
    <w:rsid w:val="00B03B20"/>
    <w:rsid w:val="00B1424D"/>
    <w:rsid w:val="00B17C6A"/>
    <w:rsid w:val="00B221B8"/>
    <w:rsid w:val="00B23AD0"/>
    <w:rsid w:val="00B2465B"/>
    <w:rsid w:val="00B3493B"/>
    <w:rsid w:val="00B355AD"/>
    <w:rsid w:val="00B4025D"/>
    <w:rsid w:val="00B53136"/>
    <w:rsid w:val="00B54281"/>
    <w:rsid w:val="00B5664B"/>
    <w:rsid w:val="00B605AC"/>
    <w:rsid w:val="00B6105E"/>
    <w:rsid w:val="00B61122"/>
    <w:rsid w:val="00B64773"/>
    <w:rsid w:val="00B700C8"/>
    <w:rsid w:val="00B735CE"/>
    <w:rsid w:val="00B80FC0"/>
    <w:rsid w:val="00B81B8D"/>
    <w:rsid w:val="00B84B23"/>
    <w:rsid w:val="00B91B6E"/>
    <w:rsid w:val="00B94F08"/>
    <w:rsid w:val="00BA1722"/>
    <w:rsid w:val="00BA5C86"/>
    <w:rsid w:val="00BA6309"/>
    <w:rsid w:val="00BB26C0"/>
    <w:rsid w:val="00BB2D93"/>
    <w:rsid w:val="00BB5B9A"/>
    <w:rsid w:val="00BB5BB4"/>
    <w:rsid w:val="00BC6E1D"/>
    <w:rsid w:val="00BD0133"/>
    <w:rsid w:val="00BD3008"/>
    <w:rsid w:val="00BD32FE"/>
    <w:rsid w:val="00BD5121"/>
    <w:rsid w:val="00BF3C27"/>
    <w:rsid w:val="00BF54C2"/>
    <w:rsid w:val="00C016AF"/>
    <w:rsid w:val="00C020B8"/>
    <w:rsid w:val="00C04E96"/>
    <w:rsid w:val="00C05C64"/>
    <w:rsid w:val="00C10A78"/>
    <w:rsid w:val="00C1238B"/>
    <w:rsid w:val="00C13DE8"/>
    <w:rsid w:val="00C23346"/>
    <w:rsid w:val="00C2727C"/>
    <w:rsid w:val="00C33C66"/>
    <w:rsid w:val="00C33DA6"/>
    <w:rsid w:val="00C37B21"/>
    <w:rsid w:val="00C44254"/>
    <w:rsid w:val="00C45082"/>
    <w:rsid w:val="00C45625"/>
    <w:rsid w:val="00C467D1"/>
    <w:rsid w:val="00C53D01"/>
    <w:rsid w:val="00C624D6"/>
    <w:rsid w:val="00C65360"/>
    <w:rsid w:val="00C7479B"/>
    <w:rsid w:val="00C817BF"/>
    <w:rsid w:val="00C84051"/>
    <w:rsid w:val="00C8439A"/>
    <w:rsid w:val="00C91164"/>
    <w:rsid w:val="00C923AB"/>
    <w:rsid w:val="00C9240D"/>
    <w:rsid w:val="00C924B4"/>
    <w:rsid w:val="00C94B82"/>
    <w:rsid w:val="00C9513E"/>
    <w:rsid w:val="00CA0C96"/>
    <w:rsid w:val="00CA3D60"/>
    <w:rsid w:val="00CA737A"/>
    <w:rsid w:val="00CB2EEF"/>
    <w:rsid w:val="00CB6ED5"/>
    <w:rsid w:val="00CD102D"/>
    <w:rsid w:val="00CD271D"/>
    <w:rsid w:val="00CE2C9F"/>
    <w:rsid w:val="00CF0C66"/>
    <w:rsid w:val="00CF48D8"/>
    <w:rsid w:val="00D03B38"/>
    <w:rsid w:val="00D05A5D"/>
    <w:rsid w:val="00D06788"/>
    <w:rsid w:val="00D101BB"/>
    <w:rsid w:val="00D1322B"/>
    <w:rsid w:val="00D13D58"/>
    <w:rsid w:val="00D20C8D"/>
    <w:rsid w:val="00D22848"/>
    <w:rsid w:val="00D27C48"/>
    <w:rsid w:val="00D333F2"/>
    <w:rsid w:val="00D3676C"/>
    <w:rsid w:val="00D42C20"/>
    <w:rsid w:val="00D44225"/>
    <w:rsid w:val="00D56D03"/>
    <w:rsid w:val="00D6651D"/>
    <w:rsid w:val="00D67A46"/>
    <w:rsid w:val="00D728A4"/>
    <w:rsid w:val="00D740BA"/>
    <w:rsid w:val="00D76136"/>
    <w:rsid w:val="00D854B0"/>
    <w:rsid w:val="00DA10E6"/>
    <w:rsid w:val="00DA1347"/>
    <w:rsid w:val="00DA389D"/>
    <w:rsid w:val="00DA6F85"/>
    <w:rsid w:val="00DA77BE"/>
    <w:rsid w:val="00DB281A"/>
    <w:rsid w:val="00DB51C1"/>
    <w:rsid w:val="00DB66BE"/>
    <w:rsid w:val="00DC06BB"/>
    <w:rsid w:val="00DC48E0"/>
    <w:rsid w:val="00DC49AD"/>
    <w:rsid w:val="00DD1BF4"/>
    <w:rsid w:val="00DD272D"/>
    <w:rsid w:val="00DD418E"/>
    <w:rsid w:val="00DD5051"/>
    <w:rsid w:val="00DE2721"/>
    <w:rsid w:val="00DE3C8F"/>
    <w:rsid w:val="00DF146E"/>
    <w:rsid w:val="00DF4052"/>
    <w:rsid w:val="00DF40EE"/>
    <w:rsid w:val="00DF426A"/>
    <w:rsid w:val="00DF4698"/>
    <w:rsid w:val="00DF6048"/>
    <w:rsid w:val="00E02A58"/>
    <w:rsid w:val="00E02F41"/>
    <w:rsid w:val="00E044E7"/>
    <w:rsid w:val="00E07E5E"/>
    <w:rsid w:val="00E110A9"/>
    <w:rsid w:val="00E11144"/>
    <w:rsid w:val="00E111BB"/>
    <w:rsid w:val="00E1154E"/>
    <w:rsid w:val="00E11D97"/>
    <w:rsid w:val="00E13EFE"/>
    <w:rsid w:val="00E2053B"/>
    <w:rsid w:val="00E21E2B"/>
    <w:rsid w:val="00E244CF"/>
    <w:rsid w:val="00E26778"/>
    <w:rsid w:val="00E3517E"/>
    <w:rsid w:val="00E35558"/>
    <w:rsid w:val="00E37B3B"/>
    <w:rsid w:val="00E44C45"/>
    <w:rsid w:val="00E5082E"/>
    <w:rsid w:val="00E51EBE"/>
    <w:rsid w:val="00E5373A"/>
    <w:rsid w:val="00E55B3E"/>
    <w:rsid w:val="00E63CEF"/>
    <w:rsid w:val="00E716E1"/>
    <w:rsid w:val="00E71FBE"/>
    <w:rsid w:val="00E762A1"/>
    <w:rsid w:val="00E819E1"/>
    <w:rsid w:val="00E83A56"/>
    <w:rsid w:val="00E921B4"/>
    <w:rsid w:val="00E972B3"/>
    <w:rsid w:val="00EB3931"/>
    <w:rsid w:val="00EB478E"/>
    <w:rsid w:val="00EC206B"/>
    <w:rsid w:val="00EC741C"/>
    <w:rsid w:val="00EC7C59"/>
    <w:rsid w:val="00ED3ACD"/>
    <w:rsid w:val="00ED4C76"/>
    <w:rsid w:val="00EE71AD"/>
    <w:rsid w:val="00EE7F6C"/>
    <w:rsid w:val="00EF1152"/>
    <w:rsid w:val="00EF33D7"/>
    <w:rsid w:val="00F06C98"/>
    <w:rsid w:val="00F120F7"/>
    <w:rsid w:val="00F15185"/>
    <w:rsid w:val="00F157B2"/>
    <w:rsid w:val="00F201CD"/>
    <w:rsid w:val="00F2141D"/>
    <w:rsid w:val="00F2439C"/>
    <w:rsid w:val="00F36280"/>
    <w:rsid w:val="00F36D2F"/>
    <w:rsid w:val="00F41E7E"/>
    <w:rsid w:val="00F46986"/>
    <w:rsid w:val="00F46EAD"/>
    <w:rsid w:val="00F61263"/>
    <w:rsid w:val="00F62A94"/>
    <w:rsid w:val="00F64826"/>
    <w:rsid w:val="00F709EB"/>
    <w:rsid w:val="00F70DD7"/>
    <w:rsid w:val="00F733D7"/>
    <w:rsid w:val="00F74463"/>
    <w:rsid w:val="00F74818"/>
    <w:rsid w:val="00F75A0D"/>
    <w:rsid w:val="00F80873"/>
    <w:rsid w:val="00F8312B"/>
    <w:rsid w:val="00F8577D"/>
    <w:rsid w:val="00F87108"/>
    <w:rsid w:val="00F91970"/>
    <w:rsid w:val="00F939DD"/>
    <w:rsid w:val="00FA367E"/>
    <w:rsid w:val="00FA4474"/>
    <w:rsid w:val="00FA6FB0"/>
    <w:rsid w:val="00FB0CC2"/>
    <w:rsid w:val="00FB25BF"/>
    <w:rsid w:val="00FB2EFD"/>
    <w:rsid w:val="00FB37C6"/>
    <w:rsid w:val="00FB38D7"/>
    <w:rsid w:val="00FB3BE8"/>
    <w:rsid w:val="00FB6310"/>
    <w:rsid w:val="00FB72B5"/>
    <w:rsid w:val="00FC09FB"/>
    <w:rsid w:val="00FC0BF1"/>
    <w:rsid w:val="00FD77AB"/>
    <w:rsid w:val="00FD7AFD"/>
    <w:rsid w:val="00FE120A"/>
    <w:rsid w:val="00FE146B"/>
    <w:rsid w:val="00FE1D30"/>
    <w:rsid w:val="00FE2E01"/>
    <w:rsid w:val="00FE4DF6"/>
    <w:rsid w:val="00FE5D6D"/>
    <w:rsid w:val="00FF2ED8"/>
    <w:rsid w:val="00FF35F1"/>
    <w:rsid w:val="00FF3973"/>
    <w:rsid w:val="00FF71FC"/>
    <w:rsid w:val="00FF73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DCC43"/>
  <w15:docId w15:val="{4CE2ADAC-E3CD-634C-8219-CDC057B9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CO"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728A4"/>
  </w:style>
  <w:style w:type="paragraph" w:styleId="Ttulo1">
    <w:name w:val="heading 1"/>
    <w:basedOn w:val="Normal"/>
    <w:next w:val="Normal"/>
    <w:rsid w:val="00D728A4"/>
    <w:pPr>
      <w:outlineLvl w:val="0"/>
    </w:pPr>
    <w:rPr>
      <w:b/>
      <w:sz w:val="32"/>
      <w:szCs w:val="32"/>
    </w:rPr>
  </w:style>
  <w:style w:type="paragraph" w:styleId="Ttulo2">
    <w:name w:val="heading 2"/>
    <w:basedOn w:val="Normal"/>
    <w:next w:val="Normal"/>
    <w:link w:val="Ttulo2Car"/>
    <w:rsid w:val="00D728A4"/>
    <w:pPr>
      <w:ind w:left="102"/>
      <w:outlineLvl w:val="1"/>
    </w:pPr>
    <w:rPr>
      <w:b/>
      <w:sz w:val="28"/>
      <w:szCs w:val="28"/>
    </w:rPr>
  </w:style>
  <w:style w:type="paragraph" w:styleId="Ttulo3">
    <w:name w:val="heading 3"/>
    <w:basedOn w:val="Normal"/>
    <w:next w:val="Normal"/>
    <w:rsid w:val="00D728A4"/>
    <w:pPr>
      <w:keepNext/>
      <w:keepLines/>
      <w:spacing w:before="280" w:after="80"/>
      <w:outlineLvl w:val="2"/>
    </w:pPr>
    <w:rPr>
      <w:b/>
      <w:sz w:val="28"/>
      <w:szCs w:val="28"/>
    </w:rPr>
  </w:style>
  <w:style w:type="paragraph" w:styleId="Ttulo4">
    <w:name w:val="heading 4"/>
    <w:basedOn w:val="Normal"/>
    <w:next w:val="Normal"/>
    <w:rsid w:val="00D728A4"/>
    <w:pPr>
      <w:keepNext/>
      <w:keepLines/>
      <w:spacing w:before="240" w:after="40"/>
      <w:outlineLvl w:val="3"/>
    </w:pPr>
    <w:rPr>
      <w:b/>
      <w:sz w:val="24"/>
      <w:szCs w:val="24"/>
    </w:rPr>
  </w:style>
  <w:style w:type="paragraph" w:styleId="Ttulo5">
    <w:name w:val="heading 5"/>
    <w:basedOn w:val="Normal"/>
    <w:next w:val="Normal"/>
    <w:rsid w:val="00D728A4"/>
    <w:pPr>
      <w:keepNext/>
      <w:keepLines/>
      <w:spacing w:before="220" w:after="40"/>
      <w:outlineLvl w:val="4"/>
    </w:pPr>
    <w:rPr>
      <w:b/>
    </w:rPr>
  </w:style>
  <w:style w:type="paragraph" w:styleId="Ttulo6">
    <w:name w:val="heading 6"/>
    <w:basedOn w:val="Normal"/>
    <w:next w:val="Normal"/>
    <w:rsid w:val="00D728A4"/>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rsid w:val="00D728A4"/>
    <w:tblPr>
      <w:tblCellMar>
        <w:top w:w="0" w:type="dxa"/>
        <w:left w:w="0" w:type="dxa"/>
        <w:bottom w:w="0" w:type="dxa"/>
        <w:right w:w="0" w:type="dxa"/>
      </w:tblCellMar>
    </w:tblPr>
  </w:style>
  <w:style w:type="paragraph" w:styleId="Ttulo">
    <w:name w:val="Title"/>
    <w:basedOn w:val="Normal"/>
    <w:next w:val="Normal"/>
    <w:rsid w:val="00D728A4"/>
    <w:pPr>
      <w:keepNext/>
      <w:keepLines/>
      <w:spacing w:before="480" w:after="120"/>
    </w:pPr>
    <w:rPr>
      <w:b/>
      <w:sz w:val="72"/>
      <w:szCs w:val="72"/>
    </w:rPr>
  </w:style>
  <w:style w:type="paragraph" w:styleId="Subttulo">
    <w:name w:val="Subtitle"/>
    <w:basedOn w:val="Normal"/>
    <w:next w:val="Normal"/>
    <w:rsid w:val="00D728A4"/>
    <w:pPr>
      <w:keepNext/>
      <w:keepLines/>
      <w:spacing w:before="360" w:after="80"/>
    </w:pPr>
    <w:rPr>
      <w:rFonts w:ascii="Georgia" w:eastAsia="Georgia" w:hAnsi="Georgia" w:cs="Georgia"/>
      <w:i/>
      <w:color w:val="666666"/>
      <w:sz w:val="48"/>
      <w:szCs w:val="48"/>
    </w:rPr>
  </w:style>
  <w:style w:type="table" w:customStyle="1" w:styleId="a">
    <w:basedOn w:val="TableNormal1"/>
    <w:rsid w:val="00D728A4"/>
    <w:tblPr>
      <w:tblStyleRowBandSize w:val="1"/>
      <w:tblStyleColBandSize w:val="1"/>
      <w:tblCellMar>
        <w:top w:w="100" w:type="dxa"/>
        <w:left w:w="100" w:type="dxa"/>
        <w:bottom w:w="100" w:type="dxa"/>
        <w:right w:w="100" w:type="dxa"/>
      </w:tblCellMar>
    </w:tblPr>
  </w:style>
  <w:style w:type="table" w:customStyle="1" w:styleId="a0">
    <w:basedOn w:val="TableNormal1"/>
    <w:rsid w:val="00D728A4"/>
    <w:tblPr>
      <w:tblStyleRowBandSize w:val="1"/>
      <w:tblStyleColBandSize w:val="1"/>
      <w:tblCellMar>
        <w:top w:w="100" w:type="dxa"/>
        <w:left w:w="100" w:type="dxa"/>
        <w:bottom w:w="100" w:type="dxa"/>
        <w:right w:w="100" w:type="dxa"/>
      </w:tblCellMar>
    </w:tblPr>
  </w:style>
  <w:style w:type="table" w:customStyle="1" w:styleId="a1">
    <w:basedOn w:val="TableNormal1"/>
    <w:rsid w:val="00D728A4"/>
    <w:tblPr>
      <w:tblStyleRowBandSize w:val="1"/>
      <w:tblStyleColBandSize w:val="1"/>
      <w:tblCellMar>
        <w:top w:w="100" w:type="dxa"/>
        <w:left w:w="100" w:type="dxa"/>
        <w:bottom w:w="100" w:type="dxa"/>
        <w:right w:w="100" w:type="dxa"/>
      </w:tblCellMar>
    </w:tblPr>
  </w:style>
  <w:style w:type="table" w:customStyle="1" w:styleId="a2">
    <w:basedOn w:val="TableNormal1"/>
    <w:rsid w:val="00D728A4"/>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rsid w:val="00D728A4"/>
    <w:rPr>
      <w:sz w:val="20"/>
      <w:szCs w:val="20"/>
    </w:rPr>
  </w:style>
  <w:style w:type="character" w:customStyle="1" w:styleId="TextocomentarioCar">
    <w:name w:val="Texto comentario Car"/>
    <w:basedOn w:val="Fuentedeprrafopredeter"/>
    <w:link w:val="Textocomentario"/>
    <w:uiPriority w:val="99"/>
    <w:semiHidden/>
    <w:rsid w:val="00D728A4"/>
    <w:rPr>
      <w:sz w:val="20"/>
      <w:szCs w:val="20"/>
    </w:rPr>
  </w:style>
  <w:style w:type="character" w:styleId="Refdecomentario">
    <w:name w:val="annotation reference"/>
    <w:basedOn w:val="Fuentedeprrafopredeter"/>
    <w:uiPriority w:val="99"/>
    <w:semiHidden/>
    <w:unhideWhenUsed/>
    <w:rsid w:val="00D728A4"/>
    <w:rPr>
      <w:sz w:val="16"/>
      <w:szCs w:val="16"/>
    </w:rPr>
  </w:style>
  <w:style w:type="paragraph" w:styleId="Textodeglobo">
    <w:name w:val="Balloon Text"/>
    <w:basedOn w:val="Normal"/>
    <w:link w:val="TextodegloboCar"/>
    <w:uiPriority w:val="99"/>
    <w:semiHidden/>
    <w:unhideWhenUsed/>
    <w:rsid w:val="006541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417F"/>
    <w:rPr>
      <w:rFonts w:ascii="Segoe UI" w:hAnsi="Segoe UI" w:cs="Segoe UI"/>
      <w:sz w:val="18"/>
      <w:szCs w:val="18"/>
    </w:rPr>
  </w:style>
  <w:style w:type="paragraph" w:styleId="Encabezado">
    <w:name w:val="header"/>
    <w:basedOn w:val="Normal"/>
    <w:link w:val="EncabezadoCar"/>
    <w:uiPriority w:val="99"/>
    <w:unhideWhenUsed/>
    <w:rsid w:val="0065417F"/>
    <w:pPr>
      <w:tabs>
        <w:tab w:val="center" w:pos="4419"/>
        <w:tab w:val="right" w:pos="8838"/>
      </w:tabs>
    </w:pPr>
  </w:style>
  <w:style w:type="character" w:customStyle="1" w:styleId="EncabezadoCar">
    <w:name w:val="Encabezado Car"/>
    <w:basedOn w:val="Fuentedeprrafopredeter"/>
    <w:link w:val="Encabezado"/>
    <w:uiPriority w:val="99"/>
    <w:rsid w:val="0065417F"/>
  </w:style>
  <w:style w:type="paragraph" w:styleId="Piedepgina">
    <w:name w:val="footer"/>
    <w:basedOn w:val="Normal"/>
    <w:link w:val="PiedepginaCar"/>
    <w:uiPriority w:val="99"/>
    <w:unhideWhenUsed/>
    <w:rsid w:val="0065417F"/>
    <w:pPr>
      <w:tabs>
        <w:tab w:val="center" w:pos="4419"/>
        <w:tab w:val="right" w:pos="8838"/>
      </w:tabs>
    </w:pPr>
  </w:style>
  <w:style w:type="character" w:customStyle="1" w:styleId="PiedepginaCar">
    <w:name w:val="Pie de página Car"/>
    <w:basedOn w:val="Fuentedeprrafopredeter"/>
    <w:link w:val="Piedepgina"/>
    <w:uiPriority w:val="99"/>
    <w:rsid w:val="0065417F"/>
  </w:style>
  <w:style w:type="character" w:styleId="Hipervnculo">
    <w:name w:val="Hyperlink"/>
    <w:basedOn w:val="Fuentedeprrafopredeter"/>
    <w:uiPriority w:val="99"/>
    <w:unhideWhenUsed/>
    <w:rsid w:val="0065417F"/>
    <w:rPr>
      <w:color w:val="0000FF" w:themeColor="hyperlink"/>
      <w:u w:val="single"/>
    </w:rPr>
  </w:style>
  <w:style w:type="paragraph" w:styleId="Textonotapie">
    <w:name w:val="footnote text"/>
    <w:basedOn w:val="Normal"/>
    <w:link w:val="TextonotapieCar"/>
    <w:uiPriority w:val="99"/>
    <w:unhideWhenUsed/>
    <w:rsid w:val="0065417F"/>
    <w:pPr>
      <w:widowControl/>
    </w:pPr>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rsid w:val="0065417F"/>
    <w:rPr>
      <w:rFonts w:asciiTheme="minorHAnsi" w:eastAsiaTheme="minorHAnsi" w:hAnsiTheme="minorHAnsi" w:cstheme="minorBidi"/>
      <w:sz w:val="20"/>
      <w:szCs w:val="20"/>
      <w:lang w:eastAsia="en-US"/>
    </w:rPr>
  </w:style>
  <w:style w:type="character" w:styleId="Refdenotaalpie">
    <w:name w:val="footnote reference"/>
    <w:basedOn w:val="Fuentedeprrafopredeter"/>
    <w:uiPriority w:val="99"/>
    <w:unhideWhenUsed/>
    <w:rsid w:val="0065417F"/>
    <w:rPr>
      <w:vertAlign w:val="superscript"/>
    </w:r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65417F"/>
    <w:pPr>
      <w:widowControl/>
      <w:spacing w:after="160" w:line="259" w:lineRule="auto"/>
      <w:ind w:left="720"/>
      <w:contextualSpacing/>
    </w:pPr>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65417F"/>
    <w:rPr>
      <w:b/>
      <w:bCs/>
    </w:rPr>
  </w:style>
  <w:style w:type="character" w:customStyle="1" w:styleId="AsuntodelcomentarioCar">
    <w:name w:val="Asunto del comentario Car"/>
    <w:basedOn w:val="TextocomentarioCar"/>
    <w:link w:val="Asuntodelcomentario"/>
    <w:uiPriority w:val="99"/>
    <w:semiHidden/>
    <w:rsid w:val="0065417F"/>
    <w:rPr>
      <w:b/>
      <w:bCs/>
      <w:sz w:val="20"/>
      <w:szCs w:val="20"/>
    </w:rPr>
  </w:style>
  <w:style w:type="paragraph" w:styleId="NormalWeb">
    <w:name w:val="Normal (Web)"/>
    <w:basedOn w:val="Normal"/>
    <w:uiPriority w:val="99"/>
    <w:unhideWhenUsed/>
    <w:rsid w:val="005D43AE"/>
    <w:pPr>
      <w:widowControl/>
      <w:spacing w:before="100" w:beforeAutospacing="1" w:after="100" w:afterAutospacing="1"/>
    </w:pPr>
    <w:rPr>
      <w:sz w:val="24"/>
      <w:szCs w:val="24"/>
    </w:rPr>
  </w:style>
  <w:style w:type="table" w:styleId="Tablaconcuadrcula">
    <w:name w:val="Table Grid"/>
    <w:basedOn w:val="Tablanormal"/>
    <w:uiPriority w:val="39"/>
    <w:rsid w:val="00CD102D"/>
    <w:pPr>
      <w:widowControl/>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A14815"/>
    <w:rPr>
      <w:rFonts w:asciiTheme="minorHAnsi" w:eastAsiaTheme="minorHAnsi" w:hAnsiTheme="minorHAnsi" w:cstheme="minorBidi"/>
      <w:lang w:eastAsia="en-US"/>
    </w:rPr>
  </w:style>
  <w:style w:type="character" w:styleId="Textoennegrita">
    <w:name w:val="Strong"/>
    <w:basedOn w:val="Fuentedeprrafopredeter"/>
    <w:uiPriority w:val="22"/>
    <w:qFormat/>
    <w:rsid w:val="001D40DA"/>
    <w:rPr>
      <w:b/>
      <w:bCs/>
    </w:rPr>
  </w:style>
  <w:style w:type="character" w:customStyle="1" w:styleId="Ttulo2Car">
    <w:name w:val="Título 2 Car"/>
    <w:basedOn w:val="Fuentedeprrafopredeter"/>
    <w:link w:val="Ttulo2"/>
    <w:rsid w:val="004F4302"/>
    <w:rPr>
      <w:b/>
      <w:sz w:val="28"/>
      <w:szCs w:val="28"/>
    </w:rPr>
  </w:style>
  <w:style w:type="paragraph" w:customStyle="1" w:styleId="cita">
    <w:name w:val="cita"/>
    <w:basedOn w:val="Normal"/>
    <w:rsid w:val="00524AF4"/>
    <w:pPr>
      <w:widowControl/>
      <w:spacing w:before="100" w:beforeAutospacing="1" w:after="100" w:afterAutospacing="1"/>
    </w:pPr>
    <w:rPr>
      <w:sz w:val="24"/>
      <w:szCs w:val="24"/>
    </w:rPr>
  </w:style>
  <w:style w:type="paragraph" w:styleId="Revisin">
    <w:name w:val="Revision"/>
    <w:hidden/>
    <w:uiPriority w:val="99"/>
    <w:semiHidden/>
    <w:rsid w:val="00404730"/>
    <w:pPr>
      <w:widowControl/>
    </w:pPr>
  </w:style>
  <w:style w:type="paragraph" w:styleId="Textonotaalfinal">
    <w:name w:val="endnote text"/>
    <w:basedOn w:val="Normal"/>
    <w:link w:val="TextonotaalfinalCar"/>
    <w:uiPriority w:val="99"/>
    <w:semiHidden/>
    <w:unhideWhenUsed/>
    <w:rsid w:val="00165E31"/>
    <w:rPr>
      <w:sz w:val="20"/>
      <w:szCs w:val="20"/>
    </w:rPr>
  </w:style>
  <w:style w:type="character" w:customStyle="1" w:styleId="TextonotaalfinalCar">
    <w:name w:val="Texto nota al final Car"/>
    <w:basedOn w:val="Fuentedeprrafopredeter"/>
    <w:link w:val="Textonotaalfinal"/>
    <w:uiPriority w:val="99"/>
    <w:semiHidden/>
    <w:rsid w:val="00165E31"/>
    <w:rPr>
      <w:sz w:val="20"/>
      <w:szCs w:val="20"/>
    </w:rPr>
  </w:style>
  <w:style w:type="character" w:styleId="Refdenotaalfinal">
    <w:name w:val="endnote reference"/>
    <w:basedOn w:val="Fuentedeprrafopredeter"/>
    <w:uiPriority w:val="99"/>
    <w:semiHidden/>
    <w:unhideWhenUsed/>
    <w:rsid w:val="00165E31"/>
    <w:rPr>
      <w:vertAlign w:val="superscript"/>
    </w:rPr>
  </w:style>
  <w:style w:type="paragraph" w:customStyle="1" w:styleId="centrado">
    <w:name w:val="centrado"/>
    <w:basedOn w:val="Normal"/>
    <w:rsid w:val="00167B87"/>
    <w:pPr>
      <w:widowControl/>
      <w:spacing w:before="100" w:beforeAutospacing="1" w:after="100" w:afterAutospacing="1"/>
    </w:pPr>
    <w:rPr>
      <w:sz w:val="24"/>
      <w:szCs w:val="24"/>
    </w:rPr>
  </w:style>
  <w:style w:type="paragraph" w:styleId="Sinespaciado">
    <w:name w:val="No Spacing"/>
    <w:link w:val="SinespaciadoCar"/>
    <w:uiPriority w:val="1"/>
    <w:qFormat/>
    <w:rsid w:val="00F06C98"/>
    <w:pPr>
      <w:widowControl/>
    </w:pPr>
    <w:rPr>
      <w:rFonts w:asciiTheme="minorHAnsi" w:eastAsiaTheme="minorHAnsi" w:hAnsiTheme="minorHAnsi" w:cstheme="minorBidi"/>
      <w:lang w:eastAsia="en-US"/>
    </w:rPr>
  </w:style>
  <w:style w:type="character" w:customStyle="1" w:styleId="SinespaciadoCar">
    <w:name w:val="Sin espaciado Car"/>
    <w:link w:val="Sinespaciado"/>
    <w:uiPriority w:val="1"/>
    <w:locked/>
    <w:rsid w:val="00F06C98"/>
    <w:rPr>
      <w:rFonts w:asciiTheme="minorHAnsi" w:eastAsiaTheme="minorHAnsi" w:hAnsiTheme="minorHAnsi" w:cstheme="minorBidi"/>
      <w:lang w:eastAsia="en-US"/>
    </w:rPr>
  </w:style>
  <w:style w:type="character" w:customStyle="1" w:styleId="Mencinsinresolver1">
    <w:name w:val="Mención sin resolver1"/>
    <w:basedOn w:val="Fuentedeprrafopredeter"/>
    <w:uiPriority w:val="99"/>
    <w:semiHidden/>
    <w:unhideWhenUsed/>
    <w:rsid w:val="00F36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14148">
      <w:bodyDiv w:val="1"/>
      <w:marLeft w:val="0"/>
      <w:marRight w:val="0"/>
      <w:marTop w:val="0"/>
      <w:marBottom w:val="0"/>
      <w:divBdr>
        <w:top w:val="none" w:sz="0" w:space="0" w:color="auto"/>
        <w:left w:val="none" w:sz="0" w:space="0" w:color="auto"/>
        <w:bottom w:val="none" w:sz="0" w:space="0" w:color="auto"/>
        <w:right w:val="none" w:sz="0" w:space="0" w:color="auto"/>
      </w:divBdr>
    </w:div>
    <w:div w:id="149714372">
      <w:bodyDiv w:val="1"/>
      <w:marLeft w:val="0"/>
      <w:marRight w:val="0"/>
      <w:marTop w:val="0"/>
      <w:marBottom w:val="0"/>
      <w:divBdr>
        <w:top w:val="none" w:sz="0" w:space="0" w:color="auto"/>
        <w:left w:val="none" w:sz="0" w:space="0" w:color="auto"/>
        <w:bottom w:val="none" w:sz="0" w:space="0" w:color="auto"/>
        <w:right w:val="none" w:sz="0" w:space="0" w:color="auto"/>
      </w:divBdr>
    </w:div>
    <w:div w:id="195889824">
      <w:bodyDiv w:val="1"/>
      <w:marLeft w:val="0"/>
      <w:marRight w:val="0"/>
      <w:marTop w:val="0"/>
      <w:marBottom w:val="0"/>
      <w:divBdr>
        <w:top w:val="none" w:sz="0" w:space="0" w:color="auto"/>
        <w:left w:val="none" w:sz="0" w:space="0" w:color="auto"/>
        <w:bottom w:val="none" w:sz="0" w:space="0" w:color="auto"/>
        <w:right w:val="none" w:sz="0" w:space="0" w:color="auto"/>
      </w:divBdr>
    </w:div>
    <w:div w:id="253713838">
      <w:bodyDiv w:val="1"/>
      <w:marLeft w:val="0"/>
      <w:marRight w:val="0"/>
      <w:marTop w:val="0"/>
      <w:marBottom w:val="0"/>
      <w:divBdr>
        <w:top w:val="none" w:sz="0" w:space="0" w:color="auto"/>
        <w:left w:val="none" w:sz="0" w:space="0" w:color="auto"/>
        <w:bottom w:val="none" w:sz="0" w:space="0" w:color="auto"/>
        <w:right w:val="none" w:sz="0" w:space="0" w:color="auto"/>
      </w:divBdr>
    </w:div>
    <w:div w:id="270474475">
      <w:bodyDiv w:val="1"/>
      <w:marLeft w:val="0"/>
      <w:marRight w:val="0"/>
      <w:marTop w:val="0"/>
      <w:marBottom w:val="0"/>
      <w:divBdr>
        <w:top w:val="none" w:sz="0" w:space="0" w:color="auto"/>
        <w:left w:val="none" w:sz="0" w:space="0" w:color="auto"/>
        <w:bottom w:val="none" w:sz="0" w:space="0" w:color="auto"/>
        <w:right w:val="none" w:sz="0" w:space="0" w:color="auto"/>
      </w:divBdr>
    </w:div>
    <w:div w:id="270745732">
      <w:bodyDiv w:val="1"/>
      <w:marLeft w:val="0"/>
      <w:marRight w:val="0"/>
      <w:marTop w:val="0"/>
      <w:marBottom w:val="0"/>
      <w:divBdr>
        <w:top w:val="none" w:sz="0" w:space="0" w:color="auto"/>
        <w:left w:val="none" w:sz="0" w:space="0" w:color="auto"/>
        <w:bottom w:val="none" w:sz="0" w:space="0" w:color="auto"/>
        <w:right w:val="none" w:sz="0" w:space="0" w:color="auto"/>
      </w:divBdr>
    </w:div>
    <w:div w:id="355352275">
      <w:bodyDiv w:val="1"/>
      <w:marLeft w:val="0"/>
      <w:marRight w:val="0"/>
      <w:marTop w:val="0"/>
      <w:marBottom w:val="0"/>
      <w:divBdr>
        <w:top w:val="none" w:sz="0" w:space="0" w:color="auto"/>
        <w:left w:val="none" w:sz="0" w:space="0" w:color="auto"/>
        <w:bottom w:val="none" w:sz="0" w:space="0" w:color="auto"/>
        <w:right w:val="none" w:sz="0" w:space="0" w:color="auto"/>
      </w:divBdr>
    </w:div>
    <w:div w:id="380132580">
      <w:bodyDiv w:val="1"/>
      <w:marLeft w:val="0"/>
      <w:marRight w:val="0"/>
      <w:marTop w:val="0"/>
      <w:marBottom w:val="0"/>
      <w:divBdr>
        <w:top w:val="none" w:sz="0" w:space="0" w:color="auto"/>
        <w:left w:val="none" w:sz="0" w:space="0" w:color="auto"/>
        <w:bottom w:val="none" w:sz="0" w:space="0" w:color="auto"/>
        <w:right w:val="none" w:sz="0" w:space="0" w:color="auto"/>
      </w:divBdr>
    </w:div>
    <w:div w:id="423913690">
      <w:bodyDiv w:val="1"/>
      <w:marLeft w:val="0"/>
      <w:marRight w:val="0"/>
      <w:marTop w:val="0"/>
      <w:marBottom w:val="0"/>
      <w:divBdr>
        <w:top w:val="none" w:sz="0" w:space="0" w:color="auto"/>
        <w:left w:val="none" w:sz="0" w:space="0" w:color="auto"/>
        <w:bottom w:val="none" w:sz="0" w:space="0" w:color="auto"/>
        <w:right w:val="none" w:sz="0" w:space="0" w:color="auto"/>
      </w:divBdr>
    </w:div>
    <w:div w:id="527573256">
      <w:bodyDiv w:val="1"/>
      <w:marLeft w:val="0"/>
      <w:marRight w:val="0"/>
      <w:marTop w:val="0"/>
      <w:marBottom w:val="0"/>
      <w:divBdr>
        <w:top w:val="none" w:sz="0" w:space="0" w:color="auto"/>
        <w:left w:val="none" w:sz="0" w:space="0" w:color="auto"/>
        <w:bottom w:val="none" w:sz="0" w:space="0" w:color="auto"/>
        <w:right w:val="none" w:sz="0" w:space="0" w:color="auto"/>
      </w:divBdr>
    </w:div>
    <w:div w:id="867182917">
      <w:bodyDiv w:val="1"/>
      <w:marLeft w:val="0"/>
      <w:marRight w:val="0"/>
      <w:marTop w:val="0"/>
      <w:marBottom w:val="0"/>
      <w:divBdr>
        <w:top w:val="none" w:sz="0" w:space="0" w:color="auto"/>
        <w:left w:val="none" w:sz="0" w:space="0" w:color="auto"/>
        <w:bottom w:val="none" w:sz="0" w:space="0" w:color="auto"/>
        <w:right w:val="none" w:sz="0" w:space="0" w:color="auto"/>
      </w:divBdr>
    </w:div>
    <w:div w:id="915285613">
      <w:bodyDiv w:val="1"/>
      <w:marLeft w:val="0"/>
      <w:marRight w:val="0"/>
      <w:marTop w:val="0"/>
      <w:marBottom w:val="0"/>
      <w:divBdr>
        <w:top w:val="none" w:sz="0" w:space="0" w:color="auto"/>
        <w:left w:val="none" w:sz="0" w:space="0" w:color="auto"/>
        <w:bottom w:val="none" w:sz="0" w:space="0" w:color="auto"/>
        <w:right w:val="none" w:sz="0" w:space="0" w:color="auto"/>
      </w:divBdr>
    </w:div>
    <w:div w:id="921257868">
      <w:bodyDiv w:val="1"/>
      <w:marLeft w:val="0"/>
      <w:marRight w:val="0"/>
      <w:marTop w:val="0"/>
      <w:marBottom w:val="0"/>
      <w:divBdr>
        <w:top w:val="none" w:sz="0" w:space="0" w:color="auto"/>
        <w:left w:val="none" w:sz="0" w:space="0" w:color="auto"/>
        <w:bottom w:val="none" w:sz="0" w:space="0" w:color="auto"/>
        <w:right w:val="none" w:sz="0" w:space="0" w:color="auto"/>
      </w:divBdr>
    </w:div>
    <w:div w:id="937257414">
      <w:bodyDiv w:val="1"/>
      <w:marLeft w:val="0"/>
      <w:marRight w:val="0"/>
      <w:marTop w:val="0"/>
      <w:marBottom w:val="0"/>
      <w:divBdr>
        <w:top w:val="none" w:sz="0" w:space="0" w:color="auto"/>
        <w:left w:val="none" w:sz="0" w:space="0" w:color="auto"/>
        <w:bottom w:val="none" w:sz="0" w:space="0" w:color="auto"/>
        <w:right w:val="none" w:sz="0" w:space="0" w:color="auto"/>
      </w:divBdr>
    </w:div>
    <w:div w:id="969630989">
      <w:bodyDiv w:val="1"/>
      <w:marLeft w:val="0"/>
      <w:marRight w:val="0"/>
      <w:marTop w:val="0"/>
      <w:marBottom w:val="0"/>
      <w:divBdr>
        <w:top w:val="none" w:sz="0" w:space="0" w:color="auto"/>
        <w:left w:val="none" w:sz="0" w:space="0" w:color="auto"/>
        <w:bottom w:val="none" w:sz="0" w:space="0" w:color="auto"/>
        <w:right w:val="none" w:sz="0" w:space="0" w:color="auto"/>
      </w:divBdr>
    </w:div>
    <w:div w:id="1094588125">
      <w:bodyDiv w:val="1"/>
      <w:marLeft w:val="0"/>
      <w:marRight w:val="0"/>
      <w:marTop w:val="0"/>
      <w:marBottom w:val="0"/>
      <w:divBdr>
        <w:top w:val="none" w:sz="0" w:space="0" w:color="auto"/>
        <w:left w:val="none" w:sz="0" w:space="0" w:color="auto"/>
        <w:bottom w:val="none" w:sz="0" w:space="0" w:color="auto"/>
        <w:right w:val="none" w:sz="0" w:space="0" w:color="auto"/>
      </w:divBdr>
    </w:div>
    <w:div w:id="1151755452">
      <w:bodyDiv w:val="1"/>
      <w:marLeft w:val="0"/>
      <w:marRight w:val="0"/>
      <w:marTop w:val="0"/>
      <w:marBottom w:val="0"/>
      <w:divBdr>
        <w:top w:val="none" w:sz="0" w:space="0" w:color="auto"/>
        <w:left w:val="none" w:sz="0" w:space="0" w:color="auto"/>
        <w:bottom w:val="none" w:sz="0" w:space="0" w:color="auto"/>
        <w:right w:val="none" w:sz="0" w:space="0" w:color="auto"/>
      </w:divBdr>
    </w:div>
    <w:div w:id="1191264752">
      <w:bodyDiv w:val="1"/>
      <w:marLeft w:val="0"/>
      <w:marRight w:val="0"/>
      <w:marTop w:val="0"/>
      <w:marBottom w:val="0"/>
      <w:divBdr>
        <w:top w:val="none" w:sz="0" w:space="0" w:color="auto"/>
        <w:left w:val="none" w:sz="0" w:space="0" w:color="auto"/>
        <w:bottom w:val="none" w:sz="0" w:space="0" w:color="auto"/>
        <w:right w:val="none" w:sz="0" w:space="0" w:color="auto"/>
      </w:divBdr>
    </w:div>
    <w:div w:id="1192383452">
      <w:bodyDiv w:val="1"/>
      <w:marLeft w:val="0"/>
      <w:marRight w:val="0"/>
      <w:marTop w:val="0"/>
      <w:marBottom w:val="0"/>
      <w:divBdr>
        <w:top w:val="none" w:sz="0" w:space="0" w:color="auto"/>
        <w:left w:val="none" w:sz="0" w:space="0" w:color="auto"/>
        <w:bottom w:val="none" w:sz="0" w:space="0" w:color="auto"/>
        <w:right w:val="none" w:sz="0" w:space="0" w:color="auto"/>
      </w:divBdr>
    </w:div>
    <w:div w:id="1301884814">
      <w:bodyDiv w:val="1"/>
      <w:marLeft w:val="0"/>
      <w:marRight w:val="0"/>
      <w:marTop w:val="0"/>
      <w:marBottom w:val="0"/>
      <w:divBdr>
        <w:top w:val="none" w:sz="0" w:space="0" w:color="auto"/>
        <w:left w:val="none" w:sz="0" w:space="0" w:color="auto"/>
        <w:bottom w:val="none" w:sz="0" w:space="0" w:color="auto"/>
        <w:right w:val="none" w:sz="0" w:space="0" w:color="auto"/>
      </w:divBdr>
    </w:div>
    <w:div w:id="1314526101">
      <w:bodyDiv w:val="1"/>
      <w:marLeft w:val="0"/>
      <w:marRight w:val="0"/>
      <w:marTop w:val="0"/>
      <w:marBottom w:val="0"/>
      <w:divBdr>
        <w:top w:val="none" w:sz="0" w:space="0" w:color="auto"/>
        <w:left w:val="none" w:sz="0" w:space="0" w:color="auto"/>
        <w:bottom w:val="none" w:sz="0" w:space="0" w:color="auto"/>
        <w:right w:val="none" w:sz="0" w:space="0" w:color="auto"/>
      </w:divBdr>
    </w:div>
    <w:div w:id="1327517504">
      <w:bodyDiv w:val="1"/>
      <w:marLeft w:val="0"/>
      <w:marRight w:val="0"/>
      <w:marTop w:val="0"/>
      <w:marBottom w:val="0"/>
      <w:divBdr>
        <w:top w:val="none" w:sz="0" w:space="0" w:color="auto"/>
        <w:left w:val="none" w:sz="0" w:space="0" w:color="auto"/>
        <w:bottom w:val="none" w:sz="0" w:space="0" w:color="auto"/>
        <w:right w:val="none" w:sz="0" w:space="0" w:color="auto"/>
      </w:divBdr>
    </w:div>
    <w:div w:id="1334994726">
      <w:bodyDiv w:val="1"/>
      <w:marLeft w:val="0"/>
      <w:marRight w:val="0"/>
      <w:marTop w:val="0"/>
      <w:marBottom w:val="0"/>
      <w:divBdr>
        <w:top w:val="none" w:sz="0" w:space="0" w:color="auto"/>
        <w:left w:val="none" w:sz="0" w:space="0" w:color="auto"/>
        <w:bottom w:val="none" w:sz="0" w:space="0" w:color="auto"/>
        <w:right w:val="none" w:sz="0" w:space="0" w:color="auto"/>
      </w:divBdr>
    </w:div>
    <w:div w:id="1406491101">
      <w:bodyDiv w:val="1"/>
      <w:marLeft w:val="0"/>
      <w:marRight w:val="0"/>
      <w:marTop w:val="0"/>
      <w:marBottom w:val="0"/>
      <w:divBdr>
        <w:top w:val="none" w:sz="0" w:space="0" w:color="auto"/>
        <w:left w:val="none" w:sz="0" w:space="0" w:color="auto"/>
        <w:bottom w:val="none" w:sz="0" w:space="0" w:color="auto"/>
        <w:right w:val="none" w:sz="0" w:space="0" w:color="auto"/>
      </w:divBdr>
    </w:div>
    <w:div w:id="1468820738">
      <w:bodyDiv w:val="1"/>
      <w:marLeft w:val="0"/>
      <w:marRight w:val="0"/>
      <w:marTop w:val="0"/>
      <w:marBottom w:val="0"/>
      <w:divBdr>
        <w:top w:val="none" w:sz="0" w:space="0" w:color="auto"/>
        <w:left w:val="none" w:sz="0" w:space="0" w:color="auto"/>
        <w:bottom w:val="none" w:sz="0" w:space="0" w:color="auto"/>
        <w:right w:val="none" w:sz="0" w:space="0" w:color="auto"/>
      </w:divBdr>
    </w:div>
    <w:div w:id="1838107276">
      <w:bodyDiv w:val="1"/>
      <w:marLeft w:val="0"/>
      <w:marRight w:val="0"/>
      <w:marTop w:val="0"/>
      <w:marBottom w:val="0"/>
      <w:divBdr>
        <w:top w:val="none" w:sz="0" w:space="0" w:color="auto"/>
        <w:left w:val="none" w:sz="0" w:space="0" w:color="auto"/>
        <w:bottom w:val="none" w:sz="0" w:space="0" w:color="auto"/>
        <w:right w:val="none" w:sz="0" w:space="0" w:color="auto"/>
      </w:divBdr>
    </w:div>
    <w:div w:id="1861116819">
      <w:bodyDiv w:val="1"/>
      <w:marLeft w:val="0"/>
      <w:marRight w:val="0"/>
      <w:marTop w:val="0"/>
      <w:marBottom w:val="0"/>
      <w:divBdr>
        <w:top w:val="none" w:sz="0" w:space="0" w:color="auto"/>
        <w:left w:val="none" w:sz="0" w:space="0" w:color="auto"/>
        <w:bottom w:val="none" w:sz="0" w:space="0" w:color="auto"/>
        <w:right w:val="none" w:sz="0" w:space="0" w:color="auto"/>
      </w:divBdr>
    </w:div>
    <w:div w:id="1903365742">
      <w:bodyDiv w:val="1"/>
      <w:marLeft w:val="0"/>
      <w:marRight w:val="0"/>
      <w:marTop w:val="0"/>
      <w:marBottom w:val="0"/>
      <w:divBdr>
        <w:top w:val="none" w:sz="0" w:space="0" w:color="auto"/>
        <w:left w:val="none" w:sz="0" w:space="0" w:color="auto"/>
        <w:bottom w:val="none" w:sz="0" w:space="0" w:color="auto"/>
        <w:right w:val="none" w:sz="0" w:space="0" w:color="auto"/>
      </w:divBdr>
    </w:div>
    <w:div w:id="1910309220">
      <w:bodyDiv w:val="1"/>
      <w:marLeft w:val="0"/>
      <w:marRight w:val="0"/>
      <w:marTop w:val="0"/>
      <w:marBottom w:val="0"/>
      <w:divBdr>
        <w:top w:val="none" w:sz="0" w:space="0" w:color="auto"/>
        <w:left w:val="none" w:sz="0" w:space="0" w:color="auto"/>
        <w:bottom w:val="none" w:sz="0" w:space="0" w:color="auto"/>
        <w:right w:val="none" w:sz="0" w:space="0" w:color="auto"/>
      </w:divBdr>
    </w:div>
    <w:div w:id="1938781554">
      <w:bodyDiv w:val="1"/>
      <w:marLeft w:val="0"/>
      <w:marRight w:val="0"/>
      <w:marTop w:val="0"/>
      <w:marBottom w:val="0"/>
      <w:divBdr>
        <w:top w:val="none" w:sz="0" w:space="0" w:color="auto"/>
        <w:left w:val="none" w:sz="0" w:space="0" w:color="auto"/>
        <w:bottom w:val="none" w:sz="0" w:space="0" w:color="auto"/>
        <w:right w:val="none" w:sz="0" w:space="0" w:color="auto"/>
      </w:divBdr>
    </w:div>
    <w:div w:id="1993369935">
      <w:bodyDiv w:val="1"/>
      <w:marLeft w:val="0"/>
      <w:marRight w:val="0"/>
      <w:marTop w:val="0"/>
      <w:marBottom w:val="0"/>
      <w:divBdr>
        <w:top w:val="none" w:sz="0" w:space="0" w:color="auto"/>
        <w:left w:val="none" w:sz="0" w:space="0" w:color="auto"/>
        <w:bottom w:val="none" w:sz="0" w:space="0" w:color="auto"/>
        <w:right w:val="none" w:sz="0" w:space="0" w:color="auto"/>
      </w:divBdr>
    </w:div>
    <w:div w:id="2072075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vrpubindc.imprenta.gov.co/senado/index.xhtml;jsessionid=b3ba7213a248bacd37376ffcedca" TargetMode="External"/><Relationship Id="rId3" Type="http://schemas.openxmlformats.org/officeDocument/2006/relationships/hyperlink" Target="http://svrpubindc.imprenta.gov.co/senado/index.xhtml;jsessionid=b3ba7213a248bacd37376ffcedca" TargetMode="External"/><Relationship Id="rId7" Type="http://schemas.openxmlformats.org/officeDocument/2006/relationships/hyperlink" Target="http://svrpubindc.imprenta.gov.co/senado/index.xhtml;jsessionid=b3ba7213a248bacd37376ffcedca" TargetMode="External"/><Relationship Id="rId2" Type="http://schemas.openxmlformats.org/officeDocument/2006/relationships/hyperlink" Target="http://svrpubindc.imprenta.gov.co/senado/index.xhtml;jsessionid=b3ba7213a248bacd37376ffcedca" TargetMode="External"/><Relationship Id="rId1" Type="http://schemas.openxmlformats.org/officeDocument/2006/relationships/hyperlink" Target="http://svrpubindc.imprenta.gov.co/senado/index2.xhtml?ent=Senado&amp;fec=03-05-2012&amp;num=199" TargetMode="External"/><Relationship Id="rId6" Type="http://schemas.openxmlformats.org/officeDocument/2006/relationships/hyperlink" Target="http://svrpubindc.imprenta.gov.co/senado/index.xhtml;jsessionid=b3ba7213a248bacd37376ffcedca" TargetMode="External"/><Relationship Id="rId11" Type="http://schemas.openxmlformats.org/officeDocument/2006/relationships/hyperlink" Target="http://svrpubindc.imprenta.gov.co/senado/index.xhtml;jsessionid=b3ba7213a248bacd37376ffcedca" TargetMode="External"/><Relationship Id="rId5" Type="http://schemas.openxmlformats.org/officeDocument/2006/relationships/hyperlink" Target="http://svrpubindc.imprenta.gov.co/senado/index2.xhtml?ent=Camara&amp;fec=12-12-2011&amp;num=958" TargetMode="External"/><Relationship Id="rId10" Type="http://schemas.openxmlformats.org/officeDocument/2006/relationships/hyperlink" Target="http://svrpubindc.imprenta.gov.co/senado/index.xhtml;jsessionid=b3ba7213a248bacd37376ffcedca" TargetMode="External"/><Relationship Id="rId4" Type="http://schemas.openxmlformats.org/officeDocument/2006/relationships/hyperlink" Target="http://svrpubindc.imprenta.gov.co/senado/index.xhtml;jsessionid=b3ba7213a248bacd37376ffcedca" TargetMode="External"/><Relationship Id="rId9" Type="http://schemas.openxmlformats.org/officeDocument/2006/relationships/hyperlink" Target="http://svrpubindc.imprenta.gov.co/senado/index2.xhtml?ent=Senado&amp;fec=02-11-2011&amp;num=8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09F63-CBC1-4469-9AC1-E12B63133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18</Pages>
  <Words>5881</Words>
  <Characters>32347</Characters>
  <Application>Microsoft Office Word</Application>
  <DocSecurity>0</DocSecurity>
  <Lines>269</Lines>
  <Paragraphs>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Equipo Personal</Company>
  <LinksUpToDate>false</LinksUpToDate>
  <CharactersWithSpaces>38152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cadavid</dc:creator>
  <cp:lastModifiedBy>Daniel Lopez</cp:lastModifiedBy>
  <cp:revision>14</cp:revision>
  <cp:lastPrinted>2021-08-24T20:19:00Z</cp:lastPrinted>
  <dcterms:created xsi:type="dcterms:W3CDTF">2021-08-22T00:42:00Z</dcterms:created>
  <dcterms:modified xsi:type="dcterms:W3CDTF">2021-08-24T20:24:00Z</dcterms:modified>
</cp:coreProperties>
</file>