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20BAF" w14:textId="1822E0D6" w:rsidR="0039203B" w:rsidRPr="0005154F" w:rsidRDefault="0005154F" w:rsidP="0039203B">
      <w:pPr>
        <w:pBdr>
          <w:top w:val="nil"/>
          <w:left w:val="nil"/>
          <w:bottom w:val="nil"/>
          <w:right w:val="nil"/>
          <w:between w:val="nil"/>
        </w:pBdr>
        <w:rPr>
          <w:rFonts w:ascii="Arial" w:hAnsi="Arial" w:cs="Arial"/>
          <w:color w:val="000000"/>
        </w:rPr>
      </w:pPr>
      <w:r>
        <w:rPr>
          <w:rFonts w:ascii="Arial" w:hAnsi="Arial" w:cs="Arial"/>
          <w:color w:val="000000"/>
        </w:rPr>
        <w:t>Bogotá, D.C., agosto 8</w:t>
      </w:r>
      <w:r w:rsidR="0039203B" w:rsidRPr="0005154F">
        <w:rPr>
          <w:rFonts w:ascii="Arial" w:hAnsi="Arial" w:cs="Arial"/>
          <w:color w:val="000000"/>
        </w:rPr>
        <w:t xml:space="preserve"> de</w:t>
      </w:r>
      <w:r w:rsidR="0039203B" w:rsidRPr="0005154F">
        <w:rPr>
          <w:rFonts w:ascii="Arial" w:eastAsia="Calibri" w:hAnsi="Arial" w:cs="Arial"/>
          <w:color w:val="000000"/>
        </w:rPr>
        <w:t xml:space="preserve"> 2021 </w:t>
      </w:r>
    </w:p>
    <w:p w14:paraId="6E37352D" w14:textId="0D1836C1" w:rsidR="0039203B" w:rsidRDefault="0039203B" w:rsidP="0039203B">
      <w:pPr>
        <w:pBdr>
          <w:top w:val="nil"/>
          <w:left w:val="nil"/>
          <w:bottom w:val="nil"/>
          <w:right w:val="nil"/>
          <w:between w:val="nil"/>
        </w:pBdr>
        <w:rPr>
          <w:rFonts w:ascii="Arial" w:hAnsi="Arial" w:cs="Arial"/>
          <w:color w:val="000000"/>
        </w:rPr>
      </w:pPr>
    </w:p>
    <w:p w14:paraId="74F948C0" w14:textId="77777777" w:rsidR="0005154F" w:rsidRPr="0005154F" w:rsidRDefault="0005154F" w:rsidP="0039203B">
      <w:pPr>
        <w:pBdr>
          <w:top w:val="nil"/>
          <w:left w:val="nil"/>
          <w:bottom w:val="nil"/>
          <w:right w:val="nil"/>
          <w:between w:val="nil"/>
        </w:pBdr>
        <w:rPr>
          <w:rFonts w:ascii="Arial" w:hAnsi="Arial" w:cs="Arial"/>
          <w:color w:val="000000"/>
        </w:rPr>
      </w:pPr>
    </w:p>
    <w:p w14:paraId="5700023F" w14:textId="77777777" w:rsidR="0039203B" w:rsidRPr="0005154F" w:rsidRDefault="0039203B" w:rsidP="0039203B">
      <w:pPr>
        <w:pBdr>
          <w:top w:val="nil"/>
          <w:left w:val="nil"/>
          <w:bottom w:val="nil"/>
          <w:right w:val="nil"/>
          <w:between w:val="nil"/>
        </w:pBdr>
        <w:rPr>
          <w:rFonts w:ascii="Arial" w:hAnsi="Arial" w:cs="Arial"/>
          <w:color w:val="000000"/>
        </w:rPr>
      </w:pPr>
      <w:r w:rsidRPr="0005154F">
        <w:rPr>
          <w:rFonts w:ascii="Arial" w:eastAsia="Calibri" w:hAnsi="Arial" w:cs="Arial"/>
          <w:color w:val="000000"/>
        </w:rPr>
        <w:t>Doctor </w:t>
      </w:r>
    </w:p>
    <w:p w14:paraId="36631151" w14:textId="77777777" w:rsidR="0039203B" w:rsidRPr="0005154F" w:rsidRDefault="0039203B" w:rsidP="0039203B">
      <w:pPr>
        <w:pBdr>
          <w:top w:val="nil"/>
          <w:left w:val="nil"/>
          <w:bottom w:val="nil"/>
          <w:right w:val="nil"/>
          <w:between w:val="nil"/>
        </w:pBdr>
        <w:rPr>
          <w:rFonts w:ascii="Arial" w:hAnsi="Arial" w:cs="Arial"/>
          <w:b/>
          <w:color w:val="000000"/>
        </w:rPr>
      </w:pPr>
      <w:r w:rsidRPr="0005154F">
        <w:rPr>
          <w:rFonts w:ascii="Arial" w:hAnsi="Arial" w:cs="Arial"/>
          <w:b/>
          <w:color w:val="000000"/>
        </w:rPr>
        <w:t>JULIO CESAR TRIANA QUINTERO</w:t>
      </w:r>
    </w:p>
    <w:p w14:paraId="731B3E9C" w14:textId="77777777" w:rsidR="0039203B" w:rsidRPr="0005154F" w:rsidRDefault="0039203B" w:rsidP="0039203B">
      <w:pPr>
        <w:pBdr>
          <w:top w:val="nil"/>
          <w:left w:val="nil"/>
          <w:bottom w:val="nil"/>
          <w:right w:val="nil"/>
          <w:between w:val="nil"/>
        </w:pBdr>
        <w:rPr>
          <w:rFonts w:ascii="Arial" w:eastAsia="Calibri" w:hAnsi="Arial" w:cs="Arial"/>
          <w:color w:val="000000"/>
        </w:rPr>
      </w:pPr>
      <w:r w:rsidRPr="0005154F">
        <w:rPr>
          <w:rFonts w:ascii="Arial" w:eastAsia="Calibri" w:hAnsi="Arial" w:cs="Arial"/>
          <w:color w:val="000000"/>
        </w:rPr>
        <w:t xml:space="preserve">Presidente </w:t>
      </w:r>
    </w:p>
    <w:p w14:paraId="119C0F85" w14:textId="3CF08B42" w:rsidR="0039203B" w:rsidRPr="0005154F" w:rsidRDefault="0039203B" w:rsidP="0039203B">
      <w:pPr>
        <w:pBdr>
          <w:top w:val="nil"/>
          <w:left w:val="nil"/>
          <w:bottom w:val="nil"/>
          <w:right w:val="nil"/>
          <w:between w:val="nil"/>
        </w:pBdr>
        <w:rPr>
          <w:rFonts w:ascii="Arial" w:hAnsi="Arial" w:cs="Arial"/>
          <w:color w:val="000000"/>
        </w:rPr>
      </w:pPr>
      <w:r w:rsidRPr="0005154F">
        <w:rPr>
          <w:rFonts w:ascii="Arial" w:eastAsia="Calibri" w:hAnsi="Arial" w:cs="Arial"/>
          <w:color w:val="000000"/>
        </w:rPr>
        <w:t xml:space="preserve">Comisión Primera Constitucional </w:t>
      </w:r>
    </w:p>
    <w:p w14:paraId="2B0C128C" w14:textId="175BC26E" w:rsidR="0039203B" w:rsidRPr="0005154F" w:rsidRDefault="0039203B" w:rsidP="0039203B">
      <w:pPr>
        <w:pBdr>
          <w:top w:val="nil"/>
          <w:left w:val="nil"/>
          <w:bottom w:val="nil"/>
          <w:right w:val="nil"/>
          <w:between w:val="nil"/>
        </w:pBdr>
        <w:rPr>
          <w:rFonts w:ascii="Arial" w:eastAsia="Calibri" w:hAnsi="Arial" w:cs="Arial"/>
          <w:color w:val="000000"/>
        </w:rPr>
      </w:pPr>
      <w:r w:rsidRPr="0005154F">
        <w:rPr>
          <w:rFonts w:ascii="Arial" w:eastAsia="Calibri" w:hAnsi="Arial" w:cs="Arial"/>
          <w:color w:val="000000"/>
        </w:rPr>
        <w:t>Cámara de representantes </w:t>
      </w:r>
    </w:p>
    <w:p w14:paraId="0930454D" w14:textId="7376A740" w:rsidR="0039203B" w:rsidRDefault="0039203B" w:rsidP="0039203B">
      <w:pPr>
        <w:pBdr>
          <w:top w:val="nil"/>
          <w:left w:val="nil"/>
          <w:bottom w:val="nil"/>
          <w:right w:val="nil"/>
          <w:between w:val="nil"/>
        </w:pBdr>
        <w:rPr>
          <w:rFonts w:ascii="Arial" w:hAnsi="Arial" w:cs="Arial"/>
          <w:color w:val="000000"/>
        </w:rPr>
      </w:pPr>
    </w:p>
    <w:p w14:paraId="29FB399D" w14:textId="25DDFD26" w:rsidR="0005154F" w:rsidRDefault="0005154F" w:rsidP="0039203B">
      <w:pPr>
        <w:pBdr>
          <w:top w:val="nil"/>
          <w:left w:val="nil"/>
          <w:bottom w:val="nil"/>
          <w:right w:val="nil"/>
          <w:between w:val="nil"/>
        </w:pBdr>
        <w:rPr>
          <w:rFonts w:ascii="Arial" w:hAnsi="Arial" w:cs="Arial"/>
          <w:color w:val="000000"/>
        </w:rPr>
      </w:pPr>
    </w:p>
    <w:p w14:paraId="50456EB9" w14:textId="12B599D5" w:rsidR="0005154F" w:rsidRDefault="0005154F" w:rsidP="0039203B">
      <w:pPr>
        <w:pBdr>
          <w:top w:val="nil"/>
          <w:left w:val="nil"/>
          <w:bottom w:val="nil"/>
          <w:right w:val="nil"/>
          <w:between w:val="nil"/>
        </w:pBdr>
        <w:rPr>
          <w:rFonts w:ascii="Arial" w:hAnsi="Arial" w:cs="Arial"/>
          <w:color w:val="000000"/>
        </w:rPr>
      </w:pPr>
    </w:p>
    <w:p w14:paraId="5BDB4610" w14:textId="77777777" w:rsidR="0005154F" w:rsidRPr="0005154F" w:rsidRDefault="0005154F" w:rsidP="0039203B">
      <w:pPr>
        <w:pBdr>
          <w:top w:val="nil"/>
          <w:left w:val="nil"/>
          <w:bottom w:val="nil"/>
          <w:right w:val="nil"/>
          <w:between w:val="nil"/>
        </w:pBdr>
        <w:rPr>
          <w:rFonts w:ascii="Arial" w:hAnsi="Arial" w:cs="Arial"/>
          <w:color w:val="000000"/>
        </w:rPr>
      </w:pPr>
    </w:p>
    <w:p w14:paraId="7F778C01" w14:textId="061BAACF" w:rsidR="0005154F" w:rsidRDefault="0005154F" w:rsidP="0005154F">
      <w:pPr>
        <w:ind w:left="2880"/>
        <w:jc w:val="both"/>
        <w:rPr>
          <w:rFonts w:ascii="Arial" w:hAnsi="Arial" w:cs="Arial"/>
          <w:i/>
          <w:iCs/>
        </w:rPr>
      </w:pPr>
      <w:r w:rsidRPr="0005154F">
        <w:rPr>
          <w:rFonts w:ascii="Arial" w:hAnsi="Arial" w:cs="Arial"/>
          <w:b/>
          <w:bCs/>
        </w:rPr>
        <w:t>Asunto:</w:t>
      </w:r>
      <w:r w:rsidRPr="0005154F">
        <w:rPr>
          <w:rFonts w:ascii="Arial" w:hAnsi="Arial" w:cs="Arial"/>
        </w:rPr>
        <w:t xml:space="preserve"> informe de Ponencia para primer debate al Proyecto de Acto Legislativo No. 051 de 2021 Cámara </w:t>
      </w:r>
      <w:r w:rsidRPr="0005154F">
        <w:rPr>
          <w:rFonts w:ascii="Arial" w:hAnsi="Arial" w:cs="Arial"/>
          <w:i/>
          <w:iCs/>
        </w:rPr>
        <w:t>“Por medio del cual se modifican los ingresos del Sistema General de Participaciones”.</w:t>
      </w:r>
    </w:p>
    <w:p w14:paraId="6E747640" w14:textId="04E97827" w:rsidR="0005154F" w:rsidRDefault="0005154F" w:rsidP="0005154F">
      <w:pPr>
        <w:ind w:left="2880"/>
        <w:jc w:val="both"/>
        <w:rPr>
          <w:rFonts w:ascii="Arial" w:hAnsi="Arial" w:cs="Arial"/>
          <w:i/>
          <w:iCs/>
        </w:rPr>
      </w:pPr>
    </w:p>
    <w:p w14:paraId="0BB3303C" w14:textId="744E2CE2" w:rsidR="0005154F" w:rsidRDefault="0005154F" w:rsidP="0005154F">
      <w:pPr>
        <w:ind w:left="2880"/>
        <w:jc w:val="both"/>
        <w:rPr>
          <w:rFonts w:ascii="Arial" w:hAnsi="Arial" w:cs="Arial"/>
          <w:i/>
          <w:iCs/>
        </w:rPr>
      </w:pPr>
    </w:p>
    <w:p w14:paraId="761CD80E" w14:textId="4B9977F6" w:rsidR="0005154F" w:rsidRDefault="0005154F" w:rsidP="0005154F">
      <w:pPr>
        <w:ind w:left="2880"/>
        <w:jc w:val="both"/>
        <w:rPr>
          <w:rFonts w:ascii="Arial" w:hAnsi="Arial" w:cs="Arial"/>
          <w:i/>
          <w:iCs/>
        </w:rPr>
      </w:pPr>
    </w:p>
    <w:p w14:paraId="599C0157" w14:textId="50EC52CD" w:rsidR="0005154F" w:rsidRDefault="0005154F" w:rsidP="0005154F">
      <w:pPr>
        <w:ind w:left="2880"/>
        <w:jc w:val="both"/>
        <w:rPr>
          <w:rFonts w:ascii="Arial" w:hAnsi="Arial" w:cs="Arial"/>
          <w:i/>
          <w:iCs/>
        </w:rPr>
      </w:pPr>
    </w:p>
    <w:p w14:paraId="15316767" w14:textId="77777777" w:rsidR="0005154F" w:rsidRPr="0005154F" w:rsidRDefault="0005154F" w:rsidP="0005154F">
      <w:pPr>
        <w:ind w:left="2880"/>
        <w:jc w:val="both"/>
        <w:rPr>
          <w:rFonts w:ascii="Arial" w:hAnsi="Arial" w:cs="Arial"/>
          <w:i/>
          <w:iCs/>
        </w:rPr>
      </w:pPr>
    </w:p>
    <w:p w14:paraId="2842ECB0" w14:textId="3967FB2D" w:rsidR="0005154F" w:rsidRDefault="0005154F" w:rsidP="0005154F">
      <w:pPr>
        <w:rPr>
          <w:rFonts w:ascii="Arial" w:hAnsi="Arial" w:cs="Arial"/>
        </w:rPr>
      </w:pPr>
      <w:r w:rsidRPr="0005154F">
        <w:rPr>
          <w:rFonts w:ascii="Arial" w:hAnsi="Arial" w:cs="Arial"/>
        </w:rPr>
        <w:t xml:space="preserve">Respetado </w:t>
      </w:r>
      <w:r>
        <w:rPr>
          <w:rFonts w:ascii="Arial" w:hAnsi="Arial" w:cs="Arial"/>
        </w:rPr>
        <w:t>señor Presidente</w:t>
      </w:r>
      <w:r w:rsidRPr="0005154F">
        <w:rPr>
          <w:rFonts w:ascii="Arial" w:hAnsi="Arial" w:cs="Arial"/>
        </w:rPr>
        <w:t>:</w:t>
      </w:r>
    </w:p>
    <w:p w14:paraId="7EB5250E" w14:textId="1A0BF5A3" w:rsidR="0005154F" w:rsidRDefault="0005154F" w:rsidP="0005154F">
      <w:pPr>
        <w:rPr>
          <w:rFonts w:ascii="Arial" w:hAnsi="Arial" w:cs="Arial"/>
        </w:rPr>
      </w:pPr>
    </w:p>
    <w:p w14:paraId="030E3107" w14:textId="77777777" w:rsidR="0005154F" w:rsidRPr="0005154F" w:rsidRDefault="0005154F" w:rsidP="0005154F">
      <w:pPr>
        <w:rPr>
          <w:rFonts w:ascii="Arial" w:hAnsi="Arial" w:cs="Arial"/>
        </w:rPr>
      </w:pPr>
    </w:p>
    <w:p w14:paraId="2A7EEC30" w14:textId="57DB1BD8" w:rsidR="0005154F" w:rsidRDefault="0005154F" w:rsidP="0005154F">
      <w:pPr>
        <w:jc w:val="both"/>
        <w:rPr>
          <w:rFonts w:ascii="Arial" w:hAnsi="Arial" w:cs="Arial"/>
          <w:i/>
          <w:iCs/>
        </w:rPr>
      </w:pPr>
      <w:r w:rsidRPr="0005154F">
        <w:rPr>
          <w:rFonts w:ascii="Arial" w:hAnsi="Arial" w:cs="Arial"/>
        </w:rPr>
        <w:t xml:space="preserve">En cumplimiento del encargo hecho por la Honorable Mesa directiva de la Comisión primera de la Cámara de Representantes del Congreso de la República y de conformidad con lo establecido en el artículo 156 de la Ley 5ta de 1992, me permito rendir informe de ponencia para primera debate en primera vuelta el proyecto de Acto Legislativo No. 051 de 2021 Cámara </w:t>
      </w:r>
      <w:r w:rsidRPr="0005154F">
        <w:rPr>
          <w:rFonts w:ascii="Arial" w:hAnsi="Arial" w:cs="Arial"/>
          <w:i/>
          <w:iCs/>
        </w:rPr>
        <w:t xml:space="preserve">“Por medio del cual se modifican los ingresos del Sistema General de Participaciones”. </w:t>
      </w:r>
    </w:p>
    <w:p w14:paraId="0BC81F10" w14:textId="77777777" w:rsidR="0005154F" w:rsidRPr="0005154F" w:rsidRDefault="0005154F" w:rsidP="0005154F">
      <w:pPr>
        <w:jc w:val="both"/>
        <w:rPr>
          <w:rFonts w:ascii="Arial" w:hAnsi="Arial" w:cs="Arial"/>
          <w:i/>
          <w:iCs/>
        </w:rPr>
      </w:pPr>
    </w:p>
    <w:p w14:paraId="7EE9C1A7" w14:textId="0BD32C5A" w:rsidR="0039203B" w:rsidRPr="0005154F" w:rsidRDefault="0042030E" w:rsidP="0042030E">
      <w:pPr>
        <w:pBdr>
          <w:top w:val="nil"/>
          <w:left w:val="nil"/>
          <w:bottom w:val="nil"/>
          <w:right w:val="nil"/>
          <w:between w:val="nil"/>
        </w:pBdr>
        <w:jc w:val="both"/>
        <w:rPr>
          <w:rFonts w:ascii="Arial" w:hAnsi="Arial" w:cs="Arial"/>
          <w:color w:val="000000"/>
        </w:rPr>
      </w:pPr>
      <w:r w:rsidRPr="0005154F">
        <w:rPr>
          <w:rFonts w:ascii="Arial" w:hAnsi="Arial" w:cs="Arial"/>
          <w:color w:val="000000"/>
        </w:rPr>
        <w:t xml:space="preserve"> </w:t>
      </w:r>
    </w:p>
    <w:p w14:paraId="52AECD5D" w14:textId="19950234" w:rsidR="0039203B" w:rsidRPr="0005154F" w:rsidRDefault="0039203B" w:rsidP="0039203B">
      <w:pPr>
        <w:pBdr>
          <w:top w:val="nil"/>
          <w:left w:val="nil"/>
          <w:bottom w:val="nil"/>
          <w:right w:val="nil"/>
          <w:between w:val="nil"/>
        </w:pBdr>
        <w:jc w:val="both"/>
        <w:rPr>
          <w:rFonts w:ascii="Arial" w:hAnsi="Arial" w:cs="Arial"/>
          <w:color w:val="000000"/>
        </w:rPr>
      </w:pPr>
      <w:r w:rsidRPr="0005154F">
        <w:rPr>
          <w:rFonts w:ascii="Arial" w:eastAsia="Calibri" w:hAnsi="Arial" w:cs="Arial"/>
          <w:color w:val="000000"/>
        </w:rPr>
        <w:t>Cordialmente,</w:t>
      </w:r>
    </w:p>
    <w:p w14:paraId="1709537C" w14:textId="77777777" w:rsidR="0039203B" w:rsidRPr="0005154F" w:rsidRDefault="0039203B" w:rsidP="0039203B">
      <w:pPr>
        <w:pBdr>
          <w:top w:val="nil"/>
          <w:left w:val="nil"/>
          <w:bottom w:val="nil"/>
          <w:right w:val="nil"/>
          <w:between w:val="nil"/>
        </w:pBdr>
        <w:jc w:val="both"/>
        <w:rPr>
          <w:rFonts w:ascii="Arial" w:hAnsi="Arial" w:cs="Arial"/>
          <w:color w:val="000000"/>
        </w:rPr>
      </w:pPr>
    </w:p>
    <w:p w14:paraId="40969796" w14:textId="1A68E843" w:rsidR="0039203B" w:rsidRDefault="0039203B" w:rsidP="0039203B">
      <w:pPr>
        <w:rPr>
          <w:rFonts w:ascii="Arial" w:hAnsi="Arial" w:cs="Arial"/>
          <w:lang w:val="es-ES"/>
        </w:rPr>
      </w:pPr>
    </w:p>
    <w:p w14:paraId="45A30537" w14:textId="77777777" w:rsidR="0005154F" w:rsidRPr="0005154F" w:rsidRDefault="0005154F" w:rsidP="0039203B">
      <w:pPr>
        <w:rPr>
          <w:rFonts w:ascii="Arial" w:hAnsi="Arial" w:cs="Arial"/>
          <w:lang w:val="es-ES"/>
        </w:rPr>
      </w:pPr>
    </w:p>
    <w:p w14:paraId="6C423F10" w14:textId="77777777" w:rsidR="0039203B" w:rsidRPr="0005154F" w:rsidRDefault="0039203B" w:rsidP="0039203B">
      <w:pPr>
        <w:rPr>
          <w:rFonts w:ascii="Arial" w:hAnsi="Arial" w:cs="Arial"/>
          <w:lang w:val="es-ES"/>
        </w:rPr>
      </w:pPr>
    </w:p>
    <w:p w14:paraId="447A4664" w14:textId="640DE302" w:rsidR="0039203B" w:rsidRPr="0005154F" w:rsidRDefault="0039203B" w:rsidP="0039203B">
      <w:pPr>
        <w:rPr>
          <w:rFonts w:ascii="Arial" w:hAnsi="Arial" w:cs="Arial"/>
          <w:b/>
          <w:lang w:val="es-ES"/>
        </w:rPr>
      </w:pPr>
      <w:r w:rsidRPr="0005154F">
        <w:rPr>
          <w:rFonts w:ascii="Arial" w:hAnsi="Arial" w:cs="Arial"/>
          <w:b/>
          <w:lang w:val="es-ES"/>
        </w:rPr>
        <w:t>LUIS ALBERTO ALBÁN URBANO</w:t>
      </w:r>
    </w:p>
    <w:p w14:paraId="21EB54A7" w14:textId="77777777" w:rsidR="0039203B" w:rsidRPr="0005154F" w:rsidRDefault="0039203B" w:rsidP="0039203B">
      <w:pPr>
        <w:rPr>
          <w:rFonts w:ascii="Arial" w:hAnsi="Arial" w:cs="Arial"/>
          <w:lang w:val="es-ES"/>
        </w:rPr>
      </w:pPr>
      <w:r w:rsidRPr="0005154F">
        <w:rPr>
          <w:rFonts w:ascii="Arial" w:hAnsi="Arial" w:cs="Arial"/>
          <w:lang w:val="es-ES"/>
        </w:rPr>
        <w:t>Representante a la Cámara</w:t>
      </w:r>
    </w:p>
    <w:p w14:paraId="5C1B5AD7" w14:textId="77777777" w:rsidR="0039203B" w:rsidRPr="0005154F" w:rsidRDefault="0039203B" w:rsidP="0039203B">
      <w:pPr>
        <w:rPr>
          <w:rFonts w:ascii="Arial" w:hAnsi="Arial" w:cs="Arial"/>
          <w:lang w:val="es-ES"/>
        </w:rPr>
      </w:pPr>
      <w:r w:rsidRPr="0005154F">
        <w:rPr>
          <w:rFonts w:ascii="Arial" w:hAnsi="Arial" w:cs="Arial"/>
          <w:lang w:val="es-ES"/>
        </w:rPr>
        <w:t>Valle del Cauca</w:t>
      </w:r>
    </w:p>
    <w:p w14:paraId="2078D195" w14:textId="77777777" w:rsidR="0039203B" w:rsidRPr="0005154F" w:rsidRDefault="0039203B" w:rsidP="0039203B">
      <w:pPr>
        <w:rPr>
          <w:rFonts w:ascii="Arial" w:hAnsi="Arial" w:cs="Arial"/>
          <w:lang w:val="es-ES"/>
        </w:rPr>
      </w:pPr>
      <w:r w:rsidRPr="0005154F">
        <w:rPr>
          <w:rFonts w:ascii="Arial" w:hAnsi="Arial" w:cs="Arial"/>
          <w:lang w:val="es-ES"/>
        </w:rPr>
        <w:t xml:space="preserve">Partido Comunes  </w:t>
      </w:r>
    </w:p>
    <w:p w14:paraId="200F5D59" w14:textId="0255243C" w:rsidR="0039203B" w:rsidRPr="0005154F" w:rsidRDefault="0039203B" w:rsidP="0039203B">
      <w:pPr>
        <w:pBdr>
          <w:top w:val="nil"/>
          <w:left w:val="nil"/>
          <w:bottom w:val="nil"/>
          <w:right w:val="nil"/>
          <w:between w:val="nil"/>
        </w:pBdr>
        <w:jc w:val="both"/>
        <w:rPr>
          <w:rFonts w:ascii="Arial" w:hAnsi="Arial" w:cs="Arial"/>
          <w:color w:val="000000"/>
        </w:rPr>
      </w:pPr>
    </w:p>
    <w:p w14:paraId="19CCB9FF" w14:textId="06576987" w:rsidR="002700CB" w:rsidRPr="0005154F" w:rsidRDefault="002700CB" w:rsidP="00AF2114">
      <w:pPr>
        <w:pBdr>
          <w:top w:val="nil"/>
          <w:left w:val="nil"/>
          <w:bottom w:val="nil"/>
          <w:right w:val="nil"/>
          <w:between w:val="nil"/>
        </w:pBdr>
        <w:jc w:val="both"/>
        <w:rPr>
          <w:rFonts w:ascii="Arial" w:eastAsia="Calibri" w:hAnsi="Arial" w:cs="Arial"/>
          <w:color w:val="000000"/>
        </w:rPr>
      </w:pPr>
    </w:p>
    <w:p w14:paraId="2EDEA01F" w14:textId="705B11F1" w:rsidR="0005154F" w:rsidRPr="0005154F" w:rsidRDefault="0005154F" w:rsidP="0005154F">
      <w:pPr>
        <w:spacing w:after="120" w:line="360" w:lineRule="auto"/>
        <w:jc w:val="center"/>
        <w:rPr>
          <w:rFonts w:ascii="Arial" w:hAnsi="Arial" w:cs="Arial"/>
          <w:b/>
          <w:bCs/>
        </w:rPr>
      </w:pPr>
      <w:r w:rsidRPr="0005154F">
        <w:rPr>
          <w:rFonts w:ascii="Arial" w:hAnsi="Arial" w:cs="Arial"/>
          <w:b/>
          <w:bCs/>
        </w:rPr>
        <w:lastRenderedPageBreak/>
        <w:t xml:space="preserve">INFORME DE </w:t>
      </w:r>
      <w:r w:rsidRPr="0005154F">
        <w:rPr>
          <w:rFonts w:ascii="Arial" w:hAnsi="Arial" w:cs="Arial"/>
          <w:b/>
          <w:bCs/>
        </w:rPr>
        <w:t>PONENCIA PARA PRIMER DEBATE AL PROYECTO DE ACTO LEGISLATIVO NO. 051</w:t>
      </w:r>
      <w:r w:rsidRPr="0005154F">
        <w:rPr>
          <w:rFonts w:ascii="Arial" w:hAnsi="Arial" w:cs="Arial"/>
          <w:b/>
          <w:bCs/>
        </w:rPr>
        <w:t xml:space="preserve"> DE 2021 CÁMARA</w:t>
      </w:r>
      <w:r w:rsidRPr="0005154F">
        <w:rPr>
          <w:rFonts w:ascii="Arial" w:hAnsi="Arial" w:cs="Arial"/>
          <w:b/>
          <w:bCs/>
        </w:rPr>
        <w:t xml:space="preserve"> “POR MEDIO DEL CUAL SE MODIFICAN LOS INGRESOS AL SIST</w:t>
      </w:r>
      <w:r w:rsidRPr="0005154F">
        <w:rPr>
          <w:rFonts w:ascii="Arial" w:hAnsi="Arial" w:cs="Arial"/>
          <w:b/>
          <w:bCs/>
        </w:rPr>
        <w:t>EMA GENERAL DE PARTICIPACIONES”</w:t>
      </w:r>
    </w:p>
    <w:p w14:paraId="0053B29E" w14:textId="77777777" w:rsidR="0005154F" w:rsidRDefault="0005154F" w:rsidP="0005154F">
      <w:pPr>
        <w:spacing w:after="120" w:line="360" w:lineRule="auto"/>
        <w:jc w:val="both"/>
        <w:rPr>
          <w:rFonts w:ascii="Arial" w:hAnsi="Arial" w:cs="Arial"/>
        </w:rPr>
      </w:pPr>
    </w:p>
    <w:p w14:paraId="571DC5D6" w14:textId="5675CD59" w:rsidR="0005154F" w:rsidRPr="0005154F" w:rsidRDefault="0005154F" w:rsidP="0005154F">
      <w:pPr>
        <w:spacing w:after="120" w:line="360" w:lineRule="auto"/>
        <w:jc w:val="both"/>
        <w:rPr>
          <w:rFonts w:ascii="Arial" w:hAnsi="Arial" w:cs="Arial"/>
        </w:rPr>
      </w:pPr>
      <w:r w:rsidRPr="0005154F">
        <w:rPr>
          <w:rFonts w:ascii="Arial" w:hAnsi="Arial" w:cs="Arial"/>
        </w:rPr>
        <w:t xml:space="preserve">El informe a continuación está compuesto de los siguientes elementos: </w:t>
      </w:r>
    </w:p>
    <w:p w14:paraId="2E02C639" w14:textId="77777777" w:rsidR="0005154F" w:rsidRPr="0005154F" w:rsidRDefault="0005154F" w:rsidP="0005154F">
      <w:pPr>
        <w:spacing w:after="120" w:line="360" w:lineRule="auto"/>
        <w:jc w:val="both"/>
        <w:rPr>
          <w:rFonts w:ascii="Arial" w:hAnsi="Arial" w:cs="Arial"/>
        </w:rPr>
      </w:pPr>
    </w:p>
    <w:p w14:paraId="2C3B9828" w14:textId="77777777" w:rsidR="0005154F" w:rsidRPr="0005154F" w:rsidRDefault="0005154F" w:rsidP="0005154F">
      <w:pPr>
        <w:pStyle w:val="Prrafodelista"/>
        <w:numPr>
          <w:ilvl w:val="0"/>
          <w:numId w:val="15"/>
        </w:numPr>
        <w:spacing w:after="120" w:line="360" w:lineRule="auto"/>
        <w:jc w:val="both"/>
        <w:rPr>
          <w:rFonts w:ascii="Arial" w:hAnsi="Arial" w:cs="Arial"/>
          <w:b/>
          <w:bCs/>
        </w:rPr>
      </w:pPr>
      <w:r w:rsidRPr="0005154F">
        <w:rPr>
          <w:rFonts w:ascii="Arial" w:hAnsi="Arial" w:cs="Arial"/>
          <w:b/>
          <w:bCs/>
        </w:rPr>
        <w:t xml:space="preserve">Antecedentes y trámite de la iniciativa. </w:t>
      </w:r>
    </w:p>
    <w:p w14:paraId="05490236" w14:textId="77777777" w:rsidR="0005154F" w:rsidRPr="0005154F" w:rsidRDefault="0005154F" w:rsidP="0005154F">
      <w:pPr>
        <w:pStyle w:val="Prrafodelista"/>
        <w:numPr>
          <w:ilvl w:val="0"/>
          <w:numId w:val="15"/>
        </w:numPr>
        <w:spacing w:after="120" w:line="360" w:lineRule="auto"/>
        <w:jc w:val="both"/>
        <w:rPr>
          <w:rFonts w:ascii="Arial" w:hAnsi="Arial" w:cs="Arial"/>
          <w:b/>
          <w:bCs/>
        </w:rPr>
      </w:pPr>
      <w:r w:rsidRPr="0005154F">
        <w:rPr>
          <w:rFonts w:ascii="Arial" w:hAnsi="Arial" w:cs="Arial"/>
          <w:b/>
          <w:bCs/>
        </w:rPr>
        <w:t>Objeto del proyecto de Acto Legislativo</w:t>
      </w:r>
    </w:p>
    <w:p w14:paraId="5CE696A0" w14:textId="77777777" w:rsidR="0005154F" w:rsidRPr="0005154F" w:rsidRDefault="0005154F" w:rsidP="0005154F">
      <w:pPr>
        <w:pStyle w:val="Prrafodelista"/>
        <w:numPr>
          <w:ilvl w:val="0"/>
          <w:numId w:val="15"/>
        </w:numPr>
        <w:spacing w:after="120" w:line="360" w:lineRule="auto"/>
        <w:jc w:val="both"/>
        <w:rPr>
          <w:rFonts w:ascii="Arial" w:hAnsi="Arial" w:cs="Arial"/>
          <w:b/>
          <w:bCs/>
        </w:rPr>
      </w:pPr>
      <w:r w:rsidRPr="0005154F">
        <w:rPr>
          <w:rFonts w:ascii="Arial" w:hAnsi="Arial" w:cs="Arial"/>
          <w:b/>
          <w:bCs/>
        </w:rPr>
        <w:t xml:space="preserve">Problemas que busca resolver. </w:t>
      </w:r>
    </w:p>
    <w:p w14:paraId="152D5D22" w14:textId="77777777" w:rsidR="0005154F" w:rsidRPr="0005154F" w:rsidRDefault="0005154F" w:rsidP="0005154F">
      <w:pPr>
        <w:pStyle w:val="Prrafodelista"/>
        <w:numPr>
          <w:ilvl w:val="0"/>
          <w:numId w:val="15"/>
        </w:numPr>
        <w:spacing w:after="120" w:line="360" w:lineRule="auto"/>
        <w:jc w:val="both"/>
        <w:rPr>
          <w:rFonts w:ascii="Arial" w:hAnsi="Arial" w:cs="Arial"/>
          <w:b/>
          <w:bCs/>
        </w:rPr>
      </w:pPr>
      <w:r w:rsidRPr="0005154F">
        <w:rPr>
          <w:rFonts w:ascii="Arial" w:hAnsi="Arial" w:cs="Arial"/>
          <w:b/>
          <w:bCs/>
        </w:rPr>
        <w:t xml:space="preserve">Contexto Normativo. </w:t>
      </w:r>
    </w:p>
    <w:p w14:paraId="085A8F23" w14:textId="77777777" w:rsidR="0005154F" w:rsidRPr="0005154F" w:rsidRDefault="0005154F" w:rsidP="0005154F">
      <w:pPr>
        <w:pStyle w:val="Prrafodelista"/>
        <w:numPr>
          <w:ilvl w:val="0"/>
          <w:numId w:val="15"/>
        </w:numPr>
        <w:spacing w:after="120" w:line="360" w:lineRule="auto"/>
        <w:jc w:val="both"/>
        <w:rPr>
          <w:rFonts w:ascii="Arial" w:hAnsi="Arial" w:cs="Arial"/>
          <w:b/>
          <w:bCs/>
        </w:rPr>
      </w:pPr>
      <w:r w:rsidRPr="0005154F">
        <w:rPr>
          <w:rFonts w:ascii="Arial" w:hAnsi="Arial" w:cs="Arial"/>
          <w:b/>
          <w:bCs/>
        </w:rPr>
        <w:t xml:space="preserve">Conflictos de Interés. </w:t>
      </w:r>
    </w:p>
    <w:p w14:paraId="1531E485" w14:textId="3B7B474F" w:rsidR="0005154F" w:rsidRPr="0005154F" w:rsidRDefault="0005154F" w:rsidP="0005154F">
      <w:pPr>
        <w:pStyle w:val="Prrafodelista"/>
        <w:numPr>
          <w:ilvl w:val="0"/>
          <w:numId w:val="15"/>
        </w:numPr>
        <w:spacing w:after="120" w:line="360" w:lineRule="auto"/>
        <w:jc w:val="both"/>
        <w:rPr>
          <w:rFonts w:ascii="Arial" w:hAnsi="Arial" w:cs="Arial"/>
          <w:b/>
          <w:bCs/>
        </w:rPr>
      </w:pPr>
      <w:r w:rsidRPr="0005154F">
        <w:rPr>
          <w:rFonts w:ascii="Arial" w:hAnsi="Arial" w:cs="Arial"/>
          <w:b/>
          <w:bCs/>
        </w:rPr>
        <w:t>Proposición.</w:t>
      </w:r>
    </w:p>
    <w:p w14:paraId="036B69EF" w14:textId="0CB3B902" w:rsidR="0005154F" w:rsidRPr="0005154F" w:rsidRDefault="0005154F" w:rsidP="0005154F">
      <w:pPr>
        <w:pStyle w:val="Prrafodelista"/>
        <w:numPr>
          <w:ilvl w:val="0"/>
          <w:numId w:val="15"/>
        </w:numPr>
        <w:spacing w:after="120" w:line="360" w:lineRule="auto"/>
        <w:jc w:val="both"/>
        <w:rPr>
          <w:rFonts w:ascii="Arial" w:hAnsi="Arial" w:cs="Arial"/>
          <w:b/>
          <w:bCs/>
        </w:rPr>
      </w:pPr>
      <w:r w:rsidRPr="0005154F">
        <w:rPr>
          <w:rFonts w:ascii="Arial" w:hAnsi="Arial" w:cs="Arial"/>
          <w:b/>
          <w:bCs/>
        </w:rPr>
        <w:t>Texto propuesto para primer debate.</w:t>
      </w:r>
    </w:p>
    <w:p w14:paraId="36187BA3" w14:textId="77777777" w:rsidR="0005154F" w:rsidRPr="0005154F" w:rsidRDefault="0005154F" w:rsidP="0005154F">
      <w:pPr>
        <w:spacing w:after="120" w:line="360" w:lineRule="auto"/>
        <w:jc w:val="both"/>
        <w:rPr>
          <w:rFonts w:ascii="Arial" w:hAnsi="Arial" w:cs="Arial"/>
          <w:b/>
          <w:bCs/>
        </w:rPr>
      </w:pPr>
    </w:p>
    <w:p w14:paraId="50E92BBB" w14:textId="77777777" w:rsidR="0005154F" w:rsidRPr="0005154F" w:rsidRDefault="0005154F" w:rsidP="0005154F">
      <w:pPr>
        <w:pStyle w:val="Prrafodelista"/>
        <w:numPr>
          <w:ilvl w:val="0"/>
          <w:numId w:val="16"/>
        </w:numPr>
        <w:spacing w:after="120" w:line="360" w:lineRule="auto"/>
        <w:jc w:val="both"/>
        <w:rPr>
          <w:rFonts w:ascii="Arial" w:hAnsi="Arial" w:cs="Arial"/>
          <w:b/>
          <w:bCs/>
        </w:rPr>
      </w:pPr>
      <w:r w:rsidRPr="0005154F">
        <w:rPr>
          <w:rFonts w:ascii="Arial" w:hAnsi="Arial" w:cs="Arial"/>
          <w:b/>
          <w:bCs/>
        </w:rPr>
        <w:t>ANTECEDENTES Y TRÁMITE DE LA INICIATIVA</w:t>
      </w:r>
    </w:p>
    <w:p w14:paraId="4D92C536" w14:textId="77777777" w:rsidR="0005154F" w:rsidRPr="0005154F" w:rsidRDefault="0005154F" w:rsidP="0005154F">
      <w:pPr>
        <w:spacing w:after="120" w:line="360" w:lineRule="auto"/>
        <w:jc w:val="both"/>
        <w:rPr>
          <w:rFonts w:ascii="Arial" w:hAnsi="Arial" w:cs="Arial"/>
        </w:rPr>
      </w:pPr>
      <w:r w:rsidRPr="0005154F">
        <w:rPr>
          <w:rFonts w:ascii="Arial" w:hAnsi="Arial" w:cs="Arial"/>
        </w:rPr>
        <w:t xml:space="preserve">El proyecto de acto legislativo en consideración fue radicado el 20 de julio de 2021 por los congresistas Gustavo Petro Urrego, Jorge Eduardo Londoño Ulloa, Iván Cepeda Castro, Wilson Arias Castillo, Julián Gallo Cubillos, Aida Yolanda Avella Esquivel, Pablo Catatumbo Torres Victoria León Fredy Muñoz Lopera, María José Pizarro Rodríguez, Wilmer Leal Pérez, Fabián Díaz Plata, César Augusto Ortiz Zorro, David Ricardo Racero Mayorca, Jairo Reinaldo Cala Suárez, Abel David Jaramillo Largo y Carlos Alberto Carreño Marín. </w:t>
      </w:r>
    </w:p>
    <w:p w14:paraId="12A478A5" w14:textId="77777777" w:rsidR="0005154F" w:rsidRPr="0005154F" w:rsidRDefault="0005154F" w:rsidP="0005154F">
      <w:pPr>
        <w:spacing w:after="120" w:line="360" w:lineRule="auto"/>
        <w:jc w:val="both"/>
        <w:rPr>
          <w:rFonts w:ascii="Arial" w:hAnsi="Arial" w:cs="Arial"/>
        </w:rPr>
      </w:pPr>
      <w:r w:rsidRPr="0005154F">
        <w:rPr>
          <w:rFonts w:ascii="Arial" w:hAnsi="Arial" w:cs="Arial"/>
        </w:rPr>
        <w:t xml:space="preserve">Es importante tener en cuenta que este Proyecto de Acto Legislativo fue presentado en diversas ocasiones. La primera versión fue presentada por el Senador Navarro Wolff en el segundo semestre del año 2017, sin embargo, por trámite legislativo el Proyecto fue archivado y se volvió a presentar en marzo del año 2018, fue aprobado </w:t>
      </w:r>
      <w:r w:rsidRPr="0005154F">
        <w:rPr>
          <w:rFonts w:ascii="Arial" w:hAnsi="Arial" w:cs="Arial"/>
        </w:rPr>
        <w:lastRenderedPageBreak/>
        <w:t>en Comisión Primera de Senado, posteriormente en Plenaria de Senado, luego en Comisión Primera de la Cámara de Representantes, sin embargo, en Plenaria de la Cámara de Representantes cuando se surtía el cuarto debate de su trámite legislativo fue votado negativamente y por ende fue archivado.</w:t>
      </w:r>
    </w:p>
    <w:p w14:paraId="4AB5051E" w14:textId="77777777" w:rsidR="0005154F" w:rsidRPr="0005154F" w:rsidRDefault="0005154F" w:rsidP="0005154F">
      <w:pPr>
        <w:spacing w:after="120" w:line="360" w:lineRule="auto"/>
        <w:jc w:val="both"/>
        <w:rPr>
          <w:rFonts w:ascii="Arial" w:hAnsi="Arial" w:cs="Arial"/>
        </w:rPr>
      </w:pPr>
      <w:r w:rsidRPr="0005154F">
        <w:rPr>
          <w:rFonts w:ascii="Arial" w:hAnsi="Arial" w:cs="Arial"/>
        </w:rPr>
        <w:t>Adicionalmente, el 26 de julio de 2018, en febrero del año 2019 y en julio del mismo año fue presentada tal iniciativa por parte del H.R. León Fredy Muñoz Lopera, junto con la bancada del partido Alianza Verde, al igual que otros congresistas de diferentes partidos políticos. Tal Proyecto de Acto Legislativo fue el 046 de 2018 Cámara y el 341 de 2019 Cámara, 087 de 2019 Cámara, los cuales fueron aprobados en primer debate, pero fueron archivados en virtud de los artículos 224 y 225 de la Ley 5 de 1992.</w:t>
      </w:r>
    </w:p>
    <w:p w14:paraId="0BB12554" w14:textId="7242CE6C" w:rsidR="0005154F" w:rsidRPr="0005154F" w:rsidRDefault="0005154F" w:rsidP="0005154F">
      <w:pPr>
        <w:pStyle w:val="Prrafodelista"/>
        <w:spacing w:after="120" w:line="360" w:lineRule="auto"/>
        <w:jc w:val="both"/>
        <w:rPr>
          <w:rFonts w:ascii="Arial" w:hAnsi="Arial" w:cs="Arial"/>
        </w:rPr>
      </w:pPr>
    </w:p>
    <w:p w14:paraId="25F1ADE1" w14:textId="77777777" w:rsidR="0005154F" w:rsidRPr="0005154F" w:rsidRDefault="0005154F" w:rsidP="0005154F">
      <w:pPr>
        <w:pStyle w:val="Prrafodelista"/>
        <w:numPr>
          <w:ilvl w:val="0"/>
          <w:numId w:val="16"/>
        </w:numPr>
        <w:spacing w:after="120" w:line="360" w:lineRule="auto"/>
        <w:jc w:val="both"/>
        <w:rPr>
          <w:rFonts w:ascii="Arial" w:hAnsi="Arial" w:cs="Arial"/>
          <w:b/>
          <w:bCs/>
        </w:rPr>
      </w:pPr>
      <w:r w:rsidRPr="0005154F">
        <w:rPr>
          <w:rFonts w:ascii="Arial" w:hAnsi="Arial" w:cs="Arial"/>
          <w:b/>
          <w:bCs/>
        </w:rPr>
        <w:t>OBJETO DEL PROYECTO DE ACTO LEGISLATIVO</w:t>
      </w:r>
    </w:p>
    <w:p w14:paraId="43A86A94" w14:textId="77777777" w:rsidR="0005154F" w:rsidRPr="0005154F" w:rsidRDefault="0005154F" w:rsidP="0005154F">
      <w:pPr>
        <w:spacing w:after="120" w:line="360" w:lineRule="auto"/>
        <w:jc w:val="both"/>
        <w:rPr>
          <w:rFonts w:ascii="Arial" w:hAnsi="Arial" w:cs="Arial"/>
        </w:rPr>
      </w:pPr>
      <w:r w:rsidRPr="0005154F">
        <w:rPr>
          <w:rFonts w:ascii="Arial" w:hAnsi="Arial" w:cs="Arial"/>
        </w:rPr>
        <w:t xml:space="preserve">El Proyecto de Acto Legislativo busca garantizar unos montos y un flujo continuo de los recursos del Sistema General de Participaciones a las entidades territoriales, poniendo un tope mínimo e impidiendo que se reduzca el monto a transferir año a año por causas de la inflación. </w:t>
      </w:r>
    </w:p>
    <w:p w14:paraId="2F0D8170" w14:textId="07F5F1E2" w:rsidR="0005154F" w:rsidRDefault="0005154F" w:rsidP="0005154F">
      <w:pPr>
        <w:spacing w:after="120" w:line="360" w:lineRule="auto"/>
        <w:jc w:val="both"/>
        <w:rPr>
          <w:rFonts w:ascii="Arial" w:hAnsi="Arial" w:cs="Arial"/>
        </w:rPr>
      </w:pPr>
      <w:r w:rsidRPr="0005154F">
        <w:rPr>
          <w:rFonts w:ascii="Arial" w:hAnsi="Arial" w:cs="Arial"/>
        </w:rPr>
        <w:t>En este sentido, propone establecer: (1) un mínimo de treinta y cinco por ciento (35%) de los ingresos corrientes de la Nación para el Sistema General de Participaciones (SGP), y (2), adicionalmente, que estos recursos no puedan crecer en ninguna circunstancia por debajo del crecimiento de la inflación del año anterior, esto es, de los doce (12) meses anteriores a la aprobación del Presupuesto General de la Nación.</w:t>
      </w:r>
    </w:p>
    <w:p w14:paraId="48F5F209" w14:textId="77777777" w:rsidR="00A343B6" w:rsidRPr="0005154F" w:rsidRDefault="00A343B6" w:rsidP="0005154F">
      <w:pPr>
        <w:spacing w:after="120" w:line="360" w:lineRule="auto"/>
        <w:jc w:val="both"/>
        <w:rPr>
          <w:rFonts w:ascii="Arial" w:hAnsi="Arial" w:cs="Arial"/>
        </w:rPr>
      </w:pPr>
    </w:p>
    <w:p w14:paraId="03B6F07F" w14:textId="77777777" w:rsidR="0005154F" w:rsidRPr="0005154F" w:rsidRDefault="0005154F" w:rsidP="0005154F">
      <w:pPr>
        <w:pStyle w:val="Prrafodelista"/>
        <w:numPr>
          <w:ilvl w:val="0"/>
          <w:numId w:val="16"/>
        </w:numPr>
        <w:spacing w:after="120" w:line="360" w:lineRule="auto"/>
        <w:jc w:val="both"/>
        <w:rPr>
          <w:rFonts w:ascii="Arial" w:hAnsi="Arial" w:cs="Arial"/>
          <w:b/>
          <w:bCs/>
        </w:rPr>
      </w:pPr>
      <w:r w:rsidRPr="0005154F">
        <w:rPr>
          <w:rFonts w:ascii="Arial" w:hAnsi="Arial" w:cs="Arial"/>
          <w:b/>
          <w:bCs/>
        </w:rPr>
        <w:t>PROBLEMA QUE BUSCA RESOLVER</w:t>
      </w:r>
    </w:p>
    <w:p w14:paraId="1C34DD87" w14:textId="786A0825" w:rsidR="0005154F" w:rsidRPr="0005154F" w:rsidRDefault="0005154F" w:rsidP="0005154F">
      <w:pPr>
        <w:spacing w:after="120" w:line="360" w:lineRule="auto"/>
        <w:jc w:val="both"/>
        <w:rPr>
          <w:rFonts w:ascii="Arial" w:hAnsi="Arial" w:cs="Arial"/>
        </w:rPr>
      </w:pPr>
      <w:r w:rsidRPr="0005154F">
        <w:rPr>
          <w:rFonts w:ascii="Arial" w:hAnsi="Arial" w:cs="Arial"/>
        </w:rPr>
        <w:t xml:space="preserve">La Constitución Política de Colombia de 1991 buscaba resolver uno de los problemas estructurales del Estado Colombiano y era el reconocimiento de la </w:t>
      </w:r>
      <w:r w:rsidRPr="0005154F">
        <w:rPr>
          <w:rFonts w:ascii="Arial" w:hAnsi="Arial" w:cs="Arial"/>
        </w:rPr>
        <w:lastRenderedPageBreak/>
        <w:t xml:space="preserve">diversidad cultural, histórica, económica y política que se presenta en sus territorios. La excesiva visión centralista, heredera de la “Regeneración” de Rafael </w:t>
      </w:r>
      <w:r w:rsidR="00F96475" w:rsidRPr="0005154F">
        <w:rPr>
          <w:rFonts w:ascii="Arial" w:hAnsi="Arial" w:cs="Arial"/>
        </w:rPr>
        <w:t>Núñez</w:t>
      </w:r>
      <w:r w:rsidRPr="0005154F">
        <w:rPr>
          <w:rFonts w:ascii="Arial" w:hAnsi="Arial" w:cs="Arial"/>
        </w:rPr>
        <w:t xml:space="preserve"> y la constitución de 1886, impedía el reconocimiento del Estado en los territorios y generaba procesos de ausencia de legitimidad y representatividad de estas en las instancias definitorias del poder nacional. </w:t>
      </w:r>
    </w:p>
    <w:p w14:paraId="33235005" w14:textId="77777777" w:rsidR="0005154F" w:rsidRPr="0005154F" w:rsidRDefault="0005154F" w:rsidP="0005154F">
      <w:pPr>
        <w:spacing w:after="120" w:line="360" w:lineRule="auto"/>
        <w:jc w:val="both"/>
        <w:rPr>
          <w:rFonts w:ascii="Arial" w:hAnsi="Arial" w:cs="Arial"/>
        </w:rPr>
      </w:pPr>
      <w:r w:rsidRPr="0005154F">
        <w:rPr>
          <w:rFonts w:ascii="Arial" w:hAnsi="Arial" w:cs="Arial"/>
        </w:rPr>
        <w:t xml:space="preserve">Es en este sentido es que se crean diversas herramientas para la descentralización como el fortalecimiento de las entidades territoriales, aclarando y definiendo competencias de acuerdo a sus capacidades, mayor autonomía económica y la ratificación de elecciones locales para alcaldías y gobernaciones. </w:t>
      </w:r>
    </w:p>
    <w:p w14:paraId="6CC1B0B2" w14:textId="77777777" w:rsidR="0005154F" w:rsidRPr="0005154F" w:rsidRDefault="0005154F" w:rsidP="0005154F">
      <w:pPr>
        <w:spacing w:after="120" w:line="360" w:lineRule="auto"/>
        <w:jc w:val="both"/>
        <w:rPr>
          <w:rFonts w:ascii="Arial" w:hAnsi="Arial" w:cs="Arial"/>
        </w:rPr>
      </w:pPr>
      <w:r w:rsidRPr="0005154F">
        <w:rPr>
          <w:rFonts w:ascii="Arial" w:hAnsi="Arial" w:cs="Arial"/>
        </w:rPr>
        <w:t>Este ideario de descentralización ha estado restringido porque la autonomía económica de las entidades territoriales ha estado limitada y en muchos casos afectada con la reducción del presupuesto en el marco del Sistema General de Participación, que es la asignación que, dentro del Presupuesto General de la Nación, se le realiza a los territorios. Esto ha llevado a procesos de desconcentración más que de descentralización</w:t>
      </w:r>
      <w:r w:rsidRPr="0005154F">
        <w:rPr>
          <w:rStyle w:val="Refdenotaalpie"/>
          <w:rFonts w:ascii="Arial" w:hAnsi="Arial" w:cs="Arial"/>
        </w:rPr>
        <w:footnoteReference w:id="1"/>
      </w:r>
      <w:r w:rsidRPr="0005154F">
        <w:rPr>
          <w:rFonts w:ascii="Arial" w:hAnsi="Arial" w:cs="Arial"/>
        </w:rPr>
        <w:t xml:space="preserve">. </w:t>
      </w:r>
    </w:p>
    <w:p w14:paraId="5DA4978C" w14:textId="77777777" w:rsidR="0005154F" w:rsidRPr="0005154F" w:rsidRDefault="0005154F" w:rsidP="0005154F">
      <w:pPr>
        <w:spacing w:after="120" w:line="360" w:lineRule="auto"/>
        <w:jc w:val="both"/>
        <w:rPr>
          <w:rFonts w:ascii="Arial" w:hAnsi="Arial" w:cs="Arial"/>
        </w:rPr>
      </w:pPr>
      <w:r w:rsidRPr="0005154F">
        <w:rPr>
          <w:rFonts w:ascii="Arial" w:hAnsi="Arial" w:cs="Arial"/>
        </w:rPr>
        <w:t xml:space="preserve">El Sistema General de Participaciones es un modelo establecido en el artículo 356 de la Constitución Política de Colombia, en virtud del cual el Gobierno Nacional transfiere recursos a los departamentos, distritos y municipios, con el fin de atender los servicios a cargo de estos y financiar su adecuada prestación. Estos recursos se destinan prioritariamente a la financiación del servicio de salud, la educación (preescolar, primaria, secundaria y media) y los servicios públicos domiciliarios de agua potable y saneamiento básico. </w:t>
      </w:r>
    </w:p>
    <w:p w14:paraId="0E56AB81" w14:textId="77777777" w:rsidR="0005154F" w:rsidRPr="0005154F" w:rsidRDefault="0005154F" w:rsidP="0005154F">
      <w:pPr>
        <w:spacing w:after="120" w:line="360" w:lineRule="auto"/>
        <w:jc w:val="both"/>
        <w:rPr>
          <w:rFonts w:ascii="Arial" w:hAnsi="Arial" w:cs="Arial"/>
        </w:rPr>
      </w:pPr>
      <w:r w:rsidRPr="0005154F">
        <w:rPr>
          <w:rFonts w:ascii="Arial" w:hAnsi="Arial" w:cs="Arial"/>
        </w:rPr>
        <w:lastRenderedPageBreak/>
        <w:t xml:space="preserve">Considerando lo indicado, el artículo 357 de la Carta Política de 1991 establece la forma de calcular los recursos a transferir a las entidades territoriales, disposición que ha sido modificada en tres oportunidades desde su entrada en vigencia, por medio del Acto Legislativo 01 de 1995, el Acto Legislativo 01 de 2002 y, finalmente, el Acto Legislativo 04 de 2007. </w:t>
      </w:r>
    </w:p>
    <w:p w14:paraId="2DFE3EF1" w14:textId="77777777" w:rsidR="0005154F" w:rsidRPr="0005154F" w:rsidRDefault="0005154F" w:rsidP="0005154F">
      <w:pPr>
        <w:spacing w:after="120" w:line="360" w:lineRule="auto"/>
        <w:jc w:val="both"/>
        <w:rPr>
          <w:rFonts w:ascii="Arial" w:hAnsi="Arial" w:cs="Arial"/>
        </w:rPr>
      </w:pPr>
      <w:r w:rsidRPr="0005154F">
        <w:rPr>
          <w:rFonts w:ascii="Arial" w:hAnsi="Arial" w:cs="Arial"/>
        </w:rPr>
        <w:t>Estas situaciones y cambios normativos han producido que los recursos del Sistema General de Participaciones se hayan visto disminuidos con el paso del tiempo, en relación con el total del Presupuesto General de la Nación, pues las fórmulas empleadas para calcular su magnitud y su reparto han sido modificadas y han provocado un menoscabo en las finanzas territoriales, ampliamente dependientes de las transferencias del Gobierno Nacional.</w:t>
      </w:r>
    </w:p>
    <w:tbl>
      <w:tblPr>
        <w:tblW w:w="7079" w:type="dxa"/>
        <w:jc w:val="center"/>
        <w:tblBorders>
          <w:top w:val="nil"/>
          <w:left w:val="nil"/>
          <w:bottom w:val="nil"/>
          <w:right w:val="nil"/>
          <w:insideH w:val="nil"/>
          <w:insideV w:val="nil"/>
        </w:tblBorders>
        <w:tblLayout w:type="fixed"/>
        <w:tblLook w:val="0600" w:firstRow="0" w:lastRow="0" w:firstColumn="0" w:lastColumn="0" w:noHBand="1" w:noVBand="1"/>
      </w:tblPr>
      <w:tblGrid>
        <w:gridCol w:w="3375"/>
        <w:gridCol w:w="727"/>
        <w:gridCol w:w="709"/>
        <w:gridCol w:w="709"/>
        <w:gridCol w:w="708"/>
        <w:gridCol w:w="851"/>
      </w:tblGrid>
      <w:tr w:rsidR="0005154F" w:rsidRPr="0005154F" w14:paraId="7CA0B7EA" w14:textId="77777777" w:rsidTr="00A343B6">
        <w:trPr>
          <w:trHeight w:val="300"/>
          <w:jc w:val="center"/>
        </w:trPr>
        <w:tc>
          <w:tcPr>
            <w:tcW w:w="3375" w:type="dxa"/>
            <w:tcBorders>
              <w:top w:val="single" w:sz="7" w:space="0" w:color="FF0000"/>
              <w:left w:val="single" w:sz="7" w:space="0" w:color="FF0000"/>
              <w:bottom w:val="single" w:sz="7" w:space="0" w:color="FF0000"/>
              <w:right w:val="single" w:sz="7" w:space="0" w:color="FF0000"/>
            </w:tcBorders>
            <w:tcMar>
              <w:top w:w="40" w:type="dxa"/>
              <w:left w:w="40" w:type="dxa"/>
              <w:bottom w:w="40" w:type="dxa"/>
              <w:right w:w="40" w:type="dxa"/>
            </w:tcMar>
            <w:vAlign w:val="bottom"/>
          </w:tcPr>
          <w:p w14:paraId="52F9F6BE" w14:textId="77777777" w:rsidR="0005154F" w:rsidRPr="0005154F" w:rsidRDefault="0005154F" w:rsidP="0005154F">
            <w:pPr>
              <w:widowControl w:val="0"/>
              <w:spacing w:after="120" w:line="360" w:lineRule="auto"/>
              <w:rPr>
                <w:rFonts w:ascii="Arial" w:eastAsia="Arial" w:hAnsi="Arial" w:cs="Arial"/>
                <w:color w:val="000000"/>
              </w:rPr>
            </w:pPr>
            <w:r w:rsidRPr="0005154F">
              <w:rPr>
                <w:rFonts w:ascii="Arial" w:eastAsia="Arial" w:hAnsi="Arial" w:cs="Arial"/>
                <w:b/>
                <w:color w:val="000000"/>
              </w:rPr>
              <w:t>Año</w:t>
            </w:r>
          </w:p>
        </w:tc>
        <w:tc>
          <w:tcPr>
            <w:tcW w:w="727" w:type="dxa"/>
            <w:tcBorders>
              <w:top w:val="single" w:sz="7" w:space="0" w:color="FF0000"/>
              <w:left w:val="single" w:sz="7" w:space="0" w:color="CCCCCC"/>
              <w:bottom w:val="single" w:sz="7" w:space="0" w:color="FF0000"/>
              <w:right w:val="single" w:sz="7" w:space="0" w:color="FF0000"/>
            </w:tcBorders>
            <w:tcMar>
              <w:top w:w="40" w:type="dxa"/>
              <w:left w:w="40" w:type="dxa"/>
              <w:bottom w:w="40" w:type="dxa"/>
              <w:right w:w="40" w:type="dxa"/>
            </w:tcMar>
            <w:vAlign w:val="bottom"/>
          </w:tcPr>
          <w:p w14:paraId="5A7BA82B" w14:textId="77777777" w:rsidR="0005154F" w:rsidRPr="0005154F" w:rsidRDefault="0005154F" w:rsidP="0005154F">
            <w:pPr>
              <w:widowControl w:val="0"/>
              <w:spacing w:after="120" w:line="360" w:lineRule="auto"/>
              <w:jc w:val="right"/>
              <w:rPr>
                <w:rFonts w:ascii="Arial" w:eastAsia="Arial" w:hAnsi="Arial" w:cs="Arial"/>
                <w:color w:val="000000"/>
              </w:rPr>
            </w:pPr>
            <w:r w:rsidRPr="0005154F">
              <w:rPr>
                <w:rFonts w:ascii="Arial" w:eastAsia="Arial" w:hAnsi="Arial" w:cs="Arial"/>
                <w:b/>
                <w:color w:val="000000"/>
              </w:rPr>
              <w:t>2017</w:t>
            </w:r>
          </w:p>
        </w:tc>
        <w:tc>
          <w:tcPr>
            <w:tcW w:w="709" w:type="dxa"/>
            <w:tcBorders>
              <w:top w:val="single" w:sz="7" w:space="0" w:color="FF0000"/>
              <w:left w:val="single" w:sz="7" w:space="0" w:color="CCCCCC"/>
              <w:bottom w:val="single" w:sz="7" w:space="0" w:color="FF0000"/>
              <w:right w:val="single" w:sz="7" w:space="0" w:color="FF0000"/>
            </w:tcBorders>
            <w:tcMar>
              <w:top w:w="40" w:type="dxa"/>
              <w:left w:w="40" w:type="dxa"/>
              <w:bottom w:w="40" w:type="dxa"/>
              <w:right w:w="40" w:type="dxa"/>
            </w:tcMar>
            <w:vAlign w:val="bottom"/>
          </w:tcPr>
          <w:p w14:paraId="54EF6EF5" w14:textId="77777777" w:rsidR="0005154F" w:rsidRPr="0005154F" w:rsidRDefault="0005154F" w:rsidP="0005154F">
            <w:pPr>
              <w:widowControl w:val="0"/>
              <w:spacing w:after="120" w:line="360" w:lineRule="auto"/>
              <w:jc w:val="right"/>
              <w:rPr>
                <w:rFonts w:ascii="Arial" w:eastAsia="Arial" w:hAnsi="Arial" w:cs="Arial"/>
                <w:color w:val="000000"/>
              </w:rPr>
            </w:pPr>
            <w:r w:rsidRPr="0005154F">
              <w:rPr>
                <w:rFonts w:ascii="Arial" w:eastAsia="Arial" w:hAnsi="Arial" w:cs="Arial"/>
                <w:b/>
                <w:color w:val="000000"/>
              </w:rPr>
              <w:t>2018</w:t>
            </w:r>
          </w:p>
        </w:tc>
        <w:tc>
          <w:tcPr>
            <w:tcW w:w="709" w:type="dxa"/>
            <w:tcBorders>
              <w:top w:val="single" w:sz="7" w:space="0" w:color="FF0000"/>
              <w:left w:val="single" w:sz="7" w:space="0" w:color="CCCCCC"/>
              <w:bottom w:val="single" w:sz="7" w:space="0" w:color="FF0000"/>
              <w:right w:val="single" w:sz="7" w:space="0" w:color="FF0000"/>
            </w:tcBorders>
            <w:tcMar>
              <w:top w:w="40" w:type="dxa"/>
              <w:left w:w="40" w:type="dxa"/>
              <w:bottom w:w="40" w:type="dxa"/>
              <w:right w:w="40" w:type="dxa"/>
            </w:tcMar>
            <w:vAlign w:val="bottom"/>
          </w:tcPr>
          <w:p w14:paraId="00809815" w14:textId="77777777" w:rsidR="0005154F" w:rsidRPr="0005154F" w:rsidRDefault="0005154F" w:rsidP="0005154F">
            <w:pPr>
              <w:widowControl w:val="0"/>
              <w:spacing w:after="120" w:line="360" w:lineRule="auto"/>
              <w:jc w:val="right"/>
              <w:rPr>
                <w:rFonts w:ascii="Arial" w:eastAsia="Arial" w:hAnsi="Arial" w:cs="Arial"/>
                <w:color w:val="000000"/>
              </w:rPr>
            </w:pPr>
            <w:r w:rsidRPr="0005154F">
              <w:rPr>
                <w:rFonts w:ascii="Arial" w:eastAsia="Arial" w:hAnsi="Arial" w:cs="Arial"/>
                <w:b/>
                <w:color w:val="000000"/>
              </w:rPr>
              <w:t>2019</w:t>
            </w:r>
          </w:p>
        </w:tc>
        <w:tc>
          <w:tcPr>
            <w:tcW w:w="708" w:type="dxa"/>
            <w:tcBorders>
              <w:top w:val="single" w:sz="7" w:space="0" w:color="FF0000"/>
              <w:left w:val="single" w:sz="7" w:space="0" w:color="CCCCCC"/>
              <w:bottom w:val="single" w:sz="7" w:space="0" w:color="FF0000"/>
              <w:right w:val="single" w:sz="7" w:space="0" w:color="FF0000"/>
            </w:tcBorders>
            <w:tcMar>
              <w:top w:w="40" w:type="dxa"/>
              <w:left w:w="40" w:type="dxa"/>
              <w:bottom w:w="40" w:type="dxa"/>
              <w:right w:w="40" w:type="dxa"/>
            </w:tcMar>
            <w:vAlign w:val="bottom"/>
          </w:tcPr>
          <w:p w14:paraId="60570065" w14:textId="77777777" w:rsidR="0005154F" w:rsidRPr="0005154F" w:rsidRDefault="0005154F" w:rsidP="0005154F">
            <w:pPr>
              <w:widowControl w:val="0"/>
              <w:spacing w:after="120" w:line="360" w:lineRule="auto"/>
              <w:jc w:val="right"/>
              <w:rPr>
                <w:rFonts w:ascii="Arial" w:eastAsia="Arial" w:hAnsi="Arial" w:cs="Arial"/>
                <w:color w:val="000000"/>
              </w:rPr>
            </w:pPr>
            <w:r w:rsidRPr="0005154F">
              <w:rPr>
                <w:rFonts w:ascii="Arial" w:eastAsia="Arial" w:hAnsi="Arial" w:cs="Arial"/>
                <w:b/>
                <w:color w:val="000000"/>
              </w:rPr>
              <w:t>2020</w:t>
            </w:r>
          </w:p>
        </w:tc>
        <w:tc>
          <w:tcPr>
            <w:tcW w:w="851" w:type="dxa"/>
            <w:tcBorders>
              <w:top w:val="single" w:sz="7" w:space="0" w:color="FF0000"/>
              <w:left w:val="single" w:sz="7" w:space="0" w:color="CCCCCC"/>
              <w:bottom w:val="single" w:sz="7" w:space="0" w:color="FF0000"/>
              <w:right w:val="single" w:sz="7" w:space="0" w:color="FF0000"/>
            </w:tcBorders>
            <w:tcMar>
              <w:top w:w="40" w:type="dxa"/>
              <w:left w:w="40" w:type="dxa"/>
              <w:bottom w:w="40" w:type="dxa"/>
              <w:right w:w="40" w:type="dxa"/>
            </w:tcMar>
            <w:vAlign w:val="bottom"/>
          </w:tcPr>
          <w:p w14:paraId="04B70753" w14:textId="77777777" w:rsidR="0005154F" w:rsidRPr="0005154F" w:rsidRDefault="0005154F" w:rsidP="0005154F">
            <w:pPr>
              <w:widowControl w:val="0"/>
              <w:spacing w:after="120" w:line="360" w:lineRule="auto"/>
              <w:jc w:val="right"/>
              <w:rPr>
                <w:rFonts w:ascii="Arial" w:eastAsia="Arial" w:hAnsi="Arial" w:cs="Arial"/>
                <w:color w:val="000000"/>
              </w:rPr>
            </w:pPr>
            <w:r w:rsidRPr="0005154F">
              <w:rPr>
                <w:rFonts w:ascii="Arial" w:eastAsia="Arial" w:hAnsi="Arial" w:cs="Arial"/>
                <w:b/>
                <w:color w:val="000000"/>
              </w:rPr>
              <w:t>2021</w:t>
            </w:r>
          </w:p>
        </w:tc>
      </w:tr>
      <w:tr w:rsidR="0005154F" w:rsidRPr="0005154F" w14:paraId="2EE677E4" w14:textId="77777777" w:rsidTr="00A343B6">
        <w:trPr>
          <w:trHeight w:val="526"/>
          <w:jc w:val="center"/>
        </w:trPr>
        <w:tc>
          <w:tcPr>
            <w:tcW w:w="3375" w:type="dxa"/>
            <w:tcBorders>
              <w:top w:val="single" w:sz="7" w:space="0" w:color="CCCCCC"/>
              <w:left w:val="single" w:sz="7" w:space="0" w:color="FF0000"/>
              <w:bottom w:val="single" w:sz="7" w:space="0" w:color="FF0000"/>
              <w:right w:val="single" w:sz="7" w:space="0" w:color="FF0000"/>
            </w:tcBorders>
            <w:tcMar>
              <w:top w:w="40" w:type="dxa"/>
              <w:left w:w="40" w:type="dxa"/>
              <w:bottom w:w="40" w:type="dxa"/>
              <w:right w:w="40" w:type="dxa"/>
            </w:tcMar>
            <w:vAlign w:val="bottom"/>
          </w:tcPr>
          <w:p w14:paraId="3CBC9820" w14:textId="77777777" w:rsidR="0005154F" w:rsidRPr="0005154F" w:rsidRDefault="0005154F" w:rsidP="0005154F">
            <w:pPr>
              <w:widowControl w:val="0"/>
              <w:spacing w:after="120" w:line="360" w:lineRule="auto"/>
              <w:rPr>
                <w:rFonts w:ascii="Arial" w:eastAsia="Arial" w:hAnsi="Arial" w:cs="Arial"/>
                <w:b/>
                <w:color w:val="000000"/>
              </w:rPr>
            </w:pPr>
            <w:r w:rsidRPr="0005154F">
              <w:rPr>
                <w:rFonts w:ascii="Arial" w:eastAsia="Arial" w:hAnsi="Arial" w:cs="Arial"/>
                <w:b/>
                <w:color w:val="000000"/>
              </w:rPr>
              <w:t xml:space="preserve">PGN Ingresos corrientes </w:t>
            </w:r>
          </w:p>
        </w:tc>
        <w:tc>
          <w:tcPr>
            <w:tcW w:w="727" w:type="dxa"/>
            <w:tcBorders>
              <w:top w:val="single" w:sz="7" w:space="0" w:color="CCCCCC"/>
              <w:left w:val="single" w:sz="7" w:space="0" w:color="CCCCCC"/>
              <w:bottom w:val="single" w:sz="7" w:space="0" w:color="FF0000"/>
              <w:right w:val="single" w:sz="7" w:space="0" w:color="FF0000"/>
            </w:tcBorders>
            <w:tcMar>
              <w:top w:w="40" w:type="dxa"/>
              <w:left w:w="40" w:type="dxa"/>
              <w:bottom w:w="40" w:type="dxa"/>
              <w:right w:w="40" w:type="dxa"/>
            </w:tcMar>
            <w:vAlign w:val="bottom"/>
          </w:tcPr>
          <w:p w14:paraId="2A24D0E1" w14:textId="77777777" w:rsidR="0005154F" w:rsidRPr="0005154F" w:rsidRDefault="0005154F" w:rsidP="0005154F">
            <w:pPr>
              <w:widowControl w:val="0"/>
              <w:spacing w:after="120" w:line="360" w:lineRule="auto"/>
              <w:jc w:val="right"/>
              <w:rPr>
                <w:rFonts w:ascii="Arial" w:eastAsia="Arial" w:hAnsi="Arial" w:cs="Arial"/>
                <w:color w:val="000000"/>
              </w:rPr>
            </w:pPr>
            <w:r w:rsidRPr="0005154F">
              <w:rPr>
                <w:rFonts w:ascii="Arial" w:eastAsia="Arial" w:hAnsi="Arial" w:cs="Arial"/>
                <w:color w:val="000000"/>
              </w:rPr>
              <w:t>119.2</w:t>
            </w:r>
          </w:p>
        </w:tc>
        <w:tc>
          <w:tcPr>
            <w:tcW w:w="709" w:type="dxa"/>
            <w:tcBorders>
              <w:top w:val="single" w:sz="7" w:space="0" w:color="CCCCCC"/>
              <w:left w:val="single" w:sz="7" w:space="0" w:color="CCCCCC"/>
              <w:bottom w:val="single" w:sz="7" w:space="0" w:color="FF0000"/>
              <w:right w:val="single" w:sz="7" w:space="0" w:color="FF0000"/>
            </w:tcBorders>
            <w:tcMar>
              <w:top w:w="40" w:type="dxa"/>
              <w:left w:w="40" w:type="dxa"/>
              <w:bottom w:w="40" w:type="dxa"/>
              <w:right w:w="40" w:type="dxa"/>
            </w:tcMar>
            <w:vAlign w:val="bottom"/>
          </w:tcPr>
          <w:p w14:paraId="616E05A1" w14:textId="77777777" w:rsidR="0005154F" w:rsidRPr="0005154F" w:rsidRDefault="0005154F" w:rsidP="0005154F">
            <w:pPr>
              <w:widowControl w:val="0"/>
              <w:spacing w:after="120" w:line="360" w:lineRule="auto"/>
              <w:jc w:val="right"/>
              <w:rPr>
                <w:rFonts w:ascii="Arial" w:eastAsia="Arial" w:hAnsi="Arial" w:cs="Arial"/>
                <w:color w:val="000000"/>
              </w:rPr>
            </w:pPr>
            <w:r w:rsidRPr="0005154F">
              <w:rPr>
                <w:rFonts w:ascii="Arial" w:eastAsia="Arial" w:hAnsi="Arial" w:cs="Arial"/>
                <w:color w:val="000000"/>
              </w:rPr>
              <w:t>139.9</w:t>
            </w:r>
          </w:p>
        </w:tc>
        <w:tc>
          <w:tcPr>
            <w:tcW w:w="709" w:type="dxa"/>
            <w:tcBorders>
              <w:top w:val="single" w:sz="7" w:space="0" w:color="CCCCCC"/>
              <w:left w:val="single" w:sz="7" w:space="0" w:color="CCCCCC"/>
              <w:bottom w:val="single" w:sz="7" w:space="0" w:color="FF0000"/>
              <w:right w:val="single" w:sz="7" w:space="0" w:color="FF0000"/>
            </w:tcBorders>
            <w:tcMar>
              <w:top w:w="40" w:type="dxa"/>
              <w:left w:w="40" w:type="dxa"/>
              <w:bottom w:w="40" w:type="dxa"/>
              <w:right w:w="40" w:type="dxa"/>
            </w:tcMar>
            <w:vAlign w:val="bottom"/>
          </w:tcPr>
          <w:p w14:paraId="54DACCAD" w14:textId="77777777" w:rsidR="0005154F" w:rsidRPr="0005154F" w:rsidRDefault="0005154F" w:rsidP="0005154F">
            <w:pPr>
              <w:widowControl w:val="0"/>
              <w:spacing w:after="120" w:line="360" w:lineRule="auto"/>
              <w:jc w:val="right"/>
              <w:rPr>
                <w:rFonts w:ascii="Arial" w:eastAsia="Arial" w:hAnsi="Arial" w:cs="Arial"/>
                <w:color w:val="000000"/>
              </w:rPr>
            </w:pPr>
            <w:r w:rsidRPr="0005154F">
              <w:rPr>
                <w:rFonts w:ascii="Arial" w:eastAsia="Arial" w:hAnsi="Arial" w:cs="Arial"/>
                <w:color w:val="000000"/>
              </w:rPr>
              <w:t>144.7</w:t>
            </w:r>
          </w:p>
        </w:tc>
        <w:tc>
          <w:tcPr>
            <w:tcW w:w="708" w:type="dxa"/>
            <w:tcBorders>
              <w:top w:val="single" w:sz="7" w:space="0" w:color="CCCCCC"/>
              <w:left w:val="single" w:sz="7" w:space="0" w:color="CCCCCC"/>
              <w:bottom w:val="single" w:sz="7" w:space="0" w:color="FF0000"/>
              <w:right w:val="single" w:sz="7" w:space="0" w:color="FF0000"/>
            </w:tcBorders>
            <w:tcMar>
              <w:top w:w="40" w:type="dxa"/>
              <w:left w:w="40" w:type="dxa"/>
              <w:bottom w:w="40" w:type="dxa"/>
              <w:right w:w="40" w:type="dxa"/>
            </w:tcMar>
            <w:vAlign w:val="bottom"/>
          </w:tcPr>
          <w:p w14:paraId="68EAE4DC" w14:textId="77777777" w:rsidR="0005154F" w:rsidRPr="0005154F" w:rsidRDefault="0005154F" w:rsidP="0005154F">
            <w:pPr>
              <w:widowControl w:val="0"/>
              <w:spacing w:after="120" w:line="360" w:lineRule="auto"/>
              <w:jc w:val="right"/>
              <w:rPr>
                <w:rFonts w:ascii="Arial" w:eastAsia="Arial" w:hAnsi="Arial" w:cs="Arial"/>
                <w:color w:val="000000"/>
              </w:rPr>
            </w:pPr>
            <w:r w:rsidRPr="0005154F">
              <w:rPr>
                <w:rFonts w:ascii="Arial" w:eastAsia="Arial" w:hAnsi="Arial" w:cs="Arial"/>
                <w:color w:val="000000"/>
              </w:rPr>
              <w:t>159,3</w:t>
            </w:r>
          </w:p>
        </w:tc>
        <w:tc>
          <w:tcPr>
            <w:tcW w:w="851" w:type="dxa"/>
            <w:tcBorders>
              <w:top w:val="single" w:sz="7" w:space="0" w:color="CCCCCC"/>
              <w:left w:val="single" w:sz="7" w:space="0" w:color="CCCCCC"/>
              <w:bottom w:val="single" w:sz="7" w:space="0" w:color="FF0000"/>
              <w:right w:val="single" w:sz="7" w:space="0" w:color="FF0000"/>
            </w:tcBorders>
            <w:tcMar>
              <w:top w:w="40" w:type="dxa"/>
              <w:left w:w="40" w:type="dxa"/>
              <w:bottom w:w="40" w:type="dxa"/>
              <w:right w:w="40" w:type="dxa"/>
            </w:tcMar>
            <w:vAlign w:val="bottom"/>
          </w:tcPr>
          <w:p w14:paraId="165AA7DD" w14:textId="77777777" w:rsidR="0005154F" w:rsidRPr="0005154F" w:rsidRDefault="0005154F" w:rsidP="0005154F">
            <w:pPr>
              <w:widowControl w:val="0"/>
              <w:spacing w:after="120" w:line="360" w:lineRule="auto"/>
              <w:jc w:val="right"/>
              <w:rPr>
                <w:rFonts w:ascii="Arial" w:eastAsia="Arial" w:hAnsi="Arial" w:cs="Arial"/>
                <w:color w:val="000000"/>
              </w:rPr>
            </w:pPr>
            <w:r w:rsidRPr="0005154F">
              <w:rPr>
                <w:rFonts w:ascii="Arial" w:eastAsia="Arial" w:hAnsi="Arial" w:cs="Arial"/>
                <w:color w:val="000000"/>
              </w:rPr>
              <w:t>154.2</w:t>
            </w:r>
          </w:p>
        </w:tc>
      </w:tr>
      <w:tr w:rsidR="0005154F" w:rsidRPr="0005154F" w14:paraId="3D6A8255" w14:textId="77777777" w:rsidTr="00A343B6">
        <w:trPr>
          <w:trHeight w:val="300"/>
          <w:jc w:val="center"/>
        </w:trPr>
        <w:tc>
          <w:tcPr>
            <w:tcW w:w="3375" w:type="dxa"/>
            <w:tcBorders>
              <w:top w:val="single" w:sz="7" w:space="0" w:color="CCCCCC"/>
              <w:left w:val="single" w:sz="7" w:space="0" w:color="FF0000"/>
              <w:bottom w:val="single" w:sz="7" w:space="0" w:color="FF0000"/>
              <w:right w:val="single" w:sz="7" w:space="0" w:color="FF0000"/>
            </w:tcBorders>
            <w:tcMar>
              <w:top w:w="40" w:type="dxa"/>
              <w:left w:w="40" w:type="dxa"/>
              <w:bottom w:w="40" w:type="dxa"/>
              <w:right w:w="40" w:type="dxa"/>
            </w:tcMar>
            <w:vAlign w:val="bottom"/>
          </w:tcPr>
          <w:p w14:paraId="5A923EEB" w14:textId="77777777" w:rsidR="0005154F" w:rsidRPr="0005154F" w:rsidRDefault="0005154F" w:rsidP="0005154F">
            <w:pPr>
              <w:widowControl w:val="0"/>
              <w:spacing w:after="120" w:line="360" w:lineRule="auto"/>
              <w:rPr>
                <w:rFonts w:ascii="Arial" w:eastAsia="Arial" w:hAnsi="Arial" w:cs="Arial"/>
                <w:color w:val="000000"/>
              </w:rPr>
            </w:pPr>
            <w:r w:rsidRPr="0005154F">
              <w:rPr>
                <w:rFonts w:ascii="Arial" w:eastAsia="Arial" w:hAnsi="Arial" w:cs="Arial"/>
                <w:b/>
                <w:color w:val="000000"/>
              </w:rPr>
              <w:t>Sistema General de Participación</w:t>
            </w:r>
          </w:p>
        </w:tc>
        <w:tc>
          <w:tcPr>
            <w:tcW w:w="727" w:type="dxa"/>
            <w:tcBorders>
              <w:top w:val="single" w:sz="7" w:space="0" w:color="CCCCCC"/>
              <w:left w:val="single" w:sz="7" w:space="0" w:color="CCCCCC"/>
              <w:bottom w:val="single" w:sz="7" w:space="0" w:color="FF0000"/>
              <w:right w:val="single" w:sz="7" w:space="0" w:color="FF0000"/>
            </w:tcBorders>
            <w:tcMar>
              <w:top w:w="40" w:type="dxa"/>
              <w:left w:w="40" w:type="dxa"/>
              <w:bottom w:w="40" w:type="dxa"/>
              <w:right w:w="40" w:type="dxa"/>
            </w:tcMar>
            <w:vAlign w:val="bottom"/>
          </w:tcPr>
          <w:p w14:paraId="37849616" w14:textId="77777777" w:rsidR="0005154F" w:rsidRPr="0005154F" w:rsidRDefault="0005154F" w:rsidP="0005154F">
            <w:pPr>
              <w:widowControl w:val="0"/>
              <w:spacing w:after="120" w:line="360" w:lineRule="auto"/>
              <w:jc w:val="right"/>
              <w:rPr>
                <w:rFonts w:ascii="Arial" w:eastAsia="Arial" w:hAnsi="Arial" w:cs="Arial"/>
                <w:color w:val="000000"/>
              </w:rPr>
            </w:pPr>
            <w:r w:rsidRPr="0005154F">
              <w:rPr>
                <w:rFonts w:ascii="Arial" w:eastAsia="Arial" w:hAnsi="Arial" w:cs="Arial"/>
                <w:color w:val="000000"/>
              </w:rPr>
              <w:t>35.9</w:t>
            </w:r>
          </w:p>
        </w:tc>
        <w:tc>
          <w:tcPr>
            <w:tcW w:w="709" w:type="dxa"/>
            <w:tcBorders>
              <w:top w:val="single" w:sz="7" w:space="0" w:color="CCCCCC"/>
              <w:left w:val="single" w:sz="7" w:space="0" w:color="CCCCCC"/>
              <w:bottom w:val="single" w:sz="7" w:space="0" w:color="FF0000"/>
              <w:right w:val="single" w:sz="7" w:space="0" w:color="FF0000"/>
            </w:tcBorders>
            <w:tcMar>
              <w:top w:w="40" w:type="dxa"/>
              <w:left w:w="40" w:type="dxa"/>
              <w:bottom w:w="40" w:type="dxa"/>
              <w:right w:w="40" w:type="dxa"/>
            </w:tcMar>
            <w:vAlign w:val="bottom"/>
          </w:tcPr>
          <w:p w14:paraId="747EA63A" w14:textId="77777777" w:rsidR="0005154F" w:rsidRPr="0005154F" w:rsidRDefault="0005154F" w:rsidP="0005154F">
            <w:pPr>
              <w:widowControl w:val="0"/>
              <w:spacing w:after="120" w:line="360" w:lineRule="auto"/>
              <w:jc w:val="right"/>
              <w:rPr>
                <w:rFonts w:ascii="Arial" w:eastAsia="Arial" w:hAnsi="Arial" w:cs="Arial"/>
                <w:color w:val="000000"/>
              </w:rPr>
            </w:pPr>
            <w:r w:rsidRPr="0005154F">
              <w:rPr>
                <w:rFonts w:ascii="Arial" w:eastAsia="Arial" w:hAnsi="Arial" w:cs="Arial"/>
                <w:color w:val="000000"/>
              </w:rPr>
              <w:t>37.1</w:t>
            </w:r>
          </w:p>
        </w:tc>
        <w:tc>
          <w:tcPr>
            <w:tcW w:w="709" w:type="dxa"/>
            <w:tcBorders>
              <w:top w:val="single" w:sz="7" w:space="0" w:color="CCCCCC"/>
              <w:left w:val="single" w:sz="7" w:space="0" w:color="CCCCCC"/>
              <w:bottom w:val="single" w:sz="7" w:space="0" w:color="FF0000"/>
              <w:right w:val="single" w:sz="7" w:space="0" w:color="FF0000"/>
            </w:tcBorders>
            <w:tcMar>
              <w:top w:w="40" w:type="dxa"/>
              <w:left w:w="40" w:type="dxa"/>
              <w:bottom w:w="40" w:type="dxa"/>
              <w:right w:w="40" w:type="dxa"/>
            </w:tcMar>
            <w:vAlign w:val="bottom"/>
          </w:tcPr>
          <w:p w14:paraId="39BBEFEA" w14:textId="77777777" w:rsidR="0005154F" w:rsidRPr="0005154F" w:rsidRDefault="0005154F" w:rsidP="0005154F">
            <w:pPr>
              <w:widowControl w:val="0"/>
              <w:spacing w:after="120" w:line="360" w:lineRule="auto"/>
              <w:jc w:val="right"/>
              <w:rPr>
                <w:rFonts w:ascii="Arial" w:eastAsia="Arial" w:hAnsi="Arial" w:cs="Arial"/>
                <w:color w:val="000000"/>
              </w:rPr>
            </w:pPr>
            <w:r w:rsidRPr="0005154F">
              <w:rPr>
                <w:rFonts w:ascii="Arial" w:eastAsia="Arial" w:hAnsi="Arial" w:cs="Arial"/>
                <w:color w:val="000000"/>
              </w:rPr>
              <w:t>41.1</w:t>
            </w:r>
          </w:p>
        </w:tc>
        <w:tc>
          <w:tcPr>
            <w:tcW w:w="708" w:type="dxa"/>
            <w:tcBorders>
              <w:top w:val="single" w:sz="7" w:space="0" w:color="CCCCCC"/>
              <w:left w:val="single" w:sz="7" w:space="0" w:color="CCCCCC"/>
              <w:bottom w:val="single" w:sz="7" w:space="0" w:color="FF0000"/>
              <w:right w:val="single" w:sz="7" w:space="0" w:color="FF0000"/>
            </w:tcBorders>
            <w:tcMar>
              <w:top w:w="40" w:type="dxa"/>
              <w:left w:w="40" w:type="dxa"/>
              <w:bottom w:w="40" w:type="dxa"/>
              <w:right w:w="40" w:type="dxa"/>
            </w:tcMar>
            <w:vAlign w:val="bottom"/>
          </w:tcPr>
          <w:p w14:paraId="79EFACC3" w14:textId="77777777" w:rsidR="0005154F" w:rsidRPr="0005154F" w:rsidRDefault="0005154F" w:rsidP="0005154F">
            <w:pPr>
              <w:widowControl w:val="0"/>
              <w:spacing w:after="120" w:line="360" w:lineRule="auto"/>
              <w:jc w:val="right"/>
              <w:rPr>
                <w:rFonts w:ascii="Arial" w:eastAsia="Arial" w:hAnsi="Arial" w:cs="Arial"/>
                <w:color w:val="000000"/>
              </w:rPr>
            </w:pPr>
            <w:r w:rsidRPr="0005154F">
              <w:rPr>
                <w:rFonts w:ascii="Arial" w:eastAsia="Arial" w:hAnsi="Arial" w:cs="Arial"/>
                <w:color w:val="000000"/>
              </w:rPr>
              <w:t>43.8</w:t>
            </w:r>
          </w:p>
        </w:tc>
        <w:tc>
          <w:tcPr>
            <w:tcW w:w="851" w:type="dxa"/>
            <w:tcBorders>
              <w:top w:val="single" w:sz="7" w:space="0" w:color="CCCCCC"/>
              <w:left w:val="single" w:sz="7" w:space="0" w:color="CCCCCC"/>
              <w:bottom w:val="single" w:sz="7" w:space="0" w:color="FF0000"/>
              <w:right w:val="single" w:sz="7" w:space="0" w:color="FF0000"/>
            </w:tcBorders>
            <w:tcMar>
              <w:top w:w="40" w:type="dxa"/>
              <w:left w:w="40" w:type="dxa"/>
              <w:bottom w:w="40" w:type="dxa"/>
              <w:right w:w="40" w:type="dxa"/>
            </w:tcMar>
            <w:vAlign w:val="bottom"/>
          </w:tcPr>
          <w:p w14:paraId="7AC39CFD" w14:textId="77777777" w:rsidR="0005154F" w:rsidRPr="0005154F" w:rsidRDefault="0005154F" w:rsidP="0005154F">
            <w:pPr>
              <w:widowControl w:val="0"/>
              <w:spacing w:after="120" w:line="360" w:lineRule="auto"/>
              <w:jc w:val="right"/>
              <w:rPr>
                <w:rFonts w:ascii="Arial" w:eastAsia="Arial" w:hAnsi="Arial" w:cs="Arial"/>
                <w:color w:val="000000"/>
              </w:rPr>
            </w:pPr>
            <w:r w:rsidRPr="0005154F">
              <w:rPr>
                <w:rFonts w:ascii="Arial" w:eastAsia="Arial" w:hAnsi="Arial" w:cs="Arial"/>
                <w:color w:val="000000"/>
              </w:rPr>
              <w:t>47.7</w:t>
            </w:r>
          </w:p>
        </w:tc>
      </w:tr>
      <w:tr w:rsidR="0005154F" w:rsidRPr="0005154F" w14:paraId="0E6BDD3E" w14:textId="77777777" w:rsidTr="00A343B6">
        <w:trPr>
          <w:trHeight w:val="300"/>
          <w:jc w:val="center"/>
        </w:trPr>
        <w:tc>
          <w:tcPr>
            <w:tcW w:w="3375" w:type="dxa"/>
            <w:tcBorders>
              <w:top w:val="single" w:sz="7" w:space="0" w:color="CCCCCC"/>
              <w:left w:val="single" w:sz="7" w:space="0" w:color="FF0000"/>
              <w:bottom w:val="single" w:sz="7" w:space="0" w:color="FF0000"/>
              <w:right w:val="single" w:sz="7" w:space="0" w:color="FF0000"/>
            </w:tcBorders>
            <w:tcMar>
              <w:top w:w="40" w:type="dxa"/>
              <w:left w:w="40" w:type="dxa"/>
              <w:bottom w:w="40" w:type="dxa"/>
              <w:right w:w="40" w:type="dxa"/>
            </w:tcMar>
            <w:vAlign w:val="bottom"/>
          </w:tcPr>
          <w:p w14:paraId="3A16CA6D" w14:textId="77777777" w:rsidR="0005154F" w:rsidRPr="0005154F" w:rsidRDefault="0005154F" w:rsidP="0005154F">
            <w:pPr>
              <w:widowControl w:val="0"/>
              <w:spacing w:after="120" w:line="360" w:lineRule="auto"/>
              <w:rPr>
                <w:rFonts w:ascii="Arial" w:eastAsia="Arial" w:hAnsi="Arial" w:cs="Arial"/>
                <w:color w:val="000000"/>
              </w:rPr>
            </w:pPr>
            <w:r w:rsidRPr="0005154F">
              <w:rPr>
                <w:rFonts w:ascii="Arial" w:eastAsia="Arial" w:hAnsi="Arial" w:cs="Arial"/>
                <w:b/>
                <w:color w:val="000000"/>
              </w:rPr>
              <w:t>Porcentaje de los INC (%)</w:t>
            </w:r>
          </w:p>
        </w:tc>
        <w:tc>
          <w:tcPr>
            <w:tcW w:w="727" w:type="dxa"/>
            <w:tcBorders>
              <w:top w:val="single" w:sz="7" w:space="0" w:color="CCCCCC"/>
              <w:left w:val="single" w:sz="7" w:space="0" w:color="CCCCCC"/>
              <w:bottom w:val="single" w:sz="7" w:space="0" w:color="FF0000"/>
              <w:right w:val="single" w:sz="7" w:space="0" w:color="FF0000"/>
            </w:tcBorders>
            <w:tcMar>
              <w:top w:w="40" w:type="dxa"/>
              <w:left w:w="40" w:type="dxa"/>
              <w:bottom w:w="40" w:type="dxa"/>
              <w:right w:w="40" w:type="dxa"/>
            </w:tcMar>
            <w:vAlign w:val="bottom"/>
          </w:tcPr>
          <w:p w14:paraId="17607F62" w14:textId="77777777" w:rsidR="0005154F" w:rsidRPr="0005154F" w:rsidRDefault="0005154F" w:rsidP="0005154F">
            <w:pPr>
              <w:widowControl w:val="0"/>
              <w:spacing w:after="120" w:line="360" w:lineRule="auto"/>
              <w:jc w:val="right"/>
              <w:rPr>
                <w:rFonts w:ascii="Arial" w:eastAsia="Arial" w:hAnsi="Arial" w:cs="Arial"/>
                <w:color w:val="000000"/>
              </w:rPr>
            </w:pPr>
            <w:r w:rsidRPr="0005154F">
              <w:rPr>
                <w:rFonts w:ascii="Arial" w:eastAsia="Arial" w:hAnsi="Arial" w:cs="Arial"/>
                <w:color w:val="000000"/>
              </w:rPr>
              <w:t>30,1</w:t>
            </w:r>
          </w:p>
        </w:tc>
        <w:tc>
          <w:tcPr>
            <w:tcW w:w="709" w:type="dxa"/>
            <w:tcBorders>
              <w:top w:val="single" w:sz="7" w:space="0" w:color="CCCCCC"/>
              <w:left w:val="single" w:sz="7" w:space="0" w:color="CCCCCC"/>
              <w:bottom w:val="single" w:sz="7" w:space="0" w:color="FF0000"/>
              <w:right w:val="single" w:sz="7" w:space="0" w:color="FF0000"/>
            </w:tcBorders>
            <w:tcMar>
              <w:top w:w="40" w:type="dxa"/>
              <w:left w:w="40" w:type="dxa"/>
              <w:bottom w:w="40" w:type="dxa"/>
              <w:right w:w="40" w:type="dxa"/>
            </w:tcMar>
            <w:vAlign w:val="bottom"/>
          </w:tcPr>
          <w:p w14:paraId="6C038686" w14:textId="77777777" w:rsidR="0005154F" w:rsidRPr="0005154F" w:rsidRDefault="0005154F" w:rsidP="0005154F">
            <w:pPr>
              <w:widowControl w:val="0"/>
              <w:spacing w:after="120" w:line="360" w:lineRule="auto"/>
              <w:jc w:val="right"/>
              <w:rPr>
                <w:rFonts w:ascii="Arial" w:eastAsia="Arial" w:hAnsi="Arial" w:cs="Arial"/>
                <w:color w:val="000000"/>
              </w:rPr>
            </w:pPr>
            <w:r w:rsidRPr="0005154F">
              <w:rPr>
                <w:rFonts w:ascii="Arial" w:eastAsia="Arial" w:hAnsi="Arial" w:cs="Arial"/>
                <w:color w:val="000000"/>
              </w:rPr>
              <w:t>26,5</w:t>
            </w:r>
          </w:p>
        </w:tc>
        <w:tc>
          <w:tcPr>
            <w:tcW w:w="709" w:type="dxa"/>
            <w:tcBorders>
              <w:top w:val="single" w:sz="7" w:space="0" w:color="CCCCCC"/>
              <w:left w:val="single" w:sz="7" w:space="0" w:color="CCCCCC"/>
              <w:bottom w:val="single" w:sz="7" w:space="0" w:color="FF0000"/>
              <w:right w:val="single" w:sz="7" w:space="0" w:color="FF0000"/>
            </w:tcBorders>
            <w:tcMar>
              <w:top w:w="40" w:type="dxa"/>
              <w:left w:w="40" w:type="dxa"/>
              <w:bottom w:w="40" w:type="dxa"/>
              <w:right w:w="40" w:type="dxa"/>
            </w:tcMar>
            <w:vAlign w:val="bottom"/>
          </w:tcPr>
          <w:p w14:paraId="5E4CBE29" w14:textId="77777777" w:rsidR="0005154F" w:rsidRPr="0005154F" w:rsidRDefault="0005154F" w:rsidP="0005154F">
            <w:pPr>
              <w:widowControl w:val="0"/>
              <w:spacing w:after="120" w:line="360" w:lineRule="auto"/>
              <w:jc w:val="right"/>
              <w:rPr>
                <w:rFonts w:ascii="Arial" w:eastAsia="Arial" w:hAnsi="Arial" w:cs="Arial"/>
                <w:color w:val="000000"/>
              </w:rPr>
            </w:pPr>
            <w:r w:rsidRPr="0005154F">
              <w:rPr>
                <w:rFonts w:ascii="Arial" w:eastAsia="Arial" w:hAnsi="Arial" w:cs="Arial"/>
                <w:color w:val="000000"/>
              </w:rPr>
              <w:t>28,4</w:t>
            </w:r>
          </w:p>
        </w:tc>
        <w:tc>
          <w:tcPr>
            <w:tcW w:w="708" w:type="dxa"/>
            <w:tcBorders>
              <w:top w:val="single" w:sz="7" w:space="0" w:color="CCCCCC"/>
              <w:left w:val="single" w:sz="7" w:space="0" w:color="CCCCCC"/>
              <w:bottom w:val="single" w:sz="7" w:space="0" w:color="FF0000"/>
              <w:right w:val="single" w:sz="7" w:space="0" w:color="FF0000"/>
            </w:tcBorders>
            <w:tcMar>
              <w:top w:w="40" w:type="dxa"/>
              <w:left w:w="40" w:type="dxa"/>
              <w:bottom w:w="40" w:type="dxa"/>
              <w:right w:w="40" w:type="dxa"/>
            </w:tcMar>
            <w:vAlign w:val="bottom"/>
          </w:tcPr>
          <w:p w14:paraId="412811EC" w14:textId="77777777" w:rsidR="0005154F" w:rsidRPr="0005154F" w:rsidRDefault="0005154F" w:rsidP="0005154F">
            <w:pPr>
              <w:widowControl w:val="0"/>
              <w:spacing w:after="120" w:line="360" w:lineRule="auto"/>
              <w:jc w:val="right"/>
              <w:rPr>
                <w:rFonts w:ascii="Arial" w:eastAsia="Arial" w:hAnsi="Arial" w:cs="Arial"/>
                <w:color w:val="000000"/>
              </w:rPr>
            </w:pPr>
            <w:r w:rsidRPr="0005154F">
              <w:rPr>
                <w:rFonts w:ascii="Arial" w:eastAsia="Arial" w:hAnsi="Arial" w:cs="Arial"/>
                <w:color w:val="000000"/>
              </w:rPr>
              <w:t>27,5</w:t>
            </w:r>
          </w:p>
        </w:tc>
        <w:tc>
          <w:tcPr>
            <w:tcW w:w="851" w:type="dxa"/>
            <w:tcBorders>
              <w:top w:val="single" w:sz="7" w:space="0" w:color="CCCCCC"/>
              <w:left w:val="single" w:sz="7" w:space="0" w:color="CCCCCC"/>
              <w:bottom w:val="single" w:sz="7" w:space="0" w:color="FF0000"/>
              <w:right w:val="single" w:sz="7" w:space="0" w:color="FF0000"/>
            </w:tcBorders>
            <w:tcMar>
              <w:top w:w="40" w:type="dxa"/>
              <w:left w:w="40" w:type="dxa"/>
              <w:bottom w:w="40" w:type="dxa"/>
              <w:right w:w="40" w:type="dxa"/>
            </w:tcMar>
            <w:vAlign w:val="bottom"/>
          </w:tcPr>
          <w:p w14:paraId="39445B35" w14:textId="77777777" w:rsidR="0005154F" w:rsidRPr="0005154F" w:rsidRDefault="0005154F" w:rsidP="0005154F">
            <w:pPr>
              <w:widowControl w:val="0"/>
              <w:spacing w:after="120" w:line="360" w:lineRule="auto"/>
              <w:jc w:val="right"/>
              <w:rPr>
                <w:rFonts w:ascii="Arial" w:eastAsia="Arial" w:hAnsi="Arial" w:cs="Arial"/>
                <w:color w:val="000000"/>
              </w:rPr>
            </w:pPr>
            <w:r w:rsidRPr="0005154F">
              <w:rPr>
                <w:rFonts w:ascii="Arial" w:eastAsia="Arial" w:hAnsi="Arial" w:cs="Arial"/>
                <w:color w:val="000000"/>
              </w:rPr>
              <w:t>30,9</w:t>
            </w:r>
          </w:p>
        </w:tc>
      </w:tr>
    </w:tbl>
    <w:p w14:paraId="5B1356F5" w14:textId="77777777" w:rsidR="0005154F" w:rsidRPr="0005154F" w:rsidRDefault="0005154F" w:rsidP="0005154F">
      <w:pPr>
        <w:spacing w:after="120" w:line="360" w:lineRule="auto"/>
        <w:jc w:val="both"/>
        <w:rPr>
          <w:rFonts w:ascii="Arial" w:hAnsi="Arial" w:cs="Arial"/>
        </w:rPr>
      </w:pPr>
      <w:r w:rsidRPr="0005154F">
        <w:rPr>
          <w:rFonts w:ascii="Arial" w:hAnsi="Arial" w:cs="Arial"/>
        </w:rPr>
        <w:t xml:space="preserve">*Tabla recuperada del proyecto original a partir de cifras del DNP. Cifras en billones de pesos. </w:t>
      </w:r>
    </w:p>
    <w:p w14:paraId="0FFBE121" w14:textId="77777777" w:rsidR="0005154F" w:rsidRPr="0005154F" w:rsidRDefault="0005154F" w:rsidP="0005154F">
      <w:pPr>
        <w:spacing w:after="120" w:line="360" w:lineRule="auto"/>
        <w:jc w:val="both"/>
        <w:rPr>
          <w:rFonts w:ascii="Arial" w:hAnsi="Arial" w:cs="Arial"/>
        </w:rPr>
      </w:pPr>
      <w:r w:rsidRPr="0005154F">
        <w:rPr>
          <w:rFonts w:ascii="Arial" w:hAnsi="Arial" w:cs="Arial"/>
        </w:rPr>
        <w:t xml:space="preserve">La disminución en la participación de los Ingresos Corrientes de la Nación contenidos en el Sistema General de Participaciones ha sido constante, y se ha mantenido debajo del 31% para un 30,9% actualmente, además basada sobre unos ingresos corrientes en donde se espera que los recursos tributarios y otros disminuyan a causa de la pandemia y recesión económica, es decir los ingresos corrientes para la vigencia 2021 están sobreestimados. </w:t>
      </w:r>
    </w:p>
    <w:p w14:paraId="4CF86696" w14:textId="77777777" w:rsidR="0005154F" w:rsidRPr="0005154F" w:rsidRDefault="0005154F" w:rsidP="0005154F">
      <w:pPr>
        <w:spacing w:after="120" w:line="360" w:lineRule="auto"/>
        <w:jc w:val="both"/>
        <w:rPr>
          <w:rFonts w:ascii="Arial" w:hAnsi="Arial" w:cs="Arial"/>
        </w:rPr>
      </w:pPr>
      <w:r w:rsidRPr="0005154F">
        <w:rPr>
          <w:rFonts w:ascii="Arial" w:hAnsi="Arial" w:cs="Arial"/>
        </w:rPr>
        <w:lastRenderedPageBreak/>
        <w:t xml:space="preserve">Durante los últimos años el Sistema General de Participaciones pasó de tener unas apropiaciones de $41,1 billones en 2019 a aumentar tan solo $47.7 billones en 2021, lo que indica que a pesar de los diferentes aumentos y necesidades de los departamentos y municipios en atención a la pandemia, salud, reactivación económica, y cambio climático, entre otros, no se han entregado los respectivos recursos adicionales para asumir tales propósitos, en contraposición al mandato del artículo 356 constitucional: </w:t>
      </w:r>
      <w:r w:rsidRPr="0005154F">
        <w:rPr>
          <w:rFonts w:ascii="Arial" w:hAnsi="Arial" w:cs="Arial"/>
          <w:i/>
          <w:iCs/>
        </w:rPr>
        <w:t>“No se podrá descentralizar competencias sin la previa asignación de los recursos fiscales suficientes para atenderlas.”</w:t>
      </w:r>
    </w:p>
    <w:p w14:paraId="708459C9" w14:textId="77777777" w:rsidR="0005154F" w:rsidRPr="0005154F" w:rsidRDefault="0005154F" w:rsidP="0005154F">
      <w:pPr>
        <w:spacing w:after="120" w:line="360" w:lineRule="auto"/>
        <w:jc w:val="both"/>
        <w:rPr>
          <w:rFonts w:ascii="Arial" w:hAnsi="Arial" w:cs="Arial"/>
        </w:rPr>
      </w:pPr>
      <w:r w:rsidRPr="0005154F">
        <w:rPr>
          <w:rFonts w:ascii="Arial" w:hAnsi="Arial" w:cs="Arial"/>
        </w:rPr>
        <w:t>De esta forma, el presente Proyecto de Acto Legislativo contempla la obligación de garantizar unos montos mínimos y un flujo continuo de los recursos del Sistema General de Participaciones, poniendo un tope mínimo e impidiendo que se reduzca el monto a transferir año a año por causas de la inflación.</w:t>
      </w:r>
    </w:p>
    <w:p w14:paraId="2075774C" w14:textId="77777777" w:rsidR="0005154F" w:rsidRPr="0005154F" w:rsidRDefault="0005154F" w:rsidP="0005154F">
      <w:pPr>
        <w:spacing w:after="120" w:line="360" w:lineRule="auto"/>
        <w:jc w:val="both"/>
        <w:rPr>
          <w:rFonts w:ascii="Arial" w:hAnsi="Arial" w:cs="Arial"/>
        </w:rPr>
      </w:pPr>
    </w:p>
    <w:p w14:paraId="556E5B13" w14:textId="77777777" w:rsidR="0005154F" w:rsidRPr="0005154F" w:rsidRDefault="0005154F" w:rsidP="0005154F">
      <w:pPr>
        <w:pStyle w:val="Prrafodelista"/>
        <w:numPr>
          <w:ilvl w:val="0"/>
          <w:numId w:val="16"/>
        </w:numPr>
        <w:spacing w:after="120" w:line="360" w:lineRule="auto"/>
        <w:jc w:val="both"/>
        <w:rPr>
          <w:rFonts w:ascii="Arial" w:hAnsi="Arial" w:cs="Arial"/>
          <w:b/>
          <w:bCs/>
        </w:rPr>
      </w:pPr>
      <w:r w:rsidRPr="0005154F">
        <w:rPr>
          <w:rFonts w:ascii="Arial" w:hAnsi="Arial" w:cs="Arial"/>
          <w:b/>
          <w:bCs/>
        </w:rPr>
        <w:t>CONTEXTO NORMATIVO</w:t>
      </w:r>
    </w:p>
    <w:p w14:paraId="3978E107" w14:textId="1F50AE85" w:rsidR="0005154F" w:rsidRPr="0005154F" w:rsidRDefault="0005154F" w:rsidP="00A343B6">
      <w:pPr>
        <w:spacing w:after="120" w:line="360" w:lineRule="auto"/>
        <w:jc w:val="both"/>
        <w:rPr>
          <w:rFonts w:ascii="Arial" w:hAnsi="Arial" w:cs="Arial"/>
        </w:rPr>
      </w:pPr>
      <w:r w:rsidRPr="0005154F">
        <w:rPr>
          <w:rFonts w:ascii="Arial" w:hAnsi="Arial" w:cs="Arial"/>
        </w:rPr>
        <w:t xml:space="preserve">El proyecto busca corregir esta situación de inequidad y de restricción en el proceso de descentralización imponiendo un tope mínimo de recursos y a su vez un aumento mínimo del Sistema General de Participaciones modificando el artículo 357 de la Constitución, así: </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05154F" w:rsidRPr="0005154F" w14:paraId="49A97838" w14:textId="77777777" w:rsidTr="002D1793">
        <w:tc>
          <w:tcPr>
            <w:tcW w:w="4414" w:type="dxa"/>
          </w:tcPr>
          <w:p w14:paraId="6D5D9E5C" w14:textId="77777777" w:rsidR="0005154F" w:rsidRPr="0005154F" w:rsidRDefault="0005154F" w:rsidP="0005154F">
            <w:pPr>
              <w:spacing w:after="120" w:line="360" w:lineRule="auto"/>
              <w:jc w:val="center"/>
              <w:rPr>
                <w:rFonts w:ascii="Arial" w:eastAsia="Arial" w:hAnsi="Arial" w:cs="Arial"/>
                <w:b/>
                <w:color w:val="000000"/>
              </w:rPr>
            </w:pPr>
            <w:r w:rsidRPr="0005154F">
              <w:rPr>
                <w:rFonts w:ascii="Arial" w:eastAsia="Arial" w:hAnsi="Arial" w:cs="Arial"/>
                <w:b/>
                <w:color w:val="000000"/>
              </w:rPr>
              <w:t>Artículo actual</w:t>
            </w:r>
          </w:p>
        </w:tc>
        <w:tc>
          <w:tcPr>
            <w:tcW w:w="4414" w:type="dxa"/>
          </w:tcPr>
          <w:p w14:paraId="3B9120F0" w14:textId="24E7713A" w:rsidR="0005154F" w:rsidRPr="0005154F" w:rsidRDefault="0005154F" w:rsidP="00F970D5">
            <w:pPr>
              <w:spacing w:after="120" w:line="360" w:lineRule="auto"/>
              <w:jc w:val="center"/>
              <w:rPr>
                <w:rFonts w:ascii="Arial" w:eastAsia="Arial" w:hAnsi="Arial" w:cs="Arial"/>
                <w:b/>
                <w:color w:val="000000"/>
              </w:rPr>
            </w:pPr>
            <w:r w:rsidRPr="0005154F">
              <w:rPr>
                <w:rFonts w:ascii="Arial" w:eastAsia="Arial" w:hAnsi="Arial" w:cs="Arial"/>
                <w:b/>
                <w:color w:val="000000"/>
              </w:rPr>
              <w:t>Modificación propuesta</w:t>
            </w:r>
            <w:r w:rsidR="00A343B6">
              <w:rPr>
                <w:rFonts w:ascii="Arial" w:eastAsia="Arial" w:hAnsi="Arial" w:cs="Arial"/>
                <w:b/>
                <w:color w:val="000000"/>
              </w:rPr>
              <w:t xml:space="preserve"> por el Proyecto de Acto Legislativo</w:t>
            </w:r>
            <w:r w:rsidRPr="0005154F">
              <w:rPr>
                <w:rFonts w:ascii="Arial" w:eastAsia="Arial" w:hAnsi="Arial" w:cs="Arial"/>
                <w:b/>
                <w:color w:val="000000"/>
              </w:rPr>
              <w:t xml:space="preserve"> </w:t>
            </w:r>
            <w:r w:rsidR="00F970D5">
              <w:rPr>
                <w:rFonts w:ascii="Arial" w:eastAsia="Arial" w:hAnsi="Arial" w:cs="Arial"/>
                <w:b/>
                <w:color w:val="000000"/>
              </w:rPr>
              <w:t>051 de 2021 Cámara</w:t>
            </w:r>
          </w:p>
        </w:tc>
      </w:tr>
      <w:tr w:rsidR="0005154F" w:rsidRPr="0005154F" w14:paraId="003DEE6C" w14:textId="77777777" w:rsidTr="002D1793">
        <w:tc>
          <w:tcPr>
            <w:tcW w:w="4414" w:type="dxa"/>
          </w:tcPr>
          <w:p w14:paraId="15F12BE0" w14:textId="4DF41560" w:rsidR="0005154F" w:rsidRPr="00F970D5" w:rsidRDefault="0005154F" w:rsidP="0005154F">
            <w:pPr>
              <w:spacing w:after="120" w:line="360" w:lineRule="auto"/>
              <w:jc w:val="both"/>
              <w:rPr>
                <w:rFonts w:ascii="Arial" w:eastAsia="Arial" w:hAnsi="Arial" w:cs="Arial"/>
                <w:b/>
                <w:color w:val="000000"/>
                <w:u w:val="single"/>
              </w:rPr>
            </w:pPr>
            <w:r w:rsidRPr="0005154F">
              <w:rPr>
                <w:rFonts w:ascii="Arial" w:eastAsia="Arial" w:hAnsi="Arial" w:cs="Arial"/>
                <w:b/>
                <w:color w:val="000000"/>
              </w:rPr>
              <w:t>ARTICULO 357. </w:t>
            </w:r>
            <w:r w:rsidRPr="0005154F">
              <w:rPr>
                <w:rFonts w:ascii="Arial" w:eastAsia="Arial" w:hAnsi="Arial" w:cs="Arial"/>
                <w:color w:val="000000"/>
              </w:rPr>
              <w:t xml:space="preserve">El Sistema General de Participaciones de los Departamentos, Distritos y Municipios se incrementará anualmente en un porcentaje igual al promedio de la variación porcentual que hayan tenido los ingresos corrientes de </w:t>
            </w:r>
            <w:r w:rsidRPr="0005154F">
              <w:rPr>
                <w:rFonts w:ascii="Arial" w:eastAsia="Arial" w:hAnsi="Arial" w:cs="Arial"/>
                <w:color w:val="000000"/>
              </w:rPr>
              <w:lastRenderedPageBreak/>
              <w:t xml:space="preserve">la Nación durante los cuatro (4) años anteriores, incluido el correspondiente al aforo del presupuesto en ejecución. </w:t>
            </w:r>
          </w:p>
          <w:p w14:paraId="602CFC33" w14:textId="77777777" w:rsidR="0005154F" w:rsidRPr="0005154F" w:rsidRDefault="0005154F" w:rsidP="0005154F">
            <w:pPr>
              <w:spacing w:after="120" w:line="360" w:lineRule="auto"/>
              <w:jc w:val="both"/>
              <w:rPr>
                <w:rFonts w:ascii="Arial" w:eastAsia="Arial" w:hAnsi="Arial" w:cs="Arial"/>
                <w:b/>
                <w:color w:val="000000"/>
              </w:rPr>
            </w:pPr>
            <w:r w:rsidRPr="0005154F">
              <w:rPr>
                <w:rFonts w:ascii="Arial" w:eastAsia="Arial" w:hAnsi="Arial" w:cs="Arial"/>
                <w:color w:val="000000"/>
              </w:rPr>
              <w:t>(…)</w:t>
            </w:r>
          </w:p>
        </w:tc>
        <w:tc>
          <w:tcPr>
            <w:tcW w:w="4414" w:type="dxa"/>
          </w:tcPr>
          <w:p w14:paraId="3E55D381" w14:textId="1D2F5C57" w:rsidR="0005154F" w:rsidRPr="00F970D5" w:rsidRDefault="0005154F" w:rsidP="00F970D5">
            <w:pPr>
              <w:spacing w:after="120" w:line="360" w:lineRule="auto"/>
              <w:jc w:val="both"/>
              <w:rPr>
                <w:rFonts w:ascii="Arial" w:eastAsia="Arial" w:hAnsi="Arial" w:cs="Arial"/>
                <w:b/>
                <w:color w:val="000000"/>
                <w:u w:val="single"/>
              </w:rPr>
            </w:pPr>
            <w:r w:rsidRPr="0005154F">
              <w:rPr>
                <w:rFonts w:ascii="Arial" w:eastAsia="Arial" w:hAnsi="Arial" w:cs="Arial"/>
                <w:b/>
                <w:color w:val="000000"/>
              </w:rPr>
              <w:lastRenderedPageBreak/>
              <w:t>ARTICULO 357. </w:t>
            </w:r>
            <w:r w:rsidRPr="0005154F">
              <w:rPr>
                <w:rFonts w:ascii="Arial" w:eastAsia="Arial" w:hAnsi="Arial" w:cs="Arial"/>
                <w:color w:val="000000"/>
              </w:rPr>
              <w:t xml:space="preserve">El Sistema General de Participaciones de los Departamentos, Distritos y Municipios </w:t>
            </w:r>
            <w:r w:rsidRPr="0005154F">
              <w:rPr>
                <w:rFonts w:ascii="Arial" w:eastAsia="Arial" w:hAnsi="Arial" w:cs="Arial"/>
                <w:b/>
                <w:color w:val="000000"/>
                <w:u w:val="single"/>
              </w:rPr>
              <w:t>será mínimo el treinta y cinco por ciento (35%) de los ingresos corrientes de la Nación.</w:t>
            </w:r>
            <w:r w:rsidRPr="0005154F">
              <w:rPr>
                <w:rFonts w:ascii="Arial" w:eastAsia="Arial" w:hAnsi="Arial" w:cs="Arial"/>
                <w:color w:val="000000"/>
              </w:rPr>
              <w:t xml:space="preserve"> </w:t>
            </w:r>
            <w:r w:rsidRPr="0005154F">
              <w:rPr>
                <w:rFonts w:ascii="Arial" w:eastAsia="Arial" w:hAnsi="Arial" w:cs="Arial"/>
                <w:b/>
                <w:color w:val="000000"/>
                <w:u w:val="single"/>
              </w:rPr>
              <w:t xml:space="preserve">Los recursos del Sistema General de </w:t>
            </w:r>
            <w:r w:rsidRPr="0005154F">
              <w:rPr>
                <w:rFonts w:ascii="Arial" w:eastAsia="Arial" w:hAnsi="Arial" w:cs="Arial"/>
                <w:b/>
                <w:color w:val="000000"/>
                <w:u w:val="single"/>
              </w:rPr>
              <w:lastRenderedPageBreak/>
              <w:t xml:space="preserve">Participaciones </w:t>
            </w:r>
            <w:r w:rsidRPr="0005154F">
              <w:rPr>
                <w:rFonts w:ascii="Arial" w:eastAsia="Arial" w:hAnsi="Arial" w:cs="Arial"/>
                <w:color w:val="000000"/>
              </w:rPr>
              <w:t xml:space="preserve">se incrementarán anualmente en un porcentaje igual al promedio de la variación porcentual que hayan tenido los ingresos corrientes de la Nación durante los cuatro (4) años anteriores, incluido el correspondiente al aforo del presupuesto en ejecución. </w:t>
            </w:r>
            <w:r w:rsidRPr="0005154F">
              <w:rPr>
                <w:rFonts w:ascii="Arial" w:eastAsia="Arial" w:hAnsi="Arial" w:cs="Arial"/>
                <w:b/>
                <w:color w:val="000000"/>
                <w:u w:val="single"/>
              </w:rPr>
              <w:t xml:space="preserve">En ningún caso este incremento podrá ser inferior a la </w:t>
            </w:r>
            <w:r w:rsidRPr="0005154F">
              <w:rPr>
                <w:rFonts w:ascii="Arial" w:eastAsia="Arial" w:hAnsi="Arial" w:cs="Arial"/>
                <w:b/>
                <w:u w:val="single"/>
              </w:rPr>
              <w:t>tasa de inflación</w:t>
            </w:r>
            <w:r w:rsidRPr="0005154F">
              <w:rPr>
                <w:rFonts w:ascii="Arial" w:eastAsia="Arial" w:hAnsi="Arial" w:cs="Arial"/>
                <w:b/>
                <w:color w:val="000000"/>
                <w:u w:val="single"/>
              </w:rPr>
              <w:t xml:space="preserve"> causada en los doce (12) meses anteriores a la aprobación del presupuesto general de la nación.</w:t>
            </w:r>
          </w:p>
          <w:p w14:paraId="77187498" w14:textId="2E7CD162" w:rsidR="0005154F" w:rsidRPr="0005154F" w:rsidRDefault="0005154F" w:rsidP="00F970D5">
            <w:pPr>
              <w:spacing w:after="120" w:line="360" w:lineRule="auto"/>
              <w:rPr>
                <w:rFonts w:ascii="Arial" w:eastAsia="Arial" w:hAnsi="Arial" w:cs="Arial"/>
                <w:color w:val="000000"/>
              </w:rPr>
            </w:pPr>
            <w:r w:rsidRPr="0005154F">
              <w:rPr>
                <w:rFonts w:ascii="Arial" w:eastAsia="Arial" w:hAnsi="Arial" w:cs="Arial"/>
                <w:color w:val="000000"/>
              </w:rPr>
              <w:t>(…)</w:t>
            </w:r>
          </w:p>
        </w:tc>
      </w:tr>
    </w:tbl>
    <w:p w14:paraId="62F05ACE" w14:textId="77777777" w:rsidR="0005154F" w:rsidRPr="0005154F" w:rsidRDefault="0005154F" w:rsidP="0005154F">
      <w:pPr>
        <w:pStyle w:val="Prrafodelista"/>
        <w:spacing w:after="120" w:line="360" w:lineRule="auto"/>
        <w:jc w:val="both"/>
        <w:rPr>
          <w:rFonts w:ascii="Arial" w:hAnsi="Arial" w:cs="Arial"/>
        </w:rPr>
      </w:pPr>
    </w:p>
    <w:p w14:paraId="43863519" w14:textId="77013F95" w:rsidR="0005154F" w:rsidRPr="0005154F" w:rsidRDefault="0005154F" w:rsidP="0005154F">
      <w:pPr>
        <w:spacing w:after="120" w:line="360" w:lineRule="auto"/>
        <w:jc w:val="both"/>
        <w:rPr>
          <w:rFonts w:ascii="Arial" w:hAnsi="Arial" w:cs="Arial"/>
        </w:rPr>
      </w:pPr>
      <w:r w:rsidRPr="0005154F">
        <w:rPr>
          <w:rFonts w:ascii="Arial" w:hAnsi="Arial" w:cs="Arial"/>
        </w:rPr>
        <w:t>En términos concretos, si los recursos del SGP para el año 2020 fueron de 44.3 billones de pesos, con el cambio del Acto Legislativo y el monto mínimo del 35% de los ICN, esta suma ascendería a 55.7 billones de pesos, un adicional de 12 billones de pesos que administrarían las entidades territoriales de manera directa</w:t>
      </w:r>
      <w:r w:rsidR="00A343B6">
        <w:rPr>
          <w:rFonts w:ascii="Arial" w:hAnsi="Arial" w:cs="Arial"/>
        </w:rPr>
        <w:t>.</w:t>
      </w:r>
    </w:p>
    <w:p w14:paraId="0EAFD401" w14:textId="05F129D9" w:rsidR="0005154F" w:rsidRDefault="0005154F" w:rsidP="0005154F">
      <w:pPr>
        <w:pStyle w:val="Prrafodelista"/>
        <w:spacing w:after="120" w:line="360" w:lineRule="auto"/>
        <w:jc w:val="both"/>
        <w:rPr>
          <w:rFonts w:ascii="Arial" w:hAnsi="Arial" w:cs="Arial"/>
        </w:rPr>
      </w:pPr>
    </w:p>
    <w:p w14:paraId="5D2335CF" w14:textId="77777777" w:rsidR="0005154F" w:rsidRPr="0005154F" w:rsidRDefault="0005154F" w:rsidP="0005154F">
      <w:pPr>
        <w:pStyle w:val="Prrafodelista"/>
        <w:numPr>
          <w:ilvl w:val="0"/>
          <w:numId w:val="16"/>
        </w:numPr>
        <w:spacing w:after="120" w:line="360" w:lineRule="auto"/>
        <w:jc w:val="both"/>
        <w:rPr>
          <w:rFonts w:ascii="Arial" w:hAnsi="Arial" w:cs="Arial"/>
        </w:rPr>
      </w:pPr>
      <w:r w:rsidRPr="0005154F">
        <w:rPr>
          <w:rFonts w:ascii="Arial" w:hAnsi="Arial" w:cs="Arial"/>
          <w:b/>
          <w:bCs/>
        </w:rPr>
        <w:t>CONFLICTOS DE INTERES</w:t>
      </w:r>
    </w:p>
    <w:p w14:paraId="2AD41D31" w14:textId="77777777" w:rsidR="0005154F" w:rsidRPr="0005154F" w:rsidRDefault="0005154F" w:rsidP="0005154F">
      <w:pPr>
        <w:spacing w:after="120" w:line="360" w:lineRule="auto"/>
        <w:jc w:val="both"/>
        <w:rPr>
          <w:rFonts w:ascii="Arial" w:hAnsi="Arial" w:cs="Arial"/>
        </w:rPr>
      </w:pPr>
      <w:r w:rsidRPr="0005154F">
        <w:rPr>
          <w:rFonts w:ascii="Arial" w:hAnsi="Arial" w:cs="Arial"/>
        </w:rPr>
        <w:t xml:space="preserve">Dando cumplimiento a lo establecido en el artículo 3 de la Ley 2003 del 19 de noviembre de 2019, por la cual se modifica parcialmente la Ley 5 de 1992, se hacen las siguientes consideraciones: </w:t>
      </w:r>
    </w:p>
    <w:p w14:paraId="2670B639" w14:textId="77777777" w:rsidR="0005154F" w:rsidRPr="0005154F" w:rsidRDefault="0005154F" w:rsidP="0005154F">
      <w:pPr>
        <w:spacing w:after="120" w:line="360" w:lineRule="auto"/>
        <w:jc w:val="both"/>
        <w:rPr>
          <w:rFonts w:ascii="Arial" w:hAnsi="Arial" w:cs="Arial"/>
        </w:rPr>
      </w:pPr>
      <w:r w:rsidRPr="0005154F">
        <w:rPr>
          <w:rFonts w:ascii="Arial" w:hAnsi="Arial" w:cs="Arial"/>
        </w:rPr>
        <w:t xml:space="preserve">Se estima que la discusión y aprobación del presente Proyecto de Acto Legislativo podría generar conflictos de interés en razón de beneficios particulares, actuales y directos a los congresistas conforme a lo dispuesto en la ley, que tengan relaciones </w:t>
      </w:r>
      <w:r w:rsidRPr="0005154F">
        <w:rPr>
          <w:rFonts w:ascii="Arial" w:hAnsi="Arial" w:cs="Arial"/>
        </w:rPr>
        <w:lastRenderedPageBreak/>
        <w:t xml:space="preserve">de parentesco con las autoridades administrativas de las entidades territoriales que administren recursos del Sistema General de Participación. </w:t>
      </w:r>
    </w:p>
    <w:p w14:paraId="4D0B5EE1" w14:textId="77777777" w:rsidR="0005154F" w:rsidRPr="0005154F" w:rsidRDefault="0005154F" w:rsidP="0005154F">
      <w:pPr>
        <w:spacing w:after="120" w:line="360" w:lineRule="auto"/>
        <w:jc w:val="both"/>
        <w:rPr>
          <w:rFonts w:ascii="Arial" w:hAnsi="Arial" w:cs="Arial"/>
        </w:rPr>
      </w:pPr>
      <w:r w:rsidRPr="0005154F">
        <w:rPr>
          <w:rFonts w:ascii="Arial" w:hAnsi="Arial" w:cs="Arial"/>
        </w:rPr>
        <w:t>Así mismo es importante tomar en cuenta lo señalado por el Consejo de Estado (2019):</w:t>
      </w:r>
    </w:p>
    <w:p w14:paraId="4843C417" w14:textId="77777777" w:rsidR="0005154F" w:rsidRPr="0005154F" w:rsidRDefault="0005154F" w:rsidP="0005154F">
      <w:pPr>
        <w:spacing w:after="120" w:line="360" w:lineRule="auto"/>
        <w:jc w:val="both"/>
        <w:rPr>
          <w:rFonts w:ascii="Arial" w:hAnsi="Arial" w:cs="Arial"/>
          <w:i/>
          <w:iCs/>
        </w:rPr>
      </w:pPr>
      <w:r w:rsidRPr="0005154F">
        <w:rPr>
          <w:rFonts w:ascii="Arial" w:hAnsi="Arial" w:cs="Arial"/>
          <w:i/>
          <w:iCs/>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5CE307D1" w14:textId="77777777" w:rsidR="0005154F" w:rsidRPr="0005154F" w:rsidRDefault="0005154F" w:rsidP="0005154F">
      <w:pPr>
        <w:spacing w:after="120" w:line="360" w:lineRule="auto"/>
        <w:jc w:val="both"/>
        <w:rPr>
          <w:rFonts w:ascii="Arial" w:hAnsi="Arial" w:cs="Arial"/>
        </w:rPr>
      </w:pPr>
      <w:r w:rsidRPr="0005154F">
        <w:rPr>
          <w:rFonts w:ascii="Arial" w:hAnsi="Arial" w:cs="Arial"/>
        </w:rPr>
        <w:t>De igual forma, es pertinente señalar lo que la Ley 5 de 1992 dispone sobre la materia en el artículo 286, modificado por el artículo 1 de la Ley 2003 de 2019</w:t>
      </w:r>
      <w:r w:rsidRPr="0005154F">
        <w:rPr>
          <w:rStyle w:val="Refdenotaalpie"/>
          <w:rFonts w:ascii="Arial" w:hAnsi="Arial" w:cs="Arial"/>
        </w:rPr>
        <w:footnoteReference w:id="2"/>
      </w:r>
      <w:r w:rsidRPr="0005154F">
        <w:rPr>
          <w:rFonts w:ascii="Arial" w:hAnsi="Arial" w:cs="Arial"/>
        </w:rPr>
        <w:t>:</w:t>
      </w:r>
    </w:p>
    <w:p w14:paraId="0CAFC35B" w14:textId="77777777" w:rsidR="0005154F" w:rsidRPr="0005154F" w:rsidRDefault="0005154F" w:rsidP="0005154F">
      <w:pPr>
        <w:spacing w:after="120" w:line="360" w:lineRule="auto"/>
        <w:ind w:left="720"/>
        <w:jc w:val="both"/>
        <w:rPr>
          <w:rFonts w:ascii="Arial" w:hAnsi="Arial" w:cs="Arial"/>
          <w:i/>
          <w:iCs/>
        </w:rPr>
      </w:pPr>
      <w:r w:rsidRPr="0005154F">
        <w:rPr>
          <w:rFonts w:ascii="Arial" w:hAnsi="Arial" w:cs="Arial"/>
          <w:i/>
          <w:iCs/>
        </w:rPr>
        <w:t>“Se entiende como conflicto de interés una situación donde la discusión o votación de un proyecto de ley o acto legislativo o artículo, pueda resultar en un beneficio particular, actual y directo a favor del congresista.</w:t>
      </w:r>
    </w:p>
    <w:p w14:paraId="4DE63926" w14:textId="77777777" w:rsidR="0005154F" w:rsidRPr="0005154F" w:rsidRDefault="0005154F" w:rsidP="0005154F">
      <w:pPr>
        <w:spacing w:after="120" w:line="360" w:lineRule="auto"/>
        <w:ind w:left="720"/>
        <w:jc w:val="both"/>
        <w:rPr>
          <w:rFonts w:ascii="Arial" w:hAnsi="Arial" w:cs="Arial"/>
          <w:i/>
          <w:iCs/>
        </w:rPr>
      </w:pPr>
      <w:r w:rsidRPr="0005154F">
        <w:rPr>
          <w:rFonts w:ascii="Arial" w:hAnsi="Arial" w:cs="Arial"/>
          <w:i/>
          <w:iCs/>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142B3E66" w14:textId="77777777" w:rsidR="0005154F" w:rsidRPr="0005154F" w:rsidRDefault="0005154F" w:rsidP="0005154F">
      <w:pPr>
        <w:spacing w:after="120" w:line="360" w:lineRule="auto"/>
        <w:ind w:left="720"/>
        <w:jc w:val="both"/>
        <w:rPr>
          <w:rFonts w:ascii="Arial" w:hAnsi="Arial" w:cs="Arial"/>
          <w:i/>
          <w:iCs/>
        </w:rPr>
      </w:pPr>
      <w:r w:rsidRPr="0005154F">
        <w:rPr>
          <w:rFonts w:ascii="Arial" w:hAnsi="Arial" w:cs="Arial"/>
          <w:i/>
          <w:iCs/>
        </w:rPr>
        <w:lastRenderedPageBreak/>
        <w:t xml:space="preserve">b) Beneficio actual: aquel que efectivamente se configura en las circunstancias presentes y existentes al momento en el que el congresista participa de la decisión. </w:t>
      </w:r>
    </w:p>
    <w:p w14:paraId="5A058F7E" w14:textId="77777777" w:rsidR="0005154F" w:rsidRPr="0005154F" w:rsidRDefault="0005154F" w:rsidP="0005154F">
      <w:pPr>
        <w:spacing w:after="120" w:line="360" w:lineRule="auto"/>
        <w:ind w:left="720"/>
        <w:jc w:val="both"/>
        <w:rPr>
          <w:rFonts w:ascii="Arial" w:hAnsi="Arial" w:cs="Arial"/>
          <w:i/>
          <w:iCs/>
        </w:rPr>
      </w:pPr>
      <w:r w:rsidRPr="0005154F">
        <w:rPr>
          <w:rFonts w:ascii="Arial" w:hAnsi="Arial" w:cs="Arial"/>
          <w:i/>
          <w:iCs/>
        </w:rPr>
        <w:t>c) Beneficio directo: aquel que se produzca de forma específica respecto del congresista, de su cónyuge, compañero o compañera permanente, o parientes dentro del segundo grado de consanguinidad, segundo de afinidad o primero civil.”</w:t>
      </w:r>
    </w:p>
    <w:p w14:paraId="225EB6B5" w14:textId="77777777" w:rsidR="0005154F" w:rsidRPr="0005154F" w:rsidRDefault="0005154F" w:rsidP="0005154F">
      <w:pPr>
        <w:spacing w:after="120" w:line="360" w:lineRule="auto"/>
        <w:jc w:val="both"/>
        <w:rPr>
          <w:rFonts w:ascii="Arial" w:hAnsi="Arial" w:cs="Arial"/>
        </w:rPr>
      </w:pPr>
      <w:r w:rsidRPr="0005154F">
        <w:rPr>
          <w:rFonts w:ascii="Arial" w:hAnsi="Arial" w:cs="Arial"/>
        </w:rPr>
        <w:t>Finalmente,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269400BE" w14:textId="77777777" w:rsidR="0005154F" w:rsidRPr="0005154F" w:rsidRDefault="0005154F" w:rsidP="0005154F">
      <w:pPr>
        <w:spacing w:after="120" w:line="360" w:lineRule="auto"/>
        <w:jc w:val="both"/>
        <w:rPr>
          <w:rFonts w:ascii="Arial" w:hAnsi="Arial" w:cs="Arial"/>
          <w:b/>
          <w:bCs/>
        </w:rPr>
      </w:pPr>
    </w:p>
    <w:p w14:paraId="16ED3B56" w14:textId="77777777" w:rsidR="0005154F" w:rsidRPr="0005154F" w:rsidRDefault="0005154F" w:rsidP="0005154F">
      <w:pPr>
        <w:pStyle w:val="Prrafodelista"/>
        <w:numPr>
          <w:ilvl w:val="0"/>
          <w:numId w:val="16"/>
        </w:numPr>
        <w:spacing w:after="120" w:line="360" w:lineRule="auto"/>
        <w:jc w:val="both"/>
        <w:rPr>
          <w:rFonts w:ascii="Arial" w:hAnsi="Arial" w:cs="Arial"/>
          <w:b/>
          <w:bCs/>
        </w:rPr>
      </w:pPr>
      <w:r w:rsidRPr="0005154F">
        <w:rPr>
          <w:rFonts w:ascii="Arial" w:hAnsi="Arial" w:cs="Arial"/>
          <w:b/>
          <w:bCs/>
        </w:rPr>
        <w:t>PROPOSICIÓN</w:t>
      </w:r>
    </w:p>
    <w:p w14:paraId="6D8A833E" w14:textId="27E4D074" w:rsidR="0005154F" w:rsidRDefault="0005154F" w:rsidP="0005154F">
      <w:pPr>
        <w:pBdr>
          <w:top w:val="nil"/>
          <w:left w:val="nil"/>
          <w:bottom w:val="nil"/>
          <w:right w:val="nil"/>
          <w:between w:val="nil"/>
        </w:pBdr>
        <w:spacing w:after="120" w:line="360" w:lineRule="auto"/>
        <w:jc w:val="both"/>
        <w:rPr>
          <w:rFonts w:ascii="Arial" w:hAnsi="Arial" w:cs="Arial"/>
          <w:i/>
          <w:iCs/>
        </w:rPr>
      </w:pPr>
      <w:r w:rsidRPr="0005154F">
        <w:rPr>
          <w:rFonts w:ascii="Arial" w:hAnsi="Arial" w:cs="Arial"/>
        </w:rPr>
        <w:t>En consideración a los argumentos anteriormente expuestos,</w:t>
      </w:r>
      <w:r w:rsidR="00A343B6">
        <w:rPr>
          <w:rFonts w:ascii="Arial" w:hAnsi="Arial" w:cs="Arial"/>
        </w:rPr>
        <w:t xml:space="preserve"> me permito presentar</w:t>
      </w:r>
      <w:r w:rsidRPr="0005154F">
        <w:rPr>
          <w:rFonts w:ascii="Arial" w:hAnsi="Arial" w:cs="Arial"/>
        </w:rPr>
        <w:t xml:space="preserve"> </w:t>
      </w:r>
      <w:r w:rsidRPr="0005154F">
        <w:rPr>
          <w:rFonts w:ascii="Arial" w:hAnsi="Arial" w:cs="Arial"/>
          <w:b/>
          <w:bCs/>
        </w:rPr>
        <w:t xml:space="preserve">PONENCIA POSITIVA </w:t>
      </w:r>
      <w:r w:rsidR="00A343B6">
        <w:rPr>
          <w:rFonts w:ascii="Arial" w:hAnsi="Arial" w:cs="Arial"/>
        </w:rPr>
        <w:t>y solicitarle</w:t>
      </w:r>
      <w:r w:rsidRPr="0005154F">
        <w:rPr>
          <w:rFonts w:ascii="Arial" w:hAnsi="Arial" w:cs="Arial"/>
        </w:rPr>
        <w:t xml:space="preserve"> a los Honorables Representantes de la Comisión Primera de la Cámara de Representantes dar PRIMER DEBATE al Proyecto de Acto Legislativo No. 051 de 2021 Cámara </w:t>
      </w:r>
      <w:r w:rsidRPr="0005154F">
        <w:rPr>
          <w:rFonts w:ascii="Arial" w:hAnsi="Arial" w:cs="Arial"/>
          <w:i/>
          <w:iCs/>
        </w:rPr>
        <w:t>“Por medio del cual se modifican los ingresos del Sist</w:t>
      </w:r>
      <w:r w:rsidR="00A343B6">
        <w:rPr>
          <w:rFonts w:ascii="Arial" w:hAnsi="Arial" w:cs="Arial"/>
          <w:i/>
          <w:iCs/>
        </w:rPr>
        <w:t>ema General de Participaciones”.</w:t>
      </w:r>
    </w:p>
    <w:p w14:paraId="101DBE0C" w14:textId="77777777" w:rsidR="00F970D5" w:rsidRPr="0005154F" w:rsidRDefault="00F970D5" w:rsidP="0005154F">
      <w:pPr>
        <w:pBdr>
          <w:top w:val="nil"/>
          <w:left w:val="nil"/>
          <w:bottom w:val="nil"/>
          <w:right w:val="nil"/>
          <w:between w:val="nil"/>
        </w:pBdr>
        <w:spacing w:after="120" w:line="360" w:lineRule="auto"/>
        <w:jc w:val="both"/>
        <w:rPr>
          <w:rFonts w:ascii="Arial" w:hAnsi="Arial" w:cs="Arial"/>
        </w:rPr>
      </w:pPr>
    </w:p>
    <w:p w14:paraId="3A8BBAC3" w14:textId="77777777" w:rsidR="00A343B6" w:rsidRPr="0005154F" w:rsidRDefault="00A343B6" w:rsidP="00A343B6">
      <w:pPr>
        <w:pBdr>
          <w:top w:val="nil"/>
          <w:left w:val="nil"/>
          <w:bottom w:val="nil"/>
          <w:right w:val="nil"/>
          <w:between w:val="nil"/>
        </w:pBdr>
        <w:jc w:val="both"/>
        <w:rPr>
          <w:rFonts w:ascii="Arial" w:hAnsi="Arial" w:cs="Arial"/>
          <w:color w:val="000000"/>
        </w:rPr>
      </w:pPr>
      <w:r w:rsidRPr="0005154F">
        <w:rPr>
          <w:rFonts w:ascii="Arial" w:eastAsia="Calibri" w:hAnsi="Arial" w:cs="Arial"/>
          <w:color w:val="000000"/>
        </w:rPr>
        <w:t>Cordialmente,</w:t>
      </w:r>
    </w:p>
    <w:p w14:paraId="1D88A56E" w14:textId="77777777" w:rsidR="00A343B6" w:rsidRPr="0005154F" w:rsidRDefault="00A343B6" w:rsidP="00A343B6">
      <w:pPr>
        <w:pBdr>
          <w:top w:val="nil"/>
          <w:left w:val="nil"/>
          <w:bottom w:val="nil"/>
          <w:right w:val="nil"/>
          <w:between w:val="nil"/>
        </w:pBdr>
        <w:jc w:val="both"/>
        <w:rPr>
          <w:rFonts w:ascii="Arial" w:hAnsi="Arial" w:cs="Arial"/>
          <w:color w:val="000000"/>
        </w:rPr>
      </w:pPr>
    </w:p>
    <w:p w14:paraId="1E3F3798" w14:textId="77777777" w:rsidR="00A343B6" w:rsidRDefault="00A343B6" w:rsidP="00A343B6">
      <w:pPr>
        <w:rPr>
          <w:rFonts w:ascii="Arial" w:hAnsi="Arial" w:cs="Arial"/>
          <w:lang w:val="es-ES"/>
        </w:rPr>
      </w:pPr>
    </w:p>
    <w:p w14:paraId="7A447265" w14:textId="77777777" w:rsidR="00A343B6" w:rsidRPr="0005154F" w:rsidRDefault="00A343B6" w:rsidP="00A343B6">
      <w:pPr>
        <w:rPr>
          <w:rFonts w:ascii="Arial" w:hAnsi="Arial" w:cs="Arial"/>
          <w:lang w:val="es-ES"/>
        </w:rPr>
      </w:pPr>
    </w:p>
    <w:p w14:paraId="2EE58507" w14:textId="77777777" w:rsidR="00A343B6" w:rsidRPr="0005154F" w:rsidRDefault="00A343B6" w:rsidP="00A343B6">
      <w:pPr>
        <w:rPr>
          <w:rFonts w:ascii="Arial" w:hAnsi="Arial" w:cs="Arial"/>
          <w:lang w:val="es-ES"/>
        </w:rPr>
      </w:pPr>
    </w:p>
    <w:p w14:paraId="362D2C98" w14:textId="77777777" w:rsidR="00A343B6" w:rsidRPr="0005154F" w:rsidRDefault="00A343B6" w:rsidP="00A343B6">
      <w:pPr>
        <w:rPr>
          <w:rFonts w:ascii="Arial" w:hAnsi="Arial" w:cs="Arial"/>
          <w:b/>
          <w:lang w:val="es-ES"/>
        </w:rPr>
      </w:pPr>
      <w:r w:rsidRPr="0005154F">
        <w:rPr>
          <w:rFonts w:ascii="Arial" w:hAnsi="Arial" w:cs="Arial"/>
          <w:b/>
          <w:lang w:val="es-ES"/>
        </w:rPr>
        <w:t>LUIS ALBERTO ALBÁN URBANO</w:t>
      </w:r>
    </w:p>
    <w:p w14:paraId="7E148EE5" w14:textId="77777777" w:rsidR="00A343B6" w:rsidRPr="0005154F" w:rsidRDefault="00A343B6" w:rsidP="00A343B6">
      <w:pPr>
        <w:rPr>
          <w:rFonts w:ascii="Arial" w:hAnsi="Arial" w:cs="Arial"/>
          <w:lang w:val="es-ES"/>
        </w:rPr>
      </w:pPr>
      <w:r w:rsidRPr="0005154F">
        <w:rPr>
          <w:rFonts w:ascii="Arial" w:hAnsi="Arial" w:cs="Arial"/>
          <w:lang w:val="es-ES"/>
        </w:rPr>
        <w:t>Representante a la Cámara</w:t>
      </w:r>
    </w:p>
    <w:p w14:paraId="1B2CC365" w14:textId="64581356" w:rsidR="00A343B6" w:rsidRDefault="00F970D5" w:rsidP="00A343B6">
      <w:pPr>
        <w:rPr>
          <w:rFonts w:ascii="Arial" w:hAnsi="Arial" w:cs="Arial"/>
          <w:lang w:val="es-ES"/>
        </w:rPr>
      </w:pPr>
      <w:r>
        <w:rPr>
          <w:rFonts w:ascii="Arial" w:hAnsi="Arial" w:cs="Arial"/>
          <w:lang w:val="es-ES"/>
        </w:rPr>
        <w:t>Ponente</w:t>
      </w:r>
    </w:p>
    <w:p w14:paraId="08F65A96" w14:textId="6DFDE7C2" w:rsidR="00F970D5" w:rsidRDefault="00F970D5" w:rsidP="00A343B6">
      <w:pPr>
        <w:rPr>
          <w:rFonts w:ascii="Arial" w:hAnsi="Arial" w:cs="Arial"/>
          <w:lang w:val="es-ES"/>
        </w:rPr>
      </w:pPr>
    </w:p>
    <w:p w14:paraId="40B0F151" w14:textId="5F26835F" w:rsidR="00F970D5" w:rsidRDefault="00F970D5" w:rsidP="00A343B6">
      <w:pPr>
        <w:rPr>
          <w:rFonts w:ascii="Arial" w:hAnsi="Arial" w:cs="Arial"/>
          <w:lang w:val="es-ES"/>
        </w:rPr>
      </w:pPr>
    </w:p>
    <w:p w14:paraId="638AB045" w14:textId="4CD5BD50" w:rsidR="00F970D5" w:rsidRPr="00F970D5" w:rsidRDefault="00F970D5" w:rsidP="00F970D5">
      <w:pPr>
        <w:jc w:val="center"/>
        <w:rPr>
          <w:rFonts w:ascii="Arial" w:hAnsi="Arial" w:cs="Arial"/>
          <w:b/>
          <w:lang w:val="es-ES"/>
        </w:rPr>
      </w:pPr>
      <w:r w:rsidRPr="00F970D5">
        <w:rPr>
          <w:rFonts w:ascii="Arial" w:hAnsi="Arial" w:cs="Arial"/>
          <w:b/>
          <w:lang w:val="es-ES"/>
        </w:rPr>
        <w:lastRenderedPageBreak/>
        <w:t>TEXTO PROPUESTO PARA PRIMER DEBATE AL PROYECTO DE ACTO LEGISLATIVO NO. 051 DE 2021 CÁMARA “POR MEDIO DEL CUAL SE MODIFICAN LOS INGRESOS DEL SISTEMA GENERAL DE PARTICIPACIONES”</w:t>
      </w:r>
    </w:p>
    <w:p w14:paraId="094471CB" w14:textId="77777777" w:rsidR="00F970D5" w:rsidRDefault="00F970D5" w:rsidP="00F970D5">
      <w:pPr>
        <w:jc w:val="center"/>
        <w:rPr>
          <w:rFonts w:ascii="Arial" w:eastAsia="Arial" w:hAnsi="Arial" w:cs="Arial"/>
          <w:b/>
          <w:color w:val="000000"/>
        </w:rPr>
      </w:pPr>
    </w:p>
    <w:p w14:paraId="4828F0B6" w14:textId="6F19E5A0" w:rsidR="0005154F" w:rsidRDefault="0005154F" w:rsidP="00F970D5">
      <w:pPr>
        <w:jc w:val="center"/>
        <w:rPr>
          <w:rFonts w:ascii="Arial" w:eastAsia="Arial" w:hAnsi="Arial" w:cs="Arial"/>
          <w:b/>
          <w:color w:val="000000"/>
        </w:rPr>
      </w:pPr>
      <w:r w:rsidRPr="0005154F">
        <w:rPr>
          <w:rFonts w:ascii="Arial" w:eastAsia="Arial" w:hAnsi="Arial" w:cs="Arial"/>
          <w:b/>
          <w:color w:val="000000"/>
        </w:rPr>
        <w:t>EL CONGRESO DE COLOMBIA</w:t>
      </w:r>
    </w:p>
    <w:p w14:paraId="4F8B129A" w14:textId="77777777" w:rsidR="00F970D5" w:rsidRPr="0005154F" w:rsidRDefault="00F970D5" w:rsidP="00F970D5">
      <w:pPr>
        <w:jc w:val="center"/>
        <w:rPr>
          <w:rFonts w:ascii="Arial" w:eastAsia="Arial" w:hAnsi="Arial" w:cs="Arial"/>
          <w:b/>
          <w:color w:val="000000"/>
        </w:rPr>
      </w:pPr>
    </w:p>
    <w:p w14:paraId="5C96D3FD" w14:textId="6F73025C" w:rsidR="0005154F" w:rsidRDefault="0005154F" w:rsidP="00F970D5">
      <w:pPr>
        <w:jc w:val="center"/>
        <w:rPr>
          <w:rFonts w:ascii="Arial" w:eastAsia="Arial" w:hAnsi="Arial" w:cs="Arial"/>
          <w:b/>
          <w:color w:val="000000"/>
        </w:rPr>
      </w:pPr>
      <w:r w:rsidRPr="0005154F">
        <w:rPr>
          <w:rFonts w:ascii="Arial" w:eastAsia="Arial" w:hAnsi="Arial" w:cs="Arial"/>
          <w:b/>
          <w:color w:val="000000"/>
        </w:rPr>
        <w:t>DECRETA:</w:t>
      </w:r>
    </w:p>
    <w:p w14:paraId="2A2E795C" w14:textId="77777777" w:rsidR="00F970D5" w:rsidRPr="0005154F" w:rsidRDefault="00F970D5" w:rsidP="00F970D5">
      <w:pPr>
        <w:jc w:val="center"/>
        <w:rPr>
          <w:rFonts w:ascii="Arial" w:eastAsia="Arial" w:hAnsi="Arial" w:cs="Arial"/>
          <w:b/>
          <w:color w:val="000000"/>
        </w:rPr>
      </w:pPr>
    </w:p>
    <w:p w14:paraId="0219FF5A" w14:textId="77777777" w:rsidR="0005154F" w:rsidRPr="0005154F" w:rsidRDefault="0005154F" w:rsidP="00F970D5">
      <w:pPr>
        <w:jc w:val="both"/>
        <w:rPr>
          <w:rFonts w:ascii="Arial" w:eastAsia="Arial" w:hAnsi="Arial" w:cs="Arial"/>
          <w:color w:val="000000"/>
        </w:rPr>
      </w:pPr>
      <w:r w:rsidRPr="0005154F">
        <w:rPr>
          <w:rFonts w:ascii="Arial" w:eastAsia="Arial" w:hAnsi="Arial" w:cs="Arial"/>
          <w:b/>
          <w:color w:val="000000"/>
        </w:rPr>
        <w:t xml:space="preserve">Artículo 1: </w:t>
      </w:r>
      <w:r w:rsidRPr="0005154F">
        <w:rPr>
          <w:rFonts w:ascii="Arial" w:eastAsia="Arial" w:hAnsi="Arial" w:cs="Arial"/>
          <w:color w:val="000000"/>
        </w:rPr>
        <w:t xml:space="preserve">Modifíquese el </w:t>
      </w:r>
      <w:r w:rsidRPr="00807725">
        <w:rPr>
          <w:rFonts w:ascii="Arial" w:eastAsia="Arial" w:hAnsi="Arial" w:cs="Arial"/>
          <w:color w:val="000000"/>
        </w:rPr>
        <w:t>inciso primero</w:t>
      </w:r>
      <w:r w:rsidRPr="0005154F">
        <w:rPr>
          <w:rFonts w:ascii="Arial" w:eastAsia="Arial" w:hAnsi="Arial" w:cs="Arial"/>
          <w:color w:val="000000"/>
        </w:rPr>
        <w:t>, del artículo 357 de la Constitución Política de Colombia, el cual quedará así:</w:t>
      </w:r>
      <w:bookmarkStart w:id="0" w:name="_GoBack"/>
      <w:bookmarkEnd w:id="0"/>
    </w:p>
    <w:p w14:paraId="3A65C47C" w14:textId="77777777" w:rsidR="0005154F" w:rsidRPr="0005154F" w:rsidRDefault="0005154F" w:rsidP="00F970D5">
      <w:pPr>
        <w:jc w:val="both"/>
        <w:rPr>
          <w:rFonts w:ascii="Arial" w:eastAsia="Arial" w:hAnsi="Arial" w:cs="Arial"/>
          <w:b/>
          <w:color w:val="000000"/>
        </w:rPr>
      </w:pPr>
    </w:p>
    <w:p w14:paraId="216DCC04" w14:textId="6C8D09C9" w:rsidR="0005154F" w:rsidRPr="00F970D5" w:rsidRDefault="0005154F" w:rsidP="00F970D5">
      <w:pPr>
        <w:ind w:left="708"/>
        <w:jc w:val="both"/>
        <w:rPr>
          <w:rFonts w:ascii="Arial" w:eastAsia="Arial" w:hAnsi="Arial" w:cs="Arial"/>
          <w:b/>
          <w:color w:val="000000"/>
          <w:u w:val="single"/>
        </w:rPr>
      </w:pPr>
      <w:bookmarkStart w:id="1" w:name="gjdgxs" w:colFirst="0" w:colLast="0"/>
      <w:bookmarkEnd w:id="1"/>
      <w:r w:rsidRPr="0005154F">
        <w:rPr>
          <w:rFonts w:ascii="Arial" w:eastAsia="Arial" w:hAnsi="Arial" w:cs="Arial"/>
          <w:b/>
          <w:color w:val="000000"/>
        </w:rPr>
        <w:t>ARTICULO 357. </w:t>
      </w:r>
      <w:r w:rsidRPr="0005154F">
        <w:rPr>
          <w:rFonts w:ascii="Arial" w:eastAsia="Arial" w:hAnsi="Arial" w:cs="Arial"/>
          <w:color w:val="000000"/>
        </w:rPr>
        <w:t>El Sistema General de Participaciones de los Departamentos, Distritos y Municipio</w:t>
      </w:r>
      <w:r w:rsidRPr="00F970D5">
        <w:rPr>
          <w:rFonts w:ascii="Arial" w:eastAsia="Arial" w:hAnsi="Arial" w:cs="Arial"/>
          <w:color w:val="000000"/>
        </w:rPr>
        <w:t xml:space="preserve">s será mínimo el treinta y cinco por ciento (35%) de los ingresos corrientes de la Nación. Los recursos del Sistema General de Participaciones se incrementarán anualmente en un porcentaje igual al promedio de la variación porcentual que hayan tenido los ingresos corrientes de la Nación durante los cuatro (4) años anteriores, incluido el correspondiente al aforo del presupuesto en ejecución. En ningún caso este incremento podrá ser inferior a la </w:t>
      </w:r>
      <w:r w:rsidRPr="00F970D5">
        <w:rPr>
          <w:rFonts w:ascii="Arial" w:eastAsia="Arial" w:hAnsi="Arial" w:cs="Arial"/>
        </w:rPr>
        <w:t>tasa de inflación</w:t>
      </w:r>
      <w:r w:rsidRPr="00F970D5">
        <w:rPr>
          <w:rFonts w:ascii="Arial" w:eastAsia="Arial" w:hAnsi="Arial" w:cs="Arial"/>
          <w:color w:val="000000"/>
        </w:rPr>
        <w:t xml:space="preserve"> causada en los doce (12) meses anteriores a la aprobación del presupuesto general de la nación.</w:t>
      </w:r>
    </w:p>
    <w:p w14:paraId="0C3881BC" w14:textId="77777777" w:rsidR="0005154F" w:rsidRPr="0005154F" w:rsidRDefault="0005154F" w:rsidP="00F970D5">
      <w:pPr>
        <w:pBdr>
          <w:top w:val="nil"/>
          <w:left w:val="nil"/>
          <w:bottom w:val="nil"/>
          <w:right w:val="nil"/>
          <w:between w:val="nil"/>
        </w:pBdr>
        <w:ind w:left="708"/>
        <w:jc w:val="both"/>
        <w:rPr>
          <w:rFonts w:ascii="Arial" w:eastAsia="Arial" w:hAnsi="Arial" w:cs="Arial"/>
          <w:color w:val="000000"/>
        </w:rPr>
      </w:pPr>
    </w:p>
    <w:p w14:paraId="2DE0979B" w14:textId="77777777" w:rsidR="00F970D5" w:rsidRDefault="00F970D5" w:rsidP="00F970D5">
      <w:pPr>
        <w:jc w:val="both"/>
        <w:rPr>
          <w:rFonts w:ascii="Arial" w:eastAsia="Arial" w:hAnsi="Arial" w:cs="Arial"/>
          <w:b/>
          <w:color w:val="000000"/>
        </w:rPr>
      </w:pPr>
    </w:p>
    <w:p w14:paraId="6ED5B953" w14:textId="344749A2" w:rsidR="0005154F" w:rsidRPr="0005154F" w:rsidRDefault="0005154F" w:rsidP="00F970D5">
      <w:pPr>
        <w:jc w:val="both"/>
        <w:rPr>
          <w:rFonts w:ascii="Arial" w:eastAsia="Arial" w:hAnsi="Arial" w:cs="Arial"/>
          <w:color w:val="000000"/>
        </w:rPr>
      </w:pPr>
      <w:r w:rsidRPr="0005154F">
        <w:rPr>
          <w:rFonts w:ascii="Arial" w:eastAsia="Arial" w:hAnsi="Arial" w:cs="Arial"/>
          <w:b/>
          <w:color w:val="000000"/>
        </w:rPr>
        <w:t xml:space="preserve">Artículo 2: </w:t>
      </w:r>
      <w:r w:rsidRPr="0005154F">
        <w:rPr>
          <w:rFonts w:ascii="Arial" w:eastAsia="Arial" w:hAnsi="Arial" w:cs="Arial"/>
          <w:color w:val="000000"/>
        </w:rPr>
        <w:t>El presente Acto Legislativo rige a partir de su promulgación.</w:t>
      </w:r>
    </w:p>
    <w:p w14:paraId="7171ADDD" w14:textId="732B338D" w:rsidR="0005154F" w:rsidRDefault="0005154F" w:rsidP="0005154F">
      <w:pPr>
        <w:pBdr>
          <w:top w:val="nil"/>
          <w:left w:val="nil"/>
          <w:bottom w:val="nil"/>
          <w:right w:val="nil"/>
          <w:between w:val="nil"/>
        </w:pBdr>
        <w:spacing w:after="120" w:line="360" w:lineRule="auto"/>
        <w:jc w:val="both"/>
        <w:rPr>
          <w:rFonts w:ascii="Arial" w:eastAsia="Calibri" w:hAnsi="Arial" w:cs="Arial"/>
          <w:color w:val="000000"/>
        </w:rPr>
      </w:pPr>
    </w:p>
    <w:p w14:paraId="5B659B63" w14:textId="77777777" w:rsidR="00F970D5" w:rsidRPr="0005154F" w:rsidRDefault="00F970D5" w:rsidP="0005154F">
      <w:pPr>
        <w:pBdr>
          <w:top w:val="nil"/>
          <w:left w:val="nil"/>
          <w:bottom w:val="nil"/>
          <w:right w:val="nil"/>
          <w:between w:val="nil"/>
        </w:pBdr>
        <w:spacing w:after="120" w:line="360" w:lineRule="auto"/>
        <w:jc w:val="both"/>
        <w:rPr>
          <w:rFonts w:ascii="Arial" w:eastAsia="Calibri" w:hAnsi="Arial" w:cs="Arial"/>
          <w:color w:val="000000"/>
        </w:rPr>
      </w:pPr>
    </w:p>
    <w:p w14:paraId="0FD139EC" w14:textId="77777777" w:rsidR="00F970D5" w:rsidRPr="0005154F" w:rsidRDefault="00F970D5" w:rsidP="00F970D5">
      <w:pPr>
        <w:pBdr>
          <w:top w:val="nil"/>
          <w:left w:val="nil"/>
          <w:bottom w:val="nil"/>
          <w:right w:val="nil"/>
          <w:between w:val="nil"/>
        </w:pBdr>
        <w:jc w:val="both"/>
        <w:rPr>
          <w:rFonts w:ascii="Arial" w:hAnsi="Arial" w:cs="Arial"/>
          <w:color w:val="000000"/>
        </w:rPr>
      </w:pPr>
      <w:r w:rsidRPr="0005154F">
        <w:rPr>
          <w:rFonts w:ascii="Arial" w:eastAsia="Calibri" w:hAnsi="Arial" w:cs="Arial"/>
          <w:color w:val="000000"/>
        </w:rPr>
        <w:t>Cordialmente,</w:t>
      </w:r>
    </w:p>
    <w:p w14:paraId="68A7DC03" w14:textId="77777777" w:rsidR="00F970D5" w:rsidRPr="0005154F" w:rsidRDefault="00F970D5" w:rsidP="00F970D5">
      <w:pPr>
        <w:pBdr>
          <w:top w:val="nil"/>
          <w:left w:val="nil"/>
          <w:bottom w:val="nil"/>
          <w:right w:val="nil"/>
          <w:between w:val="nil"/>
        </w:pBdr>
        <w:jc w:val="both"/>
        <w:rPr>
          <w:rFonts w:ascii="Arial" w:hAnsi="Arial" w:cs="Arial"/>
          <w:color w:val="000000"/>
        </w:rPr>
      </w:pPr>
    </w:p>
    <w:p w14:paraId="0AB051A9" w14:textId="77777777" w:rsidR="00F970D5" w:rsidRDefault="00F970D5" w:rsidP="00F970D5">
      <w:pPr>
        <w:rPr>
          <w:rFonts w:ascii="Arial" w:hAnsi="Arial" w:cs="Arial"/>
          <w:lang w:val="es-ES"/>
        </w:rPr>
      </w:pPr>
    </w:p>
    <w:p w14:paraId="29396975" w14:textId="77777777" w:rsidR="00F970D5" w:rsidRPr="0005154F" w:rsidRDefault="00F970D5" w:rsidP="00F970D5">
      <w:pPr>
        <w:rPr>
          <w:rFonts w:ascii="Arial" w:hAnsi="Arial" w:cs="Arial"/>
          <w:lang w:val="es-ES"/>
        </w:rPr>
      </w:pPr>
    </w:p>
    <w:p w14:paraId="1A8F75AA" w14:textId="77777777" w:rsidR="00F970D5" w:rsidRPr="0005154F" w:rsidRDefault="00F970D5" w:rsidP="00F970D5">
      <w:pPr>
        <w:rPr>
          <w:rFonts w:ascii="Arial" w:hAnsi="Arial" w:cs="Arial"/>
          <w:lang w:val="es-ES"/>
        </w:rPr>
      </w:pPr>
    </w:p>
    <w:p w14:paraId="0CA1AB2A" w14:textId="3DA35C68" w:rsidR="00F970D5" w:rsidRDefault="00F970D5" w:rsidP="00F970D5">
      <w:pPr>
        <w:rPr>
          <w:rFonts w:ascii="Arial" w:hAnsi="Arial" w:cs="Arial"/>
          <w:b/>
          <w:lang w:val="es-ES"/>
        </w:rPr>
      </w:pPr>
      <w:r w:rsidRPr="0005154F">
        <w:rPr>
          <w:rFonts w:ascii="Arial" w:hAnsi="Arial" w:cs="Arial"/>
          <w:b/>
          <w:lang w:val="es-ES"/>
        </w:rPr>
        <w:t>LUIS ALBERTO ALBÁN URBANO</w:t>
      </w:r>
    </w:p>
    <w:p w14:paraId="4FE8E288" w14:textId="77777777" w:rsidR="00F970D5" w:rsidRPr="0005154F" w:rsidRDefault="00F970D5" w:rsidP="00F970D5">
      <w:pPr>
        <w:rPr>
          <w:rFonts w:ascii="Arial" w:hAnsi="Arial" w:cs="Arial"/>
          <w:lang w:val="es-ES"/>
        </w:rPr>
      </w:pPr>
      <w:r w:rsidRPr="0005154F">
        <w:rPr>
          <w:rFonts w:ascii="Arial" w:hAnsi="Arial" w:cs="Arial"/>
          <w:lang w:val="es-ES"/>
        </w:rPr>
        <w:t>Representante a la Cámara</w:t>
      </w:r>
    </w:p>
    <w:p w14:paraId="49AFAA75" w14:textId="65C4E286" w:rsidR="00F970D5" w:rsidRDefault="00F970D5" w:rsidP="00F970D5">
      <w:pPr>
        <w:rPr>
          <w:rFonts w:ascii="Arial" w:hAnsi="Arial" w:cs="Arial"/>
          <w:lang w:val="es-ES"/>
        </w:rPr>
      </w:pPr>
      <w:r>
        <w:rPr>
          <w:rFonts w:ascii="Arial" w:hAnsi="Arial" w:cs="Arial"/>
          <w:lang w:val="es-ES"/>
        </w:rPr>
        <w:t>Ponente</w:t>
      </w:r>
    </w:p>
    <w:p w14:paraId="7367F7EB" w14:textId="77777777" w:rsidR="0005154F" w:rsidRPr="0005154F" w:rsidRDefault="0005154F" w:rsidP="0005154F">
      <w:pPr>
        <w:pBdr>
          <w:top w:val="nil"/>
          <w:left w:val="nil"/>
          <w:bottom w:val="nil"/>
          <w:right w:val="nil"/>
          <w:between w:val="nil"/>
        </w:pBdr>
        <w:spacing w:after="120" w:line="360" w:lineRule="auto"/>
        <w:jc w:val="both"/>
        <w:rPr>
          <w:rFonts w:ascii="Arial" w:eastAsia="Calibri" w:hAnsi="Arial" w:cs="Arial"/>
          <w:color w:val="000000"/>
        </w:rPr>
      </w:pPr>
    </w:p>
    <w:sectPr w:rsidR="0005154F" w:rsidRPr="0005154F" w:rsidSect="0005154F">
      <w:headerReference w:type="default" r:id="rId7"/>
      <w:pgSz w:w="12240" w:h="15840"/>
      <w:pgMar w:top="243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2DF98" w14:textId="77777777" w:rsidR="00DA73A9" w:rsidRDefault="00DA73A9" w:rsidP="00090CFE">
      <w:r>
        <w:separator/>
      </w:r>
    </w:p>
  </w:endnote>
  <w:endnote w:type="continuationSeparator" w:id="0">
    <w:p w14:paraId="7289978E" w14:textId="77777777" w:rsidR="00DA73A9" w:rsidRDefault="00DA73A9" w:rsidP="0009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241E6" w14:textId="77777777" w:rsidR="00DA73A9" w:rsidRDefault="00DA73A9" w:rsidP="00090CFE">
      <w:r>
        <w:separator/>
      </w:r>
    </w:p>
  </w:footnote>
  <w:footnote w:type="continuationSeparator" w:id="0">
    <w:p w14:paraId="4993DD6E" w14:textId="77777777" w:rsidR="00DA73A9" w:rsidRDefault="00DA73A9" w:rsidP="00090CFE">
      <w:r>
        <w:continuationSeparator/>
      </w:r>
    </w:p>
  </w:footnote>
  <w:footnote w:id="1">
    <w:p w14:paraId="4E19223F" w14:textId="77777777" w:rsidR="0005154F" w:rsidRPr="009F7C7C" w:rsidRDefault="0005154F" w:rsidP="0005154F">
      <w:pPr>
        <w:pStyle w:val="Textonotapie"/>
        <w:jc w:val="both"/>
        <w:rPr>
          <w:rFonts w:ascii="Times New Roman" w:hAnsi="Times New Roman" w:cs="Times New Roman"/>
        </w:rPr>
      </w:pPr>
      <w:r w:rsidRPr="009F7C7C">
        <w:rPr>
          <w:rStyle w:val="Refdenotaalpie"/>
          <w:rFonts w:ascii="Times New Roman" w:hAnsi="Times New Roman" w:cs="Times New Roman"/>
        </w:rPr>
        <w:footnoteRef/>
      </w:r>
      <w:r w:rsidRPr="009F7C7C">
        <w:rPr>
          <w:rFonts w:ascii="Times New Roman" w:hAnsi="Times New Roman" w:cs="Times New Roman"/>
        </w:rPr>
        <w:t xml:space="preserve"> </w:t>
      </w:r>
      <w:r w:rsidRPr="009F7C7C">
        <w:rPr>
          <w:rFonts w:ascii="Times New Roman" w:hAnsi="Times New Roman" w:cs="Times New Roman"/>
          <w:i/>
          <w:iCs/>
        </w:rPr>
        <w:t xml:space="preserve">“La descentralización implica “el ejercicio de determinadas funciones administrativas sea realizado en un marco de autonomía por las entidades territoriales” Mientras que “delegación y desconcentración por su parte, atienden más a la transferencia de funciones radicadas en cabeza de los órganos administrativos superiores a instituciones u organismos dependientes de ellos, sin que el titular original de esas atribuciones pierda el control y la dirección política y administrativa sobre el desarrollo de esas funciones. Por eso, se señala que estas dos fórmulas organizacionales constituyen, en principio, variantes del ejercicio centralizado de la función administrativa”. </w:t>
      </w:r>
      <w:r w:rsidRPr="009F7C7C">
        <w:rPr>
          <w:rFonts w:ascii="Times New Roman" w:hAnsi="Times New Roman" w:cs="Times New Roman"/>
        </w:rPr>
        <w:t xml:space="preserve"> Citada en el proyecto de ley. Sentencia C-496 de 1998 Ver en: </w:t>
      </w:r>
      <w:hyperlink r:id="rId1" w:history="1">
        <w:r w:rsidRPr="009F7C7C">
          <w:rPr>
            <w:rStyle w:val="Hipervnculo"/>
            <w:rFonts w:ascii="Times New Roman" w:hAnsi="Times New Roman" w:cs="Times New Roman"/>
          </w:rPr>
          <w:t>https://www.corteconstitucional.gov.co/relatoria/1998/c-496-98.htm</w:t>
        </w:r>
      </w:hyperlink>
      <w:r w:rsidRPr="009F7C7C">
        <w:rPr>
          <w:rFonts w:ascii="Times New Roman" w:hAnsi="Times New Roman" w:cs="Times New Roman"/>
        </w:rPr>
        <w:t xml:space="preserve"> </w:t>
      </w:r>
    </w:p>
  </w:footnote>
  <w:footnote w:id="2">
    <w:p w14:paraId="3543B669" w14:textId="77777777" w:rsidR="0005154F" w:rsidRDefault="0005154F" w:rsidP="0005154F">
      <w:pPr>
        <w:pStyle w:val="Textonotapie"/>
      </w:pPr>
      <w:r>
        <w:rPr>
          <w:rStyle w:val="Refdenotaalpie"/>
        </w:rPr>
        <w:footnoteRef/>
      </w:r>
      <w:r>
        <w:t xml:space="preserve"> Ley 2003 de 2019. </w:t>
      </w:r>
      <w:hyperlink r:id="rId2" w:history="1">
        <w:r w:rsidRPr="009A2AF7">
          <w:rPr>
            <w:rStyle w:val="Hipervnculo"/>
          </w:rPr>
          <w:t>http://www.secretariasenado.gov.co/senado/basedoc/ley_2003_2019.html</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C5CF4" w14:textId="4F24588C" w:rsidR="00090CFE" w:rsidRDefault="002700CB">
    <w:pPr>
      <w:pStyle w:val="Encabezado"/>
    </w:pPr>
    <w:r>
      <w:rPr>
        <w:noProof/>
        <w:lang w:eastAsia="es-CO"/>
      </w:rPr>
      <w:drawing>
        <wp:anchor distT="0" distB="0" distL="114300" distR="114300" simplePos="0" relativeHeight="251658240" behindDoc="1" locked="0" layoutInCell="1" allowOverlap="1" wp14:anchorId="4065E07B" wp14:editId="10A2DCF8">
          <wp:simplePos x="0" y="0"/>
          <wp:positionH relativeFrom="column">
            <wp:posOffset>-1069502</wp:posOffset>
          </wp:positionH>
          <wp:positionV relativeFrom="paragraph">
            <wp:posOffset>220271</wp:posOffset>
          </wp:positionV>
          <wp:extent cx="7751134" cy="9385028"/>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51134" cy="93850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2659"/>
    <w:multiLevelType w:val="multilevel"/>
    <w:tmpl w:val="C5AAAE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0003D"/>
    <w:multiLevelType w:val="hybridMultilevel"/>
    <w:tmpl w:val="AC2CB234"/>
    <w:lvl w:ilvl="0" w:tplc="BC886658">
      <w:numFmt w:val="bullet"/>
      <w:lvlText w:val=""/>
      <w:lvlJc w:val="left"/>
      <w:pPr>
        <w:ind w:left="720" w:hanging="360"/>
      </w:pPr>
      <w:rPr>
        <w:rFonts w:ascii="Symbol" w:eastAsia="Calibri" w:hAnsi="Symbo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9F01986"/>
    <w:multiLevelType w:val="multilevel"/>
    <w:tmpl w:val="A2308D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16B0DE0"/>
    <w:multiLevelType w:val="multilevel"/>
    <w:tmpl w:val="D520BD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A620890"/>
    <w:multiLevelType w:val="hybridMultilevel"/>
    <w:tmpl w:val="DBEC6E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31C487A"/>
    <w:multiLevelType w:val="multilevel"/>
    <w:tmpl w:val="52446F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34F769F"/>
    <w:multiLevelType w:val="hybridMultilevel"/>
    <w:tmpl w:val="DBEC6E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39F6805"/>
    <w:multiLevelType w:val="multilevel"/>
    <w:tmpl w:val="AAF2B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7F00D6"/>
    <w:multiLevelType w:val="multilevel"/>
    <w:tmpl w:val="9CF4E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830C43"/>
    <w:multiLevelType w:val="multilevel"/>
    <w:tmpl w:val="45681D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C1070C"/>
    <w:multiLevelType w:val="multilevel"/>
    <w:tmpl w:val="FA5C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7B7F55"/>
    <w:multiLevelType w:val="hybridMultilevel"/>
    <w:tmpl w:val="2174E2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4607FD0"/>
    <w:multiLevelType w:val="multilevel"/>
    <w:tmpl w:val="61347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212136"/>
    <w:multiLevelType w:val="multilevel"/>
    <w:tmpl w:val="73E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7A653E"/>
    <w:multiLevelType w:val="multilevel"/>
    <w:tmpl w:val="AB60F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4677AF"/>
    <w:multiLevelType w:val="multilevel"/>
    <w:tmpl w:val="759073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ED04258"/>
    <w:multiLevelType w:val="multilevel"/>
    <w:tmpl w:val="B98CBA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
  </w:num>
  <w:num w:numId="3">
    <w:abstractNumId w:val="0"/>
  </w:num>
  <w:num w:numId="4">
    <w:abstractNumId w:val="16"/>
  </w:num>
  <w:num w:numId="5">
    <w:abstractNumId w:val="3"/>
  </w:num>
  <w:num w:numId="6">
    <w:abstractNumId w:val="15"/>
  </w:num>
  <w:num w:numId="7">
    <w:abstractNumId w:val="9"/>
  </w:num>
  <w:num w:numId="8">
    <w:abstractNumId w:val="1"/>
  </w:num>
  <w:num w:numId="9">
    <w:abstractNumId w:val="12"/>
  </w:num>
  <w:num w:numId="10">
    <w:abstractNumId w:val="7"/>
  </w:num>
  <w:num w:numId="11">
    <w:abstractNumId w:val="14"/>
  </w:num>
  <w:num w:numId="12">
    <w:abstractNumId w:val="13"/>
  </w:num>
  <w:num w:numId="13">
    <w:abstractNumId w:val="8"/>
  </w:num>
  <w:num w:numId="14">
    <w:abstractNumId w:val="10"/>
  </w:num>
  <w:num w:numId="15">
    <w:abstractNumId w:val="11"/>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CFE"/>
    <w:rsid w:val="0005154F"/>
    <w:rsid w:val="00090CFE"/>
    <w:rsid w:val="000D29EB"/>
    <w:rsid w:val="00123ED0"/>
    <w:rsid w:val="00140262"/>
    <w:rsid w:val="001923AF"/>
    <w:rsid w:val="002700CB"/>
    <w:rsid w:val="00354D47"/>
    <w:rsid w:val="00365164"/>
    <w:rsid w:val="0039203B"/>
    <w:rsid w:val="003F14D0"/>
    <w:rsid w:val="0042030E"/>
    <w:rsid w:val="004D55D9"/>
    <w:rsid w:val="005441D9"/>
    <w:rsid w:val="00653594"/>
    <w:rsid w:val="00807725"/>
    <w:rsid w:val="00842845"/>
    <w:rsid w:val="0097523B"/>
    <w:rsid w:val="009F383E"/>
    <w:rsid w:val="00A343B6"/>
    <w:rsid w:val="00AF2114"/>
    <w:rsid w:val="00BE6B73"/>
    <w:rsid w:val="00C17F2C"/>
    <w:rsid w:val="00D01685"/>
    <w:rsid w:val="00D41207"/>
    <w:rsid w:val="00DA73A9"/>
    <w:rsid w:val="00E73165"/>
    <w:rsid w:val="00EB0FDD"/>
    <w:rsid w:val="00F80CC1"/>
    <w:rsid w:val="00F96475"/>
    <w:rsid w:val="00F970D5"/>
    <w:rsid w:val="00FF63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895B6"/>
  <w15:chartTrackingRefBased/>
  <w15:docId w15:val="{B2F18C8E-9459-BF42-B7F3-A6ED6C96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0CFE"/>
    <w:pPr>
      <w:tabs>
        <w:tab w:val="center" w:pos="4419"/>
        <w:tab w:val="right" w:pos="8838"/>
      </w:tabs>
    </w:pPr>
  </w:style>
  <w:style w:type="character" w:customStyle="1" w:styleId="EncabezadoCar">
    <w:name w:val="Encabezado Car"/>
    <w:basedOn w:val="Fuentedeprrafopredeter"/>
    <w:link w:val="Encabezado"/>
    <w:uiPriority w:val="99"/>
    <w:rsid w:val="00090CFE"/>
  </w:style>
  <w:style w:type="paragraph" w:styleId="Piedepgina">
    <w:name w:val="footer"/>
    <w:basedOn w:val="Normal"/>
    <w:link w:val="PiedepginaCar"/>
    <w:uiPriority w:val="99"/>
    <w:unhideWhenUsed/>
    <w:rsid w:val="00090CFE"/>
    <w:pPr>
      <w:tabs>
        <w:tab w:val="center" w:pos="4419"/>
        <w:tab w:val="right" w:pos="8838"/>
      </w:tabs>
    </w:pPr>
  </w:style>
  <w:style w:type="character" w:customStyle="1" w:styleId="PiedepginaCar">
    <w:name w:val="Pie de página Car"/>
    <w:basedOn w:val="Fuentedeprrafopredeter"/>
    <w:link w:val="Piedepgina"/>
    <w:uiPriority w:val="99"/>
    <w:rsid w:val="00090CFE"/>
  </w:style>
  <w:style w:type="character" w:styleId="Hipervnculo">
    <w:name w:val="Hyperlink"/>
    <w:basedOn w:val="Fuentedeprrafopredeter"/>
    <w:uiPriority w:val="99"/>
    <w:unhideWhenUsed/>
    <w:rsid w:val="00653594"/>
    <w:rPr>
      <w:color w:val="0563C1" w:themeColor="hyperlink"/>
      <w:u w:val="single"/>
    </w:rPr>
  </w:style>
  <w:style w:type="paragraph" w:styleId="Prrafodelista">
    <w:name w:val="List Paragraph"/>
    <w:basedOn w:val="Normal"/>
    <w:uiPriority w:val="34"/>
    <w:qFormat/>
    <w:rsid w:val="0042030E"/>
    <w:pPr>
      <w:ind w:left="720"/>
      <w:contextualSpacing/>
    </w:pPr>
  </w:style>
  <w:style w:type="paragraph" w:styleId="NormalWeb">
    <w:name w:val="Normal (Web)"/>
    <w:basedOn w:val="Normal"/>
    <w:uiPriority w:val="99"/>
    <w:semiHidden/>
    <w:unhideWhenUsed/>
    <w:rsid w:val="0042030E"/>
    <w:pPr>
      <w:spacing w:before="100" w:beforeAutospacing="1" w:after="100" w:afterAutospacing="1"/>
    </w:pPr>
    <w:rPr>
      <w:rFonts w:ascii="Times New Roman" w:eastAsia="Times New Roman" w:hAnsi="Times New Roman" w:cs="Times New Roman"/>
      <w:lang w:eastAsia="es-CO"/>
    </w:rPr>
  </w:style>
  <w:style w:type="paragraph" w:styleId="Textodeglobo">
    <w:name w:val="Balloon Text"/>
    <w:basedOn w:val="Normal"/>
    <w:link w:val="TextodegloboCar"/>
    <w:uiPriority w:val="99"/>
    <w:semiHidden/>
    <w:unhideWhenUsed/>
    <w:rsid w:val="00C17F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7F2C"/>
    <w:rPr>
      <w:rFonts w:ascii="Segoe UI" w:hAnsi="Segoe UI" w:cs="Segoe UI"/>
      <w:sz w:val="18"/>
      <w:szCs w:val="18"/>
    </w:rPr>
  </w:style>
  <w:style w:type="paragraph" w:styleId="Textonotapie">
    <w:name w:val="footnote text"/>
    <w:basedOn w:val="Normal"/>
    <w:link w:val="TextonotapieCar"/>
    <w:uiPriority w:val="99"/>
    <w:semiHidden/>
    <w:unhideWhenUsed/>
    <w:rsid w:val="0005154F"/>
    <w:rPr>
      <w:sz w:val="20"/>
      <w:szCs w:val="20"/>
    </w:rPr>
  </w:style>
  <w:style w:type="character" w:customStyle="1" w:styleId="TextonotapieCar">
    <w:name w:val="Texto nota pie Car"/>
    <w:basedOn w:val="Fuentedeprrafopredeter"/>
    <w:link w:val="Textonotapie"/>
    <w:uiPriority w:val="99"/>
    <w:semiHidden/>
    <w:rsid w:val="0005154F"/>
    <w:rPr>
      <w:sz w:val="20"/>
      <w:szCs w:val="20"/>
    </w:rPr>
  </w:style>
  <w:style w:type="character" w:styleId="Refdenotaalpie">
    <w:name w:val="footnote reference"/>
    <w:basedOn w:val="Fuentedeprrafopredeter"/>
    <w:uiPriority w:val="99"/>
    <w:semiHidden/>
    <w:unhideWhenUsed/>
    <w:rsid w:val="000515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0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ecretariasenado.gov.co/senado/basedoc/ley_2003_2019.html" TargetMode="External"/><Relationship Id="rId1" Type="http://schemas.openxmlformats.org/officeDocument/2006/relationships/hyperlink" Target="https://www.corteconstitucional.gov.co/relatoria/1998/c-496-98.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2192</Words>
  <Characters>12057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ALEJANDRA MENDEZ NIETO</dc:creator>
  <cp:keywords/>
  <dc:description/>
  <cp:lastModifiedBy>FARC</cp:lastModifiedBy>
  <cp:revision>3</cp:revision>
  <cp:lastPrinted>2021-07-28T15:43:00Z</cp:lastPrinted>
  <dcterms:created xsi:type="dcterms:W3CDTF">2021-09-08T19:07:00Z</dcterms:created>
  <dcterms:modified xsi:type="dcterms:W3CDTF">2021-09-08T19:10:00Z</dcterms:modified>
</cp:coreProperties>
</file>