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7B548" w14:textId="77777777" w:rsidR="00197AA5" w:rsidRDefault="00197AA5" w:rsidP="008F53EB">
      <w:pPr>
        <w:spacing w:line="240" w:lineRule="auto"/>
        <w:jc w:val="center"/>
        <w:rPr>
          <w:rFonts w:ascii="Georgia" w:eastAsia="Arial" w:hAnsi="Georgia" w:cs="Arial"/>
          <w:b/>
          <w:i/>
        </w:rPr>
      </w:pPr>
    </w:p>
    <w:p w14:paraId="26039072" w14:textId="5749E010" w:rsidR="00E55EFA" w:rsidRPr="00F642F2" w:rsidRDefault="00E55EFA" w:rsidP="008F53EB">
      <w:pPr>
        <w:spacing w:line="240" w:lineRule="auto"/>
        <w:jc w:val="center"/>
        <w:rPr>
          <w:rFonts w:ascii="Georgia" w:eastAsia="Arial" w:hAnsi="Georgia" w:cs="Arial"/>
          <w:b/>
          <w:i/>
        </w:rPr>
      </w:pPr>
      <w:r w:rsidRPr="00F642F2">
        <w:rPr>
          <w:rFonts w:ascii="Georgia" w:eastAsia="Arial" w:hAnsi="Georgia" w:cs="Arial"/>
          <w:b/>
          <w:i/>
        </w:rPr>
        <w:t xml:space="preserve">TEXTO APROBADO EN PRIMER DEBATE </w:t>
      </w:r>
      <w:r w:rsidR="00DE40E0" w:rsidRPr="00F642F2">
        <w:rPr>
          <w:rFonts w:ascii="Georgia" w:eastAsia="Arial" w:hAnsi="Georgia" w:cs="Arial"/>
          <w:b/>
          <w:i/>
        </w:rPr>
        <w:t xml:space="preserve">EN SESIÓN CONJUNTA DE LAS COMISIONES </w:t>
      </w:r>
      <w:proofErr w:type="gramStart"/>
      <w:r w:rsidR="00DE40E0" w:rsidRPr="00F642F2">
        <w:rPr>
          <w:rFonts w:ascii="Georgia" w:eastAsia="Arial" w:hAnsi="Georgia" w:cs="Arial"/>
          <w:b/>
          <w:i/>
        </w:rPr>
        <w:t xml:space="preserve">TERCERAS </w:t>
      </w:r>
      <w:r w:rsidRPr="00F642F2">
        <w:rPr>
          <w:rFonts w:ascii="Georgia" w:eastAsia="Arial" w:hAnsi="Georgia" w:cs="Arial"/>
          <w:b/>
          <w:i/>
        </w:rPr>
        <w:t xml:space="preserve"> CONSTITUCIONAL</w:t>
      </w:r>
      <w:r w:rsidR="00DE40E0" w:rsidRPr="00F642F2">
        <w:rPr>
          <w:rFonts w:ascii="Georgia" w:eastAsia="Arial" w:hAnsi="Georgia" w:cs="Arial"/>
          <w:b/>
          <w:i/>
        </w:rPr>
        <w:t>ES</w:t>
      </w:r>
      <w:proofErr w:type="gramEnd"/>
      <w:r w:rsidRPr="00F642F2">
        <w:rPr>
          <w:rFonts w:ascii="Georgia" w:eastAsia="Arial" w:hAnsi="Georgia" w:cs="Arial"/>
          <w:b/>
          <w:i/>
        </w:rPr>
        <w:t xml:space="preserve"> PERMANENTE</w:t>
      </w:r>
      <w:r w:rsidR="00DE40E0" w:rsidRPr="00F642F2">
        <w:rPr>
          <w:rFonts w:ascii="Georgia" w:eastAsia="Arial" w:hAnsi="Georgia" w:cs="Arial"/>
          <w:b/>
          <w:i/>
        </w:rPr>
        <w:t>S DE SENADO Y CÁMARA DE REPRESENTANTES</w:t>
      </w:r>
      <w:r w:rsidR="00BB49B8" w:rsidRPr="00F642F2">
        <w:rPr>
          <w:rFonts w:ascii="Georgia" w:eastAsia="Arial" w:hAnsi="Georgia" w:cs="Arial"/>
          <w:b/>
          <w:i/>
        </w:rPr>
        <w:t>, EN SESIÓN FORMAL V</w:t>
      </w:r>
      <w:r w:rsidR="00DE40E0" w:rsidRPr="00F642F2">
        <w:rPr>
          <w:rFonts w:ascii="Georgia" w:eastAsia="Arial" w:hAnsi="Georgia" w:cs="Arial"/>
          <w:b/>
          <w:i/>
        </w:rPr>
        <w:t xml:space="preserve">IRTUAL DEL DÍA SÁBADO  TREINTA Y UNO </w:t>
      </w:r>
      <w:r w:rsidR="00574BC6" w:rsidRPr="00F642F2">
        <w:rPr>
          <w:rFonts w:ascii="Georgia" w:eastAsia="Arial" w:hAnsi="Georgia" w:cs="Arial"/>
          <w:b/>
          <w:i/>
        </w:rPr>
        <w:t xml:space="preserve"> </w:t>
      </w:r>
      <w:r w:rsidR="00DE40E0" w:rsidRPr="00F642F2">
        <w:rPr>
          <w:rFonts w:ascii="Georgia" w:eastAsia="Arial" w:hAnsi="Georgia" w:cs="Arial"/>
          <w:b/>
          <w:i/>
        </w:rPr>
        <w:t>(31</w:t>
      </w:r>
      <w:r w:rsidR="00AD4769" w:rsidRPr="00F642F2">
        <w:rPr>
          <w:rFonts w:ascii="Georgia" w:eastAsia="Arial" w:hAnsi="Georgia" w:cs="Arial"/>
          <w:b/>
          <w:i/>
        </w:rPr>
        <w:t>) DE OCTUBRE</w:t>
      </w:r>
      <w:r w:rsidR="00BB49B8" w:rsidRPr="00F642F2">
        <w:rPr>
          <w:rFonts w:ascii="Georgia" w:eastAsia="Arial" w:hAnsi="Georgia" w:cs="Arial"/>
          <w:b/>
          <w:i/>
        </w:rPr>
        <w:t xml:space="preserve"> </w:t>
      </w:r>
      <w:r w:rsidRPr="00F642F2">
        <w:rPr>
          <w:rFonts w:ascii="Georgia" w:eastAsia="Arial" w:hAnsi="Georgia" w:cs="Arial"/>
          <w:b/>
          <w:i/>
        </w:rPr>
        <w:t>DE DOS</w:t>
      </w:r>
      <w:r w:rsidR="00BB49B8" w:rsidRPr="00F642F2">
        <w:rPr>
          <w:rFonts w:ascii="Georgia" w:eastAsia="Arial" w:hAnsi="Georgia" w:cs="Arial"/>
          <w:b/>
          <w:i/>
        </w:rPr>
        <w:t xml:space="preserve"> MIL VEINTE (2020</w:t>
      </w:r>
      <w:r w:rsidRPr="00F642F2">
        <w:rPr>
          <w:rFonts w:ascii="Georgia" w:eastAsia="Arial" w:hAnsi="Georgia" w:cs="Arial"/>
          <w:b/>
          <w:i/>
        </w:rPr>
        <w:t>)</w:t>
      </w:r>
    </w:p>
    <w:p w14:paraId="69BB9E02" w14:textId="77777777" w:rsidR="00E55EFA" w:rsidRPr="00F642F2" w:rsidRDefault="00E55EFA" w:rsidP="008F53EB">
      <w:pPr>
        <w:spacing w:line="240" w:lineRule="auto"/>
        <w:jc w:val="center"/>
        <w:rPr>
          <w:rFonts w:ascii="Georgia" w:hAnsi="Georgia" w:cs="Arial"/>
          <w:b/>
          <w:i/>
        </w:rPr>
      </w:pPr>
    </w:p>
    <w:p w14:paraId="537B20B5" w14:textId="2F4D78EF" w:rsidR="00682F31" w:rsidRPr="00F642F2" w:rsidRDefault="00682F31" w:rsidP="008F53EB">
      <w:pPr>
        <w:spacing w:line="240" w:lineRule="auto"/>
        <w:jc w:val="center"/>
        <w:rPr>
          <w:rFonts w:ascii="Georgia" w:hAnsi="Georgia" w:cs="Arial"/>
          <w:b/>
          <w:i/>
        </w:rPr>
      </w:pPr>
      <w:r w:rsidRPr="00F642F2">
        <w:rPr>
          <w:rFonts w:ascii="Georgia" w:hAnsi="Georgia" w:cs="Arial"/>
          <w:b/>
          <w:i/>
        </w:rPr>
        <w:t xml:space="preserve">AL PROYECTO DE LEY </w:t>
      </w:r>
      <w:r w:rsidR="008F53EB" w:rsidRPr="00F642F2">
        <w:rPr>
          <w:rFonts w:ascii="Georgia" w:hAnsi="Georgia" w:cs="Arial"/>
          <w:b/>
          <w:i/>
        </w:rPr>
        <w:t>N°</w:t>
      </w:r>
      <w:r w:rsidR="00DE40E0" w:rsidRPr="00F642F2">
        <w:rPr>
          <w:rFonts w:ascii="Georgia" w:hAnsi="Georgia" w:cs="Arial"/>
          <w:b/>
          <w:i/>
        </w:rPr>
        <w:t>. 284</w:t>
      </w:r>
      <w:r w:rsidR="00BB49B8" w:rsidRPr="00F642F2">
        <w:rPr>
          <w:rFonts w:ascii="Georgia" w:hAnsi="Georgia" w:cs="Arial"/>
          <w:b/>
          <w:i/>
        </w:rPr>
        <w:t xml:space="preserve"> DE 2020</w:t>
      </w:r>
      <w:r w:rsidRPr="00F642F2">
        <w:rPr>
          <w:rFonts w:ascii="Georgia" w:hAnsi="Georgia" w:cs="Arial"/>
          <w:b/>
          <w:i/>
        </w:rPr>
        <w:t xml:space="preserve"> CÁMARA</w:t>
      </w:r>
      <w:r w:rsidR="00DE40E0" w:rsidRPr="00F642F2">
        <w:rPr>
          <w:rFonts w:ascii="Georgia" w:hAnsi="Georgia" w:cs="Arial"/>
          <w:b/>
          <w:i/>
        </w:rPr>
        <w:t xml:space="preserve"> – 333 DE 2020 Senado. </w:t>
      </w:r>
    </w:p>
    <w:p w14:paraId="78A5E1DF" w14:textId="3EC5742A" w:rsidR="00682F31" w:rsidRPr="00F642F2" w:rsidRDefault="00682F31" w:rsidP="008F53EB">
      <w:pPr>
        <w:spacing w:line="240" w:lineRule="auto"/>
        <w:rPr>
          <w:rFonts w:ascii="Georgia" w:hAnsi="Georgia" w:cs="Arial"/>
          <w:b/>
          <w:i/>
        </w:rPr>
      </w:pPr>
    </w:p>
    <w:p w14:paraId="0ED71A5B" w14:textId="1754AB70" w:rsidR="00682F31" w:rsidRPr="00F642F2" w:rsidRDefault="00BB49B8" w:rsidP="008F53EB">
      <w:pPr>
        <w:spacing w:line="240" w:lineRule="auto"/>
        <w:jc w:val="center"/>
        <w:rPr>
          <w:rFonts w:ascii="Georgia" w:hAnsi="Georgia" w:cs="Arial"/>
          <w:i/>
        </w:rPr>
      </w:pPr>
      <w:r w:rsidRPr="00F642F2">
        <w:rPr>
          <w:rFonts w:ascii="Georgia" w:hAnsi="Georgia" w:cs="Arial"/>
          <w:i/>
        </w:rPr>
        <w:t>“</w:t>
      </w:r>
      <w:r w:rsidR="00AD4769" w:rsidRPr="00F642F2">
        <w:rPr>
          <w:rFonts w:ascii="Georgia" w:hAnsi="Georgia" w:cs="Arial"/>
          <w:i/>
        </w:rPr>
        <w:t xml:space="preserve">Por medio de la cual </w:t>
      </w:r>
      <w:r w:rsidR="00DD635D" w:rsidRPr="00F642F2">
        <w:rPr>
          <w:rFonts w:ascii="Georgia" w:hAnsi="Georgia" w:cs="Arial"/>
          <w:i/>
        </w:rPr>
        <w:t xml:space="preserve">se declara de interés general la estrategia para la inmunización de la población </w:t>
      </w:r>
      <w:r w:rsidR="009731D9" w:rsidRPr="00F642F2">
        <w:rPr>
          <w:rFonts w:ascii="Georgia" w:hAnsi="Georgia" w:cs="Arial"/>
          <w:i/>
        </w:rPr>
        <w:t xml:space="preserve">colombiana contra la </w:t>
      </w:r>
      <w:proofErr w:type="spellStart"/>
      <w:r w:rsidR="009731D9" w:rsidRPr="00F642F2">
        <w:rPr>
          <w:rFonts w:ascii="Georgia" w:hAnsi="Georgia" w:cs="Arial"/>
          <w:i/>
        </w:rPr>
        <w:t>Covid</w:t>
      </w:r>
      <w:proofErr w:type="spellEnd"/>
      <w:r w:rsidR="009731D9" w:rsidRPr="00F642F2">
        <w:rPr>
          <w:rFonts w:ascii="Georgia" w:hAnsi="Georgia" w:cs="Arial"/>
          <w:i/>
        </w:rPr>
        <w:t xml:space="preserve"> -19 y la lucha contra cualquier pandemia y se dictan otras disposiciones</w:t>
      </w:r>
      <w:r w:rsidR="00682F31" w:rsidRPr="00F642F2">
        <w:rPr>
          <w:rFonts w:ascii="Georgia" w:hAnsi="Georgia" w:cs="Arial"/>
          <w:i/>
        </w:rPr>
        <w:t>”.</w:t>
      </w:r>
    </w:p>
    <w:p w14:paraId="4758A3C3" w14:textId="77777777" w:rsidR="00393794" w:rsidRPr="00F642F2" w:rsidRDefault="00393794" w:rsidP="008F53EB">
      <w:pPr>
        <w:spacing w:line="240" w:lineRule="auto"/>
        <w:jc w:val="center"/>
        <w:rPr>
          <w:rFonts w:ascii="Georgia" w:hAnsi="Georgia" w:cs="Arial"/>
          <w:i/>
        </w:rPr>
      </w:pPr>
    </w:p>
    <w:p w14:paraId="4B3F5630" w14:textId="56D092C1" w:rsidR="00C3012F" w:rsidRPr="00F642F2" w:rsidRDefault="00C3012F" w:rsidP="008F53EB">
      <w:pPr>
        <w:spacing w:line="240" w:lineRule="auto"/>
        <w:jc w:val="center"/>
        <w:rPr>
          <w:rFonts w:ascii="Georgia" w:hAnsi="Georgia" w:cs="Arial"/>
          <w:b/>
          <w:i/>
        </w:rPr>
      </w:pPr>
      <w:r w:rsidRPr="00F642F2">
        <w:rPr>
          <w:rFonts w:ascii="Georgia" w:hAnsi="Georgia" w:cs="Arial"/>
          <w:b/>
          <w:i/>
        </w:rPr>
        <w:t xml:space="preserve">El </w:t>
      </w:r>
      <w:r w:rsidR="00393794" w:rsidRPr="00F642F2">
        <w:rPr>
          <w:rFonts w:ascii="Georgia" w:hAnsi="Georgia" w:cs="Arial"/>
          <w:b/>
          <w:i/>
        </w:rPr>
        <w:t>C</w:t>
      </w:r>
      <w:r w:rsidRPr="00F642F2">
        <w:rPr>
          <w:rFonts w:ascii="Georgia" w:hAnsi="Georgia" w:cs="Arial"/>
          <w:b/>
          <w:i/>
        </w:rPr>
        <w:t>ongreso de Colombia:</w:t>
      </w:r>
    </w:p>
    <w:p w14:paraId="4C8B6D0B" w14:textId="77777777" w:rsidR="00393794" w:rsidRPr="00F642F2" w:rsidRDefault="00393794" w:rsidP="008F53EB">
      <w:pPr>
        <w:spacing w:line="240" w:lineRule="auto"/>
        <w:jc w:val="center"/>
        <w:rPr>
          <w:rFonts w:ascii="Georgia" w:hAnsi="Georgia" w:cs="Arial"/>
          <w:b/>
          <w:i/>
        </w:rPr>
      </w:pPr>
    </w:p>
    <w:p w14:paraId="730B188A" w14:textId="10A54876" w:rsidR="00C3012F" w:rsidRPr="00F642F2" w:rsidRDefault="00C3012F" w:rsidP="008F53EB">
      <w:pPr>
        <w:spacing w:line="240" w:lineRule="auto"/>
        <w:jc w:val="center"/>
        <w:rPr>
          <w:rFonts w:ascii="Georgia" w:hAnsi="Georgia" w:cs="Arial"/>
          <w:b/>
          <w:i/>
        </w:rPr>
      </w:pPr>
      <w:r w:rsidRPr="00F642F2">
        <w:rPr>
          <w:rFonts w:ascii="Georgia" w:hAnsi="Georgia" w:cs="Arial"/>
          <w:b/>
          <w:i/>
        </w:rPr>
        <w:t>DECRETA:</w:t>
      </w:r>
    </w:p>
    <w:p w14:paraId="2FD9840D" w14:textId="46ABAE81" w:rsidR="00530456" w:rsidRPr="00F642F2" w:rsidRDefault="00530456" w:rsidP="008F53EB">
      <w:pPr>
        <w:spacing w:line="240" w:lineRule="auto"/>
        <w:jc w:val="center"/>
        <w:rPr>
          <w:rFonts w:ascii="Georgia" w:hAnsi="Georgia" w:cs="Arial"/>
          <w:b/>
          <w:i/>
        </w:rPr>
      </w:pPr>
    </w:p>
    <w:p w14:paraId="43526527" w14:textId="4AFF5E49" w:rsidR="00530456" w:rsidRPr="00F642F2" w:rsidRDefault="00530456" w:rsidP="008F53EB">
      <w:pPr>
        <w:spacing w:line="240" w:lineRule="auto"/>
        <w:jc w:val="center"/>
        <w:rPr>
          <w:rFonts w:ascii="Georgia" w:hAnsi="Georgia" w:cs="Arial"/>
          <w:b/>
          <w:i/>
        </w:rPr>
      </w:pPr>
    </w:p>
    <w:p w14:paraId="139F0049" w14:textId="77777777" w:rsidR="005F3B8B" w:rsidRPr="00F642F2" w:rsidRDefault="005F3B8B" w:rsidP="005F3B8B">
      <w:pPr>
        <w:spacing w:line="240" w:lineRule="auto"/>
        <w:ind w:right="51"/>
        <w:rPr>
          <w:rFonts w:ascii="Georgia" w:hAnsi="Georgia"/>
          <w:bCs/>
          <w:i/>
        </w:rPr>
      </w:pPr>
      <w:r w:rsidRPr="00F642F2">
        <w:rPr>
          <w:rFonts w:ascii="Georgia" w:hAnsi="Georgia"/>
          <w:b/>
          <w:i/>
        </w:rPr>
        <w:t>ARTÍCULO PRIMERO: Objeto</w:t>
      </w:r>
      <w:r w:rsidRPr="00F642F2">
        <w:rPr>
          <w:rFonts w:ascii="Georgia" w:hAnsi="Georgia"/>
          <w:bCs/>
          <w:i/>
        </w:rPr>
        <w:t xml:space="preserve">. La presente ley tiene por objeto declarar de interés general la estrategia para la inmunización de la población colombiana contra la Covid-19 y establecer medidas administrativas y tributarias para la financiación y la gestión de los asuntos relacionados con la inmunización contra la </w:t>
      </w:r>
      <w:proofErr w:type="spellStart"/>
      <w:r w:rsidRPr="00F642F2">
        <w:rPr>
          <w:rFonts w:ascii="Georgia" w:hAnsi="Georgia"/>
          <w:bCs/>
          <w:i/>
        </w:rPr>
        <w:t>Covid</w:t>
      </w:r>
      <w:proofErr w:type="spellEnd"/>
      <w:r w:rsidRPr="00F642F2">
        <w:rPr>
          <w:rFonts w:ascii="Georgia" w:hAnsi="Georgia"/>
          <w:bCs/>
          <w:i/>
        </w:rPr>
        <w:t>–19 y otras pandemias.</w:t>
      </w:r>
    </w:p>
    <w:p w14:paraId="55DAB66D" w14:textId="77777777" w:rsidR="005F3B8B" w:rsidRPr="00F642F2" w:rsidRDefault="005F3B8B" w:rsidP="005F3B8B">
      <w:pPr>
        <w:spacing w:line="240" w:lineRule="auto"/>
        <w:ind w:right="51"/>
        <w:rPr>
          <w:rFonts w:ascii="Georgia" w:hAnsi="Georgia"/>
          <w:bCs/>
          <w:i/>
        </w:rPr>
      </w:pPr>
    </w:p>
    <w:p w14:paraId="42955F7F" w14:textId="77777777" w:rsidR="005F3B8B" w:rsidRPr="00F642F2" w:rsidRDefault="005F3B8B" w:rsidP="005F3B8B">
      <w:pPr>
        <w:spacing w:line="240" w:lineRule="auto"/>
        <w:ind w:right="51"/>
        <w:rPr>
          <w:rFonts w:ascii="Georgia" w:hAnsi="Georgia"/>
          <w:bCs/>
          <w:i/>
        </w:rPr>
      </w:pPr>
      <w:r w:rsidRPr="00F642F2">
        <w:rPr>
          <w:rFonts w:ascii="Georgia" w:hAnsi="Georgia"/>
          <w:b/>
          <w:i/>
        </w:rPr>
        <w:t xml:space="preserve">ARTÍCULO SEGUNDO: Priorización de alianzas para obtener recursos en medio de una amenaza pandémica. </w:t>
      </w:r>
      <w:r w:rsidRPr="00F642F2">
        <w:rPr>
          <w:rFonts w:ascii="Georgia" w:hAnsi="Georgia"/>
          <w:bCs/>
          <w:i/>
        </w:rPr>
        <w:t xml:space="preserve">El Gobierno Nacional podrá </w:t>
      </w:r>
      <w:proofErr w:type="spellStart"/>
      <w:r w:rsidRPr="00F642F2">
        <w:rPr>
          <w:rFonts w:ascii="Georgia" w:hAnsi="Georgia"/>
          <w:bCs/>
          <w:i/>
        </w:rPr>
        <w:t>concertar</w:t>
      </w:r>
      <w:proofErr w:type="spellEnd"/>
      <w:r w:rsidRPr="00F642F2">
        <w:rPr>
          <w:rFonts w:ascii="Georgia" w:hAnsi="Georgia"/>
          <w:bCs/>
          <w:i/>
        </w:rPr>
        <w:t xml:space="preserve"> alianzas estratégicas prioritarias con organismos multilaterales y el sector privado, con el propósito de acopiar recursos científicos, financieros y logísticos, que le permitan al país dar una respuesta oportuna ante cualquier amenaza de epidemia o pandemia.</w:t>
      </w:r>
    </w:p>
    <w:p w14:paraId="777D5430" w14:textId="77777777" w:rsidR="005F3B8B" w:rsidRPr="00F642F2" w:rsidRDefault="005F3B8B" w:rsidP="005F3B8B">
      <w:pPr>
        <w:spacing w:line="240" w:lineRule="auto"/>
        <w:ind w:right="51"/>
        <w:rPr>
          <w:rFonts w:ascii="Georgia" w:hAnsi="Georgia"/>
          <w:bCs/>
          <w:i/>
        </w:rPr>
      </w:pPr>
      <w:r w:rsidRPr="00F642F2">
        <w:rPr>
          <w:rFonts w:ascii="Georgia" w:hAnsi="Georgia"/>
          <w:bCs/>
          <w:i/>
        </w:rPr>
        <w:t xml:space="preserve"> </w:t>
      </w:r>
    </w:p>
    <w:p w14:paraId="1E13B977" w14:textId="77777777" w:rsidR="005F3B8B" w:rsidRPr="00F642F2" w:rsidRDefault="005F3B8B" w:rsidP="005F3B8B">
      <w:pPr>
        <w:spacing w:line="240" w:lineRule="auto"/>
        <w:ind w:right="51"/>
        <w:rPr>
          <w:rFonts w:ascii="Georgia" w:hAnsi="Georgia"/>
          <w:bCs/>
          <w:i/>
        </w:rPr>
      </w:pPr>
      <w:r w:rsidRPr="00F642F2">
        <w:rPr>
          <w:rFonts w:ascii="Georgia" w:hAnsi="Georgia"/>
          <w:bCs/>
          <w:i/>
        </w:rPr>
        <w:t>Para estos efectos, el Gobierno Nacional podrá destinar directamente recursos financieros y firmar convenios con comunidades científicas y laboratorios especializados, públicos o privados, ubicados dentro o fuera del país, con el fin de asegurar el acceso referente a tratamientos preventivos y curativos con el propósito de contrarrestar contingencias de epidemia o pandemia.</w:t>
      </w:r>
    </w:p>
    <w:p w14:paraId="75BEBFCD" w14:textId="77777777" w:rsidR="005F3B8B" w:rsidRPr="00F642F2" w:rsidRDefault="005F3B8B" w:rsidP="005F3B8B">
      <w:pPr>
        <w:spacing w:line="240" w:lineRule="auto"/>
        <w:ind w:right="51"/>
        <w:rPr>
          <w:rFonts w:ascii="Georgia" w:hAnsi="Georgia"/>
          <w:bCs/>
          <w:i/>
        </w:rPr>
      </w:pPr>
    </w:p>
    <w:p w14:paraId="31D116CE" w14:textId="77777777" w:rsidR="005F3B8B" w:rsidRPr="00F642F2" w:rsidRDefault="005F3B8B" w:rsidP="005F3B8B">
      <w:pPr>
        <w:spacing w:line="240" w:lineRule="auto"/>
        <w:ind w:right="51"/>
        <w:rPr>
          <w:rFonts w:ascii="Georgia" w:hAnsi="Georgia"/>
          <w:bCs/>
          <w:i/>
        </w:rPr>
      </w:pPr>
      <w:r w:rsidRPr="00F642F2">
        <w:rPr>
          <w:rFonts w:ascii="Georgia" w:hAnsi="Georgia"/>
          <w:bCs/>
          <w:i/>
        </w:rPr>
        <w:t xml:space="preserve">Así mismo, el Gobierno Nacional podrá destinar estos recursos para realizar inversiones a riesgo y hacer anticipos reembolsables y no reembolsables con cargo a los convenios descritos en este artículo. Las decisiones sobre el uso de estos recursos deberán ser evaluadas de forma conjunta y en contexto con su objetivo, no por el desempeño de una operación individual, sino como parte de una política </w:t>
      </w:r>
      <w:r w:rsidRPr="00F642F2">
        <w:rPr>
          <w:rFonts w:ascii="Georgia" w:hAnsi="Georgia"/>
          <w:bCs/>
          <w:i/>
        </w:rPr>
        <w:lastRenderedPageBreak/>
        <w:t>integral que le permita al país dar una respuesta oportuna ante cualquier amenaza de epidemia o pandemia.</w:t>
      </w:r>
    </w:p>
    <w:p w14:paraId="3D64B613" w14:textId="77777777" w:rsidR="005F3B8B" w:rsidRPr="00F642F2" w:rsidRDefault="005F3B8B" w:rsidP="005F3B8B">
      <w:pPr>
        <w:spacing w:line="240" w:lineRule="auto"/>
        <w:ind w:right="51"/>
        <w:rPr>
          <w:rFonts w:ascii="Georgia" w:hAnsi="Georgia"/>
          <w:bCs/>
          <w:i/>
        </w:rPr>
      </w:pPr>
    </w:p>
    <w:p w14:paraId="5BA9DD8E" w14:textId="77777777" w:rsidR="005F3B8B" w:rsidRPr="00F642F2" w:rsidRDefault="005F3B8B" w:rsidP="005F3B8B">
      <w:pPr>
        <w:spacing w:line="240" w:lineRule="auto"/>
        <w:ind w:right="51"/>
        <w:rPr>
          <w:rFonts w:ascii="Georgia" w:hAnsi="Georgia"/>
          <w:bCs/>
          <w:i/>
        </w:rPr>
      </w:pPr>
      <w:r w:rsidRPr="00F642F2">
        <w:rPr>
          <w:rFonts w:ascii="Georgia" w:hAnsi="Georgia"/>
          <w:b/>
          <w:i/>
        </w:rPr>
        <w:t>ARTÍCULO TERCERO:</w:t>
      </w:r>
      <w:r w:rsidRPr="00F642F2">
        <w:rPr>
          <w:rFonts w:ascii="Georgia" w:hAnsi="Georgia"/>
          <w:bCs/>
          <w:i/>
        </w:rPr>
        <w:t xml:space="preserve"> Adiciónese un artículo 257-2 al Estatuto Tributario, el cual quedará así:</w:t>
      </w:r>
    </w:p>
    <w:p w14:paraId="1EA56495" w14:textId="77777777" w:rsidR="005F3B8B" w:rsidRPr="00F642F2" w:rsidRDefault="005F3B8B" w:rsidP="005F3B8B">
      <w:pPr>
        <w:spacing w:line="240" w:lineRule="auto"/>
        <w:ind w:right="51"/>
        <w:rPr>
          <w:rFonts w:ascii="Georgia" w:hAnsi="Georgia"/>
          <w:bCs/>
          <w:i/>
        </w:rPr>
      </w:pPr>
    </w:p>
    <w:p w14:paraId="4A10735B" w14:textId="77777777" w:rsidR="005F3B8B" w:rsidRPr="00F642F2" w:rsidRDefault="005F3B8B" w:rsidP="00B40350">
      <w:pPr>
        <w:spacing w:line="240" w:lineRule="auto"/>
        <w:ind w:right="51"/>
        <w:rPr>
          <w:rFonts w:ascii="Georgia" w:hAnsi="Georgia"/>
          <w:bCs/>
          <w:i/>
        </w:rPr>
      </w:pPr>
      <w:r w:rsidRPr="00F642F2">
        <w:rPr>
          <w:rFonts w:ascii="Georgia" w:hAnsi="Georgia"/>
          <w:bCs/>
          <w:i/>
        </w:rPr>
        <w:t>Artículo 257-2. Descuento tributario por donaciones tendientes a lograr la inmunización de la población colombiana frente a la Covid-19 y cualquier otra pandemia. Las donaciones que se realicen a la subcuenta de mitigación de emergencias del Fondo Nacional de Gestión del Riesgo, destinadas a la adquisición de vacunas, moléculas en experimentación, anticipos reembolsables y no reembolsables para el desarrollo de vacunas, transferencia de ciencia y tecnología, capacidad instalada en el territorio nacional y todas las actividades tendientes a lograr la inmunización de la población colombiana frente al Covid-19 y cualquier otra pandemia, darán lugar a un descuento del impuesto sobre la renta y complementarios, equivalente al 50% de la donación realizada en el año o periodo gravable. Dicha donación deberá contar con el aval previo por parte del Ministerio de Salud y Protección Social y deberá ser certificada por el Gerente del Fondo Nacional de Gestión del Riesgo. El Gobierno nacional reglamentará los requisitos para que proceda este descuento.</w:t>
      </w:r>
    </w:p>
    <w:p w14:paraId="61D50733" w14:textId="77777777" w:rsidR="00E87F2F" w:rsidRDefault="00E87F2F" w:rsidP="00B40350">
      <w:pPr>
        <w:spacing w:line="240" w:lineRule="auto"/>
        <w:ind w:right="51"/>
        <w:rPr>
          <w:rFonts w:ascii="Georgia" w:hAnsi="Georgia"/>
          <w:bCs/>
          <w:i/>
        </w:rPr>
      </w:pPr>
    </w:p>
    <w:p w14:paraId="7D2407E9" w14:textId="5BB24A30" w:rsidR="005F3B8B" w:rsidRPr="00F642F2" w:rsidRDefault="005F3B8B" w:rsidP="00B40350">
      <w:pPr>
        <w:spacing w:line="240" w:lineRule="auto"/>
        <w:ind w:right="51"/>
        <w:rPr>
          <w:rFonts w:ascii="Georgia" w:hAnsi="Georgia"/>
          <w:bCs/>
          <w:i/>
        </w:rPr>
      </w:pPr>
      <w:r w:rsidRPr="00F642F2">
        <w:rPr>
          <w:rFonts w:ascii="Georgia" w:hAnsi="Georgia"/>
          <w:bCs/>
          <w:i/>
        </w:rPr>
        <w:t>En ningún caso, el descuento tributario aquí establecido generará saldo a favor susceptible de devolución. El descuento tributario aquí establecido no será considerado para la determinación de los límites establecidos en el inciso tercero del artículo 257-1 y el artículo 258 del Estatuto Tributario.</w:t>
      </w:r>
    </w:p>
    <w:p w14:paraId="6A506E0D" w14:textId="77777777" w:rsidR="005F3B8B" w:rsidRPr="00F642F2" w:rsidRDefault="005F3B8B" w:rsidP="005F3B8B">
      <w:pPr>
        <w:spacing w:line="240" w:lineRule="auto"/>
        <w:ind w:right="51"/>
        <w:rPr>
          <w:rFonts w:ascii="Georgia" w:hAnsi="Georgia"/>
          <w:bCs/>
          <w:i/>
        </w:rPr>
      </w:pPr>
    </w:p>
    <w:p w14:paraId="2A9AE508" w14:textId="77777777" w:rsidR="005F3B8B" w:rsidRPr="00F642F2" w:rsidRDefault="005F3B8B" w:rsidP="00B40350">
      <w:pPr>
        <w:spacing w:line="240" w:lineRule="auto"/>
        <w:ind w:right="51"/>
        <w:rPr>
          <w:rFonts w:ascii="Georgia" w:hAnsi="Georgia"/>
          <w:bCs/>
          <w:i/>
        </w:rPr>
      </w:pPr>
      <w:r w:rsidRPr="00F642F2">
        <w:rPr>
          <w:rFonts w:ascii="Georgia" w:hAnsi="Georgia"/>
          <w:b/>
          <w:i/>
        </w:rPr>
        <w:t>Parágrafo</w:t>
      </w:r>
      <w:r w:rsidRPr="00F642F2">
        <w:rPr>
          <w:rFonts w:ascii="Georgia" w:hAnsi="Georgia"/>
          <w:bCs/>
          <w:i/>
        </w:rPr>
        <w:t>. El Consejo Superior de Política Fiscal - CONFIS definirá el cupo máximo de donaciones que podrá certificar bajo esta modalidad el Gerente del Fondo Nacional de Gestión del Riesgo.</w:t>
      </w:r>
    </w:p>
    <w:p w14:paraId="1351247F" w14:textId="77777777" w:rsidR="005F3B8B" w:rsidRPr="00F642F2" w:rsidRDefault="005F3B8B" w:rsidP="005F3B8B">
      <w:pPr>
        <w:spacing w:line="240" w:lineRule="auto"/>
        <w:ind w:right="51"/>
        <w:rPr>
          <w:rFonts w:ascii="Georgia" w:hAnsi="Georgia"/>
          <w:bCs/>
          <w:i/>
        </w:rPr>
      </w:pPr>
    </w:p>
    <w:p w14:paraId="2AF1E5A5" w14:textId="77777777" w:rsidR="005F3B8B" w:rsidRPr="00F642F2" w:rsidRDefault="005F3B8B" w:rsidP="005F3B8B">
      <w:pPr>
        <w:spacing w:line="240" w:lineRule="auto"/>
        <w:ind w:right="51"/>
        <w:rPr>
          <w:rFonts w:ascii="Georgia" w:hAnsi="Georgia"/>
          <w:bCs/>
          <w:i/>
        </w:rPr>
      </w:pPr>
      <w:r w:rsidRPr="00F642F2">
        <w:rPr>
          <w:rFonts w:ascii="Georgia" w:hAnsi="Georgia"/>
          <w:b/>
          <w:i/>
        </w:rPr>
        <w:t>ARTÍCULO CUARTO.</w:t>
      </w:r>
      <w:r w:rsidRPr="00F642F2">
        <w:rPr>
          <w:rFonts w:ascii="Georgia" w:hAnsi="Georgia"/>
          <w:bCs/>
          <w:i/>
        </w:rPr>
        <w:t xml:space="preserve"> </w:t>
      </w:r>
      <w:r w:rsidRPr="00F642F2">
        <w:rPr>
          <w:rFonts w:ascii="Georgia" w:hAnsi="Georgia"/>
          <w:b/>
          <w:i/>
        </w:rPr>
        <w:t>Consejo de Evaluación de las Reacciones Adversas a la Vacuna Contra la Covid-19.</w:t>
      </w:r>
      <w:r w:rsidRPr="00F642F2">
        <w:rPr>
          <w:rFonts w:ascii="Georgia" w:hAnsi="Georgia"/>
          <w:bCs/>
          <w:i/>
        </w:rPr>
        <w:t xml:space="preserve"> Créase, como parte del Instituto de Evaluación de Tecnologías en Salud – IETS, el Consejo de Evaluación de las Reacciones Adversas a la Vacuna Contra la </w:t>
      </w:r>
      <w:proofErr w:type="spellStart"/>
      <w:r w:rsidRPr="00F642F2">
        <w:rPr>
          <w:rFonts w:ascii="Georgia" w:hAnsi="Georgia"/>
          <w:bCs/>
          <w:i/>
        </w:rPr>
        <w:t>Covid</w:t>
      </w:r>
      <w:proofErr w:type="spellEnd"/>
      <w:r w:rsidRPr="00F642F2">
        <w:rPr>
          <w:rFonts w:ascii="Georgia" w:hAnsi="Georgia"/>
          <w:bCs/>
          <w:i/>
        </w:rPr>
        <w:t xml:space="preserve">–19, para las vacunas que hayan sido suministradas por el Estado Colombiano.  </w:t>
      </w:r>
    </w:p>
    <w:p w14:paraId="1D03A5B0" w14:textId="77777777" w:rsidR="005F3B8B" w:rsidRPr="00F642F2" w:rsidRDefault="005F3B8B" w:rsidP="005F3B8B">
      <w:pPr>
        <w:spacing w:line="240" w:lineRule="auto"/>
        <w:ind w:right="51"/>
        <w:rPr>
          <w:rFonts w:ascii="Georgia" w:hAnsi="Georgia"/>
          <w:bCs/>
          <w:i/>
        </w:rPr>
      </w:pPr>
    </w:p>
    <w:p w14:paraId="2FF81400" w14:textId="77777777" w:rsidR="005F3B8B" w:rsidRPr="00F642F2" w:rsidRDefault="005F3B8B" w:rsidP="005F3B8B">
      <w:pPr>
        <w:spacing w:line="240" w:lineRule="auto"/>
        <w:ind w:right="51"/>
        <w:rPr>
          <w:rFonts w:ascii="Georgia" w:hAnsi="Georgia"/>
          <w:bCs/>
          <w:i/>
        </w:rPr>
      </w:pPr>
      <w:r w:rsidRPr="00F642F2">
        <w:rPr>
          <w:rFonts w:ascii="Georgia" w:hAnsi="Georgia"/>
          <w:bCs/>
          <w:i/>
        </w:rPr>
        <w:t xml:space="preserve">El Consejo de Evaluación tendrá por objeto evaluar la existencia o inexistencia de un nexo causal entre el evento adverso sufrido por un habitante del territorio nacional y la aplicación de la vacuna contra la </w:t>
      </w:r>
      <w:proofErr w:type="spellStart"/>
      <w:r w:rsidRPr="00F642F2">
        <w:rPr>
          <w:rFonts w:ascii="Georgia" w:hAnsi="Georgia"/>
          <w:bCs/>
          <w:i/>
        </w:rPr>
        <w:t>Covid</w:t>
      </w:r>
      <w:proofErr w:type="spellEnd"/>
      <w:r w:rsidRPr="00F642F2">
        <w:rPr>
          <w:rFonts w:ascii="Georgia" w:hAnsi="Georgia"/>
          <w:bCs/>
          <w:i/>
        </w:rPr>
        <w:t xml:space="preserve">–19 por parte del Estado Colombiano. </w:t>
      </w:r>
    </w:p>
    <w:p w14:paraId="5B240D47" w14:textId="77777777" w:rsidR="005F3B8B" w:rsidRPr="00F642F2" w:rsidRDefault="005F3B8B" w:rsidP="005F3B8B">
      <w:pPr>
        <w:spacing w:line="240" w:lineRule="auto"/>
        <w:ind w:right="51"/>
        <w:rPr>
          <w:rFonts w:ascii="Georgia" w:hAnsi="Georgia"/>
          <w:bCs/>
          <w:i/>
        </w:rPr>
      </w:pPr>
    </w:p>
    <w:p w14:paraId="111E4F5D" w14:textId="77777777" w:rsidR="005F3B8B" w:rsidRPr="00F642F2" w:rsidRDefault="005F3B8B" w:rsidP="005F3B8B">
      <w:pPr>
        <w:spacing w:line="240" w:lineRule="auto"/>
        <w:ind w:right="51"/>
        <w:rPr>
          <w:rFonts w:ascii="Georgia" w:hAnsi="Georgia"/>
          <w:bCs/>
          <w:i/>
        </w:rPr>
      </w:pPr>
      <w:r w:rsidRPr="00F642F2">
        <w:rPr>
          <w:rFonts w:ascii="Georgia" w:hAnsi="Georgia"/>
          <w:bCs/>
          <w:i/>
        </w:rPr>
        <w:t>Dicho consejo contará con al menos cinco (5) consejeros expertos, quienes tendrán el apoyo técnico de un grupo científico dedicado por el IETS para la evaluación de los eventos generados por las vacunas contra la Covid-19.</w:t>
      </w:r>
    </w:p>
    <w:p w14:paraId="52D74BD8" w14:textId="77777777" w:rsidR="005F3B8B" w:rsidRPr="00F642F2" w:rsidRDefault="005F3B8B" w:rsidP="005F3B8B">
      <w:pPr>
        <w:spacing w:line="240" w:lineRule="auto"/>
        <w:ind w:right="51"/>
        <w:rPr>
          <w:rFonts w:ascii="Georgia" w:hAnsi="Georgia"/>
          <w:bCs/>
          <w:i/>
        </w:rPr>
      </w:pPr>
    </w:p>
    <w:p w14:paraId="28858BFD" w14:textId="77777777" w:rsidR="005F3B8B" w:rsidRPr="00F642F2" w:rsidRDefault="005F3B8B" w:rsidP="005F3B8B">
      <w:pPr>
        <w:spacing w:line="240" w:lineRule="auto"/>
        <w:ind w:right="51"/>
        <w:rPr>
          <w:rFonts w:ascii="Georgia" w:hAnsi="Georgia"/>
          <w:bCs/>
          <w:i/>
        </w:rPr>
      </w:pPr>
      <w:r w:rsidRPr="00F642F2">
        <w:rPr>
          <w:rFonts w:ascii="Georgia" w:hAnsi="Georgia"/>
          <w:b/>
          <w:i/>
        </w:rPr>
        <w:t>Parágrafo</w:t>
      </w:r>
      <w:r w:rsidRPr="00F642F2">
        <w:rPr>
          <w:rFonts w:ascii="Georgia" w:hAnsi="Georgia"/>
          <w:bCs/>
          <w:i/>
        </w:rPr>
        <w:t xml:space="preserve">.  El funcionamiento del Consejo de Evaluación de las Reacciones Adversas a la Vacuna contra la </w:t>
      </w:r>
      <w:proofErr w:type="spellStart"/>
      <w:r w:rsidRPr="00F642F2">
        <w:rPr>
          <w:rFonts w:ascii="Georgia" w:hAnsi="Georgia"/>
          <w:bCs/>
          <w:i/>
        </w:rPr>
        <w:t>Covid</w:t>
      </w:r>
      <w:proofErr w:type="spellEnd"/>
      <w:r w:rsidRPr="00F642F2">
        <w:rPr>
          <w:rFonts w:ascii="Georgia" w:hAnsi="Georgia"/>
          <w:bCs/>
          <w:i/>
        </w:rPr>
        <w:t>–19 será reglamentado por el Gobierno Nacional y se financiará con recursos del Fondo de Mitigación de Emergencias – FOME o por recursos del Presupuesto General de la Nación. El Ministerio de Hacienda y Crédito Público asegurará los recursos necesarios para que el Consejo de Evaluación cuente con el soporte técnico necesario de acuerdo con el crecimiento de las solicitudes a su cargo.</w:t>
      </w:r>
    </w:p>
    <w:p w14:paraId="26583FAE" w14:textId="77777777" w:rsidR="005F3B8B" w:rsidRPr="00F642F2" w:rsidRDefault="005F3B8B" w:rsidP="005F3B8B">
      <w:pPr>
        <w:spacing w:line="240" w:lineRule="auto"/>
        <w:ind w:right="51"/>
        <w:rPr>
          <w:rFonts w:ascii="Georgia" w:hAnsi="Georgia"/>
          <w:bCs/>
          <w:i/>
        </w:rPr>
      </w:pPr>
    </w:p>
    <w:p w14:paraId="228FB6BA" w14:textId="77777777" w:rsidR="005F3B8B" w:rsidRPr="00F642F2" w:rsidRDefault="005F3B8B" w:rsidP="005F3B8B">
      <w:pPr>
        <w:spacing w:line="240" w:lineRule="auto"/>
        <w:ind w:right="51"/>
        <w:rPr>
          <w:rFonts w:ascii="Georgia" w:hAnsi="Georgia"/>
          <w:bCs/>
          <w:i/>
        </w:rPr>
      </w:pPr>
      <w:r w:rsidRPr="00F642F2">
        <w:rPr>
          <w:rFonts w:ascii="Georgia" w:hAnsi="Georgia"/>
          <w:b/>
          <w:i/>
        </w:rPr>
        <w:t>ARTÍCULO QUINTO.</w:t>
      </w:r>
      <w:r w:rsidRPr="00F642F2">
        <w:rPr>
          <w:rFonts w:ascii="Georgia" w:hAnsi="Georgia"/>
          <w:bCs/>
          <w:i/>
        </w:rPr>
        <w:t xml:space="preserve"> </w:t>
      </w:r>
      <w:r w:rsidRPr="00F642F2">
        <w:rPr>
          <w:rFonts w:ascii="Georgia" w:hAnsi="Georgia"/>
          <w:b/>
          <w:i/>
        </w:rPr>
        <w:t>Responsabilidad de los fabricantes</w:t>
      </w:r>
      <w:r w:rsidRPr="00F642F2">
        <w:rPr>
          <w:rFonts w:ascii="Georgia" w:hAnsi="Georgia"/>
          <w:bCs/>
          <w:i/>
        </w:rPr>
        <w:t xml:space="preserve">. Los fabricantes de vacunas contra la </w:t>
      </w:r>
      <w:proofErr w:type="spellStart"/>
      <w:r w:rsidRPr="00F642F2">
        <w:rPr>
          <w:rFonts w:ascii="Georgia" w:hAnsi="Georgia"/>
          <w:bCs/>
          <w:i/>
        </w:rPr>
        <w:t>Covid</w:t>
      </w:r>
      <w:proofErr w:type="spellEnd"/>
      <w:r w:rsidRPr="00F642F2">
        <w:rPr>
          <w:rFonts w:ascii="Georgia" w:hAnsi="Georgia"/>
          <w:bCs/>
          <w:i/>
        </w:rPr>
        <w:t xml:space="preserve">–19 adquiridas y suministradas por el Gobierno Nacional sólo serán responsables por acciones u omisiones dolosas o gravemente culposas, o por el incumplimiento de sus obligaciones de buenas prácticas de manufactura o de cualquier otra obligación que le haya sido impuesta en el proceso de aprobación. </w:t>
      </w:r>
    </w:p>
    <w:p w14:paraId="7E61C01A" w14:textId="77777777" w:rsidR="005F3B8B" w:rsidRPr="00F642F2" w:rsidRDefault="005F3B8B" w:rsidP="005F3B8B">
      <w:pPr>
        <w:spacing w:line="240" w:lineRule="auto"/>
        <w:ind w:right="51"/>
        <w:rPr>
          <w:rFonts w:ascii="Georgia" w:hAnsi="Georgia"/>
          <w:bCs/>
          <w:i/>
        </w:rPr>
      </w:pPr>
    </w:p>
    <w:p w14:paraId="0713B10A" w14:textId="77777777" w:rsidR="005F3B8B" w:rsidRPr="00F642F2" w:rsidRDefault="005F3B8B" w:rsidP="005F3B8B">
      <w:pPr>
        <w:spacing w:line="240" w:lineRule="auto"/>
        <w:ind w:right="51"/>
        <w:rPr>
          <w:rFonts w:ascii="Georgia" w:hAnsi="Georgia"/>
          <w:bCs/>
          <w:i/>
        </w:rPr>
      </w:pPr>
      <w:r w:rsidRPr="00F642F2">
        <w:rPr>
          <w:rFonts w:ascii="Georgia" w:hAnsi="Georgia"/>
          <w:b/>
          <w:i/>
        </w:rPr>
        <w:t xml:space="preserve">ARTÍCULO SEXTO. Jurisdicción competente. </w:t>
      </w:r>
      <w:r w:rsidRPr="00F642F2">
        <w:rPr>
          <w:rFonts w:ascii="Georgia" w:hAnsi="Georgia"/>
          <w:bCs/>
          <w:i/>
        </w:rPr>
        <w:t>La jurisdicción competente para conocer de los procesos que inicien los particulares en los que se pretenda discutir y compensar los daños causados por las vacunas contra la Covid-19 que hayan sido suministradas por el Estado Colombiano, es la jurisdicción contencioso administrativa.</w:t>
      </w:r>
    </w:p>
    <w:p w14:paraId="197B8F66" w14:textId="77777777" w:rsidR="005F3B8B" w:rsidRPr="00F642F2" w:rsidRDefault="005F3B8B" w:rsidP="005F3B8B">
      <w:pPr>
        <w:spacing w:line="240" w:lineRule="auto"/>
        <w:ind w:right="51"/>
        <w:rPr>
          <w:rFonts w:ascii="Georgia" w:hAnsi="Georgia"/>
          <w:bCs/>
          <w:i/>
        </w:rPr>
      </w:pPr>
    </w:p>
    <w:p w14:paraId="3438E976" w14:textId="77777777" w:rsidR="005F3B8B" w:rsidRPr="00F642F2" w:rsidRDefault="005F3B8B" w:rsidP="005F3B8B">
      <w:pPr>
        <w:spacing w:line="240" w:lineRule="auto"/>
        <w:ind w:right="51"/>
        <w:rPr>
          <w:rFonts w:ascii="Georgia" w:hAnsi="Georgia"/>
          <w:bCs/>
          <w:i/>
        </w:rPr>
      </w:pPr>
      <w:r w:rsidRPr="00F642F2">
        <w:rPr>
          <w:rFonts w:ascii="Georgia" w:hAnsi="Georgia"/>
          <w:b/>
          <w:i/>
        </w:rPr>
        <w:t>Parágrafo</w:t>
      </w:r>
      <w:r w:rsidRPr="00F642F2">
        <w:rPr>
          <w:rFonts w:ascii="Georgia" w:hAnsi="Georgia"/>
          <w:bCs/>
          <w:i/>
        </w:rPr>
        <w:t xml:space="preserve">. Será requisito de </w:t>
      </w:r>
      <w:proofErr w:type="spellStart"/>
      <w:r w:rsidRPr="00F642F2">
        <w:rPr>
          <w:rFonts w:ascii="Georgia" w:hAnsi="Georgia"/>
          <w:bCs/>
          <w:i/>
        </w:rPr>
        <w:t>procedibilidad</w:t>
      </w:r>
      <w:proofErr w:type="spellEnd"/>
      <w:r w:rsidRPr="00F642F2">
        <w:rPr>
          <w:rFonts w:ascii="Georgia" w:hAnsi="Georgia"/>
          <w:bCs/>
          <w:i/>
        </w:rPr>
        <w:t xml:space="preserve"> para acudir a la jurisdicción contencioso administrativa haber agotado la vía dispuesta en el artículo cuarto de la presente ley, y poseer respuesta del Consejo de Evaluación de las Reacciones Adversas a las Vacunas Contra la </w:t>
      </w:r>
      <w:proofErr w:type="spellStart"/>
      <w:r w:rsidRPr="00F642F2">
        <w:rPr>
          <w:rFonts w:ascii="Georgia" w:hAnsi="Georgia"/>
          <w:bCs/>
          <w:i/>
        </w:rPr>
        <w:t>Covid</w:t>
      </w:r>
      <w:proofErr w:type="spellEnd"/>
      <w:r w:rsidRPr="00F642F2">
        <w:rPr>
          <w:rFonts w:ascii="Georgia" w:hAnsi="Georgia"/>
          <w:bCs/>
          <w:i/>
        </w:rPr>
        <w:t>–19.</w:t>
      </w:r>
    </w:p>
    <w:p w14:paraId="0661308F" w14:textId="77777777" w:rsidR="005F3B8B" w:rsidRPr="00F642F2" w:rsidRDefault="005F3B8B" w:rsidP="005F3B8B">
      <w:pPr>
        <w:spacing w:line="240" w:lineRule="auto"/>
        <w:ind w:right="51"/>
        <w:rPr>
          <w:rFonts w:ascii="Georgia" w:hAnsi="Georgia"/>
          <w:bCs/>
          <w:i/>
        </w:rPr>
      </w:pPr>
    </w:p>
    <w:p w14:paraId="59908583" w14:textId="77777777" w:rsidR="005F3B8B" w:rsidRPr="00F642F2" w:rsidRDefault="005F3B8B" w:rsidP="005F3B8B">
      <w:pPr>
        <w:spacing w:line="240" w:lineRule="auto"/>
        <w:ind w:right="51"/>
        <w:rPr>
          <w:rFonts w:ascii="Georgia" w:hAnsi="Georgia"/>
          <w:bCs/>
          <w:i/>
        </w:rPr>
      </w:pPr>
      <w:r w:rsidRPr="00F642F2">
        <w:rPr>
          <w:rFonts w:ascii="Georgia" w:hAnsi="Georgia"/>
          <w:b/>
          <w:i/>
        </w:rPr>
        <w:t>ARTÍCULO SÉPTIMO. Póliza de cobertura global.</w:t>
      </w:r>
      <w:r w:rsidRPr="00F642F2">
        <w:rPr>
          <w:rFonts w:ascii="Georgia" w:hAnsi="Georgia"/>
          <w:bCs/>
          <w:i/>
        </w:rPr>
        <w:t xml:space="preserve"> El Gobierno Nacional, sujeto a la disponibilidad de recursos, podrá contratar una póliza de cobertura global para cubrir las posibles condenas que puedan presentarse por reacciones adversas a las vacunas contra la </w:t>
      </w:r>
      <w:proofErr w:type="spellStart"/>
      <w:r w:rsidRPr="00F642F2">
        <w:rPr>
          <w:rFonts w:ascii="Georgia" w:hAnsi="Georgia"/>
          <w:bCs/>
          <w:i/>
        </w:rPr>
        <w:t>Covid</w:t>
      </w:r>
      <w:proofErr w:type="spellEnd"/>
      <w:r w:rsidRPr="00F642F2">
        <w:rPr>
          <w:rFonts w:ascii="Georgia" w:hAnsi="Georgia"/>
          <w:bCs/>
          <w:i/>
        </w:rPr>
        <w:t>–19 aplicadas por el Estado Colombiano.</w:t>
      </w:r>
    </w:p>
    <w:p w14:paraId="185EC8D6" w14:textId="77777777" w:rsidR="005F3B8B" w:rsidRPr="00F642F2" w:rsidRDefault="005F3B8B" w:rsidP="005F3B8B">
      <w:pPr>
        <w:spacing w:line="240" w:lineRule="auto"/>
        <w:ind w:right="51"/>
        <w:rPr>
          <w:rFonts w:ascii="Georgia" w:hAnsi="Georgia"/>
          <w:bCs/>
          <w:i/>
        </w:rPr>
      </w:pPr>
    </w:p>
    <w:p w14:paraId="074B6FD8" w14:textId="77777777" w:rsidR="005F3B8B" w:rsidRPr="00F642F2" w:rsidRDefault="005F3B8B" w:rsidP="005F3B8B">
      <w:pPr>
        <w:spacing w:line="240" w:lineRule="auto"/>
        <w:ind w:right="51"/>
        <w:rPr>
          <w:rFonts w:ascii="Georgia" w:hAnsi="Georgia"/>
          <w:bCs/>
          <w:i/>
        </w:rPr>
      </w:pPr>
      <w:r w:rsidRPr="00F642F2">
        <w:rPr>
          <w:rFonts w:ascii="Georgia" w:hAnsi="Georgia"/>
          <w:b/>
          <w:i/>
        </w:rPr>
        <w:t xml:space="preserve">ARTÍCULO OCTAVO: Control fiscal. </w:t>
      </w:r>
      <w:r w:rsidRPr="00F642F2">
        <w:rPr>
          <w:rFonts w:ascii="Georgia" w:hAnsi="Georgia"/>
          <w:bCs/>
          <w:i/>
        </w:rPr>
        <w:t>La ejecución de los recursos de los que trata la presente ley será objeto de control preventivo y concomitante a cargo de la Contraloría General de la República.</w:t>
      </w:r>
    </w:p>
    <w:p w14:paraId="740E6A7D" w14:textId="77777777" w:rsidR="005F3B8B" w:rsidRPr="00F642F2" w:rsidRDefault="005F3B8B" w:rsidP="005F3B8B">
      <w:pPr>
        <w:spacing w:line="240" w:lineRule="auto"/>
        <w:ind w:right="51"/>
        <w:rPr>
          <w:rFonts w:ascii="Georgia" w:hAnsi="Georgia"/>
          <w:bCs/>
          <w:i/>
        </w:rPr>
      </w:pPr>
    </w:p>
    <w:p w14:paraId="68182003" w14:textId="2D088FB9" w:rsidR="005F3B8B" w:rsidRPr="00F642F2" w:rsidRDefault="005F3B8B" w:rsidP="005F3B8B">
      <w:pPr>
        <w:spacing w:line="240" w:lineRule="auto"/>
        <w:ind w:right="51"/>
        <w:rPr>
          <w:rFonts w:ascii="Georgia" w:hAnsi="Georgia"/>
          <w:bCs/>
          <w:i/>
        </w:rPr>
      </w:pPr>
      <w:r w:rsidRPr="00F642F2">
        <w:rPr>
          <w:rFonts w:ascii="Georgia" w:hAnsi="Georgia"/>
          <w:b/>
          <w:i/>
        </w:rPr>
        <w:t>ARTÍCULO NOVENO</w:t>
      </w:r>
      <w:r w:rsidRPr="00F642F2">
        <w:rPr>
          <w:rFonts w:ascii="Georgia" w:hAnsi="Georgia"/>
          <w:bCs/>
          <w:i/>
        </w:rPr>
        <w:t xml:space="preserve">. </w:t>
      </w:r>
      <w:r w:rsidRPr="00F642F2">
        <w:rPr>
          <w:rFonts w:ascii="Georgia" w:hAnsi="Georgia"/>
          <w:b/>
          <w:i/>
        </w:rPr>
        <w:t>Gratuidad.</w:t>
      </w:r>
      <w:r w:rsidRPr="00F642F2">
        <w:rPr>
          <w:rFonts w:ascii="Georgia" w:hAnsi="Georgia"/>
          <w:bCs/>
          <w:i/>
        </w:rPr>
        <w:t xml:space="preserve"> El proceso de inmunización del que trata la present</w:t>
      </w:r>
      <w:r w:rsidR="00CF43C3">
        <w:rPr>
          <w:rFonts w:ascii="Georgia" w:hAnsi="Georgia"/>
          <w:bCs/>
          <w:i/>
        </w:rPr>
        <w:t xml:space="preserve">e ley deberá efectuarse a </w:t>
      </w:r>
      <w:proofErr w:type="gramStart"/>
      <w:r w:rsidR="00CF43C3">
        <w:rPr>
          <w:rFonts w:ascii="Georgia" w:hAnsi="Georgia"/>
          <w:bCs/>
          <w:i/>
        </w:rPr>
        <w:t xml:space="preserve">cero </w:t>
      </w:r>
      <w:r w:rsidRPr="00F642F2">
        <w:rPr>
          <w:rFonts w:ascii="Georgia" w:hAnsi="Georgia"/>
          <w:bCs/>
          <w:i/>
        </w:rPr>
        <w:t>costo</w:t>
      </w:r>
      <w:proofErr w:type="gramEnd"/>
      <w:r w:rsidRPr="00F642F2">
        <w:rPr>
          <w:rFonts w:ascii="Georgia" w:hAnsi="Georgia"/>
          <w:bCs/>
          <w:i/>
        </w:rPr>
        <w:t xml:space="preserve"> para el beneficiario. </w:t>
      </w:r>
    </w:p>
    <w:p w14:paraId="009114CB" w14:textId="77777777" w:rsidR="005F3B8B" w:rsidRPr="00F642F2" w:rsidRDefault="005F3B8B" w:rsidP="005F3B8B">
      <w:pPr>
        <w:spacing w:line="240" w:lineRule="auto"/>
        <w:ind w:right="51"/>
        <w:rPr>
          <w:rFonts w:ascii="Georgia" w:hAnsi="Georgia"/>
          <w:bCs/>
          <w:i/>
        </w:rPr>
      </w:pPr>
    </w:p>
    <w:p w14:paraId="58D77355" w14:textId="77777777" w:rsidR="005F3B8B" w:rsidRPr="00F642F2" w:rsidRDefault="005F3B8B" w:rsidP="005F3B8B">
      <w:pPr>
        <w:spacing w:line="240" w:lineRule="auto"/>
        <w:ind w:right="51"/>
        <w:rPr>
          <w:rFonts w:ascii="Georgia" w:hAnsi="Georgia"/>
          <w:bCs/>
          <w:i/>
        </w:rPr>
      </w:pPr>
      <w:r w:rsidRPr="00F642F2">
        <w:rPr>
          <w:rFonts w:ascii="Georgia" w:hAnsi="Georgia"/>
          <w:b/>
          <w:i/>
        </w:rPr>
        <w:t>ARTÍCULO DÉCIMO: Vigencia.</w:t>
      </w:r>
      <w:r w:rsidRPr="00F642F2">
        <w:rPr>
          <w:rFonts w:ascii="Georgia" w:hAnsi="Georgia"/>
          <w:bCs/>
          <w:i/>
        </w:rPr>
        <w:t xml:space="preserve"> La presente ley rige a partir de su promulgación.</w:t>
      </w:r>
    </w:p>
    <w:p w14:paraId="5C705793" w14:textId="77777777" w:rsidR="005F3B8B" w:rsidRPr="00F642F2" w:rsidRDefault="005F3B8B" w:rsidP="005F3B8B">
      <w:pPr>
        <w:spacing w:line="475" w:lineRule="auto"/>
        <w:ind w:left="2476" w:right="2519"/>
        <w:jc w:val="center"/>
        <w:rPr>
          <w:rFonts w:ascii="Georgia" w:hAnsi="Georgia"/>
          <w:b/>
          <w:i/>
        </w:rPr>
      </w:pPr>
    </w:p>
    <w:p w14:paraId="0FE1D5C9" w14:textId="3CE9E7E2" w:rsidR="001763DB" w:rsidRPr="00F642F2" w:rsidRDefault="00CE030A" w:rsidP="008F53EB">
      <w:pPr>
        <w:pStyle w:val="Sinespaciado"/>
        <w:rPr>
          <w:rFonts w:ascii="Georgia" w:hAnsi="Georgia"/>
          <w:b/>
          <w:i/>
          <w:lang w:val="es-ES_tradnl"/>
        </w:rPr>
      </w:pPr>
      <w:r>
        <w:rPr>
          <w:rFonts w:ascii="Georgia" w:hAnsi="Georgia" w:cs="Arial"/>
          <w:b/>
          <w:i/>
        </w:rPr>
        <w:lastRenderedPageBreak/>
        <w:t xml:space="preserve">CÁMARA DE </w:t>
      </w:r>
      <w:proofErr w:type="gramStart"/>
      <w:r w:rsidR="00C8619F">
        <w:rPr>
          <w:rFonts w:ascii="Georgia" w:hAnsi="Georgia" w:cs="Arial"/>
          <w:b/>
          <w:i/>
        </w:rPr>
        <w:t>REPRESENTANTES.-</w:t>
      </w:r>
      <w:proofErr w:type="gramEnd"/>
      <w:r w:rsidR="00C8619F">
        <w:rPr>
          <w:rFonts w:ascii="Georgia" w:hAnsi="Georgia" w:cs="Arial"/>
          <w:b/>
          <w:i/>
        </w:rPr>
        <w:t xml:space="preserve"> COMISIO</w:t>
      </w:r>
      <w:r w:rsidR="001763DB" w:rsidRPr="00F642F2">
        <w:rPr>
          <w:rFonts w:ascii="Georgia" w:hAnsi="Georgia" w:cs="Arial"/>
          <w:b/>
          <w:i/>
        </w:rPr>
        <w:t>N</w:t>
      </w:r>
      <w:r w:rsidR="00DE40E0" w:rsidRPr="00F642F2">
        <w:rPr>
          <w:rFonts w:ascii="Georgia" w:hAnsi="Georgia" w:cs="Arial"/>
          <w:b/>
          <w:i/>
        </w:rPr>
        <w:t>ES</w:t>
      </w:r>
      <w:r w:rsidR="001763DB" w:rsidRPr="00F642F2">
        <w:rPr>
          <w:rFonts w:ascii="Georgia" w:hAnsi="Georgia" w:cs="Arial"/>
          <w:b/>
          <w:i/>
        </w:rPr>
        <w:t xml:space="preserve"> TERCERA</w:t>
      </w:r>
      <w:r w:rsidR="00DE40E0" w:rsidRPr="00F642F2">
        <w:rPr>
          <w:rFonts w:ascii="Georgia" w:hAnsi="Georgia" w:cs="Arial"/>
          <w:b/>
          <w:i/>
        </w:rPr>
        <w:t>S DE LA CÁMARA DE REPRESENTANTES Y SENADO DE LA REPÚBLICA</w:t>
      </w:r>
      <w:r w:rsidR="001763DB" w:rsidRPr="00F642F2">
        <w:rPr>
          <w:rFonts w:ascii="Georgia" w:hAnsi="Georgia" w:cs="Arial"/>
          <w:b/>
          <w:i/>
        </w:rPr>
        <w:t xml:space="preserve">.- ASUNTOS ECONÓMICOS. </w:t>
      </w:r>
      <w:r w:rsidR="009731D9" w:rsidRPr="00F642F2">
        <w:rPr>
          <w:rFonts w:ascii="Georgia" w:hAnsi="Georgia" w:cs="Arial"/>
          <w:i/>
        </w:rPr>
        <w:t>Octubre treinta y uno (31</w:t>
      </w:r>
      <w:r w:rsidR="001763DB" w:rsidRPr="00F642F2">
        <w:rPr>
          <w:rFonts w:ascii="Georgia" w:hAnsi="Georgia" w:cs="Arial"/>
          <w:i/>
        </w:rPr>
        <w:t>) de dos mil veinte (2020</w:t>
      </w:r>
      <w:proofErr w:type="gramStart"/>
      <w:r w:rsidR="001763DB" w:rsidRPr="00F642F2">
        <w:rPr>
          <w:rFonts w:ascii="Georgia" w:hAnsi="Georgia" w:cs="Arial"/>
          <w:i/>
        </w:rPr>
        <w:t>).-</w:t>
      </w:r>
      <w:proofErr w:type="gramEnd"/>
      <w:r w:rsidR="001763DB" w:rsidRPr="00F642F2">
        <w:rPr>
          <w:rFonts w:ascii="Georgia" w:hAnsi="Georgia" w:cs="Arial"/>
          <w:i/>
        </w:rPr>
        <w:t xml:space="preserve"> En Sesión de la fecha fue aprobado en Primer Debate </w:t>
      </w:r>
      <w:r w:rsidR="009731D9" w:rsidRPr="00F642F2">
        <w:rPr>
          <w:rFonts w:ascii="Georgia" w:hAnsi="Georgia" w:cs="Arial"/>
          <w:i/>
        </w:rPr>
        <w:t>en los términos anteriores y con</w:t>
      </w:r>
      <w:r w:rsidR="001763DB" w:rsidRPr="00F642F2">
        <w:rPr>
          <w:rFonts w:ascii="Georgia" w:hAnsi="Georgia" w:cs="Arial"/>
          <w:i/>
        </w:rPr>
        <w:t xml:space="preserve"> modif</w:t>
      </w:r>
      <w:r w:rsidR="00F2639B" w:rsidRPr="00F642F2">
        <w:rPr>
          <w:rFonts w:ascii="Georgia" w:hAnsi="Georgia" w:cs="Arial"/>
          <w:i/>
        </w:rPr>
        <w:t>icaciones, el Proyecto de Ley N°</w:t>
      </w:r>
      <w:r w:rsidR="009731D9" w:rsidRPr="00F642F2">
        <w:rPr>
          <w:rFonts w:ascii="Georgia" w:hAnsi="Georgia" w:cs="Arial"/>
          <w:i/>
        </w:rPr>
        <w:t xml:space="preserve">. 284 </w:t>
      </w:r>
      <w:r w:rsidR="001763DB" w:rsidRPr="00F642F2">
        <w:rPr>
          <w:rFonts w:ascii="Georgia" w:hAnsi="Georgia" w:cs="Arial"/>
          <w:i/>
        </w:rPr>
        <w:t>de 2020 Cámara</w:t>
      </w:r>
      <w:r w:rsidR="009731D9" w:rsidRPr="00F642F2">
        <w:rPr>
          <w:rFonts w:ascii="Georgia" w:hAnsi="Georgia" w:cs="Arial"/>
          <w:i/>
        </w:rPr>
        <w:t xml:space="preserve">- 333 de 2020 Senado </w:t>
      </w:r>
      <w:r w:rsidR="001763DB" w:rsidRPr="00F642F2">
        <w:rPr>
          <w:rFonts w:ascii="Georgia" w:hAnsi="Georgia" w:cs="Arial"/>
          <w:i/>
        </w:rPr>
        <w:t xml:space="preserve">“Por medio de la cual </w:t>
      </w:r>
      <w:r w:rsidR="009731D9" w:rsidRPr="00F642F2">
        <w:rPr>
          <w:rFonts w:ascii="Georgia" w:hAnsi="Georgia" w:cs="Arial"/>
          <w:i/>
        </w:rPr>
        <w:t xml:space="preserve">se declara de interés general la estrategia para la inmunización de la población colombiana contra la </w:t>
      </w:r>
      <w:proofErr w:type="spellStart"/>
      <w:r w:rsidR="009731D9" w:rsidRPr="00F642F2">
        <w:rPr>
          <w:rFonts w:ascii="Georgia" w:hAnsi="Georgia" w:cs="Arial"/>
          <w:i/>
        </w:rPr>
        <w:t>Covid</w:t>
      </w:r>
      <w:proofErr w:type="spellEnd"/>
      <w:r w:rsidR="009731D9" w:rsidRPr="00F642F2">
        <w:rPr>
          <w:rFonts w:ascii="Georgia" w:hAnsi="Georgia" w:cs="Arial"/>
          <w:i/>
        </w:rPr>
        <w:t xml:space="preserve"> -19</w:t>
      </w:r>
      <w:r w:rsidR="001763DB" w:rsidRPr="00F642F2">
        <w:rPr>
          <w:rFonts w:ascii="Georgia" w:hAnsi="Georgia" w:cs="Arial"/>
          <w:i/>
        </w:rPr>
        <w:t xml:space="preserve"> y </w:t>
      </w:r>
      <w:r w:rsidR="009731D9" w:rsidRPr="00F642F2">
        <w:rPr>
          <w:rFonts w:ascii="Georgia" w:hAnsi="Georgia" w:cs="Arial"/>
          <w:i/>
        </w:rPr>
        <w:t xml:space="preserve">la lucha contra cualquier pandemia y </w:t>
      </w:r>
      <w:r w:rsidR="001763DB" w:rsidRPr="00F642F2">
        <w:rPr>
          <w:rFonts w:ascii="Georgia" w:hAnsi="Georgia" w:cs="Arial"/>
          <w:i/>
        </w:rPr>
        <w:t>se dictan otras disposiciones”</w:t>
      </w:r>
      <w:r w:rsidR="001763DB" w:rsidRPr="00F642F2">
        <w:rPr>
          <w:rFonts w:ascii="Georgia" w:hAnsi="Georgia" w:cs="Arial"/>
          <w:b/>
          <w:i/>
        </w:rPr>
        <w:t xml:space="preserve">, </w:t>
      </w:r>
      <w:r w:rsidR="001763DB" w:rsidRPr="00F642F2">
        <w:rPr>
          <w:rFonts w:ascii="Georgia" w:hAnsi="Georgia" w:cs="Arial"/>
          <w:i/>
        </w:rPr>
        <w:t xml:space="preserve">previo anuncio de </w:t>
      </w:r>
      <w:r w:rsidR="00F2639B" w:rsidRPr="00F642F2">
        <w:rPr>
          <w:rFonts w:ascii="Georgia" w:hAnsi="Georgia" w:cs="Arial"/>
          <w:i/>
        </w:rPr>
        <w:t>su votación en Sesión formal v</w:t>
      </w:r>
      <w:r w:rsidR="001763DB" w:rsidRPr="00F642F2">
        <w:rPr>
          <w:rFonts w:ascii="Georgia" w:hAnsi="Georgia" w:cs="Arial"/>
          <w:i/>
        </w:rPr>
        <w:t>irtual del día treinta</w:t>
      </w:r>
      <w:r w:rsidR="00F2639B" w:rsidRPr="00F642F2">
        <w:rPr>
          <w:rFonts w:ascii="Georgia" w:hAnsi="Georgia" w:cs="Arial"/>
          <w:i/>
        </w:rPr>
        <w:t xml:space="preserve"> (30</w:t>
      </w:r>
      <w:r w:rsidR="00C8619F">
        <w:rPr>
          <w:rFonts w:ascii="Georgia" w:hAnsi="Georgia" w:cs="Arial"/>
          <w:i/>
        </w:rPr>
        <w:t>) de octubre</w:t>
      </w:r>
      <w:r w:rsidR="001763DB" w:rsidRPr="00F642F2">
        <w:rPr>
          <w:rFonts w:ascii="Georgia" w:hAnsi="Georgia" w:cs="Arial"/>
          <w:i/>
        </w:rPr>
        <w:t xml:space="preserve"> de </w:t>
      </w:r>
      <w:r w:rsidR="00DF0AA8" w:rsidRPr="00F642F2">
        <w:rPr>
          <w:rFonts w:ascii="Georgia" w:hAnsi="Georgia" w:cs="Arial"/>
          <w:i/>
        </w:rPr>
        <w:t>dos mil veinte (</w:t>
      </w:r>
      <w:r w:rsidR="001763DB" w:rsidRPr="00F642F2">
        <w:rPr>
          <w:rFonts w:ascii="Georgia" w:hAnsi="Georgia" w:cs="Arial"/>
          <w:i/>
        </w:rPr>
        <w:t>2020</w:t>
      </w:r>
      <w:r w:rsidR="00DF0AA8" w:rsidRPr="00F642F2">
        <w:rPr>
          <w:rFonts w:ascii="Georgia" w:hAnsi="Georgia" w:cs="Arial"/>
          <w:i/>
        </w:rPr>
        <w:t>)</w:t>
      </w:r>
      <w:r w:rsidR="001763DB" w:rsidRPr="00F642F2">
        <w:rPr>
          <w:rFonts w:ascii="Georgia" w:hAnsi="Georgia" w:cs="Arial"/>
          <w:i/>
        </w:rPr>
        <w:t>, en cumplimiento al artículo 8º del Acto Legislativo 01 de 2003.</w:t>
      </w:r>
    </w:p>
    <w:p w14:paraId="65D3452D" w14:textId="77777777" w:rsidR="001763DB" w:rsidRPr="00F642F2" w:rsidRDefault="001763DB" w:rsidP="008F53EB">
      <w:pPr>
        <w:spacing w:line="240" w:lineRule="auto"/>
        <w:rPr>
          <w:rFonts w:ascii="Georgia" w:hAnsi="Georgia" w:cs="Arial"/>
          <w:i/>
        </w:rPr>
      </w:pPr>
    </w:p>
    <w:p w14:paraId="7511C249" w14:textId="77777777" w:rsidR="001763DB" w:rsidRPr="00F642F2" w:rsidRDefault="001763DB" w:rsidP="008F53EB">
      <w:pPr>
        <w:spacing w:line="240" w:lineRule="auto"/>
        <w:rPr>
          <w:rFonts w:ascii="Georgia" w:hAnsi="Georgia" w:cs="Arial"/>
          <w:i/>
        </w:rPr>
      </w:pPr>
      <w:r w:rsidRPr="00F642F2">
        <w:rPr>
          <w:rFonts w:ascii="Georgia" w:hAnsi="Georgia" w:cs="Arial"/>
          <w:i/>
        </w:rPr>
        <w:t>Lo anterior con el fin de que el citado Proyecto de Ley siga su curso legal en Segundo Debate en la Plenaria de la Cámara de Representantes.</w:t>
      </w:r>
    </w:p>
    <w:p w14:paraId="45575CC9" w14:textId="77777777" w:rsidR="001763DB" w:rsidRPr="00F642F2" w:rsidRDefault="001763DB" w:rsidP="008F53EB">
      <w:pPr>
        <w:spacing w:line="240" w:lineRule="auto"/>
        <w:rPr>
          <w:rFonts w:ascii="Georgia" w:hAnsi="Georgia" w:cs="Arial"/>
          <w:i/>
        </w:rPr>
      </w:pPr>
    </w:p>
    <w:p w14:paraId="2791FD64" w14:textId="11B4C9C3" w:rsidR="001763DB" w:rsidRPr="00F642F2" w:rsidRDefault="001763DB" w:rsidP="008F53EB">
      <w:pPr>
        <w:spacing w:line="240" w:lineRule="auto"/>
        <w:rPr>
          <w:rFonts w:ascii="Georgia" w:hAnsi="Georgia" w:cs="Arial"/>
          <w:i/>
        </w:rPr>
      </w:pPr>
    </w:p>
    <w:p w14:paraId="7658791E" w14:textId="77777777" w:rsidR="00197AA5" w:rsidRPr="00F642F2" w:rsidRDefault="00197AA5" w:rsidP="008F53EB">
      <w:pPr>
        <w:spacing w:line="240" w:lineRule="auto"/>
        <w:rPr>
          <w:rFonts w:ascii="Georgia" w:hAnsi="Georgia" w:cs="Arial"/>
          <w:i/>
        </w:rPr>
      </w:pPr>
    </w:p>
    <w:p w14:paraId="269EAEB1" w14:textId="77777777" w:rsidR="00F642F2" w:rsidRDefault="00F642F2" w:rsidP="008F53EB">
      <w:pPr>
        <w:spacing w:line="240" w:lineRule="auto"/>
        <w:jc w:val="center"/>
        <w:rPr>
          <w:rFonts w:ascii="Georgia" w:hAnsi="Georgia" w:cs="Arial"/>
          <w:b/>
          <w:i/>
        </w:rPr>
      </w:pPr>
    </w:p>
    <w:p w14:paraId="186B1A42" w14:textId="77777777" w:rsidR="00F642F2" w:rsidRDefault="00F642F2" w:rsidP="008F53EB">
      <w:pPr>
        <w:spacing w:line="240" w:lineRule="auto"/>
        <w:jc w:val="center"/>
        <w:rPr>
          <w:rFonts w:ascii="Georgia" w:hAnsi="Georgia" w:cs="Arial"/>
          <w:b/>
          <w:i/>
        </w:rPr>
      </w:pPr>
    </w:p>
    <w:p w14:paraId="3FDC39C1" w14:textId="77777777" w:rsidR="00F642F2" w:rsidRDefault="00F642F2" w:rsidP="008F53EB">
      <w:pPr>
        <w:spacing w:line="240" w:lineRule="auto"/>
        <w:jc w:val="center"/>
        <w:rPr>
          <w:rFonts w:ascii="Georgia" w:hAnsi="Georgia" w:cs="Arial"/>
          <w:b/>
          <w:i/>
        </w:rPr>
      </w:pPr>
    </w:p>
    <w:p w14:paraId="26B2B461" w14:textId="7A4B8FE5" w:rsidR="001763DB" w:rsidRPr="00F642F2" w:rsidRDefault="001763DB" w:rsidP="008F53EB">
      <w:pPr>
        <w:spacing w:line="240" w:lineRule="auto"/>
        <w:jc w:val="center"/>
        <w:rPr>
          <w:rFonts w:ascii="Georgia" w:hAnsi="Georgia" w:cs="Arial"/>
          <w:b/>
          <w:i/>
        </w:rPr>
      </w:pPr>
      <w:r w:rsidRPr="00F642F2">
        <w:rPr>
          <w:rFonts w:ascii="Georgia" w:hAnsi="Georgia" w:cs="Arial"/>
          <w:b/>
          <w:i/>
        </w:rPr>
        <w:t xml:space="preserve">NÉSTOR LEONARDO RICO </w:t>
      </w:r>
      <w:proofErr w:type="spellStart"/>
      <w:r w:rsidRPr="00F642F2">
        <w:rPr>
          <w:rFonts w:ascii="Georgia" w:hAnsi="Georgia" w:cs="Arial"/>
          <w:b/>
          <w:i/>
        </w:rPr>
        <w:t>RICO</w:t>
      </w:r>
      <w:proofErr w:type="spellEnd"/>
    </w:p>
    <w:p w14:paraId="30BEB8EB" w14:textId="77777777" w:rsidR="001763DB" w:rsidRPr="00F642F2" w:rsidRDefault="001763DB" w:rsidP="008F53EB">
      <w:pPr>
        <w:spacing w:line="240" w:lineRule="auto"/>
        <w:jc w:val="center"/>
        <w:rPr>
          <w:rFonts w:ascii="Georgia" w:hAnsi="Georgia" w:cs="Arial"/>
          <w:i/>
        </w:rPr>
      </w:pPr>
      <w:r w:rsidRPr="00F642F2">
        <w:rPr>
          <w:rFonts w:ascii="Georgia" w:hAnsi="Georgia" w:cs="Arial"/>
          <w:i/>
        </w:rPr>
        <w:t>Presidente</w:t>
      </w:r>
    </w:p>
    <w:p w14:paraId="15EEE15D" w14:textId="188B12F1" w:rsidR="001763DB" w:rsidRPr="00F642F2" w:rsidRDefault="001763DB" w:rsidP="008F53EB">
      <w:pPr>
        <w:spacing w:line="240" w:lineRule="auto"/>
        <w:jc w:val="center"/>
        <w:rPr>
          <w:rFonts w:ascii="Georgia" w:hAnsi="Georgia" w:cs="Arial"/>
          <w:i/>
        </w:rPr>
      </w:pPr>
    </w:p>
    <w:p w14:paraId="08486D27" w14:textId="06225EFE" w:rsidR="001763DB" w:rsidRPr="00F642F2" w:rsidRDefault="001763DB" w:rsidP="008F53EB">
      <w:pPr>
        <w:spacing w:line="240" w:lineRule="auto"/>
        <w:jc w:val="center"/>
        <w:rPr>
          <w:rFonts w:ascii="Georgia" w:hAnsi="Georgia" w:cs="Arial"/>
          <w:i/>
        </w:rPr>
      </w:pPr>
    </w:p>
    <w:p w14:paraId="6FA2F5E3" w14:textId="5CBD5D4A" w:rsidR="00F2639B" w:rsidRPr="00F642F2" w:rsidRDefault="00F2639B" w:rsidP="008F53EB">
      <w:pPr>
        <w:spacing w:line="240" w:lineRule="auto"/>
        <w:jc w:val="center"/>
        <w:rPr>
          <w:rFonts w:ascii="Georgia" w:hAnsi="Georgia" w:cs="Arial"/>
          <w:i/>
        </w:rPr>
      </w:pPr>
    </w:p>
    <w:p w14:paraId="321FD6EA" w14:textId="4211D682" w:rsidR="00F2639B" w:rsidRPr="00F642F2" w:rsidRDefault="00F2639B" w:rsidP="008F53EB">
      <w:pPr>
        <w:spacing w:line="240" w:lineRule="auto"/>
        <w:jc w:val="center"/>
        <w:rPr>
          <w:rFonts w:ascii="Georgia" w:hAnsi="Georgia" w:cs="Arial"/>
          <w:i/>
        </w:rPr>
      </w:pPr>
    </w:p>
    <w:p w14:paraId="0DBE5370" w14:textId="777D6FA1" w:rsidR="00197AA5" w:rsidRPr="00F642F2" w:rsidRDefault="00197AA5" w:rsidP="008F53EB">
      <w:pPr>
        <w:spacing w:line="240" w:lineRule="auto"/>
        <w:jc w:val="center"/>
        <w:rPr>
          <w:rFonts w:ascii="Georgia" w:hAnsi="Georgia" w:cs="Arial"/>
          <w:i/>
        </w:rPr>
      </w:pPr>
    </w:p>
    <w:p w14:paraId="0E52062B" w14:textId="5F7722EF" w:rsidR="00197AA5" w:rsidRPr="00F642F2" w:rsidRDefault="00197AA5" w:rsidP="008F53EB">
      <w:pPr>
        <w:spacing w:line="240" w:lineRule="auto"/>
        <w:jc w:val="center"/>
        <w:rPr>
          <w:rFonts w:ascii="Georgia" w:hAnsi="Georgia" w:cs="Arial"/>
          <w:i/>
        </w:rPr>
      </w:pPr>
    </w:p>
    <w:p w14:paraId="21F6208D" w14:textId="1CB6FD26" w:rsidR="00F642F2" w:rsidRDefault="00D13866" w:rsidP="00D13866">
      <w:pPr>
        <w:spacing w:line="240" w:lineRule="auto"/>
        <w:rPr>
          <w:rFonts w:ascii="Georgia" w:hAnsi="Georgia" w:cs="Arial"/>
          <w:b/>
          <w:i/>
        </w:rPr>
      </w:pPr>
      <w:r>
        <w:rPr>
          <w:noProof/>
          <w:lang w:val="es-CO" w:eastAsia="es-CO"/>
        </w:rPr>
        <w:drawing>
          <wp:anchor distT="0" distB="0" distL="0" distR="0" simplePos="0" relativeHeight="251659264" behindDoc="0" locked="0" layoutInCell="1" allowOverlap="1" wp14:anchorId="6C8BDAF1" wp14:editId="2691260C">
            <wp:simplePos x="0" y="0"/>
            <wp:positionH relativeFrom="margin">
              <wp:align>center</wp:align>
            </wp:positionH>
            <wp:positionV relativeFrom="paragraph">
              <wp:posOffset>340995</wp:posOffset>
            </wp:positionV>
            <wp:extent cx="1971675" cy="950595"/>
            <wp:effectExtent l="0" t="0" r="9525" b="1905"/>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971675" cy="950595"/>
                    </a:xfrm>
                    <a:prstGeom prst="rect">
                      <a:avLst/>
                    </a:prstGeom>
                  </pic:spPr>
                </pic:pic>
              </a:graphicData>
            </a:graphic>
            <wp14:sizeRelH relativeFrom="margin">
              <wp14:pctWidth>0</wp14:pctWidth>
            </wp14:sizeRelH>
            <wp14:sizeRelV relativeFrom="margin">
              <wp14:pctHeight>0</wp14:pctHeight>
            </wp14:sizeRelV>
          </wp:anchor>
        </w:drawing>
      </w:r>
      <w:bookmarkStart w:id="0" w:name="_GoBack"/>
      <w:bookmarkEnd w:id="0"/>
    </w:p>
    <w:p w14:paraId="5D9025C4" w14:textId="28B424D7" w:rsidR="001763DB" w:rsidRPr="00F642F2" w:rsidRDefault="001763DB" w:rsidP="008F53EB">
      <w:pPr>
        <w:spacing w:line="240" w:lineRule="auto"/>
        <w:jc w:val="center"/>
        <w:rPr>
          <w:rFonts w:ascii="Georgia" w:hAnsi="Georgia" w:cs="Arial"/>
          <w:b/>
          <w:i/>
        </w:rPr>
      </w:pPr>
      <w:r w:rsidRPr="00F642F2">
        <w:rPr>
          <w:rFonts w:ascii="Georgia" w:hAnsi="Georgia" w:cs="Arial"/>
          <w:b/>
          <w:i/>
        </w:rPr>
        <w:t>ELIZABETH MARTÍNEZ BARRERA</w:t>
      </w:r>
    </w:p>
    <w:p w14:paraId="0753065C" w14:textId="3E5F7127" w:rsidR="008E2D42" w:rsidRPr="00F642F2" w:rsidRDefault="001763DB" w:rsidP="00197AA5">
      <w:pPr>
        <w:spacing w:line="240" w:lineRule="auto"/>
        <w:jc w:val="center"/>
        <w:rPr>
          <w:rFonts w:ascii="Georgia" w:eastAsia="Arial" w:hAnsi="Georgia" w:cs="Arial"/>
          <w:i/>
        </w:rPr>
      </w:pPr>
      <w:r w:rsidRPr="00F642F2">
        <w:rPr>
          <w:rFonts w:ascii="Georgia" w:hAnsi="Georgia" w:cs="Arial"/>
          <w:i/>
        </w:rPr>
        <w:t>Secretaria General</w:t>
      </w:r>
    </w:p>
    <w:sectPr w:rsidR="008E2D42" w:rsidRPr="00F642F2" w:rsidSect="00833C2A">
      <w:headerReference w:type="default" r:id="rId9"/>
      <w:footerReference w:type="default" r:id="rId10"/>
      <w:pgSz w:w="12240" w:h="15840" w:code="1"/>
      <w:pgMar w:top="1701" w:right="1701" w:bottom="24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D366A" w14:textId="77777777" w:rsidR="005143D4" w:rsidRDefault="005143D4">
      <w:pPr>
        <w:spacing w:line="240" w:lineRule="auto"/>
      </w:pPr>
      <w:r>
        <w:separator/>
      </w:r>
    </w:p>
  </w:endnote>
  <w:endnote w:type="continuationSeparator" w:id="0">
    <w:p w14:paraId="381B27E7" w14:textId="77777777" w:rsidR="005143D4" w:rsidRDefault="005143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3283B" w14:textId="3CF214B6" w:rsidR="002A5894" w:rsidRDefault="002A5894">
    <w:pPr>
      <w:pStyle w:val="Piedepgina"/>
      <w:jc w:val="right"/>
    </w:pPr>
    <w:r>
      <w:rPr>
        <w:color w:val="4F81BD" w:themeColor="accent1"/>
        <w:sz w:val="20"/>
        <w:szCs w:val="20"/>
        <w:lang w:val="es-ES"/>
      </w:rPr>
      <w:t xml:space="preserve">pág. </w:t>
    </w:r>
    <w:r>
      <w:rPr>
        <w:color w:val="4F81BD" w:themeColor="accent1"/>
        <w:sz w:val="20"/>
        <w:szCs w:val="20"/>
      </w:rPr>
      <w:fldChar w:fldCharType="begin"/>
    </w:r>
    <w:r>
      <w:rPr>
        <w:color w:val="4F81BD" w:themeColor="accent1"/>
        <w:sz w:val="20"/>
        <w:szCs w:val="20"/>
      </w:rPr>
      <w:instrText>PAGE  \* Arabic</w:instrText>
    </w:r>
    <w:r>
      <w:rPr>
        <w:color w:val="4F81BD" w:themeColor="accent1"/>
        <w:sz w:val="20"/>
        <w:szCs w:val="20"/>
      </w:rPr>
      <w:fldChar w:fldCharType="separate"/>
    </w:r>
    <w:r w:rsidR="00D13866">
      <w:rPr>
        <w:noProof/>
        <w:color w:val="4F81BD" w:themeColor="accent1"/>
        <w:sz w:val="20"/>
        <w:szCs w:val="20"/>
      </w:rPr>
      <w:t>4</w:t>
    </w:r>
    <w:r>
      <w:rPr>
        <w:color w:val="4F81BD" w:themeColor="accent1"/>
        <w:sz w:val="20"/>
        <w:szCs w:val="20"/>
      </w:rPr>
      <w:fldChar w:fldCharType="end"/>
    </w:r>
  </w:p>
  <w:p w14:paraId="77E9CB02" w14:textId="77777777" w:rsidR="0033269C" w:rsidRPr="00537D97" w:rsidRDefault="0033269C">
    <w:pPr>
      <w:pBdr>
        <w:top w:val="nil"/>
        <w:left w:val="nil"/>
        <w:bottom w:val="nil"/>
        <w:right w:val="nil"/>
        <w:between w:val="nil"/>
      </w:pBdr>
      <w:tabs>
        <w:tab w:val="center" w:pos="4419"/>
        <w:tab w:val="right" w:pos="8838"/>
      </w:tabs>
      <w:spacing w:line="240" w:lineRule="auto"/>
      <w:rPr>
        <w: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B7413" w14:textId="77777777" w:rsidR="005143D4" w:rsidRDefault="005143D4">
      <w:pPr>
        <w:spacing w:line="240" w:lineRule="auto"/>
      </w:pPr>
      <w:r>
        <w:separator/>
      </w:r>
    </w:p>
  </w:footnote>
  <w:footnote w:type="continuationSeparator" w:id="0">
    <w:p w14:paraId="52894D17" w14:textId="77777777" w:rsidR="005143D4" w:rsidRDefault="005143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B174F" w14:textId="5CD67E9F" w:rsidR="0033269C" w:rsidRDefault="00E55EFA">
    <w:pPr>
      <w:pBdr>
        <w:top w:val="nil"/>
        <w:left w:val="nil"/>
        <w:bottom w:val="nil"/>
        <w:right w:val="nil"/>
        <w:between w:val="nil"/>
      </w:pBdr>
      <w:tabs>
        <w:tab w:val="center" w:pos="4419"/>
        <w:tab w:val="right" w:pos="8838"/>
      </w:tabs>
      <w:spacing w:line="240" w:lineRule="auto"/>
      <w:jc w:val="center"/>
      <w:rPr>
        <w:rFonts w:ascii="Arial" w:eastAsia="Arial" w:hAnsi="Arial" w:cs="Arial"/>
        <w:color w:val="808080"/>
        <w:sz w:val="16"/>
        <w:szCs w:val="16"/>
      </w:rPr>
    </w:pPr>
    <w:r w:rsidRPr="00B41D3F">
      <w:rPr>
        <w:noProof/>
        <w:lang w:val="es-CO" w:eastAsia="es-CO"/>
      </w:rPr>
      <w:drawing>
        <wp:inline distT="0" distB="0" distL="0" distR="0" wp14:anchorId="2ED81BFC" wp14:editId="0AB6FE83">
          <wp:extent cx="2114550" cy="762000"/>
          <wp:effectExtent l="0" t="0" r="0" b="0"/>
          <wp:docPr id="4" name="Imagen 7" descr="Descripción: Congreso-de-la-republi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descr="Descripción: Congreso-de-la-republic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62000"/>
                  </a:xfrm>
                  <a:prstGeom prst="rect">
                    <a:avLst/>
                  </a:prstGeom>
                  <a:noFill/>
                  <a:ln>
                    <a:noFill/>
                  </a:ln>
                </pic:spPr>
              </pic:pic>
            </a:graphicData>
          </a:graphic>
        </wp:inline>
      </w:drawing>
    </w:r>
  </w:p>
  <w:p w14:paraId="2BC4722E" w14:textId="7357B74C" w:rsidR="00197AA5" w:rsidRDefault="00197AA5">
    <w:pPr>
      <w:pBdr>
        <w:top w:val="nil"/>
        <w:left w:val="nil"/>
        <w:bottom w:val="nil"/>
        <w:right w:val="nil"/>
        <w:between w:val="nil"/>
      </w:pBdr>
      <w:tabs>
        <w:tab w:val="center" w:pos="4419"/>
        <w:tab w:val="right" w:pos="8838"/>
      </w:tabs>
      <w:spacing w:line="240" w:lineRule="auto"/>
      <w:jc w:val="center"/>
      <w:rPr>
        <w:rFonts w:ascii="Georgia" w:eastAsia="Arial" w:hAnsi="Georgia" w:cs="Arial"/>
        <w:b/>
        <w:i/>
        <w:color w:val="808080"/>
      </w:rPr>
    </w:pPr>
    <w:r>
      <w:rPr>
        <w:rFonts w:ascii="Georgia" w:eastAsia="Arial" w:hAnsi="Georgia" w:cs="Arial"/>
        <w:b/>
        <w:i/>
        <w:color w:val="808080"/>
      </w:rPr>
      <w:t>COMISIÓN TERCERA CONSTITUCIONAL PERMANENTE</w:t>
    </w:r>
  </w:p>
  <w:p w14:paraId="754C23BA" w14:textId="77777777" w:rsidR="00197AA5" w:rsidRPr="00197AA5" w:rsidRDefault="00197AA5">
    <w:pPr>
      <w:pBdr>
        <w:top w:val="nil"/>
        <w:left w:val="nil"/>
        <w:bottom w:val="nil"/>
        <w:right w:val="nil"/>
        <w:between w:val="nil"/>
      </w:pBdr>
      <w:tabs>
        <w:tab w:val="center" w:pos="4419"/>
        <w:tab w:val="right" w:pos="8838"/>
      </w:tabs>
      <w:spacing w:line="240" w:lineRule="auto"/>
      <w:jc w:val="center"/>
      <w:rPr>
        <w:rFonts w:ascii="Georgia" w:eastAsia="Arial" w:hAnsi="Georgia" w:cs="Arial"/>
        <w:b/>
        <w:i/>
        <w:color w:val="80808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A5F3A"/>
    <w:multiLevelType w:val="multilevel"/>
    <w:tmpl w:val="05F4DDAC"/>
    <w:lvl w:ilvl="0">
      <w:start w:val="1"/>
      <w:numFmt w:val="lowerLetter"/>
      <w:lvlText w:val="%1)"/>
      <w:lvlJc w:val="left"/>
      <w:pPr>
        <w:ind w:left="720" w:hanging="360"/>
      </w:pPr>
      <w:rPr>
        <w:rFonts w:ascii="Tahoma" w:eastAsia="Arial" w:hAnsi="Tahoma" w:cs="Tahoma"/>
      </w:rPr>
    </w:lvl>
    <w:lvl w:ilvl="1">
      <w:start w:val="1"/>
      <w:numFmt w:val="lowerLetter"/>
      <w:lvlText w:val="%2)"/>
      <w:lvlJc w:val="left"/>
      <w:pPr>
        <w:ind w:left="1440" w:hanging="360"/>
      </w:pPr>
      <w:rPr>
        <w:rFonts w:ascii="Georgia" w:eastAsia="Arial" w:hAnsi="Georgia" w:cs="Tahom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D211B5"/>
    <w:multiLevelType w:val="multilevel"/>
    <w:tmpl w:val="FFFFFFFF"/>
    <w:lvl w:ilvl="0">
      <w:start w:val="1"/>
      <w:numFmt w:val="upperRoman"/>
      <w:lvlText w:val="%1."/>
      <w:lvlJc w:val="righ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823031"/>
    <w:multiLevelType w:val="multilevel"/>
    <w:tmpl w:val="D35036D4"/>
    <w:lvl w:ilvl="0">
      <w:start w:val="1"/>
      <w:numFmt w:val="lowerLetter"/>
      <w:lvlText w:val="%1)"/>
      <w:lvlJc w:val="left"/>
      <w:pPr>
        <w:ind w:left="2454" w:hanging="360"/>
      </w:pPr>
      <w:rPr>
        <w:rFonts w:ascii="Georgia" w:eastAsia="Arial" w:hAnsi="Georgia" w:cs="Tahoma"/>
      </w:rPr>
    </w:lvl>
    <w:lvl w:ilvl="1">
      <w:start w:val="1"/>
      <w:numFmt w:val="lowerLetter"/>
      <w:lvlText w:val="%2."/>
      <w:lvlJc w:val="left"/>
      <w:pPr>
        <w:ind w:left="3174" w:hanging="360"/>
      </w:pPr>
    </w:lvl>
    <w:lvl w:ilvl="2">
      <w:start w:val="1"/>
      <w:numFmt w:val="lowerRoman"/>
      <w:lvlText w:val="%3."/>
      <w:lvlJc w:val="right"/>
      <w:pPr>
        <w:ind w:left="3894" w:hanging="180"/>
      </w:pPr>
    </w:lvl>
    <w:lvl w:ilvl="3">
      <w:start w:val="1"/>
      <w:numFmt w:val="decimal"/>
      <w:lvlText w:val="%4."/>
      <w:lvlJc w:val="left"/>
      <w:pPr>
        <w:ind w:left="4614" w:hanging="360"/>
      </w:pPr>
    </w:lvl>
    <w:lvl w:ilvl="4">
      <w:start w:val="1"/>
      <w:numFmt w:val="lowerLetter"/>
      <w:lvlText w:val="%5."/>
      <w:lvlJc w:val="left"/>
      <w:pPr>
        <w:ind w:left="5334" w:hanging="360"/>
      </w:pPr>
    </w:lvl>
    <w:lvl w:ilvl="5">
      <w:start w:val="1"/>
      <w:numFmt w:val="lowerRoman"/>
      <w:lvlText w:val="%6."/>
      <w:lvlJc w:val="right"/>
      <w:pPr>
        <w:ind w:left="6054" w:hanging="180"/>
      </w:pPr>
    </w:lvl>
    <w:lvl w:ilvl="6">
      <w:start w:val="1"/>
      <w:numFmt w:val="decimal"/>
      <w:lvlText w:val="%7."/>
      <w:lvlJc w:val="left"/>
      <w:pPr>
        <w:ind w:left="6774" w:hanging="360"/>
      </w:pPr>
    </w:lvl>
    <w:lvl w:ilvl="7">
      <w:start w:val="1"/>
      <w:numFmt w:val="lowerLetter"/>
      <w:lvlText w:val="%8."/>
      <w:lvlJc w:val="left"/>
      <w:pPr>
        <w:ind w:left="7494" w:hanging="360"/>
      </w:pPr>
    </w:lvl>
    <w:lvl w:ilvl="8">
      <w:start w:val="1"/>
      <w:numFmt w:val="lowerRoman"/>
      <w:lvlText w:val="%9."/>
      <w:lvlJc w:val="right"/>
      <w:pPr>
        <w:ind w:left="8214" w:hanging="180"/>
      </w:pPr>
    </w:lvl>
  </w:abstractNum>
  <w:abstractNum w:abstractNumId="3" w15:restartNumberingAfterBreak="0">
    <w:nsid w:val="43031BA1"/>
    <w:multiLevelType w:val="multilevel"/>
    <w:tmpl w:val="3CCE3B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3539CF"/>
    <w:multiLevelType w:val="multilevel"/>
    <w:tmpl w:val="FA32E6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69C"/>
    <w:rsid w:val="00006318"/>
    <w:rsid w:val="00016B9C"/>
    <w:rsid w:val="0001770B"/>
    <w:rsid w:val="00044D36"/>
    <w:rsid w:val="00066DCA"/>
    <w:rsid w:val="000A00F8"/>
    <w:rsid w:val="000C20F6"/>
    <w:rsid w:val="000E5A58"/>
    <w:rsid w:val="000F3C40"/>
    <w:rsid w:val="00142936"/>
    <w:rsid w:val="00162684"/>
    <w:rsid w:val="00163CFE"/>
    <w:rsid w:val="001743F2"/>
    <w:rsid w:val="001763DB"/>
    <w:rsid w:val="00197486"/>
    <w:rsid w:val="00197AA5"/>
    <w:rsid w:val="001C3E58"/>
    <w:rsid w:val="001F2581"/>
    <w:rsid w:val="002001CC"/>
    <w:rsid w:val="00220A99"/>
    <w:rsid w:val="00223904"/>
    <w:rsid w:val="002279D0"/>
    <w:rsid w:val="00233D10"/>
    <w:rsid w:val="0026371B"/>
    <w:rsid w:val="002700F3"/>
    <w:rsid w:val="002A1E77"/>
    <w:rsid w:val="002A5894"/>
    <w:rsid w:val="002A77F0"/>
    <w:rsid w:val="002D6485"/>
    <w:rsid w:val="002E2F44"/>
    <w:rsid w:val="002F6842"/>
    <w:rsid w:val="00314B78"/>
    <w:rsid w:val="00316EE3"/>
    <w:rsid w:val="0033269C"/>
    <w:rsid w:val="00333ABA"/>
    <w:rsid w:val="00340DDC"/>
    <w:rsid w:val="0036444A"/>
    <w:rsid w:val="00384626"/>
    <w:rsid w:val="00392924"/>
    <w:rsid w:val="00393794"/>
    <w:rsid w:val="003A3960"/>
    <w:rsid w:val="003B4774"/>
    <w:rsid w:val="003B5BAA"/>
    <w:rsid w:val="003D0DD0"/>
    <w:rsid w:val="003E04BF"/>
    <w:rsid w:val="00403B93"/>
    <w:rsid w:val="004209D7"/>
    <w:rsid w:val="00422346"/>
    <w:rsid w:val="00437896"/>
    <w:rsid w:val="00440D91"/>
    <w:rsid w:val="0045698B"/>
    <w:rsid w:val="00470F29"/>
    <w:rsid w:val="00494C45"/>
    <w:rsid w:val="004A70E5"/>
    <w:rsid w:val="004B0951"/>
    <w:rsid w:val="004E2677"/>
    <w:rsid w:val="005143D4"/>
    <w:rsid w:val="00530456"/>
    <w:rsid w:val="00535E6F"/>
    <w:rsid w:val="00537D97"/>
    <w:rsid w:val="00564080"/>
    <w:rsid w:val="00567EC6"/>
    <w:rsid w:val="005713B0"/>
    <w:rsid w:val="00574BC6"/>
    <w:rsid w:val="00575848"/>
    <w:rsid w:val="00575DE6"/>
    <w:rsid w:val="00593CF8"/>
    <w:rsid w:val="005B02F7"/>
    <w:rsid w:val="005B2B7D"/>
    <w:rsid w:val="005F3B8B"/>
    <w:rsid w:val="006026F7"/>
    <w:rsid w:val="00615BF4"/>
    <w:rsid w:val="00644AF8"/>
    <w:rsid w:val="0065344E"/>
    <w:rsid w:val="00663B12"/>
    <w:rsid w:val="0066720C"/>
    <w:rsid w:val="00672538"/>
    <w:rsid w:val="006814C4"/>
    <w:rsid w:val="00682F31"/>
    <w:rsid w:val="006861D1"/>
    <w:rsid w:val="006F4D85"/>
    <w:rsid w:val="0071499B"/>
    <w:rsid w:val="0077350E"/>
    <w:rsid w:val="0078391C"/>
    <w:rsid w:val="00792109"/>
    <w:rsid w:val="007A01DD"/>
    <w:rsid w:val="007B7B2D"/>
    <w:rsid w:val="007C536F"/>
    <w:rsid w:val="007D2447"/>
    <w:rsid w:val="007E4EA3"/>
    <w:rsid w:val="008033F2"/>
    <w:rsid w:val="00833C2A"/>
    <w:rsid w:val="008368E1"/>
    <w:rsid w:val="0084064A"/>
    <w:rsid w:val="00853CA1"/>
    <w:rsid w:val="00867892"/>
    <w:rsid w:val="00871203"/>
    <w:rsid w:val="008C24D5"/>
    <w:rsid w:val="008D094F"/>
    <w:rsid w:val="008E00FE"/>
    <w:rsid w:val="008E2D42"/>
    <w:rsid w:val="008E44D0"/>
    <w:rsid w:val="008F53EB"/>
    <w:rsid w:val="008F792A"/>
    <w:rsid w:val="00933BB5"/>
    <w:rsid w:val="00960F7B"/>
    <w:rsid w:val="009731D9"/>
    <w:rsid w:val="009B4906"/>
    <w:rsid w:val="009B7E6F"/>
    <w:rsid w:val="009C19AD"/>
    <w:rsid w:val="009C7822"/>
    <w:rsid w:val="009D3938"/>
    <w:rsid w:val="009D7A08"/>
    <w:rsid w:val="00A15D72"/>
    <w:rsid w:val="00A70E47"/>
    <w:rsid w:val="00A81923"/>
    <w:rsid w:val="00AB55A0"/>
    <w:rsid w:val="00AC2AA0"/>
    <w:rsid w:val="00AC6D85"/>
    <w:rsid w:val="00AD4769"/>
    <w:rsid w:val="00AD6DDB"/>
    <w:rsid w:val="00AE2197"/>
    <w:rsid w:val="00AE6747"/>
    <w:rsid w:val="00B00B62"/>
    <w:rsid w:val="00B25E27"/>
    <w:rsid w:val="00B40350"/>
    <w:rsid w:val="00B73B01"/>
    <w:rsid w:val="00B95C42"/>
    <w:rsid w:val="00BA7B91"/>
    <w:rsid w:val="00BB028F"/>
    <w:rsid w:val="00BB49B8"/>
    <w:rsid w:val="00C11AD6"/>
    <w:rsid w:val="00C3012F"/>
    <w:rsid w:val="00C35C0A"/>
    <w:rsid w:val="00C4135F"/>
    <w:rsid w:val="00C54ACD"/>
    <w:rsid w:val="00C8619F"/>
    <w:rsid w:val="00CA7293"/>
    <w:rsid w:val="00CE030A"/>
    <w:rsid w:val="00CF43C3"/>
    <w:rsid w:val="00D04A5B"/>
    <w:rsid w:val="00D13866"/>
    <w:rsid w:val="00D1503F"/>
    <w:rsid w:val="00D24B14"/>
    <w:rsid w:val="00D317C7"/>
    <w:rsid w:val="00D456F0"/>
    <w:rsid w:val="00D51B8D"/>
    <w:rsid w:val="00D565E6"/>
    <w:rsid w:val="00D574FF"/>
    <w:rsid w:val="00D760E0"/>
    <w:rsid w:val="00DA549D"/>
    <w:rsid w:val="00DD18D0"/>
    <w:rsid w:val="00DD4E77"/>
    <w:rsid w:val="00DD635D"/>
    <w:rsid w:val="00DD794B"/>
    <w:rsid w:val="00DE231A"/>
    <w:rsid w:val="00DE40E0"/>
    <w:rsid w:val="00DF0AA8"/>
    <w:rsid w:val="00E04F45"/>
    <w:rsid w:val="00E13D68"/>
    <w:rsid w:val="00E1550E"/>
    <w:rsid w:val="00E35AD8"/>
    <w:rsid w:val="00E4302D"/>
    <w:rsid w:val="00E4731F"/>
    <w:rsid w:val="00E55EFA"/>
    <w:rsid w:val="00E5706C"/>
    <w:rsid w:val="00E61BD5"/>
    <w:rsid w:val="00E84A3B"/>
    <w:rsid w:val="00E868AC"/>
    <w:rsid w:val="00E87F2F"/>
    <w:rsid w:val="00EB2538"/>
    <w:rsid w:val="00EC59BB"/>
    <w:rsid w:val="00ED0E6C"/>
    <w:rsid w:val="00EF39CC"/>
    <w:rsid w:val="00EF67CB"/>
    <w:rsid w:val="00EF6C27"/>
    <w:rsid w:val="00F02D93"/>
    <w:rsid w:val="00F2639B"/>
    <w:rsid w:val="00F41D7B"/>
    <w:rsid w:val="00F441DC"/>
    <w:rsid w:val="00F463F4"/>
    <w:rsid w:val="00F642F2"/>
    <w:rsid w:val="00F74801"/>
    <w:rsid w:val="00F8215A"/>
    <w:rsid w:val="00F87464"/>
    <w:rsid w:val="00FA0F5C"/>
    <w:rsid w:val="00FA2053"/>
    <w:rsid w:val="00FB2596"/>
    <w:rsid w:val="00FD5943"/>
    <w:rsid w:val="00FE3B5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56FA"/>
  <w15:docId w15:val="{079A0CCD-C672-4872-96EB-E80937E2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US" w:eastAsia="es-E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BC0AD0"/>
    <w:pPr>
      <w:spacing w:before="100" w:beforeAutospacing="1" w:after="100" w:afterAutospacing="1" w:line="240" w:lineRule="auto"/>
      <w:jc w:val="left"/>
    </w:pPr>
  </w:style>
  <w:style w:type="paragraph" w:styleId="Textonotapie">
    <w:name w:val="footnote text"/>
    <w:basedOn w:val="Normal"/>
    <w:link w:val="TextonotapieCar"/>
    <w:uiPriority w:val="99"/>
    <w:unhideWhenUsed/>
    <w:rsid w:val="006E2E58"/>
    <w:pPr>
      <w:spacing w:line="240" w:lineRule="auto"/>
    </w:pPr>
    <w:rPr>
      <w:sz w:val="20"/>
      <w:szCs w:val="20"/>
    </w:rPr>
  </w:style>
  <w:style w:type="character" w:customStyle="1" w:styleId="TextonotapieCar">
    <w:name w:val="Texto nota pie Car"/>
    <w:basedOn w:val="Fuentedeprrafopredeter"/>
    <w:link w:val="Textonotapie"/>
    <w:uiPriority w:val="99"/>
    <w:rsid w:val="006E2E58"/>
    <w:rPr>
      <w:sz w:val="20"/>
      <w:szCs w:val="20"/>
    </w:rPr>
  </w:style>
  <w:style w:type="character" w:styleId="Refdenotaalpie">
    <w:name w:val="footnote reference"/>
    <w:basedOn w:val="Fuentedeprrafopredeter"/>
    <w:uiPriority w:val="99"/>
    <w:unhideWhenUsed/>
    <w:rsid w:val="006E2E58"/>
    <w:rPr>
      <w:vertAlign w:val="superscript"/>
    </w:rPr>
  </w:style>
  <w:style w:type="paragraph" w:styleId="Prrafodelista">
    <w:name w:val="List Paragraph"/>
    <w:basedOn w:val="Normal"/>
    <w:uiPriority w:val="34"/>
    <w:qFormat/>
    <w:rsid w:val="00B70240"/>
    <w:pPr>
      <w:overflowPunct w:val="0"/>
      <w:autoSpaceDE w:val="0"/>
      <w:autoSpaceDN w:val="0"/>
      <w:adjustRightInd w:val="0"/>
      <w:spacing w:line="240" w:lineRule="auto"/>
      <w:ind w:left="720"/>
      <w:contextualSpacing/>
      <w:jc w:val="left"/>
      <w:textAlignment w:val="baseline"/>
    </w:pPr>
    <w:rPr>
      <w:sz w:val="28"/>
      <w:szCs w:val="20"/>
      <w:lang w:eastAsia="es-MX"/>
    </w:rPr>
  </w:style>
  <w:style w:type="paragraph" w:styleId="Textodeglobo">
    <w:name w:val="Balloon Text"/>
    <w:basedOn w:val="Normal"/>
    <w:link w:val="TextodegloboCar"/>
    <w:uiPriority w:val="99"/>
    <w:semiHidden/>
    <w:unhideWhenUsed/>
    <w:rsid w:val="0030620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20B"/>
    <w:rPr>
      <w:rFonts w:ascii="Tahoma" w:hAnsi="Tahoma" w:cs="Tahoma"/>
      <w:sz w:val="16"/>
      <w:szCs w:val="16"/>
    </w:rPr>
  </w:style>
  <w:style w:type="paragraph" w:styleId="Encabezado">
    <w:name w:val="header"/>
    <w:basedOn w:val="Normal"/>
    <w:link w:val="EncabezadoCar"/>
    <w:uiPriority w:val="99"/>
    <w:unhideWhenUsed/>
    <w:rsid w:val="00D077B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077B8"/>
  </w:style>
  <w:style w:type="paragraph" w:styleId="Piedepgina">
    <w:name w:val="footer"/>
    <w:basedOn w:val="Normal"/>
    <w:link w:val="PiedepginaCar"/>
    <w:uiPriority w:val="99"/>
    <w:unhideWhenUsed/>
    <w:rsid w:val="00D077B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077B8"/>
  </w:style>
  <w:style w:type="paragraph" w:styleId="Sinespaciado">
    <w:name w:val="No Spacing"/>
    <w:link w:val="SinespaciadoCar"/>
    <w:uiPriority w:val="1"/>
    <w:qFormat/>
    <w:rsid w:val="00647F5A"/>
    <w:pPr>
      <w:spacing w:line="240" w:lineRule="auto"/>
    </w:pPr>
  </w:style>
  <w:style w:type="character" w:styleId="Nmerodepgina">
    <w:name w:val="page number"/>
    <w:basedOn w:val="Fuentedeprrafopredeter"/>
    <w:uiPriority w:val="99"/>
    <w:semiHidden/>
    <w:unhideWhenUsed/>
    <w:rsid w:val="00742946"/>
  </w:style>
  <w:style w:type="paragraph" w:customStyle="1" w:styleId="Listavistosa-nfasis11">
    <w:name w:val="Lista vistosa - Énfasis 11"/>
    <w:basedOn w:val="Normal"/>
    <w:uiPriority w:val="99"/>
    <w:qFormat/>
    <w:rsid w:val="0064120C"/>
    <w:pPr>
      <w:spacing w:after="200" w:line="276" w:lineRule="auto"/>
      <w:ind w:left="720"/>
      <w:contextualSpacing/>
      <w:jc w:val="left"/>
    </w:pPr>
    <w:rPr>
      <w:rFonts w:ascii="Calibri" w:hAnsi="Calibri"/>
      <w:lang w:val="es-CO" w:eastAsia="es-CO"/>
    </w:rPr>
  </w:style>
  <w:style w:type="character" w:styleId="Hipervnculo">
    <w:name w:val="Hyperlink"/>
    <w:basedOn w:val="Fuentedeprrafopredeter"/>
    <w:uiPriority w:val="99"/>
    <w:unhideWhenUsed/>
    <w:rsid w:val="003C209A"/>
    <w:rPr>
      <w:color w:val="0000FF" w:themeColor="hyperlink"/>
      <w:u w:val="single"/>
    </w:rPr>
  </w:style>
  <w:style w:type="character" w:styleId="Textoennegrita">
    <w:name w:val="Strong"/>
    <w:basedOn w:val="Fuentedeprrafopredeter"/>
    <w:uiPriority w:val="22"/>
    <w:qFormat/>
    <w:rsid w:val="00936240"/>
    <w:rPr>
      <w:b/>
      <w:bCs/>
    </w:rPr>
  </w:style>
  <w:style w:type="character" w:customStyle="1" w:styleId="st">
    <w:name w:val="st"/>
    <w:basedOn w:val="Fuentedeprrafopredeter"/>
    <w:rsid w:val="00CE47E8"/>
  </w:style>
  <w:style w:type="character" w:styleId="nfasis">
    <w:name w:val="Emphasis"/>
    <w:basedOn w:val="Fuentedeprrafopredeter"/>
    <w:uiPriority w:val="20"/>
    <w:qFormat/>
    <w:rsid w:val="00CE47E8"/>
    <w:rPr>
      <w:i/>
      <w:iCs/>
    </w:rPr>
  </w:style>
  <w:style w:type="character" w:styleId="Refdecomentario">
    <w:name w:val="annotation reference"/>
    <w:basedOn w:val="Fuentedeprrafopredeter"/>
    <w:uiPriority w:val="99"/>
    <w:semiHidden/>
    <w:unhideWhenUsed/>
    <w:rsid w:val="00091B68"/>
    <w:rPr>
      <w:sz w:val="18"/>
      <w:szCs w:val="18"/>
    </w:rPr>
  </w:style>
  <w:style w:type="paragraph" w:styleId="Textocomentario">
    <w:name w:val="annotation text"/>
    <w:basedOn w:val="Normal"/>
    <w:link w:val="TextocomentarioCar"/>
    <w:uiPriority w:val="99"/>
    <w:semiHidden/>
    <w:unhideWhenUsed/>
    <w:rsid w:val="00091B68"/>
    <w:pPr>
      <w:spacing w:line="240" w:lineRule="auto"/>
    </w:pPr>
  </w:style>
  <w:style w:type="character" w:customStyle="1" w:styleId="TextocomentarioCar">
    <w:name w:val="Texto comentario Car"/>
    <w:basedOn w:val="Fuentedeprrafopredeter"/>
    <w:link w:val="Textocomentario"/>
    <w:uiPriority w:val="99"/>
    <w:semiHidden/>
    <w:rsid w:val="00091B68"/>
    <w:rPr>
      <w:szCs w:val="24"/>
      <w:lang w:val="es-ES_tradnl"/>
    </w:rPr>
  </w:style>
  <w:style w:type="paragraph" w:styleId="Asuntodelcomentario">
    <w:name w:val="annotation subject"/>
    <w:basedOn w:val="Textocomentario"/>
    <w:next w:val="Textocomentario"/>
    <w:link w:val="AsuntodelcomentarioCar"/>
    <w:uiPriority w:val="99"/>
    <w:semiHidden/>
    <w:unhideWhenUsed/>
    <w:rsid w:val="00091B68"/>
    <w:rPr>
      <w:b/>
      <w:bCs/>
      <w:sz w:val="20"/>
      <w:szCs w:val="20"/>
    </w:rPr>
  </w:style>
  <w:style w:type="character" w:customStyle="1" w:styleId="AsuntodelcomentarioCar">
    <w:name w:val="Asunto del comentario Car"/>
    <w:basedOn w:val="TextocomentarioCar"/>
    <w:link w:val="Asuntodelcomentario"/>
    <w:uiPriority w:val="99"/>
    <w:semiHidden/>
    <w:rsid w:val="00091B68"/>
    <w:rPr>
      <w:b/>
      <w:bCs/>
      <w:sz w:val="20"/>
      <w:szCs w:val="20"/>
      <w:lang w:val="es-ES_tradnl"/>
    </w:rPr>
  </w:style>
  <w:style w:type="table" w:styleId="Sombreadovistoso-nfasis1">
    <w:name w:val="Colorful Shading Accent 1"/>
    <w:basedOn w:val="Tablanormal"/>
    <w:uiPriority w:val="71"/>
    <w:rsid w:val="005E1E74"/>
    <w:pPr>
      <w:spacing w:line="240" w:lineRule="auto"/>
      <w:jc w:val="left"/>
    </w:pPr>
    <w:rPr>
      <w:rFonts w:asciiTheme="minorHAnsi" w:eastAsiaTheme="minorEastAsia" w:hAnsiTheme="minorHAnsi" w:cstheme="minorBidi"/>
      <w:color w:val="000000" w:themeColor="text1"/>
      <w:lang w:val="es-ES_tradn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Textoindependiente2">
    <w:name w:val="Body Text 2"/>
    <w:basedOn w:val="Normal"/>
    <w:link w:val="Textoindependiente2Car"/>
    <w:uiPriority w:val="99"/>
    <w:semiHidden/>
    <w:unhideWhenUsed/>
    <w:rsid w:val="0001304E"/>
    <w:pPr>
      <w:spacing w:after="120" w:line="480" w:lineRule="auto"/>
    </w:pPr>
  </w:style>
  <w:style w:type="character" w:customStyle="1" w:styleId="Textoindependiente2Car">
    <w:name w:val="Texto independiente 2 Car"/>
    <w:basedOn w:val="Fuentedeprrafopredeter"/>
    <w:link w:val="Textoindependiente2"/>
    <w:uiPriority w:val="99"/>
    <w:semiHidden/>
    <w:rsid w:val="0001304E"/>
    <w:rPr>
      <w:lang w:val="es-ES_tradnl"/>
    </w:rPr>
  </w:style>
  <w:style w:type="table" w:styleId="Tablaconcuadrcula">
    <w:name w:val="Table Grid"/>
    <w:basedOn w:val="Tablanormal"/>
    <w:uiPriority w:val="39"/>
    <w:rsid w:val="00862B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Fuentedeprrafopredeter"/>
    <w:rsid w:val="00862B0B"/>
  </w:style>
  <w:style w:type="character" w:customStyle="1" w:styleId="apple-converted-space">
    <w:name w:val="apple-converted-space"/>
    <w:basedOn w:val="Fuentedeprrafopredeter"/>
    <w:rsid w:val="00862B0B"/>
  </w:style>
  <w:style w:type="character" w:customStyle="1" w:styleId="Mencinsinresolver1">
    <w:name w:val="Mención sin resolver1"/>
    <w:basedOn w:val="Fuentedeprrafopredeter"/>
    <w:uiPriority w:val="99"/>
    <w:semiHidden/>
    <w:unhideWhenUsed/>
    <w:rsid w:val="00E27EB4"/>
    <w:rPr>
      <w:color w:val="605E5C"/>
      <w:shd w:val="clear" w:color="auto" w:fill="E1DFDD"/>
    </w:rPr>
  </w:style>
  <w:style w:type="paragraph" w:customStyle="1" w:styleId="Default">
    <w:name w:val="Default"/>
    <w:rsid w:val="00B8401D"/>
    <w:pPr>
      <w:autoSpaceDE w:val="0"/>
      <w:autoSpaceDN w:val="0"/>
      <w:adjustRightInd w:val="0"/>
      <w:spacing w:line="240" w:lineRule="auto"/>
      <w:jc w:val="left"/>
    </w:pPr>
    <w:rPr>
      <w:rFonts w:ascii="Arial" w:eastAsia="Calibri" w:hAnsi="Arial" w:cs="Arial"/>
      <w:color w:val="000000"/>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6">
    <w:name w:val="6"/>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tblStylePr w:type="firstRow">
      <w:rPr>
        <w:b/>
      </w:rPr>
      <w:tblPr/>
      <w:tcPr>
        <w:tcBorders>
          <w:top w:val="nil"/>
          <w:left w:val="nil"/>
          <w:bottom w:val="single" w:sz="24" w:space="0" w:color="C0504D"/>
          <w:right w:val="nil"/>
          <w:insideH w:val="nil"/>
          <w:insideV w:val="nil"/>
        </w:tcBorders>
        <w:shd w:val="clear" w:color="auto" w:fill="FFFFFF"/>
      </w:tcPr>
    </w:tblStylePr>
    <w:tblStylePr w:type="lastRow">
      <w:rPr>
        <w:b/>
        <w:color w:val="FFFFFF"/>
      </w:rPr>
      <w:tblPr/>
      <w:tcPr>
        <w:tcBorders>
          <w:top w:val="single" w:sz="6" w:space="0" w:color="FFFFFF"/>
        </w:tcBorders>
        <w:shd w:val="clear" w:color="auto" w:fill="2B4D74"/>
      </w:tcPr>
    </w:tblStylePr>
    <w:tblStylePr w:type="firstCol">
      <w:rPr>
        <w:color w:val="FFFFFF"/>
      </w:rPr>
      <w:tblPr/>
      <w:tcPr>
        <w:tcBorders>
          <w:top w:val="nil"/>
          <w:left w:val="nil"/>
          <w:bottom w:val="nil"/>
          <w:right w:val="nil"/>
          <w:insideH w:val="single" w:sz="4" w:space="0" w:color="2B4D74"/>
          <w:insideV w:val="nil"/>
        </w:tcBorders>
        <w:shd w:val="clear" w:color="auto" w:fill="2B4D74"/>
      </w:tcPr>
    </w:tblStylePr>
    <w:tblStylePr w:type="lastCol">
      <w:rPr>
        <w:color w:val="FFFFFF"/>
      </w:rPr>
      <w:tblPr/>
      <w:tcPr>
        <w:tcBorders>
          <w:top w:val="nil"/>
          <w:left w:val="nil"/>
          <w:bottom w:val="nil"/>
          <w:right w:val="nil"/>
          <w:insideH w:val="nil"/>
          <w:insideV w:val="nil"/>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2">
    <w:name w:val="2"/>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1">
    <w:name w:val="1"/>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character" w:customStyle="1" w:styleId="SinespaciadoCar">
    <w:name w:val="Sin espaciado Car"/>
    <w:link w:val="Sinespaciado"/>
    <w:uiPriority w:val="1"/>
    <w:rsid w:val="00176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28D79-7625-4A8F-8FF0-08BE1A400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1203</Words>
  <Characters>6621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dc:creator>
  <cp:lastModifiedBy>alix ardila</cp:lastModifiedBy>
  <cp:revision>15</cp:revision>
  <cp:lastPrinted>2020-09-23T16:21:00Z</cp:lastPrinted>
  <dcterms:created xsi:type="dcterms:W3CDTF">2020-11-03T13:22:00Z</dcterms:created>
  <dcterms:modified xsi:type="dcterms:W3CDTF">2020-11-05T20:33:00Z</dcterms:modified>
</cp:coreProperties>
</file>