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D557" w14:textId="77777777" w:rsidR="00672538" w:rsidRDefault="00672538" w:rsidP="00E55EFA">
      <w:pPr>
        <w:jc w:val="center"/>
        <w:rPr>
          <w:rFonts w:ascii="Georgia" w:eastAsia="Arial" w:hAnsi="Georgia" w:cs="Arial"/>
          <w:b/>
          <w:i/>
        </w:rPr>
      </w:pPr>
    </w:p>
    <w:p w14:paraId="26039072" w14:textId="3B0A4D37" w:rsidR="00E55EFA" w:rsidRPr="00905C7D" w:rsidRDefault="00E55EFA" w:rsidP="00E55EFA">
      <w:pPr>
        <w:jc w:val="center"/>
        <w:rPr>
          <w:rFonts w:ascii="Georgia" w:eastAsia="Arial" w:hAnsi="Georgia" w:cs="Arial"/>
          <w:b/>
          <w:i/>
          <w:sz w:val="22"/>
          <w:szCs w:val="22"/>
        </w:rPr>
      </w:pPr>
      <w:r w:rsidRPr="00905C7D">
        <w:rPr>
          <w:rFonts w:ascii="Georgia" w:eastAsia="Arial" w:hAnsi="Georgia" w:cs="Arial"/>
          <w:b/>
          <w:i/>
          <w:sz w:val="22"/>
          <w:szCs w:val="22"/>
        </w:rPr>
        <w:t>TEXTO APROBADO EN PRIMER DEBATE POR LA COMISIÓN TERCERA CONSTITUCIONAL PERMANENTE DE LA HONORABLE CÁMARA DE REP</w:t>
      </w:r>
      <w:r w:rsidR="0058533D" w:rsidRPr="00905C7D">
        <w:rPr>
          <w:rFonts w:ascii="Georgia" w:eastAsia="Arial" w:hAnsi="Georgia" w:cs="Arial"/>
          <w:b/>
          <w:i/>
          <w:sz w:val="22"/>
          <w:szCs w:val="22"/>
        </w:rPr>
        <w:t>RESENTA</w:t>
      </w:r>
      <w:r w:rsidR="0002051F" w:rsidRPr="00905C7D">
        <w:rPr>
          <w:rFonts w:ascii="Georgia" w:eastAsia="Arial" w:hAnsi="Georgia" w:cs="Arial"/>
          <w:b/>
          <w:i/>
          <w:sz w:val="22"/>
          <w:szCs w:val="22"/>
        </w:rPr>
        <w:t xml:space="preserve">NTES, EN SESIÓN FORMAL VIRTUAL </w:t>
      </w:r>
      <w:r w:rsidR="006E53A6">
        <w:rPr>
          <w:rFonts w:ascii="Georgia" w:eastAsia="Arial" w:hAnsi="Georgia" w:cs="Arial"/>
          <w:b/>
          <w:i/>
          <w:sz w:val="22"/>
          <w:szCs w:val="22"/>
        </w:rPr>
        <w:t>DEL DÍA MIÉRCOLES</w:t>
      </w:r>
      <w:r w:rsidR="005B4F79" w:rsidRPr="00905C7D">
        <w:rPr>
          <w:rFonts w:ascii="Georgia" w:eastAsia="Arial" w:hAnsi="Georgia" w:cs="Arial"/>
          <w:b/>
          <w:i/>
          <w:sz w:val="22"/>
          <w:szCs w:val="22"/>
        </w:rPr>
        <w:t xml:space="preserve"> </w:t>
      </w:r>
      <w:r w:rsidR="006E53A6">
        <w:rPr>
          <w:rFonts w:ascii="Georgia" w:eastAsia="Arial" w:hAnsi="Georgia" w:cs="Arial"/>
          <w:b/>
          <w:i/>
          <w:sz w:val="22"/>
          <w:szCs w:val="22"/>
        </w:rPr>
        <w:t>TREINTA</w:t>
      </w:r>
      <w:r w:rsidR="00116A89">
        <w:rPr>
          <w:rFonts w:ascii="Georgia" w:eastAsia="Arial" w:hAnsi="Georgia" w:cs="Arial"/>
          <w:b/>
          <w:i/>
          <w:sz w:val="22"/>
          <w:szCs w:val="22"/>
        </w:rPr>
        <w:t xml:space="preserve"> </w:t>
      </w:r>
      <w:r w:rsidR="006E53A6">
        <w:rPr>
          <w:rFonts w:ascii="Georgia" w:eastAsia="Arial" w:hAnsi="Georgia" w:cs="Arial"/>
          <w:b/>
          <w:i/>
          <w:sz w:val="22"/>
          <w:szCs w:val="22"/>
        </w:rPr>
        <w:t>(30</w:t>
      </w:r>
      <w:r w:rsidR="0058533D" w:rsidRPr="00905C7D">
        <w:rPr>
          <w:rFonts w:ascii="Georgia" w:eastAsia="Arial" w:hAnsi="Georgia" w:cs="Arial"/>
          <w:b/>
          <w:i/>
          <w:sz w:val="22"/>
          <w:szCs w:val="22"/>
        </w:rPr>
        <w:t>) DE SEPTIEMBRE</w:t>
      </w:r>
      <w:r w:rsidRPr="00905C7D">
        <w:rPr>
          <w:rFonts w:ascii="Georgia" w:eastAsia="Arial" w:hAnsi="Georgia" w:cs="Arial"/>
          <w:b/>
          <w:i/>
          <w:sz w:val="22"/>
          <w:szCs w:val="22"/>
        </w:rPr>
        <w:t xml:space="preserve"> DE DOS</w:t>
      </w:r>
      <w:r w:rsidR="0058533D" w:rsidRPr="00905C7D">
        <w:rPr>
          <w:rFonts w:ascii="Georgia" w:eastAsia="Arial" w:hAnsi="Georgia" w:cs="Arial"/>
          <w:b/>
          <w:i/>
          <w:sz w:val="22"/>
          <w:szCs w:val="22"/>
        </w:rPr>
        <w:t xml:space="preserve"> MIL VEINTE (2020</w:t>
      </w:r>
      <w:r w:rsidRPr="00905C7D">
        <w:rPr>
          <w:rFonts w:ascii="Georgia" w:eastAsia="Arial" w:hAnsi="Georgia" w:cs="Arial"/>
          <w:b/>
          <w:i/>
          <w:sz w:val="22"/>
          <w:szCs w:val="22"/>
        </w:rPr>
        <w:t>)</w:t>
      </w:r>
    </w:p>
    <w:p w14:paraId="69BB9E02" w14:textId="77777777" w:rsidR="00E55EFA" w:rsidRPr="00905C7D" w:rsidRDefault="00E55EFA" w:rsidP="00E55EFA">
      <w:pPr>
        <w:jc w:val="center"/>
        <w:rPr>
          <w:rFonts w:ascii="Georgia" w:hAnsi="Georgia" w:cs="Arial"/>
          <w:b/>
          <w:i/>
          <w:sz w:val="22"/>
          <w:szCs w:val="22"/>
        </w:rPr>
      </w:pPr>
    </w:p>
    <w:p w14:paraId="537B20B5" w14:textId="33FDCA96" w:rsidR="00682F31" w:rsidRPr="00905C7D" w:rsidRDefault="00682F31" w:rsidP="00E55EFA">
      <w:pPr>
        <w:jc w:val="center"/>
        <w:rPr>
          <w:rFonts w:ascii="Arial" w:hAnsi="Arial" w:cs="Arial"/>
          <w:b/>
          <w:i/>
          <w:sz w:val="22"/>
          <w:szCs w:val="22"/>
        </w:rPr>
      </w:pPr>
      <w:r w:rsidRPr="00905C7D">
        <w:rPr>
          <w:rFonts w:ascii="Arial" w:hAnsi="Arial" w:cs="Arial"/>
          <w:b/>
          <w:i/>
          <w:sz w:val="22"/>
          <w:szCs w:val="22"/>
        </w:rPr>
        <w:t xml:space="preserve">AL PROYECTO DE LEY </w:t>
      </w:r>
      <w:r w:rsidR="00036EAB">
        <w:rPr>
          <w:rFonts w:ascii="Arial" w:hAnsi="Arial" w:cs="Arial"/>
          <w:b/>
          <w:i/>
          <w:sz w:val="22"/>
          <w:szCs w:val="22"/>
        </w:rPr>
        <w:t>N°</w:t>
      </w:r>
      <w:r w:rsidR="006E53A6">
        <w:rPr>
          <w:rFonts w:ascii="Arial" w:hAnsi="Arial" w:cs="Arial"/>
          <w:b/>
          <w:i/>
          <w:sz w:val="22"/>
          <w:szCs w:val="22"/>
        </w:rPr>
        <w:t>. 285</w:t>
      </w:r>
      <w:r w:rsidR="0058533D" w:rsidRPr="00905C7D">
        <w:rPr>
          <w:rFonts w:ascii="Arial" w:hAnsi="Arial" w:cs="Arial"/>
          <w:b/>
          <w:i/>
          <w:sz w:val="22"/>
          <w:szCs w:val="22"/>
        </w:rPr>
        <w:t xml:space="preserve"> DE 2020</w:t>
      </w:r>
      <w:r w:rsidRPr="00905C7D">
        <w:rPr>
          <w:rFonts w:ascii="Arial" w:hAnsi="Arial" w:cs="Arial"/>
          <w:b/>
          <w:i/>
          <w:sz w:val="22"/>
          <w:szCs w:val="22"/>
        </w:rPr>
        <w:t xml:space="preserve"> CÁMARA</w:t>
      </w:r>
    </w:p>
    <w:p w14:paraId="78A5E1DF" w14:textId="3EC5742A" w:rsidR="00682F31" w:rsidRPr="00905C7D" w:rsidRDefault="00682F31" w:rsidP="00E55EFA">
      <w:pPr>
        <w:rPr>
          <w:rFonts w:ascii="Arial" w:hAnsi="Arial" w:cs="Arial"/>
          <w:b/>
          <w:i/>
          <w:sz w:val="22"/>
          <w:szCs w:val="22"/>
        </w:rPr>
      </w:pPr>
    </w:p>
    <w:p w14:paraId="0ED71A5B" w14:textId="52BA59AA" w:rsidR="00682F31" w:rsidRPr="00DD238B" w:rsidRDefault="006E53A6" w:rsidP="00BB5F37">
      <w:pPr>
        <w:jc w:val="center"/>
        <w:rPr>
          <w:rFonts w:ascii="Georgia" w:hAnsi="Georgia" w:cs="Arial"/>
          <w:b/>
          <w:i/>
        </w:rPr>
      </w:pPr>
      <w:r w:rsidRPr="00DD238B">
        <w:rPr>
          <w:rFonts w:ascii="Georgia" w:hAnsi="Georgia" w:cs="Arial"/>
          <w:b/>
          <w:i/>
        </w:rPr>
        <w:t>“Por la cual se amplían las autorizaciones conferidas al gobierno nacional para celebrar operaciones de crédito público externo e interno y operaciones asimiladas a las anteriores, así como para garantizar obligaciones de pago de otras entidades, y se dictan otras disposiciones</w:t>
      </w:r>
      <w:r w:rsidR="009274F0" w:rsidRPr="00DD238B">
        <w:rPr>
          <w:rFonts w:ascii="Georgia" w:hAnsi="Georgia" w:cs="Arial"/>
          <w:b/>
          <w:i/>
        </w:rPr>
        <w:t>”.</w:t>
      </w:r>
    </w:p>
    <w:p w14:paraId="3F71AED8" w14:textId="074D7B20" w:rsidR="00BB5F37" w:rsidRPr="00195E7F" w:rsidRDefault="00BB5F37" w:rsidP="00BB5F37">
      <w:pPr>
        <w:jc w:val="center"/>
        <w:rPr>
          <w:rFonts w:ascii="Arial" w:hAnsi="Arial" w:cs="Arial"/>
          <w:i/>
          <w:sz w:val="22"/>
          <w:szCs w:val="22"/>
        </w:rPr>
      </w:pPr>
    </w:p>
    <w:p w14:paraId="42792842" w14:textId="4A048D9B" w:rsidR="00BB5F37" w:rsidRPr="00905C7D" w:rsidRDefault="00BB5F37" w:rsidP="00BB5F37">
      <w:pPr>
        <w:jc w:val="center"/>
        <w:rPr>
          <w:rFonts w:ascii="Arial" w:hAnsi="Arial" w:cs="Arial"/>
          <w:i/>
          <w:sz w:val="22"/>
          <w:szCs w:val="22"/>
        </w:rPr>
      </w:pPr>
      <w:r w:rsidRPr="00905C7D">
        <w:rPr>
          <w:rFonts w:ascii="Arial" w:hAnsi="Arial" w:cs="Arial"/>
          <w:i/>
          <w:sz w:val="22"/>
          <w:szCs w:val="22"/>
        </w:rPr>
        <w:t>EL Congreso de Colombia</w:t>
      </w:r>
    </w:p>
    <w:p w14:paraId="2CBCB063" w14:textId="08C90292" w:rsidR="00CA1D09" w:rsidRPr="00905C7D" w:rsidRDefault="00CA1D09" w:rsidP="00CA1D09">
      <w:pPr>
        <w:rPr>
          <w:rFonts w:ascii="Arial" w:hAnsi="Arial" w:cs="Arial"/>
          <w:i/>
          <w:sz w:val="22"/>
          <w:szCs w:val="22"/>
        </w:rPr>
      </w:pPr>
    </w:p>
    <w:p w14:paraId="2BB95CE2" w14:textId="77878F81" w:rsidR="00BB5F37" w:rsidRDefault="00BB5F37" w:rsidP="00F90C53">
      <w:pPr>
        <w:jc w:val="center"/>
        <w:rPr>
          <w:rFonts w:ascii="Georgia" w:hAnsi="Georgia" w:cs="Arial"/>
          <w:i/>
          <w:sz w:val="22"/>
          <w:szCs w:val="22"/>
        </w:rPr>
      </w:pPr>
      <w:r w:rsidRPr="00905C7D">
        <w:rPr>
          <w:rFonts w:ascii="Georgia" w:hAnsi="Georgia" w:cs="Arial"/>
          <w:i/>
          <w:sz w:val="22"/>
          <w:szCs w:val="22"/>
        </w:rPr>
        <w:t>DECRETA:</w:t>
      </w:r>
    </w:p>
    <w:p w14:paraId="0EF59747" w14:textId="77777777" w:rsidR="001B1281" w:rsidRDefault="001B1281" w:rsidP="00F90C53">
      <w:pPr>
        <w:rPr>
          <w:rFonts w:ascii="Georgia" w:hAnsi="Georgia" w:cs="Arial"/>
          <w:b/>
          <w:i/>
          <w:sz w:val="22"/>
          <w:szCs w:val="22"/>
        </w:rPr>
      </w:pPr>
    </w:p>
    <w:p w14:paraId="269939FB" w14:textId="29E4B1A4" w:rsidR="00E06C49" w:rsidRDefault="00F90C53" w:rsidP="00F90C53">
      <w:pPr>
        <w:rPr>
          <w:rFonts w:ascii="Georgia" w:hAnsi="Georgia" w:cs="Arial"/>
          <w:i/>
          <w:sz w:val="22"/>
          <w:szCs w:val="22"/>
        </w:rPr>
      </w:pPr>
      <w:r w:rsidRPr="00F90C53">
        <w:rPr>
          <w:rFonts w:ascii="Georgia" w:hAnsi="Georgia" w:cs="Arial"/>
          <w:b/>
          <w:i/>
          <w:sz w:val="22"/>
          <w:szCs w:val="22"/>
        </w:rPr>
        <w:t>Artículo 1</w:t>
      </w:r>
      <w:r w:rsidR="00036EAB">
        <w:rPr>
          <w:rFonts w:ascii="Georgia" w:hAnsi="Georgia" w:cs="Arial"/>
          <w:b/>
          <w:i/>
          <w:sz w:val="22"/>
          <w:szCs w:val="22"/>
        </w:rPr>
        <w:t>°</w:t>
      </w:r>
      <w:r w:rsidRPr="00F90C53">
        <w:rPr>
          <w:rFonts w:ascii="Georgia" w:hAnsi="Georgia" w:cs="Arial"/>
          <w:b/>
          <w:i/>
          <w:sz w:val="22"/>
          <w:szCs w:val="22"/>
        </w:rPr>
        <w:t>. Ampliación de cupo de endeudamiento para la Nación.</w:t>
      </w:r>
      <w:r>
        <w:rPr>
          <w:rFonts w:ascii="Georgia" w:hAnsi="Georgia" w:cs="Arial"/>
          <w:b/>
          <w:i/>
          <w:sz w:val="22"/>
          <w:szCs w:val="22"/>
        </w:rPr>
        <w:t xml:space="preserve"> </w:t>
      </w:r>
      <w:r w:rsidRPr="00F90C53">
        <w:rPr>
          <w:rFonts w:ascii="Georgia" w:hAnsi="Georgia" w:cs="Arial"/>
          <w:i/>
          <w:sz w:val="22"/>
          <w:szCs w:val="22"/>
        </w:rPr>
        <w:t>Amplíese en catorce mil millones de dólares de los Est</w:t>
      </w:r>
      <w:r>
        <w:rPr>
          <w:rFonts w:ascii="Georgia" w:hAnsi="Georgia" w:cs="Arial"/>
          <w:i/>
          <w:sz w:val="22"/>
          <w:szCs w:val="22"/>
        </w:rPr>
        <w:t>a</w:t>
      </w:r>
      <w:r w:rsidRPr="00F90C53">
        <w:rPr>
          <w:rFonts w:ascii="Georgia" w:hAnsi="Georgia" w:cs="Arial"/>
          <w:i/>
          <w:sz w:val="22"/>
          <w:szCs w:val="22"/>
        </w:rPr>
        <w:t>dos Unidos de América (US$</w:t>
      </w:r>
      <w:r>
        <w:rPr>
          <w:rFonts w:ascii="Georgia" w:hAnsi="Georgia" w:cs="Arial"/>
          <w:i/>
          <w:sz w:val="22"/>
          <w:szCs w:val="22"/>
        </w:rPr>
        <w:t xml:space="preserve"> 14.000.000.000) o su equivalente en otras monedas, la</w:t>
      </w:r>
      <w:r w:rsidR="00036EAB">
        <w:rPr>
          <w:rFonts w:ascii="Georgia" w:hAnsi="Georgia" w:cs="Arial"/>
          <w:i/>
          <w:sz w:val="22"/>
          <w:szCs w:val="22"/>
        </w:rPr>
        <w:t>s autorizaciones conferidas al g</w:t>
      </w:r>
      <w:r>
        <w:rPr>
          <w:rFonts w:ascii="Georgia" w:hAnsi="Georgia" w:cs="Arial"/>
          <w:i/>
          <w:sz w:val="22"/>
          <w:szCs w:val="22"/>
        </w:rPr>
        <w:t>obierno nacional por el artículo primero de la Ley 1771 de 2015 y leyes anteriores, diferentes a las expresamente otorgadas por otras normas, para celebrar operaciones de crédito público externo, operaciones de crédito público interno, así como operaciones asimiladas a las anteriores, cuya destinación sea el financiamiento de apropiaciones del Presupuesto General de la Nación.</w:t>
      </w:r>
    </w:p>
    <w:p w14:paraId="69CF4CCB" w14:textId="77777777" w:rsidR="00036EAB" w:rsidRDefault="00036EAB" w:rsidP="00F90C53">
      <w:pPr>
        <w:rPr>
          <w:rFonts w:ascii="Georgia" w:hAnsi="Georgia" w:cs="Arial"/>
          <w:i/>
          <w:sz w:val="22"/>
          <w:szCs w:val="22"/>
        </w:rPr>
      </w:pPr>
    </w:p>
    <w:p w14:paraId="2C4EDEE1" w14:textId="0E40DF9D" w:rsidR="00F90C53" w:rsidRDefault="00F90C53" w:rsidP="00F90C53">
      <w:pPr>
        <w:rPr>
          <w:rFonts w:ascii="Georgia" w:hAnsi="Georgia" w:cs="Arial"/>
          <w:i/>
          <w:sz w:val="22"/>
          <w:szCs w:val="22"/>
        </w:rPr>
      </w:pPr>
      <w:r>
        <w:rPr>
          <w:rFonts w:ascii="Georgia" w:hAnsi="Georgia" w:cs="Arial"/>
          <w:i/>
          <w:sz w:val="22"/>
          <w:szCs w:val="22"/>
        </w:rPr>
        <w:t>Las autorizaciones conferidas por el presente artículo son distintas de las otorgadas por el artículo 2</w:t>
      </w:r>
      <w:r w:rsidR="00036EAB">
        <w:rPr>
          <w:rFonts w:ascii="Georgia" w:hAnsi="Georgia" w:cs="Arial"/>
          <w:i/>
          <w:sz w:val="22"/>
          <w:szCs w:val="22"/>
        </w:rPr>
        <w:t>°</w:t>
      </w:r>
      <w:r>
        <w:rPr>
          <w:rFonts w:ascii="Georgia" w:hAnsi="Georgia" w:cs="Arial"/>
          <w:i/>
          <w:sz w:val="22"/>
          <w:szCs w:val="22"/>
        </w:rPr>
        <w:t xml:space="preserve"> de la Ley 533 de 1999, el </w:t>
      </w:r>
      <w:r w:rsidR="00036EAB">
        <w:rPr>
          <w:rFonts w:ascii="Georgia" w:hAnsi="Georgia" w:cs="Arial"/>
          <w:i/>
          <w:sz w:val="22"/>
          <w:szCs w:val="22"/>
        </w:rPr>
        <w:t>artículo 2° de la Ley 1771 de 201</w:t>
      </w:r>
      <w:r>
        <w:rPr>
          <w:rFonts w:ascii="Georgia" w:hAnsi="Georgia" w:cs="Arial"/>
          <w:i/>
          <w:sz w:val="22"/>
          <w:szCs w:val="22"/>
        </w:rPr>
        <w:t>5 y el artículo 2 de la presente Ley.</w:t>
      </w:r>
      <w:r w:rsidR="007132F8">
        <w:rPr>
          <w:rFonts w:ascii="Georgia" w:hAnsi="Georgia" w:cs="Arial"/>
          <w:i/>
          <w:sz w:val="22"/>
          <w:szCs w:val="22"/>
        </w:rPr>
        <w:t xml:space="preserve"> En consecuencia, su ejercicio no incidirá en modo alguno en el de las otorgadas por dichas disposiciones.</w:t>
      </w:r>
    </w:p>
    <w:p w14:paraId="38CC5157" w14:textId="77777777" w:rsidR="007132F8" w:rsidRDefault="007132F8" w:rsidP="00F90C53">
      <w:pPr>
        <w:rPr>
          <w:rFonts w:ascii="Georgia" w:hAnsi="Georgia" w:cs="Arial"/>
          <w:i/>
          <w:sz w:val="22"/>
          <w:szCs w:val="22"/>
        </w:rPr>
      </w:pPr>
    </w:p>
    <w:p w14:paraId="3A619808" w14:textId="499B1FD8" w:rsidR="007132F8" w:rsidRDefault="007132F8" w:rsidP="00F90C53">
      <w:pPr>
        <w:rPr>
          <w:rFonts w:ascii="Georgia" w:hAnsi="Georgia" w:cs="Arial"/>
          <w:i/>
          <w:sz w:val="22"/>
          <w:szCs w:val="22"/>
        </w:rPr>
      </w:pPr>
      <w:r w:rsidRPr="007132F8">
        <w:rPr>
          <w:rFonts w:ascii="Georgia" w:hAnsi="Georgia" w:cs="Arial"/>
          <w:b/>
          <w:i/>
          <w:sz w:val="22"/>
          <w:szCs w:val="22"/>
        </w:rPr>
        <w:lastRenderedPageBreak/>
        <w:t>Artículo 2°. Ampliación del cupo de garantías de la Nación</w:t>
      </w:r>
      <w:r>
        <w:rPr>
          <w:rFonts w:ascii="Georgia" w:hAnsi="Georgia" w:cs="Arial"/>
          <w:i/>
          <w:sz w:val="22"/>
          <w:szCs w:val="22"/>
        </w:rPr>
        <w:t>. Amplíese en tres mil millones de dólares de los Estados Unidos d</w:t>
      </w:r>
      <w:r w:rsidR="00036EAB">
        <w:rPr>
          <w:rFonts w:ascii="Georgia" w:hAnsi="Georgia" w:cs="Arial"/>
          <w:i/>
          <w:sz w:val="22"/>
          <w:szCs w:val="22"/>
        </w:rPr>
        <w:t>e América (US$ 3.000.000.000) o</w:t>
      </w:r>
      <w:r>
        <w:rPr>
          <w:rFonts w:ascii="Georgia" w:hAnsi="Georgia" w:cs="Arial"/>
          <w:i/>
          <w:sz w:val="22"/>
          <w:szCs w:val="22"/>
        </w:rPr>
        <w:t xml:space="preserve"> su equivalente en otras monedas, la</w:t>
      </w:r>
      <w:r w:rsidR="00036EAB">
        <w:rPr>
          <w:rFonts w:ascii="Georgia" w:hAnsi="Georgia" w:cs="Arial"/>
          <w:i/>
          <w:sz w:val="22"/>
          <w:szCs w:val="22"/>
        </w:rPr>
        <w:t>s autorizaciones conferidas al gobierno n</w:t>
      </w:r>
      <w:r>
        <w:rPr>
          <w:rFonts w:ascii="Georgia" w:hAnsi="Georgia" w:cs="Arial"/>
          <w:i/>
          <w:sz w:val="22"/>
          <w:szCs w:val="22"/>
        </w:rPr>
        <w:t>acional por el artículo 2° de la Ley 1771 de 2015 y leyes anteriores, diferentes a las expresamente autorizadas por otras normas, para garantizar obligaciones de pago de otras entidades estatales conforme a la Ley.</w:t>
      </w:r>
    </w:p>
    <w:p w14:paraId="2E396153" w14:textId="77777777" w:rsidR="00D206E0" w:rsidRDefault="00D206E0" w:rsidP="00F90C53">
      <w:pPr>
        <w:rPr>
          <w:rFonts w:ascii="Georgia" w:hAnsi="Georgia" w:cs="Arial"/>
          <w:b/>
          <w:i/>
          <w:sz w:val="22"/>
          <w:szCs w:val="22"/>
        </w:rPr>
      </w:pPr>
    </w:p>
    <w:p w14:paraId="2055ED43" w14:textId="46EB6C32" w:rsidR="007132F8" w:rsidRDefault="007132F8" w:rsidP="00F90C53">
      <w:pPr>
        <w:rPr>
          <w:rFonts w:ascii="Georgia" w:hAnsi="Georgia" w:cs="Arial"/>
          <w:i/>
          <w:sz w:val="22"/>
          <w:szCs w:val="22"/>
        </w:rPr>
      </w:pPr>
      <w:r w:rsidRPr="007132F8">
        <w:rPr>
          <w:rFonts w:ascii="Georgia" w:hAnsi="Georgia" w:cs="Arial"/>
          <w:b/>
          <w:i/>
          <w:sz w:val="22"/>
          <w:szCs w:val="22"/>
        </w:rPr>
        <w:t>Artícul</w:t>
      </w:r>
      <w:r w:rsidR="00036EAB">
        <w:rPr>
          <w:rFonts w:ascii="Georgia" w:hAnsi="Georgia" w:cs="Arial"/>
          <w:b/>
          <w:i/>
          <w:sz w:val="22"/>
          <w:szCs w:val="22"/>
        </w:rPr>
        <w:t>o 3°. Afectaciones del cupo de e</w:t>
      </w:r>
      <w:r w:rsidRPr="007132F8">
        <w:rPr>
          <w:rFonts w:ascii="Georgia" w:hAnsi="Georgia" w:cs="Arial"/>
          <w:b/>
          <w:i/>
          <w:sz w:val="22"/>
          <w:szCs w:val="22"/>
        </w:rPr>
        <w:t>ndeudamiento para la Nación.</w:t>
      </w:r>
      <w:r>
        <w:rPr>
          <w:rFonts w:ascii="Georgia" w:hAnsi="Georgia" w:cs="Arial"/>
          <w:b/>
          <w:i/>
          <w:sz w:val="22"/>
          <w:szCs w:val="22"/>
        </w:rPr>
        <w:t xml:space="preserve"> </w:t>
      </w:r>
      <w:r w:rsidRPr="007132F8">
        <w:rPr>
          <w:rFonts w:ascii="Georgia" w:hAnsi="Georgia" w:cs="Arial"/>
          <w:i/>
          <w:sz w:val="22"/>
          <w:szCs w:val="22"/>
        </w:rPr>
        <w:t>El Ministerio de Hacienda y Crédito Público – Dirección General</w:t>
      </w:r>
      <w:r>
        <w:rPr>
          <w:rFonts w:ascii="Georgia" w:hAnsi="Georgia" w:cs="Arial"/>
          <w:i/>
          <w:sz w:val="22"/>
          <w:szCs w:val="22"/>
        </w:rPr>
        <w:t xml:space="preserve"> de Crédito Público y Tesoro Nacional, afectará las autorizaciones conferidas por los artículos 1</w:t>
      </w:r>
      <w:r w:rsidR="00D206E0">
        <w:rPr>
          <w:rFonts w:ascii="Georgia" w:hAnsi="Georgia" w:cs="Arial"/>
          <w:i/>
          <w:sz w:val="22"/>
          <w:szCs w:val="22"/>
        </w:rPr>
        <w:t>º</w:t>
      </w:r>
      <w:r>
        <w:rPr>
          <w:rFonts w:ascii="Georgia" w:hAnsi="Georgia" w:cs="Arial"/>
          <w:i/>
          <w:sz w:val="22"/>
          <w:szCs w:val="22"/>
        </w:rPr>
        <w:t xml:space="preserve"> </w:t>
      </w:r>
      <w:proofErr w:type="gramStart"/>
      <w:r w:rsidR="00D206E0">
        <w:rPr>
          <w:rFonts w:ascii="Georgia" w:hAnsi="Georgia" w:cs="Arial"/>
          <w:i/>
          <w:sz w:val="22"/>
          <w:szCs w:val="22"/>
        </w:rPr>
        <w:t xml:space="preserve">y </w:t>
      </w:r>
      <w:r w:rsidR="00036EAB">
        <w:rPr>
          <w:rFonts w:ascii="Georgia" w:hAnsi="Georgia" w:cs="Arial"/>
          <w:i/>
          <w:sz w:val="22"/>
          <w:szCs w:val="22"/>
        </w:rPr>
        <w:t xml:space="preserve"> 2º</w:t>
      </w:r>
      <w:proofErr w:type="gramEnd"/>
      <w:r>
        <w:rPr>
          <w:rFonts w:ascii="Georgia" w:hAnsi="Georgia" w:cs="Arial"/>
          <w:i/>
          <w:sz w:val="22"/>
          <w:szCs w:val="22"/>
        </w:rPr>
        <w:t xml:space="preserve">  de la presente Ley en la fecha en que se celebre el contrato de préstamo. Sin embargo, cuando se trate de emisión </w:t>
      </w:r>
      <w:r w:rsidR="00D206E0">
        <w:rPr>
          <w:rFonts w:ascii="Georgia" w:hAnsi="Georgia" w:cs="Arial"/>
          <w:i/>
          <w:sz w:val="22"/>
          <w:szCs w:val="22"/>
        </w:rPr>
        <w:t>y colocación de títulos de deuda pública por parte de la Nación las autorizaciones conferidas se afectarán en la fecha de colocación de los mismos y, en el caso de las líneas contingentes de crédito contratadas por la Nación, su afectación se realizará en la fecha en que se solicite el desembolso.</w:t>
      </w:r>
    </w:p>
    <w:p w14:paraId="37D4B31F" w14:textId="77777777" w:rsidR="00D206E0" w:rsidRDefault="00D206E0" w:rsidP="00F90C53">
      <w:pPr>
        <w:rPr>
          <w:rFonts w:ascii="Georgia" w:hAnsi="Georgia" w:cs="Arial"/>
          <w:b/>
          <w:i/>
          <w:sz w:val="22"/>
          <w:szCs w:val="22"/>
        </w:rPr>
      </w:pPr>
    </w:p>
    <w:p w14:paraId="65908626" w14:textId="20F2A9C4" w:rsidR="00D206E0" w:rsidRDefault="00D206E0" w:rsidP="00F90C53">
      <w:pPr>
        <w:rPr>
          <w:rFonts w:ascii="Georgia" w:hAnsi="Georgia" w:cs="Arial"/>
          <w:i/>
          <w:sz w:val="22"/>
          <w:szCs w:val="22"/>
        </w:rPr>
      </w:pPr>
      <w:r w:rsidRPr="00D206E0">
        <w:rPr>
          <w:rFonts w:ascii="Georgia" w:hAnsi="Georgia" w:cs="Arial"/>
          <w:b/>
          <w:i/>
          <w:sz w:val="22"/>
          <w:szCs w:val="22"/>
        </w:rPr>
        <w:t xml:space="preserve">Artículo 4°. Definición de los Marcos de Referencia de Bonos de Deuda Pública para el Financiamiento del Desarrollo Sostenible. </w:t>
      </w:r>
      <w:r w:rsidRPr="00D206E0">
        <w:rPr>
          <w:rFonts w:ascii="Georgia" w:hAnsi="Georgia" w:cs="Arial"/>
          <w:i/>
          <w:sz w:val="22"/>
          <w:szCs w:val="22"/>
        </w:rPr>
        <w:t xml:space="preserve">El Ministerio de Hacienda y Crédito Público será </w:t>
      </w:r>
      <w:r>
        <w:rPr>
          <w:rFonts w:ascii="Georgia" w:hAnsi="Georgia" w:cs="Arial"/>
          <w:i/>
          <w:sz w:val="22"/>
          <w:szCs w:val="22"/>
        </w:rPr>
        <w:t>el encargado de elaborar y adoptar mediante acto administrativo los marcos de referencia para la emisión de bonos temáticos de deuda pública a nombre de la Nación, como son los bonos verdes, bonos sociales, bonos sostenibles, bonos azules</w:t>
      </w:r>
      <w:r w:rsidR="004A5D05">
        <w:rPr>
          <w:rFonts w:ascii="Georgia" w:hAnsi="Georgia" w:cs="Arial"/>
          <w:i/>
          <w:sz w:val="22"/>
          <w:szCs w:val="22"/>
        </w:rPr>
        <w:t xml:space="preserve"> y</w:t>
      </w:r>
      <w:r>
        <w:rPr>
          <w:rFonts w:ascii="Georgia" w:hAnsi="Georgia" w:cs="Arial"/>
          <w:i/>
          <w:sz w:val="22"/>
          <w:szCs w:val="22"/>
        </w:rPr>
        <w:t xml:space="preserve"> todos aquellos bonos de similar naturaleza, relacionados con gastos para impulsar el desarrollo sostenible que se encuentren contemplados en el Presupuesto General de la Nación.</w:t>
      </w:r>
    </w:p>
    <w:p w14:paraId="6ADD8F58" w14:textId="50D11310" w:rsidR="00D206E0" w:rsidRDefault="00D206E0" w:rsidP="00F90C53">
      <w:pPr>
        <w:rPr>
          <w:rFonts w:ascii="Georgia" w:hAnsi="Georgia" w:cs="Arial"/>
          <w:i/>
          <w:sz w:val="22"/>
          <w:szCs w:val="22"/>
        </w:rPr>
      </w:pPr>
    </w:p>
    <w:p w14:paraId="7FD51C75" w14:textId="0EB0C752" w:rsidR="00D206E0" w:rsidRPr="001A62DE" w:rsidRDefault="00D206E0" w:rsidP="00F90C53">
      <w:pPr>
        <w:rPr>
          <w:rFonts w:ascii="Georgia" w:hAnsi="Georgia" w:cs="Arial"/>
          <w:i/>
          <w:sz w:val="22"/>
          <w:szCs w:val="22"/>
        </w:rPr>
      </w:pPr>
      <w:r w:rsidRPr="00D206E0">
        <w:rPr>
          <w:rFonts w:ascii="Georgia" w:hAnsi="Georgia" w:cs="Arial"/>
          <w:b/>
          <w:i/>
          <w:sz w:val="22"/>
          <w:szCs w:val="22"/>
        </w:rPr>
        <w:t>Artículo 5°. Vigencia.</w:t>
      </w:r>
      <w:r>
        <w:rPr>
          <w:rFonts w:ascii="Georgia" w:hAnsi="Georgia" w:cs="Arial"/>
          <w:b/>
          <w:i/>
          <w:sz w:val="22"/>
          <w:szCs w:val="22"/>
        </w:rPr>
        <w:t xml:space="preserve"> </w:t>
      </w:r>
      <w:r w:rsidRPr="001A62DE">
        <w:rPr>
          <w:rFonts w:ascii="Georgia" w:hAnsi="Georgia" w:cs="Arial"/>
          <w:i/>
          <w:sz w:val="22"/>
          <w:szCs w:val="22"/>
        </w:rPr>
        <w:t>La presente Ley rige a partir de la fecha de su promulgación.</w:t>
      </w:r>
    </w:p>
    <w:p w14:paraId="30B2D412" w14:textId="77777777" w:rsidR="00D206E0" w:rsidRPr="001A62DE" w:rsidRDefault="00D206E0" w:rsidP="00F90C53">
      <w:pPr>
        <w:rPr>
          <w:rFonts w:ascii="Georgia" w:hAnsi="Georgia" w:cs="Arial"/>
          <w:i/>
          <w:sz w:val="22"/>
          <w:szCs w:val="22"/>
        </w:rPr>
      </w:pPr>
    </w:p>
    <w:p w14:paraId="6221C888" w14:textId="7BE5D4C7" w:rsidR="00537D97" w:rsidRPr="006E53A6" w:rsidRDefault="00D34EFA" w:rsidP="00682F31">
      <w:pPr>
        <w:rPr>
          <w:rFonts w:ascii="Georgia" w:hAnsi="Georgia" w:cs="Arial"/>
          <w:b/>
          <w:i/>
        </w:rPr>
      </w:pPr>
      <w:r w:rsidRPr="00905C7D">
        <w:rPr>
          <w:rFonts w:ascii="Georgia" w:hAnsi="Georgia" w:cs="Arial"/>
          <w:b/>
          <w:i/>
          <w:sz w:val="22"/>
          <w:szCs w:val="22"/>
        </w:rPr>
        <w:t xml:space="preserve">CÁMARA DE </w:t>
      </w:r>
      <w:r w:rsidR="00DD0536" w:rsidRPr="00905C7D">
        <w:rPr>
          <w:rFonts w:ascii="Georgia" w:hAnsi="Georgia" w:cs="Arial"/>
          <w:b/>
          <w:i/>
          <w:sz w:val="22"/>
          <w:szCs w:val="22"/>
        </w:rPr>
        <w:t>REPRESENTANTES. -</w:t>
      </w:r>
      <w:r w:rsidRPr="00905C7D">
        <w:rPr>
          <w:rFonts w:ascii="Georgia" w:hAnsi="Georgia" w:cs="Arial"/>
          <w:b/>
          <w:i/>
          <w:sz w:val="22"/>
          <w:szCs w:val="22"/>
        </w:rPr>
        <w:t xml:space="preserve"> </w:t>
      </w:r>
      <w:r w:rsidR="00E55EFA" w:rsidRPr="00905C7D">
        <w:rPr>
          <w:rFonts w:ascii="Georgia" w:hAnsi="Georgia" w:cs="Arial"/>
          <w:b/>
          <w:i/>
          <w:sz w:val="22"/>
          <w:szCs w:val="22"/>
        </w:rPr>
        <w:t>COMISIÓN TE</w:t>
      </w:r>
      <w:r w:rsidRPr="00905C7D">
        <w:rPr>
          <w:rFonts w:ascii="Georgia" w:hAnsi="Georgia" w:cs="Arial"/>
          <w:b/>
          <w:i/>
          <w:sz w:val="22"/>
          <w:szCs w:val="22"/>
        </w:rPr>
        <w:t xml:space="preserve">RCERA CONSTITUCIONAL </w:t>
      </w:r>
      <w:r w:rsidR="00DD0536" w:rsidRPr="00905C7D">
        <w:rPr>
          <w:rFonts w:ascii="Georgia" w:hAnsi="Georgia" w:cs="Arial"/>
          <w:b/>
          <w:i/>
          <w:sz w:val="22"/>
          <w:szCs w:val="22"/>
        </w:rPr>
        <w:t>PERMANENTE. -</w:t>
      </w:r>
      <w:r w:rsidR="008F792A" w:rsidRPr="00905C7D">
        <w:rPr>
          <w:rFonts w:ascii="Georgia" w:hAnsi="Georgia" w:cs="Arial"/>
          <w:b/>
          <w:i/>
          <w:sz w:val="22"/>
          <w:szCs w:val="22"/>
        </w:rPr>
        <w:t xml:space="preserve"> ASUNTOS ECONÓMICOS.</w:t>
      </w:r>
      <w:r w:rsidR="00E55EFA" w:rsidRPr="00905C7D">
        <w:rPr>
          <w:rFonts w:ascii="Georgia" w:hAnsi="Georgia" w:cs="Arial"/>
          <w:b/>
          <w:i/>
          <w:sz w:val="22"/>
          <w:szCs w:val="22"/>
        </w:rPr>
        <w:t xml:space="preserve"> </w:t>
      </w:r>
      <w:r w:rsidR="006E53A6">
        <w:rPr>
          <w:rFonts w:ascii="Georgia" w:hAnsi="Georgia" w:cs="Arial"/>
          <w:i/>
          <w:sz w:val="22"/>
          <w:szCs w:val="22"/>
        </w:rPr>
        <w:t>Septiembre treinta (30</w:t>
      </w:r>
      <w:r w:rsidR="00E55EFA" w:rsidRPr="00905C7D">
        <w:rPr>
          <w:rFonts w:ascii="Georgia" w:hAnsi="Georgia" w:cs="Arial"/>
          <w:i/>
          <w:sz w:val="22"/>
          <w:szCs w:val="22"/>
        </w:rPr>
        <w:t xml:space="preserve">) de dos mil </w:t>
      </w:r>
      <w:r w:rsidR="001178EF" w:rsidRPr="00905C7D">
        <w:rPr>
          <w:rFonts w:ascii="Georgia" w:hAnsi="Georgia" w:cs="Arial"/>
          <w:i/>
          <w:sz w:val="22"/>
          <w:szCs w:val="22"/>
        </w:rPr>
        <w:t>veinte (</w:t>
      </w:r>
      <w:r w:rsidR="00DD0536" w:rsidRPr="00905C7D">
        <w:rPr>
          <w:rFonts w:ascii="Georgia" w:hAnsi="Georgia" w:cs="Arial"/>
          <w:i/>
          <w:sz w:val="22"/>
          <w:szCs w:val="22"/>
        </w:rPr>
        <w:t>2020</w:t>
      </w:r>
      <w:r w:rsidR="00DD0536">
        <w:rPr>
          <w:rFonts w:ascii="Georgia" w:hAnsi="Georgia" w:cs="Arial"/>
          <w:i/>
          <w:sz w:val="22"/>
          <w:szCs w:val="22"/>
        </w:rPr>
        <w:t>). -</w:t>
      </w:r>
      <w:r w:rsidR="00E55EFA" w:rsidRPr="00905C7D">
        <w:rPr>
          <w:rFonts w:ascii="Georgia" w:hAnsi="Georgia" w:cs="Arial"/>
          <w:i/>
          <w:sz w:val="22"/>
          <w:szCs w:val="22"/>
        </w:rPr>
        <w:t xml:space="preserve"> </w:t>
      </w:r>
      <w:r w:rsidR="008F792A" w:rsidRPr="00905C7D">
        <w:rPr>
          <w:rFonts w:ascii="Georgia" w:hAnsi="Georgia" w:cs="Arial"/>
          <w:i/>
          <w:sz w:val="22"/>
          <w:szCs w:val="22"/>
        </w:rPr>
        <w:t xml:space="preserve">En Sesión de la fecha </w:t>
      </w:r>
      <w:r w:rsidR="00F41D7B" w:rsidRPr="00905C7D">
        <w:rPr>
          <w:rFonts w:ascii="Georgia" w:hAnsi="Georgia" w:cs="Arial"/>
          <w:i/>
          <w:sz w:val="22"/>
          <w:szCs w:val="22"/>
        </w:rPr>
        <w:t xml:space="preserve">fue aprobado en </w:t>
      </w:r>
      <w:r w:rsidR="004A5D05">
        <w:rPr>
          <w:rFonts w:ascii="Georgia" w:hAnsi="Georgia" w:cs="Arial"/>
          <w:i/>
          <w:sz w:val="22"/>
          <w:szCs w:val="22"/>
        </w:rPr>
        <w:t>primer d</w:t>
      </w:r>
      <w:r w:rsidR="00537D97" w:rsidRPr="00905C7D">
        <w:rPr>
          <w:rFonts w:ascii="Georgia" w:hAnsi="Georgia" w:cs="Arial"/>
          <w:i/>
          <w:sz w:val="22"/>
          <w:szCs w:val="22"/>
        </w:rPr>
        <w:t>ebate en los términos anter</w:t>
      </w:r>
      <w:r w:rsidR="004A5D05">
        <w:rPr>
          <w:rFonts w:ascii="Georgia" w:hAnsi="Georgia" w:cs="Arial"/>
          <w:i/>
          <w:sz w:val="22"/>
          <w:szCs w:val="22"/>
        </w:rPr>
        <w:t>iores y sin modificaciones, el proyecto de ley N°</w:t>
      </w:r>
      <w:r w:rsidR="001178EF" w:rsidRPr="00905C7D">
        <w:rPr>
          <w:rFonts w:ascii="Georgia" w:hAnsi="Georgia" w:cs="Arial"/>
          <w:i/>
          <w:sz w:val="22"/>
          <w:szCs w:val="22"/>
        </w:rPr>
        <w:t xml:space="preserve">. </w:t>
      </w:r>
      <w:r w:rsidR="006E53A6">
        <w:rPr>
          <w:rFonts w:ascii="Georgia" w:hAnsi="Georgia" w:cs="Arial"/>
          <w:i/>
          <w:sz w:val="22"/>
          <w:szCs w:val="22"/>
        </w:rPr>
        <w:t xml:space="preserve">285 de 2020 Cámara </w:t>
      </w:r>
      <w:r w:rsidR="006E53A6" w:rsidRPr="00195E7F">
        <w:rPr>
          <w:rFonts w:ascii="Georgia" w:hAnsi="Georgia" w:cs="Arial"/>
          <w:i/>
        </w:rPr>
        <w:t>“Por la cual</w:t>
      </w:r>
      <w:r w:rsidR="004A5D05">
        <w:rPr>
          <w:rFonts w:ascii="Georgia" w:hAnsi="Georgia" w:cs="Arial"/>
          <w:i/>
        </w:rPr>
        <w:t xml:space="preserve"> se amplían las autorizaciones </w:t>
      </w:r>
      <w:r w:rsidR="006E53A6" w:rsidRPr="00195E7F">
        <w:rPr>
          <w:rFonts w:ascii="Georgia" w:hAnsi="Georgia" w:cs="Arial"/>
          <w:i/>
        </w:rPr>
        <w:t xml:space="preserve">conferidas al gobierno nacional para celebrar operaciones de crédito público externo e interno y operaciones asimiladas a las </w:t>
      </w:r>
      <w:r w:rsidR="006E53A6" w:rsidRPr="00195E7F">
        <w:rPr>
          <w:rFonts w:ascii="Georgia" w:hAnsi="Georgia" w:cs="Arial"/>
          <w:i/>
        </w:rPr>
        <w:lastRenderedPageBreak/>
        <w:t>anteriores, así como para garantizar obligaciones de pago de otras entidades, y se dictan otras disposiciones</w:t>
      </w:r>
      <w:r w:rsidR="006E53A6">
        <w:rPr>
          <w:rFonts w:ascii="Georgia" w:hAnsi="Georgia" w:cs="Arial"/>
          <w:b/>
          <w:i/>
        </w:rPr>
        <w:t>”</w:t>
      </w:r>
      <w:r w:rsidR="001178EF" w:rsidRPr="00905C7D">
        <w:rPr>
          <w:rFonts w:ascii="Arial" w:hAnsi="Arial" w:cs="Arial"/>
          <w:b/>
          <w:i/>
          <w:sz w:val="22"/>
          <w:szCs w:val="22"/>
        </w:rPr>
        <w:t>,</w:t>
      </w:r>
      <w:r w:rsidR="001178EF" w:rsidRPr="00905C7D">
        <w:rPr>
          <w:rFonts w:ascii="Georgia" w:hAnsi="Georgia" w:cs="Arial"/>
          <w:b/>
          <w:i/>
          <w:sz w:val="22"/>
          <w:szCs w:val="22"/>
        </w:rPr>
        <w:t xml:space="preserve"> </w:t>
      </w:r>
      <w:r w:rsidR="00537D97" w:rsidRPr="00905C7D">
        <w:rPr>
          <w:rFonts w:ascii="Georgia" w:hAnsi="Georgia" w:cs="Arial"/>
          <w:i/>
          <w:sz w:val="22"/>
          <w:szCs w:val="22"/>
        </w:rPr>
        <w:t>previo anuncio de</w:t>
      </w:r>
      <w:r w:rsidR="001178EF" w:rsidRPr="00905C7D">
        <w:rPr>
          <w:rFonts w:ascii="Georgia" w:hAnsi="Georgia" w:cs="Arial"/>
          <w:i/>
          <w:sz w:val="22"/>
          <w:szCs w:val="22"/>
        </w:rPr>
        <w:t xml:space="preserve"> su votación en </w:t>
      </w:r>
      <w:r w:rsidR="006E53A6">
        <w:rPr>
          <w:rFonts w:ascii="Georgia" w:hAnsi="Georgia" w:cs="Arial"/>
          <w:i/>
          <w:sz w:val="22"/>
          <w:szCs w:val="22"/>
        </w:rPr>
        <w:t xml:space="preserve">Sesión Formal </w:t>
      </w:r>
      <w:proofErr w:type="gramStart"/>
      <w:r w:rsidR="006E53A6">
        <w:rPr>
          <w:rFonts w:ascii="Georgia" w:hAnsi="Georgia" w:cs="Arial"/>
          <w:i/>
          <w:sz w:val="22"/>
          <w:szCs w:val="22"/>
        </w:rPr>
        <w:t>Virtual  el</w:t>
      </w:r>
      <w:proofErr w:type="gramEnd"/>
      <w:r w:rsidR="006E53A6">
        <w:rPr>
          <w:rFonts w:ascii="Georgia" w:hAnsi="Georgia" w:cs="Arial"/>
          <w:i/>
          <w:sz w:val="22"/>
          <w:szCs w:val="22"/>
        </w:rPr>
        <w:t xml:space="preserve"> día</w:t>
      </w:r>
      <w:r w:rsidR="001A62DE">
        <w:rPr>
          <w:rFonts w:ascii="Georgia" w:hAnsi="Georgia" w:cs="Arial"/>
          <w:i/>
          <w:sz w:val="22"/>
          <w:szCs w:val="22"/>
        </w:rPr>
        <w:t xml:space="preserve"> veintinueve</w:t>
      </w:r>
      <w:r w:rsidR="006E53A6">
        <w:rPr>
          <w:rFonts w:ascii="Georgia" w:hAnsi="Georgia" w:cs="Arial"/>
          <w:i/>
          <w:sz w:val="22"/>
          <w:szCs w:val="22"/>
        </w:rPr>
        <w:t xml:space="preserve"> </w:t>
      </w:r>
      <w:r w:rsidR="001A62DE">
        <w:rPr>
          <w:rFonts w:ascii="Georgia" w:hAnsi="Georgia" w:cs="Arial"/>
          <w:i/>
          <w:sz w:val="22"/>
          <w:szCs w:val="22"/>
        </w:rPr>
        <w:t>(</w:t>
      </w:r>
      <w:r w:rsidR="006E53A6">
        <w:rPr>
          <w:rFonts w:ascii="Georgia" w:hAnsi="Georgia" w:cs="Arial"/>
          <w:i/>
          <w:sz w:val="22"/>
          <w:szCs w:val="22"/>
        </w:rPr>
        <w:t>29</w:t>
      </w:r>
      <w:r w:rsidR="001A62DE">
        <w:rPr>
          <w:rFonts w:ascii="Georgia" w:hAnsi="Georgia" w:cs="Arial"/>
          <w:i/>
          <w:sz w:val="22"/>
          <w:szCs w:val="22"/>
        </w:rPr>
        <w:t>)</w:t>
      </w:r>
      <w:r w:rsidR="001178EF" w:rsidRPr="00905C7D">
        <w:rPr>
          <w:rFonts w:ascii="Georgia" w:hAnsi="Georgia" w:cs="Arial"/>
          <w:i/>
          <w:sz w:val="22"/>
          <w:szCs w:val="22"/>
        </w:rPr>
        <w:t xml:space="preserve"> de septiembre de </w:t>
      </w:r>
      <w:r w:rsidR="004A5D05">
        <w:rPr>
          <w:rFonts w:ascii="Georgia" w:hAnsi="Georgia" w:cs="Arial"/>
          <w:i/>
          <w:sz w:val="22"/>
          <w:szCs w:val="22"/>
        </w:rPr>
        <w:t>dos mil veinte (</w:t>
      </w:r>
      <w:r w:rsidR="001178EF" w:rsidRPr="00905C7D">
        <w:rPr>
          <w:rFonts w:ascii="Georgia" w:hAnsi="Georgia" w:cs="Arial"/>
          <w:i/>
          <w:sz w:val="22"/>
          <w:szCs w:val="22"/>
        </w:rPr>
        <w:t>2020</w:t>
      </w:r>
      <w:r w:rsidR="004A5D05">
        <w:rPr>
          <w:rFonts w:ascii="Georgia" w:hAnsi="Georgia" w:cs="Arial"/>
          <w:i/>
          <w:sz w:val="22"/>
          <w:szCs w:val="22"/>
        </w:rPr>
        <w:t>)</w:t>
      </w:r>
      <w:r w:rsidR="00537D97" w:rsidRPr="00905C7D">
        <w:rPr>
          <w:rFonts w:ascii="Georgia" w:hAnsi="Georgia" w:cs="Arial"/>
          <w:i/>
          <w:sz w:val="22"/>
          <w:szCs w:val="22"/>
        </w:rPr>
        <w:t>, en cumplimiento al artículo 8º del Acto Legislativo 01 de 2003.</w:t>
      </w:r>
    </w:p>
    <w:p w14:paraId="60AC668E" w14:textId="77777777" w:rsidR="004A5D05" w:rsidRDefault="004A5D05" w:rsidP="00682F31">
      <w:pPr>
        <w:rPr>
          <w:rFonts w:ascii="Georgia" w:hAnsi="Georgia" w:cs="Arial"/>
          <w:i/>
          <w:sz w:val="22"/>
          <w:szCs w:val="22"/>
        </w:rPr>
      </w:pPr>
    </w:p>
    <w:p w14:paraId="23F71E22" w14:textId="210DD359" w:rsidR="00E55EFA" w:rsidRPr="00905C7D" w:rsidRDefault="00537D97" w:rsidP="00682F31">
      <w:pPr>
        <w:rPr>
          <w:rFonts w:ascii="Georgia" w:hAnsi="Georgia" w:cs="Arial"/>
          <w:i/>
          <w:sz w:val="22"/>
          <w:szCs w:val="22"/>
        </w:rPr>
      </w:pPr>
      <w:r w:rsidRPr="00905C7D">
        <w:rPr>
          <w:rFonts w:ascii="Georgia" w:hAnsi="Georgia" w:cs="Arial"/>
          <w:i/>
          <w:sz w:val="22"/>
          <w:szCs w:val="22"/>
        </w:rPr>
        <w:t>Lo anteri</w:t>
      </w:r>
      <w:r w:rsidR="004A5D05">
        <w:rPr>
          <w:rFonts w:ascii="Georgia" w:hAnsi="Georgia" w:cs="Arial"/>
          <w:i/>
          <w:sz w:val="22"/>
          <w:szCs w:val="22"/>
        </w:rPr>
        <w:t>or con el fin de que el citado proyecto de l</w:t>
      </w:r>
      <w:r w:rsidRPr="00905C7D">
        <w:rPr>
          <w:rFonts w:ascii="Georgia" w:hAnsi="Georgia" w:cs="Arial"/>
          <w:i/>
          <w:sz w:val="22"/>
          <w:szCs w:val="22"/>
        </w:rPr>
        <w:t>ey siga su curso legal en Segundo Debate en la Plenaria de la Cámara de Representantes.</w:t>
      </w:r>
    </w:p>
    <w:p w14:paraId="15BC88D2" w14:textId="2270A050" w:rsidR="00537D97" w:rsidRPr="00905C7D" w:rsidRDefault="00537D97" w:rsidP="00682F31">
      <w:pPr>
        <w:rPr>
          <w:rFonts w:ascii="Georgia" w:hAnsi="Georgia" w:cs="Arial"/>
          <w:i/>
          <w:sz w:val="22"/>
          <w:szCs w:val="22"/>
        </w:rPr>
      </w:pPr>
    </w:p>
    <w:p w14:paraId="55C2D4F5" w14:textId="5D687132" w:rsidR="00537D97" w:rsidRPr="00905C7D" w:rsidRDefault="00537D97" w:rsidP="00682F31">
      <w:pPr>
        <w:rPr>
          <w:rFonts w:ascii="Georgia" w:hAnsi="Georgia" w:cs="Arial"/>
          <w:i/>
          <w:sz w:val="22"/>
          <w:szCs w:val="22"/>
        </w:rPr>
      </w:pPr>
    </w:p>
    <w:p w14:paraId="0ACB624F" w14:textId="57E68991" w:rsidR="00537D97" w:rsidRPr="00905C7D" w:rsidRDefault="00537D97" w:rsidP="00682F31">
      <w:pPr>
        <w:rPr>
          <w:rFonts w:ascii="Georgia" w:hAnsi="Georgia" w:cs="Arial"/>
          <w:i/>
          <w:sz w:val="22"/>
          <w:szCs w:val="22"/>
        </w:rPr>
      </w:pPr>
    </w:p>
    <w:p w14:paraId="36C35882" w14:textId="07639A54" w:rsidR="00537D97" w:rsidRPr="00905C7D" w:rsidRDefault="001178EF" w:rsidP="00905C7D">
      <w:pPr>
        <w:jc w:val="center"/>
        <w:rPr>
          <w:rFonts w:ascii="Georgia" w:hAnsi="Georgia" w:cs="Arial"/>
          <w:b/>
          <w:i/>
          <w:sz w:val="22"/>
          <w:szCs w:val="22"/>
        </w:rPr>
      </w:pPr>
      <w:r w:rsidRPr="00905C7D">
        <w:rPr>
          <w:rFonts w:ascii="Georgia" w:hAnsi="Georgia" w:cs="Arial"/>
          <w:b/>
          <w:i/>
          <w:sz w:val="22"/>
          <w:szCs w:val="22"/>
        </w:rPr>
        <w:t xml:space="preserve">NÉSTOR LEONARDO RICO </w:t>
      </w:r>
      <w:proofErr w:type="spellStart"/>
      <w:r w:rsidRPr="00905C7D">
        <w:rPr>
          <w:rFonts w:ascii="Georgia" w:hAnsi="Georgia" w:cs="Arial"/>
          <w:b/>
          <w:i/>
          <w:sz w:val="22"/>
          <w:szCs w:val="22"/>
        </w:rPr>
        <w:t>RICO</w:t>
      </w:r>
      <w:proofErr w:type="spellEnd"/>
    </w:p>
    <w:p w14:paraId="37809FBE" w14:textId="6DE6C053" w:rsidR="00537D97" w:rsidRPr="00905C7D" w:rsidRDefault="00537D97" w:rsidP="00537D97">
      <w:pPr>
        <w:jc w:val="center"/>
        <w:rPr>
          <w:rFonts w:ascii="Georgia" w:hAnsi="Georgia" w:cs="Arial"/>
          <w:i/>
          <w:sz w:val="22"/>
          <w:szCs w:val="22"/>
        </w:rPr>
      </w:pPr>
      <w:r w:rsidRPr="00905C7D">
        <w:rPr>
          <w:rFonts w:ascii="Georgia" w:hAnsi="Georgia" w:cs="Arial"/>
          <w:i/>
          <w:sz w:val="22"/>
          <w:szCs w:val="22"/>
        </w:rPr>
        <w:t>Presidente</w:t>
      </w:r>
    </w:p>
    <w:p w14:paraId="486D2172" w14:textId="7C8D210E" w:rsidR="00537D97" w:rsidRPr="00905C7D" w:rsidRDefault="00537D97" w:rsidP="00537D97">
      <w:pPr>
        <w:jc w:val="center"/>
        <w:rPr>
          <w:rFonts w:ascii="Georgia" w:hAnsi="Georgia" w:cs="Arial"/>
          <w:i/>
          <w:sz w:val="22"/>
          <w:szCs w:val="22"/>
        </w:rPr>
      </w:pPr>
    </w:p>
    <w:p w14:paraId="56F6BE68" w14:textId="65388CE7" w:rsidR="00537D97" w:rsidRPr="00905C7D" w:rsidRDefault="00537D97" w:rsidP="001A6380">
      <w:pPr>
        <w:rPr>
          <w:rFonts w:ascii="Georgia" w:hAnsi="Georgia" w:cs="Arial"/>
          <w:i/>
          <w:sz w:val="22"/>
          <w:szCs w:val="22"/>
        </w:rPr>
      </w:pPr>
    </w:p>
    <w:p w14:paraId="47560C5C" w14:textId="377A411E" w:rsidR="00537D97" w:rsidRPr="00905C7D" w:rsidRDefault="001A6380" w:rsidP="001A6380">
      <w:pPr>
        <w:jc w:val="center"/>
        <w:rPr>
          <w:rFonts w:ascii="Georgia" w:hAnsi="Georgia" w:cs="Arial"/>
          <w:i/>
          <w:sz w:val="22"/>
          <w:szCs w:val="22"/>
        </w:rPr>
      </w:pPr>
      <w:r>
        <w:rPr>
          <w:noProof/>
          <w:lang w:val="es-CO" w:eastAsia="es-CO"/>
        </w:rPr>
        <w:drawing>
          <wp:anchor distT="0" distB="0" distL="0" distR="0" simplePos="0" relativeHeight="251659264" behindDoc="0" locked="0" layoutInCell="1" allowOverlap="1" wp14:anchorId="15FF300B" wp14:editId="6391A374">
            <wp:simplePos x="0" y="0"/>
            <wp:positionH relativeFrom="margin">
              <wp:posOffset>2114550</wp:posOffset>
            </wp:positionH>
            <wp:positionV relativeFrom="paragraph">
              <wp:posOffset>189865</wp:posOffset>
            </wp:positionV>
            <wp:extent cx="1266825" cy="61087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6825" cy="61087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49FF8C24" w14:textId="5CEB9F24" w:rsidR="00537D97" w:rsidRPr="00905C7D" w:rsidRDefault="00537D97" w:rsidP="00537D97">
      <w:pPr>
        <w:jc w:val="center"/>
        <w:rPr>
          <w:rFonts w:ascii="Georgia" w:hAnsi="Georgia" w:cs="Arial"/>
          <w:b/>
          <w:i/>
          <w:sz w:val="22"/>
          <w:szCs w:val="22"/>
        </w:rPr>
      </w:pPr>
      <w:r w:rsidRPr="00905C7D">
        <w:rPr>
          <w:rFonts w:ascii="Georgia" w:hAnsi="Georgia" w:cs="Arial"/>
          <w:b/>
          <w:i/>
          <w:sz w:val="22"/>
          <w:szCs w:val="22"/>
        </w:rPr>
        <w:t>ELIZABETH MARTÍNEZ BARRERA</w:t>
      </w:r>
    </w:p>
    <w:p w14:paraId="56450CC8" w14:textId="2039BBCD" w:rsidR="00537D97" w:rsidRPr="00905C7D" w:rsidRDefault="00537D97" w:rsidP="00537D97">
      <w:pPr>
        <w:jc w:val="center"/>
        <w:rPr>
          <w:rFonts w:ascii="Georgia" w:hAnsi="Georgia" w:cs="Arial"/>
          <w:i/>
          <w:sz w:val="22"/>
          <w:szCs w:val="22"/>
        </w:rPr>
      </w:pPr>
      <w:r w:rsidRPr="00905C7D">
        <w:rPr>
          <w:rFonts w:ascii="Georgia" w:hAnsi="Georgia" w:cs="Arial"/>
          <w:i/>
          <w:sz w:val="22"/>
          <w:szCs w:val="22"/>
        </w:rPr>
        <w:t>Secretaria General</w:t>
      </w:r>
    </w:p>
    <w:p w14:paraId="0753065C" w14:textId="1DB5689D" w:rsidR="008E2D42" w:rsidRPr="00905C7D" w:rsidRDefault="008E2D42" w:rsidP="00682F31">
      <w:pPr>
        <w:jc w:val="center"/>
        <w:rPr>
          <w:rFonts w:ascii="Georgia" w:eastAsia="Arial" w:hAnsi="Georgia" w:cs="Arial"/>
          <w:i/>
          <w:sz w:val="22"/>
          <w:szCs w:val="22"/>
        </w:rPr>
      </w:pPr>
    </w:p>
    <w:sectPr w:rsidR="008E2D42" w:rsidRPr="00905C7D"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0B98" w14:textId="77777777" w:rsidR="00BC0360" w:rsidRDefault="00BC0360">
      <w:pPr>
        <w:spacing w:line="240" w:lineRule="auto"/>
      </w:pPr>
      <w:r>
        <w:separator/>
      </w:r>
    </w:p>
  </w:endnote>
  <w:endnote w:type="continuationSeparator" w:id="0">
    <w:p w14:paraId="0C9D1D8D" w14:textId="77777777" w:rsidR="00BC0360" w:rsidRDefault="00BC0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065DADF8"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7101B3">
      <w:rPr>
        <w:i/>
        <w:color w:val="000000"/>
      </w:rPr>
      <w:t>ado en primer debate al P.L. 285</w:t>
    </w:r>
    <w:r w:rsidR="001178EF">
      <w:rPr>
        <w:i/>
        <w:color w:val="000000"/>
      </w:rPr>
      <w:t xml:space="preserve"> de 2020</w:t>
    </w:r>
    <w:r w:rsidRPr="00537D97">
      <w:rPr>
        <w:i/>
        <w:color w:val="000000"/>
      </w:rPr>
      <w:t xml:space="preserve">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DDBA" w14:textId="77777777" w:rsidR="00BC0360" w:rsidRDefault="00BC0360">
      <w:pPr>
        <w:spacing w:line="240" w:lineRule="auto"/>
      </w:pPr>
      <w:r>
        <w:separator/>
      </w:r>
    </w:p>
  </w:footnote>
  <w:footnote w:type="continuationSeparator" w:id="0">
    <w:p w14:paraId="41F8CA67" w14:textId="77777777" w:rsidR="00BC0360" w:rsidRDefault="00BC0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1792047"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2051F"/>
    <w:rsid w:val="00036EAB"/>
    <w:rsid w:val="00046173"/>
    <w:rsid w:val="00066DCA"/>
    <w:rsid w:val="000A00F8"/>
    <w:rsid w:val="000C20F6"/>
    <w:rsid w:val="000F3C40"/>
    <w:rsid w:val="0011583B"/>
    <w:rsid w:val="00116A89"/>
    <w:rsid w:val="001178EF"/>
    <w:rsid w:val="001900BA"/>
    <w:rsid w:val="00195E7F"/>
    <w:rsid w:val="001A62DE"/>
    <w:rsid w:val="001A6380"/>
    <w:rsid w:val="001B1281"/>
    <w:rsid w:val="001F2581"/>
    <w:rsid w:val="002001CC"/>
    <w:rsid w:val="00220A99"/>
    <w:rsid w:val="00223904"/>
    <w:rsid w:val="002279D0"/>
    <w:rsid w:val="00233D10"/>
    <w:rsid w:val="0026371B"/>
    <w:rsid w:val="002A1E77"/>
    <w:rsid w:val="002A77F0"/>
    <w:rsid w:val="002D6485"/>
    <w:rsid w:val="002F6842"/>
    <w:rsid w:val="00316EE3"/>
    <w:rsid w:val="0033269C"/>
    <w:rsid w:val="00333ABA"/>
    <w:rsid w:val="00340DDC"/>
    <w:rsid w:val="00363395"/>
    <w:rsid w:val="0036444A"/>
    <w:rsid w:val="003A3960"/>
    <w:rsid w:val="003B5BAA"/>
    <w:rsid w:val="003D0DD0"/>
    <w:rsid w:val="003E1C20"/>
    <w:rsid w:val="00403B93"/>
    <w:rsid w:val="004209D7"/>
    <w:rsid w:val="00422346"/>
    <w:rsid w:val="00437896"/>
    <w:rsid w:val="00440D91"/>
    <w:rsid w:val="00494C45"/>
    <w:rsid w:val="004A5D05"/>
    <w:rsid w:val="004B0951"/>
    <w:rsid w:val="004B3F40"/>
    <w:rsid w:val="004E2677"/>
    <w:rsid w:val="00523646"/>
    <w:rsid w:val="00532054"/>
    <w:rsid w:val="00535E6F"/>
    <w:rsid w:val="00537D97"/>
    <w:rsid w:val="00564080"/>
    <w:rsid w:val="00567EC6"/>
    <w:rsid w:val="00575264"/>
    <w:rsid w:val="00575848"/>
    <w:rsid w:val="00575DE6"/>
    <w:rsid w:val="0058533D"/>
    <w:rsid w:val="00593CF8"/>
    <w:rsid w:val="005B02F7"/>
    <w:rsid w:val="005B2B7D"/>
    <w:rsid w:val="005B4F79"/>
    <w:rsid w:val="006026F7"/>
    <w:rsid w:val="0061443D"/>
    <w:rsid w:val="00615BF4"/>
    <w:rsid w:val="0065344E"/>
    <w:rsid w:val="0066720C"/>
    <w:rsid w:val="00672538"/>
    <w:rsid w:val="006814C4"/>
    <w:rsid w:val="00682F31"/>
    <w:rsid w:val="006861D1"/>
    <w:rsid w:val="00692679"/>
    <w:rsid w:val="006E53A6"/>
    <w:rsid w:val="0070587F"/>
    <w:rsid w:val="007101B3"/>
    <w:rsid w:val="007132F8"/>
    <w:rsid w:val="0071499B"/>
    <w:rsid w:val="0077350E"/>
    <w:rsid w:val="00792109"/>
    <w:rsid w:val="007A01DD"/>
    <w:rsid w:val="007C536F"/>
    <w:rsid w:val="007D0FE2"/>
    <w:rsid w:val="007D2447"/>
    <w:rsid w:val="007E4EA3"/>
    <w:rsid w:val="008033F2"/>
    <w:rsid w:val="00833C2A"/>
    <w:rsid w:val="008368E1"/>
    <w:rsid w:val="00853CA1"/>
    <w:rsid w:val="00867892"/>
    <w:rsid w:val="00871203"/>
    <w:rsid w:val="008C24D5"/>
    <w:rsid w:val="008D094F"/>
    <w:rsid w:val="008E00FE"/>
    <w:rsid w:val="008E19FD"/>
    <w:rsid w:val="008E2D42"/>
    <w:rsid w:val="008E44D0"/>
    <w:rsid w:val="008F792A"/>
    <w:rsid w:val="00905C7D"/>
    <w:rsid w:val="009274F0"/>
    <w:rsid w:val="00933BB5"/>
    <w:rsid w:val="00960F7B"/>
    <w:rsid w:val="009B4906"/>
    <w:rsid w:val="009B7E6F"/>
    <w:rsid w:val="009C7822"/>
    <w:rsid w:val="009D3938"/>
    <w:rsid w:val="009D7A08"/>
    <w:rsid w:val="00A15D72"/>
    <w:rsid w:val="00A33603"/>
    <w:rsid w:val="00A43642"/>
    <w:rsid w:val="00A70E47"/>
    <w:rsid w:val="00A81923"/>
    <w:rsid w:val="00AB55A0"/>
    <w:rsid w:val="00AC2AA0"/>
    <w:rsid w:val="00AC6D85"/>
    <w:rsid w:val="00AD6DDB"/>
    <w:rsid w:val="00AE2197"/>
    <w:rsid w:val="00AF19BA"/>
    <w:rsid w:val="00B00B62"/>
    <w:rsid w:val="00B13A83"/>
    <w:rsid w:val="00B73B01"/>
    <w:rsid w:val="00B95C42"/>
    <w:rsid w:val="00BA7B91"/>
    <w:rsid w:val="00BB028F"/>
    <w:rsid w:val="00BB5F37"/>
    <w:rsid w:val="00BC0360"/>
    <w:rsid w:val="00C35C0A"/>
    <w:rsid w:val="00C4135F"/>
    <w:rsid w:val="00C54ACD"/>
    <w:rsid w:val="00C800C8"/>
    <w:rsid w:val="00CA1D09"/>
    <w:rsid w:val="00CA7293"/>
    <w:rsid w:val="00D06F7F"/>
    <w:rsid w:val="00D1503F"/>
    <w:rsid w:val="00D206E0"/>
    <w:rsid w:val="00D24B14"/>
    <w:rsid w:val="00D34EFA"/>
    <w:rsid w:val="00D456F0"/>
    <w:rsid w:val="00D51B8D"/>
    <w:rsid w:val="00D565E6"/>
    <w:rsid w:val="00D56929"/>
    <w:rsid w:val="00DA3048"/>
    <w:rsid w:val="00DD0536"/>
    <w:rsid w:val="00DD18D0"/>
    <w:rsid w:val="00DD238B"/>
    <w:rsid w:val="00DD794B"/>
    <w:rsid w:val="00E04F45"/>
    <w:rsid w:val="00E06C49"/>
    <w:rsid w:val="00E13D68"/>
    <w:rsid w:val="00E1550E"/>
    <w:rsid w:val="00E35AD8"/>
    <w:rsid w:val="00E4302D"/>
    <w:rsid w:val="00E4731F"/>
    <w:rsid w:val="00E55EFA"/>
    <w:rsid w:val="00E5706C"/>
    <w:rsid w:val="00E6451F"/>
    <w:rsid w:val="00E84A3B"/>
    <w:rsid w:val="00EC79CA"/>
    <w:rsid w:val="00ED0E6C"/>
    <w:rsid w:val="00EF39CC"/>
    <w:rsid w:val="00EF6C27"/>
    <w:rsid w:val="00F021C5"/>
    <w:rsid w:val="00F02D93"/>
    <w:rsid w:val="00F41D7B"/>
    <w:rsid w:val="00F463F4"/>
    <w:rsid w:val="00F67554"/>
    <w:rsid w:val="00F74801"/>
    <w:rsid w:val="00F8215A"/>
    <w:rsid w:val="00F90C53"/>
    <w:rsid w:val="00FA0F5C"/>
    <w:rsid w:val="00FA2053"/>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751D-B102-40FF-9EB9-6AAB0121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657</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14</cp:revision>
  <cp:lastPrinted>2020-09-23T15:49:00Z</cp:lastPrinted>
  <dcterms:created xsi:type="dcterms:W3CDTF">2020-09-30T18:37:00Z</dcterms:created>
  <dcterms:modified xsi:type="dcterms:W3CDTF">2020-10-09T19:51:00Z</dcterms:modified>
</cp:coreProperties>
</file>