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0D7B" w14:textId="39C87021" w:rsidR="00495B56" w:rsidRPr="007A0F30" w:rsidRDefault="00495B56" w:rsidP="00C34F2A">
      <w:pPr>
        <w:spacing w:line="360" w:lineRule="auto"/>
        <w:jc w:val="both"/>
        <w:rPr>
          <w:rFonts w:ascii="Century Gothic" w:hAnsi="Century Gothic"/>
          <w:color w:val="000000" w:themeColor="text1"/>
          <w:sz w:val="24"/>
          <w:szCs w:val="24"/>
        </w:rPr>
      </w:pPr>
      <w:r w:rsidRPr="007A0F30">
        <w:rPr>
          <w:rFonts w:ascii="Century Gothic" w:hAnsi="Century Gothic" w:cs="Arial"/>
          <w:b/>
          <w:sz w:val="24"/>
          <w:szCs w:val="24"/>
          <w:lang w:val="es-419"/>
        </w:rPr>
        <w:t xml:space="preserve"> </w:t>
      </w:r>
      <w:r w:rsidRPr="007A0F30">
        <w:rPr>
          <w:rFonts w:ascii="Century Gothic" w:hAnsi="Century Gothic"/>
          <w:color w:val="000000" w:themeColor="text1"/>
          <w:sz w:val="24"/>
          <w:szCs w:val="24"/>
        </w:rPr>
        <w:t xml:space="preserve">Bogotá, </w:t>
      </w:r>
      <w:r w:rsidR="00450CC9">
        <w:rPr>
          <w:rFonts w:ascii="Century Gothic" w:hAnsi="Century Gothic"/>
          <w:color w:val="000000" w:themeColor="text1"/>
          <w:sz w:val="24"/>
          <w:szCs w:val="24"/>
        </w:rPr>
        <w:t>8</w:t>
      </w:r>
      <w:r w:rsidRPr="007A0F30">
        <w:rPr>
          <w:rFonts w:ascii="Century Gothic" w:hAnsi="Century Gothic"/>
          <w:color w:val="000000" w:themeColor="text1"/>
          <w:sz w:val="24"/>
          <w:szCs w:val="24"/>
        </w:rPr>
        <w:t xml:space="preserve"> de </w:t>
      </w:r>
      <w:r w:rsidR="003C2D8F" w:rsidRPr="007A0F30">
        <w:rPr>
          <w:rFonts w:ascii="Century Gothic" w:hAnsi="Century Gothic"/>
          <w:color w:val="000000" w:themeColor="text1"/>
          <w:sz w:val="24"/>
          <w:szCs w:val="24"/>
        </w:rPr>
        <w:t>septiembre de</w:t>
      </w:r>
      <w:r w:rsidRPr="007A0F30">
        <w:rPr>
          <w:rFonts w:ascii="Century Gothic" w:hAnsi="Century Gothic"/>
          <w:color w:val="000000" w:themeColor="text1"/>
          <w:sz w:val="24"/>
          <w:szCs w:val="24"/>
        </w:rPr>
        <w:t xml:space="preserve"> 2020</w:t>
      </w:r>
    </w:p>
    <w:p w14:paraId="7CCE1287" w14:textId="77777777" w:rsidR="00495B56" w:rsidRPr="007A0F30" w:rsidRDefault="00495B56" w:rsidP="007669DC">
      <w:pPr>
        <w:spacing w:after="0" w:line="360" w:lineRule="auto"/>
        <w:jc w:val="both"/>
        <w:rPr>
          <w:rFonts w:ascii="Century Gothic" w:eastAsia="Times New Roman" w:hAnsi="Century Gothic" w:cs="Arial"/>
          <w:caps/>
          <w:color w:val="000000" w:themeColor="text1"/>
          <w:sz w:val="24"/>
          <w:szCs w:val="24"/>
          <w:lang w:val="es-ES" w:eastAsia="es-ES"/>
        </w:rPr>
      </w:pPr>
      <w:r w:rsidRPr="007A0F30">
        <w:rPr>
          <w:rFonts w:ascii="Century Gothic" w:eastAsia="Times New Roman" w:hAnsi="Century Gothic" w:cs="Arial"/>
          <w:color w:val="000000" w:themeColor="text1"/>
          <w:sz w:val="24"/>
          <w:szCs w:val="24"/>
          <w:lang w:val="es-ES" w:eastAsia="es-ES"/>
        </w:rPr>
        <w:t>Presidente</w:t>
      </w:r>
    </w:p>
    <w:p w14:paraId="08A9C626" w14:textId="77777777" w:rsidR="00495B56" w:rsidRPr="007A0F30" w:rsidRDefault="00495B56" w:rsidP="007669DC">
      <w:pPr>
        <w:spacing w:after="0" w:line="360" w:lineRule="auto"/>
        <w:jc w:val="both"/>
        <w:rPr>
          <w:rFonts w:ascii="Century Gothic" w:eastAsia="Times New Roman" w:hAnsi="Century Gothic" w:cs="Arial"/>
          <w:b/>
          <w:caps/>
          <w:color w:val="000000" w:themeColor="text1"/>
          <w:sz w:val="24"/>
          <w:szCs w:val="24"/>
          <w:lang w:val="es-ES" w:eastAsia="es-ES"/>
        </w:rPr>
      </w:pPr>
      <w:r w:rsidRPr="007A0F30">
        <w:rPr>
          <w:rFonts w:ascii="Century Gothic" w:eastAsia="Times New Roman" w:hAnsi="Century Gothic" w:cs="Arial"/>
          <w:b/>
          <w:caps/>
          <w:color w:val="000000" w:themeColor="text1"/>
          <w:sz w:val="24"/>
          <w:szCs w:val="24"/>
          <w:lang w:val="es-ES" w:eastAsia="es-ES"/>
        </w:rPr>
        <w:t>Nestor leonardo rico rico</w:t>
      </w:r>
    </w:p>
    <w:p w14:paraId="74235214" w14:textId="77777777" w:rsidR="00495B56" w:rsidRPr="007A0F30" w:rsidRDefault="00495B56" w:rsidP="007669DC">
      <w:pPr>
        <w:spacing w:after="0" w:line="360" w:lineRule="auto"/>
        <w:jc w:val="both"/>
        <w:rPr>
          <w:rFonts w:ascii="Century Gothic" w:eastAsia="Times New Roman" w:hAnsi="Century Gothic" w:cs="Arial"/>
          <w:caps/>
          <w:color w:val="000000" w:themeColor="text1"/>
          <w:sz w:val="24"/>
          <w:szCs w:val="24"/>
          <w:lang w:val="es-ES" w:eastAsia="es-ES"/>
        </w:rPr>
      </w:pPr>
      <w:r w:rsidRPr="007A0F30">
        <w:rPr>
          <w:rFonts w:ascii="Century Gothic" w:eastAsia="Times New Roman" w:hAnsi="Century Gothic" w:cs="Arial"/>
          <w:color w:val="000000" w:themeColor="text1"/>
          <w:sz w:val="24"/>
          <w:szCs w:val="24"/>
          <w:lang w:val="es-ES" w:eastAsia="es-ES"/>
        </w:rPr>
        <w:t>Comisión Tercera Constitucional</w:t>
      </w:r>
    </w:p>
    <w:p w14:paraId="0A10C4E7" w14:textId="77777777" w:rsidR="00495B56" w:rsidRPr="007A0F30" w:rsidRDefault="00495B56" w:rsidP="007669DC">
      <w:pPr>
        <w:spacing w:after="0" w:line="360" w:lineRule="auto"/>
        <w:jc w:val="both"/>
        <w:rPr>
          <w:rFonts w:ascii="Century Gothic" w:eastAsia="Times New Roman" w:hAnsi="Century Gothic" w:cs="Arial"/>
          <w:caps/>
          <w:color w:val="000000" w:themeColor="text1"/>
          <w:sz w:val="24"/>
          <w:szCs w:val="24"/>
          <w:lang w:val="es-ES" w:eastAsia="es-ES"/>
        </w:rPr>
      </w:pPr>
      <w:r w:rsidRPr="007A0F30">
        <w:rPr>
          <w:rFonts w:ascii="Century Gothic" w:eastAsia="Times New Roman" w:hAnsi="Century Gothic" w:cs="Arial"/>
          <w:color w:val="000000" w:themeColor="text1"/>
          <w:sz w:val="24"/>
          <w:szCs w:val="24"/>
          <w:lang w:val="es-ES" w:eastAsia="es-ES"/>
        </w:rPr>
        <w:t xml:space="preserve">Honorable Cámara De Representantes </w:t>
      </w:r>
    </w:p>
    <w:p w14:paraId="405E7A4E" w14:textId="77777777" w:rsidR="00495B56" w:rsidRPr="007A0F30" w:rsidRDefault="00495B56" w:rsidP="007669DC">
      <w:pPr>
        <w:spacing w:after="0" w:line="360" w:lineRule="auto"/>
        <w:jc w:val="both"/>
        <w:rPr>
          <w:rFonts w:ascii="Century Gothic" w:eastAsia="Times New Roman" w:hAnsi="Century Gothic" w:cs="Arial"/>
          <w:caps/>
          <w:color w:val="000000" w:themeColor="text1"/>
          <w:sz w:val="24"/>
          <w:szCs w:val="24"/>
          <w:lang w:val="es-ES" w:eastAsia="es-ES"/>
        </w:rPr>
      </w:pPr>
      <w:r w:rsidRPr="007A0F30">
        <w:rPr>
          <w:rFonts w:ascii="Century Gothic" w:eastAsia="Times New Roman" w:hAnsi="Century Gothic" w:cs="Arial"/>
          <w:color w:val="000000" w:themeColor="text1"/>
          <w:sz w:val="24"/>
          <w:szCs w:val="24"/>
          <w:lang w:val="es-ES" w:eastAsia="es-ES"/>
        </w:rPr>
        <w:t>Ciudad</w:t>
      </w:r>
    </w:p>
    <w:p w14:paraId="0386D882" w14:textId="77777777" w:rsidR="00495B56" w:rsidRPr="007A0F30" w:rsidRDefault="00495B56" w:rsidP="007669DC">
      <w:pPr>
        <w:spacing w:after="0" w:line="360" w:lineRule="auto"/>
        <w:jc w:val="both"/>
        <w:rPr>
          <w:rFonts w:ascii="Century Gothic" w:eastAsia="Times New Roman" w:hAnsi="Century Gothic" w:cs="Arial"/>
          <w:caps/>
          <w:color w:val="000000" w:themeColor="text1"/>
          <w:sz w:val="24"/>
          <w:szCs w:val="24"/>
          <w:lang w:val="es-ES" w:eastAsia="es-ES"/>
        </w:rPr>
      </w:pPr>
    </w:p>
    <w:p w14:paraId="672CA25B" w14:textId="489451F0" w:rsidR="00495B56" w:rsidRPr="007A0F30" w:rsidRDefault="00495B56" w:rsidP="007669DC">
      <w:pPr>
        <w:adjustRightInd w:val="0"/>
        <w:spacing w:before="28" w:after="40" w:line="360" w:lineRule="auto"/>
        <w:ind w:left="567" w:hanging="567"/>
        <w:jc w:val="both"/>
        <w:textAlignment w:val="center"/>
        <w:rPr>
          <w:rFonts w:ascii="Century Gothic" w:hAnsi="Century Gothic"/>
          <w:i/>
          <w:iCs/>
          <w:sz w:val="24"/>
          <w:szCs w:val="24"/>
        </w:rPr>
      </w:pPr>
      <w:r w:rsidRPr="007A0F30">
        <w:rPr>
          <w:rFonts w:ascii="Century Gothic" w:eastAsia="Times New Roman" w:hAnsi="Century Gothic" w:cs="Arial"/>
          <w:b/>
          <w:color w:val="000000" w:themeColor="text1"/>
          <w:sz w:val="24"/>
          <w:szCs w:val="24"/>
          <w:lang w:val="es-ES" w:eastAsia="es-ES"/>
        </w:rPr>
        <w:t>REF:</w:t>
      </w:r>
      <w:r w:rsidRPr="007A0F30">
        <w:rPr>
          <w:rFonts w:ascii="Century Gothic" w:eastAsia="Times New Roman" w:hAnsi="Century Gothic" w:cs="Arial"/>
          <w:color w:val="000000" w:themeColor="text1"/>
          <w:sz w:val="24"/>
          <w:szCs w:val="24"/>
          <w:lang w:val="es-ES" w:eastAsia="es-ES"/>
        </w:rPr>
        <w:t xml:space="preserve"> Informe de ponencia para segun</w:t>
      </w:r>
      <w:r w:rsidR="00416788">
        <w:rPr>
          <w:rFonts w:ascii="Century Gothic" w:eastAsia="Times New Roman" w:hAnsi="Century Gothic" w:cs="Arial"/>
          <w:color w:val="000000" w:themeColor="text1"/>
          <w:sz w:val="24"/>
          <w:szCs w:val="24"/>
          <w:lang w:val="es-ES" w:eastAsia="es-ES"/>
        </w:rPr>
        <w:t>do debate al Proyecto de Ley 080</w:t>
      </w:r>
      <w:r w:rsidRPr="007A0F30">
        <w:rPr>
          <w:rFonts w:ascii="Century Gothic" w:eastAsia="Times New Roman" w:hAnsi="Century Gothic" w:cs="Arial"/>
          <w:color w:val="000000" w:themeColor="text1"/>
          <w:sz w:val="24"/>
          <w:szCs w:val="24"/>
          <w:lang w:val="es-ES" w:eastAsia="es-ES"/>
        </w:rPr>
        <w:t xml:space="preserve"> de 20</w:t>
      </w:r>
      <w:r w:rsidR="00416788">
        <w:rPr>
          <w:rFonts w:ascii="Century Gothic" w:eastAsia="Times New Roman" w:hAnsi="Century Gothic" w:cs="Arial"/>
          <w:color w:val="000000" w:themeColor="text1"/>
          <w:sz w:val="24"/>
          <w:szCs w:val="24"/>
          <w:lang w:val="es-ES" w:eastAsia="es-ES"/>
        </w:rPr>
        <w:t>20</w:t>
      </w:r>
      <w:bookmarkStart w:id="0" w:name="_GoBack"/>
      <w:bookmarkEnd w:id="0"/>
      <w:r w:rsidRPr="007A0F30">
        <w:rPr>
          <w:rFonts w:ascii="Century Gothic" w:hAnsi="Century Gothic"/>
          <w:i/>
          <w:iCs/>
          <w:sz w:val="24"/>
          <w:szCs w:val="24"/>
        </w:rPr>
        <w:t xml:space="preserve"> “</w:t>
      </w:r>
      <w:r w:rsidR="003C2D8F" w:rsidRPr="007A0F30">
        <w:rPr>
          <w:rFonts w:ascii="Century Gothic" w:hAnsi="Century Gothic"/>
          <w:i/>
          <w:iCs/>
          <w:sz w:val="24"/>
          <w:szCs w:val="24"/>
        </w:rPr>
        <w:t>Por medio del cual se ordena la creación del impuesto sobre operaciones de cambio por ingreso o egreso de divisas producto del sector hidrocarburos para Educación Superior</w:t>
      </w:r>
      <w:r w:rsidRPr="007A0F30">
        <w:rPr>
          <w:rFonts w:ascii="Century Gothic" w:hAnsi="Century Gothic"/>
          <w:i/>
          <w:iCs/>
          <w:sz w:val="24"/>
          <w:szCs w:val="24"/>
        </w:rPr>
        <w:t>”.</w:t>
      </w:r>
    </w:p>
    <w:p w14:paraId="365D6090" w14:textId="77777777" w:rsidR="00495B56" w:rsidRPr="007A0F30" w:rsidRDefault="00495B56" w:rsidP="007669DC">
      <w:pPr>
        <w:adjustRightInd w:val="0"/>
        <w:spacing w:before="28" w:after="40" w:line="360" w:lineRule="auto"/>
        <w:jc w:val="both"/>
        <w:textAlignment w:val="center"/>
        <w:rPr>
          <w:rFonts w:ascii="Century Gothic" w:eastAsia="Times New Roman" w:hAnsi="Century Gothic" w:cs="Arial"/>
          <w:b/>
          <w:color w:val="000000" w:themeColor="text1"/>
          <w:sz w:val="24"/>
          <w:szCs w:val="24"/>
          <w:lang w:val="es-ES" w:eastAsia="es-ES"/>
        </w:rPr>
      </w:pPr>
    </w:p>
    <w:p w14:paraId="374E568B" w14:textId="522DE29C" w:rsidR="00495B56" w:rsidRPr="007A0F30" w:rsidRDefault="00495B56" w:rsidP="007669DC">
      <w:pPr>
        <w:spacing w:after="0" w:line="360" w:lineRule="auto"/>
        <w:jc w:val="both"/>
        <w:rPr>
          <w:rFonts w:ascii="Century Gothic" w:eastAsia="Times New Roman" w:hAnsi="Century Gothic" w:cs="Arial"/>
          <w:color w:val="000000" w:themeColor="text1"/>
          <w:sz w:val="24"/>
          <w:szCs w:val="24"/>
          <w:lang w:val="es-ES" w:eastAsia="es-ES"/>
        </w:rPr>
      </w:pPr>
      <w:r w:rsidRPr="007A0F30">
        <w:rPr>
          <w:rFonts w:ascii="Century Gothic" w:eastAsia="Times New Roman" w:hAnsi="Century Gothic" w:cs="Arial"/>
          <w:color w:val="000000" w:themeColor="text1"/>
          <w:sz w:val="24"/>
          <w:szCs w:val="24"/>
          <w:lang w:val="es-ES" w:eastAsia="es-ES"/>
        </w:rPr>
        <w:t>Respetado Presidente,</w:t>
      </w:r>
    </w:p>
    <w:p w14:paraId="535AF15B" w14:textId="77777777" w:rsidR="00495B56" w:rsidRPr="007A0F30" w:rsidRDefault="00495B56" w:rsidP="007669DC">
      <w:pPr>
        <w:spacing w:after="0" w:line="360" w:lineRule="auto"/>
        <w:jc w:val="both"/>
        <w:rPr>
          <w:rFonts w:ascii="Century Gothic" w:eastAsia="Times New Roman" w:hAnsi="Century Gothic" w:cs="Arial"/>
          <w:color w:val="000000" w:themeColor="text1"/>
          <w:sz w:val="24"/>
          <w:szCs w:val="24"/>
          <w:lang w:val="es-ES" w:eastAsia="es-ES"/>
        </w:rPr>
      </w:pPr>
    </w:p>
    <w:p w14:paraId="7734D651" w14:textId="331AA12F" w:rsidR="003C2D8F" w:rsidRPr="007A0F30" w:rsidRDefault="00495B56" w:rsidP="007669DC">
      <w:pPr>
        <w:spacing w:after="0" w:line="360" w:lineRule="auto"/>
        <w:jc w:val="both"/>
        <w:rPr>
          <w:rFonts w:ascii="Century Gothic" w:hAnsi="Century Gothic"/>
          <w:i/>
          <w:iCs/>
          <w:sz w:val="24"/>
          <w:szCs w:val="24"/>
        </w:rPr>
      </w:pPr>
      <w:r w:rsidRPr="007A0F30">
        <w:rPr>
          <w:rFonts w:ascii="Century Gothic" w:eastAsia="Times New Roman" w:hAnsi="Century Gothic" w:cs="Arial"/>
          <w:color w:val="000000" w:themeColor="text1"/>
          <w:sz w:val="24"/>
          <w:szCs w:val="24"/>
          <w:lang w:val="es-ES" w:eastAsia="es-ES"/>
        </w:rPr>
        <w:t xml:space="preserve">En cumplimiento </w:t>
      </w:r>
      <w:r w:rsidR="007339EB">
        <w:rPr>
          <w:rFonts w:ascii="Century Gothic" w:eastAsia="Times New Roman" w:hAnsi="Century Gothic" w:cs="Arial"/>
          <w:color w:val="000000" w:themeColor="text1"/>
          <w:sz w:val="24"/>
          <w:szCs w:val="24"/>
          <w:lang w:val="es-ES" w:eastAsia="es-ES"/>
        </w:rPr>
        <w:t>a la honrosa designación que me</w:t>
      </w:r>
      <w:r w:rsidRPr="007A0F30">
        <w:rPr>
          <w:rFonts w:ascii="Century Gothic" w:eastAsia="Times New Roman" w:hAnsi="Century Gothic" w:cs="Arial"/>
          <w:color w:val="000000" w:themeColor="text1"/>
          <w:sz w:val="24"/>
          <w:szCs w:val="24"/>
          <w:lang w:val="es-ES" w:eastAsia="es-ES"/>
        </w:rPr>
        <w:t xml:space="preserve"> hizo la mesa directiva de la Comisión Tercera de la Cáma</w:t>
      </w:r>
      <w:r w:rsidR="00706B92" w:rsidRPr="007A0F30">
        <w:rPr>
          <w:rFonts w:ascii="Century Gothic" w:eastAsia="Times New Roman" w:hAnsi="Century Gothic" w:cs="Arial"/>
          <w:color w:val="000000" w:themeColor="text1"/>
          <w:sz w:val="24"/>
          <w:szCs w:val="24"/>
          <w:lang w:val="es-ES" w:eastAsia="es-ES"/>
        </w:rPr>
        <w:t>ra de Representantes, procedo</w:t>
      </w:r>
      <w:r w:rsidRPr="007A0F30">
        <w:rPr>
          <w:rFonts w:ascii="Century Gothic" w:eastAsia="Times New Roman" w:hAnsi="Century Gothic" w:cs="Arial"/>
          <w:color w:val="000000" w:themeColor="text1"/>
          <w:sz w:val="24"/>
          <w:szCs w:val="24"/>
          <w:lang w:val="es-ES" w:eastAsia="es-ES"/>
        </w:rPr>
        <w:t xml:space="preserve"> a presentar el correspondiente </w:t>
      </w:r>
      <w:r w:rsidR="003C2D8F" w:rsidRPr="007A0F30">
        <w:rPr>
          <w:rFonts w:ascii="Century Gothic" w:eastAsia="Times New Roman" w:hAnsi="Century Gothic" w:cs="Arial"/>
          <w:color w:val="000000" w:themeColor="text1"/>
          <w:sz w:val="24"/>
          <w:szCs w:val="24"/>
          <w:lang w:val="es-ES" w:eastAsia="es-ES"/>
        </w:rPr>
        <w:t>i</w:t>
      </w:r>
      <w:r w:rsidRPr="007A0F30">
        <w:rPr>
          <w:rFonts w:ascii="Century Gothic" w:eastAsia="Times New Roman" w:hAnsi="Century Gothic" w:cs="Arial"/>
          <w:color w:val="000000" w:themeColor="text1"/>
          <w:sz w:val="24"/>
          <w:szCs w:val="24"/>
          <w:lang w:val="es-ES" w:eastAsia="es-ES"/>
        </w:rPr>
        <w:t xml:space="preserve">nforme de </w:t>
      </w:r>
      <w:r w:rsidR="003C2D8F" w:rsidRPr="007A0F30">
        <w:rPr>
          <w:rFonts w:ascii="Century Gothic" w:eastAsia="Times New Roman" w:hAnsi="Century Gothic" w:cs="Arial"/>
          <w:color w:val="000000" w:themeColor="text1"/>
          <w:sz w:val="24"/>
          <w:szCs w:val="24"/>
          <w:lang w:val="es-ES" w:eastAsia="es-ES"/>
        </w:rPr>
        <w:t>p</w:t>
      </w:r>
      <w:r w:rsidRPr="007A0F30">
        <w:rPr>
          <w:rFonts w:ascii="Century Gothic" w:eastAsia="Times New Roman" w:hAnsi="Century Gothic" w:cs="Arial"/>
          <w:color w:val="000000" w:themeColor="text1"/>
          <w:sz w:val="24"/>
          <w:szCs w:val="24"/>
          <w:lang w:val="es-ES" w:eastAsia="es-ES"/>
        </w:rPr>
        <w:t xml:space="preserve">onencia para </w:t>
      </w:r>
      <w:r w:rsidR="003C2D8F" w:rsidRPr="007A0F30">
        <w:rPr>
          <w:rFonts w:ascii="Century Gothic" w:eastAsia="Times New Roman" w:hAnsi="Century Gothic" w:cs="Arial"/>
          <w:color w:val="000000" w:themeColor="text1"/>
          <w:sz w:val="24"/>
          <w:szCs w:val="24"/>
          <w:lang w:val="es-ES" w:eastAsia="es-ES"/>
        </w:rPr>
        <w:t>primer</w:t>
      </w:r>
      <w:r w:rsidRPr="007A0F30">
        <w:rPr>
          <w:rFonts w:ascii="Century Gothic" w:eastAsia="Times New Roman" w:hAnsi="Century Gothic" w:cs="Arial"/>
          <w:color w:val="000000" w:themeColor="text1"/>
          <w:sz w:val="24"/>
          <w:szCs w:val="24"/>
          <w:lang w:val="es-ES" w:eastAsia="es-ES"/>
        </w:rPr>
        <w:t xml:space="preserve"> debate al Proyecto de </w:t>
      </w:r>
      <w:r w:rsidR="003C2D8F" w:rsidRPr="007A0F30">
        <w:rPr>
          <w:rFonts w:ascii="Century Gothic" w:eastAsia="Times New Roman" w:hAnsi="Century Gothic" w:cs="Arial"/>
          <w:color w:val="000000" w:themeColor="text1"/>
          <w:sz w:val="24"/>
          <w:szCs w:val="24"/>
          <w:lang w:val="es-ES" w:eastAsia="es-ES"/>
        </w:rPr>
        <w:t>080 de 2020</w:t>
      </w:r>
      <w:r w:rsidRPr="007A0F30">
        <w:rPr>
          <w:rFonts w:ascii="Century Gothic" w:eastAsia="Times New Roman" w:hAnsi="Century Gothic" w:cs="Arial"/>
          <w:color w:val="000000" w:themeColor="text1"/>
          <w:sz w:val="24"/>
          <w:szCs w:val="24"/>
          <w:lang w:val="es-ES" w:eastAsia="es-ES"/>
        </w:rPr>
        <w:t xml:space="preserve"> </w:t>
      </w:r>
      <w:r w:rsidR="003C2D8F" w:rsidRPr="007A0F30">
        <w:rPr>
          <w:rFonts w:ascii="Century Gothic" w:eastAsia="Times New Roman" w:hAnsi="Century Gothic" w:cs="Arial"/>
          <w:color w:val="000000" w:themeColor="text1"/>
          <w:sz w:val="24"/>
          <w:szCs w:val="24"/>
          <w:lang w:val="es-ES" w:eastAsia="es-ES"/>
        </w:rPr>
        <w:t>“</w:t>
      </w:r>
      <w:r w:rsidR="003C2D8F" w:rsidRPr="007A0F30">
        <w:rPr>
          <w:rFonts w:ascii="Century Gothic" w:hAnsi="Century Gothic"/>
          <w:i/>
          <w:iCs/>
          <w:sz w:val="24"/>
          <w:szCs w:val="24"/>
        </w:rPr>
        <w:t>Por medio del cual se ordena la creación del impuesto sobre operaciones de cambio por ingreso o egreso de divisas producto del sector hidrocarburos para Educación Superior”</w:t>
      </w:r>
    </w:p>
    <w:p w14:paraId="447E38A2" w14:textId="75779200" w:rsidR="00495B56" w:rsidRPr="007A0F30" w:rsidRDefault="00495B56" w:rsidP="007669DC">
      <w:pPr>
        <w:spacing w:after="0" w:line="360" w:lineRule="auto"/>
        <w:jc w:val="both"/>
        <w:rPr>
          <w:rFonts w:ascii="Century Gothic" w:eastAsia="Times New Roman" w:hAnsi="Century Gothic" w:cs="Arial"/>
          <w:color w:val="000000" w:themeColor="text1"/>
          <w:sz w:val="24"/>
          <w:szCs w:val="24"/>
          <w:lang w:val="es-ES" w:eastAsia="es-ES"/>
        </w:rPr>
      </w:pPr>
      <w:r w:rsidRPr="007A0F30">
        <w:rPr>
          <w:rFonts w:ascii="Century Gothic" w:eastAsia="Times New Roman" w:hAnsi="Century Gothic" w:cs="Arial"/>
          <w:color w:val="000000" w:themeColor="text1"/>
          <w:sz w:val="24"/>
          <w:szCs w:val="24"/>
          <w:lang w:val="es-ES" w:eastAsia="es-ES"/>
        </w:rPr>
        <w:t>Atentamente,</w:t>
      </w:r>
    </w:p>
    <w:p w14:paraId="394F6B5B" w14:textId="77777777" w:rsidR="00495B56" w:rsidRPr="007A0F30" w:rsidRDefault="00495B56" w:rsidP="007669DC">
      <w:pPr>
        <w:spacing w:after="0" w:line="360" w:lineRule="auto"/>
        <w:jc w:val="center"/>
        <w:rPr>
          <w:rFonts w:ascii="Century Gothic" w:eastAsia="Times New Roman" w:hAnsi="Century Gothic" w:cs="Arial"/>
          <w:color w:val="000000" w:themeColor="text1"/>
          <w:sz w:val="24"/>
          <w:szCs w:val="24"/>
          <w:lang w:val="es-ES" w:eastAsia="es-ES"/>
        </w:rPr>
      </w:pPr>
      <w:r w:rsidRPr="007A0F30">
        <w:rPr>
          <w:rFonts w:ascii="Century Gothic" w:eastAsia="Times New Roman" w:hAnsi="Century Gothic" w:cs="Arial"/>
          <w:noProof/>
          <w:color w:val="000000" w:themeColor="text1"/>
          <w:sz w:val="24"/>
          <w:szCs w:val="24"/>
          <w:lang w:val="es-ES_tradnl" w:eastAsia="es-ES_tradnl"/>
        </w:rPr>
        <w:drawing>
          <wp:inline distT="0" distB="0" distL="0" distR="0" wp14:anchorId="05D81AF8" wp14:editId="4E8F4E85">
            <wp:extent cx="1622486" cy="9061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 David Rac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360" cy="928415"/>
                    </a:xfrm>
                    <a:prstGeom prst="rect">
                      <a:avLst/>
                    </a:prstGeom>
                  </pic:spPr>
                </pic:pic>
              </a:graphicData>
            </a:graphic>
          </wp:inline>
        </w:drawing>
      </w:r>
    </w:p>
    <w:p w14:paraId="17090B6D" w14:textId="49CA3D79" w:rsidR="003C2D8F" w:rsidRPr="007A0F30" w:rsidRDefault="00495B56" w:rsidP="00C34F2A">
      <w:pPr>
        <w:spacing w:after="0" w:line="360" w:lineRule="auto"/>
        <w:jc w:val="center"/>
        <w:rPr>
          <w:rFonts w:ascii="Century Gothic" w:eastAsia="Times New Roman" w:hAnsi="Century Gothic" w:cs="Arial"/>
          <w:b/>
          <w:color w:val="000000" w:themeColor="text1"/>
          <w:sz w:val="24"/>
          <w:szCs w:val="24"/>
          <w:lang w:val="es-ES" w:eastAsia="es-ES"/>
        </w:rPr>
      </w:pPr>
      <w:r w:rsidRPr="007A0F30">
        <w:rPr>
          <w:rFonts w:ascii="Century Gothic" w:eastAsia="Times New Roman" w:hAnsi="Century Gothic" w:cs="Arial"/>
          <w:b/>
          <w:color w:val="000000" w:themeColor="text1"/>
          <w:sz w:val="24"/>
          <w:szCs w:val="24"/>
          <w:lang w:val="es-ES" w:eastAsia="es-ES"/>
        </w:rPr>
        <w:t>David Racero Mayorca</w:t>
      </w:r>
    </w:p>
    <w:p w14:paraId="406BB395" w14:textId="01AB3E5C" w:rsidR="003C2D8F" w:rsidRPr="007A0F30" w:rsidRDefault="003C2D8F" w:rsidP="007669DC">
      <w:pPr>
        <w:spacing w:before="120" w:after="120" w:line="360" w:lineRule="auto"/>
        <w:jc w:val="both"/>
        <w:rPr>
          <w:rFonts w:ascii="Century Gothic" w:hAnsi="Century Gothic" w:cs="Arial"/>
          <w:b/>
          <w:sz w:val="24"/>
          <w:szCs w:val="24"/>
          <w:lang w:val="es-419"/>
        </w:rPr>
      </w:pPr>
      <w:r w:rsidRPr="007A0F30">
        <w:rPr>
          <w:rFonts w:ascii="Century Gothic" w:hAnsi="Century Gothic" w:cs="Arial"/>
          <w:b/>
          <w:sz w:val="24"/>
          <w:szCs w:val="24"/>
          <w:lang w:val="es-419"/>
        </w:rPr>
        <w:lastRenderedPageBreak/>
        <w:t>Antecedentes legislativos</w:t>
      </w:r>
    </w:p>
    <w:p w14:paraId="61D81B62" w14:textId="1E008C7E" w:rsidR="003C2D8F" w:rsidRPr="007A0F30" w:rsidRDefault="003C2D8F" w:rsidP="007669DC">
      <w:pPr>
        <w:spacing w:before="120" w:after="120" w:line="360" w:lineRule="auto"/>
        <w:jc w:val="both"/>
        <w:rPr>
          <w:rFonts w:ascii="Century Gothic" w:hAnsi="Century Gothic" w:cs="Arial"/>
          <w:sz w:val="24"/>
          <w:szCs w:val="24"/>
          <w:lang w:val="es-419"/>
        </w:rPr>
      </w:pPr>
      <w:r w:rsidRPr="007A0F30">
        <w:rPr>
          <w:rFonts w:ascii="Century Gothic" w:hAnsi="Century Gothic" w:cs="Arial"/>
          <w:sz w:val="24"/>
          <w:szCs w:val="24"/>
          <w:lang w:val="es-419"/>
        </w:rPr>
        <w:t>El pres</w:t>
      </w:r>
      <w:r w:rsidR="00706B92" w:rsidRPr="007A0F30">
        <w:rPr>
          <w:rFonts w:ascii="Century Gothic" w:hAnsi="Century Gothic" w:cs="Arial"/>
          <w:sz w:val="24"/>
          <w:szCs w:val="24"/>
          <w:lang w:val="es-419"/>
        </w:rPr>
        <w:t>e</w:t>
      </w:r>
      <w:r w:rsidRPr="007A0F30">
        <w:rPr>
          <w:rFonts w:ascii="Century Gothic" w:hAnsi="Century Gothic" w:cs="Arial"/>
          <w:sz w:val="24"/>
          <w:szCs w:val="24"/>
          <w:lang w:val="es-419"/>
        </w:rPr>
        <w:t xml:space="preserve">nte proyecto de ley fue radicado por el </w:t>
      </w:r>
      <w:r w:rsidR="00706B92" w:rsidRPr="007A0F30">
        <w:rPr>
          <w:rFonts w:ascii="Century Gothic" w:hAnsi="Century Gothic" w:cs="Arial"/>
          <w:sz w:val="24"/>
          <w:szCs w:val="24"/>
          <w:lang w:val="es-419"/>
        </w:rPr>
        <w:t>Congresista</w:t>
      </w:r>
      <w:r w:rsidRPr="007A0F30">
        <w:rPr>
          <w:rFonts w:ascii="Century Gothic" w:hAnsi="Century Gothic" w:cs="Arial"/>
          <w:sz w:val="24"/>
          <w:szCs w:val="24"/>
          <w:lang w:val="es-419"/>
        </w:rPr>
        <w:t xml:space="preserve"> Fabían Díaz Plata en la Cámara de Representantes. El proyecto fue remitido a la comisión tercera de la Cámara donde se asignaron como coordinadores ponentes al representante David Racero y Óscar Darío Pérez. Igualmente se nombraron como ponentes al representante Christian José Moreno y José Gabriel Amar. </w:t>
      </w:r>
    </w:p>
    <w:p w14:paraId="5A717AA6" w14:textId="77777777" w:rsidR="003C2D8F" w:rsidRPr="007A0F30" w:rsidRDefault="003C2D8F" w:rsidP="007669DC">
      <w:pPr>
        <w:spacing w:before="120" w:after="120" w:line="360" w:lineRule="auto"/>
        <w:jc w:val="both"/>
        <w:rPr>
          <w:rFonts w:ascii="Century Gothic" w:hAnsi="Century Gothic" w:cs="Arial"/>
          <w:sz w:val="24"/>
          <w:szCs w:val="24"/>
          <w:lang w:val="es-419"/>
        </w:rPr>
      </w:pPr>
    </w:p>
    <w:p w14:paraId="67F37686" w14:textId="2A539C09" w:rsidR="003C2D8F" w:rsidRPr="007A0F30" w:rsidRDefault="00495B56" w:rsidP="007669DC">
      <w:pPr>
        <w:spacing w:before="120" w:after="120" w:line="360" w:lineRule="auto"/>
        <w:jc w:val="both"/>
        <w:rPr>
          <w:rFonts w:ascii="Century Gothic" w:hAnsi="Century Gothic" w:cs="Arial"/>
          <w:b/>
          <w:sz w:val="24"/>
          <w:szCs w:val="24"/>
          <w:lang w:val="es-419"/>
        </w:rPr>
      </w:pPr>
      <w:r w:rsidRPr="007A0F30">
        <w:rPr>
          <w:rFonts w:ascii="Century Gothic" w:hAnsi="Century Gothic" w:cs="Arial"/>
          <w:b/>
          <w:sz w:val="24"/>
          <w:szCs w:val="24"/>
          <w:lang w:val="es-419"/>
        </w:rPr>
        <w:t>Exposición de motivos</w:t>
      </w:r>
    </w:p>
    <w:p w14:paraId="6495D2E5" w14:textId="77777777" w:rsidR="003C2D8F" w:rsidRPr="007A0F30" w:rsidRDefault="003C2D8F" w:rsidP="007669DC">
      <w:pPr>
        <w:spacing w:before="120" w:after="120" w:line="360" w:lineRule="auto"/>
        <w:jc w:val="both"/>
        <w:rPr>
          <w:rFonts w:ascii="Century Gothic" w:hAnsi="Century Gothic" w:cs="Arial"/>
          <w:b/>
          <w:sz w:val="24"/>
          <w:szCs w:val="24"/>
          <w:lang w:val="es-419"/>
        </w:rPr>
      </w:pPr>
    </w:p>
    <w:p w14:paraId="6C4BFD0F" w14:textId="49B5683B" w:rsidR="00495B56" w:rsidRPr="007A0F30" w:rsidRDefault="00495B56" w:rsidP="007669DC">
      <w:pPr>
        <w:spacing w:before="120" w:after="120" w:line="360" w:lineRule="auto"/>
        <w:jc w:val="both"/>
        <w:rPr>
          <w:rFonts w:ascii="Century Gothic" w:hAnsi="Century Gothic" w:cs="Arial"/>
          <w:sz w:val="24"/>
          <w:szCs w:val="24"/>
          <w:lang w:val="es-419"/>
        </w:rPr>
      </w:pPr>
      <w:r w:rsidRPr="007A0F30">
        <w:rPr>
          <w:rFonts w:ascii="Century Gothic" w:hAnsi="Century Gothic" w:cs="Arial"/>
          <w:sz w:val="24"/>
          <w:szCs w:val="24"/>
          <w:lang w:val="es-419"/>
        </w:rPr>
        <w:t xml:space="preserve">El presente proyecto de ley </w:t>
      </w:r>
      <w:r w:rsidR="003C2D8F" w:rsidRPr="007A0F30">
        <w:rPr>
          <w:rFonts w:ascii="Century Gothic" w:hAnsi="Century Gothic" w:cs="Arial"/>
          <w:sz w:val="24"/>
          <w:szCs w:val="24"/>
          <w:lang w:val="es-419"/>
        </w:rPr>
        <w:t>busca gravar las utilidades no reinvertidas por parte de las empresas de hidrocarburos y que</w:t>
      </w:r>
      <w:r w:rsidR="00706B92" w:rsidRPr="007A0F30">
        <w:rPr>
          <w:rFonts w:ascii="Century Gothic" w:hAnsi="Century Gothic" w:cs="Arial"/>
          <w:sz w:val="24"/>
          <w:szCs w:val="24"/>
          <w:lang w:val="es-419"/>
        </w:rPr>
        <w:t xml:space="preserve"> además</w:t>
      </w:r>
      <w:r w:rsidR="003C2D8F" w:rsidRPr="007A0F30">
        <w:rPr>
          <w:rFonts w:ascii="Century Gothic" w:hAnsi="Century Gothic" w:cs="Arial"/>
          <w:sz w:val="24"/>
          <w:szCs w:val="24"/>
          <w:lang w:val="es-419"/>
        </w:rPr>
        <w:t xml:space="preserve"> giren estos recursos al exterior. Esta propuesta </w:t>
      </w:r>
      <w:r w:rsidRPr="007A0F30">
        <w:rPr>
          <w:rFonts w:ascii="Century Gothic" w:hAnsi="Century Gothic" w:cs="Arial"/>
          <w:sz w:val="24"/>
          <w:szCs w:val="24"/>
          <w:lang w:val="es-419"/>
        </w:rPr>
        <w:t xml:space="preserve">resulta pertinente </w:t>
      </w:r>
      <w:r w:rsidR="003C2D8F" w:rsidRPr="007A0F30">
        <w:rPr>
          <w:rFonts w:ascii="Century Gothic" w:hAnsi="Century Gothic" w:cs="Arial"/>
          <w:sz w:val="24"/>
          <w:szCs w:val="24"/>
          <w:lang w:val="es-419"/>
        </w:rPr>
        <w:t>toda vez que el sector</w:t>
      </w:r>
      <w:r w:rsidRPr="007A0F30">
        <w:rPr>
          <w:rFonts w:ascii="Century Gothic" w:hAnsi="Century Gothic" w:cs="Arial"/>
          <w:sz w:val="24"/>
          <w:szCs w:val="24"/>
          <w:lang w:val="es-419"/>
        </w:rPr>
        <w:t xml:space="preserve"> hidrocarburos </w:t>
      </w:r>
      <w:r w:rsidR="003C2D8F" w:rsidRPr="007A0F30">
        <w:rPr>
          <w:rFonts w:ascii="Century Gothic" w:hAnsi="Century Gothic" w:cs="Arial"/>
          <w:sz w:val="24"/>
          <w:szCs w:val="24"/>
          <w:lang w:val="es-419"/>
        </w:rPr>
        <w:t xml:space="preserve">es uno de los sectores con mayor concentración de ingreso y patrimonio en el país. </w:t>
      </w:r>
      <w:r w:rsidR="00E745DC" w:rsidRPr="007A0F30">
        <w:rPr>
          <w:rFonts w:ascii="Century Gothic" w:hAnsi="Century Gothic" w:cs="Arial"/>
          <w:sz w:val="24"/>
          <w:szCs w:val="24"/>
          <w:lang w:val="es-419"/>
        </w:rPr>
        <w:t xml:space="preserve">El patrimonio del sector minero hacen parte del 0,001% de las personas jurídicas con mayor  patrimonio del país, lo que representa </w:t>
      </w:r>
      <w:r w:rsidR="00A6799E" w:rsidRPr="007A0F30">
        <w:rPr>
          <w:rFonts w:ascii="Century Gothic" w:hAnsi="Century Gothic" w:cs="Arial"/>
          <w:sz w:val="24"/>
          <w:szCs w:val="24"/>
          <w:lang w:val="es-419"/>
        </w:rPr>
        <w:t>el 8% del patrimonio de todas las empreas del país</w:t>
      </w:r>
      <w:r w:rsidR="00706B92" w:rsidRPr="007A0F30">
        <w:rPr>
          <w:rFonts w:ascii="Century Gothic" w:hAnsi="Century Gothic" w:cs="Arial"/>
          <w:sz w:val="24"/>
          <w:szCs w:val="24"/>
          <w:lang w:val="es-419"/>
        </w:rPr>
        <w:t xml:space="preserve"> y el 12% del PIB de Colombia </w:t>
      </w:r>
      <w:sdt>
        <w:sdtPr>
          <w:rPr>
            <w:rFonts w:ascii="Century Gothic" w:hAnsi="Century Gothic" w:cs="Arial"/>
            <w:sz w:val="24"/>
            <w:szCs w:val="24"/>
            <w:lang w:val="es-419"/>
          </w:rPr>
          <w:id w:val="-393433636"/>
          <w:citation/>
        </w:sdtPr>
        <w:sdtEndPr/>
        <w:sdtContent>
          <w:r w:rsidR="00E745DC" w:rsidRPr="007A0F30">
            <w:rPr>
              <w:rFonts w:ascii="Century Gothic" w:hAnsi="Century Gothic" w:cs="Arial"/>
              <w:sz w:val="24"/>
              <w:szCs w:val="24"/>
              <w:lang w:val="es-419"/>
            </w:rPr>
            <w:fldChar w:fldCharType="begin"/>
          </w:r>
          <w:r w:rsidR="00E745DC" w:rsidRPr="007A0F30">
            <w:rPr>
              <w:rFonts w:ascii="Century Gothic" w:hAnsi="Century Gothic" w:cs="Arial"/>
              <w:sz w:val="24"/>
              <w:szCs w:val="24"/>
              <w:lang w:val="es-ES"/>
            </w:rPr>
            <w:instrText xml:space="preserve"> CITATION Esp19 \l 3082 </w:instrText>
          </w:r>
          <w:r w:rsidR="00E745DC" w:rsidRPr="007A0F30">
            <w:rPr>
              <w:rFonts w:ascii="Century Gothic" w:hAnsi="Century Gothic" w:cs="Arial"/>
              <w:sz w:val="24"/>
              <w:szCs w:val="24"/>
              <w:lang w:val="es-419"/>
            </w:rPr>
            <w:fldChar w:fldCharType="separate"/>
          </w:r>
          <w:r w:rsidR="00E745DC" w:rsidRPr="007A0F30">
            <w:rPr>
              <w:rFonts w:ascii="Century Gothic" w:hAnsi="Century Gothic" w:cs="Arial"/>
              <w:noProof/>
              <w:sz w:val="24"/>
              <w:szCs w:val="24"/>
              <w:lang w:val="es-ES"/>
            </w:rPr>
            <w:t>(Espitia &amp; Garay, 2019)</w:t>
          </w:r>
          <w:r w:rsidR="00E745DC" w:rsidRPr="007A0F30">
            <w:rPr>
              <w:rFonts w:ascii="Century Gothic" w:hAnsi="Century Gothic" w:cs="Arial"/>
              <w:sz w:val="24"/>
              <w:szCs w:val="24"/>
              <w:lang w:val="es-419"/>
            </w:rPr>
            <w:fldChar w:fldCharType="end"/>
          </w:r>
        </w:sdtContent>
      </w:sdt>
      <w:r w:rsidR="00E745DC" w:rsidRPr="007A0F30">
        <w:rPr>
          <w:rFonts w:ascii="Century Gothic" w:hAnsi="Century Gothic" w:cs="Arial"/>
          <w:sz w:val="24"/>
          <w:szCs w:val="24"/>
          <w:lang w:val="es-419"/>
        </w:rPr>
        <w:t>.</w:t>
      </w:r>
      <w:r w:rsidR="00A6799E" w:rsidRPr="007A0F30">
        <w:rPr>
          <w:rFonts w:ascii="Century Gothic" w:hAnsi="Century Gothic" w:cs="Arial"/>
          <w:sz w:val="24"/>
          <w:szCs w:val="24"/>
          <w:lang w:val="es-419"/>
        </w:rPr>
        <w:t xml:space="preserve"> A pesar de ser un sector con alta concentración patrimonial y de ingresos, no es un sector generador de empleo. Como se observa en la siguiente gráfica, el sector minero fue uno</w:t>
      </w:r>
      <w:r w:rsidR="007339EB">
        <w:rPr>
          <w:rFonts w:ascii="Century Gothic" w:hAnsi="Century Gothic" w:cs="Arial"/>
          <w:sz w:val="24"/>
          <w:szCs w:val="24"/>
          <w:lang w:val="es-419"/>
        </w:rPr>
        <w:t xml:space="preserve"> de los que más creció en 2019 pero solo generó </w:t>
      </w:r>
      <w:r w:rsidR="00A6799E" w:rsidRPr="007A0F30">
        <w:rPr>
          <w:rFonts w:ascii="Century Gothic" w:hAnsi="Century Gothic" w:cs="Arial"/>
          <w:sz w:val="24"/>
          <w:szCs w:val="24"/>
          <w:lang w:val="es-419"/>
        </w:rPr>
        <w:t xml:space="preserve">el 1,17% del empleo del país. </w:t>
      </w:r>
    </w:p>
    <w:p w14:paraId="01891E71" w14:textId="30CC13F9" w:rsidR="00A6799E" w:rsidRPr="007A0F30" w:rsidRDefault="00A6799E" w:rsidP="007669DC">
      <w:pPr>
        <w:spacing w:before="120" w:after="120" w:line="360" w:lineRule="auto"/>
        <w:jc w:val="both"/>
        <w:rPr>
          <w:rFonts w:ascii="Century Gothic" w:hAnsi="Century Gothic" w:cs="Arial"/>
          <w:sz w:val="24"/>
          <w:szCs w:val="24"/>
          <w:lang w:val="es-419"/>
        </w:rPr>
      </w:pPr>
    </w:p>
    <w:p w14:paraId="1D0CCB6C" w14:textId="0EE4AF33" w:rsidR="00A6799E" w:rsidRDefault="00A6799E" w:rsidP="007669DC">
      <w:pPr>
        <w:spacing w:before="120" w:after="120" w:line="360" w:lineRule="auto"/>
        <w:jc w:val="both"/>
        <w:rPr>
          <w:rFonts w:ascii="Century Gothic" w:hAnsi="Century Gothic" w:cs="Arial"/>
          <w:sz w:val="24"/>
          <w:szCs w:val="24"/>
          <w:lang w:val="es-419"/>
        </w:rPr>
      </w:pPr>
    </w:p>
    <w:p w14:paraId="4F6C8D34" w14:textId="77777777" w:rsidR="007339EB" w:rsidRPr="007A0F30" w:rsidRDefault="007339EB" w:rsidP="007669DC">
      <w:pPr>
        <w:spacing w:before="120" w:after="120" w:line="360" w:lineRule="auto"/>
        <w:jc w:val="both"/>
        <w:rPr>
          <w:rFonts w:ascii="Century Gothic" w:hAnsi="Century Gothic" w:cs="Arial"/>
          <w:sz w:val="24"/>
          <w:szCs w:val="24"/>
          <w:lang w:val="es-419"/>
        </w:rPr>
      </w:pPr>
    </w:p>
    <w:p w14:paraId="077677C4" w14:textId="5982753B" w:rsidR="00A6799E" w:rsidRPr="007A0F30" w:rsidRDefault="00A6799E" w:rsidP="007669DC">
      <w:pPr>
        <w:spacing w:line="360" w:lineRule="auto"/>
        <w:ind w:firstLine="708"/>
        <w:jc w:val="both"/>
        <w:rPr>
          <w:rFonts w:ascii="Century Gothic" w:hAnsi="Century Gothic"/>
          <w:sz w:val="24"/>
          <w:szCs w:val="24"/>
        </w:rPr>
      </w:pPr>
      <w:r w:rsidRPr="007A0F30">
        <w:rPr>
          <w:rFonts w:ascii="Century Gothic" w:hAnsi="Century Gothic" w:cs="Arial"/>
          <w:sz w:val="24"/>
          <w:szCs w:val="24"/>
          <w:lang w:val="es-419"/>
        </w:rPr>
        <w:lastRenderedPageBreak/>
        <w:t xml:space="preserve">Cuadro 1. </w:t>
      </w:r>
      <w:r w:rsidRPr="007A0F30">
        <w:rPr>
          <w:rFonts w:ascii="Century Gothic" w:hAnsi="Century Gothic"/>
          <w:sz w:val="24"/>
          <w:szCs w:val="24"/>
        </w:rPr>
        <w:t>Crecimiento vs empleo generado en Colombia</w:t>
      </w:r>
      <w:r w:rsidR="00450CC9">
        <w:rPr>
          <w:rFonts w:ascii="Century Gothic" w:hAnsi="Century Gothic"/>
          <w:sz w:val="24"/>
          <w:szCs w:val="24"/>
        </w:rPr>
        <w:t xml:space="preserve"> para 2019</w:t>
      </w:r>
    </w:p>
    <w:tbl>
      <w:tblPr>
        <w:tblStyle w:val="Tablaconcuadrcula"/>
        <w:tblW w:w="0" w:type="auto"/>
        <w:tblLook w:val="04A0" w:firstRow="1" w:lastRow="0" w:firstColumn="1" w:lastColumn="0" w:noHBand="0" w:noVBand="1"/>
      </w:tblPr>
      <w:tblGrid>
        <w:gridCol w:w="2942"/>
        <w:gridCol w:w="2942"/>
        <w:gridCol w:w="2943"/>
      </w:tblGrid>
      <w:tr w:rsidR="00A6799E" w:rsidRPr="007A0F30" w14:paraId="424B9911" w14:textId="77777777" w:rsidTr="00277987">
        <w:tc>
          <w:tcPr>
            <w:tcW w:w="2942" w:type="dxa"/>
          </w:tcPr>
          <w:p w14:paraId="66DD5402" w14:textId="77777777" w:rsidR="00A6799E" w:rsidRPr="007A0F30" w:rsidRDefault="00A6799E" w:rsidP="007669DC">
            <w:pPr>
              <w:tabs>
                <w:tab w:val="right" w:pos="2726"/>
              </w:tabs>
              <w:spacing w:line="360" w:lineRule="auto"/>
              <w:jc w:val="center"/>
              <w:rPr>
                <w:rFonts w:ascii="Century Gothic" w:hAnsi="Century Gothic"/>
                <w:b/>
                <w:szCs w:val="24"/>
              </w:rPr>
            </w:pPr>
          </w:p>
        </w:tc>
        <w:tc>
          <w:tcPr>
            <w:tcW w:w="2942" w:type="dxa"/>
          </w:tcPr>
          <w:p w14:paraId="53ECC2F4" w14:textId="77777777" w:rsidR="00A6799E" w:rsidRPr="007A0F30" w:rsidRDefault="00A6799E" w:rsidP="007669DC">
            <w:pPr>
              <w:tabs>
                <w:tab w:val="right" w:pos="2726"/>
              </w:tabs>
              <w:spacing w:line="360" w:lineRule="auto"/>
              <w:jc w:val="center"/>
              <w:rPr>
                <w:rFonts w:ascii="Century Gothic" w:hAnsi="Century Gothic"/>
                <w:szCs w:val="24"/>
              </w:rPr>
            </w:pPr>
            <w:r w:rsidRPr="007A0F30">
              <w:rPr>
                <w:rFonts w:ascii="Century Gothic" w:hAnsi="Century Gothic"/>
                <w:szCs w:val="24"/>
              </w:rPr>
              <w:t>Crecimiento 2019</w:t>
            </w:r>
          </w:p>
        </w:tc>
        <w:tc>
          <w:tcPr>
            <w:tcW w:w="2943" w:type="dxa"/>
          </w:tcPr>
          <w:p w14:paraId="3CFFF44A"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Empleo generado</w:t>
            </w:r>
          </w:p>
        </w:tc>
      </w:tr>
      <w:tr w:rsidR="00A6799E" w:rsidRPr="007A0F30" w14:paraId="74EFF422" w14:textId="77777777" w:rsidTr="00277987">
        <w:tc>
          <w:tcPr>
            <w:tcW w:w="2942" w:type="dxa"/>
          </w:tcPr>
          <w:p w14:paraId="693C0760"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Financiero</w:t>
            </w:r>
          </w:p>
        </w:tc>
        <w:tc>
          <w:tcPr>
            <w:tcW w:w="2942" w:type="dxa"/>
          </w:tcPr>
          <w:p w14:paraId="3EF3E4C9"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6,1%</w:t>
            </w:r>
          </w:p>
        </w:tc>
        <w:tc>
          <w:tcPr>
            <w:tcW w:w="2943" w:type="dxa"/>
          </w:tcPr>
          <w:p w14:paraId="2D9CD6FA"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1,36%</w:t>
            </w:r>
          </w:p>
        </w:tc>
      </w:tr>
      <w:tr w:rsidR="00A6799E" w:rsidRPr="007A0F30" w14:paraId="056C750D" w14:textId="77777777" w:rsidTr="00277987">
        <w:tc>
          <w:tcPr>
            <w:tcW w:w="2942" w:type="dxa"/>
          </w:tcPr>
          <w:p w14:paraId="3475A8D9"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Minero</w:t>
            </w:r>
          </w:p>
        </w:tc>
        <w:tc>
          <w:tcPr>
            <w:tcW w:w="2942" w:type="dxa"/>
          </w:tcPr>
          <w:p w14:paraId="20DB6746"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2,5%</w:t>
            </w:r>
          </w:p>
        </w:tc>
        <w:tc>
          <w:tcPr>
            <w:tcW w:w="2943" w:type="dxa"/>
          </w:tcPr>
          <w:p w14:paraId="1C15A520"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1,17%</w:t>
            </w:r>
          </w:p>
        </w:tc>
      </w:tr>
      <w:tr w:rsidR="00A6799E" w:rsidRPr="007A0F30" w14:paraId="64ADD047" w14:textId="77777777" w:rsidTr="00277987">
        <w:tc>
          <w:tcPr>
            <w:tcW w:w="2942" w:type="dxa"/>
          </w:tcPr>
          <w:p w14:paraId="2CD31E95"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Construcción</w:t>
            </w:r>
          </w:p>
        </w:tc>
        <w:tc>
          <w:tcPr>
            <w:tcW w:w="2942" w:type="dxa"/>
          </w:tcPr>
          <w:p w14:paraId="3A491013"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-1,9%</w:t>
            </w:r>
          </w:p>
        </w:tc>
        <w:tc>
          <w:tcPr>
            <w:tcW w:w="2943" w:type="dxa"/>
          </w:tcPr>
          <w:p w14:paraId="1FFA697E"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6,82%</w:t>
            </w:r>
          </w:p>
        </w:tc>
      </w:tr>
      <w:tr w:rsidR="00A6799E" w:rsidRPr="007A0F30" w14:paraId="3CD35361" w14:textId="77777777" w:rsidTr="00277987">
        <w:tc>
          <w:tcPr>
            <w:tcW w:w="2942" w:type="dxa"/>
          </w:tcPr>
          <w:p w14:paraId="7B1C14E6"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Industrial</w:t>
            </w:r>
          </w:p>
        </w:tc>
        <w:tc>
          <w:tcPr>
            <w:tcW w:w="2942" w:type="dxa"/>
          </w:tcPr>
          <w:p w14:paraId="7F5AA4FA"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1,7%</w:t>
            </w:r>
          </w:p>
        </w:tc>
        <w:tc>
          <w:tcPr>
            <w:tcW w:w="2943" w:type="dxa"/>
          </w:tcPr>
          <w:p w14:paraId="5377FA8A"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11,2%</w:t>
            </w:r>
          </w:p>
        </w:tc>
      </w:tr>
      <w:tr w:rsidR="00A6799E" w:rsidRPr="007A0F30" w14:paraId="1E69E984" w14:textId="77777777" w:rsidTr="00277987">
        <w:tc>
          <w:tcPr>
            <w:tcW w:w="2942" w:type="dxa"/>
          </w:tcPr>
          <w:p w14:paraId="12328283"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Agricultura</w:t>
            </w:r>
          </w:p>
        </w:tc>
        <w:tc>
          <w:tcPr>
            <w:tcW w:w="2942" w:type="dxa"/>
          </w:tcPr>
          <w:p w14:paraId="36C5A000"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2,0%</w:t>
            </w:r>
          </w:p>
        </w:tc>
        <w:tc>
          <w:tcPr>
            <w:tcW w:w="2943" w:type="dxa"/>
          </w:tcPr>
          <w:p w14:paraId="5697F39E" w14:textId="77777777" w:rsidR="00A6799E" w:rsidRPr="007A0F30" w:rsidRDefault="00A6799E" w:rsidP="007669DC">
            <w:pPr>
              <w:spacing w:line="360" w:lineRule="auto"/>
              <w:jc w:val="center"/>
              <w:rPr>
                <w:rFonts w:ascii="Century Gothic" w:hAnsi="Century Gothic"/>
                <w:szCs w:val="24"/>
              </w:rPr>
            </w:pPr>
            <w:r w:rsidRPr="007A0F30">
              <w:rPr>
                <w:rFonts w:ascii="Century Gothic" w:hAnsi="Century Gothic"/>
                <w:szCs w:val="24"/>
              </w:rPr>
              <w:t>16,7%</w:t>
            </w:r>
          </w:p>
        </w:tc>
      </w:tr>
    </w:tbl>
    <w:p w14:paraId="60301CC1" w14:textId="77777777" w:rsidR="00A6799E" w:rsidRPr="007A0F30" w:rsidRDefault="00A6799E" w:rsidP="007669DC">
      <w:pPr>
        <w:spacing w:line="360" w:lineRule="auto"/>
        <w:jc w:val="both"/>
        <w:rPr>
          <w:rFonts w:ascii="Century Gothic" w:hAnsi="Century Gothic"/>
          <w:sz w:val="24"/>
          <w:szCs w:val="24"/>
        </w:rPr>
      </w:pPr>
      <w:r w:rsidRPr="007A0F30">
        <w:rPr>
          <w:rFonts w:ascii="Century Gothic" w:hAnsi="Century Gothic"/>
          <w:sz w:val="24"/>
          <w:szCs w:val="24"/>
        </w:rPr>
        <w:t xml:space="preserve">Fuente: Calculos propios con base al Dane. </w:t>
      </w:r>
    </w:p>
    <w:p w14:paraId="45A622B3" w14:textId="3EB95D95" w:rsidR="000C6474" w:rsidRPr="007A0F30" w:rsidRDefault="00706B92" w:rsidP="007669DC">
      <w:pPr>
        <w:spacing w:before="120" w:after="120" w:line="360" w:lineRule="auto"/>
        <w:jc w:val="both"/>
        <w:rPr>
          <w:rFonts w:ascii="Century Gothic" w:hAnsi="Century Gothic" w:cs="Arial"/>
          <w:sz w:val="24"/>
          <w:szCs w:val="24"/>
          <w:lang w:val="es-419"/>
        </w:rPr>
      </w:pPr>
      <w:r w:rsidRPr="007A0F30">
        <w:rPr>
          <w:rFonts w:ascii="Century Gothic" w:hAnsi="Century Gothic" w:cs="Arial"/>
          <w:sz w:val="24"/>
          <w:szCs w:val="24"/>
          <w:lang w:val="es-419"/>
        </w:rPr>
        <w:tab/>
      </w:r>
    </w:p>
    <w:p w14:paraId="60F7F6E6" w14:textId="4C079FE7" w:rsidR="0025528B" w:rsidRDefault="0025528B" w:rsidP="007669DC">
      <w:pPr>
        <w:spacing w:before="120" w:after="120" w:line="360" w:lineRule="auto"/>
        <w:jc w:val="both"/>
        <w:rPr>
          <w:rFonts w:ascii="Century Gothic" w:hAnsi="Century Gothic" w:cs="Arial"/>
          <w:sz w:val="24"/>
          <w:szCs w:val="24"/>
          <w:lang w:val="es-419"/>
        </w:rPr>
      </w:pPr>
      <w:r w:rsidRPr="007A0F30">
        <w:rPr>
          <w:rFonts w:ascii="Century Gothic" w:hAnsi="Century Gothic" w:cs="Arial"/>
          <w:sz w:val="24"/>
          <w:szCs w:val="24"/>
          <w:lang w:val="es-419"/>
        </w:rPr>
        <w:t xml:space="preserve">Aunque las empresas mineras no son creadoras de empleo, su tasa efectiva de tributación está por debajo de sectores que crean la mayoría de empleos en el país como son </w:t>
      </w:r>
      <w:r w:rsidR="007339EB">
        <w:rPr>
          <w:rFonts w:ascii="Century Gothic" w:hAnsi="Century Gothic" w:cs="Arial"/>
          <w:sz w:val="24"/>
          <w:szCs w:val="24"/>
          <w:lang w:val="es-419"/>
        </w:rPr>
        <w:t xml:space="preserve">la </w:t>
      </w:r>
      <w:r w:rsidRPr="007A0F30">
        <w:rPr>
          <w:rFonts w:ascii="Century Gothic" w:hAnsi="Century Gothic" w:cs="Arial"/>
          <w:sz w:val="24"/>
          <w:szCs w:val="24"/>
          <w:lang w:val="es-419"/>
        </w:rPr>
        <w:t xml:space="preserve">industria, </w:t>
      </w:r>
      <w:r w:rsidR="007339EB">
        <w:rPr>
          <w:rFonts w:ascii="Century Gothic" w:hAnsi="Century Gothic" w:cs="Arial"/>
          <w:sz w:val="24"/>
          <w:szCs w:val="24"/>
          <w:lang w:val="es-419"/>
        </w:rPr>
        <w:t xml:space="preserve">el </w:t>
      </w:r>
      <w:r w:rsidRPr="007A0F30">
        <w:rPr>
          <w:rFonts w:ascii="Century Gothic" w:hAnsi="Century Gothic" w:cs="Arial"/>
          <w:sz w:val="24"/>
          <w:szCs w:val="24"/>
          <w:lang w:val="es-419"/>
        </w:rPr>
        <w:t xml:space="preserve">comercio y </w:t>
      </w:r>
      <w:r w:rsidR="007339EB">
        <w:rPr>
          <w:rFonts w:ascii="Century Gothic" w:hAnsi="Century Gothic" w:cs="Arial"/>
          <w:sz w:val="24"/>
          <w:szCs w:val="24"/>
          <w:lang w:val="es-419"/>
        </w:rPr>
        <w:t xml:space="preserve">la </w:t>
      </w:r>
      <w:r w:rsidRPr="007A0F30">
        <w:rPr>
          <w:rFonts w:ascii="Century Gothic" w:hAnsi="Century Gothic" w:cs="Arial"/>
          <w:sz w:val="24"/>
          <w:szCs w:val="24"/>
          <w:lang w:val="es-419"/>
        </w:rPr>
        <w:t xml:space="preserve">agricultura. </w:t>
      </w:r>
    </w:p>
    <w:p w14:paraId="5B8E42FF" w14:textId="77777777" w:rsidR="007339EB" w:rsidRPr="007A0F30" w:rsidRDefault="007339EB" w:rsidP="007669DC">
      <w:pPr>
        <w:spacing w:before="120" w:after="120" w:line="360" w:lineRule="auto"/>
        <w:jc w:val="both"/>
        <w:rPr>
          <w:rFonts w:ascii="Century Gothic" w:hAnsi="Century Gothic" w:cs="Arial"/>
          <w:sz w:val="24"/>
          <w:szCs w:val="24"/>
          <w:lang w:val="es-419"/>
        </w:rPr>
      </w:pPr>
    </w:p>
    <w:p w14:paraId="534C32CF" w14:textId="7CD85111" w:rsidR="006F4D69" w:rsidRPr="007A0F30" w:rsidRDefault="006F4D69" w:rsidP="007669DC">
      <w:pPr>
        <w:spacing w:before="120" w:after="120" w:line="360" w:lineRule="auto"/>
        <w:ind w:firstLine="708"/>
        <w:jc w:val="both"/>
        <w:rPr>
          <w:rFonts w:ascii="Century Gothic" w:hAnsi="Century Gothic" w:cs="Arial"/>
          <w:sz w:val="24"/>
          <w:szCs w:val="24"/>
          <w:lang w:val="es-419"/>
        </w:rPr>
      </w:pPr>
      <w:r w:rsidRPr="007A0F30">
        <w:rPr>
          <w:rFonts w:ascii="Century Gothic" w:hAnsi="Century Gothic" w:cs="Arial"/>
          <w:sz w:val="24"/>
          <w:szCs w:val="24"/>
          <w:lang w:val="es-419"/>
        </w:rPr>
        <w:t>Cuadro. Impuesto efectivo en 2015 vs empleo generado</w:t>
      </w:r>
      <w:r w:rsidR="00450CC9">
        <w:rPr>
          <w:rFonts w:ascii="Century Gothic" w:hAnsi="Century Gothic" w:cs="Arial"/>
          <w:sz w:val="24"/>
          <w:szCs w:val="24"/>
          <w:lang w:val="es-419"/>
        </w:rPr>
        <w:t xml:space="preserve"> en 2015</w:t>
      </w:r>
      <w:r w:rsidRPr="007A0F30">
        <w:rPr>
          <w:rFonts w:ascii="Century Gothic" w:hAnsi="Century Gothic" w:cs="Arial"/>
          <w:sz w:val="24"/>
          <w:szCs w:val="24"/>
          <w:lang w:val="es-419"/>
        </w:rPr>
        <w:t>.</w:t>
      </w:r>
    </w:p>
    <w:tbl>
      <w:tblPr>
        <w:tblStyle w:val="Tablaconcuadrcula"/>
        <w:tblW w:w="8075" w:type="dxa"/>
        <w:jc w:val="center"/>
        <w:tblLook w:val="0600" w:firstRow="0" w:lastRow="0" w:firstColumn="0" w:lastColumn="0" w:noHBand="1" w:noVBand="1"/>
      </w:tblPr>
      <w:tblGrid>
        <w:gridCol w:w="2547"/>
        <w:gridCol w:w="2693"/>
        <w:gridCol w:w="2835"/>
      </w:tblGrid>
      <w:tr w:rsidR="006F4D69" w:rsidRPr="007A0F30" w14:paraId="51B506EA" w14:textId="77777777" w:rsidTr="006F4D69">
        <w:trPr>
          <w:trHeight w:val="1116"/>
          <w:jc w:val="center"/>
        </w:trPr>
        <w:tc>
          <w:tcPr>
            <w:tcW w:w="2547" w:type="dxa"/>
            <w:hideMark/>
          </w:tcPr>
          <w:p w14:paraId="4ECE4096" w14:textId="77777777" w:rsidR="006F4D69" w:rsidRPr="007A0F30" w:rsidRDefault="006F4D69" w:rsidP="007669DC">
            <w:pPr>
              <w:spacing w:before="120" w:after="120" w:line="360" w:lineRule="auto"/>
              <w:jc w:val="both"/>
              <w:rPr>
                <w:rFonts w:ascii="Century Gothic" w:hAnsi="Century Gothic" w:cs="Arial"/>
                <w:szCs w:val="24"/>
                <w:lang w:val="es-ES"/>
              </w:rPr>
            </w:pPr>
          </w:p>
        </w:tc>
        <w:tc>
          <w:tcPr>
            <w:tcW w:w="2693" w:type="dxa"/>
            <w:hideMark/>
          </w:tcPr>
          <w:p w14:paraId="59909C59"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Impuesto efectivo</w:t>
            </w:r>
          </w:p>
        </w:tc>
        <w:tc>
          <w:tcPr>
            <w:tcW w:w="2835" w:type="dxa"/>
            <w:hideMark/>
          </w:tcPr>
          <w:p w14:paraId="1BCAE4B7"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Empleo generado</w:t>
            </w:r>
          </w:p>
        </w:tc>
      </w:tr>
      <w:tr w:rsidR="006F4D69" w:rsidRPr="007A0F30" w14:paraId="214BE513" w14:textId="77777777" w:rsidTr="006F4D69">
        <w:trPr>
          <w:trHeight w:val="565"/>
          <w:jc w:val="center"/>
        </w:trPr>
        <w:tc>
          <w:tcPr>
            <w:tcW w:w="2547" w:type="dxa"/>
            <w:hideMark/>
          </w:tcPr>
          <w:p w14:paraId="28D70EF5"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Industria</w:t>
            </w:r>
          </w:p>
        </w:tc>
        <w:tc>
          <w:tcPr>
            <w:tcW w:w="2693" w:type="dxa"/>
            <w:hideMark/>
          </w:tcPr>
          <w:p w14:paraId="5D659F93"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19,40%</w:t>
            </w:r>
          </w:p>
        </w:tc>
        <w:tc>
          <w:tcPr>
            <w:tcW w:w="2835" w:type="dxa"/>
            <w:hideMark/>
          </w:tcPr>
          <w:p w14:paraId="1EA7AAB0"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11,39%</w:t>
            </w:r>
          </w:p>
        </w:tc>
      </w:tr>
      <w:tr w:rsidR="006F4D69" w:rsidRPr="007A0F30" w14:paraId="0DB0C41A" w14:textId="77777777" w:rsidTr="006F4D69">
        <w:trPr>
          <w:trHeight w:val="565"/>
          <w:jc w:val="center"/>
        </w:trPr>
        <w:tc>
          <w:tcPr>
            <w:tcW w:w="2547" w:type="dxa"/>
            <w:hideMark/>
          </w:tcPr>
          <w:p w14:paraId="779FDA26"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 xml:space="preserve">Comercio </w:t>
            </w:r>
          </w:p>
        </w:tc>
        <w:tc>
          <w:tcPr>
            <w:tcW w:w="2693" w:type="dxa"/>
            <w:hideMark/>
          </w:tcPr>
          <w:p w14:paraId="4A80D240"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17,10%</w:t>
            </w:r>
          </w:p>
        </w:tc>
        <w:tc>
          <w:tcPr>
            <w:tcW w:w="2835" w:type="dxa"/>
            <w:hideMark/>
          </w:tcPr>
          <w:p w14:paraId="4B0EB133"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27,57%</w:t>
            </w:r>
          </w:p>
        </w:tc>
      </w:tr>
      <w:tr w:rsidR="006F4D69" w:rsidRPr="007A0F30" w14:paraId="574B8DA5" w14:textId="77777777" w:rsidTr="006F4D69">
        <w:trPr>
          <w:trHeight w:val="565"/>
          <w:jc w:val="center"/>
        </w:trPr>
        <w:tc>
          <w:tcPr>
            <w:tcW w:w="2547" w:type="dxa"/>
            <w:hideMark/>
          </w:tcPr>
          <w:p w14:paraId="515FD35D"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Agricultura</w:t>
            </w:r>
          </w:p>
        </w:tc>
        <w:tc>
          <w:tcPr>
            <w:tcW w:w="2693" w:type="dxa"/>
            <w:hideMark/>
          </w:tcPr>
          <w:p w14:paraId="643C8048"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17%</w:t>
            </w:r>
          </w:p>
        </w:tc>
        <w:tc>
          <w:tcPr>
            <w:tcW w:w="2835" w:type="dxa"/>
            <w:hideMark/>
          </w:tcPr>
          <w:p w14:paraId="001240C6"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16,37%</w:t>
            </w:r>
          </w:p>
        </w:tc>
      </w:tr>
      <w:tr w:rsidR="006F4D69" w:rsidRPr="007A0F30" w14:paraId="765C3040" w14:textId="77777777" w:rsidTr="006F4D69">
        <w:trPr>
          <w:trHeight w:val="659"/>
          <w:jc w:val="center"/>
        </w:trPr>
        <w:tc>
          <w:tcPr>
            <w:tcW w:w="2547" w:type="dxa"/>
            <w:hideMark/>
          </w:tcPr>
          <w:p w14:paraId="0885E91C"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 xml:space="preserve">Construcción </w:t>
            </w:r>
          </w:p>
        </w:tc>
        <w:tc>
          <w:tcPr>
            <w:tcW w:w="2693" w:type="dxa"/>
            <w:hideMark/>
          </w:tcPr>
          <w:p w14:paraId="144C8315"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16,60%</w:t>
            </w:r>
          </w:p>
        </w:tc>
        <w:tc>
          <w:tcPr>
            <w:tcW w:w="2835" w:type="dxa"/>
            <w:hideMark/>
          </w:tcPr>
          <w:p w14:paraId="564D810A"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6,07%</w:t>
            </w:r>
          </w:p>
        </w:tc>
      </w:tr>
      <w:tr w:rsidR="006F4D69" w:rsidRPr="007A0F30" w14:paraId="07480CC0" w14:textId="77777777" w:rsidTr="006F4D69">
        <w:trPr>
          <w:trHeight w:val="565"/>
          <w:jc w:val="center"/>
        </w:trPr>
        <w:tc>
          <w:tcPr>
            <w:tcW w:w="2547" w:type="dxa"/>
            <w:hideMark/>
          </w:tcPr>
          <w:p w14:paraId="49B3FC5D"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Servicios</w:t>
            </w:r>
          </w:p>
        </w:tc>
        <w:tc>
          <w:tcPr>
            <w:tcW w:w="2693" w:type="dxa"/>
            <w:hideMark/>
          </w:tcPr>
          <w:p w14:paraId="18E55208"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15,70%</w:t>
            </w:r>
          </w:p>
        </w:tc>
        <w:tc>
          <w:tcPr>
            <w:tcW w:w="2835" w:type="dxa"/>
            <w:hideMark/>
          </w:tcPr>
          <w:p w14:paraId="3088B301"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20,45%</w:t>
            </w:r>
          </w:p>
        </w:tc>
      </w:tr>
      <w:tr w:rsidR="006F4D69" w:rsidRPr="007A0F30" w14:paraId="58093D67" w14:textId="77777777" w:rsidTr="006F4D69">
        <w:trPr>
          <w:trHeight w:val="565"/>
          <w:jc w:val="center"/>
        </w:trPr>
        <w:tc>
          <w:tcPr>
            <w:tcW w:w="2547" w:type="dxa"/>
            <w:hideMark/>
          </w:tcPr>
          <w:p w14:paraId="721DDDFD"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lastRenderedPageBreak/>
              <w:t>Minería</w:t>
            </w:r>
          </w:p>
        </w:tc>
        <w:tc>
          <w:tcPr>
            <w:tcW w:w="2693" w:type="dxa"/>
            <w:hideMark/>
          </w:tcPr>
          <w:p w14:paraId="7EDA349C"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14,40%</w:t>
            </w:r>
          </w:p>
        </w:tc>
        <w:tc>
          <w:tcPr>
            <w:tcW w:w="2835" w:type="dxa"/>
            <w:hideMark/>
          </w:tcPr>
          <w:p w14:paraId="14212EB3"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0,80%</w:t>
            </w:r>
          </w:p>
        </w:tc>
      </w:tr>
      <w:tr w:rsidR="006F4D69" w:rsidRPr="007A0F30" w14:paraId="6F63934F" w14:textId="77777777" w:rsidTr="006F4D69">
        <w:trPr>
          <w:trHeight w:val="565"/>
          <w:jc w:val="center"/>
        </w:trPr>
        <w:tc>
          <w:tcPr>
            <w:tcW w:w="2547" w:type="dxa"/>
            <w:hideMark/>
          </w:tcPr>
          <w:p w14:paraId="758570FB"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Financiero</w:t>
            </w:r>
          </w:p>
        </w:tc>
        <w:tc>
          <w:tcPr>
            <w:tcW w:w="2693" w:type="dxa"/>
            <w:hideMark/>
          </w:tcPr>
          <w:p w14:paraId="1B4C41D9"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7%</w:t>
            </w:r>
          </w:p>
        </w:tc>
        <w:tc>
          <w:tcPr>
            <w:tcW w:w="2835" w:type="dxa"/>
            <w:hideMark/>
          </w:tcPr>
          <w:p w14:paraId="5786F4A0" w14:textId="77777777" w:rsidR="006F4D69" w:rsidRPr="007A0F30" w:rsidRDefault="006F4D69" w:rsidP="007669DC">
            <w:pPr>
              <w:spacing w:before="120" w:after="120" w:line="360" w:lineRule="auto"/>
              <w:jc w:val="both"/>
              <w:rPr>
                <w:rFonts w:ascii="Century Gothic" w:hAnsi="Century Gothic" w:cs="Arial"/>
                <w:szCs w:val="24"/>
                <w:lang w:val="en-US"/>
              </w:rPr>
            </w:pPr>
            <w:r w:rsidRPr="007A0F30">
              <w:rPr>
                <w:rFonts w:ascii="Century Gothic" w:hAnsi="Century Gothic" w:cs="Arial"/>
                <w:szCs w:val="24"/>
              </w:rPr>
              <w:t>1,38%</w:t>
            </w:r>
          </w:p>
        </w:tc>
      </w:tr>
    </w:tbl>
    <w:p w14:paraId="287969E3" w14:textId="0E62BE94" w:rsidR="00495B56" w:rsidRPr="007A0F30" w:rsidRDefault="006F4D69" w:rsidP="007669DC">
      <w:pPr>
        <w:spacing w:before="120" w:after="120" w:line="360" w:lineRule="auto"/>
        <w:jc w:val="both"/>
        <w:rPr>
          <w:rFonts w:ascii="Century Gothic" w:hAnsi="Century Gothic" w:cs="Arial"/>
          <w:sz w:val="24"/>
          <w:szCs w:val="24"/>
          <w:lang w:val="es-419"/>
        </w:rPr>
      </w:pPr>
      <w:r w:rsidRPr="007A0F30">
        <w:rPr>
          <w:rFonts w:ascii="Century Gothic" w:hAnsi="Century Gothic" w:cs="Arial"/>
          <w:sz w:val="24"/>
          <w:szCs w:val="24"/>
          <w:lang w:val="es-419"/>
        </w:rPr>
        <w:tab/>
        <w:t xml:space="preserve">Fuente: (Quimbay </w:t>
      </w:r>
      <w:r w:rsidR="000C6474" w:rsidRPr="007A0F30">
        <w:rPr>
          <w:rFonts w:ascii="Century Gothic" w:hAnsi="Century Gothic" w:cs="Arial"/>
          <w:sz w:val="24"/>
          <w:szCs w:val="24"/>
          <w:lang w:val="es-419"/>
        </w:rPr>
        <w:t>&amp; Villabona, 2017) y (Dane, 2020)</w:t>
      </w:r>
    </w:p>
    <w:p w14:paraId="7D35DF5F" w14:textId="77777777" w:rsidR="000C6474" w:rsidRPr="007A0F30" w:rsidRDefault="000C6474" w:rsidP="007669DC">
      <w:pPr>
        <w:spacing w:before="120" w:after="120" w:line="360" w:lineRule="auto"/>
        <w:jc w:val="both"/>
        <w:rPr>
          <w:rFonts w:ascii="Century Gothic" w:hAnsi="Century Gothic" w:cs="Arial"/>
          <w:sz w:val="24"/>
          <w:szCs w:val="24"/>
          <w:lang w:val="es-419"/>
        </w:rPr>
      </w:pPr>
    </w:p>
    <w:p w14:paraId="54DFEB07" w14:textId="5B75BF8A" w:rsidR="00495B56" w:rsidRPr="007A0F30" w:rsidRDefault="0025528B" w:rsidP="007669DC">
      <w:pPr>
        <w:spacing w:before="120" w:after="120" w:line="360" w:lineRule="auto"/>
        <w:jc w:val="both"/>
        <w:rPr>
          <w:rFonts w:ascii="Century Gothic" w:hAnsi="Century Gothic" w:cs="Arial"/>
          <w:sz w:val="24"/>
          <w:szCs w:val="24"/>
          <w:lang w:val="es-419"/>
        </w:rPr>
      </w:pPr>
      <w:r w:rsidRPr="007A0F30">
        <w:rPr>
          <w:rFonts w:ascii="Century Gothic" w:hAnsi="Century Gothic" w:cs="Arial"/>
          <w:sz w:val="24"/>
          <w:szCs w:val="24"/>
          <w:lang w:val="es-419"/>
        </w:rPr>
        <w:t>Esta situción es crítica toda vez que las ganancias se estarían acumulando sin generar empleo ni tributación. A esto se suma que</w:t>
      </w:r>
      <w:r w:rsidR="00495B56" w:rsidRPr="007A0F30">
        <w:rPr>
          <w:rFonts w:ascii="Century Gothic" w:hAnsi="Century Gothic" w:cs="Arial"/>
          <w:sz w:val="24"/>
          <w:szCs w:val="24"/>
          <w:lang w:val="es-419"/>
        </w:rPr>
        <w:t xml:space="preserve"> el sector de hidrocarburos tuvo un egreso de $13 millones de dólares hacia el exterior</w:t>
      </w:r>
      <w:r w:rsidR="000C6474" w:rsidRPr="007A0F30">
        <w:rPr>
          <w:rFonts w:ascii="Century Gothic" w:hAnsi="Century Gothic" w:cs="Arial"/>
          <w:sz w:val="24"/>
          <w:szCs w:val="24"/>
          <w:lang w:val="es-419"/>
        </w:rPr>
        <w:t xml:space="preserve"> para el año 2019 (Banco de la República, 2019). </w:t>
      </w:r>
      <w:r w:rsidRPr="007A0F30">
        <w:rPr>
          <w:rFonts w:ascii="Century Gothic" w:hAnsi="Century Gothic" w:cs="Arial"/>
          <w:sz w:val="24"/>
          <w:szCs w:val="24"/>
          <w:lang w:val="es-419"/>
        </w:rPr>
        <w:t xml:space="preserve">Es decir, la acumulación de capital </w:t>
      </w:r>
      <w:r w:rsidR="007339EB">
        <w:rPr>
          <w:rFonts w:ascii="Century Gothic" w:hAnsi="Century Gothic" w:cs="Arial"/>
          <w:sz w:val="24"/>
          <w:szCs w:val="24"/>
          <w:lang w:val="es-419"/>
        </w:rPr>
        <w:t>se fugó</w:t>
      </w:r>
      <w:r w:rsidRPr="007A0F30">
        <w:rPr>
          <w:rFonts w:ascii="Century Gothic" w:hAnsi="Century Gothic" w:cs="Arial"/>
          <w:sz w:val="24"/>
          <w:szCs w:val="24"/>
          <w:lang w:val="es-419"/>
        </w:rPr>
        <w:t xml:space="preserve"> hacia las casas matrices sin generar empleo, impuestos ni producción local. </w:t>
      </w:r>
    </w:p>
    <w:p w14:paraId="7F0AC69C" w14:textId="77777777" w:rsidR="000C6474" w:rsidRPr="007A0F30" w:rsidRDefault="000C6474" w:rsidP="007669DC">
      <w:pPr>
        <w:spacing w:before="120" w:after="120" w:line="360" w:lineRule="auto"/>
        <w:jc w:val="both"/>
        <w:rPr>
          <w:rFonts w:ascii="Century Gothic" w:hAnsi="Century Gothic" w:cs="Arial"/>
          <w:sz w:val="24"/>
          <w:szCs w:val="24"/>
          <w:lang w:val="es-419"/>
        </w:rPr>
      </w:pPr>
    </w:p>
    <w:p w14:paraId="35B3CEEF" w14:textId="38A988A2" w:rsidR="000C6474" w:rsidRPr="007A0F30" w:rsidRDefault="000C6474" w:rsidP="007669DC">
      <w:pPr>
        <w:spacing w:before="120" w:after="120" w:line="360" w:lineRule="auto"/>
        <w:jc w:val="both"/>
        <w:rPr>
          <w:rFonts w:ascii="Century Gothic" w:hAnsi="Century Gothic" w:cs="Arial"/>
          <w:b/>
          <w:sz w:val="24"/>
          <w:szCs w:val="24"/>
          <w:lang w:val="es-419"/>
        </w:rPr>
      </w:pPr>
      <w:r w:rsidRPr="007A0F30">
        <w:rPr>
          <w:rFonts w:ascii="Century Gothic" w:hAnsi="Century Gothic" w:cs="Arial"/>
          <w:b/>
          <w:sz w:val="24"/>
          <w:szCs w:val="24"/>
          <w:lang w:val="es-419"/>
        </w:rPr>
        <w:t>Situación de la ciencia y tecnología en el país</w:t>
      </w:r>
    </w:p>
    <w:p w14:paraId="652DBF06" w14:textId="77777777" w:rsidR="0025528B" w:rsidRPr="007A0F30" w:rsidRDefault="0025528B" w:rsidP="007669DC">
      <w:pPr>
        <w:spacing w:before="120" w:after="120" w:line="360" w:lineRule="auto"/>
        <w:jc w:val="both"/>
        <w:rPr>
          <w:rFonts w:ascii="Century Gothic" w:hAnsi="Century Gothic" w:cs="Arial"/>
          <w:b/>
          <w:sz w:val="24"/>
          <w:szCs w:val="24"/>
          <w:lang w:val="es-419"/>
        </w:rPr>
      </w:pPr>
    </w:p>
    <w:p w14:paraId="35D6BA6E" w14:textId="307D3F8F" w:rsidR="00495B56" w:rsidRPr="007A0F30" w:rsidRDefault="00495B56" w:rsidP="007669DC">
      <w:pPr>
        <w:spacing w:before="120" w:after="120" w:line="360" w:lineRule="auto"/>
        <w:jc w:val="both"/>
        <w:rPr>
          <w:rFonts w:ascii="Century Gothic" w:hAnsi="Century Gothic" w:cs="Arial"/>
          <w:sz w:val="24"/>
          <w:szCs w:val="24"/>
        </w:rPr>
      </w:pPr>
      <w:r w:rsidRPr="007A0F30">
        <w:rPr>
          <w:rFonts w:ascii="Century Gothic" w:hAnsi="Century Gothic" w:cs="Arial"/>
          <w:sz w:val="24"/>
          <w:szCs w:val="24"/>
          <w:lang w:val="es-419"/>
        </w:rPr>
        <w:t xml:space="preserve">La Ciencia y la Tecnología, pese a ser un poderoso pilar para el progreso cultural, social y económico de una </w:t>
      </w:r>
      <w:r w:rsidR="000C6474" w:rsidRPr="007A0F30">
        <w:rPr>
          <w:rFonts w:ascii="Century Gothic" w:hAnsi="Century Gothic" w:cs="Arial"/>
          <w:sz w:val="24"/>
          <w:szCs w:val="24"/>
          <w:lang w:val="es-419"/>
        </w:rPr>
        <w:t>N</w:t>
      </w:r>
      <w:r w:rsidRPr="007A0F30">
        <w:rPr>
          <w:rFonts w:ascii="Century Gothic" w:hAnsi="Century Gothic" w:cs="Arial"/>
          <w:sz w:val="24"/>
          <w:szCs w:val="24"/>
          <w:lang w:val="es-419"/>
        </w:rPr>
        <w:t>ación</w:t>
      </w:r>
      <w:r w:rsidR="000C6474" w:rsidRPr="007A0F30">
        <w:rPr>
          <w:rFonts w:ascii="Century Gothic" w:hAnsi="Century Gothic" w:cs="Arial"/>
          <w:sz w:val="24"/>
          <w:szCs w:val="24"/>
          <w:lang w:val="es-419"/>
        </w:rPr>
        <w:t>, está rezagado en Colombia</w:t>
      </w:r>
      <w:r w:rsidRPr="007A0F30">
        <w:rPr>
          <w:rFonts w:ascii="Century Gothic" w:hAnsi="Century Gothic" w:cs="Arial"/>
          <w:sz w:val="24"/>
          <w:szCs w:val="24"/>
          <w:lang w:val="es-419"/>
        </w:rPr>
        <w:t xml:space="preserve">. </w:t>
      </w:r>
      <w:r w:rsidR="000C6474" w:rsidRPr="007A0F30">
        <w:rPr>
          <w:rFonts w:ascii="Century Gothic" w:hAnsi="Century Gothic" w:cs="Arial"/>
          <w:sz w:val="24"/>
          <w:szCs w:val="24"/>
          <w:lang w:val="es-419"/>
        </w:rPr>
        <w:t>L</w:t>
      </w:r>
      <w:r w:rsidRPr="007A0F30">
        <w:rPr>
          <w:rFonts w:ascii="Century Gothic" w:hAnsi="Century Gothic" w:cs="Arial"/>
          <w:sz w:val="24"/>
          <w:szCs w:val="24"/>
          <w:lang w:val="es-419"/>
        </w:rPr>
        <w:t xml:space="preserve">a siguiente tabla muestra que la evolución </w:t>
      </w:r>
      <w:r w:rsidRPr="007A0F30">
        <w:rPr>
          <w:rFonts w:ascii="Century Gothic" w:hAnsi="Century Gothic" w:cs="Arial"/>
          <w:sz w:val="24"/>
          <w:szCs w:val="24"/>
        </w:rPr>
        <w:t xml:space="preserve">del presupuesto a </w:t>
      </w:r>
      <w:r w:rsidRPr="007A0F30">
        <w:rPr>
          <w:rFonts w:ascii="Century Gothic" w:hAnsi="Century Gothic" w:cs="Arial"/>
          <w:i/>
          <w:sz w:val="24"/>
          <w:szCs w:val="24"/>
        </w:rPr>
        <w:t>Colciencias</w:t>
      </w:r>
      <w:r w:rsidR="007339EB">
        <w:rPr>
          <w:rFonts w:ascii="Century Gothic" w:hAnsi="Century Gothic" w:cs="Arial"/>
          <w:sz w:val="24"/>
          <w:szCs w:val="24"/>
        </w:rPr>
        <w:t xml:space="preserve"> (Hoy Ministerio de Ciencias)</w:t>
      </w:r>
      <w:r w:rsidRPr="007A0F30">
        <w:rPr>
          <w:rFonts w:ascii="Century Gothic" w:hAnsi="Century Gothic" w:cs="Arial"/>
          <w:sz w:val="24"/>
          <w:szCs w:val="24"/>
        </w:rPr>
        <w:t xml:space="preserve"> ha sido muy parecida en los últimos </w:t>
      </w:r>
      <w:r w:rsidR="000C6474" w:rsidRPr="007A0F30">
        <w:rPr>
          <w:rFonts w:ascii="Century Gothic" w:hAnsi="Century Gothic" w:cs="Arial"/>
          <w:sz w:val="24"/>
          <w:szCs w:val="24"/>
        </w:rPr>
        <w:t>7</w:t>
      </w:r>
      <w:r w:rsidRPr="007A0F30">
        <w:rPr>
          <w:rFonts w:ascii="Century Gothic" w:hAnsi="Century Gothic" w:cs="Arial"/>
          <w:sz w:val="24"/>
          <w:szCs w:val="24"/>
        </w:rPr>
        <w:t xml:space="preserve"> años. No ha habido aumentos significativos en ningún gobierno.</w:t>
      </w:r>
    </w:p>
    <w:p w14:paraId="270637ED" w14:textId="77777777" w:rsidR="0025528B" w:rsidRPr="007A0F30" w:rsidRDefault="0025528B" w:rsidP="007669DC">
      <w:pPr>
        <w:spacing w:before="120" w:after="120" w:line="360" w:lineRule="auto"/>
        <w:jc w:val="both"/>
        <w:rPr>
          <w:rFonts w:ascii="Century Gothic" w:hAnsi="Century Gothic" w:cs="Arial"/>
          <w:sz w:val="24"/>
          <w:szCs w:val="24"/>
          <w:lang w:val="es-419"/>
        </w:rPr>
      </w:pPr>
    </w:p>
    <w:p w14:paraId="56647F60" w14:textId="77777777" w:rsidR="00C34F2A" w:rsidRPr="007A0F30" w:rsidRDefault="00C34F2A" w:rsidP="007669DC">
      <w:pPr>
        <w:spacing w:before="120" w:after="120" w:line="360" w:lineRule="auto"/>
        <w:jc w:val="both"/>
        <w:rPr>
          <w:rFonts w:ascii="Century Gothic" w:hAnsi="Century Gothic" w:cs="Arial"/>
          <w:sz w:val="24"/>
          <w:szCs w:val="24"/>
          <w:lang w:val="es-419"/>
        </w:rPr>
      </w:pPr>
    </w:p>
    <w:p w14:paraId="68776DCC" w14:textId="77777777" w:rsidR="00C34F2A" w:rsidRPr="007A0F30" w:rsidRDefault="00C34F2A" w:rsidP="007669DC">
      <w:pPr>
        <w:spacing w:before="120" w:after="120" w:line="360" w:lineRule="auto"/>
        <w:jc w:val="both"/>
        <w:rPr>
          <w:rFonts w:ascii="Century Gothic" w:hAnsi="Century Gothic" w:cs="Arial"/>
          <w:sz w:val="24"/>
          <w:szCs w:val="24"/>
          <w:lang w:val="es-419"/>
        </w:rPr>
      </w:pPr>
    </w:p>
    <w:p w14:paraId="09BACFD4" w14:textId="34102D3D" w:rsidR="00495B56" w:rsidRPr="007A0F30" w:rsidRDefault="00511D16" w:rsidP="007669DC">
      <w:pPr>
        <w:spacing w:before="120" w:after="120" w:line="360" w:lineRule="auto"/>
        <w:ind w:firstLine="708"/>
        <w:rPr>
          <w:rFonts w:ascii="Century Gothic" w:hAnsi="Century Gothic" w:cs="Arial"/>
          <w:sz w:val="24"/>
          <w:szCs w:val="24"/>
        </w:rPr>
      </w:pPr>
      <w:r w:rsidRPr="007A0F30">
        <w:rPr>
          <w:rFonts w:ascii="Century Gothic" w:hAnsi="Century Gothic" w:cs="Arial"/>
          <w:sz w:val="24"/>
          <w:szCs w:val="24"/>
        </w:rPr>
        <w:lastRenderedPageBreak/>
        <w:t>Gráfica. Presupuesto general de la Nación para Ciencia y Tecnología en miles de millones de pesos para Colombia año 2013-2021</w:t>
      </w:r>
      <w:r w:rsidRPr="007A0F30">
        <w:rPr>
          <w:rStyle w:val="Refdenotaalpie"/>
          <w:rFonts w:ascii="Century Gothic" w:hAnsi="Century Gothic" w:cs="Arial"/>
          <w:sz w:val="24"/>
          <w:szCs w:val="24"/>
        </w:rPr>
        <w:footnoteReference w:id="1"/>
      </w:r>
      <w:r w:rsidRPr="007A0F30">
        <w:rPr>
          <w:rFonts w:ascii="Century Gothic" w:hAnsi="Century Gothic" w:cs="Arial"/>
          <w:sz w:val="24"/>
          <w:szCs w:val="24"/>
        </w:rPr>
        <w:t>.</w:t>
      </w:r>
    </w:p>
    <w:p w14:paraId="5EC39E87" w14:textId="0EE64125" w:rsidR="00495B56" w:rsidRPr="007A0F30" w:rsidRDefault="000C6474" w:rsidP="007669DC">
      <w:pPr>
        <w:spacing w:before="120" w:after="120" w:line="360" w:lineRule="auto"/>
        <w:jc w:val="center"/>
        <w:rPr>
          <w:rFonts w:ascii="Century Gothic" w:hAnsi="Century Gothic" w:cs="Arial"/>
          <w:sz w:val="24"/>
          <w:szCs w:val="24"/>
          <w:lang w:val="es-419"/>
        </w:rPr>
      </w:pPr>
      <w:r w:rsidRPr="007A0F30">
        <w:rPr>
          <w:noProof/>
          <w:sz w:val="24"/>
          <w:szCs w:val="24"/>
          <w:lang w:val="es-ES_tradnl" w:eastAsia="es-ES_tradnl"/>
        </w:rPr>
        <w:drawing>
          <wp:inline distT="0" distB="0" distL="0" distR="0" wp14:anchorId="325DE3B6" wp14:editId="29E50DE2">
            <wp:extent cx="4572000" cy="2743200"/>
            <wp:effectExtent l="0" t="0" r="12700" b="12700"/>
            <wp:docPr id="11" name="Chart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363820-7DBB-1240-91BB-A8C41E4FF4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4DCE31" w14:textId="2A166874" w:rsidR="00511D16" w:rsidRPr="007A0F30" w:rsidRDefault="00511D16" w:rsidP="007669DC">
      <w:pPr>
        <w:spacing w:before="120" w:after="120" w:line="360" w:lineRule="auto"/>
        <w:jc w:val="center"/>
        <w:rPr>
          <w:rFonts w:ascii="Century Gothic" w:hAnsi="Century Gothic" w:cs="Arial"/>
          <w:sz w:val="24"/>
          <w:szCs w:val="24"/>
          <w:lang w:val="es-419"/>
        </w:rPr>
      </w:pPr>
      <w:r w:rsidRPr="007A0F30">
        <w:rPr>
          <w:rFonts w:ascii="Century Gothic" w:hAnsi="Century Gothic" w:cs="Arial"/>
          <w:sz w:val="24"/>
          <w:szCs w:val="24"/>
          <w:lang w:val="es-419"/>
        </w:rPr>
        <w:t>Fuente: Min Hacienda (2020)</w:t>
      </w:r>
    </w:p>
    <w:p w14:paraId="349C4468" w14:textId="77777777" w:rsidR="0025528B" w:rsidRPr="007A0F30" w:rsidRDefault="0025528B" w:rsidP="007669DC">
      <w:pPr>
        <w:spacing w:before="120" w:after="120" w:line="360" w:lineRule="auto"/>
        <w:jc w:val="both"/>
        <w:rPr>
          <w:rFonts w:ascii="Century Gothic" w:hAnsi="Century Gothic" w:cs="Arial"/>
          <w:color w:val="000000" w:themeColor="text1"/>
          <w:sz w:val="24"/>
          <w:szCs w:val="24"/>
          <w:lang w:val="es-419"/>
        </w:rPr>
      </w:pPr>
    </w:p>
    <w:p w14:paraId="1441D1FC" w14:textId="23A10373" w:rsidR="00495B56" w:rsidRPr="007A0F30" w:rsidRDefault="00C34F2A"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color w:val="000000" w:themeColor="text1"/>
          <w:sz w:val="24"/>
          <w:szCs w:val="24"/>
          <w:lang w:val="es-419"/>
        </w:rPr>
        <w:t>C</w:t>
      </w:r>
      <w:r w:rsidR="00495B56" w:rsidRPr="007A0F30">
        <w:rPr>
          <w:rFonts w:ascii="Century Gothic" w:hAnsi="Century Gothic" w:cs="Arial"/>
          <w:color w:val="000000" w:themeColor="text1"/>
          <w:sz w:val="24"/>
          <w:szCs w:val="24"/>
          <w:lang w:val="es-419"/>
        </w:rPr>
        <w:t xml:space="preserve">omo consecuencia de esto, </w:t>
      </w:r>
      <w:r w:rsidR="007339EB">
        <w:rPr>
          <w:rFonts w:ascii="Century Gothic" w:hAnsi="Century Gothic" w:cs="Arial"/>
          <w:color w:val="000000" w:themeColor="text1"/>
          <w:sz w:val="24"/>
          <w:szCs w:val="24"/>
          <w:lang w:val="es-419"/>
        </w:rPr>
        <w:t>Colombia tiene una de las inversiones más bajas en c</w:t>
      </w:r>
      <w:r w:rsidR="00450CC9">
        <w:rPr>
          <w:rFonts w:ascii="Century Gothic" w:hAnsi="Century Gothic" w:cs="Arial"/>
          <w:color w:val="000000" w:themeColor="text1"/>
          <w:sz w:val="24"/>
          <w:szCs w:val="24"/>
          <w:lang w:val="es-419"/>
        </w:rPr>
        <w:t>iencia y tecnología en el mundo. Según cifras oficiales, esta inversión representa el</w:t>
      </w:r>
      <w:r w:rsidR="00495B56" w:rsidRPr="007A0F30">
        <w:rPr>
          <w:rFonts w:ascii="Century Gothic" w:hAnsi="Century Gothic" w:cs="Arial"/>
          <w:color w:val="000000" w:themeColor="text1"/>
          <w:sz w:val="24"/>
          <w:szCs w:val="24"/>
          <w:lang w:val="es-419"/>
        </w:rPr>
        <w:t xml:space="preserve"> 0.25%</w:t>
      </w:r>
      <w:r w:rsidR="007339EB">
        <w:rPr>
          <w:rFonts w:ascii="Century Gothic" w:hAnsi="Century Gothic" w:cs="Arial"/>
          <w:color w:val="000000" w:themeColor="text1"/>
          <w:sz w:val="24"/>
          <w:szCs w:val="24"/>
          <w:lang w:val="es-419"/>
        </w:rPr>
        <w:t xml:space="preserve"> de PIB</w:t>
      </w:r>
      <w:r w:rsidR="00495B56" w:rsidRPr="007A0F30">
        <w:rPr>
          <w:rFonts w:ascii="Century Gothic" w:hAnsi="Century Gothic" w:cs="Arial"/>
          <w:color w:val="000000" w:themeColor="text1"/>
          <w:sz w:val="24"/>
          <w:szCs w:val="24"/>
          <w:lang w:val="es-419"/>
        </w:rPr>
        <w:t xml:space="preserve">, </w:t>
      </w:r>
      <w:r w:rsidR="00450CC9">
        <w:rPr>
          <w:rFonts w:ascii="Century Gothic" w:hAnsi="Century Gothic" w:cs="Arial"/>
          <w:color w:val="000000" w:themeColor="text1"/>
          <w:sz w:val="24"/>
          <w:szCs w:val="24"/>
          <w:lang w:val="es-419"/>
        </w:rPr>
        <w:t xml:space="preserve">un valor muy inferior al </w:t>
      </w:r>
      <w:r w:rsidR="00495B56" w:rsidRPr="007A0F30">
        <w:rPr>
          <w:rFonts w:ascii="Century Gothic" w:hAnsi="Century Gothic" w:cs="Arial"/>
          <w:color w:val="000000" w:themeColor="text1"/>
          <w:sz w:val="24"/>
          <w:szCs w:val="24"/>
          <w:lang w:val="es-419"/>
        </w:rPr>
        <w:t xml:space="preserve"> 2% de promedio que tienen los países de la </w:t>
      </w:r>
      <w:r w:rsidR="00495B56" w:rsidRPr="007A0F30">
        <w:rPr>
          <w:rFonts w:ascii="Century Gothic" w:hAnsi="Century Gothic" w:cs="Arial"/>
          <w:i/>
          <w:color w:val="000000" w:themeColor="text1"/>
          <w:sz w:val="24"/>
          <w:szCs w:val="24"/>
          <w:lang w:val="es-419"/>
        </w:rPr>
        <w:t>Organización para la Cooperación y el Desarrollo Económicos</w:t>
      </w:r>
      <w:r w:rsidR="00495B56" w:rsidRPr="007A0F30">
        <w:rPr>
          <w:rFonts w:ascii="Century Gothic" w:hAnsi="Century Gothic" w:cs="Arial"/>
          <w:color w:val="000000" w:themeColor="text1"/>
          <w:sz w:val="24"/>
          <w:szCs w:val="24"/>
          <w:lang w:val="es-419"/>
        </w:rPr>
        <w:t xml:space="preserve"> (OCDE)</w:t>
      </w:r>
      <w:r w:rsidR="007669DC" w:rsidRPr="007A0F30">
        <w:rPr>
          <w:rFonts w:ascii="Century Gothic" w:hAnsi="Century Gothic" w:cs="Arial"/>
          <w:color w:val="000000" w:themeColor="text1"/>
          <w:sz w:val="24"/>
          <w:szCs w:val="24"/>
          <w:lang w:val="es-419"/>
        </w:rPr>
        <w:t>.</w:t>
      </w:r>
    </w:p>
    <w:p w14:paraId="3C2177BB" w14:textId="77777777" w:rsidR="00495B56" w:rsidRPr="007A0F30" w:rsidRDefault="00495B56" w:rsidP="007669DC">
      <w:pPr>
        <w:spacing w:before="120" w:after="120" w:line="360" w:lineRule="auto"/>
        <w:jc w:val="center"/>
        <w:rPr>
          <w:rFonts w:ascii="Century Gothic" w:hAnsi="Century Gothic" w:cs="Arial"/>
          <w:color w:val="000000" w:themeColor="text1"/>
          <w:sz w:val="24"/>
          <w:szCs w:val="24"/>
          <w:lang w:val="es-419"/>
        </w:rPr>
      </w:pPr>
      <w:r w:rsidRPr="007A0F30">
        <w:rPr>
          <w:rFonts w:ascii="Century Gothic" w:hAnsi="Century Gothic" w:cs="Arial"/>
          <w:i/>
          <w:noProof/>
          <w:color w:val="000000" w:themeColor="text1"/>
          <w:sz w:val="24"/>
          <w:szCs w:val="24"/>
          <w:lang w:val="es-ES_tradnl" w:eastAsia="es-ES_tradnl"/>
        </w:rPr>
        <w:lastRenderedPageBreak/>
        <w:drawing>
          <wp:inline distT="0" distB="0" distL="0" distR="0" wp14:anchorId="0CC94BD4" wp14:editId="216EB52C">
            <wp:extent cx="5360552" cy="3305471"/>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ED.jpg"/>
                    <pic:cNvPicPr/>
                  </pic:nvPicPr>
                  <pic:blipFill>
                    <a:blip r:embed="rId10">
                      <a:extLst>
                        <a:ext uri="{28A0092B-C50C-407E-A947-70E740481C1C}">
                          <a14:useLocalDpi xmlns:a14="http://schemas.microsoft.com/office/drawing/2010/main" val="0"/>
                        </a:ext>
                      </a:extLst>
                    </a:blip>
                    <a:stretch>
                      <a:fillRect/>
                    </a:stretch>
                  </pic:blipFill>
                  <pic:spPr>
                    <a:xfrm>
                      <a:off x="0" y="0"/>
                      <a:ext cx="5415250" cy="3339200"/>
                    </a:xfrm>
                    <a:prstGeom prst="rect">
                      <a:avLst/>
                    </a:prstGeom>
                  </pic:spPr>
                </pic:pic>
              </a:graphicData>
            </a:graphic>
          </wp:inline>
        </w:drawing>
      </w:r>
    </w:p>
    <w:p w14:paraId="6AFB09D6" w14:textId="7E26855B"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color w:val="000000" w:themeColor="text1"/>
          <w:sz w:val="24"/>
          <w:szCs w:val="24"/>
          <w:lang w:val="es-419"/>
        </w:rPr>
        <w:t xml:space="preserve">La situación es aún más preocupante </w:t>
      </w:r>
      <w:r w:rsidR="00450CC9">
        <w:rPr>
          <w:rFonts w:ascii="Century Gothic" w:hAnsi="Century Gothic" w:cs="Arial"/>
          <w:color w:val="000000" w:themeColor="text1"/>
          <w:sz w:val="24"/>
          <w:szCs w:val="24"/>
          <w:lang w:val="es-419"/>
        </w:rPr>
        <w:t>dado que</w:t>
      </w:r>
      <w:r w:rsidRPr="007A0F30">
        <w:rPr>
          <w:rFonts w:ascii="Century Gothic" w:hAnsi="Century Gothic" w:cs="Arial"/>
          <w:color w:val="000000" w:themeColor="text1"/>
          <w:sz w:val="24"/>
          <w:szCs w:val="24"/>
          <w:lang w:val="es-419"/>
        </w:rPr>
        <w:t xml:space="preserve"> en la propuesta del presupuesto para el 2021 </w:t>
      </w:r>
      <w:r w:rsidR="007669DC" w:rsidRPr="007A0F30">
        <w:rPr>
          <w:rFonts w:ascii="Century Gothic" w:hAnsi="Century Gothic" w:cs="Arial"/>
          <w:color w:val="000000" w:themeColor="text1"/>
          <w:sz w:val="24"/>
          <w:szCs w:val="24"/>
          <w:lang w:val="es-419"/>
        </w:rPr>
        <w:t xml:space="preserve">es </w:t>
      </w:r>
      <w:r w:rsidRPr="007A0F30">
        <w:rPr>
          <w:rFonts w:ascii="Century Gothic" w:hAnsi="Century Gothic" w:cs="Arial"/>
          <w:color w:val="000000" w:themeColor="text1"/>
          <w:sz w:val="24"/>
          <w:szCs w:val="24"/>
          <w:lang w:val="es-419"/>
        </w:rPr>
        <w:t>disminuir el presupuesto a 283 mil millones de pesos (Casi la misma cantidad que se había destinado en el 2016), lo que representa un recorte del 30% comparado con el 2020. Esto se traduce en otra promesa de campaña sin cumplir por</w:t>
      </w:r>
      <w:r w:rsidR="007669DC" w:rsidRPr="007A0F30">
        <w:rPr>
          <w:rFonts w:ascii="Century Gothic" w:hAnsi="Century Gothic" w:cs="Arial"/>
          <w:color w:val="000000" w:themeColor="text1"/>
          <w:sz w:val="24"/>
          <w:szCs w:val="24"/>
          <w:lang w:val="es-419"/>
        </w:rPr>
        <w:t xml:space="preserve"> parte del presidente Ivan Duque. E</w:t>
      </w:r>
      <w:r w:rsidRPr="007A0F30">
        <w:rPr>
          <w:rFonts w:ascii="Century Gothic" w:hAnsi="Century Gothic" w:cs="Arial"/>
          <w:color w:val="000000" w:themeColor="text1"/>
          <w:sz w:val="24"/>
          <w:szCs w:val="24"/>
          <w:lang w:val="es-419"/>
        </w:rPr>
        <w:t>stas fueron sus palabras en el año 2019, cuando se ins</w:t>
      </w:r>
      <w:r w:rsidR="006A77A1">
        <w:rPr>
          <w:rFonts w:ascii="Century Gothic" w:hAnsi="Century Gothic" w:cs="Arial"/>
          <w:color w:val="000000" w:themeColor="text1"/>
          <w:sz w:val="24"/>
          <w:szCs w:val="24"/>
          <w:lang w:val="es-419"/>
        </w:rPr>
        <w:t>taló la Misión de Sabios</w:t>
      </w:r>
      <w:r w:rsidRPr="007A0F30">
        <w:rPr>
          <w:rFonts w:ascii="Century Gothic" w:hAnsi="Century Gothic" w:cs="Arial"/>
          <w:color w:val="000000" w:themeColor="text1"/>
          <w:sz w:val="24"/>
          <w:szCs w:val="24"/>
          <w:lang w:val="es-419"/>
        </w:rPr>
        <w:t xml:space="preserve">: </w:t>
      </w:r>
    </w:p>
    <w:p w14:paraId="09D2A3A5" w14:textId="1C3B6354" w:rsidR="00495B56" w:rsidRPr="006A77A1" w:rsidRDefault="00495B56" w:rsidP="007669DC">
      <w:pPr>
        <w:spacing w:before="120" w:after="120" w:line="360" w:lineRule="auto"/>
        <w:jc w:val="both"/>
        <w:rPr>
          <w:rFonts w:ascii="Century Gothic" w:hAnsi="Century Gothic" w:cs="Arial"/>
          <w:i/>
          <w:color w:val="000000" w:themeColor="text1"/>
          <w:sz w:val="24"/>
          <w:szCs w:val="24"/>
          <w:lang w:val="es-419"/>
        </w:rPr>
      </w:pPr>
      <w:r w:rsidRPr="007A0F30">
        <w:rPr>
          <w:rFonts w:ascii="Century Gothic" w:hAnsi="Century Gothic" w:cs="Arial"/>
          <w:i/>
          <w:color w:val="000000" w:themeColor="text1"/>
          <w:sz w:val="24"/>
          <w:szCs w:val="24"/>
          <w:lang w:val="es-419"/>
        </w:rPr>
        <w:t>“Colombia no puede seguir en el puesto mediocre de tener una inversión en ciencia y tecnología que escasamente supera el 0,2 por ciento del PIB. Nuestra meta, al 2022, es llevar al 1.5 % del PIB la inversión en ciencia y tecnología, y así seguir avanzando en una línea ascendente”.</w:t>
      </w:r>
      <w:r w:rsidRPr="007A0F30">
        <w:rPr>
          <w:rStyle w:val="Refdenotaalpie"/>
          <w:rFonts w:ascii="Century Gothic" w:hAnsi="Century Gothic" w:cs="Arial"/>
          <w:i/>
          <w:color w:val="000000" w:themeColor="text1"/>
          <w:sz w:val="24"/>
          <w:szCs w:val="24"/>
          <w:lang w:val="es-419"/>
        </w:rPr>
        <w:footnoteReference w:id="2"/>
      </w:r>
    </w:p>
    <w:p w14:paraId="504D2ED7" w14:textId="04896F5C" w:rsidR="007669DC" w:rsidRPr="007A0F30" w:rsidRDefault="007669DC" w:rsidP="007669DC">
      <w:pPr>
        <w:spacing w:line="360" w:lineRule="auto"/>
        <w:jc w:val="both"/>
        <w:rPr>
          <w:rFonts w:ascii="Century Gothic" w:hAnsi="Century Gothic"/>
          <w:sz w:val="24"/>
          <w:szCs w:val="24"/>
          <w:lang w:val="es-ES"/>
        </w:rPr>
      </w:pPr>
      <w:r w:rsidRPr="007A0F30">
        <w:rPr>
          <w:rFonts w:ascii="Century Gothic" w:hAnsi="Century Gothic"/>
          <w:sz w:val="24"/>
          <w:szCs w:val="24"/>
          <w:lang w:val="es-ES"/>
        </w:rPr>
        <w:lastRenderedPageBreak/>
        <w:t xml:space="preserve">En materia educativa, pese a que los recursos son crecientes en términos reales, en la siguiente gráfica puede observarse que año tras año el Estado destina menor proporción de gasto público de educación superior en las universidades públicas. Para el año 2002, el 57% de los recursos girados para educación superior iban a la base presupuestal para las universidades públicas, esta cifra para 2016 fue de 37%. Esto quiere decir, que el Estado fortalece presupuestalmente </w:t>
      </w:r>
      <w:r w:rsidR="006A77A1">
        <w:rPr>
          <w:rFonts w:ascii="Century Gothic" w:hAnsi="Century Gothic"/>
          <w:sz w:val="24"/>
          <w:szCs w:val="24"/>
          <w:lang w:val="es-ES"/>
        </w:rPr>
        <w:t>programas educativos vía</w:t>
      </w:r>
      <w:r w:rsidRPr="007A0F30">
        <w:rPr>
          <w:rFonts w:ascii="Century Gothic" w:hAnsi="Century Gothic"/>
          <w:sz w:val="24"/>
          <w:szCs w:val="24"/>
          <w:lang w:val="es-ES"/>
        </w:rPr>
        <w:t xml:space="preserve"> demanda.</w:t>
      </w:r>
    </w:p>
    <w:p w14:paraId="3C0ADAE7" w14:textId="69444D54" w:rsidR="007669DC" w:rsidRPr="007A0F30" w:rsidRDefault="007669DC" w:rsidP="007669DC">
      <w:pPr>
        <w:spacing w:line="360" w:lineRule="auto"/>
        <w:ind w:firstLine="708"/>
        <w:jc w:val="both"/>
        <w:rPr>
          <w:rFonts w:ascii="Century Gothic" w:hAnsi="Century Gothic"/>
          <w:sz w:val="24"/>
          <w:szCs w:val="24"/>
          <w:lang w:val="es-ES"/>
        </w:rPr>
      </w:pPr>
      <w:r w:rsidRPr="007A0F30">
        <w:rPr>
          <w:rFonts w:ascii="Century Gothic" w:hAnsi="Century Gothic"/>
          <w:sz w:val="24"/>
          <w:szCs w:val="24"/>
          <w:lang w:val="es-ES"/>
        </w:rPr>
        <w:t>Gráfico 2</w:t>
      </w:r>
      <w:r w:rsidRPr="007A0F30">
        <w:rPr>
          <w:rFonts w:ascii="MingLiU" w:eastAsia="MingLiU" w:hAnsi="MingLiU" w:cs="MingLiU" w:hint="eastAsia"/>
          <w:sz w:val="24"/>
          <w:szCs w:val="24"/>
          <w:lang w:val="es-ES"/>
        </w:rPr>
        <w:t xml:space="preserve">. </w:t>
      </w:r>
      <w:r w:rsidRPr="007A0F30">
        <w:rPr>
          <w:rFonts w:ascii="Century Gothic" w:hAnsi="Century Gothic"/>
          <w:sz w:val="24"/>
          <w:szCs w:val="24"/>
          <w:lang w:val="es-ES"/>
        </w:rPr>
        <w:t xml:space="preserve">Relación Aportes Nación Universidades Públicas como porcentaje del gasto público en educación superior en Colombia (2002-2016) </w:t>
      </w:r>
    </w:p>
    <w:p w14:paraId="077C9FDF" w14:textId="069E2C9A" w:rsidR="007669DC" w:rsidRPr="007A0F30" w:rsidRDefault="007669DC" w:rsidP="007669DC">
      <w:pPr>
        <w:spacing w:line="360" w:lineRule="auto"/>
        <w:jc w:val="center"/>
        <w:rPr>
          <w:rFonts w:ascii="Century Gothic" w:hAnsi="Century Gothic"/>
          <w:sz w:val="24"/>
          <w:szCs w:val="24"/>
          <w:lang w:val="es-ES"/>
        </w:rPr>
      </w:pPr>
      <w:r w:rsidRPr="007A0F30">
        <w:rPr>
          <w:noProof/>
          <w:sz w:val="24"/>
          <w:szCs w:val="24"/>
          <w:lang w:val="es-ES_tradnl" w:eastAsia="es-ES_tradnl"/>
        </w:rPr>
        <w:drawing>
          <wp:inline distT="0" distB="0" distL="0" distR="0" wp14:anchorId="6398036C" wp14:editId="2C48F9A6">
            <wp:extent cx="4583430" cy="2754630"/>
            <wp:effectExtent l="0" t="0" r="13970" b="1397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0DDA38" w14:textId="77777777" w:rsidR="007669DC" w:rsidRPr="007A0F30" w:rsidRDefault="007669DC" w:rsidP="007669DC">
      <w:pPr>
        <w:spacing w:line="360" w:lineRule="auto"/>
        <w:jc w:val="both"/>
        <w:rPr>
          <w:rFonts w:ascii="Century Gothic" w:hAnsi="Century Gothic"/>
          <w:sz w:val="24"/>
          <w:szCs w:val="24"/>
          <w:lang w:val="es-ES"/>
        </w:rPr>
      </w:pPr>
      <w:r w:rsidRPr="007A0F30">
        <w:rPr>
          <w:rFonts w:ascii="Century Gothic" w:hAnsi="Century Gothic"/>
          <w:sz w:val="24"/>
          <w:szCs w:val="24"/>
          <w:lang w:val="es-ES"/>
        </w:rPr>
        <w:t xml:space="preserve">Fuente: Vicerrectoría administrativa y Financiera UTP (2017) </w:t>
      </w:r>
    </w:p>
    <w:p w14:paraId="557976A0" w14:textId="77777777" w:rsidR="007669DC" w:rsidRDefault="007669DC" w:rsidP="007669DC">
      <w:pPr>
        <w:spacing w:line="360" w:lineRule="auto"/>
        <w:jc w:val="both"/>
        <w:rPr>
          <w:rFonts w:ascii="Century Gothic" w:hAnsi="Century Gothic"/>
          <w:sz w:val="24"/>
          <w:szCs w:val="24"/>
          <w:lang w:val="es-ES"/>
        </w:rPr>
      </w:pPr>
    </w:p>
    <w:p w14:paraId="2781C542" w14:textId="77777777" w:rsidR="006A77A1" w:rsidRDefault="006A77A1" w:rsidP="007669DC">
      <w:pPr>
        <w:spacing w:line="360" w:lineRule="auto"/>
        <w:jc w:val="both"/>
        <w:rPr>
          <w:rFonts w:ascii="Century Gothic" w:hAnsi="Century Gothic"/>
          <w:sz w:val="24"/>
          <w:szCs w:val="24"/>
          <w:lang w:val="es-ES"/>
        </w:rPr>
      </w:pPr>
    </w:p>
    <w:p w14:paraId="38794E97" w14:textId="77777777" w:rsidR="006A77A1" w:rsidRPr="007A0F30" w:rsidRDefault="006A77A1" w:rsidP="007669DC">
      <w:pPr>
        <w:spacing w:line="360" w:lineRule="auto"/>
        <w:jc w:val="both"/>
        <w:rPr>
          <w:rFonts w:ascii="Century Gothic" w:hAnsi="Century Gothic"/>
          <w:sz w:val="24"/>
          <w:szCs w:val="24"/>
          <w:lang w:val="es-ES"/>
        </w:rPr>
      </w:pPr>
    </w:p>
    <w:p w14:paraId="279115F5" w14:textId="50D13838" w:rsidR="007669DC" w:rsidRPr="007A0F30" w:rsidRDefault="007669DC" w:rsidP="007669DC">
      <w:pPr>
        <w:spacing w:line="360" w:lineRule="auto"/>
        <w:jc w:val="both"/>
        <w:rPr>
          <w:rFonts w:ascii="Century Gothic" w:hAnsi="Century Gothic"/>
          <w:sz w:val="24"/>
          <w:szCs w:val="24"/>
          <w:lang w:val="es-MX"/>
        </w:rPr>
      </w:pPr>
      <w:r w:rsidRPr="007A0F30">
        <w:rPr>
          <w:rFonts w:ascii="Century Gothic" w:hAnsi="Century Gothic"/>
          <w:sz w:val="24"/>
          <w:szCs w:val="24"/>
          <w:lang w:val="es-MX"/>
        </w:rPr>
        <w:lastRenderedPageBreak/>
        <w:t>Un fenómeno que también se evidencia es que la cobertura de la educación superior pública ha crecido en términos absolutos y relativos más que la educación privada, pero no así en términos presupuestales, ya que la financiación de la educación superior se ha centrado en los créditos y becas del ICETEX. Entre 2010 y 2016 los aportes de la Nación para el ICETEX han aumentado en 677%. Entre tanto, los aportes de la Nación para la oferta educativa han incrementado en 50,4% (MHCP, 2018). Se presenta aquí el primer problema estructural de la educación superior y es el que concierne a que la financiación se ha ido fundamentalmente al fortalecimiento de políti</w:t>
      </w:r>
      <w:r w:rsidR="006A77A1">
        <w:rPr>
          <w:rFonts w:ascii="Century Gothic" w:hAnsi="Century Gothic"/>
          <w:sz w:val="24"/>
          <w:szCs w:val="24"/>
          <w:lang w:val="es-MX"/>
        </w:rPr>
        <w:t xml:space="preserve">cas de demanda y no a la oferta. </w:t>
      </w:r>
      <w:r w:rsidRPr="007A0F30">
        <w:rPr>
          <w:rFonts w:ascii="Century Gothic" w:hAnsi="Century Gothic"/>
          <w:sz w:val="24"/>
          <w:szCs w:val="24"/>
          <w:lang w:val="es-MX"/>
        </w:rPr>
        <w:t xml:space="preserve">Como consecuencia de esta situación, se adeudan $18 billones de pesos a las universidades públicas. </w:t>
      </w:r>
    </w:p>
    <w:p w14:paraId="72F5D106"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7E4164F5" w14:textId="3967FC79" w:rsidR="00942A9A" w:rsidRPr="007A0F30" w:rsidRDefault="00C34F2A"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color w:val="000000" w:themeColor="text1"/>
          <w:sz w:val="24"/>
          <w:szCs w:val="24"/>
          <w:lang w:val="es-419"/>
        </w:rPr>
        <w:t>En este sentido, c</w:t>
      </w:r>
      <w:r w:rsidR="00495B56" w:rsidRPr="007A0F30">
        <w:rPr>
          <w:rFonts w:ascii="Century Gothic" w:hAnsi="Century Gothic" w:cs="Arial"/>
          <w:color w:val="000000" w:themeColor="text1"/>
          <w:sz w:val="24"/>
          <w:szCs w:val="24"/>
          <w:lang w:val="es-419"/>
        </w:rPr>
        <w:t>olocar un gravámen del 1% sobre estos recursos permitiría financiar la educación, la ciencia y la tecnología lo que a su vez generaría unos efectos posi</w:t>
      </w:r>
      <w:r w:rsidR="006A77A1">
        <w:rPr>
          <w:rFonts w:ascii="Century Gothic" w:hAnsi="Century Gothic" w:cs="Arial"/>
          <w:color w:val="000000" w:themeColor="text1"/>
          <w:sz w:val="24"/>
          <w:szCs w:val="24"/>
          <w:lang w:val="es-419"/>
        </w:rPr>
        <w:t>tivos sobre el desarrollo d</w:t>
      </w:r>
      <w:r w:rsidR="00495B56" w:rsidRPr="007A0F30">
        <w:rPr>
          <w:rFonts w:ascii="Century Gothic" w:hAnsi="Century Gothic" w:cs="Arial"/>
          <w:color w:val="000000" w:themeColor="text1"/>
          <w:sz w:val="24"/>
          <w:szCs w:val="24"/>
          <w:lang w:val="es-419"/>
        </w:rPr>
        <w:t>el</w:t>
      </w:r>
      <w:r w:rsidR="006A77A1">
        <w:rPr>
          <w:rFonts w:ascii="Century Gothic" w:hAnsi="Century Gothic" w:cs="Arial"/>
          <w:color w:val="000000" w:themeColor="text1"/>
          <w:sz w:val="24"/>
          <w:szCs w:val="24"/>
          <w:lang w:val="es-419"/>
        </w:rPr>
        <w:t xml:space="preserve"> país. Este gravámen no genera</w:t>
      </w:r>
      <w:r w:rsidR="00495B56" w:rsidRPr="007A0F30">
        <w:rPr>
          <w:rFonts w:ascii="Century Gothic" w:hAnsi="Century Gothic" w:cs="Arial"/>
          <w:color w:val="000000" w:themeColor="text1"/>
          <w:sz w:val="24"/>
          <w:szCs w:val="24"/>
          <w:lang w:val="es-419"/>
        </w:rPr>
        <w:t xml:space="preserve"> efectos negativos sobre la producción de hidrocarburos toda vez que este gravámen puede entenderse como un incentivo a la reinversión de utilidades el país. Se busca así evitar una salida de capitales incentivando la reinversión productiva en </w:t>
      </w:r>
      <w:r w:rsidR="00942A9A" w:rsidRPr="007A0F30">
        <w:rPr>
          <w:rFonts w:ascii="Century Gothic" w:hAnsi="Century Gothic" w:cs="Arial"/>
          <w:color w:val="000000" w:themeColor="text1"/>
          <w:sz w:val="24"/>
          <w:szCs w:val="24"/>
          <w:lang w:val="es-419"/>
        </w:rPr>
        <w:t xml:space="preserve">Colombia. </w:t>
      </w:r>
    </w:p>
    <w:p w14:paraId="5B60CCA3" w14:textId="2DCB098F" w:rsidR="00495B56" w:rsidRDefault="00495B56"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color w:val="000000" w:themeColor="text1"/>
          <w:sz w:val="24"/>
          <w:szCs w:val="24"/>
          <w:lang w:val="es-419"/>
        </w:rPr>
        <w:t xml:space="preserve"> </w:t>
      </w:r>
    </w:p>
    <w:p w14:paraId="654D834C"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69B2F68A"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11A8F69C"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1A09766C" w14:textId="77777777" w:rsidR="006A77A1" w:rsidRPr="007A0F30" w:rsidRDefault="006A77A1" w:rsidP="007669DC">
      <w:pPr>
        <w:spacing w:before="120" w:after="120" w:line="360" w:lineRule="auto"/>
        <w:jc w:val="both"/>
        <w:rPr>
          <w:rFonts w:ascii="Century Gothic" w:hAnsi="Century Gothic" w:cs="Arial"/>
          <w:color w:val="000000" w:themeColor="text1"/>
          <w:sz w:val="24"/>
          <w:szCs w:val="24"/>
          <w:lang w:val="es-419"/>
        </w:rPr>
      </w:pPr>
    </w:p>
    <w:p w14:paraId="613A84D8" w14:textId="52DA020D" w:rsidR="00942A9A" w:rsidRDefault="00495B56" w:rsidP="007669DC">
      <w:pPr>
        <w:spacing w:before="120" w:after="120" w:line="360" w:lineRule="auto"/>
        <w:jc w:val="both"/>
        <w:rPr>
          <w:rFonts w:ascii="Century Gothic" w:hAnsi="Century Gothic" w:cs="Arial"/>
          <w:b/>
          <w:color w:val="000000" w:themeColor="text1"/>
          <w:sz w:val="24"/>
          <w:szCs w:val="24"/>
          <w:lang w:val="es-419"/>
        </w:rPr>
      </w:pPr>
      <w:r w:rsidRPr="007A0F30">
        <w:rPr>
          <w:rFonts w:ascii="Century Gothic" w:hAnsi="Century Gothic" w:cs="Arial"/>
          <w:b/>
          <w:color w:val="000000" w:themeColor="text1"/>
          <w:sz w:val="24"/>
          <w:szCs w:val="24"/>
          <w:lang w:val="es-419"/>
        </w:rPr>
        <w:lastRenderedPageBreak/>
        <w:t>Modificaciones al proyecto de ley</w:t>
      </w:r>
    </w:p>
    <w:p w14:paraId="17EC26A6" w14:textId="77777777" w:rsidR="006A77A1" w:rsidRPr="007A0F30" w:rsidRDefault="006A77A1" w:rsidP="007669DC">
      <w:pPr>
        <w:spacing w:before="120" w:after="120" w:line="360" w:lineRule="auto"/>
        <w:jc w:val="both"/>
        <w:rPr>
          <w:rFonts w:ascii="Century Gothic" w:hAnsi="Century Gothic" w:cs="Arial"/>
          <w:b/>
          <w:color w:val="000000" w:themeColor="text1"/>
          <w:sz w:val="24"/>
          <w:szCs w:val="24"/>
          <w:lang w:val="es-419"/>
        </w:rPr>
      </w:pPr>
    </w:p>
    <w:p w14:paraId="03B55EBB" w14:textId="368CCE7A" w:rsidR="00404A94" w:rsidRDefault="00495B56"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color w:val="000000" w:themeColor="text1"/>
          <w:sz w:val="24"/>
          <w:szCs w:val="24"/>
          <w:lang w:val="es-419"/>
        </w:rPr>
        <w:t>Se aclara que los recursos a gravar son utilidades no reinvertidas según la clasificación monetaria del del Banco de la República.</w:t>
      </w:r>
    </w:p>
    <w:p w14:paraId="59936048" w14:textId="77777777" w:rsidR="006A77A1" w:rsidRPr="007A0F30" w:rsidRDefault="006A77A1" w:rsidP="007669DC">
      <w:pPr>
        <w:spacing w:before="120" w:after="120" w:line="360" w:lineRule="auto"/>
        <w:jc w:val="both"/>
        <w:rPr>
          <w:rFonts w:ascii="Century Gothic" w:hAnsi="Century Gothic" w:cs="Arial"/>
          <w:color w:val="000000" w:themeColor="text1"/>
          <w:sz w:val="24"/>
          <w:szCs w:val="24"/>
          <w:lang w:val="es-419"/>
        </w:rPr>
      </w:pPr>
    </w:p>
    <w:tbl>
      <w:tblPr>
        <w:tblStyle w:val="Tablaconcuadrcula"/>
        <w:tblW w:w="7938" w:type="dxa"/>
        <w:jc w:val="center"/>
        <w:tblLook w:val="04A0" w:firstRow="1" w:lastRow="0" w:firstColumn="1" w:lastColumn="0" w:noHBand="0" w:noVBand="1"/>
      </w:tblPr>
      <w:tblGrid>
        <w:gridCol w:w="3969"/>
        <w:gridCol w:w="3969"/>
      </w:tblGrid>
      <w:tr w:rsidR="00404A94" w:rsidRPr="007A0F30" w14:paraId="18A12C04" w14:textId="77777777" w:rsidTr="006A77A1">
        <w:trPr>
          <w:jc w:val="center"/>
        </w:trPr>
        <w:tc>
          <w:tcPr>
            <w:tcW w:w="3969" w:type="dxa"/>
          </w:tcPr>
          <w:p w14:paraId="42FAB4DC" w14:textId="67C10B34" w:rsidR="00404A94" w:rsidRPr="007A0F30" w:rsidRDefault="00404A94" w:rsidP="00404A94">
            <w:pPr>
              <w:spacing w:before="120" w:after="120" w:line="360" w:lineRule="auto"/>
              <w:jc w:val="center"/>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Articulado radicado</w:t>
            </w:r>
          </w:p>
        </w:tc>
        <w:tc>
          <w:tcPr>
            <w:tcW w:w="3969" w:type="dxa"/>
          </w:tcPr>
          <w:p w14:paraId="26F9371D" w14:textId="73D7B09D" w:rsidR="00404A94" w:rsidRPr="007A0F30" w:rsidRDefault="00404A94" w:rsidP="00404A94">
            <w:pPr>
              <w:spacing w:before="120" w:after="120" w:line="360" w:lineRule="auto"/>
              <w:jc w:val="center"/>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Ponencia para primer debate</w:t>
            </w:r>
          </w:p>
        </w:tc>
      </w:tr>
      <w:tr w:rsidR="00404A94" w:rsidRPr="007A0F30" w14:paraId="6F9F1AF0" w14:textId="77777777" w:rsidTr="006A77A1">
        <w:trPr>
          <w:trHeight w:val="5912"/>
          <w:jc w:val="center"/>
        </w:trPr>
        <w:tc>
          <w:tcPr>
            <w:tcW w:w="3969" w:type="dxa"/>
          </w:tcPr>
          <w:p w14:paraId="2587FB90" w14:textId="77777777" w:rsidR="00404A94" w:rsidRPr="007A0F30" w:rsidRDefault="00404A94" w:rsidP="00404A94">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 xml:space="preserve">ARTÍCULO 1. OBJETO. El presente proyecto de ley tiene por objeto la creación de un impuesto al cambio ingreso o egreso de divisas generadas en el sector de hidrocarburos, produciendo consigo un beneficio presupuestal adicional para los institutos de educación superior destinado a programas de ciencia, tecnología e innovación. </w:t>
            </w:r>
          </w:p>
          <w:p w14:paraId="7A22440E" w14:textId="77777777" w:rsidR="00404A94" w:rsidRPr="007A0F30" w:rsidRDefault="00404A94" w:rsidP="007669DC">
            <w:pPr>
              <w:spacing w:before="120" w:after="120" w:line="360" w:lineRule="auto"/>
              <w:jc w:val="both"/>
              <w:rPr>
                <w:rFonts w:ascii="Century Gothic" w:hAnsi="Century Gothic" w:cs="Arial"/>
                <w:color w:val="000000" w:themeColor="text1"/>
                <w:szCs w:val="24"/>
                <w:lang w:val="es-419"/>
              </w:rPr>
            </w:pPr>
          </w:p>
        </w:tc>
        <w:tc>
          <w:tcPr>
            <w:tcW w:w="3969" w:type="dxa"/>
          </w:tcPr>
          <w:p w14:paraId="7727856F" w14:textId="77777777" w:rsidR="00404A94" w:rsidRPr="007A0F30" w:rsidRDefault="00404A94" w:rsidP="00404A94">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 xml:space="preserve">ARTÍCULO 1. OBJETO. El presente proyecto de ley tiene por objeto la creación de un impuesto al </w:t>
            </w:r>
            <w:r w:rsidRPr="007A0F30">
              <w:rPr>
                <w:rFonts w:ascii="Century Gothic" w:hAnsi="Century Gothic" w:cs="Arial"/>
                <w:strike/>
                <w:color w:val="000000" w:themeColor="text1"/>
                <w:szCs w:val="24"/>
                <w:lang w:val="es-419"/>
              </w:rPr>
              <w:t>cambio ingreso o</w:t>
            </w:r>
            <w:r w:rsidRPr="007A0F30">
              <w:rPr>
                <w:rFonts w:ascii="Century Gothic" w:hAnsi="Century Gothic" w:cs="Arial"/>
                <w:color w:val="000000" w:themeColor="text1"/>
                <w:szCs w:val="24"/>
                <w:lang w:val="es-419"/>
              </w:rPr>
              <w:t xml:space="preserve"> egreso de divisas generadas en el sector de hidrocarburos, produciendo consigo un beneficio presupuestal adicional para los institutos de educación superior destinado a programas de ciencia, tecnología e innovación. </w:t>
            </w:r>
          </w:p>
          <w:p w14:paraId="0F99CC8B" w14:textId="77777777" w:rsidR="00404A94" w:rsidRPr="007A0F30" w:rsidRDefault="00404A94" w:rsidP="007669DC">
            <w:pPr>
              <w:spacing w:before="120" w:after="120" w:line="360" w:lineRule="auto"/>
              <w:jc w:val="both"/>
              <w:rPr>
                <w:rFonts w:ascii="Century Gothic" w:hAnsi="Century Gothic" w:cs="Arial"/>
                <w:color w:val="000000" w:themeColor="text1"/>
                <w:szCs w:val="24"/>
                <w:lang w:val="es-419"/>
              </w:rPr>
            </w:pPr>
          </w:p>
        </w:tc>
      </w:tr>
      <w:tr w:rsidR="00404A94" w:rsidRPr="007A0F30" w14:paraId="2006B9F6" w14:textId="77777777" w:rsidTr="006A77A1">
        <w:trPr>
          <w:trHeight w:val="4731"/>
          <w:jc w:val="center"/>
        </w:trPr>
        <w:tc>
          <w:tcPr>
            <w:tcW w:w="3969" w:type="dxa"/>
          </w:tcPr>
          <w:p w14:paraId="5A730E83" w14:textId="77777777" w:rsidR="00404A94" w:rsidRPr="007A0F30" w:rsidRDefault="00404A94" w:rsidP="00404A94">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lastRenderedPageBreak/>
              <w:t>ARTÍCULO 2. A partir de la vigencia de la presente ley las operaciones de cambio por ingreso o egreso de las personas jurídicas dedicadas a la exploración, explotación, refinamiento y transporte de hidrocarburos y sus derivados estarán gravadas con un impuesto del 1%.</w:t>
            </w:r>
          </w:p>
          <w:p w14:paraId="3D52DE51" w14:textId="382EB535" w:rsidR="00404A94" w:rsidRPr="007A0F30" w:rsidRDefault="00404A94" w:rsidP="007669DC">
            <w:pPr>
              <w:spacing w:before="120" w:after="120" w:line="360" w:lineRule="auto"/>
              <w:jc w:val="both"/>
              <w:rPr>
                <w:rFonts w:ascii="Century Gothic" w:hAnsi="Century Gothic" w:cs="Arial"/>
                <w:strike/>
                <w:color w:val="000000" w:themeColor="text1"/>
                <w:szCs w:val="24"/>
                <w:lang w:val="es-419"/>
              </w:rPr>
            </w:pPr>
            <w:r w:rsidRPr="007A0F30">
              <w:rPr>
                <w:rFonts w:ascii="Century Gothic" w:hAnsi="Century Gothic" w:cs="Arial"/>
                <w:strike/>
                <w:color w:val="000000" w:themeColor="text1"/>
                <w:szCs w:val="24"/>
                <w:lang w:val="es-419"/>
              </w:rPr>
              <w:t xml:space="preserve">Parágrafo. Para efectos fiscales, se presume que hay remesa de utilidades en el caso de sucursales de compañías extranjeras cuando no se demuestre la reinversión de las utilidades del respectivo ejercicio gravable. En todo caso, el impuesto se causará sobre aquella parte de las utilidades no reinvertidas. </w:t>
            </w:r>
          </w:p>
        </w:tc>
        <w:tc>
          <w:tcPr>
            <w:tcW w:w="3969" w:type="dxa"/>
          </w:tcPr>
          <w:p w14:paraId="0A05108B" w14:textId="77777777" w:rsidR="00404A94" w:rsidRPr="007A0F30" w:rsidRDefault="00404A94" w:rsidP="00404A94">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 xml:space="preserve">ARTÍCULO 2. A partir de la vigencia de la presente ley las operaciones de cambio por </w:t>
            </w:r>
            <w:r w:rsidRPr="007A0F30">
              <w:rPr>
                <w:rFonts w:ascii="Century Gothic" w:hAnsi="Century Gothic" w:cs="Arial"/>
                <w:strike/>
                <w:color w:val="000000" w:themeColor="text1"/>
                <w:szCs w:val="24"/>
                <w:lang w:val="es-419"/>
              </w:rPr>
              <w:t>ingreso o</w:t>
            </w:r>
            <w:r w:rsidRPr="007A0F30">
              <w:rPr>
                <w:rFonts w:ascii="Century Gothic" w:hAnsi="Century Gothic" w:cs="Arial"/>
                <w:color w:val="000000" w:themeColor="text1"/>
                <w:szCs w:val="24"/>
                <w:lang w:val="es-419"/>
              </w:rPr>
              <w:t xml:space="preserve"> egreso de las personas jurídicas dedicadas a la exploración, explotación, refinamiento y transporte de hidrocarburos y sus derivados estarán gravadas con un impuesto del 1%.</w:t>
            </w:r>
          </w:p>
          <w:p w14:paraId="05E189EB" w14:textId="77777777" w:rsidR="00404A94" w:rsidRPr="00B82FD1" w:rsidRDefault="00404A94" w:rsidP="007669DC">
            <w:pPr>
              <w:spacing w:before="120" w:after="120" w:line="360" w:lineRule="auto"/>
              <w:jc w:val="both"/>
              <w:rPr>
                <w:rFonts w:ascii="Century Gothic" w:hAnsi="Century Gothic" w:cs="Arial"/>
                <w:b/>
                <w:color w:val="000000" w:themeColor="text1"/>
                <w:szCs w:val="24"/>
                <w:u w:val="single"/>
                <w:lang w:val="es-419"/>
              </w:rPr>
            </w:pPr>
            <w:r w:rsidRPr="00B82FD1">
              <w:rPr>
                <w:rFonts w:ascii="Century Gothic" w:hAnsi="Century Gothic" w:cs="Arial"/>
                <w:b/>
                <w:color w:val="000000" w:themeColor="text1"/>
                <w:szCs w:val="24"/>
                <w:u w:val="single"/>
                <w:lang w:val="es-419"/>
              </w:rPr>
              <w:t>Parágrafo 1. Se entenderá que el hecho gravable son las utilidades no reinvertidas por parte de las empresas de hidrocarburos y que se encuentren en el capítulo de “Inversiones internacionales”</w:t>
            </w:r>
            <w:r w:rsidR="00EA281F" w:rsidRPr="00B82FD1">
              <w:rPr>
                <w:rFonts w:ascii="Century Gothic" w:hAnsi="Century Gothic" w:cs="Arial"/>
                <w:b/>
                <w:color w:val="000000" w:themeColor="text1"/>
                <w:szCs w:val="24"/>
                <w:u w:val="single"/>
                <w:lang w:val="es-419"/>
              </w:rPr>
              <w:t xml:space="preserve"> por egresos de divis</w:t>
            </w:r>
            <w:r w:rsidRPr="00B82FD1">
              <w:rPr>
                <w:rFonts w:ascii="Century Gothic" w:hAnsi="Century Gothic" w:cs="Arial"/>
                <w:b/>
                <w:color w:val="000000" w:themeColor="text1"/>
                <w:szCs w:val="24"/>
                <w:u w:val="single"/>
                <w:lang w:val="es-419"/>
              </w:rPr>
              <w:t xml:space="preserve">as en el manual de cambios internacionales del Banco de la República. </w:t>
            </w:r>
          </w:p>
          <w:p w14:paraId="3874B518" w14:textId="77777777" w:rsidR="006A77A1" w:rsidRDefault="006A77A1" w:rsidP="007669DC">
            <w:pPr>
              <w:spacing w:before="120" w:after="120" w:line="360" w:lineRule="auto"/>
              <w:jc w:val="both"/>
              <w:rPr>
                <w:rFonts w:ascii="Century Gothic" w:hAnsi="Century Gothic" w:cs="Arial"/>
                <w:color w:val="000000" w:themeColor="text1"/>
                <w:szCs w:val="24"/>
                <w:lang w:val="es-419"/>
              </w:rPr>
            </w:pPr>
          </w:p>
          <w:p w14:paraId="70542073" w14:textId="77777777" w:rsidR="006A77A1" w:rsidRDefault="006A77A1" w:rsidP="007669DC">
            <w:pPr>
              <w:spacing w:before="120" w:after="120" w:line="360" w:lineRule="auto"/>
              <w:jc w:val="both"/>
              <w:rPr>
                <w:rFonts w:ascii="Century Gothic" w:hAnsi="Century Gothic" w:cs="Arial"/>
                <w:color w:val="000000" w:themeColor="text1"/>
                <w:szCs w:val="24"/>
                <w:lang w:val="es-419"/>
              </w:rPr>
            </w:pPr>
          </w:p>
          <w:p w14:paraId="2F27AC38" w14:textId="366FD232" w:rsidR="006A77A1" w:rsidRPr="007A0F30" w:rsidRDefault="006A77A1" w:rsidP="007669DC">
            <w:pPr>
              <w:spacing w:before="120" w:after="120" w:line="360" w:lineRule="auto"/>
              <w:jc w:val="both"/>
              <w:rPr>
                <w:rFonts w:ascii="Century Gothic" w:hAnsi="Century Gothic" w:cs="Arial"/>
                <w:color w:val="000000" w:themeColor="text1"/>
                <w:szCs w:val="24"/>
                <w:lang w:val="es-419"/>
              </w:rPr>
            </w:pPr>
          </w:p>
        </w:tc>
      </w:tr>
      <w:tr w:rsidR="00404A94" w:rsidRPr="007A0F30" w14:paraId="2FF35FBA" w14:textId="77777777" w:rsidTr="006A77A1">
        <w:trPr>
          <w:jc w:val="center"/>
        </w:trPr>
        <w:tc>
          <w:tcPr>
            <w:tcW w:w="3969" w:type="dxa"/>
          </w:tcPr>
          <w:p w14:paraId="108D7D80" w14:textId="77777777" w:rsidR="006A77A1" w:rsidRDefault="006A77A1" w:rsidP="00404A94">
            <w:pPr>
              <w:spacing w:before="120" w:after="120" w:line="360" w:lineRule="auto"/>
              <w:jc w:val="both"/>
              <w:rPr>
                <w:rFonts w:ascii="Century Gothic" w:hAnsi="Century Gothic" w:cs="Arial"/>
                <w:color w:val="000000" w:themeColor="text1"/>
                <w:szCs w:val="24"/>
                <w:lang w:val="es-419"/>
              </w:rPr>
            </w:pPr>
          </w:p>
          <w:p w14:paraId="1F1443A3" w14:textId="77777777" w:rsidR="006A77A1" w:rsidRDefault="006A77A1" w:rsidP="00404A94">
            <w:pPr>
              <w:spacing w:before="120" w:after="120" w:line="360" w:lineRule="auto"/>
              <w:jc w:val="both"/>
              <w:rPr>
                <w:rFonts w:ascii="Century Gothic" w:hAnsi="Century Gothic" w:cs="Arial"/>
                <w:color w:val="000000" w:themeColor="text1"/>
                <w:szCs w:val="24"/>
                <w:lang w:val="es-419"/>
              </w:rPr>
            </w:pPr>
          </w:p>
          <w:p w14:paraId="6773772A" w14:textId="77777777" w:rsidR="006A77A1" w:rsidRDefault="006A77A1" w:rsidP="00404A94">
            <w:pPr>
              <w:spacing w:before="120" w:after="120" w:line="360" w:lineRule="auto"/>
              <w:jc w:val="both"/>
              <w:rPr>
                <w:rFonts w:ascii="Century Gothic" w:hAnsi="Century Gothic" w:cs="Arial"/>
                <w:color w:val="000000" w:themeColor="text1"/>
                <w:szCs w:val="24"/>
                <w:lang w:val="es-419"/>
              </w:rPr>
            </w:pPr>
          </w:p>
          <w:p w14:paraId="42A647D7" w14:textId="77777777" w:rsidR="00F56FA8" w:rsidRPr="007A0F30" w:rsidRDefault="00404A94" w:rsidP="00404A94">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ARTÍCULO 3. CAUSACIÓN. Impuesto a operaciones de cambio por ingreso o egreso del sector hidrocarburos se causa en la transferencia al exterior de rentas o ganancias ocasionales.</w:t>
            </w:r>
          </w:p>
          <w:p w14:paraId="3C5C7296" w14:textId="77777777" w:rsidR="00F56FA8" w:rsidRPr="007A0F30" w:rsidRDefault="00F56FA8" w:rsidP="00404A94">
            <w:pPr>
              <w:spacing w:before="120" w:after="120" w:line="360" w:lineRule="auto"/>
              <w:jc w:val="both"/>
              <w:rPr>
                <w:rFonts w:ascii="Century Gothic" w:hAnsi="Century Gothic" w:cs="Arial"/>
                <w:color w:val="000000" w:themeColor="text1"/>
                <w:szCs w:val="24"/>
                <w:lang w:val="es-419"/>
              </w:rPr>
            </w:pPr>
          </w:p>
          <w:p w14:paraId="41A4AC33" w14:textId="77777777" w:rsidR="00F56FA8" w:rsidRPr="007A0F30" w:rsidRDefault="00F56FA8" w:rsidP="00404A94">
            <w:pPr>
              <w:spacing w:before="120" w:after="120" w:line="360" w:lineRule="auto"/>
              <w:jc w:val="both"/>
              <w:rPr>
                <w:rFonts w:ascii="Century Gothic" w:hAnsi="Century Gothic" w:cs="Arial"/>
                <w:color w:val="000000" w:themeColor="text1"/>
                <w:szCs w:val="24"/>
                <w:lang w:val="es-419"/>
              </w:rPr>
            </w:pPr>
          </w:p>
          <w:p w14:paraId="656F023B" w14:textId="77777777" w:rsidR="00F56FA8" w:rsidRPr="007A0F30" w:rsidRDefault="00F56FA8" w:rsidP="00404A94">
            <w:pPr>
              <w:spacing w:before="120" w:after="120" w:line="360" w:lineRule="auto"/>
              <w:jc w:val="both"/>
              <w:rPr>
                <w:rFonts w:ascii="Century Gothic" w:hAnsi="Century Gothic" w:cs="Arial"/>
                <w:color w:val="000000" w:themeColor="text1"/>
                <w:szCs w:val="24"/>
                <w:lang w:val="es-419"/>
              </w:rPr>
            </w:pPr>
          </w:p>
          <w:p w14:paraId="6EB58C3D" w14:textId="77777777" w:rsidR="00F56FA8" w:rsidRPr="007A0F30" w:rsidRDefault="00F56FA8" w:rsidP="00404A94">
            <w:pPr>
              <w:spacing w:before="120" w:after="120" w:line="360" w:lineRule="auto"/>
              <w:jc w:val="both"/>
              <w:rPr>
                <w:rFonts w:ascii="Century Gothic" w:hAnsi="Century Gothic" w:cs="Arial"/>
                <w:color w:val="000000" w:themeColor="text1"/>
                <w:szCs w:val="24"/>
                <w:lang w:val="es-419"/>
              </w:rPr>
            </w:pPr>
          </w:p>
          <w:p w14:paraId="2BB9BEA2" w14:textId="001EE5A4" w:rsidR="00404A94" w:rsidRDefault="00404A94" w:rsidP="00404A94">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 xml:space="preserve"> </w:t>
            </w:r>
          </w:p>
          <w:p w14:paraId="42FB599E" w14:textId="77777777" w:rsidR="006A77A1" w:rsidRDefault="006A77A1" w:rsidP="00404A94">
            <w:pPr>
              <w:spacing w:before="120" w:after="120" w:line="360" w:lineRule="auto"/>
              <w:jc w:val="both"/>
              <w:rPr>
                <w:rFonts w:ascii="Century Gothic" w:hAnsi="Century Gothic" w:cs="Arial"/>
                <w:color w:val="000000" w:themeColor="text1"/>
                <w:szCs w:val="24"/>
                <w:lang w:val="es-419"/>
              </w:rPr>
            </w:pPr>
          </w:p>
          <w:p w14:paraId="3FA9EB86" w14:textId="77777777" w:rsidR="006A77A1" w:rsidRPr="007A0F30" w:rsidRDefault="006A77A1" w:rsidP="00404A94">
            <w:pPr>
              <w:spacing w:before="120" w:after="120" w:line="360" w:lineRule="auto"/>
              <w:jc w:val="both"/>
              <w:rPr>
                <w:rFonts w:ascii="Century Gothic" w:hAnsi="Century Gothic" w:cs="Arial"/>
                <w:color w:val="000000" w:themeColor="text1"/>
                <w:szCs w:val="24"/>
                <w:lang w:val="es-419"/>
              </w:rPr>
            </w:pPr>
          </w:p>
          <w:p w14:paraId="45D955E9" w14:textId="0FD3154F" w:rsidR="00404A94" w:rsidRPr="007A0F30" w:rsidRDefault="00404A94" w:rsidP="00404A94">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 xml:space="preserve">Parágrafo 1: Salvo las exoneraciones específicas en los pactos internacionales y en el derecho interno, a transferencia al exterior de rentas y ganancias ocasionales obtenidas en Colombia, causa </w:t>
            </w:r>
            <w:r w:rsidRPr="007A0F30">
              <w:rPr>
                <w:rFonts w:ascii="Century Gothic" w:hAnsi="Century Gothic" w:cs="Arial"/>
                <w:color w:val="000000" w:themeColor="text1"/>
                <w:szCs w:val="24"/>
                <w:lang w:val="es-419"/>
              </w:rPr>
              <w:lastRenderedPageBreak/>
              <w:t>el impuesto complementario de remesas, cualquiera que sea el beneficiario de la renta o de la ganancia ocasional o el beneficio de la transferencia.</w:t>
            </w:r>
          </w:p>
        </w:tc>
        <w:tc>
          <w:tcPr>
            <w:tcW w:w="3969" w:type="dxa"/>
          </w:tcPr>
          <w:p w14:paraId="53AF73E1" w14:textId="77777777" w:rsidR="006A77A1" w:rsidRDefault="006A77A1" w:rsidP="00B729D5">
            <w:pPr>
              <w:spacing w:before="120" w:after="120" w:line="360" w:lineRule="auto"/>
              <w:jc w:val="both"/>
              <w:rPr>
                <w:rFonts w:ascii="Century Gothic" w:hAnsi="Century Gothic" w:cs="Arial"/>
                <w:color w:val="000000" w:themeColor="text1"/>
                <w:szCs w:val="24"/>
                <w:lang w:val="es-419"/>
              </w:rPr>
            </w:pPr>
          </w:p>
          <w:p w14:paraId="0CFD4E9E" w14:textId="77777777" w:rsidR="006A77A1" w:rsidRDefault="006A77A1" w:rsidP="00B729D5">
            <w:pPr>
              <w:spacing w:before="120" w:after="120" w:line="360" w:lineRule="auto"/>
              <w:jc w:val="both"/>
              <w:rPr>
                <w:rFonts w:ascii="Century Gothic" w:hAnsi="Century Gothic" w:cs="Arial"/>
                <w:color w:val="000000" w:themeColor="text1"/>
                <w:szCs w:val="24"/>
                <w:lang w:val="es-419"/>
              </w:rPr>
            </w:pPr>
          </w:p>
          <w:p w14:paraId="6CBDA8A3" w14:textId="77777777" w:rsidR="006A77A1" w:rsidRDefault="006A77A1" w:rsidP="00B729D5">
            <w:pPr>
              <w:spacing w:before="120" w:after="120" w:line="360" w:lineRule="auto"/>
              <w:jc w:val="both"/>
              <w:rPr>
                <w:rFonts w:ascii="Century Gothic" w:hAnsi="Century Gothic" w:cs="Arial"/>
                <w:color w:val="000000" w:themeColor="text1"/>
                <w:szCs w:val="24"/>
                <w:lang w:val="es-419"/>
              </w:rPr>
            </w:pPr>
          </w:p>
          <w:p w14:paraId="74BD4772" w14:textId="77777777" w:rsidR="006A77A1" w:rsidRDefault="00B729D5" w:rsidP="00B729D5">
            <w:pPr>
              <w:spacing w:before="120" w:after="120" w:line="360" w:lineRule="auto"/>
              <w:jc w:val="both"/>
              <w:rPr>
                <w:rFonts w:ascii="Century Gothic" w:hAnsi="Century Gothic" w:cs="Arial"/>
                <w:strike/>
                <w:color w:val="000000" w:themeColor="text1"/>
                <w:szCs w:val="24"/>
                <w:lang w:val="es-419"/>
              </w:rPr>
            </w:pPr>
            <w:r w:rsidRPr="007A0F30">
              <w:rPr>
                <w:rFonts w:ascii="Century Gothic" w:hAnsi="Century Gothic" w:cs="Arial"/>
                <w:color w:val="000000" w:themeColor="text1"/>
                <w:szCs w:val="24"/>
                <w:lang w:val="es-419"/>
              </w:rPr>
              <w:t xml:space="preserve">ARTÍCULO 3. CAUSACIÓN. Impuesto a operaciones de cambio por </w:t>
            </w:r>
            <w:r w:rsidRPr="007A0F30">
              <w:rPr>
                <w:rFonts w:ascii="Century Gothic" w:hAnsi="Century Gothic" w:cs="Arial"/>
                <w:strike/>
                <w:color w:val="000000" w:themeColor="text1"/>
                <w:szCs w:val="24"/>
                <w:lang w:val="es-419"/>
              </w:rPr>
              <w:t>ingreso o</w:t>
            </w:r>
            <w:r w:rsidRPr="007A0F30">
              <w:rPr>
                <w:rFonts w:ascii="Century Gothic" w:hAnsi="Century Gothic" w:cs="Arial"/>
                <w:color w:val="000000" w:themeColor="text1"/>
                <w:szCs w:val="24"/>
                <w:lang w:val="es-419"/>
              </w:rPr>
              <w:t xml:space="preserve"> egreso del sector hidrocarburos </w:t>
            </w:r>
            <w:r w:rsidR="00EA281F" w:rsidRPr="006A77A1">
              <w:rPr>
                <w:rFonts w:ascii="Century Gothic" w:hAnsi="Century Gothic" w:cs="Arial"/>
                <w:b/>
                <w:color w:val="000000" w:themeColor="text1"/>
                <w:szCs w:val="24"/>
                <w:u w:val="single"/>
                <w:lang w:val="es-419"/>
              </w:rPr>
              <w:t>que se encuentren en el capítulo de “Inversiones internacionales” por egresos de divisas en el manual de cambios internacionales del Banco de la República.</w:t>
            </w:r>
            <w:r w:rsidR="00EA281F" w:rsidRPr="007A0F30">
              <w:rPr>
                <w:rFonts w:ascii="Century Gothic" w:hAnsi="Century Gothic" w:cs="Arial"/>
                <w:color w:val="000000" w:themeColor="text1"/>
                <w:szCs w:val="24"/>
                <w:lang w:val="es-419"/>
              </w:rPr>
              <w:t xml:space="preserve"> </w:t>
            </w:r>
            <w:r w:rsidRPr="007A0F30">
              <w:rPr>
                <w:rFonts w:ascii="Century Gothic" w:hAnsi="Century Gothic" w:cs="Arial"/>
                <w:strike/>
                <w:color w:val="000000" w:themeColor="text1"/>
                <w:szCs w:val="24"/>
                <w:lang w:val="es-419"/>
              </w:rPr>
              <w:t>se causa en la transferencia al exterior de rentas o ganancias ocasionales.</w:t>
            </w:r>
          </w:p>
          <w:p w14:paraId="4BA51A3B" w14:textId="77777777" w:rsidR="006A77A1" w:rsidRDefault="006A77A1" w:rsidP="00B729D5">
            <w:pPr>
              <w:spacing w:before="120" w:after="120" w:line="360" w:lineRule="auto"/>
              <w:jc w:val="both"/>
              <w:rPr>
                <w:rFonts w:ascii="Century Gothic" w:hAnsi="Century Gothic" w:cs="Arial"/>
                <w:strike/>
                <w:color w:val="000000" w:themeColor="text1"/>
                <w:szCs w:val="24"/>
                <w:lang w:val="es-419"/>
              </w:rPr>
            </w:pPr>
          </w:p>
          <w:p w14:paraId="70165F7A" w14:textId="1C6AE377" w:rsidR="00B729D5" w:rsidRPr="007A0F30" w:rsidRDefault="00B729D5" w:rsidP="00B729D5">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 xml:space="preserve"> </w:t>
            </w:r>
          </w:p>
          <w:p w14:paraId="3DC194B3" w14:textId="2559CA07" w:rsidR="00B729D5" w:rsidRPr="007A0F30" w:rsidRDefault="00B729D5" w:rsidP="00B729D5">
            <w:pPr>
              <w:spacing w:before="120" w:after="120" w:line="360" w:lineRule="auto"/>
              <w:jc w:val="both"/>
              <w:rPr>
                <w:rFonts w:ascii="Century Gothic" w:hAnsi="Century Gothic" w:cs="Arial"/>
                <w:color w:val="000000" w:themeColor="text1"/>
                <w:szCs w:val="24"/>
                <w:lang w:val="es-419"/>
              </w:rPr>
            </w:pPr>
            <w:r w:rsidRPr="007A0F30">
              <w:rPr>
                <w:rFonts w:ascii="Century Gothic" w:hAnsi="Century Gothic" w:cs="Arial"/>
                <w:color w:val="000000" w:themeColor="text1"/>
                <w:szCs w:val="24"/>
                <w:lang w:val="es-419"/>
              </w:rPr>
              <w:t xml:space="preserve">Parágrafo 1: Salvo las exoneraciones específicas en los pactos internacionales y en el derecho interno, a transferencia al exterior de rentas y ganancias ocasionales obtenidas en Colombia, causa </w:t>
            </w:r>
            <w:r w:rsidRPr="007A0F30">
              <w:rPr>
                <w:rFonts w:ascii="Century Gothic" w:hAnsi="Century Gothic" w:cs="Arial"/>
                <w:color w:val="000000" w:themeColor="text1"/>
                <w:szCs w:val="24"/>
                <w:lang w:val="es-419"/>
              </w:rPr>
              <w:lastRenderedPageBreak/>
              <w:t>el impuesto complementario de remesas, cualquiera que sea el beneficiario de la renta o de la ganancia ocasional o el beneficio de la transferencia</w:t>
            </w:r>
          </w:p>
        </w:tc>
      </w:tr>
    </w:tbl>
    <w:p w14:paraId="2B6DE8C6" w14:textId="77777777" w:rsidR="00495B56" w:rsidRDefault="00495B56" w:rsidP="007669DC">
      <w:pPr>
        <w:spacing w:before="120" w:after="120" w:line="360" w:lineRule="auto"/>
        <w:jc w:val="both"/>
        <w:rPr>
          <w:rFonts w:ascii="Century Gothic" w:hAnsi="Century Gothic" w:cs="Arial"/>
          <w:color w:val="000000" w:themeColor="text1"/>
          <w:sz w:val="24"/>
          <w:szCs w:val="24"/>
          <w:lang w:val="es-419"/>
        </w:rPr>
      </w:pPr>
    </w:p>
    <w:p w14:paraId="6EAA99A6" w14:textId="77777777" w:rsidR="007A0F30" w:rsidRPr="007A0F30" w:rsidRDefault="007A0F30" w:rsidP="007A0F30">
      <w:pPr>
        <w:spacing w:after="0" w:line="360" w:lineRule="auto"/>
        <w:jc w:val="center"/>
        <w:rPr>
          <w:rFonts w:ascii="Century Gothic" w:eastAsia="Times New Roman" w:hAnsi="Century Gothic" w:cs="Arial"/>
          <w:color w:val="000000" w:themeColor="text1"/>
          <w:sz w:val="24"/>
          <w:szCs w:val="24"/>
          <w:lang w:val="es-ES" w:eastAsia="es-ES"/>
        </w:rPr>
      </w:pPr>
      <w:r w:rsidRPr="007A0F30">
        <w:rPr>
          <w:rFonts w:ascii="Century Gothic" w:eastAsia="Times New Roman" w:hAnsi="Century Gothic" w:cs="Arial"/>
          <w:noProof/>
          <w:color w:val="000000" w:themeColor="text1"/>
          <w:sz w:val="24"/>
          <w:szCs w:val="24"/>
          <w:lang w:val="es-ES_tradnl" w:eastAsia="es-ES_tradnl"/>
        </w:rPr>
        <w:drawing>
          <wp:inline distT="0" distB="0" distL="0" distR="0" wp14:anchorId="10E23DD4" wp14:editId="526A9E45">
            <wp:extent cx="1622486" cy="906145"/>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 David Rac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360" cy="928415"/>
                    </a:xfrm>
                    <a:prstGeom prst="rect">
                      <a:avLst/>
                    </a:prstGeom>
                  </pic:spPr>
                </pic:pic>
              </a:graphicData>
            </a:graphic>
          </wp:inline>
        </w:drawing>
      </w:r>
    </w:p>
    <w:p w14:paraId="21D559C9" w14:textId="77777777" w:rsidR="007A0F30" w:rsidRPr="007A0F30" w:rsidRDefault="007A0F30" w:rsidP="007A0F30">
      <w:pPr>
        <w:spacing w:after="0" w:line="360" w:lineRule="auto"/>
        <w:jc w:val="center"/>
        <w:rPr>
          <w:rFonts w:ascii="Century Gothic" w:eastAsia="Times New Roman" w:hAnsi="Century Gothic" w:cs="Arial"/>
          <w:b/>
          <w:color w:val="000000" w:themeColor="text1"/>
          <w:sz w:val="24"/>
          <w:szCs w:val="24"/>
          <w:lang w:val="es-ES" w:eastAsia="es-ES"/>
        </w:rPr>
      </w:pPr>
      <w:r w:rsidRPr="007A0F30">
        <w:rPr>
          <w:rFonts w:ascii="Century Gothic" w:eastAsia="Times New Roman" w:hAnsi="Century Gothic" w:cs="Arial"/>
          <w:b/>
          <w:color w:val="000000" w:themeColor="text1"/>
          <w:sz w:val="24"/>
          <w:szCs w:val="24"/>
          <w:lang w:val="es-ES" w:eastAsia="es-ES"/>
        </w:rPr>
        <w:t>David Racero Mayorca</w:t>
      </w:r>
    </w:p>
    <w:p w14:paraId="609C7E6A" w14:textId="77777777" w:rsidR="007A0F30" w:rsidRPr="007A0F30" w:rsidRDefault="007A0F30" w:rsidP="007669DC">
      <w:pPr>
        <w:spacing w:before="120" w:after="120" w:line="360" w:lineRule="auto"/>
        <w:jc w:val="both"/>
        <w:rPr>
          <w:rFonts w:ascii="Century Gothic" w:hAnsi="Century Gothic" w:cs="Arial"/>
          <w:color w:val="000000" w:themeColor="text1"/>
          <w:sz w:val="24"/>
          <w:szCs w:val="24"/>
          <w:lang w:val="es-419"/>
        </w:rPr>
      </w:pPr>
    </w:p>
    <w:p w14:paraId="3287D064"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1F526BB7"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22B874E1" w14:textId="77777777" w:rsidR="00F56FA8" w:rsidRPr="007A0F30" w:rsidRDefault="00F56FA8" w:rsidP="007669DC">
      <w:pPr>
        <w:spacing w:before="120" w:after="120" w:line="360" w:lineRule="auto"/>
        <w:jc w:val="both"/>
        <w:rPr>
          <w:rFonts w:ascii="Century Gothic" w:hAnsi="Century Gothic" w:cs="Arial"/>
          <w:color w:val="000000" w:themeColor="text1"/>
          <w:sz w:val="24"/>
          <w:szCs w:val="24"/>
          <w:lang w:val="es-419"/>
        </w:rPr>
      </w:pPr>
    </w:p>
    <w:p w14:paraId="19689CEE" w14:textId="77777777" w:rsidR="00F56FA8" w:rsidRPr="007A0F30" w:rsidRDefault="00F56FA8" w:rsidP="007669DC">
      <w:pPr>
        <w:spacing w:before="120" w:after="120" w:line="360" w:lineRule="auto"/>
        <w:jc w:val="both"/>
        <w:rPr>
          <w:rFonts w:ascii="Century Gothic" w:hAnsi="Century Gothic" w:cs="Arial"/>
          <w:color w:val="000000" w:themeColor="text1"/>
          <w:sz w:val="24"/>
          <w:szCs w:val="24"/>
          <w:lang w:val="es-419"/>
        </w:rPr>
      </w:pPr>
    </w:p>
    <w:p w14:paraId="34641F8C" w14:textId="77777777" w:rsidR="00495B56" w:rsidRDefault="00495B56" w:rsidP="007669DC">
      <w:pPr>
        <w:spacing w:before="120" w:after="120" w:line="360" w:lineRule="auto"/>
        <w:jc w:val="both"/>
        <w:rPr>
          <w:rFonts w:ascii="Century Gothic" w:hAnsi="Century Gothic" w:cs="Arial"/>
          <w:color w:val="000000" w:themeColor="text1"/>
          <w:sz w:val="24"/>
          <w:szCs w:val="24"/>
          <w:lang w:val="es-419"/>
        </w:rPr>
      </w:pPr>
    </w:p>
    <w:p w14:paraId="666DC799"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1C8F211C"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39F5F18F"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2B40D23E"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70CE5F73" w14:textId="77777777" w:rsidR="006A77A1" w:rsidRDefault="006A77A1" w:rsidP="007669DC">
      <w:pPr>
        <w:spacing w:before="120" w:after="120" w:line="360" w:lineRule="auto"/>
        <w:jc w:val="both"/>
        <w:rPr>
          <w:rFonts w:ascii="Century Gothic" w:hAnsi="Century Gothic" w:cs="Arial"/>
          <w:color w:val="000000" w:themeColor="text1"/>
          <w:sz w:val="24"/>
          <w:szCs w:val="24"/>
          <w:lang w:val="es-419"/>
        </w:rPr>
      </w:pPr>
    </w:p>
    <w:p w14:paraId="3830B132" w14:textId="77777777" w:rsidR="006A77A1" w:rsidRPr="007A0F30" w:rsidRDefault="006A77A1" w:rsidP="007669DC">
      <w:pPr>
        <w:spacing w:before="120" w:after="120" w:line="360" w:lineRule="auto"/>
        <w:jc w:val="both"/>
        <w:rPr>
          <w:rFonts w:ascii="Century Gothic" w:hAnsi="Century Gothic" w:cs="Arial"/>
          <w:color w:val="000000" w:themeColor="text1"/>
          <w:sz w:val="24"/>
          <w:szCs w:val="24"/>
          <w:lang w:val="es-419"/>
        </w:rPr>
      </w:pPr>
    </w:p>
    <w:p w14:paraId="3B945F67" w14:textId="57F4C73F" w:rsidR="00F56FA8" w:rsidRPr="007A0F30" w:rsidRDefault="00F56FA8" w:rsidP="007669DC">
      <w:pPr>
        <w:spacing w:before="120" w:after="120" w:line="360" w:lineRule="auto"/>
        <w:jc w:val="center"/>
        <w:rPr>
          <w:rFonts w:ascii="Century Gothic" w:hAnsi="Century Gothic" w:cs="Arial"/>
          <w:b/>
          <w:color w:val="000000" w:themeColor="text1"/>
          <w:sz w:val="24"/>
          <w:szCs w:val="24"/>
          <w:lang w:val="es-419"/>
        </w:rPr>
      </w:pPr>
      <w:r w:rsidRPr="007A0F30">
        <w:rPr>
          <w:rFonts w:ascii="Century Gothic" w:hAnsi="Century Gothic" w:cs="Arial"/>
          <w:b/>
          <w:color w:val="000000" w:themeColor="text1"/>
          <w:sz w:val="24"/>
          <w:szCs w:val="24"/>
          <w:lang w:val="es-419"/>
        </w:rPr>
        <w:lastRenderedPageBreak/>
        <w:t>Texto propuesto para primer debate</w:t>
      </w:r>
    </w:p>
    <w:p w14:paraId="461CBFBE" w14:textId="77777777" w:rsidR="00F56FA8" w:rsidRPr="007A0F30" w:rsidRDefault="00F56FA8" w:rsidP="007669DC">
      <w:pPr>
        <w:spacing w:before="120" w:after="120" w:line="360" w:lineRule="auto"/>
        <w:jc w:val="center"/>
        <w:rPr>
          <w:rFonts w:ascii="Century Gothic" w:hAnsi="Century Gothic" w:cs="Arial"/>
          <w:b/>
          <w:color w:val="000000" w:themeColor="text1"/>
          <w:sz w:val="24"/>
          <w:szCs w:val="24"/>
          <w:lang w:val="es-419"/>
        </w:rPr>
      </w:pPr>
    </w:p>
    <w:p w14:paraId="001B0173" w14:textId="7FEE7706" w:rsidR="00495B56" w:rsidRPr="007A0F30" w:rsidRDefault="00F56FA8" w:rsidP="007669DC">
      <w:pPr>
        <w:spacing w:before="120" w:after="120" w:line="360" w:lineRule="auto"/>
        <w:jc w:val="center"/>
        <w:rPr>
          <w:rFonts w:ascii="Century Gothic" w:hAnsi="Century Gothic" w:cs="Arial"/>
          <w:b/>
          <w:color w:val="000000" w:themeColor="text1"/>
          <w:sz w:val="24"/>
          <w:szCs w:val="24"/>
          <w:lang w:val="es-419"/>
        </w:rPr>
      </w:pPr>
      <w:r w:rsidRPr="007A0F30">
        <w:rPr>
          <w:rFonts w:ascii="Century Gothic" w:hAnsi="Century Gothic" w:cs="Arial"/>
          <w:b/>
          <w:color w:val="000000" w:themeColor="text1"/>
          <w:sz w:val="24"/>
          <w:szCs w:val="24"/>
          <w:lang w:val="es-419"/>
        </w:rPr>
        <w:t>PROYECTO DE LEY Nº 080</w:t>
      </w:r>
      <w:r w:rsidR="00495B56" w:rsidRPr="007A0F30">
        <w:rPr>
          <w:rFonts w:ascii="Century Gothic" w:hAnsi="Century Gothic" w:cs="Arial"/>
          <w:b/>
          <w:color w:val="000000" w:themeColor="text1"/>
          <w:sz w:val="24"/>
          <w:szCs w:val="24"/>
          <w:lang w:val="es-419"/>
        </w:rPr>
        <w:t xml:space="preserve"> DE 2020 CÁMARA</w:t>
      </w:r>
    </w:p>
    <w:p w14:paraId="3C0F8CAB" w14:textId="77777777" w:rsidR="00F56FA8" w:rsidRPr="007A0F30" w:rsidRDefault="00F56FA8" w:rsidP="007669DC">
      <w:pPr>
        <w:spacing w:before="120" w:after="120" w:line="360" w:lineRule="auto"/>
        <w:jc w:val="center"/>
        <w:rPr>
          <w:rFonts w:ascii="Century Gothic" w:hAnsi="Century Gothic" w:cs="Arial"/>
          <w:b/>
          <w:color w:val="000000" w:themeColor="text1"/>
          <w:sz w:val="24"/>
          <w:szCs w:val="24"/>
          <w:lang w:val="es-419"/>
        </w:rPr>
      </w:pPr>
    </w:p>
    <w:p w14:paraId="2713461C" w14:textId="77777777" w:rsidR="00495B56" w:rsidRPr="007A0F30" w:rsidRDefault="00495B56" w:rsidP="007669DC">
      <w:pPr>
        <w:spacing w:before="120" w:after="120" w:line="360" w:lineRule="auto"/>
        <w:jc w:val="center"/>
        <w:rPr>
          <w:rFonts w:ascii="Century Gothic" w:hAnsi="Century Gothic" w:cs="Arial"/>
          <w:b/>
          <w:color w:val="000000" w:themeColor="text1"/>
          <w:sz w:val="24"/>
          <w:szCs w:val="24"/>
          <w:lang w:val="es-419"/>
        </w:rPr>
      </w:pPr>
      <w:r w:rsidRPr="007A0F30">
        <w:rPr>
          <w:rFonts w:ascii="Century Gothic" w:hAnsi="Century Gothic" w:cs="Arial"/>
          <w:b/>
          <w:color w:val="000000" w:themeColor="text1"/>
          <w:sz w:val="24"/>
          <w:szCs w:val="24"/>
          <w:lang w:val="es-419"/>
        </w:rPr>
        <w:t>“Por medio del cual se ordena la creación del impuesto sobre operaciones de cambio por ingreso o egreso de divisas producto del sector hidrocarburos para Educación Superior.”</w:t>
      </w:r>
    </w:p>
    <w:p w14:paraId="297575E5"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1A388C43" w14:textId="77777777" w:rsidR="00495B56" w:rsidRPr="007A0F30" w:rsidRDefault="00495B56" w:rsidP="00942A9A">
      <w:pPr>
        <w:spacing w:before="120" w:after="120" w:line="360" w:lineRule="auto"/>
        <w:jc w:val="center"/>
        <w:rPr>
          <w:rFonts w:ascii="Century Gothic" w:hAnsi="Century Gothic" w:cs="Arial"/>
          <w:color w:val="000000" w:themeColor="text1"/>
          <w:sz w:val="24"/>
          <w:szCs w:val="24"/>
          <w:lang w:val="es-419"/>
        </w:rPr>
      </w:pPr>
      <w:r w:rsidRPr="007A0F30">
        <w:rPr>
          <w:rFonts w:ascii="Century Gothic" w:hAnsi="Century Gothic" w:cs="Arial"/>
          <w:color w:val="000000" w:themeColor="text1"/>
          <w:sz w:val="24"/>
          <w:szCs w:val="24"/>
          <w:lang w:val="es-419"/>
        </w:rPr>
        <w:t>EL CONGRESO DE COLOMBIA</w:t>
      </w:r>
    </w:p>
    <w:p w14:paraId="0669B76B" w14:textId="77777777" w:rsidR="00495B56" w:rsidRPr="007A0F30" w:rsidRDefault="00495B56" w:rsidP="00942A9A">
      <w:pPr>
        <w:spacing w:before="120" w:after="120" w:line="360" w:lineRule="auto"/>
        <w:jc w:val="center"/>
        <w:rPr>
          <w:rFonts w:ascii="Century Gothic" w:hAnsi="Century Gothic" w:cs="Arial"/>
          <w:color w:val="000000" w:themeColor="text1"/>
          <w:sz w:val="24"/>
          <w:szCs w:val="24"/>
          <w:lang w:val="es-419"/>
        </w:rPr>
      </w:pPr>
      <w:r w:rsidRPr="007A0F30">
        <w:rPr>
          <w:rFonts w:ascii="Century Gothic" w:hAnsi="Century Gothic" w:cs="Arial"/>
          <w:color w:val="000000" w:themeColor="text1"/>
          <w:sz w:val="24"/>
          <w:szCs w:val="24"/>
          <w:lang w:val="es-419"/>
        </w:rPr>
        <w:t>DECRETA:</w:t>
      </w:r>
    </w:p>
    <w:p w14:paraId="3D7B945B" w14:textId="77777777" w:rsidR="007A0F30" w:rsidRPr="007A0F30" w:rsidRDefault="007A0F30" w:rsidP="00942A9A">
      <w:pPr>
        <w:spacing w:before="120" w:after="120" w:line="360" w:lineRule="auto"/>
        <w:jc w:val="center"/>
        <w:rPr>
          <w:rFonts w:ascii="Century Gothic" w:hAnsi="Century Gothic" w:cs="Arial"/>
          <w:color w:val="000000" w:themeColor="text1"/>
          <w:sz w:val="24"/>
          <w:szCs w:val="24"/>
          <w:lang w:val="es-419"/>
        </w:rPr>
      </w:pPr>
    </w:p>
    <w:p w14:paraId="281B5A73" w14:textId="0133DB95" w:rsidR="007A0F30" w:rsidRPr="007A0F30" w:rsidRDefault="007A0F30" w:rsidP="007A0F30">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 xml:space="preserve">ARTÍCULO 1. OBJETO. </w:t>
      </w:r>
      <w:r w:rsidRPr="007A0F30">
        <w:rPr>
          <w:rFonts w:ascii="Century Gothic" w:hAnsi="Century Gothic" w:cs="Arial"/>
          <w:color w:val="000000" w:themeColor="text1"/>
          <w:sz w:val="24"/>
          <w:szCs w:val="24"/>
          <w:lang w:val="es-419"/>
        </w:rPr>
        <w:t xml:space="preserve">El presente proyecto de ley tiene por objeto la creación de un impuesto al egreso de divisas generadas en el sector de hidrocarburos, produciendo consigo un beneficio presupuestal adicional para los institutos de educación superior destinado a programas de ciencia, tecnología e innovación. </w:t>
      </w:r>
    </w:p>
    <w:p w14:paraId="53E201C8"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2B6D9EDC" w14:textId="4203E69D" w:rsidR="007A0F30" w:rsidRPr="007A0F30" w:rsidRDefault="007A0F30" w:rsidP="007A0F30">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ARTÍCULO 2.</w:t>
      </w:r>
      <w:r w:rsidRPr="007A0F30">
        <w:rPr>
          <w:rFonts w:ascii="Century Gothic" w:hAnsi="Century Gothic" w:cs="Arial"/>
          <w:color w:val="000000" w:themeColor="text1"/>
          <w:sz w:val="24"/>
          <w:szCs w:val="24"/>
          <w:lang w:val="es-419"/>
        </w:rPr>
        <w:t xml:space="preserve"> A partir de la vigencia de la presente ley las operaciones de cambio por egreso de las personas jurídicas dedicadas a la exploración, explotación, refinamiento y transporte de hidrocarburos y sus derivados estarán gravadas con un impuesto del 1%.</w:t>
      </w:r>
    </w:p>
    <w:p w14:paraId="48F74DDC" w14:textId="77777777" w:rsidR="007A0F30" w:rsidRPr="007A0F30" w:rsidRDefault="007A0F30" w:rsidP="007A0F30">
      <w:pPr>
        <w:spacing w:before="120" w:after="120" w:line="360" w:lineRule="auto"/>
        <w:jc w:val="both"/>
        <w:rPr>
          <w:rFonts w:ascii="Century Gothic" w:hAnsi="Century Gothic" w:cs="Arial"/>
          <w:color w:val="000000" w:themeColor="text1"/>
          <w:sz w:val="24"/>
          <w:szCs w:val="24"/>
          <w:lang w:val="es-419"/>
        </w:rPr>
      </w:pPr>
    </w:p>
    <w:p w14:paraId="2D81088F" w14:textId="77777777" w:rsidR="007A0F30" w:rsidRDefault="007A0F30" w:rsidP="007A0F30">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lastRenderedPageBreak/>
        <w:t>Parágrafo 1.</w:t>
      </w:r>
      <w:r w:rsidRPr="007A0F30">
        <w:rPr>
          <w:rFonts w:ascii="Century Gothic" w:hAnsi="Century Gothic" w:cs="Arial"/>
          <w:color w:val="000000" w:themeColor="text1"/>
          <w:sz w:val="24"/>
          <w:szCs w:val="24"/>
          <w:lang w:val="es-419"/>
        </w:rPr>
        <w:t xml:space="preserve"> Se entenderá que el hecho gravable son las utilidades no reinvertidas por parte de las empresas de hidrocarburos y que se encuentren en el capítulo de “Inversiones internacionales” por egresos de divisas en el manual de cambios internacionales del Banco de la República. </w:t>
      </w:r>
    </w:p>
    <w:p w14:paraId="0059ED1D" w14:textId="77777777" w:rsidR="007A0F30" w:rsidRPr="007A0F30" w:rsidRDefault="007A0F30" w:rsidP="007A0F30">
      <w:pPr>
        <w:spacing w:before="120" w:after="120" w:line="360" w:lineRule="auto"/>
        <w:jc w:val="both"/>
        <w:rPr>
          <w:rFonts w:ascii="Century Gothic" w:hAnsi="Century Gothic" w:cs="Arial"/>
          <w:color w:val="000000" w:themeColor="text1"/>
          <w:sz w:val="24"/>
          <w:szCs w:val="24"/>
          <w:lang w:val="es-419"/>
        </w:rPr>
      </w:pPr>
    </w:p>
    <w:p w14:paraId="1E08578B" w14:textId="737B6E34" w:rsidR="007A0F30" w:rsidRDefault="007A0F30" w:rsidP="007A0F30">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ARTÍCULO 3. CAUSACIÓN.</w:t>
      </w:r>
      <w:r w:rsidRPr="007A0F30">
        <w:rPr>
          <w:rFonts w:ascii="Century Gothic" w:hAnsi="Century Gothic" w:cs="Arial"/>
          <w:color w:val="000000" w:themeColor="text1"/>
          <w:sz w:val="24"/>
          <w:szCs w:val="24"/>
          <w:lang w:val="es-419"/>
        </w:rPr>
        <w:t xml:space="preserve"> Impuesto a operaciones de cambio por egreso del sector hidrocarburos que se encuentren en el capítulo de “Inversiones internacionales” por egresos de divisas en el manual de cambios internacionales del Banco de la República. </w:t>
      </w:r>
    </w:p>
    <w:p w14:paraId="613FB443" w14:textId="77777777" w:rsidR="007A0F30" w:rsidRPr="007A0F30" w:rsidRDefault="007A0F30" w:rsidP="007A0F30">
      <w:pPr>
        <w:spacing w:before="120" w:after="120" w:line="360" w:lineRule="auto"/>
        <w:jc w:val="both"/>
        <w:rPr>
          <w:rFonts w:ascii="Century Gothic" w:hAnsi="Century Gothic" w:cs="Arial"/>
          <w:color w:val="000000" w:themeColor="text1"/>
          <w:sz w:val="24"/>
          <w:szCs w:val="24"/>
          <w:lang w:val="es-419"/>
        </w:rPr>
      </w:pPr>
    </w:p>
    <w:p w14:paraId="703C6B15" w14:textId="41132E47" w:rsidR="00495B56" w:rsidRPr="007A0F30" w:rsidRDefault="007A0F30" w:rsidP="007A0F30">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Parágrafo 1:</w:t>
      </w:r>
      <w:r w:rsidRPr="007A0F30">
        <w:rPr>
          <w:rFonts w:ascii="Century Gothic" w:hAnsi="Century Gothic" w:cs="Arial"/>
          <w:color w:val="000000" w:themeColor="text1"/>
          <w:sz w:val="24"/>
          <w:szCs w:val="24"/>
          <w:lang w:val="es-419"/>
        </w:rPr>
        <w:t xml:space="preserve"> Salvo las exoneraciones específicas en los pactos internacionales y en el derecho interno, a transferencia al exterior de rentas y ganancias ocasionales obtenidas en Colombia, causa el impuesto complementario de remesas, cualquiera que sea el beneficiario de la renta o de la ganancia ocasional o el beneficio de la transferencia</w:t>
      </w:r>
    </w:p>
    <w:p w14:paraId="17E32CA1" w14:textId="77777777" w:rsidR="007A0F30" w:rsidRPr="007A0F30" w:rsidRDefault="007A0F30" w:rsidP="007A0F30">
      <w:pPr>
        <w:spacing w:before="120" w:after="120" w:line="360" w:lineRule="auto"/>
        <w:jc w:val="both"/>
        <w:rPr>
          <w:rFonts w:ascii="Century Gothic" w:hAnsi="Century Gothic" w:cs="Arial"/>
          <w:color w:val="000000" w:themeColor="text1"/>
          <w:sz w:val="24"/>
          <w:szCs w:val="24"/>
          <w:lang w:val="es-419"/>
        </w:rPr>
      </w:pPr>
    </w:p>
    <w:p w14:paraId="58E4E762" w14:textId="77777777" w:rsidR="00495B56" w:rsidRDefault="00495B56"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ARTÍCULO 4°.</w:t>
      </w:r>
      <w:r w:rsidRPr="007A0F30">
        <w:rPr>
          <w:rFonts w:ascii="Century Gothic" w:hAnsi="Century Gothic" w:cs="Arial"/>
          <w:color w:val="000000" w:themeColor="text1"/>
          <w:sz w:val="24"/>
          <w:szCs w:val="24"/>
          <w:lang w:val="es-419"/>
        </w:rPr>
        <w:t xml:space="preserve"> El artículo 86 de la Ley 30 de 1992 quedará así:</w:t>
      </w:r>
    </w:p>
    <w:p w14:paraId="63F345A1" w14:textId="77777777" w:rsidR="007A0F30" w:rsidRPr="007A0F30" w:rsidRDefault="007A0F30" w:rsidP="007669DC">
      <w:pPr>
        <w:spacing w:before="120" w:after="120" w:line="360" w:lineRule="auto"/>
        <w:jc w:val="both"/>
        <w:rPr>
          <w:rFonts w:ascii="Century Gothic" w:hAnsi="Century Gothic" w:cs="Arial"/>
          <w:color w:val="000000" w:themeColor="text1"/>
          <w:sz w:val="24"/>
          <w:szCs w:val="24"/>
          <w:lang w:val="es-419"/>
        </w:rPr>
      </w:pPr>
    </w:p>
    <w:p w14:paraId="608D8406" w14:textId="77777777" w:rsidR="00495B56" w:rsidRDefault="00495B56"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Artículo 86.</w:t>
      </w:r>
      <w:r w:rsidRPr="007A0F30">
        <w:rPr>
          <w:rFonts w:ascii="Century Gothic" w:hAnsi="Century Gothic" w:cs="Arial"/>
          <w:color w:val="000000" w:themeColor="text1"/>
          <w:sz w:val="24"/>
          <w:szCs w:val="24"/>
          <w:lang w:val="es-419"/>
        </w:rPr>
        <w:t xml:space="preserve"> Los presupuestos de las universidades nacionales, departamentales y municipales estarán constituidos por aportes del presupuesto nacional para funcionamiento e inversión, por los aportes de los entes territoriales, por los recursos y rentas propias de cada institución. Las universidades estatales u oficiales recibirán anualmente aportes de los presupuestos nacional y de las entidades territoriales, que signifiquen </w:t>
      </w:r>
      <w:r w:rsidRPr="007A0F30">
        <w:rPr>
          <w:rFonts w:ascii="Century Gothic" w:hAnsi="Century Gothic" w:cs="Arial"/>
          <w:color w:val="000000" w:themeColor="text1"/>
          <w:sz w:val="24"/>
          <w:szCs w:val="24"/>
          <w:lang w:val="es-419"/>
        </w:rPr>
        <w:lastRenderedPageBreak/>
        <w:t>siempre un incremento en pesos constantes, tomando como base los presupuestos de rentas y gastos, vigentes a partir de 1993.</w:t>
      </w:r>
    </w:p>
    <w:p w14:paraId="06C322C9" w14:textId="77777777" w:rsidR="007A0F30" w:rsidRPr="007A0F30" w:rsidRDefault="007A0F30" w:rsidP="007669DC">
      <w:pPr>
        <w:spacing w:before="120" w:after="120" w:line="360" w:lineRule="auto"/>
        <w:jc w:val="both"/>
        <w:rPr>
          <w:rFonts w:ascii="Century Gothic" w:hAnsi="Century Gothic" w:cs="Arial"/>
          <w:color w:val="000000" w:themeColor="text1"/>
          <w:sz w:val="24"/>
          <w:szCs w:val="24"/>
          <w:lang w:val="es-419"/>
        </w:rPr>
      </w:pPr>
    </w:p>
    <w:p w14:paraId="300EC9D3"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Parágrafo.</w:t>
      </w:r>
      <w:r w:rsidRPr="007A0F30">
        <w:rPr>
          <w:rFonts w:ascii="Century Gothic" w:hAnsi="Century Gothic" w:cs="Arial"/>
          <w:color w:val="000000" w:themeColor="text1"/>
          <w:sz w:val="24"/>
          <w:szCs w:val="24"/>
          <w:lang w:val="es-419"/>
        </w:rPr>
        <w:t xml:space="preserve"> Se destinará el 100% anual de lo recaudado por concepto del impuesto a operaciones de cambio por ingreso o egreso de divisas del sector hidrocarburos al financiamiento de las iniciativas en ciencia, tecnología e innovación de las instituciones que hacen parte del Sistema Universitario Estatal.</w:t>
      </w:r>
    </w:p>
    <w:p w14:paraId="2F0CF3FC"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1EF8D2B5"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r w:rsidRPr="007A0F30">
        <w:rPr>
          <w:rFonts w:ascii="Century Gothic" w:hAnsi="Century Gothic" w:cs="Arial"/>
          <w:b/>
          <w:color w:val="000000" w:themeColor="text1"/>
          <w:sz w:val="24"/>
          <w:szCs w:val="24"/>
          <w:lang w:val="es-419"/>
        </w:rPr>
        <w:t>ARTÍCULO 5°. VIGENCIA.</w:t>
      </w:r>
      <w:r w:rsidRPr="007A0F30">
        <w:rPr>
          <w:rFonts w:ascii="Century Gothic" w:hAnsi="Century Gothic" w:cs="Arial"/>
          <w:color w:val="000000" w:themeColor="text1"/>
          <w:sz w:val="24"/>
          <w:szCs w:val="24"/>
          <w:lang w:val="es-419"/>
        </w:rPr>
        <w:t xml:space="preserve"> La presente ley deroga las disposiciones que le sean contrarias y rige a partir de la fecha de su publicación</w:t>
      </w:r>
    </w:p>
    <w:p w14:paraId="4AB81A28"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13D05769"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5F469601" w14:textId="77777777" w:rsidR="007A0F30" w:rsidRPr="007A0F30" w:rsidRDefault="007A0F30" w:rsidP="007A0F30">
      <w:pPr>
        <w:spacing w:after="0" w:line="360" w:lineRule="auto"/>
        <w:jc w:val="center"/>
        <w:rPr>
          <w:rFonts w:ascii="Century Gothic" w:eastAsia="Times New Roman" w:hAnsi="Century Gothic" w:cs="Arial"/>
          <w:color w:val="000000" w:themeColor="text1"/>
          <w:sz w:val="24"/>
          <w:szCs w:val="24"/>
          <w:lang w:val="es-ES" w:eastAsia="es-ES"/>
        </w:rPr>
      </w:pPr>
      <w:r w:rsidRPr="007A0F30">
        <w:rPr>
          <w:rFonts w:ascii="Century Gothic" w:eastAsia="Times New Roman" w:hAnsi="Century Gothic" w:cs="Arial"/>
          <w:noProof/>
          <w:color w:val="000000" w:themeColor="text1"/>
          <w:sz w:val="24"/>
          <w:szCs w:val="24"/>
          <w:lang w:val="es-ES_tradnl" w:eastAsia="es-ES_tradnl"/>
        </w:rPr>
        <w:drawing>
          <wp:inline distT="0" distB="0" distL="0" distR="0" wp14:anchorId="35755A58" wp14:editId="7217ABB2">
            <wp:extent cx="1622486" cy="90614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 David Rac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360" cy="928415"/>
                    </a:xfrm>
                    <a:prstGeom prst="rect">
                      <a:avLst/>
                    </a:prstGeom>
                  </pic:spPr>
                </pic:pic>
              </a:graphicData>
            </a:graphic>
          </wp:inline>
        </w:drawing>
      </w:r>
    </w:p>
    <w:p w14:paraId="31F59582" w14:textId="77777777" w:rsidR="007A0F30" w:rsidRPr="007A0F30" w:rsidRDefault="007A0F30" w:rsidP="007A0F30">
      <w:pPr>
        <w:spacing w:after="0" w:line="360" w:lineRule="auto"/>
        <w:jc w:val="center"/>
        <w:rPr>
          <w:rFonts w:ascii="Century Gothic" w:eastAsia="Times New Roman" w:hAnsi="Century Gothic" w:cs="Arial"/>
          <w:b/>
          <w:color w:val="000000" w:themeColor="text1"/>
          <w:sz w:val="24"/>
          <w:szCs w:val="24"/>
          <w:lang w:val="es-ES" w:eastAsia="es-ES"/>
        </w:rPr>
      </w:pPr>
      <w:r w:rsidRPr="007A0F30">
        <w:rPr>
          <w:rFonts w:ascii="Century Gothic" w:eastAsia="Times New Roman" w:hAnsi="Century Gothic" w:cs="Arial"/>
          <w:b/>
          <w:color w:val="000000" w:themeColor="text1"/>
          <w:sz w:val="24"/>
          <w:szCs w:val="24"/>
          <w:lang w:val="es-ES" w:eastAsia="es-ES"/>
        </w:rPr>
        <w:t>David Racero Mayorca</w:t>
      </w:r>
    </w:p>
    <w:p w14:paraId="3AB619AE"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7FFFA19C" w14:textId="1018ED9C"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0CE7CC7F" w14:textId="77777777" w:rsidR="00495B56" w:rsidRPr="007A0F30" w:rsidRDefault="00495B56" w:rsidP="007669DC">
      <w:pPr>
        <w:spacing w:before="120" w:after="120" w:line="360" w:lineRule="auto"/>
        <w:jc w:val="both"/>
        <w:rPr>
          <w:rFonts w:ascii="Century Gothic" w:hAnsi="Century Gothic" w:cs="Arial"/>
          <w:color w:val="000000" w:themeColor="text1"/>
          <w:sz w:val="24"/>
          <w:szCs w:val="24"/>
          <w:lang w:val="es-419"/>
        </w:rPr>
      </w:pPr>
    </w:p>
    <w:p w14:paraId="07EE032C" w14:textId="77777777" w:rsidR="00BF2149" w:rsidRPr="007A0F30" w:rsidRDefault="00BF2149" w:rsidP="007669DC">
      <w:pPr>
        <w:spacing w:line="360" w:lineRule="auto"/>
        <w:rPr>
          <w:sz w:val="24"/>
          <w:szCs w:val="24"/>
        </w:rPr>
      </w:pPr>
    </w:p>
    <w:sectPr w:rsidR="00BF2149" w:rsidRPr="007A0F3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63EBB" w14:textId="77777777" w:rsidR="009821BA" w:rsidRDefault="009821BA">
      <w:pPr>
        <w:spacing w:after="0" w:line="240" w:lineRule="auto"/>
      </w:pPr>
      <w:r>
        <w:separator/>
      </w:r>
    </w:p>
  </w:endnote>
  <w:endnote w:type="continuationSeparator" w:id="0">
    <w:p w14:paraId="13FD39FC" w14:textId="77777777" w:rsidR="009821BA" w:rsidRDefault="0098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B9A4" w14:textId="77777777" w:rsidR="005149CC" w:rsidRDefault="005149CC" w:rsidP="005149CC">
    <w:pPr>
      <w:pStyle w:val="Piedepgina"/>
      <w:jc w:val="both"/>
      <w:rPr>
        <w:noProof/>
        <w:lang w:eastAsia="es-CO"/>
      </w:rPr>
    </w:pPr>
  </w:p>
  <w:p w14:paraId="2591AE68" w14:textId="77777777" w:rsidR="005149CC" w:rsidRDefault="00396072" w:rsidP="005149CC">
    <w:pPr>
      <w:pStyle w:val="Piedepgina"/>
      <w:jc w:val="both"/>
      <w:rPr>
        <w:noProof/>
        <w:lang w:eastAsia="es-CO"/>
      </w:rPr>
    </w:pPr>
    <w:r>
      <w:rPr>
        <w:noProof/>
        <w:lang w:val="es-ES_tradnl" w:eastAsia="es-ES_tradnl"/>
      </w:rPr>
      <w:drawing>
        <wp:inline distT="0" distB="0" distL="0" distR="0" wp14:anchorId="199E8797" wp14:editId="71C46852">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60DC9FED" w14:textId="77777777" w:rsidR="005149CC" w:rsidRDefault="00396072" w:rsidP="005149CC">
    <w:pPr>
      <w:pStyle w:val="Piedepgina"/>
      <w:jc w:val="both"/>
    </w:pPr>
    <w:r>
      <w:rPr>
        <w:noProof/>
        <w:lang w:val="es-ES_tradnl" w:eastAsia="es-ES_tradnl"/>
      </w:rPr>
      <w:drawing>
        <wp:inline distT="0" distB="0" distL="0" distR="0" wp14:anchorId="16E30209" wp14:editId="1DD1CAA5">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7F5A0" w14:textId="77777777" w:rsidR="009821BA" w:rsidRDefault="009821BA">
      <w:pPr>
        <w:spacing w:after="0" w:line="240" w:lineRule="auto"/>
      </w:pPr>
      <w:r>
        <w:separator/>
      </w:r>
    </w:p>
  </w:footnote>
  <w:footnote w:type="continuationSeparator" w:id="0">
    <w:p w14:paraId="51EEFA74" w14:textId="77777777" w:rsidR="009821BA" w:rsidRDefault="009821BA">
      <w:pPr>
        <w:spacing w:after="0" w:line="240" w:lineRule="auto"/>
      </w:pPr>
      <w:r>
        <w:continuationSeparator/>
      </w:r>
    </w:p>
  </w:footnote>
  <w:footnote w:id="1">
    <w:p w14:paraId="6BA448AF" w14:textId="2A5ADA05" w:rsidR="00511D16" w:rsidRPr="00511D16" w:rsidRDefault="00511D16">
      <w:pPr>
        <w:pStyle w:val="Textonotapie"/>
      </w:pPr>
      <w:r>
        <w:rPr>
          <w:rStyle w:val="Refdenotaalpie"/>
        </w:rPr>
        <w:footnoteRef/>
      </w:r>
      <w:r>
        <w:t xml:space="preserve"> </w:t>
      </w:r>
      <w:r w:rsidRPr="00511D16">
        <w:rPr>
          <w:rFonts w:ascii="Century Gothic" w:hAnsi="Century Gothic"/>
        </w:rPr>
        <w:t>Para el año 2021, se toma la cifra que propone el Gobierno Nacional para el PGN 2021.</w:t>
      </w:r>
      <w:r>
        <w:t xml:space="preserve"> </w:t>
      </w:r>
    </w:p>
  </w:footnote>
  <w:footnote w:id="2">
    <w:p w14:paraId="3B4D8AC7" w14:textId="77777777" w:rsidR="00495B56" w:rsidRPr="00FF1F1C" w:rsidRDefault="00495B56" w:rsidP="00495B56">
      <w:pPr>
        <w:pStyle w:val="Textonotapie"/>
        <w:jc w:val="both"/>
      </w:pPr>
      <w:r w:rsidRPr="00FF1F1C">
        <w:rPr>
          <w:rStyle w:val="Refdenotaalpie"/>
          <w:b/>
        </w:rPr>
        <w:footnoteRef/>
      </w:r>
      <w:r>
        <w:t xml:space="preserve"> </w:t>
      </w:r>
      <w:r w:rsidRPr="00FF1F1C">
        <w:rPr>
          <w:rFonts w:ascii="Century Gothic" w:hAnsi="Century Gothic"/>
          <w:sz w:val="16"/>
          <w:szCs w:val="16"/>
        </w:rPr>
        <w:t>Presupuesto 2021: Inicia discusión con preocupación por fuerte recorte a Minciencias. El Observatorio de la Universidad Colombiana.</w:t>
      </w:r>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6F3AD" w14:textId="44C605E0" w:rsidR="005149CC" w:rsidRPr="004135DB" w:rsidRDefault="00396072" w:rsidP="00577459">
    <w:pPr>
      <w:pStyle w:val="Encabezado"/>
    </w:pPr>
    <w:r>
      <w:rPr>
        <w:noProof/>
      </w:rPr>
      <w:t xml:space="preserve">   </w:t>
    </w:r>
    <w:r>
      <w:rPr>
        <w:noProof/>
        <w:lang w:val="es-ES_tradnl" w:eastAsia="es-ES_tradnl"/>
      </w:rPr>
      <w:drawing>
        <wp:inline distT="0" distB="0" distL="0" distR="0" wp14:anchorId="05F83051" wp14:editId="0F34DDA8">
          <wp:extent cx="1362075" cy="36294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1">
                    <a:extLst>
                      <a:ext uri="{28A0092B-C50C-407E-A947-70E740481C1C}">
                        <a14:useLocalDpi xmlns:a14="http://schemas.microsoft.com/office/drawing/2010/main" val="0"/>
                      </a:ext>
                    </a:extLst>
                  </a:blip>
                  <a:stretch>
                    <a:fillRect/>
                  </a:stretch>
                </pic:blipFill>
                <pic:spPr>
                  <a:xfrm>
                    <a:off x="0" y="0"/>
                    <a:ext cx="1455704" cy="387892"/>
                  </a:xfrm>
                  <a:prstGeom prst="rect">
                    <a:avLst/>
                  </a:prstGeom>
                </pic:spPr>
              </pic:pic>
            </a:graphicData>
          </a:graphic>
        </wp:inline>
      </w:drawing>
    </w:r>
    <w:r w:rsidRPr="008B1AE1">
      <w:rPr>
        <w:noProof/>
      </w:rPr>
      <w:t xml:space="preserve"> </w:t>
    </w:r>
    <w:r>
      <w:rPr>
        <w:noProof/>
      </w:rPr>
      <w:t xml:space="preserve">  </w:t>
    </w:r>
    <w:r w:rsidR="00577459">
      <w:rPr>
        <w:noProof/>
      </w:rPr>
      <w:t xml:space="preserve">           </w:t>
    </w:r>
    <w:r w:rsidR="00686787">
      <w:rPr>
        <w:noProof/>
      </w:rPr>
      <w:t xml:space="preserve"> </w:t>
    </w:r>
    <w:r w:rsidR="00577459">
      <w:rPr>
        <w:noProof/>
      </w:rPr>
      <w:t xml:space="preserve">                       </w:t>
    </w:r>
    <w:r w:rsidR="00686787">
      <w:rPr>
        <w:noProof/>
      </w:rPr>
      <w:t xml:space="preserve">                 </w:t>
    </w:r>
    <w:r>
      <w:rPr>
        <w:noProof/>
      </w:rPr>
      <w:t xml:space="preserve">   </w:t>
    </w:r>
    <w:r w:rsidR="00577459">
      <w:rPr>
        <w:noProof/>
        <w:lang w:val="es-ES_tradnl" w:eastAsia="es-ES_tradnl"/>
      </w:rPr>
      <w:drawing>
        <wp:inline distT="0" distB="0" distL="0" distR="0" wp14:anchorId="3B18B90A" wp14:editId="5E787004">
          <wp:extent cx="805069" cy="348615"/>
          <wp:effectExtent l="0" t="0" r="8255" b="6985"/>
          <wp:docPr id="4" name="Imagen 4" descr="WhatsApp%20Image%202020-07-01%20at%2012.4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20Image%202020-07-01%20at%2012.46.4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592" cy="441509"/>
                  </a:xfrm>
                  <a:prstGeom prst="rect">
                    <a:avLst/>
                  </a:prstGeom>
                  <a:noFill/>
                  <a:ln>
                    <a:noFill/>
                  </a:ln>
                </pic:spPr>
              </pic:pic>
            </a:graphicData>
          </a:graphic>
        </wp:inline>
      </w:drawing>
    </w:r>
    <w:r w:rsidR="00577459">
      <w:rPr>
        <w:noProof/>
      </w:rPr>
      <w:t xml:space="preserve">   </w:t>
    </w:r>
    <w:r w:rsidR="00686787">
      <w:rPr>
        <w:noProof/>
        <w:lang w:val="es-ES_tradnl" w:eastAsia="es-ES_tradnl"/>
      </w:rPr>
      <w:drawing>
        <wp:inline distT="0" distB="0" distL="0" distR="0" wp14:anchorId="3F91DE2A" wp14:editId="6C262929">
          <wp:extent cx="328295" cy="3530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is.png"/>
                  <pic:cNvPicPr/>
                </pic:nvPicPr>
                <pic:blipFill>
                  <a:blip r:embed="rId3">
                    <a:extLst>
                      <a:ext uri="{28A0092B-C50C-407E-A947-70E740481C1C}">
                        <a14:useLocalDpi xmlns:a14="http://schemas.microsoft.com/office/drawing/2010/main" val="0"/>
                      </a:ext>
                    </a:extLst>
                  </a:blip>
                  <a:stretch>
                    <a:fillRect/>
                  </a:stretch>
                </pic:blipFill>
                <pic:spPr>
                  <a:xfrm>
                    <a:off x="0" y="0"/>
                    <a:ext cx="328295" cy="353060"/>
                  </a:xfrm>
                  <a:prstGeom prst="rect">
                    <a:avLst/>
                  </a:prstGeom>
                </pic:spPr>
              </pic:pic>
            </a:graphicData>
          </a:graphic>
        </wp:inline>
      </w:drawing>
    </w:r>
    <w:r w:rsidR="00577459">
      <w:rPr>
        <w:noProof/>
      </w:rPr>
      <w:t xml:space="preserve"> </w:t>
    </w:r>
    <w:r>
      <w:rPr>
        <w:noProof/>
        <w:lang w:val="es-ES_tradnl" w:eastAsia="es-ES_tradnl"/>
      </w:rPr>
      <w:drawing>
        <wp:inline distT="0" distB="0" distL="0" distR="0" wp14:anchorId="61043E08" wp14:editId="0E1B34D2">
          <wp:extent cx="1026795" cy="387064"/>
          <wp:effectExtent l="0" t="0" r="0" b="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4">
                    <a:extLst>
                      <a:ext uri="{28A0092B-C50C-407E-A947-70E740481C1C}">
                        <a14:useLocalDpi xmlns:a14="http://schemas.microsoft.com/office/drawing/2010/main" val="0"/>
                      </a:ext>
                    </a:extLst>
                  </a:blip>
                  <a:srcRect l="6790" t="15912" r="9518" b="16665"/>
                  <a:stretch/>
                </pic:blipFill>
                <pic:spPr bwMode="auto">
                  <a:xfrm>
                    <a:off x="0" y="0"/>
                    <a:ext cx="1323014" cy="4987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086F28E4" w14:textId="77777777" w:rsidR="005149CC" w:rsidRPr="003810B2" w:rsidRDefault="005149CC" w:rsidP="005149CC">
    <w:pPr>
      <w:pStyle w:val="Encabezado"/>
      <w:jc w:val="center"/>
      <w:rPr>
        <w:u w:val="single"/>
      </w:rPr>
    </w:pPr>
  </w:p>
  <w:p w14:paraId="2B805BAA" w14:textId="77777777" w:rsidR="005149CC" w:rsidRDefault="005149C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7C76"/>
    <w:multiLevelType w:val="hybridMultilevel"/>
    <w:tmpl w:val="A84C05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D9E160D"/>
    <w:multiLevelType w:val="hybridMultilevel"/>
    <w:tmpl w:val="40CE87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0D4457E"/>
    <w:multiLevelType w:val="hybridMultilevel"/>
    <w:tmpl w:val="643EFC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8A8286E"/>
    <w:multiLevelType w:val="hybridMultilevel"/>
    <w:tmpl w:val="EE6C6042"/>
    <w:lvl w:ilvl="0" w:tplc="72CC7A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FA4ABE"/>
    <w:multiLevelType w:val="hybridMultilevel"/>
    <w:tmpl w:val="4DD2FB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8686A95"/>
    <w:multiLevelType w:val="hybridMultilevel"/>
    <w:tmpl w:val="34BCA1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B9369BF"/>
    <w:multiLevelType w:val="hybridMultilevel"/>
    <w:tmpl w:val="384067C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nsid w:val="2FFE549C"/>
    <w:multiLevelType w:val="hybridMultilevel"/>
    <w:tmpl w:val="793C7C12"/>
    <w:lvl w:ilvl="0" w:tplc="DC88C67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42E928CE"/>
    <w:multiLevelType w:val="hybridMultilevel"/>
    <w:tmpl w:val="78D03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92427AA"/>
    <w:multiLevelType w:val="hybridMultilevel"/>
    <w:tmpl w:val="A956B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F930578"/>
    <w:multiLevelType w:val="hybridMultilevel"/>
    <w:tmpl w:val="EF6C8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ACB01A0"/>
    <w:multiLevelType w:val="hybridMultilevel"/>
    <w:tmpl w:val="26BA0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424C4D"/>
    <w:multiLevelType w:val="hybridMultilevel"/>
    <w:tmpl w:val="CF601132"/>
    <w:lvl w:ilvl="0" w:tplc="240A000B">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11"/>
  </w:num>
  <w:num w:numId="6">
    <w:abstractNumId w:val="4"/>
  </w:num>
  <w:num w:numId="7">
    <w:abstractNumId w:val="2"/>
  </w:num>
  <w:num w:numId="8">
    <w:abstractNumId w:val="1"/>
  </w:num>
  <w:num w:numId="9">
    <w:abstractNumId w:val="9"/>
  </w:num>
  <w:num w:numId="10">
    <w:abstractNumId w:val="12"/>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B5"/>
    <w:rsid w:val="0000081B"/>
    <w:rsid w:val="000012AD"/>
    <w:rsid w:val="00016351"/>
    <w:rsid w:val="00033998"/>
    <w:rsid w:val="00055E1A"/>
    <w:rsid w:val="0008271A"/>
    <w:rsid w:val="000C24CE"/>
    <w:rsid w:val="000C6474"/>
    <w:rsid w:val="000F78A8"/>
    <w:rsid w:val="001168C7"/>
    <w:rsid w:val="00116CF5"/>
    <w:rsid w:val="00122E41"/>
    <w:rsid w:val="00142210"/>
    <w:rsid w:val="00144397"/>
    <w:rsid w:val="001558E1"/>
    <w:rsid w:val="00155F1F"/>
    <w:rsid w:val="00184EF7"/>
    <w:rsid w:val="00192183"/>
    <w:rsid w:val="001935B2"/>
    <w:rsid w:val="001C6191"/>
    <w:rsid w:val="001E4413"/>
    <w:rsid w:val="002105EA"/>
    <w:rsid w:val="002440E5"/>
    <w:rsid w:val="0025528B"/>
    <w:rsid w:val="00280FA8"/>
    <w:rsid w:val="002811BA"/>
    <w:rsid w:val="002A1DAD"/>
    <w:rsid w:val="002B4885"/>
    <w:rsid w:val="002D471E"/>
    <w:rsid w:val="00312624"/>
    <w:rsid w:val="00342575"/>
    <w:rsid w:val="00342F68"/>
    <w:rsid w:val="00343C68"/>
    <w:rsid w:val="00396072"/>
    <w:rsid w:val="003B2698"/>
    <w:rsid w:val="003C2D8F"/>
    <w:rsid w:val="003C47B6"/>
    <w:rsid w:val="003D5E62"/>
    <w:rsid w:val="00404A94"/>
    <w:rsid w:val="00416788"/>
    <w:rsid w:val="004315B7"/>
    <w:rsid w:val="00450CC9"/>
    <w:rsid w:val="00461CC9"/>
    <w:rsid w:val="00493648"/>
    <w:rsid w:val="00495B56"/>
    <w:rsid w:val="004D47FC"/>
    <w:rsid w:val="00501672"/>
    <w:rsid w:val="00504B8A"/>
    <w:rsid w:val="00511D16"/>
    <w:rsid w:val="005149CC"/>
    <w:rsid w:val="00521AF3"/>
    <w:rsid w:val="00522FC7"/>
    <w:rsid w:val="00547F37"/>
    <w:rsid w:val="0055004F"/>
    <w:rsid w:val="00560D53"/>
    <w:rsid w:val="00577459"/>
    <w:rsid w:val="00580692"/>
    <w:rsid w:val="00580E41"/>
    <w:rsid w:val="00585D06"/>
    <w:rsid w:val="00594BE6"/>
    <w:rsid w:val="005A3F5D"/>
    <w:rsid w:val="005D3BA8"/>
    <w:rsid w:val="005F782B"/>
    <w:rsid w:val="006038A8"/>
    <w:rsid w:val="00636195"/>
    <w:rsid w:val="006434D4"/>
    <w:rsid w:val="00646E75"/>
    <w:rsid w:val="00655E8E"/>
    <w:rsid w:val="00686787"/>
    <w:rsid w:val="006A0546"/>
    <w:rsid w:val="006A1401"/>
    <w:rsid w:val="006A77A1"/>
    <w:rsid w:val="006C305A"/>
    <w:rsid w:val="006C61C4"/>
    <w:rsid w:val="006D00EB"/>
    <w:rsid w:val="006F4D69"/>
    <w:rsid w:val="006F51E9"/>
    <w:rsid w:val="00700DC6"/>
    <w:rsid w:val="00706B92"/>
    <w:rsid w:val="00720AB7"/>
    <w:rsid w:val="007339EB"/>
    <w:rsid w:val="00733BAD"/>
    <w:rsid w:val="007627AA"/>
    <w:rsid w:val="00762845"/>
    <w:rsid w:val="007669DC"/>
    <w:rsid w:val="007818D4"/>
    <w:rsid w:val="007A0F30"/>
    <w:rsid w:val="007E1103"/>
    <w:rsid w:val="007E6335"/>
    <w:rsid w:val="007F1C1E"/>
    <w:rsid w:val="007F1D85"/>
    <w:rsid w:val="008062D7"/>
    <w:rsid w:val="008266F2"/>
    <w:rsid w:val="00847C65"/>
    <w:rsid w:val="0088779F"/>
    <w:rsid w:val="008A0AB9"/>
    <w:rsid w:val="008A2905"/>
    <w:rsid w:val="008A7D8C"/>
    <w:rsid w:val="008B5337"/>
    <w:rsid w:val="008C0E7F"/>
    <w:rsid w:val="008C3C65"/>
    <w:rsid w:val="008D0FB5"/>
    <w:rsid w:val="008D3A8D"/>
    <w:rsid w:val="008F5B56"/>
    <w:rsid w:val="00912E95"/>
    <w:rsid w:val="00915B16"/>
    <w:rsid w:val="009221E6"/>
    <w:rsid w:val="00942A9A"/>
    <w:rsid w:val="00951139"/>
    <w:rsid w:val="009550C6"/>
    <w:rsid w:val="009713B1"/>
    <w:rsid w:val="009821BA"/>
    <w:rsid w:val="009B04B5"/>
    <w:rsid w:val="009B5B38"/>
    <w:rsid w:val="009D0D4D"/>
    <w:rsid w:val="009D1823"/>
    <w:rsid w:val="009E05E3"/>
    <w:rsid w:val="009E4956"/>
    <w:rsid w:val="009F4BBB"/>
    <w:rsid w:val="00A10BF9"/>
    <w:rsid w:val="00A14C6E"/>
    <w:rsid w:val="00A17C8C"/>
    <w:rsid w:val="00A22C6C"/>
    <w:rsid w:val="00A52B74"/>
    <w:rsid w:val="00A6799E"/>
    <w:rsid w:val="00A761D0"/>
    <w:rsid w:val="00A83C96"/>
    <w:rsid w:val="00AB42E7"/>
    <w:rsid w:val="00AE3D83"/>
    <w:rsid w:val="00AE6239"/>
    <w:rsid w:val="00B163D7"/>
    <w:rsid w:val="00B6007B"/>
    <w:rsid w:val="00B725E7"/>
    <w:rsid w:val="00B729D5"/>
    <w:rsid w:val="00B82FD1"/>
    <w:rsid w:val="00B851CC"/>
    <w:rsid w:val="00BC407F"/>
    <w:rsid w:val="00BD1828"/>
    <w:rsid w:val="00BF2149"/>
    <w:rsid w:val="00BF50BE"/>
    <w:rsid w:val="00BF5203"/>
    <w:rsid w:val="00C338E5"/>
    <w:rsid w:val="00C34F2A"/>
    <w:rsid w:val="00C42F64"/>
    <w:rsid w:val="00C550BE"/>
    <w:rsid w:val="00C765AD"/>
    <w:rsid w:val="00CA3BA3"/>
    <w:rsid w:val="00CB4A68"/>
    <w:rsid w:val="00CE2FB7"/>
    <w:rsid w:val="00D01961"/>
    <w:rsid w:val="00D87618"/>
    <w:rsid w:val="00DA23D9"/>
    <w:rsid w:val="00DB5628"/>
    <w:rsid w:val="00DC748B"/>
    <w:rsid w:val="00DE69D3"/>
    <w:rsid w:val="00DF4DF0"/>
    <w:rsid w:val="00E17070"/>
    <w:rsid w:val="00E26DF5"/>
    <w:rsid w:val="00E400EA"/>
    <w:rsid w:val="00E409E1"/>
    <w:rsid w:val="00E42431"/>
    <w:rsid w:val="00E524A0"/>
    <w:rsid w:val="00E745DC"/>
    <w:rsid w:val="00E75780"/>
    <w:rsid w:val="00E83DAB"/>
    <w:rsid w:val="00E917D0"/>
    <w:rsid w:val="00E971A0"/>
    <w:rsid w:val="00EA281F"/>
    <w:rsid w:val="00EC5F29"/>
    <w:rsid w:val="00EF587B"/>
    <w:rsid w:val="00EF6A52"/>
    <w:rsid w:val="00F01C53"/>
    <w:rsid w:val="00F106CA"/>
    <w:rsid w:val="00F27A2F"/>
    <w:rsid w:val="00F33CA9"/>
    <w:rsid w:val="00F53A39"/>
    <w:rsid w:val="00F56FA8"/>
    <w:rsid w:val="00F71CE8"/>
    <w:rsid w:val="00F774B4"/>
    <w:rsid w:val="00F92502"/>
    <w:rsid w:val="00F9332D"/>
    <w:rsid w:val="00FA1D72"/>
    <w:rsid w:val="00FB224E"/>
    <w:rsid w:val="00FC329E"/>
    <w:rsid w:val="00FD2950"/>
    <w:rsid w:val="00FF4543"/>
    <w:rsid w:val="00FF5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1E28"/>
  <w15:chartTrackingRefBased/>
  <w15:docId w15:val="{96330159-8C70-4119-B23B-B152D159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04B5"/>
  </w:style>
  <w:style w:type="paragraph" w:styleId="Ttulo1">
    <w:name w:val="heading 1"/>
    <w:basedOn w:val="Normal"/>
    <w:next w:val="Normal"/>
    <w:link w:val="Ttulo1Car"/>
    <w:uiPriority w:val="9"/>
    <w:qFormat/>
    <w:rsid w:val="00912E9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4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04B5"/>
  </w:style>
  <w:style w:type="paragraph" w:styleId="Piedepgina">
    <w:name w:val="footer"/>
    <w:basedOn w:val="Normal"/>
    <w:link w:val="PiedepginaCar"/>
    <w:uiPriority w:val="99"/>
    <w:unhideWhenUsed/>
    <w:rsid w:val="009B04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04B5"/>
  </w:style>
  <w:style w:type="paragraph" w:styleId="Prrafodelista">
    <w:name w:val="List Paragraph"/>
    <w:basedOn w:val="Normal"/>
    <w:uiPriority w:val="34"/>
    <w:qFormat/>
    <w:rsid w:val="00F33CA9"/>
    <w:pPr>
      <w:ind w:left="720"/>
      <w:contextualSpacing/>
    </w:pPr>
  </w:style>
  <w:style w:type="character" w:styleId="Hipervnculo">
    <w:name w:val="Hyperlink"/>
    <w:basedOn w:val="Fuentedeprrafopredeter"/>
    <w:uiPriority w:val="99"/>
    <w:unhideWhenUsed/>
    <w:rsid w:val="00915B16"/>
    <w:rPr>
      <w:color w:val="0563C1" w:themeColor="hyperlink"/>
      <w:u w:val="single"/>
    </w:rPr>
  </w:style>
  <w:style w:type="paragraph" w:styleId="Textodeglobo">
    <w:name w:val="Balloon Text"/>
    <w:basedOn w:val="Normal"/>
    <w:link w:val="TextodegloboCar"/>
    <w:uiPriority w:val="99"/>
    <w:semiHidden/>
    <w:unhideWhenUsed/>
    <w:rsid w:val="00F106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6CA"/>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E05E3"/>
    <w:rPr>
      <w:color w:val="605E5C"/>
      <w:shd w:val="clear" w:color="auto" w:fill="E1DFDD"/>
    </w:rPr>
  </w:style>
  <w:style w:type="character" w:customStyle="1" w:styleId="Ttulo1Car">
    <w:name w:val="Título 1 Car"/>
    <w:basedOn w:val="Fuentedeprrafopredeter"/>
    <w:link w:val="Ttulo1"/>
    <w:uiPriority w:val="9"/>
    <w:rsid w:val="00912E95"/>
    <w:rPr>
      <w:rFonts w:asciiTheme="majorHAnsi" w:eastAsiaTheme="majorEastAsia" w:hAnsiTheme="majorHAnsi" w:cstheme="majorBidi"/>
      <w:color w:val="2E74B5" w:themeColor="accent1" w:themeShade="BF"/>
      <w:sz w:val="32"/>
      <w:szCs w:val="32"/>
      <w:lang w:val="en-US"/>
    </w:rPr>
  </w:style>
  <w:style w:type="paragraph" w:styleId="Descripcin">
    <w:name w:val="caption"/>
    <w:basedOn w:val="Normal"/>
    <w:next w:val="Normal"/>
    <w:uiPriority w:val="35"/>
    <w:semiHidden/>
    <w:unhideWhenUsed/>
    <w:qFormat/>
    <w:rsid w:val="00912E95"/>
    <w:pPr>
      <w:spacing w:after="200" w:line="240" w:lineRule="auto"/>
    </w:pPr>
    <w:rPr>
      <w:rFonts w:ascii="Times New Roman" w:hAnsi="Times New Roman"/>
      <w:i/>
      <w:iCs/>
      <w:color w:val="44546A" w:themeColor="text2"/>
      <w:sz w:val="18"/>
      <w:szCs w:val="18"/>
    </w:rPr>
  </w:style>
  <w:style w:type="paragraph" w:styleId="Bibliografa">
    <w:name w:val="Bibliography"/>
    <w:basedOn w:val="Normal"/>
    <w:next w:val="Normal"/>
    <w:uiPriority w:val="37"/>
    <w:unhideWhenUsed/>
    <w:rsid w:val="00912E95"/>
    <w:pPr>
      <w:spacing w:line="256" w:lineRule="auto"/>
    </w:pPr>
    <w:rPr>
      <w:rFonts w:ascii="Times New Roman" w:hAnsi="Times New Roman"/>
      <w:sz w:val="24"/>
    </w:rPr>
  </w:style>
  <w:style w:type="table" w:styleId="Tablaconcuadrcula">
    <w:name w:val="Table Grid"/>
    <w:basedOn w:val="Tablanormal"/>
    <w:uiPriority w:val="39"/>
    <w:rsid w:val="00E83DA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3DA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2">
    <w:name w:val="Mención sin resolver2"/>
    <w:basedOn w:val="Fuentedeprrafopredeter"/>
    <w:uiPriority w:val="99"/>
    <w:rsid w:val="00E83DAB"/>
    <w:rPr>
      <w:color w:val="605E5C"/>
      <w:shd w:val="clear" w:color="auto" w:fill="E1DFDD"/>
    </w:rPr>
  </w:style>
  <w:style w:type="character" w:styleId="Hipervnculovisitado">
    <w:name w:val="FollowedHyperlink"/>
    <w:basedOn w:val="Fuentedeprrafopredeter"/>
    <w:uiPriority w:val="99"/>
    <w:semiHidden/>
    <w:unhideWhenUsed/>
    <w:rsid w:val="00FA1D72"/>
    <w:rPr>
      <w:color w:val="954F72" w:themeColor="followedHyperlink"/>
      <w:u w:val="single"/>
    </w:rPr>
  </w:style>
  <w:style w:type="paragraph" w:styleId="Textonotapie">
    <w:name w:val="footnote text"/>
    <w:basedOn w:val="Normal"/>
    <w:link w:val="TextonotapieCar"/>
    <w:uiPriority w:val="99"/>
    <w:semiHidden/>
    <w:unhideWhenUsed/>
    <w:rsid w:val="00495B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5B56"/>
    <w:rPr>
      <w:sz w:val="20"/>
      <w:szCs w:val="20"/>
    </w:rPr>
  </w:style>
  <w:style w:type="character" w:styleId="Refdenotaalpie">
    <w:name w:val="footnote reference"/>
    <w:basedOn w:val="Fuentedeprrafopredeter"/>
    <w:uiPriority w:val="99"/>
    <w:semiHidden/>
    <w:unhideWhenUsed/>
    <w:rsid w:val="00495B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8123">
      <w:bodyDiv w:val="1"/>
      <w:marLeft w:val="0"/>
      <w:marRight w:val="0"/>
      <w:marTop w:val="0"/>
      <w:marBottom w:val="0"/>
      <w:divBdr>
        <w:top w:val="none" w:sz="0" w:space="0" w:color="auto"/>
        <w:left w:val="none" w:sz="0" w:space="0" w:color="auto"/>
        <w:bottom w:val="none" w:sz="0" w:space="0" w:color="auto"/>
        <w:right w:val="none" w:sz="0" w:space="0" w:color="auto"/>
      </w:divBdr>
    </w:div>
    <w:div w:id="223761759">
      <w:bodyDiv w:val="1"/>
      <w:marLeft w:val="0"/>
      <w:marRight w:val="0"/>
      <w:marTop w:val="0"/>
      <w:marBottom w:val="0"/>
      <w:divBdr>
        <w:top w:val="none" w:sz="0" w:space="0" w:color="auto"/>
        <w:left w:val="none" w:sz="0" w:space="0" w:color="auto"/>
        <w:bottom w:val="none" w:sz="0" w:space="0" w:color="auto"/>
        <w:right w:val="none" w:sz="0" w:space="0" w:color="auto"/>
      </w:divBdr>
    </w:div>
    <w:div w:id="413282328">
      <w:bodyDiv w:val="1"/>
      <w:marLeft w:val="0"/>
      <w:marRight w:val="0"/>
      <w:marTop w:val="0"/>
      <w:marBottom w:val="0"/>
      <w:divBdr>
        <w:top w:val="none" w:sz="0" w:space="0" w:color="auto"/>
        <w:left w:val="none" w:sz="0" w:space="0" w:color="auto"/>
        <w:bottom w:val="none" w:sz="0" w:space="0" w:color="auto"/>
        <w:right w:val="none" w:sz="0" w:space="0" w:color="auto"/>
      </w:divBdr>
    </w:div>
    <w:div w:id="546331689">
      <w:bodyDiv w:val="1"/>
      <w:marLeft w:val="0"/>
      <w:marRight w:val="0"/>
      <w:marTop w:val="0"/>
      <w:marBottom w:val="0"/>
      <w:divBdr>
        <w:top w:val="none" w:sz="0" w:space="0" w:color="auto"/>
        <w:left w:val="none" w:sz="0" w:space="0" w:color="auto"/>
        <w:bottom w:val="none" w:sz="0" w:space="0" w:color="auto"/>
        <w:right w:val="none" w:sz="0" w:space="0" w:color="auto"/>
      </w:divBdr>
    </w:div>
    <w:div w:id="602810559">
      <w:bodyDiv w:val="1"/>
      <w:marLeft w:val="0"/>
      <w:marRight w:val="0"/>
      <w:marTop w:val="0"/>
      <w:marBottom w:val="0"/>
      <w:divBdr>
        <w:top w:val="none" w:sz="0" w:space="0" w:color="auto"/>
        <w:left w:val="none" w:sz="0" w:space="0" w:color="auto"/>
        <w:bottom w:val="none" w:sz="0" w:space="0" w:color="auto"/>
        <w:right w:val="none" w:sz="0" w:space="0" w:color="auto"/>
      </w:divBdr>
    </w:div>
    <w:div w:id="800735664">
      <w:bodyDiv w:val="1"/>
      <w:marLeft w:val="0"/>
      <w:marRight w:val="0"/>
      <w:marTop w:val="0"/>
      <w:marBottom w:val="0"/>
      <w:divBdr>
        <w:top w:val="none" w:sz="0" w:space="0" w:color="auto"/>
        <w:left w:val="none" w:sz="0" w:space="0" w:color="auto"/>
        <w:bottom w:val="none" w:sz="0" w:space="0" w:color="auto"/>
        <w:right w:val="none" w:sz="0" w:space="0" w:color="auto"/>
      </w:divBdr>
    </w:div>
    <w:div w:id="1121338760">
      <w:bodyDiv w:val="1"/>
      <w:marLeft w:val="0"/>
      <w:marRight w:val="0"/>
      <w:marTop w:val="0"/>
      <w:marBottom w:val="0"/>
      <w:divBdr>
        <w:top w:val="none" w:sz="0" w:space="0" w:color="auto"/>
        <w:left w:val="none" w:sz="0" w:space="0" w:color="auto"/>
        <w:bottom w:val="none" w:sz="0" w:space="0" w:color="auto"/>
        <w:right w:val="none" w:sz="0" w:space="0" w:color="auto"/>
      </w:divBdr>
    </w:div>
    <w:div w:id="148395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hart" Target="charts/chart1.xml"/><Relationship Id="rId10"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4" Type="http://schemas.openxmlformats.org/officeDocument/2006/relationships/image" Target="media/image6.jpeg"/><Relationship Id="rId1" Type="http://schemas.openxmlformats.org/officeDocument/2006/relationships/image" Target="media/image3.png"/><Relationship Id="rId2"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Sheet1!$A$3</c:f>
              <c:strCache>
                <c:ptCount val="1"/>
                <c:pt idx="0">
                  <c:v> CIENCIA, TECNOLOGÍA E INNOVACIÓN </c:v>
                </c:pt>
              </c:strCache>
            </c:strRef>
          </c:tx>
          <c:spPr>
            <a:ln w="28575" cap="rnd">
              <a:solidFill>
                <a:schemeClr val="tx1"/>
              </a:solidFill>
              <a:round/>
            </a:ln>
            <a:effectLst/>
          </c:spPr>
          <c:marker>
            <c:symbol val="none"/>
          </c:marker>
          <c:cat>
            <c:numRef>
              <c:f>Sheet1!$B$2:$J$2</c:f>
              <c:numCache>
                <c:formatCode>General</c:formatCode>
                <c:ptCount val="9"/>
                <c:pt idx="0">
                  <c:v>2013.0</c:v>
                </c:pt>
                <c:pt idx="1">
                  <c:v>2014.0</c:v>
                </c:pt>
                <c:pt idx="2">
                  <c:v>2015.0</c:v>
                </c:pt>
                <c:pt idx="3">
                  <c:v>2016.0</c:v>
                </c:pt>
                <c:pt idx="4">
                  <c:v>2017.0</c:v>
                </c:pt>
                <c:pt idx="5">
                  <c:v>2018.0</c:v>
                </c:pt>
                <c:pt idx="6">
                  <c:v>2019.0</c:v>
                </c:pt>
                <c:pt idx="7">
                  <c:v>2020.0</c:v>
                </c:pt>
                <c:pt idx="8">
                  <c:v>2021.0</c:v>
                </c:pt>
              </c:numCache>
            </c:numRef>
          </c:cat>
          <c:val>
            <c:numRef>
              <c:f>Sheet1!$B$3:$J$3</c:f>
              <c:numCache>
                <c:formatCode>#,##0</c:formatCode>
                <c:ptCount val="9"/>
                <c:pt idx="0">
                  <c:v>430.150279571</c:v>
                </c:pt>
                <c:pt idx="1">
                  <c:v>376.7680720659994</c:v>
                </c:pt>
                <c:pt idx="2">
                  <c:v>354.686305279</c:v>
                </c:pt>
                <c:pt idx="3">
                  <c:v>306.5164908059999</c:v>
                </c:pt>
                <c:pt idx="4">
                  <c:v>380.3314233469994</c:v>
                </c:pt>
                <c:pt idx="5">
                  <c:v>334.7780417999999</c:v>
                </c:pt>
                <c:pt idx="6">
                  <c:v>350.968983876</c:v>
                </c:pt>
                <c:pt idx="7">
                  <c:v>393.132935395</c:v>
                </c:pt>
                <c:pt idx="8">
                  <c:v>282.562057887</c:v>
                </c:pt>
              </c:numCache>
            </c:numRef>
          </c:val>
          <c:smooth val="0"/>
          <c:extLst xmlns:c16r2="http://schemas.microsoft.com/office/drawing/2015/06/chart">
            <c:ext xmlns:c16="http://schemas.microsoft.com/office/drawing/2014/chart" uri="{C3380CC4-5D6E-409C-BE32-E72D297353CC}">
              <c16:uniqueId val="{00000000-415A-AD47-BE97-7DA99E597D9D}"/>
            </c:ext>
          </c:extLst>
        </c:ser>
        <c:dLbls>
          <c:showLegendKey val="0"/>
          <c:showVal val="0"/>
          <c:showCatName val="0"/>
          <c:showSerName val="0"/>
          <c:showPercent val="0"/>
          <c:showBubbleSize val="0"/>
        </c:dLbls>
        <c:smooth val="0"/>
        <c:axId val="984440816"/>
        <c:axId val="983773840"/>
      </c:lineChart>
      <c:catAx>
        <c:axId val="98444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panose="020B0502020202020204" pitchFamily="34" charset="0"/>
                <a:ea typeface="+mn-ea"/>
                <a:cs typeface="+mn-cs"/>
              </a:defRPr>
            </a:pPr>
            <a:endParaRPr lang="es-ES_tradnl"/>
          </a:p>
        </c:txPr>
        <c:crossAx val="983773840"/>
        <c:crosses val="autoZero"/>
        <c:auto val="1"/>
        <c:lblAlgn val="ctr"/>
        <c:lblOffset val="100"/>
        <c:noMultiLvlLbl val="0"/>
      </c:catAx>
      <c:valAx>
        <c:axId val="983773840"/>
        <c:scaling>
          <c:orientation val="minMax"/>
          <c:min val="2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panose="020B0502020202020204" pitchFamily="34" charset="0"/>
                <a:ea typeface="+mn-ea"/>
                <a:cs typeface="+mn-cs"/>
              </a:defRPr>
            </a:pPr>
            <a:endParaRPr lang="es-ES_tradnl"/>
          </a:p>
        </c:txPr>
        <c:crossAx val="98444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Hoja1!$B$20</c:f>
              <c:strCache>
                <c:ptCount val="1"/>
                <c:pt idx="0">
                  <c:v>Participación Aportes Universidades sobre Gasto Público</c:v>
                </c:pt>
              </c:strCache>
            </c:strRef>
          </c:tx>
          <c:spPr>
            <a:ln w="28575" cap="rnd">
              <a:solidFill>
                <a:schemeClr val="tx1"/>
              </a:solidFill>
              <a:round/>
            </a:ln>
            <a:effectLst/>
          </c:spPr>
          <c:marker>
            <c:symbol val="none"/>
          </c:marker>
          <c:cat>
            <c:numRef>
              <c:f>Hoja1!$A$21:$A$35</c:f>
              <c:numCache>
                <c:formatCode>General</c:formatCode>
                <c:ptCount val="15"/>
                <c:pt idx="0">
                  <c:v>2002.0</c:v>
                </c:pt>
                <c:pt idx="1">
                  <c:v>2003.0</c:v>
                </c:pt>
                <c:pt idx="2">
                  <c:v>2004.0</c:v>
                </c:pt>
                <c:pt idx="3">
                  <c:v>2005.0</c:v>
                </c:pt>
                <c:pt idx="4">
                  <c:v>2006.0</c:v>
                </c:pt>
                <c:pt idx="5">
                  <c:v>2007.0</c:v>
                </c:pt>
                <c:pt idx="6">
                  <c:v>2008.0</c:v>
                </c:pt>
                <c:pt idx="7">
                  <c:v>2009.0</c:v>
                </c:pt>
                <c:pt idx="8">
                  <c:v>2010.0</c:v>
                </c:pt>
                <c:pt idx="9">
                  <c:v>2011.0</c:v>
                </c:pt>
                <c:pt idx="10">
                  <c:v>2012.0</c:v>
                </c:pt>
                <c:pt idx="11">
                  <c:v>2013.0</c:v>
                </c:pt>
                <c:pt idx="12">
                  <c:v>2014.0</c:v>
                </c:pt>
                <c:pt idx="13">
                  <c:v>2015.0</c:v>
                </c:pt>
                <c:pt idx="14">
                  <c:v>2016.0</c:v>
                </c:pt>
              </c:numCache>
            </c:numRef>
          </c:cat>
          <c:val>
            <c:numRef>
              <c:f>Hoja1!$B$21:$B$35</c:f>
              <c:numCache>
                <c:formatCode>0.000</c:formatCode>
                <c:ptCount val="15"/>
                <c:pt idx="0">
                  <c:v>0.557</c:v>
                </c:pt>
                <c:pt idx="1">
                  <c:v>0.576</c:v>
                </c:pt>
                <c:pt idx="2">
                  <c:v>0.511</c:v>
                </c:pt>
                <c:pt idx="3">
                  <c:v>0.514</c:v>
                </c:pt>
                <c:pt idx="4">
                  <c:v>0.488</c:v>
                </c:pt>
                <c:pt idx="5">
                  <c:v>0.468</c:v>
                </c:pt>
                <c:pt idx="6">
                  <c:v>0.434</c:v>
                </c:pt>
                <c:pt idx="7">
                  <c:v>0.414</c:v>
                </c:pt>
                <c:pt idx="8">
                  <c:v>0.393</c:v>
                </c:pt>
                <c:pt idx="9">
                  <c:v>0.388</c:v>
                </c:pt>
                <c:pt idx="10">
                  <c:v>0.394</c:v>
                </c:pt>
                <c:pt idx="11">
                  <c:v>0.405</c:v>
                </c:pt>
                <c:pt idx="12">
                  <c:v>0.397</c:v>
                </c:pt>
                <c:pt idx="13">
                  <c:v>0.373</c:v>
                </c:pt>
                <c:pt idx="14">
                  <c:v>0.37</c:v>
                </c:pt>
              </c:numCache>
            </c:numRef>
          </c:val>
          <c:smooth val="0"/>
          <c:extLst xmlns:c16r2="http://schemas.microsoft.com/office/drawing/2015/06/chart">
            <c:ext xmlns:c16="http://schemas.microsoft.com/office/drawing/2014/chart" uri="{C3380CC4-5D6E-409C-BE32-E72D297353CC}">
              <c16:uniqueId val="{00000000-E6C1-4F14-A3D3-0EE20D485C76}"/>
            </c:ext>
          </c:extLst>
        </c:ser>
        <c:dLbls>
          <c:showLegendKey val="0"/>
          <c:showVal val="0"/>
          <c:showCatName val="0"/>
          <c:showSerName val="0"/>
          <c:showPercent val="0"/>
          <c:showBubbleSize val="0"/>
        </c:dLbls>
        <c:smooth val="0"/>
        <c:axId val="1040730944"/>
        <c:axId val="1040288496"/>
      </c:lineChart>
      <c:dateAx>
        <c:axId val="10407309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_tradnl"/>
          </a:p>
        </c:txPr>
        <c:crossAx val="1040288496"/>
        <c:crosses val="autoZero"/>
        <c:auto val="0"/>
        <c:lblOffset val="100"/>
        <c:baseTimeUnit val="days"/>
      </c:dateAx>
      <c:valAx>
        <c:axId val="1040288496"/>
        <c:scaling>
          <c:orientation val="minMax"/>
          <c:min val="0.3"/>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ES_tradnl"/>
          </a:p>
        </c:txPr>
        <c:crossAx val="1040730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ONU17</b:Tag>
    <b:SourceType>DocumentFromInternetSite</b:SourceType>
    <b:Guid>{334A0D46-067D-46A6-A5AA-963C1345776C}</b:Guid>
    <b:Author>
      <b:Author>
        <b:Corporate>ONU Mujeres, UNFPA, PNUD</b:Corporate>
      </b:Author>
    </b:Author>
    <b:Title>Brechas de género y desigualdad: de los Objetivos de Desarrollo del Milenio a los Objetivos de DEsarrollo Sostenible</b:Title>
    <b:Year>2017</b:Year>
    <b:City>Bogotá</b:City>
    <b:CountryRegion>Colombia</b:CountryRegion>
    <b:Month>Semptiembre</b:Month>
    <b:InternetSiteTitle>UNFPA Colombia</b:InternetSiteTitle>
    <b:URL>https://colombia.unfpa.org/sites/default/files/pub-pdf/PDF%20WEB%20BRECHAS%20DE%20GENERO%20Y%20DESIGUALDAD.pdf</b:URL>
    <b:RefOrder>2</b:RefOrder>
  </b:Source>
  <b:Source>
    <b:Tag>Ávi16</b:Tag>
    <b:SourceType>Report</b:SourceType>
    <b:Guid>{22031344-5101-4A04-92C4-CA66BFCDBB55}</b:Guid>
    <b:Title>Diferencias de género en la riqueza, ingresos y rentas de las personas naturales en COlombia</b:Title>
    <b:Year>2016</b:Year>
    <b:Publisher>Dirección General DIAN</b:Publisher>
    <b:City>Bogotá</b:City>
    <b:Author>
      <b:Author>
        <b:NameList>
          <b:Person>
            <b:Last>Ávila Mahecha</b:Last>
            <b:First>Javier</b:First>
          </b:Person>
        </b:NameList>
      </b:Author>
    </b:Author>
    <b:RefOrder>3</b:RefOrder>
  </b:Source>
  <b:Source>
    <b:Tag>DAN18</b:Tag>
    <b:SourceType>Report</b:SourceType>
    <b:Guid>{4B7D0E05-D00B-4E09-8F6D-1C2D6FD0D988}</b:Guid>
    <b:Author>
      <b:Author>
        <b:Corporate>DANE</b:Corporate>
      </b:Author>
    </b:Author>
    <b:Title>Resultados Censo Nacional de Población y Vivienda 2018</b:Title>
    <b:Year>2018</b:Year>
    <b:Publisher>DANE</b:Publisher>
    <b:City>Bogotá</b:City>
    <b:RefOrder>4</b:RefOrder>
  </b:Source>
  <b:Source>
    <b:Tag>Vil97</b:Tag>
    <b:SourceType>Book</b:SourceType>
    <b:Guid>{7EEE6D0C-05E2-4D4E-809A-DD3E11361290}</b:Guid>
    <b:Title>El poder y el valor: fundamentos de una ética política </b:Title>
    <b:Year>1997</b:Year>
    <b:Publisher>Fonde de Cultura Económica</b:Publisher>
    <b:City>CDMX</b:City>
    <b:Author>
      <b:Author>
        <b:NameList>
          <b:Person>
            <b:Last>Villoro</b:Last>
            <b:First>Luis</b:First>
          </b:Person>
        </b:NameList>
      </b:Author>
      <b:BookAuthor>
        <b:NameList>
          <b:Person>
            <b:Last>Villoro</b:Last>
            <b:First>Luis</b:First>
          </b:Person>
        </b:NameList>
      </b:BookAuthor>
    </b:Author>
    <b:RefOrder>5</b:RefOrder>
  </b:Source>
  <b:Source>
    <b:Tag>DAN20</b:Tag>
    <b:SourceType>Report</b:SourceType>
    <b:Guid>{9679367C-79B8-4006-A5F4-7E026189A0E5}</b:Guid>
    <b:Title>Boletín Técnico Mercado Laboral según Sexo Trimestre móvil noviembre 2019 - enero 2020</b:Title>
    <b:Year>2020</b:Year>
    <b:City>Bogotá</b:City>
    <b:Publisher>DANE</b:Publisher>
    <b:Author>
      <b:Author>
        <b:Corporate>DANE</b:Corporate>
      </b:Author>
    </b:Author>
    <b:RefOrder>6</b:RefOrder>
  </b:Source>
  <b:Source>
    <b:Tag>DAN19</b:Tag>
    <b:SourceType>Report</b:SourceType>
    <b:Guid>{9981174B-D27E-48A4-BF9F-B726F3FC8ED8}</b:Guid>
    <b:Author>
      <b:Author>
        <b:Corporate>DANE</b:Corporate>
      </b:Author>
    </b:Author>
    <b:Title>Boletín Estadístico Empoderamiento Económico de las Mujeres en Colombia</b:Title>
    <b:Year>2019</b:Year>
    <b:Publisher>DANE</b:Publisher>
    <b:City>Bogotá</b:City>
    <b:RefOrder>7</b:RefOrder>
  </b:Source>
  <b:Source>
    <b:Tag>Are18</b:Tag>
    <b:SourceType>Report</b:SourceType>
    <b:Guid>{8D9E2C2D-E75C-4B8A-A4FC-20EF41C9D8EE}</b:Guid>
    <b:Title>Política tributaria y sesgos de género: aproximaciones al caso colombiano</b:Title>
    <b:Year>2018</b:Year>
    <b:Publisher>Friedrich Ebert Stiftung</b:Publisher>
    <b:Author>
      <b:Author>
        <b:NameList>
          <b:Person>
            <b:Last>Arenas Saavedra</b:Last>
            <b:Middle>Isabel</b:Middle>
            <b:First>Ana</b:First>
          </b:Person>
        </b:NameList>
      </b:Author>
    </b:Author>
    <b:RefOrder>8</b:RefOrder>
  </b:Source>
  <b:Source>
    <b:Tag>Alm11</b:Tag>
    <b:SourceType>Report</b:SourceType>
    <b:Guid>{8B7D040B-488F-422B-87E9-6EB0A39FD37B}</b:Guid>
    <b:Title>Importancia de la perspectiva de género en los sistemas de estadísticas</b:Title>
    <b:Year>2011</b:Year>
    <b:City>Antigua Guatemala</b:City>
    <b:Publisher>Oficial de Asuntos Sociales, División de Asuntos de Género CEPAL</b:Publisher>
    <b:Author>
      <b:Author>
        <b:NameList>
          <b:Person>
            <b:Last>Alméras</b:Last>
            <b:First>Diane</b:First>
          </b:Person>
        </b:NameList>
      </b:Author>
    </b:Author>
    <b:RefOrder>9</b:RefOrder>
  </b:Source>
  <b:Source>
    <b:Tag>Esp19</b:Tag>
    <b:SourceType>Book</b:SourceType>
    <b:Guid>{4D7FC996-AC33-544E-8D26-038520BEF406}</b:Guid>
    <b:Title>Dinámica de las desigualdades en Colombia</b:Title>
    <b:City>Bogotá</b:City>
    <b:Publisher>Desde Abajo</b:Publisher>
    <b:Year>2019</b:Year>
    <b:Author>
      <b:Author>
        <b:NameList>
          <b:Person>
            <b:Last>Espitia</b:Last>
            <b:First>Jorge</b:First>
            <b:Middle>Enrique</b:Middle>
          </b:Person>
          <b:Person>
            <b:Last>Garay</b:Last>
            <b:First>Luis</b:First>
            <b:Middle>Jorge</b:Middle>
          </b:Person>
        </b:NameList>
      </b:Author>
    </b:Author>
    <b:RefOrder>1</b:RefOrder>
  </b:Source>
</b:Sources>
</file>

<file path=customXml/itemProps1.xml><?xml version="1.0" encoding="utf-8"?>
<ds:datastoreItem xmlns:ds="http://schemas.openxmlformats.org/officeDocument/2006/customXml" ds:itemID="{E9189A9F-406A-ED4A-99C9-832B838D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1998</Words>
  <Characters>10991</Characters>
  <Application>Microsoft Macintosh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dc:creator>
  <cp:keywords/>
  <dc:description/>
  <cp:lastModifiedBy>Usuario de Microsoft Office</cp:lastModifiedBy>
  <cp:revision>5</cp:revision>
  <cp:lastPrinted>2019-12-18T14:26:00Z</cp:lastPrinted>
  <dcterms:created xsi:type="dcterms:W3CDTF">2020-09-04T17:01:00Z</dcterms:created>
  <dcterms:modified xsi:type="dcterms:W3CDTF">2020-09-08T16:44:00Z</dcterms:modified>
</cp:coreProperties>
</file>