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8A922" w14:textId="3427B84D" w:rsidR="00F25F22" w:rsidRPr="00CB2B85" w:rsidRDefault="00F25F22"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 xml:space="preserve">Bogotá, </w:t>
      </w:r>
      <w:r w:rsidR="00247E1D" w:rsidRPr="00CB2B85">
        <w:rPr>
          <w:rFonts w:ascii="Century Gothic" w:hAnsi="Century Gothic" w:cs="Arial"/>
          <w:color w:val="000000" w:themeColor="text1"/>
          <w:sz w:val="24"/>
          <w:szCs w:val="24"/>
        </w:rPr>
        <w:t>2</w:t>
      </w:r>
      <w:r w:rsidR="00EC13D4">
        <w:rPr>
          <w:rFonts w:ascii="Century Gothic" w:hAnsi="Century Gothic" w:cs="Arial"/>
          <w:color w:val="000000" w:themeColor="text1"/>
          <w:sz w:val="24"/>
          <w:szCs w:val="24"/>
        </w:rPr>
        <w:t>5</w:t>
      </w:r>
      <w:r w:rsidRPr="00CB2B85">
        <w:rPr>
          <w:rFonts w:ascii="Century Gothic" w:hAnsi="Century Gothic" w:cs="Arial"/>
          <w:color w:val="000000" w:themeColor="text1"/>
          <w:sz w:val="24"/>
          <w:szCs w:val="24"/>
        </w:rPr>
        <w:t xml:space="preserve"> de </w:t>
      </w:r>
      <w:r w:rsidR="00EC13D4">
        <w:rPr>
          <w:rFonts w:ascii="Century Gothic" w:hAnsi="Century Gothic" w:cs="Arial"/>
          <w:color w:val="000000" w:themeColor="text1"/>
          <w:sz w:val="24"/>
          <w:szCs w:val="24"/>
        </w:rPr>
        <w:t>noviembre</w:t>
      </w:r>
      <w:r w:rsidRPr="00CB2B85">
        <w:rPr>
          <w:rFonts w:ascii="Century Gothic" w:hAnsi="Century Gothic" w:cs="Arial"/>
          <w:color w:val="000000" w:themeColor="text1"/>
          <w:sz w:val="24"/>
          <w:szCs w:val="24"/>
        </w:rPr>
        <w:t xml:space="preserve"> de 2020</w:t>
      </w:r>
    </w:p>
    <w:p w14:paraId="309D3E51" w14:textId="77777777" w:rsidR="00F25F22" w:rsidRPr="00CB2B85" w:rsidRDefault="00F25F22"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 xml:space="preserve">Presidente </w:t>
      </w:r>
    </w:p>
    <w:p w14:paraId="1B6C6F69" w14:textId="77777777" w:rsidR="00F25F22" w:rsidRPr="00CB2B85" w:rsidRDefault="00F25F22" w:rsidP="00CB2B85">
      <w:pPr>
        <w:spacing w:line="360" w:lineRule="auto"/>
        <w:jc w:val="both"/>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 xml:space="preserve">NESTOR LEONARDO RICO RICO </w:t>
      </w:r>
    </w:p>
    <w:p w14:paraId="29FADBA6" w14:textId="77777777" w:rsidR="00F25F22" w:rsidRPr="00CB2B85" w:rsidRDefault="00F25F22"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Comisión Tercera Constitucional</w:t>
      </w:r>
    </w:p>
    <w:p w14:paraId="17C9343E" w14:textId="77777777" w:rsidR="00F25F22" w:rsidRPr="00CB2B85" w:rsidRDefault="00F25F22"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 xml:space="preserve">Honorable Cámara de Representantes </w:t>
      </w:r>
    </w:p>
    <w:p w14:paraId="1CE5E633" w14:textId="77777777" w:rsidR="00F25F22" w:rsidRPr="00CB2B85" w:rsidRDefault="00F25F22"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Ciudad</w:t>
      </w:r>
    </w:p>
    <w:p w14:paraId="3ABCE46E" w14:textId="77777777" w:rsidR="00F25F22" w:rsidRPr="00CB2B85" w:rsidRDefault="00F25F22" w:rsidP="00CB2B85">
      <w:pPr>
        <w:spacing w:line="360" w:lineRule="auto"/>
        <w:jc w:val="both"/>
        <w:rPr>
          <w:rFonts w:ascii="Century Gothic" w:hAnsi="Century Gothic" w:cs="Arial"/>
          <w:color w:val="000000" w:themeColor="text1"/>
          <w:sz w:val="24"/>
          <w:szCs w:val="24"/>
        </w:rPr>
      </w:pPr>
    </w:p>
    <w:p w14:paraId="7B9428BF" w14:textId="4EDCCA0B" w:rsidR="00F25F22" w:rsidRPr="00CB2B85" w:rsidRDefault="00F25F22"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b/>
          <w:color w:val="000000" w:themeColor="text1"/>
          <w:sz w:val="24"/>
          <w:szCs w:val="24"/>
        </w:rPr>
        <w:t xml:space="preserve">REF: </w:t>
      </w:r>
      <w:r w:rsidRPr="00CB2B85">
        <w:rPr>
          <w:rFonts w:ascii="Century Gothic" w:hAnsi="Century Gothic" w:cs="Arial"/>
          <w:color w:val="000000" w:themeColor="text1"/>
          <w:sz w:val="24"/>
          <w:szCs w:val="24"/>
        </w:rPr>
        <w:t xml:space="preserve">Informe de ponencia para primer debate al Proyecto de Ley </w:t>
      </w:r>
      <w:r w:rsidR="00247E1D" w:rsidRPr="00CB2B85">
        <w:rPr>
          <w:rFonts w:ascii="Century Gothic" w:hAnsi="Century Gothic" w:cs="Arial"/>
          <w:color w:val="000000" w:themeColor="text1"/>
          <w:sz w:val="24"/>
          <w:szCs w:val="24"/>
        </w:rPr>
        <w:t>256</w:t>
      </w:r>
      <w:r w:rsidRPr="00CB2B85">
        <w:rPr>
          <w:rFonts w:ascii="Century Gothic" w:hAnsi="Century Gothic" w:cs="Arial"/>
          <w:color w:val="000000" w:themeColor="text1"/>
          <w:sz w:val="24"/>
          <w:szCs w:val="24"/>
        </w:rPr>
        <w:t xml:space="preserve"> de 2020 </w:t>
      </w:r>
      <w:bookmarkStart w:id="0" w:name="_GoBack"/>
      <w:bookmarkEnd w:id="0"/>
      <w:r w:rsidR="00EC13D4" w:rsidRPr="00EC13D4">
        <w:rPr>
          <w:rFonts w:ascii="Century Gothic" w:hAnsi="Century Gothic" w:cs="Arial"/>
          <w:color w:val="000000" w:themeColor="text1"/>
          <w:sz w:val="24"/>
          <w:szCs w:val="24"/>
        </w:rPr>
        <w:t>“Por medio del cual se crean herramientas tributarias para la lucha contra la inequidad de género</w:t>
      </w:r>
      <w:r w:rsidRPr="00CB2B85">
        <w:rPr>
          <w:rFonts w:ascii="Century Gothic" w:hAnsi="Century Gothic" w:cs="Arial"/>
          <w:color w:val="000000" w:themeColor="text1"/>
          <w:sz w:val="24"/>
          <w:szCs w:val="24"/>
        </w:rPr>
        <w:t>”</w:t>
      </w:r>
    </w:p>
    <w:p w14:paraId="7DEC30F4" w14:textId="77777777" w:rsidR="003D3A37" w:rsidRPr="00CB2B85" w:rsidRDefault="003D3A37" w:rsidP="00CB2B85">
      <w:pPr>
        <w:spacing w:line="360" w:lineRule="auto"/>
        <w:jc w:val="both"/>
        <w:rPr>
          <w:rFonts w:ascii="Century Gothic" w:hAnsi="Century Gothic" w:cs="Arial"/>
          <w:color w:val="000000" w:themeColor="text1"/>
          <w:sz w:val="24"/>
          <w:szCs w:val="24"/>
        </w:rPr>
      </w:pPr>
    </w:p>
    <w:p w14:paraId="691EED5C" w14:textId="77777777" w:rsidR="003D3A37" w:rsidRPr="00CB2B85" w:rsidRDefault="003D3A37"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 xml:space="preserve">Cordialmente </w:t>
      </w:r>
    </w:p>
    <w:p w14:paraId="6284D1D7" w14:textId="77777777" w:rsidR="003D3A37" w:rsidRPr="00CB2B85" w:rsidRDefault="003D3A37" w:rsidP="00CB2B85">
      <w:pPr>
        <w:spacing w:line="360" w:lineRule="auto"/>
        <w:jc w:val="both"/>
        <w:rPr>
          <w:rFonts w:ascii="Century Gothic" w:hAnsi="Century Gothic" w:cs="Arial"/>
          <w:color w:val="000000" w:themeColor="text1"/>
          <w:sz w:val="24"/>
          <w:szCs w:val="24"/>
        </w:rPr>
      </w:pPr>
    </w:p>
    <w:p w14:paraId="1C7302C5" w14:textId="77777777" w:rsidR="003D3A37" w:rsidRPr="00CB2B85" w:rsidRDefault="00247E1D" w:rsidP="00CB2B85">
      <w:pPr>
        <w:spacing w:line="360" w:lineRule="auto"/>
        <w:jc w:val="center"/>
        <w:rPr>
          <w:rFonts w:ascii="Century Gothic" w:hAnsi="Century Gothic" w:cs="Arial"/>
          <w:color w:val="000000" w:themeColor="text1"/>
          <w:sz w:val="24"/>
          <w:szCs w:val="24"/>
        </w:rPr>
      </w:pPr>
      <w:r w:rsidRPr="00CB2B85">
        <w:rPr>
          <w:rFonts w:ascii="Century Gothic" w:hAnsi="Century Gothic" w:cs="Arial"/>
          <w:noProof/>
          <w:color w:val="000000" w:themeColor="text1"/>
          <w:sz w:val="24"/>
          <w:szCs w:val="24"/>
          <w:lang w:val="es-ES_tradnl" w:eastAsia="es-ES_tradnl"/>
        </w:rPr>
        <w:drawing>
          <wp:inline distT="0" distB="0" distL="0" distR="0" wp14:anchorId="10853A89" wp14:editId="622348E6">
            <wp:extent cx="2061659" cy="1151417"/>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 David Racer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4785" cy="1153163"/>
                    </a:xfrm>
                    <a:prstGeom prst="rect">
                      <a:avLst/>
                    </a:prstGeom>
                  </pic:spPr>
                </pic:pic>
              </a:graphicData>
            </a:graphic>
          </wp:inline>
        </w:drawing>
      </w:r>
      <w:r w:rsidR="003D3A37" w:rsidRPr="00CB2B85">
        <w:rPr>
          <w:rFonts w:ascii="Century Gothic" w:hAnsi="Century Gothic" w:cs="Arial"/>
          <w:color w:val="000000" w:themeColor="text1"/>
          <w:sz w:val="24"/>
          <w:szCs w:val="24"/>
        </w:rPr>
        <w:br/>
      </w:r>
      <w:r w:rsidR="003D3A37" w:rsidRPr="00CB2B85">
        <w:rPr>
          <w:rFonts w:ascii="Century Gothic" w:hAnsi="Century Gothic" w:cs="Arial"/>
          <w:b/>
          <w:color w:val="000000" w:themeColor="text1"/>
          <w:sz w:val="24"/>
          <w:szCs w:val="24"/>
        </w:rPr>
        <w:t>DAVID RICARDO RACERO MAYORCA</w:t>
      </w:r>
      <w:r w:rsidR="003D3A37" w:rsidRPr="00CB2B85">
        <w:rPr>
          <w:rFonts w:ascii="Century Gothic" w:hAnsi="Century Gothic" w:cs="Arial"/>
          <w:b/>
          <w:color w:val="000000" w:themeColor="text1"/>
          <w:sz w:val="24"/>
          <w:szCs w:val="24"/>
        </w:rPr>
        <w:br/>
      </w:r>
      <w:r w:rsidR="003D3A37" w:rsidRPr="00CB2B85">
        <w:rPr>
          <w:rFonts w:ascii="Century Gothic" w:hAnsi="Century Gothic" w:cs="Arial"/>
          <w:color w:val="000000" w:themeColor="text1"/>
          <w:sz w:val="24"/>
          <w:szCs w:val="24"/>
        </w:rPr>
        <w:t>Representante a la Cámara por Bogotá</w:t>
      </w:r>
    </w:p>
    <w:p w14:paraId="033DF4FF" w14:textId="77777777" w:rsidR="003D3A37" w:rsidRPr="00CB2B85" w:rsidRDefault="003D3A37" w:rsidP="00CB2B85">
      <w:pPr>
        <w:spacing w:line="360" w:lineRule="auto"/>
        <w:rPr>
          <w:rFonts w:ascii="Century Gothic" w:hAnsi="Century Gothic" w:cs="Arial"/>
          <w:color w:val="000000" w:themeColor="text1"/>
          <w:sz w:val="24"/>
          <w:szCs w:val="24"/>
        </w:rPr>
      </w:pPr>
    </w:p>
    <w:p w14:paraId="7AEC7B4D" w14:textId="77777777" w:rsidR="003D3A37" w:rsidRPr="00CB2B85" w:rsidRDefault="003D3A37" w:rsidP="00CB2B85">
      <w:pPr>
        <w:spacing w:line="360" w:lineRule="auto"/>
        <w:rPr>
          <w:rFonts w:ascii="Century Gothic" w:hAnsi="Century Gothic" w:cs="Arial"/>
          <w:color w:val="000000" w:themeColor="text1"/>
          <w:sz w:val="24"/>
          <w:szCs w:val="24"/>
        </w:rPr>
      </w:pPr>
    </w:p>
    <w:p w14:paraId="5D4340AB" w14:textId="77777777" w:rsidR="00F42260" w:rsidRPr="00CB2B85" w:rsidRDefault="00F42260" w:rsidP="00CB2B85">
      <w:pPr>
        <w:spacing w:line="360" w:lineRule="auto"/>
        <w:jc w:val="both"/>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lastRenderedPageBreak/>
        <w:t xml:space="preserve">Antecedentes legislativos </w:t>
      </w:r>
    </w:p>
    <w:p w14:paraId="7814CF16" w14:textId="77777777" w:rsidR="003D3A37" w:rsidRPr="00CB2B85" w:rsidRDefault="003D3A37"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El presente proyecto de ley fue radicado por el Congresista David Ricardo Racero Mayorca en la Cámara de Representantes</w:t>
      </w:r>
      <w:r w:rsidR="00247E1D" w:rsidRPr="00CB2B85">
        <w:rPr>
          <w:rFonts w:ascii="Century Gothic" w:hAnsi="Century Gothic" w:cs="Arial"/>
          <w:color w:val="000000" w:themeColor="text1"/>
          <w:sz w:val="24"/>
          <w:szCs w:val="24"/>
        </w:rPr>
        <w:t xml:space="preserve"> en la legislatura 2020-2021.</w:t>
      </w:r>
      <w:r w:rsidRPr="00CB2B85">
        <w:rPr>
          <w:rFonts w:ascii="Century Gothic" w:hAnsi="Century Gothic" w:cs="Arial"/>
          <w:color w:val="000000" w:themeColor="text1"/>
          <w:sz w:val="24"/>
          <w:szCs w:val="24"/>
        </w:rPr>
        <w:t xml:space="preserve"> </w:t>
      </w:r>
    </w:p>
    <w:p w14:paraId="51597F92" w14:textId="77777777" w:rsidR="00450446" w:rsidRPr="00CB2B85" w:rsidRDefault="00450446" w:rsidP="00CB2B85">
      <w:pPr>
        <w:spacing w:line="360" w:lineRule="auto"/>
        <w:jc w:val="both"/>
        <w:rPr>
          <w:rFonts w:ascii="Century Gothic" w:hAnsi="Century Gothic" w:cs="Arial"/>
          <w:color w:val="000000" w:themeColor="text1"/>
          <w:sz w:val="24"/>
          <w:szCs w:val="24"/>
        </w:rPr>
      </w:pPr>
    </w:p>
    <w:p w14:paraId="717FD230" w14:textId="7C3B59E5" w:rsidR="00F42260" w:rsidRDefault="00F42260" w:rsidP="00CB2B85">
      <w:pPr>
        <w:spacing w:line="360" w:lineRule="auto"/>
        <w:jc w:val="both"/>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 xml:space="preserve">Exposición de motivos </w:t>
      </w:r>
    </w:p>
    <w:p w14:paraId="0BF4990F" w14:textId="77777777" w:rsidR="00F4337A" w:rsidRPr="00CB2B85" w:rsidRDefault="00F4337A" w:rsidP="00CB2B85">
      <w:pPr>
        <w:spacing w:line="360" w:lineRule="auto"/>
        <w:jc w:val="both"/>
        <w:rPr>
          <w:rFonts w:ascii="Century Gothic" w:hAnsi="Century Gothic" w:cs="Arial"/>
          <w:b/>
          <w:color w:val="000000" w:themeColor="text1"/>
          <w:sz w:val="24"/>
          <w:szCs w:val="24"/>
        </w:rPr>
      </w:pPr>
    </w:p>
    <w:p w14:paraId="4FAF6696" w14:textId="1EC80D5C" w:rsidR="00247E1D" w:rsidRPr="00CB2B85" w:rsidRDefault="003D3A37" w:rsidP="00A03DCE">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El presente proyecto de ley</w:t>
      </w:r>
      <w:r w:rsidR="00247E1D" w:rsidRPr="00CB2B85">
        <w:rPr>
          <w:rFonts w:ascii="Century Gothic" w:hAnsi="Century Gothic" w:cs="Arial"/>
          <w:color w:val="000000" w:themeColor="text1"/>
          <w:sz w:val="24"/>
          <w:szCs w:val="24"/>
        </w:rPr>
        <w:t xml:space="preserve"> </w:t>
      </w:r>
      <w:r w:rsidRPr="00CB2B85">
        <w:rPr>
          <w:rFonts w:ascii="Century Gothic" w:hAnsi="Century Gothic" w:cs="Arial"/>
          <w:color w:val="000000" w:themeColor="text1"/>
          <w:sz w:val="24"/>
          <w:szCs w:val="24"/>
        </w:rPr>
        <w:t>busca</w:t>
      </w:r>
      <w:r w:rsidR="00247E1D" w:rsidRPr="00CB2B85">
        <w:rPr>
          <w:rFonts w:ascii="Century Gothic" w:hAnsi="Century Gothic" w:cs="Arial"/>
          <w:color w:val="000000" w:themeColor="text1"/>
          <w:sz w:val="24"/>
          <w:szCs w:val="24"/>
        </w:rPr>
        <w:t xml:space="preserve"> generar estadísticas tributar</w:t>
      </w:r>
      <w:r w:rsidR="00A03DCE">
        <w:rPr>
          <w:rFonts w:ascii="Century Gothic" w:hAnsi="Century Gothic" w:cs="Arial"/>
          <w:color w:val="000000" w:themeColor="text1"/>
          <w:sz w:val="24"/>
          <w:szCs w:val="24"/>
        </w:rPr>
        <w:t xml:space="preserve">ias con enfoque de género. </w:t>
      </w:r>
      <w:r w:rsidR="00A03DCE" w:rsidRPr="00CB2B85">
        <w:rPr>
          <w:rFonts w:ascii="Century Gothic" w:hAnsi="Century Gothic" w:cs="Arial"/>
          <w:color w:val="000000" w:themeColor="text1"/>
          <w:sz w:val="24"/>
          <w:szCs w:val="24"/>
        </w:rPr>
        <w:t xml:space="preserve">Se busca perfeccionar el análisis de la desigualdad de género en los asuntos tributarios en el país, </w:t>
      </w:r>
      <w:r w:rsidR="00A03DCE">
        <w:rPr>
          <w:rFonts w:ascii="Century Gothic" w:hAnsi="Century Gothic" w:cs="Arial"/>
          <w:color w:val="000000" w:themeColor="text1"/>
          <w:sz w:val="24"/>
          <w:szCs w:val="24"/>
        </w:rPr>
        <w:t>lo que permit</w:t>
      </w:r>
      <w:r w:rsidR="00F4337A">
        <w:rPr>
          <w:rFonts w:ascii="Century Gothic" w:hAnsi="Century Gothic" w:cs="Arial"/>
          <w:color w:val="000000" w:themeColor="text1"/>
          <w:sz w:val="24"/>
          <w:szCs w:val="24"/>
        </w:rPr>
        <w:t>e</w:t>
      </w:r>
      <w:r w:rsidR="00247E1D" w:rsidRPr="00CB2B85">
        <w:rPr>
          <w:rFonts w:ascii="Century Gothic" w:hAnsi="Century Gothic" w:cs="Arial"/>
          <w:color w:val="000000" w:themeColor="text1"/>
          <w:sz w:val="24"/>
          <w:szCs w:val="24"/>
        </w:rPr>
        <w:t xml:space="preserve"> tomar mejores decisiones de política pública. </w:t>
      </w:r>
    </w:p>
    <w:p w14:paraId="16FF58BE" w14:textId="7BB53BD0" w:rsidR="005B1803" w:rsidRDefault="00247E1D"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Puntualmente, en este proyecto de ley se quiere</w:t>
      </w:r>
      <w:r w:rsidR="003D3A37" w:rsidRPr="00CB2B85">
        <w:rPr>
          <w:rFonts w:ascii="Century Gothic" w:hAnsi="Century Gothic" w:cs="Arial"/>
          <w:color w:val="000000" w:themeColor="text1"/>
          <w:sz w:val="24"/>
          <w:szCs w:val="24"/>
        </w:rPr>
        <w:t xml:space="preserve"> implementar una casilla </w:t>
      </w:r>
      <w:r w:rsidRPr="00CB2B85">
        <w:rPr>
          <w:rFonts w:ascii="Century Gothic" w:hAnsi="Century Gothic" w:cs="Arial"/>
          <w:color w:val="000000" w:themeColor="text1"/>
          <w:sz w:val="24"/>
          <w:szCs w:val="24"/>
        </w:rPr>
        <w:t xml:space="preserve">de sexo </w:t>
      </w:r>
      <w:r w:rsidR="003D3A37" w:rsidRPr="00CB2B85">
        <w:rPr>
          <w:rFonts w:ascii="Century Gothic" w:hAnsi="Century Gothic" w:cs="Arial"/>
          <w:color w:val="000000" w:themeColor="text1"/>
          <w:sz w:val="24"/>
          <w:szCs w:val="24"/>
        </w:rPr>
        <w:t>en el documento de declaración de renta de las personas naturales</w:t>
      </w:r>
      <w:r w:rsidRPr="00CB2B85">
        <w:rPr>
          <w:rFonts w:ascii="Century Gothic" w:hAnsi="Century Gothic" w:cs="Arial"/>
          <w:color w:val="000000" w:themeColor="text1"/>
          <w:sz w:val="24"/>
          <w:szCs w:val="24"/>
        </w:rPr>
        <w:t>. Esta casilla tendr</w:t>
      </w:r>
      <w:r w:rsidR="00A03DCE">
        <w:rPr>
          <w:rFonts w:ascii="Century Gothic" w:hAnsi="Century Gothic" w:cs="Arial"/>
          <w:color w:val="000000" w:themeColor="text1"/>
          <w:sz w:val="24"/>
          <w:szCs w:val="24"/>
        </w:rPr>
        <w:t>á la opción Masculino, Femenino y</w:t>
      </w:r>
      <w:r w:rsidRPr="00CB2B85">
        <w:rPr>
          <w:rFonts w:ascii="Century Gothic" w:hAnsi="Century Gothic" w:cs="Arial"/>
          <w:color w:val="000000" w:themeColor="text1"/>
          <w:sz w:val="24"/>
          <w:szCs w:val="24"/>
        </w:rPr>
        <w:t xml:space="preserve"> Otro.</w:t>
      </w:r>
    </w:p>
    <w:p w14:paraId="72C4A002" w14:textId="77777777" w:rsidR="00F4337A" w:rsidRPr="00CB2B85" w:rsidRDefault="00F4337A" w:rsidP="00CB2B85">
      <w:pPr>
        <w:spacing w:line="360" w:lineRule="auto"/>
        <w:jc w:val="both"/>
        <w:rPr>
          <w:rFonts w:ascii="Century Gothic" w:hAnsi="Century Gothic" w:cs="Arial"/>
          <w:color w:val="000000" w:themeColor="text1"/>
          <w:sz w:val="24"/>
          <w:szCs w:val="24"/>
        </w:rPr>
      </w:pPr>
    </w:p>
    <w:p w14:paraId="5CFC391A" w14:textId="41A09975" w:rsidR="00247E1D" w:rsidRDefault="005B1803" w:rsidP="00CB2B85">
      <w:pPr>
        <w:spacing w:line="360" w:lineRule="auto"/>
        <w:jc w:val="both"/>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Elementos tributarios de las personas naturales</w:t>
      </w:r>
    </w:p>
    <w:p w14:paraId="492C0282" w14:textId="77777777" w:rsidR="00F4337A" w:rsidRPr="00CB2B85" w:rsidRDefault="00F4337A" w:rsidP="00CB2B85">
      <w:pPr>
        <w:spacing w:line="360" w:lineRule="auto"/>
        <w:jc w:val="both"/>
        <w:rPr>
          <w:rFonts w:ascii="Century Gothic" w:hAnsi="Century Gothic" w:cs="Arial"/>
          <w:b/>
          <w:color w:val="000000" w:themeColor="text1"/>
          <w:sz w:val="24"/>
          <w:szCs w:val="24"/>
        </w:rPr>
      </w:pPr>
    </w:p>
    <w:p w14:paraId="5327909B" w14:textId="3869095F" w:rsidR="005C4DA1" w:rsidRPr="00CB2B85" w:rsidRDefault="005C4DA1"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El decreto 2345 de 2019 establece los valores topes de patrimonio bruto, ingresos, compras con tarjeta, consumo en general y valor acumulado de las consignaciones bancarias de los cuales los contribuyentes están obligados a pagar renta.</w:t>
      </w:r>
    </w:p>
    <w:p w14:paraId="2FE3754F" w14:textId="77777777" w:rsidR="000476BB" w:rsidRPr="00CB2B85" w:rsidRDefault="005B1803"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lastRenderedPageBreak/>
        <w:t xml:space="preserve">Las personas naturales que </w:t>
      </w:r>
      <w:r w:rsidR="00A03DCE">
        <w:rPr>
          <w:rFonts w:ascii="Century Gothic" w:hAnsi="Century Gothic" w:cs="Arial"/>
          <w:color w:val="000000" w:themeColor="text1"/>
          <w:sz w:val="24"/>
          <w:szCs w:val="24"/>
        </w:rPr>
        <w:t xml:space="preserve">en </w:t>
      </w:r>
      <w:r w:rsidR="000476BB" w:rsidRPr="00CB2B85">
        <w:rPr>
          <w:rFonts w:ascii="Century Gothic" w:hAnsi="Century Gothic" w:cs="Arial"/>
          <w:color w:val="000000" w:themeColor="text1"/>
          <w:sz w:val="24"/>
          <w:szCs w:val="24"/>
        </w:rPr>
        <w:t>el año gravable 2019 cumplieron con alguna de las siguientes condiciones, están obligados a presentar la Declaración de Renta y Complementario p</w:t>
      </w:r>
      <w:r w:rsidRPr="00CB2B85">
        <w:rPr>
          <w:rFonts w:ascii="Century Gothic" w:hAnsi="Century Gothic" w:cs="Arial"/>
          <w:color w:val="000000" w:themeColor="text1"/>
          <w:sz w:val="24"/>
          <w:szCs w:val="24"/>
        </w:rPr>
        <w:t>ara</w:t>
      </w:r>
      <w:r w:rsidR="000476BB" w:rsidRPr="00CB2B85">
        <w:rPr>
          <w:rFonts w:ascii="Century Gothic" w:hAnsi="Century Gothic" w:cs="Arial"/>
          <w:color w:val="000000" w:themeColor="text1"/>
          <w:sz w:val="24"/>
          <w:szCs w:val="24"/>
        </w:rPr>
        <w:t xml:space="preserve"> dicha vigencia:</w:t>
      </w:r>
    </w:p>
    <w:p w14:paraId="441819DC" w14:textId="77777777" w:rsidR="000476BB" w:rsidRPr="00CB2B85" w:rsidRDefault="000476BB" w:rsidP="00CB2B85">
      <w:pPr>
        <w:pStyle w:val="ListParagraph"/>
        <w:numPr>
          <w:ilvl w:val="0"/>
          <w:numId w:val="1"/>
        </w:num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Patrimonio bruto superior a $154.215.000 (4.500 UVT) a 31 de diciembre de 2019.</w:t>
      </w:r>
    </w:p>
    <w:p w14:paraId="6BA4F5AB" w14:textId="77777777" w:rsidR="000476BB" w:rsidRPr="00CB2B85" w:rsidRDefault="000476BB" w:rsidP="00CB2B85">
      <w:pPr>
        <w:pStyle w:val="ListParagraph"/>
        <w:numPr>
          <w:ilvl w:val="0"/>
          <w:numId w:val="1"/>
        </w:num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Ingresos brutos iguales o superiores a $47.978.000 (1.400 UVT) durante el año 2019.</w:t>
      </w:r>
    </w:p>
    <w:p w14:paraId="32719EC7" w14:textId="77777777" w:rsidR="000476BB" w:rsidRPr="00CB2B85" w:rsidRDefault="000476BB" w:rsidP="00CB2B85">
      <w:pPr>
        <w:pStyle w:val="ListParagraph"/>
        <w:numPr>
          <w:ilvl w:val="0"/>
          <w:numId w:val="1"/>
        </w:num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Consumos con tarjeta de crédito superiores a $47.978.000 (1.400 UVT) durante el año 2019.</w:t>
      </w:r>
    </w:p>
    <w:p w14:paraId="4BE5034C" w14:textId="77777777" w:rsidR="000476BB" w:rsidRPr="00CB2B85" w:rsidRDefault="000476BB" w:rsidP="00CB2B85">
      <w:pPr>
        <w:pStyle w:val="ListParagraph"/>
        <w:numPr>
          <w:ilvl w:val="0"/>
          <w:numId w:val="1"/>
        </w:num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Compras y consumos totales superiores a $47.978.000 (1.400 UVT) durante el año 2019.</w:t>
      </w:r>
    </w:p>
    <w:p w14:paraId="2BBC4DA2" w14:textId="77777777" w:rsidR="000476BB" w:rsidRPr="00CB2B85" w:rsidRDefault="000476BB" w:rsidP="00CB2B85">
      <w:pPr>
        <w:pStyle w:val="ListParagraph"/>
        <w:numPr>
          <w:ilvl w:val="0"/>
          <w:numId w:val="1"/>
        </w:num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Consignaciones bancarias, depósitos o inversiones financieras por valor total acumulado superior a $47.978.000 (1.400 UVT) durante el año 2019.</w:t>
      </w:r>
    </w:p>
    <w:p w14:paraId="44D11E1E" w14:textId="5FFF4551" w:rsidR="005B1803" w:rsidRPr="00F4337A" w:rsidRDefault="000476BB" w:rsidP="00A03DCE">
      <w:pPr>
        <w:pStyle w:val="ListParagraph"/>
        <w:numPr>
          <w:ilvl w:val="0"/>
          <w:numId w:val="1"/>
        </w:num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Ser responsable del Impuesto sobre las Ventas (IVA) al cierre del año gravable 2019.</w:t>
      </w:r>
    </w:p>
    <w:p w14:paraId="257D378C" w14:textId="77777777" w:rsidR="000476BB" w:rsidRPr="00CB2B85" w:rsidRDefault="005B1803"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 xml:space="preserve">Según la Dian, en 2019 hubo 3.211.960 millones de declarantes. </w:t>
      </w:r>
    </w:p>
    <w:p w14:paraId="4FC8B6BF" w14:textId="77777777" w:rsidR="005B1803" w:rsidRPr="00CB2B85" w:rsidRDefault="005B1803"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ab/>
        <w:t>Tabla. Número de declarantes año 2019.</w:t>
      </w:r>
    </w:p>
    <w:tbl>
      <w:tblPr>
        <w:tblStyle w:val="TableGrid"/>
        <w:tblW w:w="0" w:type="auto"/>
        <w:tblLook w:val="04A0" w:firstRow="1" w:lastRow="0" w:firstColumn="1" w:lastColumn="0" w:noHBand="0" w:noVBand="1"/>
      </w:tblPr>
      <w:tblGrid>
        <w:gridCol w:w="4414"/>
        <w:gridCol w:w="4414"/>
      </w:tblGrid>
      <w:tr w:rsidR="00DD11DC" w:rsidRPr="00CB2B85" w14:paraId="11A1CE94" w14:textId="77777777" w:rsidTr="00DD11DC">
        <w:tc>
          <w:tcPr>
            <w:tcW w:w="4414" w:type="dxa"/>
          </w:tcPr>
          <w:p w14:paraId="6217A2C3" w14:textId="77777777" w:rsidR="00DD11DC" w:rsidRPr="00CB2B85" w:rsidRDefault="00DD11DC" w:rsidP="00CB2B85">
            <w:pPr>
              <w:spacing w:line="360" w:lineRule="auto"/>
              <w:jc w:val="center"/>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Año</w:t>
            </w:r>
          </w:p>
        </w:tc>
        <w:tc>
          <w:tcPr>
            <w:tcW w:w="4414" w:type="dxa"/>
          </w:tcPr>
          <w:p w14:paraId="3FCC09D4" w14:textId="77777777" w:rsidR="00DD11DC" w:rsidRPr="00CB2B85" w:rsidRDefault="00DD11DC" w:rsidP="00CB2B85">
            <w:pPr>
              <w:spacing w:line="360" w:lineRule="auto"/>
              <w:jc w:val="center"/>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Cantidad</w:t>
            </w:r>
          </w:p>
        </w:tc>
      </w:tr>
      <w:tr w:rsidR="00DD11DC" w:rsidRPr="00CB2B85" w14:paraId="1131CD4C" w14:textId="77777777" w:rsidTr="00DD11DC">
        <w:tc>
          <w:tcPr>
            <w:tcW w:w="4414" w:type="dxa"/>
          </w:tcPr>
          <w:p w14:paraId="077EBEF6" w14:textId="77777777" w:rsidR="00DD11DC" w:rsidRPr="00CB2B85" w:rsidRDefault="00DD11DC" w:rsidP="00CB2B85">
            <w:pPr>
              <w:spacing w:line="360" w:lineRule="auto"/>
              <w:jc w:val="center"/>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2019</w:t>
            </w:r>
          </w:p>
        </w:tc>
        <w:tc>
          <w:tcPr>
            <w:tcW w:w="4414" w:type="dxa"/>
          </w:tcPr>
          <w:p w14:paraId="2470A9E0" w14:textId="77777777" w:rsidR="00DD11DC" w:rsidRPr="00CB2B85" w:rsidRDefault="00DD11DC" w:rsidP="00CB2B85">
            <w:pPr>
              <w:spacing w:line="360" w:lineRule="auto"/>
              <w:jc w:val="center"/>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3.211.960</w:t>
            </w:r>
          </w:p>
        </w:tc>
      </w:tr>
      <w:tr w:rsidR="00DD11DC" w:rsidRPr="00CB2B85" w14:paraId="47860CC4" w14:textId="77777777" w:rsidTr="00DD11DC">
        <w:tc>
          <w:tcPr>
            <w:tcW w:w="4414" w:type="dxa"/>
          </w:tcPr>
          <w:p w14:paraId="3E9D84B2" w14:textId="77777777" w:rsidR="00DD11DC" w:rsidRPr="00CB2B85" w:rsidRDefault="00DD11DC" w:rsidP="00CB2B85">
            <w:pPr>
              <w:spacing w:line="360" w:lineRule="auto"/>
              <w:jc w:val="center"/>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2018</w:t>
            </w:r>
          </w:p>
        </w:tc>
        <w:tc>
          <w:tcPr>
            <w:tcW w:w="4414" w:type="dxa"/>
          </w:tcPr>
          <w:p w14:paraId="3BF88152" w14:textId="77777777" w:rsidR="00DD11DC" w:rsidRPr="00CB2B85" w:rsidRDefault="00DD11DC" w:rsidP="00CB2B85">
            <w:pPr>
              <w:spacing w:line="360" w:lineRule="auto"/>
              <w:jc w:val="center"/>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2.900.000</w:t>
            </w:r>
          </w:p>
        </w:tc>
      </w:tr>
      <w:tr w:rsidR="00DD11DC" w:rsidRPr="00CB2B85" w14:paraId="1346C7AC" w14:textId="77777777" w:rsidTr="00DD11DC">
        <w:tc>
          <w:tcPr>
            <w:tcW w:w="4414" w:type="dxa"/>
          </w:tcPr>
          <w:p w14:paraId="7CA49D35" w14:textId="77777777" w:rsidR="00DD11DC" w:rsidRPr="00CB2B85" w:rsidRDefault="00DD11DC" w:rsidP="00CB2B85">
            <w:pPr>
              <w:spacing w:line="360" w:lineRule="auto"/>
              <w:jc w:val="center"/>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2017</w:t>
            </w:r>
          </w:p>
        </w:tc>
        <w:tc>
          <w:tcPr>
            <w:tcW w:w="4414" w:type="dxa"/>
          </w:tcPr>
          <w:p w14:paraId="522FEA92" w14:textId="77777777" w:rsidR="00DD11DC" w:rsidRPr="00CB2B85" w:rsidRDefault="00DD11DC" w:rsidP="00CB2B85">
            <w:pPr>
              <w:spacing w:line="360" w:lineRule="auto"/>
              <w:jc w:val="center"/>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2.458.847</w:t>
            </w:r>
          </w:p>
        </w:tc>
      </w:tr>
    </w:tbl>
    <w:p w14:paraId="1D66C2CA" w14:textId="77777777" w:rsidR="00DD11DC" w:rsidRPr="00CB2B85" w:rsidRDefault="00DD11DC" w:rsidP="00CB2B85">
      <w:pPr>
        <w:spacing w:line="360" w:lineRule="auto"/>
        <w:jc w:val="right"/>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Fuente: Elaboración propia</w:t>
      </w:r>
    </w:p>
    <w:p w14:paraId="0A4B86CB" w14:textId="77777777" w:rsidR="00DD11DC" w:rsidRPr="00CB2B85" w:rsidRDefault="005B1803"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lastRenderedPageBreak/>
        <w:t>Entre el año 2018 y 2019 hubo un aumento de declarantes en</w:t>
      </w:r>
      <w:r w:rsidR="00DD11DC" w:rsidRPr="00CB2B85">
        <w:rPr>
          <w:rFonts w:ascii="Century Gothic" w:hAnsi="Century Gothic" w:cs="Arial"/>
          <w:color w:val="000000" w:themeColor="text1"/>
          <w:sz w:val="24"/>
          <w:szCs w:val="24"/>
        </w:rPr>
        <w:t xml:space="preserve"> 11%, </w:t>
      </w:r>
      <w:r w:rsidRPr="00CB2B85">
        <w:rPr>
          <w:rFonts w:ascii="Century Gothic" w:hAnsi="Century Gothic" w:cs="Arial"/>
          <w:color w:val="000000" w:themeColor="text1"/>
          <w:sz w:val="24"/>
          <w:szCs w:val="24"/>
        </w:rPr>
        <w:t>y entre 2019 y 201</w:t>
      </w:r>
      <w:r w:rsidR="00DD11DC" w:rsidRPr="00CB2B85">
        <w:rPr>
          <w:rFonts w:ascii="Century Gothic" w:hAnsi="Century Gothic" w:cs="Arial"/>
          <w:color w:val="000000" w:themeColor="text1"/>
          <w:sz w:val="24"/>
          <w:szCs w:val="24"/>
        </w:rPr>
        <w:t xml:space="preserve">7 </w:t>
      </w:r>
      <w:r w:rsidRPr="00CB2B85">
        <w:rPr>
          <w:rFonts w:ascii="Century Gothic" w:hAnsi="Century Gothic" w:cs="Arial"/>
          <w:color w:val="000000" w:themeColor="text1"/>
          <w:sz w:val="24"/>
          <w:szCs w:val="24"/>
        </w:rPr>
        <w:t xml:space="preserve">hubo un aumento del 31%. Esto se explica principalmente por el aumento de los ingresos y patrimonio de las personas de mayor ingreso en el país. </w:t>
      </w:r>
    </w:p>
    <w:p w14:paraId="0E7ED132" w14:textId="77777777" w:rsidR="00CB2B85" w:rsidRPr="00CB2B85" w:rsidRDefault="00CB2B85" w:rsidP="00CB2B85">
      <w:pPr>
        <w:spacing w:before="240" w:after="120" w:line="360" w:lineRule="auto"/>
        <w:jc w:val="both"/>
        <w:rPr>
          <w:rFonts w:ascii="Century Gothic" w:hAnsi="Century Gothic"/>
          <w:color w:val="000000" w:themeColor="text1"/>
          <w:sz w:val="24"/>
          <w:szCs w:val="24"/>
        </w:rPr>
      </w:pPr>
      <w:r w:rsidRPr="00CB2B85">
        <w:rPr>
          <w:rFonts w:ascii="Century Gothic" w:hAnsi="Century Gothic"/>
          <w:color w:val="000000" w:themeColor="text1"/>
          <w:sz w:val="24"/>
          <w:szCs w:val="24"/>
        </w:rPr>
        <w:t xml:space="preserve">DIAN (2016) realizó un estudio que desagregó por género las declaraciones </w:t>
      </w:r>
      <w:r>
        <w:rPr>
          <w:rFonts w:ascii="Century Gothic" w:hAnsi="Century Gothic"/>
          <w:color w:val="000000" w:themeColor="text1"/>
          <w:sz w:val="24"/>
          <w:szCs w:val="24"/>
        </w:rPr>
        <w:t>de renta.</w:t>
      </w:r>
      <w:r w:rsidRPr="00CB2B85">
        <w:rPr>
          <w:rFonts w:ascii="Century Gothic" w:hAnsi="Century Gothic"/>
          <w:color w:val="000000" w:themeColor="text1"/>
          <w:sz w:val="24"/>
          <w:szCs w:val="24"/>
        </w:rPr>
        <w:t xml:space="preserve"> </w:t>
      </w:r>
      <w:r>
        <w:rPr>
          <w:rFonts w:ascii="Century Gothic" w:hAnsi="Century Gothic"/>
          <w:color w:val="000000" w:themeColor="text1"/>
          <w:sz w:val="24"/>
          <w:szCs w:val="24"/>
        </w:rPr>
        <w:t>E</w:t>
      </w:r>
      <w:r w:rsidRPr="00CB2B85">
        <w:rPr>
          <w:rFonts w:ascii="Century Gothic" w:hAnsi="Century Gothic"/>
          <w:color w:val="000000" w:themeColor="text1"/>
          <w:sz w:val="24"/>
          <w:szCs w:val="24"/>
        </w:rPr>
        <w:t xml:space="preserve">sto fue </w:t>
      </w:r>
      <w:r>
        <w:rPr>
          <w:rFonts w:ascii="Century Gothic" w:hAnsi="Century Gothic"/>
          <w:color w:val="000000" w:themeColor="text1"/>
          <w:sz w:val="24"/>
          <w:szCs w:val="24"/>
        </w:rPr>
        <w:t>con base a</w:t>
      </w:r>
      <w:r w:rsidRPr="00CB2B85">
        <w:rPr>
          <w:rFonts w:ascii="Century Gothic" w:hAnsi="Century Gothic"/>
          <w:color w:val="000000" w:themeColor="text1"/>
          <w:sz w:val="24"/>
          <w:szCs w:val="24"/>
        </w:rPr>
        <w:t xml:space="preserve"> los números de cédula para hombres y mujeres, y, para los números que no era posible esta diferenciación, se realizó a partir del nombre de pila. Finalmente, el estudio contó con alrededor de 1,5 millones de personas naturales declarantes para el año 2014.</w:t>
      </w:r>
    </w:p>
    <w:p w14:paraId="322C2E87" w14:textId="7BEDF792" w:rsidR="00CB2B85" w:rsidRPr="00CB2B85" w:rsidRDefault="00CB2B85" w:rsidP="00CB2B85">
      <w:pPr>
        <w:spacing w:before="240" w:after="12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Al</w:t>
      </w:r>
      <w:r w:rsidRPr="00CB2B85">
        <w:rPr>
          <w:rFonts w:ascii="Century Gothic" w:hAnsi="Century Gothic"/>
          <w:color w:val="000000" w:themeColor="text1"/>
          <w:sz w:val="24"/>
          <w:szCs w:val="24"/>
        </w:rPr>
        <w:t xml:space="preserve"> analizar la posesión de activos, se estimó que, en promedio, las declarantes mujeres tenían un activo de $354 millones mientras que, si el declarante era hombre, los activos promedio eran de $411 millones.</w:t>
      </w:r>
      <w:r w:rsidRPr="00CB2B85">
        <w:rPr>
          <w:color w:val="000000" w:themeColor="text1"/>
          <w:sz w:val="24"/>
          <w:szCs w:val="24"/>
        </w:rPr>
        <w:t xml:space="preserve"> </w:t>
      </w:r>
      <w:r w:rsidRPr="00CB2B85">
        <w:rPr>
          <w:rFonts w:ascii="Century Gothic" w:hAnsi="Century Gothic"/>
          <w:color w:val="000000" w:themeColor="text1"/>
          <w:sz w:val="24"/>
          <w:szCs w:val="24"/>
        </w:rPr>
        <w:t xml:space="preserve">En otra palabras, una mujer promedio declarante de renta en el año 2014 poseía activos equivalentes al 86% de los activos para el hombre declarante de renta. Al realizar comparaciones a nivel patrimonial, la diferencia entre géneros se reduce, ya que el patrimonio líquido de las mujeres es en promedio el 92% de la misma variable para los hombres (DIAN, 2016). Ahora bien, con relación a la diferencia de ingreso esta resultó ser la más alta, pues para el año de referencia, en promedio, las mujeres obtuvieron ingresos de 98 millones de pesos, mientras que, para los hombres, el promedio fue de 171 millones de pesos. Lo anterior quiere decir que, en promedio, las mujeres reportaron un 58% de los ingresos reportados por los hombres. </w:t>
      </w:r>
      <w:r>
        <w:rPr>
          <w:rFonts w:ascii="Century Gothic" w:hAnsi="Century Gothic"/>
          <w:color w:val="000000" w:themeColor="text1"/>
          <w:sz w:val="24"/>
          <w:szCs w:val="24"/>
        </w:rPr>
        <w:t>Estas cifras son</w:t>
      </w:r>
      <w:r w:rsidR="00A03DCE">
        <w:rPr>
          <w:rFonts w:ascii="Century Gothic" w:hAnsi="Century Gothic"/>
          <w:color w:val="000000" w:themeColor="text1"/>
          <w:sz w:val="24"/>
          <w:szCs w:val="24"/>
        </w:rPr>
        <w:t xml:space="preserve"> muy interesantes </w:t>
      </w:r>
      <w:r>
        <w:rPr>
          <w:rFonts w:ascii="Century Gothic" w:hAnsi="Century Gothic"/>
          <w:color w:val="000000" w:themeColor="text1"/>
          <w:sz w:val="24"/>
          <w:szCs w:val="24"/>
        </w:rPr>
        <w:t xml:space="preserve">porque son más exactas que las encuestas publicadas por el DANE toda vez que son cifras reportadas por todos los constribuyentes y </w:t>
      </w:r>
      <w:r>
        <w:rPr>
          <w:rFonts w:ascii="Century Gothic" w:hAnsi="Century Gothic"/>
          <w:color w:val="000000" w:themeColor="text1"/>
          <w:sz w:val="24"/>
          <w:szCs w:val="24"/>
        </w:rPr>
        <w:lastRenderedPageBreak/>
        <w:t xml:space="preserve">no por </w:t>
      </w:r>
      <w:r w:rsidR="00F4337A">
        <w:rPr>
          <w:rFonts w:ascii="Century Gothic" w:hAnsi="Century Gothic"/>
          <w:color w:val="000000" w:themeColor="text1"/>
          <w:sz w:val="24"/>
          <w:szCs w:val="24"/>
        </w:rPr>
        <w:t>un número de</w:t>
      </w:r>
      <w:r>
        <w:rPr>
          <w:rFonts w:ascii="Century Gothic" w:hAnsi="Century Gothic"/>
          <w:color w:val="000000" w:themeColor="text1"/>
          <w:sz w:val="24"/>
          <w:szCs w:val="24"/>
        </w:rPr>
        <w:t xml:space="preserve"> encuestados</w:t>
      </w:r>
      <w:r w:rsidR="00A03DCE">
        <w:rPr>
          <w:rFonts w:ascii="Century Gothic" w:hAnsi="Century Gothic"/>
          <w:color w:val="000000" w:themeColor="text1"/>
          <w:sz w:val="24"/>
          <w:szCs w:val="24"/>
        </w:rPr>
        <w:t xml:space="preserve"> como suced</w:t>
      </w:r>
      <w:r w:rsidR="00F4337A">
        <w:rPr>
          <w:rFonts w:ascii="Century Gothic" w:hAnsi="Century Gothic"/>
          <w:color w:val="000000" w:themeColor="text1"/>
          <w:sz w:val="24"/>
          <w:szCs w:val="24"/>
        </w:rPr>
        <w:t>e</w:t>
      </w:r>
      <w:r w:rsidR="00A03DCE">
        <w:rPr>
          <w:rFonts w:ascii="Century Gothic" w:hAnsi="Century Gothic"/>
          <w:color w:val="000000" w:themeColor="text1"/>
          <w:sz w:val="24"/>
          <w:szCs w:val="24"/>
        </w:rPr>
        <w:t xml:space="preserve"> en las encuestas del Dane</w:t>
      </w:r>
      <w:r>
        <w:rPr>
          <w:rFonts w:ascii="Century Gothic" w:hAnsi="Century Gothic"/>
          <w:color w:val="000000" w:themeColor="text1"/>
          <w:sz w:val="24"/>
          <w:szCs w:val="24"/>
        </w:rPr>
        <w:t xml:space="preserve">. La exactitud de </w:t>
      </w:r>
      <w:r w:rsidR="00A03DCE">
        <w:rPr>
          <w:rFonts w:ascii="Century Gothic" w:hAnsi="Century Gothic"/>
          <w:color w:val="000000" w:themeColor="text1"/>
          <w:sz w:val="24"/>
          <w:szCs w:val="24"/>
        </w:rPr>
        <w:t xml:space="preserve">los </w:t>
      </w:r>
      <w:r>
        <w:rPr>
          <w:rFonts w:ascii="Century Gothic" w:hAnsi="Century Gothic"/>
          <w:color w:val="000000" w:themeColor="text1"/>
          <w:sz w:val="24"/>
          <w:szCs w:val="24"/>
        </w:rPr>
        <w:t xml:space="preserve">datos </w:t>
      </w:r>
      <w:r w:rsidR="00A03DCE">
        <w:rPr>
          <w:rFonts w:ascii="Century Gothic" w:hAnsi="Century Gothic"/>
          <w:color w:val="000000" w:themeColor="text1"/>
          <w:sz w:val="24"/>
          <w:szCs w:val="24"/>
        </w:rPr>
        <w:t xml:space="preserve">de los contribuyentes </w:t>
      </w:r>
      <w:r>
        <w:rPr>
          <w:rFonts w:ascii="Century Gothic" w:hAnsi="Century Gothic"/>
          <w:color w:val="000000" w:themeColor="text1"/>
          <w:sz w:val="24"/>
          <w:szCs w:val="24"/>
        </w:rPr>
        <w:t xml:space="preserve">no es posible obtenerla de ninguna otra fuente estadística. </w:t>
      </w:r>
    </w:p>
    <w:p w14:paraId="6401AFD5" w14:textId="733FA23C" w:rsidR="002205F7" w:rsidRDefault="002205F7" w:rsidP="00CB2B85">
      <w:pPr>
        <w:spacing w:before="240" w:after="120" w:line="360" w:lineRule="auto"/>
        <w:jc w:val="both"/>
        <w:rPr>
          <w:rFonts w:ascii="Century Gothic" w:hAnsi="Century Gothic"/>
          <w:color w:val="000000" w:themeColor="text1"/>
          <w:sz w:val="24"/>
          <w:szCs w:val="24"/>
        </w:rPr>
      </w:pPr>
      <w:r>
        <w:rPr>
          <w:rFonts w:ascii="Century Gothic" w:hAnsi="Century Gothic"/>
          <w:color w:val="000000" w:themeColor="text1"/>
          <w:sz w:val="24"/>
          <w:szCs w:val="24"/>
        </w:rPr>
        <w:t xml:space="preserve">Es por esto, que tener una casilla de sexo en estas declaraciones, permitiría a las autoridades tener estadísticas agregadas en esta materia lo que permitiría tener estadísticas más completas sobre este tema. </w:t>
      </w:r>
    </w:p>
    <w:p w14:paraId="6B3FBDEC" w14:textId="77777777" w:rsidR="00F4337A" w:rsidRPr="00CB2B85" w:rsidRDefault="00F4337A" w:rsidP="00CB2B85">
      <w:pPr>
        <w:spacing w:before="240" w:after="120" w:line="360" w:lineRule="auto"/>
        <w:jc w:val="both"/>
        <w:rPr>
          <w:rFonts w:ascii="Century Gothic" w:hAnsi="Century Gothic"/>
          <w:color w:val="000000" w:themeColor="text1"/>
          <w:sz w:val="24"/>
          <w:szCs w:val="24"/>
        </w:rPr>
      </w:pPr>
    </w:p>
    <w:p w14:paraId="2FC36076" w14:textId="0765F6C2" w:rsidR="005B1803" w:rsidRDefault="002205F7" w:rsidP="00CB2B85">
      <w:pPr>
        <w:spacing w:line="360" w:lineRule="auto"/>
        <w:jc w:val="both"/>
        <w:rPr>
          <w:rFonts w:ascii="Century Gothic" w:hAnsi="Century Gothic"/>
          <w:b/>
          <w:color w:val="000000" w:themeColor="text1"/>
          <w:sz w:val="24"/>
          <w:szCs w:val="24"/>
        </w:rPr>
      </w:pPr>
      <w:r>
        <w:rPr>
          <w:rFonts w:ascii="Century Gothic" w:hAnsi="Century Gothic"/>
          <w:b/>
          <w:color w:val="000000" w:themeColor="text1"/>
          <w:sz w:val="24"/>
          <w:szCs w:val="24"/>
        </w:rPr>
        <w:t>Avances estadísticos en materia de género</w:t>
      </w:r>
    </w:p>
    <w:p w14:paraId="6DB812DE" w14:textId="77777777" w:rsidR="00F4337A" w:rsidRPr="002205F7" w:rsidRDefault="00F4337A" w:rsidP="00CB2B85">
      <w:pPr>
        <w:spacing w:line="360" w:lineRule="auto"/>
        <w:jc w:val="both"/>
        <w:rPr>
          <w:rFonts w:ascii="Century Gothic" w:hAnsi="Century Gothic" w:cs="Arial"/>
          <w:b/>
          <w:color w:val="000000" w:themeColor="text1"/>
          <w:sz w:val="24"/>
          <w:szCs w:val="24"/>
        </w:rPr>
      </w:pPr>
    </w:p>
    <w:p w14:paraId="75585FC9" w14:textId="49B8B6CC" w:rsidR="0004417B" w:rsidRDefault="00C04480" w:rsidP="00CB2B85">
      <w:pPr>
        <w:spacing w:line="360" w:lineRule="auto"/>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 xml:space="preserve">El </w:t>
      </w:r>
      <w:r w:rsidR="002205F7">
        <w:rPr>
          <w:rFonts w:ascii="Century Gothic" w:hAnsi="Century Gothic" w:cs="Arial"/>
          <w:color w:val="000000" w:themeColor="text1"/>
          <w:sz w:val="24"/>
          <w:szCs w:val="24"/>
        </w:rPr>
        <w:t>Gobierno Nacional ha propendido por tener bases estadísticas más completas, esto para poder tomar mejores decisiones en materia de política pública. Por ejemplo, e</w:t>
      </w:r>
      <w:r w:rsidR="00877512" w:rsidRPr="00CB2B85">
        <w:rPr>
          <w:rFonts w:ascii="Century Gothic" w:hAnsi="Century Gothic" w:cs="Arial"/>
          <w:color w:val="000000" w:themeColor="text1"/>
          <w:sz w:val="24"/>
          <w:szCs w:val="24"/>
        </w:rPr>
        <w:t>l Plan Nacional de Desarrollo 2018 – 2022 creó un trazador presupuestal para la equidad de la mujer con el fin de que las entidades públicas que reciben recursos del P</w:t>
      </w:r>
      <w:r w:rsidR="00D63EC7" w:rsidRPr="00CB2B85">
        <w:rPr>
          <w:rFonts w:ascii="Century Gothic" w:hAnsi="Century Gothic" w:cs="Arial"/>
          <w:color w:val="000000" w:themeColor="text1"/>
          <w:sz w:val="24"/>
          <w:szCs w:val="24"/>
        </w:rPr>
        <w:t xml:space="preserve">resupuesto </w:t>
      </w:r>
      <w:r w:rsidR="00877512" w:rsidRPr="00CB2B85">
        <w:rPr>
          <w:rFonts w:ascii="Century Gothic" w:hAnsi="Century Gothic" w:cs="Arial"/>
          <w:color w:val="000000" w:themeColor="text1"/>
          <w:sz w:val="24"/>
          <w:szCs w:val="24"/>
        </w:rPr>
        <w:t>G</w:t>
      </w:r>
      <w:r w:rsidR="00D63EC7" w:rsidRPr="00CB2B85">
        <w:rPr>
          <w:rFonts w:ascii="Century Gothic" w:hAnsi="Century Gothic" w:cs="Arial"/>
          <w:color w:val="000000" w:themeColor="text1"/>
          <w:sz w:val="24"/>
          <w:szCs w:val="24"/>
        </w:rPr>
        <w:t xml:space="preserve">eneral de la </w:t>
      </w:r>
      <w:r w:rsidR="00877512" w:rsidRPr="00CB2B85">
        <w:rPr>
          <w:rFonts w:ascii="Century Gothic" w:hAnsi="Century Gothic" w:cs="Arial"/>
          <w:color w:val="000000" w:themeColor="text1"/>
          <w:sz w:val="24"/>
          <w:szCs w:val="24"/>
        </w:rPr>
        <w:t>N</w:t>
      </w:r>
      <w:r w:rsidR="00D63EC7" w:rsidRPr="00CB2B85">
        <w:rPr>
          <w:rFonts w:ascii="Century Gothic" w:hAnsi="Century Gothic" w:cs="Arial"/>
          <w:color w:val="000000" w:themeColor="text1"/>
          <w:sz w:val="24"/>
          <w:szCs w:val="24"/>
        </w:rPr>
        <w:t>ación</w:t>
      </w:r>
      <w:r w:rsidR="00877512" w:rsidRPr="00CB2B85">
        <w:rPr>
          <w:rFonts w:ascii="Century Gothic" w:hAnsi="Century Gothic" w:cs="Arial"/>
          <w:color w:val="000000" w:themeColor="text1"/>
          <w:sz w:val="24"/>
          <w:szCs w:val="24"/>
        </w:rPr>
        <w:t xml:space="preserve"> tengan identificadas inversiones y apuestas para el cierre de las brechas de género en el país. </w:t>
      </w:r>
      <w:r w:rsidR="002205F7">
        <w:rPr>
          <w:rFonts w:ascii="Century Gothic" w:hAnsi="Century Gothic" w:cs="Arial"/>
          <w:color w:val="000000" w:themeColor="text1"/>
          <w:sz w:val="24"/>
          <w:szCs w:val="24"/>
        </w:rPr>
        <w:t xml:space="preserve">Igualmente el Dane tiene encuestas dirigidas a obtener información sobre la desigualdad de género. Encuestas como la del uso del tiempo y la de la economía del ciudado permiten tener datos sobre </w:t>
      </w:r>
      <w:r>
        <w:rPr>
          <w:rFonts w:ascii="Century Gothic" w:hAnsi="Century Gothic" w:cs="Arial"/>
          <w:color w:val="000000" w:themeColor="text1"/>
          <w:sz w:val="24"/>
          <w:szCs w:val="24"/>
        </w:rPr>
        <w:t>inequidad de género en el país.</w:t>
      </w:r>
    </w:p>
    <w:p w14:paraId="4E499C88" w14:textId="1A9977B6" w:rsidR="00F4337A" w:rsidRDefault="00F4337A" w:rsidP="00CB2B85">
      <w:pPr>
        <w:spacing w:line="360" w:lineRule="auto"/>
        <w:jc w:val="both"/>
        <w:rPr>
          <w:rFonts w:ascii="Century Gothic" w:hAnsi="Century Gothic" w:cs="Arial"/>
          <w:color w:val="000000" w:themeColor="text1"/>
          <w:sz w:val="24"/>
          <w:szCs w:val="24"/>
        </w:rPr>
      </w:pPr>
    </w:p>
    <w:p w14:paraId="0C923678" w14:textId="604059A8" w:rsidR="00F4337A" w:rsidRDefault="00F4337A" w:rsidP="00CB2B85">
      <w:pPr>
        <w:spacing w:line="360" w:lineRule="auto"/>
        <w:jc w:val="both"/>
        <w:rPr>
          <w:rFonts w:ascii="Century Gothic" w:hAnsi="Century Gothic" w:cs="Arial"/>
          <w:color w:val="000000" w:themeColor="text1"/>
          <w:sz w:val="24"/>
          <w:szCs w:val="24"/>
        </w:rPr>
      </w:pPr>
    </w:p>
    <w:p w14:paraId="1FBC677D" w14:textId="19DAD7A4" w:rsidR="00F4337A" w:rsidRDefault="00F4337A" w:rsidP="00CB2B85">
      <w:pPr>
        <w:spacing w:line="360" w:lineRule="auto"/>
        <w:jc w:val="both"/>
        <w:rPr>
          <w:rFonts w:ascii="Century Gothic" w:hAnsi="Century Gothic" w:cs="Arial"/>
          <w:color w:val="000000" w:themeColor="text1"/>
          <w:sz w:val="24"/>
          <w:szCs w:val="24"/>
        </w:rPr>
      </w:pPr>
    </w:p>
    <w:p w14:paraId="7B8F6F03" w14:textId="77777777" w:rsidR="00F4337A" w:rsidRPr="00CB2B85" w:rsidRDefault="00F4337A" w:rsidP="00CB2B85">
      <w:pPr>
        <w:spacing w:line="360" w:lineRule="auto"/>
        <w:jc w:val="both"/>
        <w:rPr>
          <w:rFonts w:ascii="Century Gothic" w:hAnsi="Century Gothic" w:cs="Arial"/>
          <w:color w:val="000000" w:themeColor="text1"/>
          <w:sz w:val="24"/>
          <w:szCs w:val="24"/>
        </w:rPr>
      </w:pPr>
    </w:p>
    <w:p w14:paraId="5A5FA8D0" w14:textId="7906E0E0" w:rsidR="00AB6EF6" w:rsidRDefault="00AB6EF6" w:rsidP="00CB2B85">
      <w:pPr>
        <w:spacing w:line="360" w:lineRule="auto"/>
        <w:jc w:val="both"/>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lastRenderedPageBreak/>
        <w:t xml:space="preserve">Problemática de género en el país </w:t>
      </w:r>
    </w:p>
    <w:p w14:paraId="17EDD88E" w14:textId="77777777" w:rsidR="00F4337A" w:rsidRPr="00CB2B85" w:rsidRDefault="00F4337A" w:rsidP="00CB2B85">
      <w:pPr>
        <w:spacing w:line="360" w:lineRule="auto"/>
        <w:jc w:val="both"/>
        <w:rPr>
          <w:rFonts w:ascii="Century Gothic" w:hAnsi="Century Gothic" w:cs="Arial"/>
          <w:b/>
          <w:color w:val="000000" w:themeColor="text1"/>
          <w:sz w:val="24"/>
          <w:szCs w:val="24"/>
        </w:rPr>
      </w:pPr>
    </w:p>
    <w:p w14:paraId="688FB6C7" w14:textId="328EF2DB" w:rsidR="002205F7" w:rsidRPr="00CB2B85" w:rsidRDefault="00AB6EF6"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Las mujeres encuentran menores oportunidades de empleo, expresadas en menores tasas de participación, mayor riesgo de desempleo y mayor duración del mismo: en promedio, una mujer dura desempleada 18 meses, mientras que para los ho</w:t>
      </w:r>
      <w:r w:rsidR="00C04480">
        <w:rPr>
          <w:rFonts w:ascii="Century Gothic" w:hAnsi="Century Gothic" w:cs="Arial"/>
          <w:color w:val="000000" w:themeColor="text1"/>
          <w:sz w:val="24"/>
          <w:szCs w:val="24"/>
        </w:rPr>
        <w:t>mbres ese periodo es de 7 meses</w:t>
      </w:r>
      <w:r w:rsidR="00F4337A">
        <w:rPr>
          <w:rFonts w:ascii="Century Gothic" w:hAnsi="Century Gothic" w:cs="Arial"/>
          <w:color w:val="000000" w:themeColor="text1"/>
          <w:sz w:val="24"/>
          <w:szCs w:val="24"/>
        </w:rPr>
        <w:t>.</w:t>
      </w:r>
    </w:p>
    <w:p w14:paraId="6C63EA33" w14:textId="77777777" w:rsidR="00AB6EF6" w:rsidRPr="00CB2B85" w:rsidRDefault="00C04480" w:rsidP="00CB2B85">
      <w:pPr>
        <w:spacing w:line="360" w:lineRule="auto"/>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 xml:space="preserve">Gráfica. </w:t>
      </w:r>
      <w:r w:rsidR="00AB6EF6" w:rsidRPr="00CB2B85">
        <w:rPr>
          <w:rFonts w:ascii="Century Gothic" w:hAnsi="Century Gothic" w:cs="Arial"/>
          <w:color w:val="000000" w:themeColor="text1"/>
          <w:sz w:val="24"/>
          <w:szCs w:val="24"/>
        </w:rPr>
        <w:t xml:space="preserve">Indicadores laborales por edad y género en Colombia </w:t>
      </w:r>
    </w:p>
    <w:p w14:paraId="501C94AC" w14:textId="77777777" w:rsidR="00AB6EF6" w:rsidRDefault="00AB6EF6" w:rsidP="002205F7">
      <w:pPr>
        <w:spacing w:line="360" w:lineRule="auto"/>
        <w:jc w:val="center"/>
        <w:rPr>
          <w:rFonts w:ascii="Century Gothic" w:hAnsi="Century Gothic" w:cs="Arial"/>
          <w:color w:val="000000" w:themeColor="text1"/>
          <w:sz w:val="24"/>
          <w:szCs w:val="24"/>
        </w:rPr>
      </w:pPr>
      <w:r w:rsidRPr="00CB2B85">
        <w:rPr>
          <w:rFonts w:ascii="Century Gothic" w:hAnsi="Century Gothic" w:cs="Arial"/>
          <w:noProof/>
          <w:color w:val="000000" w:themeColor="text1"/>
          <w:sz w:val="24"/>
          <w:szCs w:val="24"/>
          <w:lang w:val="es-ES_tradnl" w:eastAsia="es-ES_tradnl"/>
        </w:rPr>
        <w:drawing>
          <wp:inline distT="0" distB="0" distL="0" distR="0" wp14:anchorId="7EB0830E" wp14:editId="54A0B8AE">
            <wp:extent cx="4382112" cy="320084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4382112" cy="3200847"/>
                    </a:xfrm>
                    <a:prstGeom prst="rect">
                      <a:avLst/>
                    </a:prstGeom>
                  </pic:spPr>
                </pic:pic>
              </a:graphicData>
            </a:graphic>
          </wp:inline>
        </w:drawing>
      </w:r>
      <w:r w:rsidR="00450446" w:rsidRPr="00CB2B85">
        <w:rPr>
          <w:rFonts w:ascii="Century Gothic" w:hAnsi="Century Gothic" w:cs="Arial"/>
          <w:color w:val="000000" w:themeColor="text1"/>
          <w:sz w:val="24"/>
          <w:szCs w:val="24"/>
        </w:rPr>
        <w:br/>
      </w:r>
      <w:r w:rsidRPr="00CB2B85">
        <w:rPr>
          <w:rFonts w:ascii="Century Gothic" w:hAnsi="Century Gothic" w:cs="Arial"/>
          <w:color w:val="000000" w:themeColor="text1"/>
          <w:sz w:val="24"/>
          <w:szCs w:val="24"/>
        </w:rPr>
        <w:t xml:space="preserve">Fuente: </w:t>
      </w:r>
      <w:r w:rsidR="00450446" w:rsidRPr="00CB2B85">
        <w:rPr>
          <w:rFonts w:ascii="Century Gothic" w:hAnsi="Century Gothic" w:cs="Arial"/>
          <w:color w:val="000000" w:themeColor="text1"/>
          <w:sz w:val="24"/>
          <w:szCs w:val="24"/>
        </w:rPr>
        <w:t>Roberto Sánchez y Diego Mejía, B</w:t>
      </w:r>
      <w:r w:rsidRPr="00CB2B85">
        <w:rPr>
          <w:rFonts w:ascii="Century Gothic" w:hAnsi="Century Gothic" w:cs="Arial"/>
          <w:color w:val="000000" w:themeColor="text1"/>
          <w:sz w:val="24"/>
          <w:szCs w:val="24"/>
        </w:rPr>
        <w:t>ase de la Gran Encuesta Integrada de Hogares [GEIH] del Departamento Administrativo Nacional de Estadística [DANE] (2018).</w:t>
      </w:r>
    </w:p>
    <w:p w14:paraId="738064EC" w14:textId="77777777" w:rsidR="002205F7" w:rsidRPr="00CB2B85" w:rsidRDefault="002205F7" w:rsidP="002205F7">
      <w:pPr>
        <w:spacing w:line="360" w:lineRule="auto"/>
        <w:jc w:val="center"/>
        <w:rPr>
          <w:rFonts w:ascii="Century Gothic" w:hAnsi="Century Gothic" w:cs="Arial"/>
          <w:color w:val="000000" w:themeColor="text1"/>
          <w:sz w:val="24"/>
          <w:szCs w:val="24"/>
        </w:rPr>
      </w:pPr>
    </w:p>
    <w:p w14:paraId="1FAC94CB" w14:textId="77777777" w:rsidR="00450446" w:rsidRDefault="00450446"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lastRenderedPageBreak/>
        <w:t>La anterior gráfica evidencia la brecha entre hombres y mujeres en términos de participación y desempleo, pues mientras una mujer a los 30 años tiene un nivel de participación de alrededor 78%, un hombre de la misma edad está aproximadamente en un 97%. Así mismo, la curva de desempleo es significativamente más alta para las mujeres que para los hombres.</w:t>
      </w:r>
    </w:p>
    <w:p w14:paraId="3AD4E851" w14:textId="77777777" w:rsidR="00190CD1" w:rsidRDefault="00190CD1" w:rsidP="00CB2B85">
      <w:pPr>
        <w:spacing w:line="360" w:lineRule="auto"/>
        <w:jc w:val="both"/>
        <w:rPr>
          <w:rFonts w:ascii="Century Gothic" w:hAnsi="Century Gothic" w:cs="Arial"/>
          <w:color w:val="000000" w:themeColor="text1"/>
          <w:sz w:val="24"/>
          <w:szCs w:val="24"/>
        </w:rPr>
      </w:pPr>
    </w:p>
    <w:p w14:paraId="14E14A96" w14:textId="31078B0F" w:rsidR="00190CD1" w:rsidRDefault="00190CD1" w:rsidP="00CB2B85">
      <w:pPr>
        <w:spacing w:line="360" w:lineRule="auto"/>
        <w:jc w:val="both"/>
        <w:rPr>
          <w:rFonts w:ascii="Century Gothic" w:hAnsi="Century Gothic" w:cs="Arial"/>
          <w:color w:val="000000" w:themeColor="text1"/>
          <w:sz w:val="24"/>
          <w:szCs w:val="24"/>
        </w:rPr>
      </w:pPr>
      <w:r>
        <w:rPr>
          <w:rFonts w:ascii="Century Gothic" w:hAnsi="Century Gothic" w:cs="Arial"/>
          <w:color w:val="000000" w:themeColor="text1"/>
          <w:sz w:val="24"/>
          <w:szCs w:val="24"/>
        </w:rPr>
        <w:t>Todas estas cifras se obtienen gracias a que las instituciones del Estado han permitido diferenciar las características de género, edad</w:t>
      </w:r>
      <w:r w:rsidR="00C04480">
        <w:rPr>
          <w:rFonts w:ascii="Century Gothic" w:hAnsi="Century Gothic" w:cs="Arial"/>
          <w:color w:val="000000" w:themeColor="text1"/>
          <w:sz w:val="24"/>
          <w:szCs w:val="24"/>
        </w:rPr>
        <w:t>, género entre otra</w:t>
      </w:r>
      <w:r>
        <w:rPr>
          <w:rFonts w:ascii="Century Gothic" w:hAnsi="Century Gothic" w:cs="Arial"/>
          <w:color w:val="000000" w:themeColor="text1"/>
          <w:sz w:val="24"/>
          <w:szCs w:val="24"/>
        </w:rPr>
        <w:t>s</w:t>
      </w:r>
      <w:r w:rsidR="00C04480">
        <w:rPr>
          <w:rFonts w:ascii="Century Gothic" w:hAnsi="Century Gothic" w:cs="Arial"/>
          <w:color w:val="000000" w:themeColor="text1"/>
          <w:sz w:val="24"/>
          <w:szCs w:val="24"/>
        </w:rPr>
        <w:t xml:space="preserve"> características</w:t>
      </w:r>
      <w:r>
        <w:rPr>
          <w:rFonts w:ascii="Century Gothic" w:hAnsi="Century Gothic" w:cs="Arial"/>
          <w:color w:val="000000" w:themeColor="text1"/>
          <w:sz w:val="24"/>
          <w:szCs w:val="24"/>
        </w:rPr>
        <w:t xml:space="preserve"> de los ciudadanos.</w:t>
      </w:r>
    </w:p>
    <w:p w14:paraId="096E8D94" w14:textId="77777777" w:rsidR="00F4337A" w:rsidRDefault="00F4337A" w:rsidP="00CB2B85">
      <w:pPr>
        <w:spacing w:line="360" w:lineRule="auto"/>
        <w:jc w:val="both"/>
        <w:rPr>
          <w:rFonts w:ascii="Century Gothic" w:hAnsi="Century Gothic" w:cs="Arial"/>
          <w:color w:val="000000" w:themeColor="text1"/>
          <w:sz w:val="24"/>
          <w:szCs w:val="24"/>
        </w:rPr>
      </w:pPr>
    </w:p>
    <w:p w14:paraId="21F72A32" w14:textId="77777777" w:rsidR="008719A0" w:rsidRPr="00C93582" w:rsidRDefault="00190CD1" w:rsidP="00C93582">
      <w:pPr>
        <w:spacing w:line="360" w:lineRule="auto"/>
        <w:jc w:val="both"/>
        <w:rPr>
          <w:rFonts w:ascii="Century Gothic" w:hAnsi="Century Gothic" w:cs="Arial"/>
          <w:b/>
          <w:color w:val="000000" w:themeColor="text1"/>
          <w:sz w:val="24"/>
          <w:szCs w:val="24"/>
        </w:rPr>
      </w:pPr>
      <w:r w:rsidRPr="00190CD1">
        <w:rPr>
          <w:rFonts w:ascii="Century Gothic" w:hAnsi="Century Gothic" w:cs="Arial"/>
          <w:b/>
          <w:color w:val="000000" w:themeColor="text1"/>
          <w:sz w:val="24"/>
          <w:szCs w:val="24"/>
        </w:rPr>
        <w:t>Conceptos</w:t>
      </w:r>
      <w:r w:rsidR="00C04480">
        <w:rPr>
          <w:rFonts w:ascii="Century Gothic" w:hAnsi="Century Gothic" w:cs="Arial"/>
          <w:b/>
          <w:color w:val="000000" w:themeColor="text1"/>
          <w:sz w:val="24"/>
          <w:szCs w:val="24"/>
        </w:rPr>
        <w:t xml:space="preserve"> sobre el proyecto de ley</w:t>
      </w:r>
    </w:p>
    <w:p w14:paraId="221A8181" w14:textId="77777777" w:rsidR="00C93582" w:rsidRDefault="00C93582" w:rsidP="00C93582">
      <w:pPr>
        <w:pStyle w:val="ListParagraph"/>
        <w:numPr>
          <w:ilvl w:val="0"/>
          <w:numId w:val="2"/>
        </w:numPr>
        <w:jc w:val="both"/>
        <w:rPr>
          <w:rFonts w:ascii="Century Gothic" w:hAnsi="Century Gothic"/>
          <w:b/>
          <w:sz w:val="24"/>
          <w:szCs w:val="24"/>
        </w:rPr>
      </w:pPr>
      <w:r>
        <w:rPr>
          <w:rFonts w:ascii="Century Gothic" w:hAnsi="Century Gothic"/>
          <w:b/>
          <w:sz w:val="24"/>
          <w:szCs w:val="24"/>
        </w:rPr>
        <w:t xml:space="preserve">Concepto Consejería Presidencia </w:t>
      </w:r>
    </w:p>
    <w:p w14:paraId="6DE6F452" w14:textId="77777777" w:rsidR="008719A0" w:rsidRPr="00C93582" w:rsidRDefault="00C04480" w:rsidP="00C93582">
      <w:pPr>
        <w:jc w:val="both"/>
        <w:rPr>
          <w:rFonts w:ascii="Century Gothic" w:hAnsi="Century Gothic"/>
          <w:sz w:val="24"/>
          <w:szCs w:val="24"/>
        </w:rPr>
      </w:pPr>
      <w:r>
        <w:rPr>
          <w:rFonts w:ascii="Century Gothic" w:hAnsi="Century Gothic"/>
          <w:sz w:val="24"/>
          <w:szCs w:val="24"/>
        </w:rPr>
        <w:t>La</w:t>
      </w:r>
      <w:r w:rsidR="00C93582">
        <w:rPr>
          <w:rFonts w:ascii="Century Gothic" w:hAnsi="Century Gothic"/>
          <w:sz w:val="24"/>
          <w:szCs w:val="24"/>
        </w:rPr>
        <w:t xml:space="preserve"> Consejería Presidencial para la Equidad de la Mujer, que es una dependencia adscrita a la Vicepresidencia de la República, considera que e</w:t>
      </w:r>
      <w:r w:rsidR="00C93582" w:rsidRPr="0038473A">
        <w:rPr>
          <w:rFonts w:ascii="Century Gothic" w:hAnsi="Century Gothic"/>
          <w:sz w:val="24"/>
          <w:szCs w:val="24"/>
        </w:rPr>
        <w:t xml:space="preserve">l establecimiento de casillas como género, sexo e identidad de género en la declaración de renta de persona natural, puede permitir apoyar procesos de recolección de datos con enfoque de género, fortalece la documentación y análisis de la información sobre las mujeres y la equidad de Género en el país. </w:t>
      </w:r>
      <w:r w:rsidR="008719A0" w:rsidRPr="00C93582">
        <w:rPr>
          <w:rFonts w:ascii="Century Gothic" w:hAnsi="Century Gothic"/>
          <w:sz w:val="24"/>
          <w:szCs w:val="24"/>
        </w:rPr>
        <w:t xml:space="preserve"> </w:t>
      </w:r>
    </w:p>
    <w:p w14:paraId="5037F269" w14:textId="77777777" w:rsidR="008719A0" w:rsidRPr="00DF30BB" w:rsidRDefault="008719A0" w:rsidP="008719A0">
      <w:pPr>
        <w:pStyle w:val="ListParagraph"/>
        <w:rPr>
          <w:rFonts w:ascii="Century Gothic" w:hAnsi="Century Gothic"/>
          <w:sz w:val="24"/>
          <w:szCs w:val="24"/>
        </w:rPr>
      </w:pPr>
    </w:p>
    <w:p w14:paraId="0D5B9378" w14:textId="77777777" w:rsidR="008719A0" w:rsidRDefault="008719A0" w:rsidP="008719A0">
      <w:pPr>
        <w:pStyle w:val="ListParagraph"/>
        <w:numPr>
          <w:ilvl w:val="0"/>
          <w:numId w:val="2"/>
        </w:numPr>
        <w:jc w:val="both"/>
        <w:rPr>
          <w:rFonts w:ascii="Century Gothic" w:hAnsi="Century Gothic"/>
          <w:b/>
          <w:sz w:val="24"/>
          <w:szCs w:val="24"/>
        </w:rPr>
      </w:pPr>
      <w:r>
        <w:rPr>
          <w:rFonts w:ascii="Century Gothic" w:hAnsi="Century Gothic"/>
          <w:b/>
          <w:sz w:val="24"/>
          <w:szCs w:val="24"/>
        </w:rPr>
        <w:t xml:space="preserve">Concepto Instituto Colombiano de Derecho Tributario – ICDT </w:t>
      </w:r>
    </w:p>
    <w:p w14:paraId="0D351699" w14:textId="77777777" w:rsidR="008719A0" w:rsidRDefault="008719A0" w:rsidP="008719A0">
      <w:pPr>
        <w:pStyle w:val="ListParagraph"/>
        <w:jc w:val="both"/>
        <w:rPr>
          <w:rFonts w:ascii="Century Gothic" w:hAnsi="Century Gothic"/>
          <w:b/>
          <w:sz w:val="24"/>
          <w:szCs w:val="24"/>
        </w:rPr>
      </w:pPr>
    </w:p>
    <w:p w14:paraId="48B0A14E" w14:textId="77777777" w:rsidR="00C93582" w:rsidRDefault="00C93582" w:rsidP="00C93582">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 xml:space="preserve">Según el Instituto Colombiano de Derecho Tributario, revelar información económica de los hogares según el género no atentaría contra ningún principio constitucional de información anónima, y puede hacerse de la mano del Departamento Administrativo Nacional de Estadística. </w:t>
      </w:r>
    </w:p>
    <w:p w14:paraId="3B29103E" w14:textId="77777777" w:rsidR="00C93582" w:rsidRDefault="00C93582" w:rsidP="00C93582">
      <w:pPr>
        <w:pStyle w:val="ListParagraph"/>
        <w:numPr>
          <w:ilvl w:val="0"/>
          <w:numId w:val="2"/>
        </w:numPr>
        <w:jc w:val="both"/>
        <w:rPr>
          <w:rFonts w:ascii="Century Gothic" w:hAnsi="Century Gothic"/>
          <w:b/>
          <w:sz w:val="24"/>
          <w:szCs w:val="24"/>
        </w:rPr>
      </w:pPr>
      <w:r>
        <w:rPr>
          <w:rFonts w:ascii="Century Gothic" w:hAnsi="Century Gothic"/>
          <w:b/>
          <w:sz w:val="24"/>
          <w:szCs w:val="24"/>
        </w:rPr>
        <w:lastRenderedPageBreak/>
        <w:t xml:space="preserve">Concepto DIAN: </w:t>
      </w:r>
    </w:p>
    <w:p w14:paraId="3160EB5F" w14:textId="77777777" w:rsidR="00C93582" w:rsidRDefault="00C93582" w:rsidP="00C93582">
      <w:pPr>
        <w:jc w:val="both"/>
        <w:rPr>
          <w:rFonts w:ascii="Century Gothic" w:hAnsi="Century Gothic"/>
          <w:sz w:val="24"/>
          <w:szCs w:val="24"/>
        </w:rPr>
      </w:pPr>
      <w:r>
        <w:rPr>
          <w:rFonts w:ascii="Century Gothic" w:hAnsi="Century Gothic"/>
          <w:sz w:val="24"/>
          <w:szCs w:val="24"/>
        </w:rPr>
        <w:t xml:space="preserve">La DIAN plantea varios argumentos sobre los cuales apoya su decisión de </w:t>
      </w:r>
      <w:r w:rsidRPr="0038473A">
        <w:rPr>
          <w:rFonts w:ascii="Century Gothic" w:hAnsi="Century Gothic"/>
          <w:sz w:val="24"/>
          <w:szCs w:val="24"/>
        </w:rPr>
        <w:t>dar un concepto negativo</w:t>
      </w:r>
      <w:r>
        <w:rPr>
          <w:rFonts w:ascii="Century Gothic" w:hAnsi="Century Gothic"/>
          <w:b/>
          <w:sz w:val="24"/>
          <w:szCs w:val="24"/>
        </w:rPr>
        <w:t xml:space="preserve"> </w:t>
      </w:r>
      <w:r>
        <w:rPr>
          <w:rFonts w:ascii="Century Gothic" w:hAnsi="Century Gothic"/>
          <w:sz w:val="24"/>
          <w:szCs w:val="24"/>
        </w:rPr>
        <w:t>a la propuesta del proyecto de ley.</w:t>
      </w:r>
    </w:p>
    <w:p w14:paraId="6E3274F9" w14:textId="77777777" w:rsidR="00C93582" w:rsidRDefault="00C93582" w:rsidP="00C93582">
      <w:pPr>
        <w:pStyle w:val="ListParagraph"/>
        <w:numPr>
          <w:ilvl w:val="0"/>
          <w:numId w:val="7"/>
        </w:numPr>
        <w:jc w:val="both"/>
        <w:rPr>
          <w:rFonts w:ascii="Century Gothic" w:hAnsi="Century Gothic"/>
          <w:sz w:val="24"/>
          <w:szCs w:val="24"/>
        </w:rPr>
      </w:pPr>
      <w:r w:rsidRPr="0038473A">
        <w:rPr>
          <w:rFonts w:ascii="Century Gothic" w:hAnsi="Century Gothic"/>
          <w:sz w:val="24"/>
          <w:szCs w:val="24"/>
        </w:rPr>
        <w:t xml:space="preserve">El artículo 2 del Estatuto Tributario contempla como sujetos pasivos de los tributos a los “contribuyentes”, por esta simple naturaleza, sin distinción de sexo, raza o edad. </w:t>
      </w:r>
    </w:p>
    <w:p w14:paraId="20BE7004" w14:textId="77777777" w:rsidR="00C93582" w:rsidRDefault="00C93582" w:rsidP="00C93582">
      <w:pPr>
        <w:pStyle w:val="ListParagraph"/>
        <w:numPr>
          <w:ilvl w:val="0"/>
          <w:numId w:val="7"/>
        </w:numPr>
        <w:jc w:val="both"/>
        <w:rPr>
          <w:rFonts w:ascii="Century Gothic" w:hAnsi="Century Gothic"/>
          <w:sz w:val="24"/>
          <w:szCs w:val="24"/>
        </w:rPr>
      </w:pPr>
      <w:r w:rsidRPr="0038473A">
        <w:rPr>
          <w:rFonts w:ascii="Century Gothic" w:hAnsi="Century Gothic"/>
          <w:sz w:val="24"/>
          <w:szCs w:val="24"/>
        </w:rPr>
        <w:t xml:space="preserve">Las normas del Estatuto Tributario no presentan tratos especiales a los contribuyentes por su género, sexo o raza, lo único que interesa son los hechos generadores de impuestos y el pago correspondiente de los tributos. </w:t>
      </w:r>
    </w:p>
    <w:p w14:paraId="44DC1129" w14:textId="77777777" w:rsidR="00C93582" w:rsidRDefault="00C93582" w:rsidP="00C93582">
      <w:pPr>
        <w:pStyle w:val="ListParagraph"/>
        <w:numPr>
          <w:ilvl w:val="0"/>
          <w:numId w:val="7"/>
        </w:numPr>
        <w:jc w:val="both"/>
        <w:rPr>
          <w:rFonts w:ascii="Century Gothic" w:hAnsi="Century Gothic"/>
          <w:sz w:val="24"/>
          <w:szCs w:val="24"/>
        </w:rPr>
      </w:pPr>
      <w:r w:rsidRPr="0038473A">
        <w:rPr>
          <w:rFonts w:ascii="Century Gothic" w:hAnsi="Century Gothic"/>
          <w:sz w:val="24"/>
          <w:szCs w:val="24"/>
        </w:rPr>
        <w:t xml:space="preserve">El Registro Único Tributario es el único mecanismo para identificar y clasificar a los contribuyentes, y cualquier otra persona que tenga alguna obligación tributaria administrada por la DIAN, por esto, la información que se pretende agregar no guarda ninguna relación con la competencia de la entidad en términos de impuestos, para esto hay otras entidades para la información estadística, como el DANE. </w:t>
      </w:r>
    </w:p>
    <w:p w14:paraId="498B2537" w14:textId="77777777" w:rsidR="00C93582" w:rsidRDefault="00C93582" w:rsidP="00C93582">
      <w:pPr>
        <w:pStyle w:val="ListParagraph"/>
        <w:numPr>
          <w:ilvl w:val="0"/>
          <w:numId w:val="7"/>
        </w:numPr>
        <w:jc w:val="both"/>
        <w:rPr>
          <w:rFonts w:ascii="Century Gothic" w:hAnsi="Century Gothic"/>
          <w:sz w:val="24"/>
          <w:szCs w:val="24"/>
        </w:rPr>
      </w:pPr>
      <w:r w:rsidRPr="0038473A">
        <w:rPr>
          <w:rFonts w:ascii="Century Gothic" w:hAnsi="Century Gothic"/>
          <w:sz w:val="24"/>
          <w:szCs w:val="24"/>
        </w:rPr>
        <w:t xml:space="preserve">Los requisitos fundamentales que deben contener las declaraciones de impuesto, es la información que permita identificar al contribuyente, el artículo 555-1 del Estatuto Tributario señala que para efectos tributarios únicamente es necesario el Número de Identificación Tributaria – NIT, que se expide a través del RUT. </w:t>
      </w:r>
    </w:p>
    <w:p w14:paraId="7A1F8838" w14:textId="77777777" w:rsidR="00C93582" w:rsidRDefault="00C93582" w:rsidP="00C93582">
      <w:pPr>
        <w:pStyle w:val="ListParagraph"/>
        <w:numPr>
          <w:ilvl w:val="0"/>
          <w:numId w:val="7"/>
        </w:numPr>
        <w:jc w:val="both"/>
        <w:rPr>
          <w:rFonts w:ascii="Century Gothic" w:hAnsi="Century Gothic"/>
          <w:sz w:val="24"/>
          <w:szCs w:val="24"/>
        </w:rPr>
      </w:pPr>
      <w:r w:rsidRPr="0038473A">
        <w:rPr>
          <w:rFonts w:ascii="Century Gothic" w:hAnsi="Century Gothic"/>
          <w:sz w:val="24"/>
          <w:szCs w:val="24"/>
        </w:rPr>
        <w:t>Si se divulgan los datos de género del Registro Único Tributario, sería brindar información que cuenta con la protección de ley de datos personales que debe ser manejada con total reserva.</w:t>
      </w:r>
    </w:p>
    <w:p w14:paraId="26B9B2FF" w14:textId="77777777" w:rsidR="008719A0" w:rsidRPr="00C93582" w:rsidRDefault="00C93582" w:rsidP="00C93582">
      <w:pPr>
        <w:pStyle w:val="ListParagraph"/>
        <w:numPr>
          <w:ilvl w:val="0"/>
          <w:numId w:val="7"/>
        </w:numPr>
        <w:jc w:val="both"/>
        <w:rPr>
          <w:rFonts w:ascii="Century Gothic" w:hAnsi="Century Gothic"/>
          <w:sz w:val="24"/>
          <w:szCs w:val="24"/>
        </w:rPr>
      </w:pPr>
      <w:r w:rsidRPr="00C93582">
        <w:rPr>
          <w:rFonts w:ascii="Century Gothic" w:hAnsi="Century Gothic"/>
          <w:sz w:val="24"/>
          <w:szCs w:val="24"/>
        </w:rPr>
        <w:t>Los registros de los contribuyentes solo deben tener información de relevancia tributaria, la información de sexo o género es irrelevante</w:t>
      </w:r>
      <w:r w:rsidRPr="00C93582">
        <w:rPr>
          <w:rFonts w:ascii="Century Gothic" w:hAnsi="Century Gothic" w:cs="Arial"/>
          <w:color w:val="000000" w:themeColor="text1"/>
          <w:sz w:val="24"/>
          <w:szCs w:val="24"/>
        </w:rPr>
        <w:t xml:space="preserve"> </w:t>
      </w:r>
    </w:p>
    <w:p w14:paraId="3D14B4C8" w14:textId="77777777" w:rsidR="008719A0" w:rsidRDefault="008719A0" w:rsidP="00C93582">
      <w:pPr>
        <w:rPr>
          <w:rFonts w:ascii="Century Gothic" w:hAnsi="Century Gothic"/>
          <w:sz w:val="24"/>
          <w:szCs w:val="24"/>
        </w:rPr>
      </w:pPr>
    </w:p>
    <w:p w14:paraId="5E6835D2" w14:textId="77777777" w:rsidR="00CD6088" w:rsidRDefault="00C93582" w:rsidP="00C93582">
      <w:pPr>
        <w:jc w:val="both"/>
        <w:rPr>
          <w:rFonts w:ascii="Century Gothic" w:hAnsi="Century Gothic"/>
          <w:sz w:val="24"/>
          <w:szCs w:val="24"/>
        </w:rPr>
      </w:pPr>
      <w:r>
        <w:rPr>
          <w:rFonts w:ascii="Century Gothic" w:hAnsi="Century Gothic"/>
          <w:sz w:val="24"/>
          <w:szCs w:val="24"/>
        </w:rPr>
        <w:t xml:space="preserve">Respecto al concepto de la Dian es importante señalar que hay una interpretación érronea sobre el proyecto de ley por parte de la entidad. </w:t>
      </w:r>
    </w:p>
    <w:p w14:paraId="5EE598F9" w14:textId="11AD3834" w:rsidR="00CD6088" w:rsidRPr="00CD6088" w:rsidRDefault="00C93582" w:rsidP="00CD6088">
      <w:pPr>
        <w:pStyle w:val="ListParagraph"/>
        <w:numPr>
          <w:ilvl w:val="0"/>
          <w:numId w:val="8"/>
        </w:numPr>
        <w:jc w:val="both"/>
        <w:rPr>
          <w:rFonts w:ascii="Century Gothic" w:hAnsi="Century Gothic"/>
          <w:sz w:val="24"/>
          <w:szCs w:val="24"/>
        </w:rPr>
      </w:pPr>
      <w:r w:rsidRPr="00CD6088">
        <w:rPr>
          <w:rFonts w:ascii="Century Gothic" w:hAnsi="Century Gothic"/>
          <w:sz w:val="24"/>
          <w:szCs w:val="24"/>
        </w:rPr>
        <w:t xml:space="preserve">No se van a revelar datos individuales </w:t>
      </w:r>
      <w:r w:rsidR="00F4337A">
        <w:rPr>
          <w:rFonts w:ascii="Century Gothic" w:hAnsi="Century Gothic"/>
          <w:sz w:val="24"/>
          <w:szCs w:val="24"/>
        </w:rPr>
        <w:t xml:space="preserve">de </w:t>
      </w:r>
      <w:r w:rsidRPr="00CD6088">
        <w:rPr>
          <w:rFonts w:ascii="Century Gothic" w:hAnsi="Century Gothic"/>
          <w:sz w:val="24"/>
          <w:szCs w:val="24"/>
        </w:rPr>
        <w:t>personas que h</w:t>
      </w:r>
      <w:r w:rsidR="00CD6088" w:rsidRPr="00CD6088">
        <w:rPr>
          <w:rFonts w:ascii="Century Gothic" w:hAnsi="Century Gothic"/>
          <w:sz w:val="24"/>
          <w:szCs w:val="24"/>
        </w:rPr>
        <w:t>acen las declaraciones de renta.</w:t>
      </w:r>
    </w:p>
    <w:p w14:paraId="292A6093" w14:textId="77777777" w:rsidR="0065127B" w:rsidRDefault="00CD6088" w:rsidP="0077167F">
      <w:pPr>
        <w:pStyle w:val="ListParagraph"/>
        <w:numPr>
          <w:ilvl w:val="0"/>
          <w:numId w:val="8"/>
        </w:numPr>
        <w:jc w:val="both"/>
        <w:rPr>
          <w:rFonts w:ascii="Century Gothic" w:hAnsi="Century Gothic"/>
          <w:sz w:val="24"/>
          <w:szCs w:val="24"/>
        </w:rPr>
      </w:pPr>
      <w:r w:rsidRPr="00CD6088">
        <w:rPr>
          <w:rFonts w:ascii="Century Gothic" w:hAnsi="Century Gothic"/>
          <w:sz w:val="24"/>
          <w:szCs w:val="24"/>
        </w:rPr>
        <w:t xml:space="preserve">Hoy en día, la Dian tiene estadísticas agregadas de los contribuyentes donde es posible identificar lugar de residencia, tipo de ingresos etc. </w:t>
      </w:r>
      <w:r w:rsidRPr="00CD6088">
        <w:rPr>
          <w:rFonts w:ascii="Century Gothic" w:hAnsi="Century Gothic"/>
          <w:sz w:val="24"/>
          <w:szCs w:val="24"/>
        </w:rPr>
        <w:lastRenderedPageBreak/>
        <w:t>Agregando la casilla de sexo se permitiría tener la identificación agregada de mujeres, hombres y otro.</w:t>
      </w:r>
    </w:p>
    <w:p w14:paraId="59C7B241" w14:textId="77777777" w:rsidR="0065127B" w:rsidRDefault="0065127B" w:rsidP="0077167F">
      <w:pPr>
        <w:pStyle w:val="ListParagraph"/>
        <w:numPr>
          <w:ilvl w:val="0"/>
          <w:numId w:val="8"/>
        </w:numPr>
        <w:jc w:val="both"/>
        <w:rPr>
          <w:rFonts w:ascii="Century Gothic" w:hAnsi="Century Gothic"/>
          <w:sz w:val="24"/>
          <w:szCs w:val="24"/>
        </w:rPr>
      </w:pPr>
      <w:r>
        <w:rPr>
          <w:rFonts w:ascii="Century Gothic" w:hAnsi="Century Gothic"/>
          <w:sz w:val="24"/>
          <w:szCs w:val="24"/>
        </w:rPr>
        <w:t xml:space="preserve">La información de sexo sí es relevante para toma de decisiones de política pública. Por esta razón el Gobierno Nacional encabezado por Iván Duque ha creado trazadores de género en sus estadísticas. </w:t>
      </w:r>
    </w:p>
    <w:p w14:paraId="3440C284" w14:textId="3D51DB16" w:rsidR="0065127B" w:rsidRPr="0065127B" w:rsidRDefault="00CD6088" w:rsidP="0065127B">
      <w:pPr>
        <w:jc w:val="both"/>
        <w:rPr>
          <w:rFonts w:ascii="Century Gothic" w:hAnsi="Century Gothic"/>
          <w:sz w:val="24"/>
          <w:szCs w:val="24"/>
        </w:rPr>
      </w:pPr>
      <w:r w:rsidRPr="0065127B">
        <w:rPr>
          <w:rFonts w:ascii="Century Gothic" w:hAnsi="Century Gothic"/>
          <w:sz w:val="24"/>
          <w:szCs w:val="24"/>
        </w:rPr>
        <w:t xml:space="preserve"> </w:t>
      </w:r>
    </w:p>
    <w:p w14:paraId="33731E1E" w14:textId="77777777" w:rsidR="00CD6088" w:rsidRDefault="0065127B" w:rsidP="00CD6088">
      <w:pPr>
        <w:jc w:val="both"/>
        <w:rPr>
          <w:rFonts w:ascii="Century Gothic" w:hAnsi="Century Gothic"/>
          <w:b/>
          <w:sz w:val="24"/>
          <w:szCs w:val="24"/>
        </w:rPr>
      </w:pPr>
      <w:r>
        <w:rPr>
          <w:rFonts w:ascii="Century Gothic" w:hAnsi="Century Gothic"/>
          <w:b/>
          <w:sz w:val="24"/>
          <w:szCs w:val="24"/>
        </w:rPr>
        <w:t>Concepto fiscal</w:t>
      </w:r>
    </w:p>
    <w:p w14:paraId="62572868" w14:textId="77777777" w:rsidR="0065127B" w:rsidRPr="0065127B" w:rsidRDefault="0065127B" w:rsidP="00CD6088">
      <w:pPr>
        <w:jc w:val="both"/>
        <w:rPr>
          <w:rFonts w:ascii="Century Gothic" w:hAnsi="Century Gothic"/>
          <w:sz w:val="24"/>
          <w:szCs w:val="24"/>
        </w:rPr>
      </w:pPr>
      <w:r>
        <w:rPr>
          <w:rFonts w:ascii="Century Gothic" w:hAnsi="Century Gothic"/>
          <w:sz w:val="24"/>
          <w:szCs w:val="24"/>
        </w:rPr>
        <w:t xml:space="preserve">Toda vez que este proyecto no tiene impacto fiscal, el concepto de aprobación Ministerio de Hacienda no es necesario para la aprobación del proyecto. </w:t>
      </w:r>
    </w:p>
    <w:p w14:paraId="44B610DF" w14:textId="77777777" w:rsidR="0065127B" w:rsidRDefault="0065127B" w:rsidP="00CD6088">
      <w:pPr>
        <w:jc w:val="both"/>
        <w:rPr>
          <w:rFonts w:ascii="Century Gothic" w:hAnsi="Century Gothic"/>
          <w:b/>
          <w:sz w:val="24"/>
          <w:szCs w:val="24"/>
        </w:rPr>
      </w:pPr>
    </w:p>
    <w:p w14:paraId="17B214DB" w14:textId="77777777" w:rsidR="00206465" w:rsidRPr="00CD6088" w:rsidRDefault="00206465" w:rsidP="00CD6088">
      <w:pPr>
        <w:jc w:val="both"/>
        <w:rPr>
          <w:rFonts w:ascii="Century Gothic" w:hAnsi="Century Gothic"/>
          <w:b/>
          <w:sz w:val="24"/>
          <w:szCs w:val="24"/>
        </w:rPr>
      </w:pPr>
      <w:r w:rsidRPr="00CD6088">
        <w:rPr>
          <w:rFonts w:ascii="Century Gothic" w:hAnsi="Century Gothic"/>
          <w:b/>
          <w:sz w:val="24"/>
          <w:szCs w:val="24"/>
        </w:rPr>
        <w:t>Posibles causales de impedimentos para el debate</w:t>
      </w:r>
    </w:p>
    <w:p w14:paraId="25D6C0DE" w14:textId="77777777" w:rsidR="00D702F7" w:rsidRPr="00206465" w:rsidRDefault="00206465" w:rsidP="00206465">
      <w:pPr>
        <w:jc w:val="both"/>
        <w:rPr>
          <w:rFonts w:ascii="Century Gothic" w:hAnsi="Century Gothic"/>
          <w:sz w:val="24"/>
          <w:szCs w:val="24"/>
        </w:rPr>
      </w:pPr>
      <w:r>
        <w:rPr>
          <w:rFonts w:ascii="Century Gothic" w:hAnsi="Century Gothic"/>
          <w:sz w:val="24"/>
          <w:szCs w:val="24"/>
        </w:rPr>
        <w:t xml:space="preserve">Según la normativa colombiana un congresista debe declararse impedido en caso de tener un conflicto de interés en un proyecto de ley. Sin emargo, ningún congresistas, ni hombre ni mujer, se vería beneficiado por este proyecto toda vez que se permite la generación de estadísticas a nivel agregado en el país. </w:t>
      </w:r>
    </w:p>
    <w:p w14:paraId="3AB1DE0A" w14:textId="77777777" w:rsidR="0065127B" w:rsidRPr="0065127B" w:rsidRDefault="0065127B" w:rsidP="00CB2B85">
      <w:pPr>
        <w:spacing w:line="360" w:lineRule="auto"/>
        <w:jc w:val="both"/>
        <w:rPr>
          <w:rFonts w:ascii="Century Gothic" w:hAnsi="Century Gothic" w:cs="Arial"/>
          <w:b/>
          <w:color w:val="000000" w:themeColor="text1"/>
          <w:sz w:val="24"/>
          <w:szCs w:val="24"/>
        </w:rPr>
      </w:pPr>
    </w:p>
    <w:p w14:paraId="549FF3DB" w14:textId="77777777" w:rsidR="00F42260" w:rsidRPr="00CB2B85" w:rsidRDefault="00F42260" w:rsidP="00CB2B85">
      <w:pPr>
        <w:spacing w:line="360" w:lineRule="auto"/>
        <w:jc w:val="both"/>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 xml:space="preserve">Modificaciones al Proyecto de Ley </w:t>
      </w:r>
    </w:p>
    <w:tbl>
      <w:tblPr>
        <w:tblStyle w:val="TableGrid"/>
        <w:tblW w:w="0" w:type="auto"/>
        <w:tblLook w:val="04A0" w:firstRow="1" w:lastRow="0" w:firstColumn="1" w:lastColumn="0" w:noHBand="0" w:noVBand="1"/>
      </w:tblPr>
      <w:tblGrid>
        <w:gridCol w:w="4414"/>
        <w:gridCol w:w="4414"/>
      </w:tblGrid>
      <w:tr w:rsidR="00BC4474" w:rsidRPr="00CB2B85" w14:paraId="3A6A3189" w14:textId="77777777" w:rsidTr="00BC4474">
        <w:tc>
          <w:tcPr>
            <w:tcW w:w="4414" w:type="dxa"/>
          </w:tcPr>
          <w:p w14:paraId="175B0AAD" w14:textId="77777777" w:rsidR="00BC4474" w:rsidRPr="00CB2B85" w:rsidRDefault="00BC4474" w:rsidP="00CB2B85">
            <w:pPr>
              <w:spacing w:line="360" w:lineRule="auto"/>
              <w:jc w:val="center"/>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Texto original</w:t>
            </w:r>
          </w:p>
        </w:tc>
        <w:tc>
          <w:tcPr>
            <w:tcW w:w="4414" w:type="dxa"/>
          </w:tcPr>
          <w:p w14:paraId="1AB55AD4" w14:textId="77777777" w:rsidR="00BC4474" w:rsidRPr="00CB2B85" w:rsidRDefault="00BC4474" w:rsidP="00CB2B85">
            <w:pPr>
              <w:spacing w:line="360" w:lineRule="auto"/>
              <w:jc w:val="center"/>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Proposición para primer debate</w:t>
            </w:r>
          </w:p>
        </w:tc>
      </w:tr>
      <w:tr w:rsidR="00BC4474" w:rsidRPr="00CB2B85" w14:paraId="27CEF8E4" w14:textId="77777777" w:rsidTr="00BC4474">
        <w:tc>
          <w:tcPr>
            <w:tcW w:w="4414" w:type="dxa"/>
          </w:tcPr>
          <w:p w14:paraId="16FB294B" w14:textId="77777777" w:rsidR="00BC4474" w:rsidRPr="00CB2B85" w:rsidRDefault="00BC4474"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b/>
                <w:color w:val="000000" w:themeColor="text1"/>
                <w:sz w:val="24"/>
                <w:szCs w:val="24"/>
              </w:rPr>
              <w:t>Artículo 2.</w:t>
            </w:r>
            <w:r w:rsidRPr="00CB2B85">
              <w:rPr>
                <w:rFonts w:ascii="Century Gothic" w:hAnsi="Century Gothic" w:cs="Arial"/>
                <w:color w:val="000000" w:themeColor="text1"/>
                <w:sz w:val="24"/>
                <w:szCs w:val="24"/>
              </w:rPr>
              <w:t xml:space="preserve"> Agréguese un parágrafo nuevo a 555-2 Registro Único Tributario-RUT el cual quedará así:</w:t>
            </w:r>
          </w:p>
          <w:p w14:paraId="3C6BD187" w14:textId="77777777" w:rsidR="00BC4474" w:rsidRPr="00CB2B85" w:rsidRDefault="00BC4474" w:rsidP="00CB2B85">
            <w:pPr>
              <w:spacing w:line="360" w:lineRule="auto"/>
              <w:jc w:val="both"/>
              <w:rPr>
                <w:rFonts w:ascii="Century Gothic" w:hAnsi="Century Gothic" w:cs="Arial"/>
                <w:color w:val="000000" w:themeColor="text1"/>
                <w:sz w:val="24"/>
                <w:szCs w:val="24"/>
              </w:rPr>
            </w:pPr>
          </w:p>
          <w:p w14:paraId="0F51F320" w14:textId="77777777" w:rsidR="00877512" w:rsidRPr="00CB2B85" w:rsidRDefault="00877512" w:rsidP="00CB2B85">
            <w:pPr>
              <w:spacing w:line="360" w:lineRule="auto"/>
              <w:jc w:val="both"/>
              <w:rPr>
                <w:rFonts w:ascii="Century Gothic" w:hAnsi="Century Gothic" w:cs="Arial"/>
                <w:color w:val="000000" w:themeColor="text1"/>
                <w:sz w:val="24"/>
                <w:szCs w:val="24"/>
              </w:rPr>
            </w:pPr>
          </w:p>
          <w:p w14:paraId="55E8C640" w14:textId="77777777" w:rsidR="00877512" w:rsidRPr="00CB2B85" w:rsidRDefault="00877512" w:rsidP="00CB2B85">
            <w:pPr>
              <w:spacing w:line="360" w:lineRule="auto"/>
              <w:jc w:val="both"/>
              <w:rPr>
                <w:rFonts w:ascii="Century Gothic" w:hAnsi="Century Gothic" w:cs="Arial"/>
                <w:color w:val="000000" w:themeColor="text1"/>
                <w:sz w:val="24"/>
                <w:szCs w:val="24"/>
              </w:rPr>
            </w:pPr>
          </w:p>
          <w:p w14:paraId="5E0A64DB" w14:textId="77777777" w:rsidR="00BC4474" w:rsidRPr="00CB2B85" w:rsidRDefault="00BC4474"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lastRenderedPageBreak/>
              <w:t>Parágrafo 5. La Dirección de Impuestos y Aduanas Nacionales determinará el formulario de inscripción y actualización del Registro Único Tributario. El formulario de declaración de renta de personas naturales deberá contar con una casilla donde la persona natural contribuyente pueda registrar su género. Esta casilla contará con las opciones “Femenino”, “Masculino” y “Otro”. La Dirección de Impuestos y aduanas Nacionales actualizará de oficio los RUT ya expedidos que no contengan la identificación del género de las personas naturales, apoyándose para esta finalidad en la información de la Registraduría Nacional del Estado Civil.</w:t>
            </w:r>
          </w:p>
        </w:tc>
        <w:tc>
          <w:tcPr>
            <w:tcW w:w="4414" w:type="dxa"/>
          </w:tcPr>
          <w:p w14:paraId="4FCC1D12" w14:textId="77777777" w:rsidR="00BC4474" w:rsidRPr="00CB2B85" w:rsidRDefault="00BC4474"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b/>
                <w:color w:val="000000" w:themeColor="text1"/>
                <w:sz w:val="24"/>
                <w:szCs w:val="24"/>
              </w:rPr>
              <w:lastRenderedPageBreak/>
              <w:t>Artículo 2.</w:t>
            </w:r>
            <w:r w:rsidRPr="00CB2B85">
              <w:rPr>
                <w:rFonts w:ascii="Century Gothic" w:hAnsi="Century Gothic" w:cs="Arial"/>
                <w:color w:val="000000" w:themeColor="text1"/>
                <w:sz w:val="24"/>
                <w:szCs w:val="24"/>
              </w:rPr>
              <w:t xml:space="preserve"> Agréguese un parágrafo nuevo </w:t>
            </w:r>
            <w:r w:rsidRPr="00CB2B85">
              <w:rPr>
                <w:rFonts w:ascii="Century Gothic" w:hAnsi="Century Gothic" w:cs="Arial"/>
                <w:b/>
                <w:color w:val="000000" w:themeColor="text1"/>
                <w:sz w:val="24"/>
                <w:szCs w:val="24"/>
                <w:u w:val="single"/>
              </w:rPr>
              <w:t>al artículo 555-2 del Estatuto Tributario Nacional acerca del</w:t>
            </w:r>
            <w:r w:rsidRPr="00CB2B85">
              <w:rPr>
                <w:rFonts w:ascii="Century Gothic" w:hAnsi="Century Gothic" w:cs="Arial"/>
                <w:color w:val="000000" w:themeColor="text1"/>
                <w:sz w:val="24"/>
                <w:szCs w:val="24"/>
              </w:rPr>
              <w:t xml:space="preserve"> Registro Único Tributario-RUT, el cual quedará así:</w:t>
            </w:r>
          </w:p>
          <w:p w14:paraId="64840A83" w14:textId="77777777" w:rsidR="00BC4474" w:rsidRPr="00CB2B85" w:rsidRDefault="00BC4474" w:rsidP="00CB2B85">
            <w:pPr>
              <w:spacing w:line="360" w:lineRule="auto"/>
              <w:jc w:val="both"/>
              <w:rPr>
                <w:rFonts w:ascii="Century Gothic" w:hAnsi="Century Gothic" w:cs="Arial"/>
                <w:color w:val="000000" w:themeColor="text1"/>
                <w:sz w:val="24"/>
                <w:szCs w:val="24"/>
              </w:rPr>
            </w:pPr>
          </w:p>
          <w:p w14:paraId="38942EAA" w14:textId="77777777" w:rsidR="00BC4474" w:rsidRPr="00CB2B85" w:rsidRDefault="00BC4474"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lastRenderedPageBreak/>
              <w:t xml:space="preserve">Parágrafo 5. La Dirección de Impuestos y Aduanas Nacionales determinará el formulario de inscripción y actualización del Registro Único Tributario. El formulario de declaración de renta de personas naturales deberá contar con una casilla donde la persona natural contribuyente pueda registrar su </w:t>
            </w:r>
            <w:r w:rsidR="00D702F7">
              <w:rPr>
                <w:rFonts w:ascii="Century Gothic" w:hAnsi="Century Gothic" w:cs="Arial"/>
                <w:b/>
                <w:color w:val="000000" w:themeColor="text1"/>
                <w:sz w:val="24"/>
                <w:szCs w:val="24"/>
                <w:u w:val="single"/>
              </w:rPr>
              <w:t xml:space="preserve">sexo </w:t>
            </w:r>
            <w:r w:rsidRPr="00D702F7">
              <w:rPr>
                <w:rFonts w:ascii="Century Gothic" w:hAnsi="Century Gothic" w:cs="Arial"/>
                <w:strike/>
                <w:color w:val="000000" w:themeColor="text1"/>
                <w:sz w:val="24"/>
                <w:szCs w:val="24"/>
              </w:rPr>
              <w:t>género</w:t>
            </w:r>
            <w:r w:rsidRPr="00CB2B85">
              <w:rPr>
                <w:rFonts w:ascii="Century Gothic" w:hAnsi="Century Gothic" w:cs="Arial"/>
                <w:color w:val="000000" w:themeColor="text1"/>
                <w:sz w:val="24"/>
                <w:szCs w:val="24"/>
              </w:rPr>
              <w:t>. Esta casilla contará con las opciones “Femenino”, “Masculino” y “Otro”. La Dirección de Impuestos y aduanas Nacionales actualizará de oficio los RUT ya expedidos que no contengan la identificación del género de las personas naturales</w:t>
            </w:r>
            <w:r w:rsidR="00D702F7">
              <w:rPr>
                <w:rFonts w:ascii="Century Gothic" w:hAnsi="Century Gothic" w:cs="Arial"/>
                <w:color w:val="000000" w:themeColor="text1"/>
                <w:sz w:val="24"/>
                <w:szCs w:val="24"/>
              </w:rPr>
              <w:t xml:space="preserve"> </w:t>
            </w:r>
            <w:r w:rsidR="00D702F7" w:rsidRPr="00D702F7">
              <w:rPr>
                <w:rFonts w:ascii="Century Gothic" w:hAnsi="Century Gothic" w:cs="Arial"/>
                <w:b/>
                <w:color w:val="000000" w:themeColor="text1"/>
                <w:sz w:val="24"/>
                <w:szCs w:val="24"/>
                <w:u w:val="single"/>
              </w:rPr>
              <w:t>desde la vigencia fiscal del año 2000</w:t>
            </w:r>
            <w:r w:rsidRPr="00CB2B85">
              <w:rPr>
                <w:rFonts w:ascii="Century Gothic" w:hAnsi="Century Gothic" w:cs="Arial"/>
                <w:color w:val="000000" w:themeColor="text1"/>
                <w:sz w:val="24"/>
                <w:szCs w:val="24"/>
              </w:rPr>
              <w:t xml:space="preserve">, apoyándose para esta finalidad en la información de la Registraduría Nacional del Estado Civil. </w:t>
            </w:r>
          </w:p>
        </w:tc>
      </w:tr>
    </w:tbl>
    <w:p w14:paraId="4A2F0118" w14:textId="77777777" w:rsidR="00BC4474" w:rsidRPr="00CB2B85" w:rsidRDefault="00BC4474" w:rsidP="00CB2B85">
      <w:pPr>
        <w:spacing w:line="360" w:lineRule="auto"/>
        <w:jc w:val="both"/>
        <w:rPr>
          <w:rFonts w:ascii="Century Gothic" w:hAnsi="Century Gothic" w:cs="Arial"/>
          <w:b/>
          <w:color w:val="000000" w:themeColor="text1"/>
          <w:sz w:val="24"/>
          <w:szCs w:val="24"/>
        </w:rPr>
      </w:pPr>
    </w:p>
    <w:p w14:paraId="0849CD63" w14:textId="77777777" w:rsidR="0004417B" w:rsidRDefault="0004417B" w:rsidP="00CB2B85">
      <w:pPr>
        <w:spacing w:line="360" w:lineRule="auto"/>
        <w:jc w:val="both"/>
        <w:rPr>
          <w:rFonts w:ascii="Century Gothic" w:hAnsi="Century Gothic" w:cs="Arial"/>
          <w:b/>
          <w:color w:val="000000" w:themeColor="text1"/>
          <w:sz w:val="24"/>
          <w:szCs w:val="24"/>
        </w:rPr>
      </w:pPr>
    </w:p>
    <w:p w14:paraId="12591660" w14:textId="77777777" w:rsidR="00D702F7" w:rsidRDefault="00D702F7" w:rsidP="00CB2B85">
      <w:pPr>
        <w:spacing w:line="360" w:lineRule="auto"/>
        <w:jc w:val="both"/>
        <w:rPr>
          <w:rFonts w:ascii="Century Gothic" w:hAnsi="Century Gothic" w:cs="Arial"/>
          <w:b/>
          <w:color w:val="000000" w:themeColor="text1"/>
          <w:sz w:val="24"/>
          <w:szCs w:val="24"/>
        </w:rPr>
      </w:pPr>
    </w:p>
    <w:p w14:paraId="39E422C6" w14:textId="77777777" w:rsidR="00D702F7" w:rsidRPr="00CB2B85" w:rsidRDefault="00D702F7" w:rsidP="00CB2B85">
      <w:pPr>
        <w:spacing w:line="360" w:lineRule="auto"/>
        <w:jc w:val="both"/>
        <w:rPr>
          <w:rFonts w:ascii="Century Gothic" w:hAnsi="Century Gothic" w:cs="Arial"/>
          <w:b/>
          <w:color w:val="000000" w:themeColor="text1"/>
          <w:sz w:val="24"/>
          <w:szCs w:val="24"/>
        </w:rPr>
      </w:pPr>
    </w:p>
    <w:p w14:paraId="0016CE64" w14:textId="77777777" w:rsidR="0004417B" w:rsidRPr="00CB2B85" w:rsidRDefault="0004417B" w:rsidP="00CB2B85">
      <w:pPr>
        <w:spacing w:line="360" w:lineRule="auto"/>
        <w:jc w:val="center"/>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Proposición</w:t>
      </w:r>
    </w:p>
    <w:p w14:paraId="05F8783F" w14:textId="3C20C5AE" w:rsidR="0004417B" w:rsidRPr="00CB2B85" w:rsidRDefault="0004417B" w:rsidP="00CB2B85">
      <w:pPr>
        <w:spacing w:line="360" w:lineRule="auto"/>
        <w:jc w:val="both"/>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 xml:space="preserve">Solicito a la Comisión Tercera de la Cámara de Representantes dar primer debate al Proyecto de Ley </w:t>
      </w:r>
      <w:r w:rsidR="0065127B">
        <w:rPr>
          <w:rFonts w:ascii="Century Gothic" w:hAnsi="Century Gothic" w:cs="Arial"/>
          <w:color w:val="000000" w:themeColor="text1"/>
          <w:sz w:val="24"/>
          <w:szCs w:val="24"/>
        </w:rPr>
        <w:t>256</w:t>
      </w:r>
      <w:r w:rsidRPr="00CB2B85">
        <w:rPr>
          <w:rFonts w:ascii="Century Gothic" w:hAnsi="Century Gothic" w:cs="Arial"/>
          <w:color w:val="000000" w:themeColor="text1"/>
          <w:sz w:val="24"/>
          <w:szCs w:val="24"/>
        </w:rPr>
        <w:t xml:space="preserve"> de 2020 Cámara </w:t>
      </w:r>
      <w:r w:rsidR="00EC13D4" w:rsidRPr="00EC13D4">
        <w:rPr>
          <w:rFonts w:ascii="Century Gothic" w:hAnsi="Century Gothic" w:cs="Arial"/>
          <w:color w:val="000000" w:themeColor="text1"/>
          <w:sz w:val="24"/>
          <w:szCs w:val="24"/>
        </w:rPr>
        <w:t>“Por medio del cual se crean herramientas tributarias para la lucha contra la inequidad de género”</w:t>
      </w:r>
    </w:p>
    <w:p w14:paraId="2829B8EB" w14:textId="77777777" w:rsidR="0004417B" w:rsidRPr="00CB2B85" w:rsidRDefault="0004417B" w:rsidP="00CB2B85">
      <w:pPr>
        <w:spacing w:line="360" w:lineRule="auto"/>
        <w:jc w:val="both"/>
        <w:rPr>
          <w:rFonts w:ascii="Century Gothic" w:hAnsi="Century Gothic" w:cs="Arial"/>
          <w:color w:val="000000" w:themeColor="text1"/>
          <w:sz w:val="24"/>
          <w:szCs w:val="24"/>
        </w:rPr>
      </w:pPr>
    </w:p>
    <w:p w14:paraId="2AF7351C" w14:textId="77777777" w:rsidR="00F4337A" w:rsidRPr="004D25CA" w:rsidRDefault="00F4337A" w:rsidP="00F4337A">
      <w:pPr>
        <w:jc w:val="center"/>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noProof/>
          <w:color w:val="000000" w:themeColor="text1"/>
          <w:sz w:val="24"/>
          <w:szCs w:val="24"/>
          <w:lang w:val="es-ES_tradnl" w:eastAsia="es-ES_tradnl"/>
        </w:rPr>
        <w:drawing>
          <wp:inline distT="0" distB="0" distL="0" distR="0" wp14:anchorId="628D23F9" wp14:editId="5BAA0470">
            <wp:extent cx="1258105" cy="704444"/>
            <wp:effectExtent l="0" t="0" r="12065" b="6985"/>
            <wp:docPr id="6" name="Imagen 9" descr="../../../../../Downloads/Firma%20David%20Rac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rma%20David%20Racer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7600" cy="715360"/>
                    </a:xfrm>
                    <a:prstGeom prst="rect">
                      <a:avLst/>
                    </a:prstGeom>
                    <a:noFill/>
                    <a:ln>
                      <a:noFill/>
                    </a:ln>
                  </pic:spPr>
                </pic:pic>
              </a:graphicData>
            </a:graphic>
          </wp:inline>
        </w:drawing>
      </w:r>
    </w:p>
    <w:p w14:paraId="68BD4704" w14:textId="247915A1" w:rsidR="00F4337A" w:rsidRPr="004D25CA" w:rsidRDefault="00F4337A" w:rsidP="00F4337A">
      <w:pPr>
        <w:jc w:val="center"/>
        <w:rPr>
          <w:rFonts w:ascii="Century Gothic" w:eastAsia="Times New Roman" w:hAnsi="Century Gothic" w:cs="Arial"/>
          <w:b/>
          <w:color w:val="000000" w:themeColor="text1"/>
          <w:sz w:val="24"/>
          <w:szCs w:val="24"/>
          <w:lang w:val="es-ES" w:eastAsia="es-ES"/>
        </w:rPr>
      </w:pPr>
      <w:r w:rsidRPr="004D25CA">
        <w:rPr>
          <w:rFonts w:ascii="Century Gothic" w:eastAsia="Times New Roman" w:hAnsi="Century Gothic" w:cs="Arial"/>
          <w:b/>
          <w:color w:val="000000" w:themeColor="text1"/>
          <w:sz w:val="24"/>
          <w:szCs w:val="24"/>
          <w:lang w:val="es-ES" w:eastAsia="es-ES"/>
        </w:rPr>
        <w:t>DAVID RACERO MAYORCA</w:t>
      </w:r>
    </w:p>
    <w:p w14:paraId="405A481C" w14:textId="77777777" w:rsidR="00F4337A" w:rsidRPr="004D25CA" w:rsidRDefault="00F4337A" w:rsidP="00F4337A">
      <w:pPr>
        <w:jc w:val="center"/>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Representante a la Cámara por Bogotá</w:t>
      </w:r>
    </w:p>
    <w:p w14:paraId="40B752B2" w14:textId="77777777" w:rsidR="00F25F22" w:rsidRPr="00CB2B85" w:rsidRDefault="00F25F22" w:rsidP="00CB2B85">
      <w:pPr>
        <w:spacing w:line="360" w:lineRule="auto"/>
        <w:jc w:val="both"/>
        <w:rPr>
          <w:rFonts w:ascii="Century Gothic" w:hAnsi="Century Gothic" w:cs="Arial"/>
          <w:b/>
          <w:color w:val="000000" w:themeColor="text1"/>
          <w:sz w:val="24"/>
          <w:szCs w:val="24"/>
        </w:rPr>
      </w:pPr>
    </w:p>
    <w:p w14:paraId="53EC4D21" w14:textId="77777777" w:rsidR="0004417B" w:rsidRPr="00CB2B85" w:rsidRDefault="0004417B" w:rsidP="00CB2B85">
      <w:pPr>
        <w:spacing w:line="360" w:lineRule="auto"/>
        <w:jc w:val="both"/>
        <w:rPr>
          <w:rFonts w:ascii="Century Gothic" w:hAnsi="Century Gothic" w:cs="Arial"/>
          <w:b/>
          <w:color w:val="000000" w:themeColor="text1"/>
          <w:sz w:val="24"/>
          <w:szCs w:val="24"/>
        </w:rPr>
      </w:pPr>
    </w:p>
    <w:p w14:paraId="2B57DC5B" w14:textId="77777777" w:rsidR="0004417B" w:rsidRPr="00CB2B85" w:rsidRDefault="0004417B" w:rsidP="00CB2B85">
      <w:pPr>
        <w:spacing w:line="360" w:lineRule="auto"/>
        <w:jc w:val="both"/>
        <w:rPr>
          <w:rFonts w:ascii="Century Gothic" w:hAnsi="Century Gothic" w:cs="Arial"/>
          <w:b/>
          <w:color w:val="000000" w:themeColor="text1"/>
          <w:sz w:val="24"/>
          <w:szCs w:val="24"/>
        </w:rPr>
      </w:pPr>
    </w:p>
    <w:p w14:paraId="64AD6214" w14:textId="77777777" w:rsidR="00150BD2" w:rsidRPr="00CB2B85" w:rsidRDefault="00150BD2" w:rsidP="00CB2B85">
      <w:pPr>
        <w:spacing w:line="360" w:lineRule="auto"/>
        <w:jc w:val="both"/>
        <w:rPr>
          <w:rFonts w:ascii="Century Gothic" w:hAnsi="Century Gothic" w:cs="Arial"/>
          <w:b/>
          <w:color w:val="000000" w:themeColor="text1"/>
          <w:sz w:val="24"/>
          <w:szCs w:val="24"/>
        </w:rPr>
      </w:pPr>
    </w:p>
    <w:p w14:paraId="6A987CFE" w14:textId="77777777" w:rsidR="00150BD2" w:rsidRPr="00CB2B85" w:rsidRDefault="00150BD2" w:rsidP="00CB2B85">
      <w:pPr>
        <w:spacing w:line="360" w:lineRule="auto"/>
        <w:jc w:val="both"/>
        <w:rPr>
          <w:rFonts w:ascii="Century Gothic" w:hAnsi="Century Gothic" w:cs="Arial"/>
          <w:b/>
          <w:color w:val="000000" w:themeColor="text1"/>
          <w:sz w:val="24"/>
          <w:szCs w:val="24"/>
        </w:rPr>
      </w:pPr>
    </w:p>
    <w:p w14:paraId="77001368" w14:textId="77777777" w:rsidR="00150BD2" w:rsidRDefault="00150BD2" w:rsidP="00CB2B85">
      <w:pPr>
        <w:spacing w:line="360" w:lineRule="auto"/>
        <w:jc w:val="both"/>
        <w:rPr>
          <w:rFonts w:ascii="Century Gothic" w:hAnsi="Century Gothic" w:cs="Arial"/>
          <w:b/>
          <w:color w:val="000000" w:themeColor="text1"/>
          <w:sz w:val="24"/>
          <w:szCs w:val="24"/>
        </w:rPr>
      </w:pPr>
    </w:p>
    <w:p w14:paraId="58F575A4" w14:textId="77777777" w:rsidR="00D702F7" w:rsidRDefault="00D702F7" w:rsidP="00CB2B85">
      <w:pPr>
        <w:spacing w:line="360" w:lineRule="auto"/>
        <w:jc w:val="both"/>
        <w:rPr>
          <w:rFonts w:ascii="Century Gothic" w:hAnsi="Century Gothic" w:cs="Arial"/>
          <w:b/>
          <w:color w:val="000000" w:themeColor="text1"/>
          <w:sz w:val="24"/>
          <w:szCs w:val="24"/>
        </w:rPr>
      </w:pPr>
    </w:p>
    <w:p w14:paraId="5BAEEDF7" w14:textId="77777777" w:rsidR="00D702F7" w:rsidRPr="00CB2B85" w:rsidRDefault="00D702F7" w:rsidP="00CB2B85">
      <w:pPr>
        <w:spacing w:line="360" w:lineRule="auto"/>
        <w:jc w:val="both"/>
        <w:rPr>
          <w:rFonts w:ascii="Century Gothic" w:hAnsi="Century Gothic" w:cs="Arial"/>
          <w:b/>
          <w:color w:val="000000" w:themeColor="text1"/>
          <w:sz w:val="24"/>
          <w:szCs w:val="24"/>
        </w:rPr>
      </w:pPr>
    </w:p>
    <w:p w14:paraId="60EC1151" w14:textId="77777777" w:rsidR="00150BD2" w:rsidRPr="00CB2B85" w:rsidRDefault="00150BD2" w:rsidP="00CB2B85">
      <w:pPr>
        <w:spacing w:line="360" w:lineRule="auto"/>
        <w:jc w:val="both"/>
        <w:rPr>
          <w:rFonts w:ascii="Century Gothic" w:hAnsi="Century Gothic" w:cs="Arial"/>
          <w:b/>
          <w:color w:val="000000" w:themeColor="text1"/>
          <w:sz w:val="24"/>
          <w:szCs w:val="24"/>
        </w:rPr>
      </w:pPr>
    </w:p>
    <w:p w14:paraId="5B61428A" w14:textId="77777777" w:rsidR="00150BD2" w:rsidRPr="00CB2B85" w:rsidRDefault="00150BD2" w:rsidP="00CB2B85">
      <w:pPr>
        <w:spacing w:line="360" w:lineRule="auto"/>
        <w:jc w:val="both"/>
        <w:rPr>
          <w:rFonts w:ascii="Century Gothic" w:hAnsi="Century Gothic" w:cs="Arial"/>
          <w:b/>
          <w:color w:val="000000" w:themeColor="text1"/>
          <w:sz w:val="24"/>
          <w:szCs w:val="24"/>
        </w:rPr>
      </w:pPr>
    </w:p>
    <w:p w14:paraId="3AB9B0A0" w14:textId="77777777" w:rsidR="00D702F7" w:rsidRPr="00CB2B85" w:rsidRDefault="00D702F7" w:rsidP="00CB2B85">
      <w:pPr>
        <w:spacing w:line="360" w:lineRule="auto"/>
        <w:jc w:val="both"/>
        <w:rPr>
          <w:rFonts w:ascii="Century Gothic" w:hAnsi="Century Gothic" w:cs="Arial"/>
          <w:b/>
          <w:color w:val="000000" w:themeColor="text1"/>
          <w:sz w:val="24"/>
          <w:szCs w:val="24"/>
        </w:rPr>
      </w:pPr>
    </w:p>
    <w:p w14:paraId="00B9BFC6" w14:textId="77777777" w:rsidR="00F25F22" w:rsidRPr="00CB2B85" w:rsidRDefault="00F25F22" w:rsidP="00CB2B85">
      <w:pPr>
        <w:spacing w:line="360" w:lineRule="auto"/>
        <w:jc w:val="center"/>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Texto propuesto para primer debate</w:t>
      </w:r>
    </w:p>
    <w:p w14:paraId="70FEB3A4" w14:textId="77777777" w:rsidR="00F25F22" w:rsidRPr="00CB2B85" w:rsidRDefault="00F25F22" w:rsidP="00CB2B85">
      <w:pPr>
        <w:spacing w:line="360" w:lineRule="auto"/>
        <w:jc w:val="center"/>
        <w:rPr>
          <w:rFonts w:ascii="Century Gothic" w:hAnsi="Century Gothic" w:cs="Arial"/>
          <w:b/>
          <w:color w:val="000000" w:themeColor="text1"/>
          <w:sz w:val="24"/>
          <w:szCs w:val="24"/>
        </w:rPr>
      </w:pPr>
    </w:p>
    <w:p w14:paraId="763E9AEE" w14:textId="77777777" w:rsidR="00F25F22" w:rsidRPr="00CB2B85" w:rsidRDefault="00F25F22" w:rsidP="00CB2B85">
      <w:pPr>
        <w:spacing w:line="360" w:lineRule="auto"/>
        <w:jc w:val="center"/>
        <w:rPr>
          <w:rFonts w:ascii="Century Gothic" w:hAnsi="Century Gothic" w:cs="Arial"/>
          <w:b/>
          <w:color w:val="000000" w:themeColor="text1"/>
          <w:sz w:val="24"/>
          <w:szCs w:val="24"/>
        </w:rPr>
      </w:pPr>
      <w:r w:rsidRPr="00CB2B85">
        <w:rPr>
          <w:rFonts w:ascii="Century Gothic" w:hAnsi="Century Gothic" w:cs="Arial"/>
          <w:b/>
          <w:color w:val="000000" w:themeColor="text1"/>
          <w:sz w:val="24"/>
          <w:szCs w:val="24"/>
        </w:rPr>
        <w:t xml:space="preserve">Proyecto de ley Número </w:t>
      </w:r>
      <w:r w:rsidR="0065127B">
        <w:rPr>
          <w:rFonts w:ascii="Century Gothic" w:hAnsi="Century Gothic" w:cs="Arial"/>
          <w:b/>
          <w:color w:val="000000" w:themeColor="text1"/>
          <w:sz w:val="24"/>
          <w:szCs w:val="24"/>
        </w:rPr>
        <w:t>256</w:t>
      </w:r>
      <w:r w:rsidRPr="00CB2B85">
        <w:rPr>
          <w:rFonts w:ascii="Century Gothic" w:hAnsi="Century Gothic" w:cs="Arial"/>
          <w:b/>
          <w:color w:val="000000" w:themeColor="text1"/>
          <w:sz w:val="24"/>
          <w:szCs w:val="24"/>
        </w:rPr>
        <w:t xml:space="preserve"> de 2020</w:t>
      </w:r>
    </w:p>
    <w:p w14:paraId="5ACA87AF" w14:textId="77777777" w:rsidR="00F25F22" w:rsidRPr="00CB2B85" w:rsidRDefault="00F25F22" w:rsidP="00CB2B85">
      <w:pPr>
        <w:spacing w:line="360" w:lineRule="auto"/>
        <w:jc w:val="center"/>
        <w:rPr>
          <w:rFonts w:ascii="Century Gothic" w:hAnsi="Century Gothic" w:cs="Arial"/>
          <w:b/>
          <w:color w:val="000000" w:themeColor="text1"/>
          <w:sz w:val="24"/>
          <w:szCs w:val="24"/>
        </w:rPr>
      </w:pPr>
    </w:p>
    <w:p w14:paraId="228F3EC2" w14:textId="77777777" w:rsidR="00EC13D4" w:rsidRPr="00CB2B85" w:rsidRDefault="00EC13D4" w:rsidP="00EC13D4">
      <w:pPr>
        <w:spacing w:line="360" w:lineRule="auto"/>
        <w:jc w:val="center"/>
        <w:rPr>
          <w:rFonts w:ascii="Century Gothic" w:hAnsi="Century Gothic" w:cs="Arial"/>
          <w:color w:val="000000" w:themeColor="text1"/>
          <w:sz w:val="24"/>
          <w:szCs w:val="24"/>
        </w:rPr>
      </w:pPr>
      <w:r w:rsidRPr="00EC13D4">
        <w:rPr>
          <w:rFonts w:ascii="Century Gothic" w:hAnsi="Century Gothic" w:cs="Arial"/>
          <w:color w:val="000000" w:themeColor="text1"/>
          <w:sz w:val="24"/>
          <w:szCs w:val="24"/>
        </w:rPr>
        <w:t>“Por medio del cual se crean herramientas tributarias para la lucha contra la inequidad de género”</w:t>
      </w:r>
    </w:p>
    <w:p w14:paraId="4C681ED6" w14:textId="77777777" w:rsidR="00F25F22" w:rsidRPr="00CB2B85" w:rsidRDefault="00F25F22" w:rsidP="00CB2B85">
      <w:pPr>
        <w:spacing w:line="360" w:lineRule="auto"/>
        <w:jc w:val="both"/>
        <w:rPr>
          <w:rFonts w:ascii="Century Gothic" w:hAnsi="Century Gothic" w:cs="Arial"/>
          <w:color w:val="000000" w:themeColor="text1"/>
          <w:sz w:val="24"/>
          <w:szCs w:val="24"/>
        </w:rPr>
      </w:pPr>
    </w:p>
    <w:p w14:paraId="5173CC09" w14:textId="77777777" w:rsidR="00F25F22" w:rsidRPr="00CB2B85" w:rsidRDefault="00F25F22" w:rsidP="00CB2B85">
      <w:pPr>
        <w:spacing w:line="360" w:lineRule="auto"/>
        <w:jc w:val="center"/>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El Congreso de Colombia</w:t>
      </w:r>
    </w:p>
    <w:p w14:paraId="62675C5E" w14:textId="77777777" w:rsidR="00F25F22" w:rsidRPr="00CB2B85" w:rsidRDefault="00F25F22" w:rsidP="00CB2B85">
      <w:pPr>
        <w:spacing w:line="360" w:lineRule="auto"/>
        <w:jc w:val="center"/>
        <w:rPr>
          <w:rFonts w:ascii="Century Gothic" w:hAnsi="Century Gothic" w:cs="Arial"/>
          <w:color w:val="000000" w:themeColor="text1"/>
          <w:sz w:val="24"/>
          <w:szCs w:val="24"/>
        </w:rPr>
      </w:pPr>
      <w:r w:rsidRPr="00CB2B85">
        <w:rPr>
          <w:rFonts w:ascii="Century Gothic" w:hAnsi="Century Gothic" w:cs="Arial"/>
          <w:color w:val="000000" w:themeColor="text1"/>
          <w:sz w:val="24"/>
          <w:szCs w:val="24"/>
        </w:rPr>
        <w:t>Decreta</w:t>
      </w:r>
    </w:p>
    <w:p w14:paraId="324F7FF4" w14:textId="77777777" w:rsidR="00F25F22" w:rsidRPr="00CB2B85" w:rsidRDefault="00F25F22" w:rsidP="00CB2B85">
      <w:pPr>
        <w:spacing w:line="360" w:lineRule="auto"/>
        <w:jc w:val="both"/>
        <w:rPr>
          <w:rFonts w:ascii="Century Gothic" w:hAnsi="Century Gothic"/>
          <w:color w:val="000000" w:themeColor="text1"/>
          <w:sz w:val="24"/>
          <w:szCs w:val="24"/>
        </w:rPr>
      </w:pPr>
    </w:p>
    <w:p w14:paraId="2EEC8C82" w14:textId="77777777" w:rsidR="00F25F22" w:rsidRPr="00CB2B85" w:rsidRDefault="00F25F22" w:rsidP="00CB2B85">
      <w:pPr>
        <w:spacing w:line="360" w:lineRule="auto"/>
        <w:jc w:val="both"/>
        <w:rPr>
          <w:rFonts w:ascii="Century Gothic" w:hAnsi="Century Gothic"/>
          <w:color w:val="000000" w:themeColor="text1"/>
          <w:sz w:val="24"/>
          <w:szCs w:val="24"/>
        </w:rPr>
      </w:pPr>
      <w:r w:rsidRPr="00CB2B85">
        <w:rPr>
          <w:rFonts w:ascii="Century Gothic" w:hAnsi="Century Gothic"/>
          <w:color w:val="000000" w:themeColor="text1"/>
          <w:sz w:val="24"/>
          <w:szCs w:val="24"/>
        </w:rPr>
        <w:t xml:space="preserve"> </w:t>
      </w:r>
      <w:r w:rsidRPr="00CB2B85">
        <w:rPr>
          <w:rFonts w:ascii="Century Gothic" w:hAnsi="Century Gothic"/>
          <w:b/>
          <w:color w:val="000000" w:themeColor="text1"/>
          <w:sz w:val="24"/>
          <w:szCs w:val="24"/>
        </w:rPr>
        <w:t xml:space="preserve">Artículo 1. Objeto. </w:t>
      </w:r>
      <w:r w:rsidRPr="00CB2B85">
        <w:rPr>
          <w:rFonts w:ascii="Century Gothic" w:hAnsi="Century Gothic"/>
          <w:color w:val="000000" w:themeColor="text1"/>
          <w:sz w:val="24"/>
          <w:szCs w:val="24"/>
        </w:rPr>
        <w:t>El presente proyecto de ley tiene como objeto implementar una casilla de género en el formulario de declaración de renta de personas naturales para mejorar los diagnósticos existentes relacionados con la desigualdad de género.</w:t>
      </w:r>
    </w:p>
    <w:p w14:paraId="0A9A32F3" w14:textId="6857369E" w:rsidR="00F4337A" w:rsidRPr="00CB2B85" w:rsidRDefault="00F4337A" w:rsidP="00F4337A">
      <w:pPr>
        <w:spacing w:line="360" w:lineRule="auto"/>
        <w:jc w:val="both"/>
        <w:rPr>
          <w:rFonts w:ascii="Century Gothic" w:hAnsi="Century Gothic" w:cs="Arial"/>
          <w:color w:val="000000" w:themeColor="text1"/>
          <w:sz w:val="24"/>
          <w:szCs w:val="24"/>
        </w:rPr>
      </w:pPr>
      <w:r w:rsidRPr="00CB2B85">
        <w:rPr>
          <w:rFonts w:ascii="Century Gothic" w:hAnsi="Century Gothic" w:cs="Arial"/>
          <w:b/>
          <w:color w:val="000000" w:themeColor="text1"/>
          <w:sz w:val="24"/>
          <w:szCs w:val="24"/>
        </w:rPr>
        <w:t>Artículo 2.</w:t>
      </w:r>
      <w:r w:rsidRPr="00CB2B85">
        <w:rPr>
          <w:rFonts w:ascii="Century Gothic" w:hAnsi="Century Gothic" w:cs="Arial"/>
          <w:color w:val="000000" w:themeColor="text1"/>
          <w:sz w:val="24"/>
          <w:szCs w:val="24"/>
        </w:rPr>
        <w:t xml:space="preserve"> Agréguese un parágrafo nuevo </w:t>
      </w:r>
      <w:r w:rsidRPr="00F4337A">
        <w:rPr>
          <w:rFonts w:ascii="Century Gothic" w:hAnsi="Century Gothic" w:cs="Arial"/>
          <w:color w:val="000000" w:themeColor="text1"/>
          <w:sz w:val="24"/>
          <w:szCs w:val="24"/>
        </w:rPr>
        <w:t>al artículo 555-2 del Estatuto Tributario Nacional acerca del Registro Único Tributario-RUT, el cual quedará así:</w:t>
      </w:r>
    </w:p>
    <w:p w14:paraId="3DA9DE18" w14:textId="49414740" w:rsidR="00F25F22" w:rsidRPr="00CB2B85" w:rsidRDefault="00F4337A" w:rsidP="00F4337A">
      <w:pPr>
        <w:spacing w:line="360" w:lineRule="auto"/>
        <w:jc w:val="both"/>
        <w:rPr>
          <w:rFonts w:ascii="Century Gothic" w:hAnsi="Century Gothic"/>
          <w:color w:val="000000" w:themeColor="text1"/>
          <w:sz w:val="24"/>
          <w:szCs w:val="24"/>
        </w:rPr>
      </w:pPr>
      <w:r w:rsidRPr="00CB2B85">
        <w:rPr>
          <w:rFonts w:ascii="Century Gothic" w:hAnsi="Century Gothic" w:cs="Arial"/>
          <w:color w:val="000000" w:themeColor="text1"/>
          <w:sz w:val="24"/>
          <w:szCs w:val="24"/>
        </w:rPr>
        <w:t xml:space="preserve">Parágrafo 5. La Dirección de Impuestos y Aduanas Nacionales determinará el formulario de inscripción y actualización del Registro Único Tributario. El formulario de declaración de renta de personas naturales deberá contar </w:t>
      </w:r>
      <w:r w:rsidRPr="00F4337A">
        <w:rPr>
          <w:rFonts w:ascii="Century Gothic" w:hAnsi="Century Gothic" w:cs="Arial"/>
          <w:color w:val="000000" w:themeColor="text1"/>
          <w:sz w:val="24"/>
          <w:szCs w:val="24"/>
        </w:rPr>
        <w:t xml:space="preserve">con una casilla donde la persona natural contribuyente pueda registrar su </w:t>
      </w:r>
      <w:r w:rsidRPr="00F4337A">
        <w:rPr>
          <w:rFonts w:ascii="Century Gothic" w:hAnsi="Century Gothic" w:cs="Arial"/>
          <w:color w:val="000000" w:themeColor="text1"/>
          <w:sz w:val="24"/>
          <w:szCs w:val="24"/>
        </w:rPr>
        <w:lastRenderedPageBreak/>
        <w:t>sexo . Esta casilla contará con las opciones “Femenino”, “Masculino” y “Otro”. La Dirección de Impuestos y aduanas Nacionales actualizará de oficio los RUT ya expedidos que no contengan la identificación del género de las personas naturales desde la vigencia fiscal del año 2000, apoyándose para esta finalidad en la información de la Registraduría Nacional del Estado Civil.</w:t>
      </w:r>
    </w:p>
    <w:p w14:paraId="38BA0740" w14:textId="77777777" w:rsidR="00F25F22" w:rsidRPr="00CB2B85" w:rsidRDefault="00F25F22" w:rsidP="00CB2B85">
      <w:pPr>
        <w:spacing w:line="360" w:lineRule="auto"/>
        <w:jc w:val="both"/>
        <w:rPr>
          <w:rFonts w:ascii="Century Gothic" w:hAnsi="Century Gothic"/>
          <w:color w:val="000000" w:themeColor="text1"/>
          <w:sz w:val="24"/>
          <w:szCs w:val="24"/>
        </w:rPr>
      </w:pPr>
      <w:r w:rsidRPr="00CB2B85">
        <w:rPr>
          <w:rFonts w:ascii="Century Gothic" w:hAnsi="Century Gothic"/>
          <w:b/>
          <w:color w:val="000000" w:themeColor="text1"/>
          <w:sz w:val="24"/>
          <w:szCs w:val="24"/>
        </w:rPr>
        <w:t xml:space="preserve">Artículo 3. Fecha de aplicación. </w:t>
      </w:r>
      <w:r w:rsidRPr="00CB2B85">
        <w:rPr>
          <w:rFonts w:ascii="Century Gothic" w:hAnsi="Century Gothic"/>
          <w:color w:val="000000" w:themeColor="text1"/>
          <w:sz w:val="24"/>
          <w:szCs w:val="24"/>
        </w:rPr>
        <w:t>Después de promulgada esta ley, la Dirección de Impuestos y Aduanas Nacionales, o quien haga su papel, actualizará el formulario para la declaración de renta que se menciona en el artículo 2 antes de la fecha inmediatamente más cercana al período de declaración de impuestos para personas naturales establecido en el calendario establecido por la Dirección de Impuestos y Aduanas Nacionales.</w:t>
      </w:r>
    </w:p>
    <w:p w14:paraId="53B4F57F" w14:textId="77777777" w:rsidR="00F25F22" w:rsidRPr="00CB2B85" w:rsidRDefault="00F25F22" w:rsidP="00CB2B85">
      <w:pPr>
        <w:spacing w:line="360" w:lineRule="auto"/>
        <w:jc w:val="both"/>
        <w:rPr>
          <w:rFonts w:ascii="Century Gothic" w:hAnsi="Century Gothic"/>
          <w:color w:val="000000" w:themeColor="text1"/>
          <w:sz w:val="24"/>
          <w:szCs w:val="24"/>
        </w:rPr>
      </w:pPr>
    </w:p>
    <w:p w14:paraId="603ADB68" w14:textId="77777777" w:rsidR="00F25F22" w:rsidRPr="00CB2B85" w:rsidRDefault="00F25F22" w:rsidP="00CB2B85">
      <w:pPr>
        <w:spacing w:line="360" w:lineRule="auto"/>
        <w:jc w:val="both"/>
        <w:rPr>
          <w:rFonts w:ascii="Century Gothic" w:hAnsi="Century Gothic"/>
          <w:color w:val="000000" w:themeColor="text1"/>
          <w:sz w:val="24"/>
          <w:szCs w:val="24"/>
        </w:rPr>
      </w:pPr>
      <w:r w:rsidRPr="00CB2B85">
        <w:rPr>
          <w:rFonts w:ascii="Century Gothic" w:hAnsi="Century Gothic" w:cs="Arial"/>
          <w:b/>
          <w:color w:val="000000" w:themeColor="text1"/>
          <w:sz w:val="24"/>
          <w:szCs w:val="24"/>
        </w:rPr>
        <w:t xml:space="preserve">Artículo 4. Vigencias y derogatorias. </w:t>
      </w:r>
      <w:r w:rsidRPr="00CB2B85">
        <w:rPr>
          <w:rFonts w:ascii="Century Gothic" w:hAnsi="Century Gothic" w:cs="Arial"/>
          <w:color w:val="000000" w:themeColor="text1"/>
          <w:sz w:val="24"/>
          <w:szCs w:val="24"/>
        </w:rPr>
        <w:t xml:space="preserve">La presente ley rige a partir de su promulgación y deroga todas las disposiciones que le sean contrarias. </w:t>
      </w:r>
    </w:p>
    <w:p w14:paraId="4D000F8E" w14:textId="77777777" w:rsidR="00F25F22" w:rsidRPr="00CB2B85" w:rsidRDefault="00F25F22" w:rsidP="00CB2B85">
      <w:pPr>
        <w:spacing w:line="360" w:lineRule="auto"/>
        <w:jc w:val="both"/>
        <w:rPr>
          <w:rFonts w:ascii="Arial" w:hAnsi="Arial" w:cs="Arial"/>
          <w:color w:val="000000" w:themeColor="text1"/>
          <w:sz w:val="24"/>
          <w:szCs w:val="24"/>
        </w:rPr>
      </w:pPr>
    </w:p>
    <w:p w14:paraId="211DE994" w14:textId="77777777" w:rsidR="00F4337A" w:rsidRPr="004D25CA" w:rsidRDefault="00F4337A" w:rsidP="00F4337A">
      <w:pPr>
        <w:jc w:val="center"/>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noProof/>
          <w:color w:val="000000" w:themeColor="text1"/>
          <w:sz w:val="24"/>
          <w:szCs w:val="24"/>
          <w:lang w:val="es-ES_tradnl" w:eastAsia="es-ES_tradnl"/>
        </w:rPr>
        <w:drawing>
          <wp:inline distT="0" distB="0" distL="0" distR="0" wp14:anchorId="205DE6E4" wp14:editId="4D6F8122">
            <wp:extent cx="1258105" cy="704444"/>
            <wp:effectExtent l="0" t="0" r="12065" b="6985"/>
            <wp:docPr id="10" name="Imagen 9" descr="../../../../../Downloads/Firma%20David%20Rac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rma%20David%20Racer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7600" cy="715360"/>
                    </a:xfrm>
                    <a:prstGeom prst="rect">
                      <a:avLst/>
                    </a:prstGeom>
                    <a:noFill/>
                    <a:ln>
                      <a:noFill/>
                    </a:ln>
                  </pic:spPr>
                </pic:pic>
              </a:graphicData>
            </a:graphic>
          </wp:inline>
        </w:drawing>
      </w:r>
    </w:p>
    <w:p w14:paraId="13969468" w14:textId="77777777" w:rsidR="00F4337A" w:rsidRPr="004D25CA" w:rsidRDefault="00F4337A" w:rsidP="00F4337A">
      <w:pPr>
        <w:jc w:val="center"/>
        <w:rPr>
          <w:rFonts w:ascii="Century Gothic" w:eastAsia="Times New Roman" w:hAnsi="Century Gothic" w:cs="Arial"/>
          <w:b/>
          <w:color w:val="000000" w:themeColor="text1"/>
          <w:sz w:val="24"/>
          <w:szCs w:val="24"/>
          <w:lang w:val="es-ES" w:eastAsia="es-ES"/>
        </w:rPr>
      </w:pPr>
      <w:r w:rsidRPr="004D25CA">
        <w:rPr>
          <w:rFonts w:ascii="Century Gothic" w:eastAsia="Times New Roman" w:hAnsi="Century Gothic" w:cs="Arial"/>
          <w:b/>
          <w:color w:val="000000" w:themeColor="text1"/>
          <w:sz w:val="24"/>
          <w:szCs w:val="24"/>
          <w:lang w:val="es-ES" w:eastAsia="es-ES"/>
        </w:rPr>
        <w:t>DAVID RACERO MAYORCA</w:t>
      </w:r>
    </w:p>
    <w:p w14:paraId="12C811C1" w14:textId="77777777" w:rsidR="00F4337A" w:rsidRPr="004D25CA" w:rsidRDefault="00F4337A" w:rsidP="00F4337A">
      <w:pPr>
        <w:jc w:val="center"/>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Representante a la Cámara por Bogotá</w:t>
      </w:r>
    </w:p>
    <w:p w14:paraId="16618E35" w14:textId="77777777" w:rsidR="005E38D1" w:rsidRPr="00F4337A" w:rsidRDefault="005E38D1" w:rsidP="00CB2B85">
      <w:pPr>
        <w:spacing w:line="360" w:lineRule="auto"/>
        <w:jc w:val="both"/>
        <w:rPr>
          <w:sz w:val="24"/>
          <w:szCs w:val="24"/>
          <w:lang w:val="es-ES"/>
        </w:rPr>
      </w:pPr>
    </w:p>
    <w:p w14:paraId="37995601" w14:textId="77777777" w:rsidR="00CB2B85" w:rsidRPr="00CB2B85" w:rsidRDefault="00CB2B85">
      <w:pPr>
        <w:spacing w:line="360" w:lineRule="auto"/>
        <w:jc w:val="both"/>
        <w:rPr>
          <w:sz w:val="24"/>
          <w:szCs w:val="24"/>
        </w:rPr>
      </w:pPr>
    </w:p>
    <w:sectPr w:rsidR="00CB2B85" w:rsidRPr="00CB2B8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16FC5" w14:textId="77777777" w:rsidR="000C5B90" w:rsidRDefault="000C5B90">
      <w:pPr>
        <w:spacing w:after="0" w:line="240" w:lineRule="auto"/>
      </w:pPr>
      <w:r>
        <w:separator/>
      </w:r>
    </w:p>
  </w:endnote>
  <w:endnote w:type="continuationSeparator" w:id="0">
    <w:p w14:paraId="67AB4663" w14:textId="77777777" w:rsidR="000C5B90" w:rsidRDefault="000C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C424" w14:textId="77777777" w:rsidR="005149CC" w:rsidRDefault="000C5B90" w:rsidP="005149CC">
    <w:pPr>
      <w:pStyle w:val="Footer"/>
      <w:jc w:val="both"/>
      <w:rPr>
        <w:noProof/>
        <w:lang w:eastAsia="es-CO"/>
      </w:rPr>
    </w:pPr>
  </w:p>
  <w:p w14:paraId="721B887E" w14:textId="77777777" w:rsidR="005149CC" w:rsidRDefault="00150BD2" w:rsidP="005149CC">
    <w:pPr>
      <w:pStyle w:val="Footer"/>
      <w:jc w:val="both"/>
      <w:rPr>
        <w:noProof/>
        <w:lang w:eastAsia="es-CO"/>
      </w:rPr>
    </w:pPr>
    <w:r>
      <w:rPr>
        <w:noProof/>
        <w:lang w:val="es-ES_tradnl" w:eastAsia="es-ES_tradnl"/>
      </w:rPr>
      <w:drawing>
        <wp:inline distT="0" distB="0" distL="0" distR="0" wp14:anchorId="22419D31" wp14:editId="4A382F07">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25504DE0" w14:textId="77777777" w:rsidR="005149CC" w:rsidRDefault="00150BD2" w:rsidP="005149CC">
    <w:pPr>
      <w:pStyle w:val="Footer"/>
      <w:jc w:val="both"/>
    </w:pPr>
    <w:r>
      <w:rPr>
        <w:noProof/>
        <w:lang w:val="es-ES_tradnl" w:eastAsia="es-ES_tradnl"/>
      </w:rPr>
      <w:drawing>
        <wp:inline distT="0" distB="0" distL="0" distR="0" wp14:anchorId="6870F6CB" wp14:editId="50B8CAC6">
          <wp:extent cx="5653405" cy="6286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01.png"/>
                  <pic:cNvPicPr/>
                </pic:nvPicPr>
                <pic:blipFill rotWithShape="1">
                  <a:blip r:embed="rId2" cstate="print">
                    <a:extLst>
                      <a:ext uri="{28A0092B-C50C-407E-A947-70E740481C1C}">
                        <a14:useLocalDpi xmlns:a14="http://schemas.microsoft.com/office/drawing/2010/main" val="0"/>
                      </a:ext>
                    </a:extLst>
                  </a:blip>
                  <a:srcRect t="27473"/>
                  <a:stretch/>
                </pic:blipFill>
                <pic:spPr bwMode="auto">
                  <a:xfrm>
                    <a:off x="0" y="0"/>
                    <a:ext cx="5707862" cy="63468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27FB8" w14:textId="77777777" w:rsidR="000C5B90" w:rsidRDefault="000C5B90">
      <w:pPr>
        <w:spacing w:after="0" w:line="240" w:lineRule="auto"/>
      </w:pPr>
      <w:r>
        <w:separator/>
      </w:r>
    </w:p>
  </w:footnote>
  <w:footnote w:type="continuationSeparator" w:id="0">
    <w:p w14:paraId="37AA03A0" w14:textId="77777777" w:rsidR="000C5B90" w:rsidRDefault="000C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515D" w14:textId="77777777" w:rsidR="005149CC" w:rsidRPr="004135DB" w:rsidRDefault="00150BD2" w:rsidP="00577459">
    <w:pPr>
      <w:pStyle w:val="Header"/>
    </w:pPr>
    <w:r>
      <w:rPr>
        <w:noProof/>
      </w:rPr>
      <w:t xml:space="preserve">   </w:t>
    </w:r>
    <w:r>
      <w:rPr>
        <w:noProof/>
        <w:lang w:val="es-ES_tradnl" w:eastAsia="es-ES_tradnl"/>
      </w:rPr>
      <w:drawing>
        <wp:inline distT="0" distB="0" distL="0" distR="0" wp14:anchorId="155EB1EC" wp14:editId="6CDC5930">
          <wp:extent cx="1362075" cy="36294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AVID PNG.png"/>
                  <pic:cNvPicPr/>
                </pic:nvPicPr>
                <pic:blipFill>
                  <a:blip r:embed="rId1">
                    <a:extLst>
                      <a:ext uri="{28A0092B-C50C-407E-A947-70E740481C1C}">
                        <a14:useLocalDpi xmlns:a14="http://schemas.microsoft.com/office/drawing/2010/main" val="0"/>
                      </a:ext>
                    </a:extLst>
                  </a:blip>
                  <a:stretch>
                    <a:fillRect/>
                  </a:stretch>
                </pic:blipFill>
                <pic:spPr>
                  <a:xfrm>
                    <a:off x="0" y="0"/>
                    <a:ext cx="1455704" cy="387892"/>
                  </a:xfrm>
                  <a:prstGeom prst="rect">
                    <a:avLst/>
                  </a:prstGeom>
                </pic:spPr>
              </pic:pic>
            </a:graphicData>
          </a:graphic>
        </wp:inline>
      </w:drawing>
    </w:r>
    <w:r w:rsidRPr="008B1AE1">
      <w:rPr>
        <w:noProof/>
      </w:rPr>
      <w:t xml:space="preserve"> </w:t>
    </w:r>
    <w:r>
      <w:rPr>
        <w:noProof/>
      </w:rPr>
      <w:t xml:space="preserve">                                                         </w:t>
    </w:r>
    <w:r>
      <w:rPr>
        <w:noProof/>
        <w:lang w:val="es-ES_tradnl" w:eastAsia="es-ES_tradnl"/>
      </w:rPr>
      <w:drawing>
        <wp:inline distT="0" distB="0" distL="0" distR="0" wp14:anchorId="5C5677F4" wp14:editId="7C44ACAB">
          <wp:extent cx="805069" cy="348615"/>
          <wp:effectExtent l="0" t="0" r="8255" b="6985"/>
          <wp:docPr id="4" name="Imagen 4" descr="WhatsApp%20Image%202020-07-01%20at%2012.4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20Image%202020-07-01%20at%2012.46.4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592" cy="441509"/>
                  </a:xfrm>
                  <a:prstGeom prst="rect">
                    <a:avLst/>
                  </a:prstGeom>
                  <a:noFill/>
                  <a:ln>
                    <a:noFill/>
                  </a:ln>
                </pic:spPr>
              </pic:pic>
            </a:graphicData>
          </a:graphic>
        </wp:inline>
      </w:drawing>
    </w:r>
    <w:r>
      <w:rPr>
        <w:noProof/>
      </w:rPr>
      <w:t xml:space="preserve">   </w:t>
    </w:r>
    <w:r>
      <w:rPr>
        <w:noProof/>
        <w:lang w:val="es-ES_tradnl" w:eastAsia="es-ES_tradnl"/>
      </w:rPr>
      <w:drawing>
        <wp:inline distT="0" distB="0" distL="0" distR="0" wp14:anchorId="71A124F0" wp14:editId="4E12FF1A">
          <wp:extent cx="328295" cy="353060"/>
          <wp:effectExtent l="0" t="0" r="190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is.png"/>
                  <pic:cNvPicPr/>
                </pic:nvPicPr>
                <pic:blipFill>
                  <a:blip r:embed="rId3">
                    <a:extLst>
                      <a:ext uri="{28A0092B-C50C-407E-A947-70E740481C1C}">
                        <a14:useLocalDpi xmlns:a14="http://schemas.microsoft.com/office/drawing/2010/main" val="0"/>
                      </a:ext>
                    </a:extLst>
                  </a:blip>
                  <a:stretch>
                    <a:fillRect/>
                  </a:stretch>
                </pic:blipFill>
                <pic:spPr>
                  <a:xfrm>
                    <a:off x="0" y="0"/>
                    <a:ext cx="328295" cy="353060"/>
                  </a:xfrm>
                  <a:prstGeom prst="rect">
                    <a:avLst/>
                  </a:prstGeom>
                </pic:spPr>
              </pic:pic>
            </a:graphicData>
          </a:graphic>
        </wp:inline>
      </w:drawing>
    </w:r>
    <w:r>
      <w:rPr>
        <w:noProof/>
      </w:rPr>
      <w:t xml:space="preserve"> </w:t>
    </w:r>
    <w:r>
      <w:rPr>
        <w:noProof/>
        <w:lang w:val="es-ES_tradnl" w:eastAsia="es-ES_tradnl"/>
      </w:rPr>
      <w:drawing>
        <wp:inline distT="0" distB="0" distL="0" distR="0" wp14:anchorId="49D16249" wp14:editId="00B45C32">
          <wp:extent cx="1026795" cy="387064"/>
          <wp:effectExtent l="0" t="0" r="0" b="0"/>
          <wp:docPr id="2" name="Imagen 2" descr="Resultado de imagen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MARA DE REPRESENTANTES"/>
                  <pic:cNvPicPr>
                    <a:picLocks noChangeAspect="1" noChangeArrowheads="1"/>
                  </pic:cNvPicPr>
                </pic:nvPicPr>
                <pic:blipFill rotWithShape="1">
                  <a:blip r:embed="rId4">
                    <a:extLst>
                      <a:ext uri="{28A0092B-C50C-407E-A947-70E740481C1C}">
                        <a14:useLocalDpi xmlns:a14="http://schemas.microsoft.com/office/drawing/2010/main" val="0"/>
                      </a:ext>
                    </a:extLst>
                  </a:blip>
                  <a:srcRect l="6790" t="15912" r="9518" b="16665"/>
                  <a:stretch/>
                </pic:blipFill>
                <pic:spPr bwMode="auto">
                  <a:xfrm>
                    <a:off x="0" y="0"/>
                    <a:ext cx="1323014" cy="49872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032A3CB3" w14:textId="77777777" w:rsidR="005149CC" w:rsidRPr="003810B2" w:rsidRDefault="000C5B90" w:rsidP="005149CC">
    <w:pPr>
      <w:pStyle w:val="Header"/>
      <w:jc w:val="center"/>
      <w:rPr>
        <w:u w:val="single"/>
      </w:rPr>
    </w:pPr>
  </w:p>
  <w:p w14:paraId="06673F53" w14:textId="77777777" w:rsidR="005149CC" w:rsidRDefault="000C5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D2E"/>
    <w:multiLevelType w:val="hybridMultilevel"/>
    <w:tmpl w:val="C8EA31F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8B173F"/>
    <w:multiLevelType w:val="hybridMultilevel"/>
    <w:tmpl w:val="8A6A6D56"/>
    <w:lvl w:ilvl="0" w:tplc="88AC92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A296E"/>
    <w:multiLevelType w:val="hybridMultilevel"/>
    <w:tmpl w:val="77E4DE9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326D0B"/>
    <w:multiLevelType w:val="hybridMultilevel"/>
    <w:tmpl w:val="F6BA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86E73"/>
    <w:multiLevelType w:val="hybridMultilevel"/>
    <w:tmpl w:val="077EB3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932E64"/>
    <w:multiLevelType w:val="hybridMultilevel"/>
    <w:tmpl w:val="FB2C7F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EA3A89"/>
    <w:multiLevelType w:val="hybridMultilevel"/>
    <w:tmpl w:val="C11E182C"/>
    <w:lvl w:ilvl="0" w:tplc="3AF8B7B8">
      <w:start w:val="1"/>
      <w:numFmt w:val="decimal"/>
      <w:lvlText w:val="%1."/>
      <w:lvlJc w:val="left"/>
      <w:pPr>
        <w:ind w:left="720" w:hanging="360"/>
      </w:pPr>
      <w:rPr>
        <w:rFonts w:eastAsia="Times New Roman" w:cs="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D13B95"/>
    <w:multiLevelType w:val="hybridMultilevel"/>
    <w:tmpl w:val="1FFC5DE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22"/>
    <w:rsid w:val="0004417B"/>
    <w:rsid w:val="000476BB"/>
    <w:rsid w:val="000C5B90"/>
    <w:rsid w:val="00150BD2"/>
    <w:rsid w:val="00190CD1"/>
    <w:rsid w:val="00206465"/>
    <w:rsid w:val="002205F7"/>
    <w:rsid w:val="0022354F"/>
    <w:rsid w:val="00247E1D"/>
    <w:rsid w:val="00320B99"/>
    <w:rsid w:val="0038473A"/>
    <w:rsid w:val="003D3A37"/>
    <w:rsid w:val="003E02E8"/>
    <w:rsid w:val="00450446"/>
    <w:rsid w:val="005B1803"/>
    <w:rsid w:val="005C4DA1"/>
    <w:rsid w:val="005E38D1"/>
    <w:rsid w:val="0065127B"/>
    <w:rsid w:val="00672C99"/>
    <w:rsid w:val="006E0B12"/>
    <w:rsid w:val="007700E6"/>
    <w:rsid w:val="00786D73"/>
    <w:rsid w:val="008719A0"/>
    <w:rsid w:val="00877512"/>
    <w:rsid w:val="00964B1F"/>
    <w:rsid w:val="00A03DCE"/>
    <w:rsid w:val="00A56BEA"/>
    <w:rsid w:val="00AB6EF6"/>
    <w:rsid w:val="00B23989"/>
    <w:rsid w:val="00BC4474"/>
    <w:rsid w:val="00BE23D2"/>
    <w:rsid w:val="00C04480"/>
    <w:rsid w:val="00C93582"/>
    <w:rsid w:val="00CB2B85"/>
    <w:rsid w:val="00CD6088"/>
    <w:rsid w:val="00D63EC7"/>
    <w:rsid w:val="00D702F7"/>
    <w:rsid w:val="00DD11DC"/>
    <w:rsid w:val="00EC13D4"/>
    <w:rsid w:val="00F25F22"/>
    <w:rsid w:val="00F41363"/>
    <w:rsid w:val="00F42260"/>
    <w:rsid w:val="00F433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1077"/>
  <w15:chartTrackingRefBased/>
  <w15:docId w15:val="{330C78D8-87D4-4186-9E6E-8D4C70A8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25F22"/>
    <w:rPr>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F22"/>
    <w:pPr>
      <w:tabs>
        <w:tab w:val="center" w:pos="4419"/>
        <w:tab w:val="right" w:pos="8838"/>
      </w:tabs>
      <w:spacing w:after="0" w:line="240" w:lineRule="auto"/>
    </w:pPr>
  </w:style>
  <w:style w:type="character" w:customStyle="1" w:styleId="HeaderChar">
    <w:name w:val="Header Char"/>
    <w:basedOn w:val="DefaultParagraphFont"/>
    <w:link w:val="Header"/>
    <w:uiPriority w:val="99"/>
    <w:rsid w:val="00F25F22"/>
    <w:rPr>
      <w:lang w:val="es-CO"/>
    </w:rPr>
  </w:style>
  <w:style w:type="paragraph" w:styleId="Footer">
    <w:name w:val="footer"/>
    <w:basedOn w:val="Normal"/>
    <w:link w:val="FooterChar"/>
    <w:uiPriority w:val="99"/>
    <w:unhideWhenUsed/>
    <w:rsid w:val="00F25F22"/>
    <w:pPr>
      <w:tabs>
        <w:tab w:val="center" w:pos="4419"/>
        <w:tab w:val="right" w:pos="8838"/>
      </w:tabs>
      <w:spacing w:after="0" w:line="240" w:lineRule="auto"/>
    </w:pPr>
  </w:style>
  <w:style w:type="character" w:customStyle="1" w:styleId="FooterChar">
    <w:name w:val="Footer Char"/>
    <w:basedOn w:val="DefaultParagraphFont"/>
    <w:link w:val="Footer"/>
    <w:uiPriority w:val="99"/>
    <w:rsid w:val="00F25F22"/>
    <w:rPr>
      <w:lang w:val="es-CO"/>
    </w:rPr>
  </w:style>
  <w:style w:type="paragraph" w:styleId="ListParagraph">
    <w:name w:val="List Paragraph"/>
    <w:basedOn w:val="Normal"/>
    <w:uiPriority w:val="34"/>
    <w:qFormat/>
    <w:rsid w:val="00F25F22"/>
    <w:pPr>
      <w:ind w:left="720"/>
      <w:contextualSpacing/>
    </w:pPr>
  </w:style>
  <w:style w:type="table" w:styleId="TableGrid">
    <w:name w:val="Table Grid"/>
    <w:basedOn w:val="TableNormal"/>
    <w:uiPriority w:val="39"/>
    <w:rsid w:val="00DD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B2B85"/>
    <w:pPr>
      <w:spacing w:after="200" w:line="240" w:lineRule="auto"/>
    </w:pPr>
    <w:rPr>
      <w:rFonts w:ascii="Times New Roman" w:hAnsi="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13</Pages>
  <Words>2051</Words>
  <Characters>11694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ErikaCastañeda</dc:creator>
  <cp:keywords/>
  <dc:description/>
  <cp:lastModifiedBy>Camilo Rodríguez</cp:lastModifiedBy>
  <cp:revision>10</cp:revision>
  <dcterms:created xsi:type="dcterms:W3CDTF">2020-10-14T00:10:00Z</dcterms:created>
  <dcterms:modified xsi:type="dcterms:W3CDTF">2020-11-25T16:22:00Z</dcterms:modified>
</cp:coreProperties>
</file>