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CF4755" w:rsidRDefault="002717D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  <w:lang w:eastAsia="es-MX"/>
        </w:rPr>
      </w:pPr>
      <w:r w:rsidRPr="00CF4755">
        <w:rPr>
          <w:rFonts w:ascii="Edwardian Script ITC" w:hAnsi="Edwardian Script ITC"/>
          <w:b/>
          <w:sz w:val="32"/>
          <w:szCs w:val="32"/>
        </w:rPr>
        <w:t>Rama Legislativa del Poder Público</w:t>
      </w:r>
    </w:p>
    <w:p w:rsidR="002717D1" w:rsidRPr="00CF4755" w:rsidRDefault="002717D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</w:rPr>
      </w:pPr>
      <w:r w:rsidRPr="00CF4755">
        <w:rPr>
          <w:rFonts w:ascii="Edwardian Script ITC" w:hAnsi="Edwardian Script ITC"/>
          <w:b/>
          <w:sz w:val="32"/>
          <w:szCs w:val="32"/>
        </w:rPr>
        <w:t>Comisión Séptima Constitucional Permanente</w:t>
      </w:r>
    </w:p>
    <w:p w:rsidR="002717D1" w:rsidRPr="00CF4755" w:rsidRDefault="00DC400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</w:rPr>
      </w:pPr>
      <w:r w:rsidRPr="00CF4755">
        <w:rPr>
          <w:rFonts w:ascii="Edwardian Script ITC" w:hAnsi="Edwardian Script ITC"/>
          <w:b/>
          <w:sz w:val="32"/>
          <w:szCs w:val="32"/>
        </w:rPr>
        <w:t>Legislatura 2020-2021</w:t>
      </w:r>
    </w:p>
    <w:p w:rsidR="00A769D4" w:rsidRPr="00CF4755" w:rsidRDefault="00A769D4" w:rsidP="00CF4755">
      <w:pPr>
        <w:pStyle w:val="Sinespaciado"/>
        <w:jc w:val="center"/>
        <w:rPr>
          <w:rFonts w:ascii="Edwardian Script ITC" w:hAnsi="Edwardian Script ITC" w:cs="Arial"/>
          <w:b/>
          <w:sz w:val="32"/>
          <w:szCs w:val="32"/>
        </w:rPr>
      </w:pPr>
    </w:p>
    <w:p w:rsidR="003E193F" w:rsidRPr="00207968" w:rsidRDefault="002717D1" w:rsidP="00282D98">
      <w:pPr>
        <w:pStyle w:val="Sinespaciado"/>
        <w:jc w:val="both"/>
        <w:rPr>
          <w:rFonts w:ascii="Arial" w:eastAsia="Times New Roman" w:hAnsi="Arial" w:cs="Arial"/>
          <w:b/>
          <w:iCs/>
          <w:lang w:eastAsia="es-CO"/>
        </w:rPr>
      </w:pPr>
      <w:r w:rsidRPr="00207968">
        <w:rPr>
          <w:rFonts w:ascii="Arial" w:hAnsi="Arial" w:cs="Arial"/>
          <w:b/>
          <w:bCs/>
        </w:rPr>
        <w:t>TEXTO DEFINITIVO APROBADO EN PRI</w:t>
      </w:r>
      <w:r w:rsidR="005D3575" w:rsidRPr="00207968">
        <w:rPr>
          <w:rFonts w:ascii="Arial" w:hAnsi="Arial" w:cs="Arial"/>
          <w:b/>
          <w:bCs/>
        </w:rPr>
        <w:t xml:space="preserve">MER DEBATE </w:t>
      </w:r>
      <w:r w:rsidR="007B03BB" w:rsidRPr="00207968">
        <w:rPr>
          <w:rFonts w:ascii="Arial" w:hAnsi="Arial" w:cs="Arial"/>
          <w:b/>
          <w:bCs/>
        </w:rPr>
        <w:t>DE</w:t>
      </w:r>
      <w:r w:rsidR="005D3575" w:rsidRPr="00207968">
        <w:rPr>
          <w:rFonts w:ascii="Arial" w:hAnsi="Arial" w:cs="Arial"/>
          <w:b/>
          <w:bCs/>
        </w:rPr>
        <w:t xml:space="preserve">L PROYECTO DE LEY </w:t>
      </w:r>
      <w:r w:rsidR="00F41440" w:rsidRPr="00AF14F7">
        <w:rPr>
          <w:rFonts w:ascii="Arial" w:hAnsi="Arial" w:cs="Arial"/>
          <w:b/>
        </w:rPr>
        <w:t xml:space="preserve">No </w:t>
      </w:r>
      <w:r w:rsidR="00866AA6" w:rsidRPr="00AF14F7">
        <w:rPr>
          <w:rFonts w:ascii="Arial" w:hAnsi="Arial" w:cs="Arial"/>
          <w:b/>
        </w:rPr>
        <w:t>075 DE 2020 CÁMARA</w:t>
      </w:r>
      <w:r w:rsidR="00F41440" w:rsidRPr="00AF14F7">
        <w:rPr>
          <w:rFonts w:ascii="Arial" w:hAnsi="Arial" w:cs="Arial"/>
          <w:b/>
        </w:rPr>
        <w:t xml:space="preserve"> </w:t>
      </w:r>
      <w:r w:rsidR="00F41440" w:rsidRPr="008B2759">
        <w:rPr>
          <w:rFonts w:ascii="Arial" w:hAnsi="Arial" w:cs="Arial"/>
          <w:b/>
        </w:rPr>
        <w:t>“POR LA CUAL SE REGULA EL EJERCICIO DE LAS ESPECIALIDADES MÉDICAS Y QUIRÚRGICAS EN MEDICINA Y SE DICTAN OTRAS DISPOSICIONES”</w:t>
      </w:r>
      <w:r w:rsidR="00F41440">
        <w:rPr>
          <w:rFonts w:ascii="Arial" w:hAnsi="Arial" w:cs="Arial"/>
          <w:b/>
        </w:rPr>
        <w:t>.</w:t>
      </w:r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</w:rPr>
      </w:pPr>
    </w:p>
    <w:p w:rsidR="002717D1" w:rsidRPr="00207968" w:rsidRDefault="002717D1" w:rsidP="00CE617B">
      <w:pPr>
        <w:pStyle w:val="Sinespaciado"/>
        <w:jc w:val="center"/>
        <w:rPr>
          <w:rFonts w:ascii="Arial" w:hAnsi="Arial" w:cs="Arial"/>
        </w:rPr>
      </w:pPr>
      <w:r w:rsidRPr="00207968">
        <w:rPr>
          <w:rFonts w:ascii="Arial" w:hAnsi="Arial" w:cs="Arial"/>
        </w:rPr>
        <w:t xml:space="preserve">(Aprobado en la </w:t>
      </w:r>
      <w:r w:rsidR="006B757E" w:rsidRPr="00207968">
        <w:rPr>
          <w:rFonts w:ascii="Arial" w:hAnsi="Arial" w:cs="Arial"/>
        </w:rPr>
        <w:t>Sesión</w:t>
      </w:r>
      <w:r w:rsidR="00282D98">
        <w:rPr>
          <w:rFonts w:ascii="Arial" w:hAnsi="Arial" w:cs="Arial"/>
        </w:rPr>
        <w:t xml:space="preserve"> virtual </w:t>
      </w:r>
      <w:r w:rsidRPr="00207968">
        <w:rPr>
          <w:rFonts w:ascii="Arial" w:hAnsi="Arial" w:cs="Arial"/>
        </w:rPr>
        <w:t>de</w:t>
      </w:r>
      <w:r w:rsidR="006B757E" w:rsidRPr="00207968">
        <w:rPr>
          <w:rFonts w:ascii="Arial" w:hAnsi="Arial" w:cs="Arial"/>
        </w:rPr>
        <w:t xml:space="preserve">l </w:t>
      </w:r>
      <w:r w:rsidR="00F41440">
        <w:rPr>
          <w:rFonts w:ascii="Arial" w:hAnsi="Arial" w:cs="Arial"/>
        </w:rPr>
        <w:t>15</w:t>
      </w:r>
      <w:r w:rsidRPr="00207968">
        <w:rPr>
          <w:rFonts w:ascii="Arial" w:hAnsi="Arial" w:cs="Arial"/>
        </w:rPr>
        <w:t xml:space="preserve"> de </w:t>
      </w:r>
      <w:r w:rsidR="00DC4001">
        <w:rPr>
          <w:rFonts w:ascii="Arial" w:hAnsi="Arial" w:cs="Arial"/>
        </w:rPr>
        <w:t xml:space="preserve">octubre </w:t>
      </w:r>
      <w:r w:rsidRPr="00207968">
        <w:rPr>
          <w:rFonts w:ascii="Arial" w:hAnsi="Arial" w:cs="Arial"/>
        </w:rPr>
        <w:t>de 20</w:t>
      </w:r>
      <w:r w:rsidR="00282D98">
        <w:rPr>
          <w:rFonts w:ascii="Arial" w:hAnsi="Arial" w:cs="Arial"/>
        </w:rPr>
        <w:t>20,</w:t>
      </w:r>
      <w:r w:rsidRPr="00207968">
        <w:rPr>
          <w:rFonts w:ascii="Arial" w:hAnsi="Arial" w:cs="Arial"/>
        </w:rPr>
        <w:t xml:space="preserve"> Comisión VII </w:t>
      </w:r>
      <w:r w:rsidR="00282D98">
        <w:rPr>
          <w:rFonts w:ascii="Arial" w:hAnsi="Arial" w:cs="Arial"/>
        </w:rPr>
        <w:t xml:space="preserve">Constitucional Permanente </w:t>
      </w:r>
      <w:r w:rsidRPr="00207968">
        <w:rPr>
          <w:rFonts w:ascii="Arial" w:hAnsi="Arial" w:cs="Arial"/>
        </w:rPr>
        <w:t>de la H. Cámara de Representantes, Acta No.</w:t>
      </w:r>
      <w:r w:rsidR="006B757E" w:rsidRPr="00207968">
        <w:rPr>
          <w:rFonts w:ascii="Arial" w:hAnsi="Arial" w:cs="Arial"/>
        </w:rPr>
        <w:t xml:space="preserve"> </w:t>
      </w:r>
      <w:r w:rsidR="00F41440">
        <w:rPr>
          <w:rFonts w:ascii="Arial" w:hAnsi="Arial" w:cs="Arial"/>
        </w:rPr>
        <w:t>22</w:t>
      </w:r>
      <w:r w:rsidRPr="00207968">
        <w:rPr>
          <w:rFonts w:ascii="Arial" w:hAnsi="Arial" w:cs="Arial"/>
        </w:rPr>
        <w:t>)</w:t>
      </w:r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  <w:b/>
        </w:rPr>
      </w:pPr>
    </w:p>
    <w:p w:rsidR="001C7B89" w:rsidRPr="00207968" w:rsidRDefault="001C7B89" w:rsidP="00CE617B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EL CONGRESO DE COLOMBIA</w:t>
      </w:r>
    </w:p>
    <w:p w:rsidR="00CE617B" w:rsidRPr="00207968" w:rsidRDefault="00CE617B" w:rsidP="00CE617B">
      <w:pPr>
        <w:pStyle w:val="Sinespaciado"/>
        <w:jc w:val="center"/>
        <w:rPr>
          <w:rFonts w:ascii="Arial" w:hAnsi="Arial" w:cs="Arial"/>
          <w:b/>
        </w:rPr>
      </w:pPr>
    </w:p>
    <w:p w:rsidR="00EA48F0" w:rsidRPr="00207968" w:rsidRDefault="00EA48F0" w:rsidP="00EA48F0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DECRETA:</w:t>
      </w:r>
    </w:p>
    <w:p w:rsidR="00EA48F0" w:rsidRDefault="00EA48F0" w:rsidP="00EA48F0">
      <w:pPr>
        <w:pStyle w:val="Sinespaciado"/>
        <w:jc w:val="both"/>
        <w:rPr>
          <w:rFonts w:ascii="Arial" w:hAnsi="Arial" w:cs="Arial"/>
          <w:highlight w:val="yellow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lang w:val="es-ES_tradnl" w:eastAsia="es-CO"/>
        </w:rPr>
        <w:t>Artículo 1. </w:t>
      </w:r>
      <w:r w:rsidRPr="00F41440">
        <w:rPr>
          <w:rFonts w:ascii="Arial" w:eastAsia="Century Gothic" w:hAnsi="Arial" w:cs="Century Gothic"/>
          <w:b/>
          <w:iCs/>
          <w:lang w:val="es-ES_tradnl" w:eastAsia="es-CO"/>
        </w:rPr>
        <w:t>Objeto</w:t>
      </w:r>
      <w:r w:rsidRPr="00F41440">
        <w:rPr>
          <w:rFonts w:ascii="Arial" w:eastAsia="Century Gothic" w:hAnsi="Arial" w:cs="Century Gothic"/>
          <w:b/>
          <w:lang w:val="es-ES_tradnl" w:eastAsia="es-CO"/>
        </w:rPr>
        <w:t>.</w:t>
      </w:r>
      <w:r w:rsidRPr="00F41440">
        <w:rPr>
          <w:rFonts w:ascii="Arial" w:eastAsia="Century Gothic" w:hAnsi="Arial" w:cs="Century Gothic"/>
          <w:lang w:val="es-ES_tradnl" w:eastAsia="es-CO"/>
        </w:rPr>
        <w:t xml:space="preserve"> La presente ley tiene por objeto regular el ejercicio de las especialidades médicas y quirúrgicas en medicina, dictar disposiciones sobre su ejercicio, funciones, derechos, deberes y establecer reglas para el ejercicio profesional.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bCs/>
          <w:iCs/>
          <w:lang w:eastAsia="es-CO"/>
        </w:rPr>
        <w:t xml:space="preserve">Artículo 2. </w:t>
      </w:r>
      <w:r w:rsidRPr="00F41440">
        <w:rPr>
          <w:rFonts w:ascii="Arial" w:eastAsia="Century Gothic" w:hAnsi="Arial" w:cs="Century Gothic"/>
          <w:b/>
          <w:lang w:eastAsia="es-CO"/>
        </w:rPr>
        <w:t>Especializaciones médico quirúrgicas.</w:t>
      </w:r>
      <w:r w:rsidRPr="00F41440">
        <w:rPr>
          <w:rFonts w:ascii="Arial" w:eastAsia="Century Gothic" w:hAnsi="Arial" w:cs="Century Gothic"/>
          <w:lang w:eastAsia="es-CO"/>
        </w:rPr>
        <w:t> Son los programas que permiten al médico la profundización en un área del conocimiento específico de la medicina y la adquisición de los conocimientos, desarrollo de actitudes, habilidades y destrezas avanzadas para la atención de pacientes en las diferentes etapas de su ciclo vital, con patologías de los diversos sistemas orgánicos que requieren atención especializada.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lang w:eastAsia="es-CO"/>
        </w:rPr>
        <w:t>Para este nivel de formación se requieren procesos de enseñanza-aprendizaje teóricos y prácticos. Lo práctico incluye el cumplimiento del tiempo de servicio en los escenarios de prácticas asistenciales y la intervención en un número de casos adecuado para asegurar el logro de los resultados de aprendizaje buscados por el programa. El estudiante deberá tener el acompañamiento y seguimiento requerido.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lang w:eastAsia="es-CO"/>
        </w:rPr>
        <w:t>De conformidad con el artículo 247 de la Ley 100 de 1993, estos programas tendrán un tratamiento equivalente a los programas de maestría.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  <w:r w:rsidRPr="00F41440">
        <w:rPr>
          <w:rFonts w:ascii="Arial" w:eastAsia="Century Gothic" w:hAnsi="Arial" w:cs="Century Gothic"/>
          <w:b/>
          <w:lang w:val="es-ES_tradnl" w:eastAsia="es-CO"/>
        </w:rPr>
        <w:t>Artículo 3. Atributos de calidad en salud.</w:t>
      </w:r>
      <w:r w:rsidRPr="00F41440">
        <w:rPr>
          <w:rFonts w:ascii="Arial" w:eastAsia="Century Gothic" w:hAnsi="Arial" w:cs="Century Gothic"/>
          <w:lang w:val="es-ES_tradnl" w:eastAsia="es-CO"/>
        </w:rPr>
        <w:t xml:space="preserve"> Las especialidades médicas y quirúrgicas en medicina deberán cumplir con la totalidad de los atributos de pertinencia y calidad que para este nivel formativo establecen las leyes 1164 de 2007, 1438 de 2011 y 1761 de 2015 en especial las referidas a los escenarios de práctica, la relación docencia servicio, la autonomía y la autorregulación.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  <w:r w:rsidRPr="00F41440">
        <w:rPr>
          <w:rFonts w:ascii="Arial" w:eastAsia="Century Gothic" w:hAnsi="Arial" w:cs="Century Gothic"/>
          <w:b/>
          <w:lang w:val="es-ES_tradnl" w:eastAsia="es-CO"/>
        </w:rPr>
        <w:t xml:space="preserve">Artículo 4. </w:t>
      </w:r>
      <w:r w:rsidRPr="00F41440">
        <w:rPr>
          <w:rFonts w:ascii="Arial" w:eastAsia="Century Gothic" w:hAnsi="Arial" w:cs="Century Gothic"/>
          <w:lang w:val="es-ES_tradnl" w:eastAsia="es-CO"/>
        </w:rPr>
        <w:t>Dentro del territorio de la República de Colombia, solo podrán ejercer las funciones de especialistas en especialidades médicas y quirúrgicas en medicina quienes cumplan estrictamente los siguientes requisitos, los cuales no son excluyentes entre sí: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  <w:r w:rsidRPr="00F41440">
        <w:rPr>
          <w:rFonts w:ascii="Arial" w:eastAsia="Century Gothic" w:hAnsi="Arial" w:cs="Century Gothic"/>
          <w:lang w:val="es-ES_tradnl" w:eastAsia="es-CO"/>
        </w:rPr>
        <w:t xml:space="preserve">a) Quienes hayan obtenido título profesional en medicina en universidades colombianas de acuerdo con las leyes colombianas y disposiciones vigentes en Colombia o título de profesional en medicina en instituciones de otro país con el cual Colombia tenga celebrados tratados o convenios sobre reciprocidad de títulos universitarios y que sea equivalente al otorgado en la República de Colombia, siempre y cuando estos títulos estén convalidados por las autoridades colombianas competentes de conformidad con la ley y las disposiciones que regulen la materia, y 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lang w:val="es-ES_tradnl" w:eastAsia="es-CO"/>
        </w:rPr>
        <w:lastRenderedPageBreak/>
        <w:t>b) Quienes hayan obtenido título de especialista en un Programa de Especialización en áreas de la medicina en una institución de Educación Superior, debidamente aprobada y reconocida por los organismos competentes del Gobierno nacional o hayan obtenido título de especialista en un Programa de Especialización en una institución de otro país, con el cual Colombia tenga celebrados tratados o convenios sobre reciprocidad de títulos universitarios y que sea equivalente al otorgado en la República de Colombia, siempre y cuando estos títulos estén convalidados por las autoridades colombianas competentes de conformidad con la ley y las disposiciones que regulen la materia.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</w:p>
    <w:p w:rsid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  <w:r w:rsidRPr="00F41440">
        <w:rPr>
          <w:rFonts w:ascii="Arial" w:eastAsia="Century Gothic" w:hAnsi="Arial" w:cs="Century Gothic"/>
          <w:b/>
          <w:lang w:val="es-ES_tradnl" w:eastAsia="es-CO"/>
        </w:rPr>
        <w:t>Artículo 5. </w:t>
      </w:r>
      <w:r w:rsidRPr="00F41440">
        <w:rPr>
          <w:rFonts w:ascii="Arial" w:eastAsia="Century Gothic" w:hAnsi="Arial" w:cs="Century Gothic"/>
          <w:b/>
          <w:iCs/>
          <w:lang w:val="es-ES_tradnl" w:eastAsia="es-CO"/>
        </w:rPr>
        <w:t>Registro y autorización</w:t>
      </w:r>
      <w:r w:rsidRPr="00F41440">
        <w:rPr>
          <w:rFonts w:ascii="Arial" w:eastAsia="Century Gothic" w:hAnsi="Arial" w:cs="Century Gothic"/>
          <w:b/>
          <w:i/>
          <w:iCs/>
          <w:lang w:val="es-ES_tradnl" w:eastAsia="es-CO"/>
        </w:rPr>
        <w:t>.</w:t>
      </w:r>
      <w:r w:rsidRPr="00F41440">
        <w:rPr>
          <w:rFonts w:ascii="Arial" w:eastAsia="Century Gothic" w:hAnsi="Arial" w:cs="Century Gothic"/>
          <w:lang w:val="es-ES_tradnl" w:eastAsia="es-CO"/>
        </w:rPr>
        <w:t> Únicamente podrá ejercer las especialidades médic</w:t>
      </w:r>
      <w:r>
        <w:rPr>
          <w:rFonts w:ascii="Arial" w:eastAsia="Century Gothic" w:hAnsi="Arial" w:cs="Century Gothic"/>
          <w:lang w:val="es-ES_tradnl" w:eastAsia="es-CO"/>
        </w:rPr>
        <w:t>as y</w:t>
      </w:r>
      <w:r w:rsidRPr="00F41440">
        <w:rPr>
          <w:rFonts w:ascii="Arial" w:eastAsia="Century Gothic" w:hAnsi="Arial" w:cs="Century Gothic"/>
          <w:lang w:val="es-ES_tradnl" w:eastAsia="es-CO"/>
        </w:rPr>
        <w:t xml:space="preserve"> quirúrgicas en medicina reguladas en esta norma, dentro del territorio nacional, el médico que haya obtenido su título de especialista conforme a lo establecido en el artículo 3° de la presente ley y se encuentre debidamente inscrito en el Registro Único Nacional del Talento Humano en Salud, RETHUS, conforme a lo establecido por la Ley 1164 de 2007 y la reglamentación que para esta expida el Ministerio de Salud y Protección Social.</w:t>
      </w:r>
    </w:p>
    <w:p w:rsid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  <w:r>
        <w:rPr>
          <w:rFonts w:ascii="Arial" w:eastAsia="Century Gothic" w:hAnsi="Arial" w:cs="Century Gothic"/>
          <w:b/>
          <w:lang w:val="es-ES_tradnl" w:eastAsia="es-CO"/>
        </w:rPr>
        <w:t xml:space="preserve">Parágrafo. </w:t>
      </w:r>
      <w:r>
        <w:rPr>
          <w:rFonts w:ascii="Arial" w:eastAsia="Century Gothic" w:hAnsi="Arial" w:cs="Century Gothic"/>
          <w:lang w:val="es-ES_tradnl" w:eastAsia="es-CO"/>
        </w:rPr>
        <w:t>El Ministerio de Salud y Protección Social incorporará al RETHUS un Módulo para Consulta Ciudadanas, de fácil acceso y funcionamiento, el cual permita a los ciudadanos validar las acreditaciones del personal médico que vaya a efectuar algún tipo de procedimiento. El Ministerio llevará a cabo campañas masivas de divulgación de este módulo de Consulta Ciudadana, con el objetivo de que los ciudadanos verifiquen las acreditaciones del personal médico antes de llevar a cabo los procedimientos médicos quirúrgicos.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lang w:eastAsia="es-CO"/>
        </w:rPr>
        <w:t>Artículo 6.</w:t>
      </w:r>
      <w:r w:rsidRPr="00F41440">
        <w:rPr>
          <w:rFonts w:ascii="Arial" w:eastAsia="Century Gothic" w:hAnsi="Arial" w:cs="Century Gothic"/>
          <w:lang w:eastAsia="es-CO"/>
        </w:rPr>
        <w:t xml:space="preserve"> </w:t>
      </w:r>
      <w:r w:rsidRPr="00F41440">
        <w:rPr>
          <w:rFonts w:ascii="Arial" w:eastAsia="Century Gothic" w:hAnsi="Arial" w:cs="Century Gothic"/>
          <w:b/>
          <w:lang w:eastAsia="es-CO"/>
        </w:rPr>
        <w:t xml:space="preserve">Estímulos para médicos especialistas que presten sus servicios en zonas de alta dispersión geográfica y difícil acceso. </w:t>
      </w:r>
      <w:r w:rsidRPr="00F41440">
        <w:rPr>
          <w:rFonts w:ascii="Arial" w:eastAsia="Century Gothic" w:hAnsi="Arial" w:cs="Century Gothic"/>
          <w:lang w:eastAsia="es-CO"/>
        </w:rPr>
        <w:t xml:space="preserve">El Gobierno Nacional establecerá incentivos académicos, investigativos y económicos para los médicos especialistas que presten sus servicios en zonas de alta dispersión geográfica y difícil acceso por un periodo mínimo de 6 meses continuos, tanto en el sector público como privado, de acuerdo a las necesidades del talento humano especializado. </w:t>
      </w:r>
      <w:r>
        <w:rPr>
          <w:rFonts w:ascii="Arial" w:eastAsia="Century Gothic" w:hAnsi="Arial" w:cs="Century Gothic"/>
          <w:lang w:eastAsia="es-CO"/>
        </w:rPr>
        <w:t>De igual forma, garantizará las condiciones materiales en términos de tecnologías adecuadas, adecuación de infraestructura e insumos, con el fin de propender por el arraigo de las y los profesionales médicos y especialistas que presten sus servicios profesionales en dichos territorios.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lang w:eastAsia="es-CO"/>
        </w:rPr>
        <w:t>Parágrafo 1.</w:t>
      </w:r>
      <w:r w:rsidRPr="00F41440">
        <w:rPr>
          <w:rFonts w:ascii="Arial" w:eastAsia="Century Gothic" w:hAnsi="Arial" w:cs="Century Gothic"/>
          <w:lang w:eastAsia="es-CO"/>
        </w:rPr>
        <w:t xml:space="preserve"> El Ministerio de Salud y Protección Social y el Ministerio de Educación, reglamentará dentro del año siguiente a la expedición de la presente ley, los criterios de definición de las zonas de alta dispersión geográfica y difícil acceso, así como la oferta de incentivos, estímulos y los requisitos para su acceso.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shd w:val="clear" w:color="auto" w:fill="FFFFFF"/>
          <w:lang w:eastAsia="es-CO"/>
        </w:rPr>
        <w:t xml:space="preserve">Parágrafo 2. </w:t>
      </w:r>
      <w:r w:rsidRPr="00F41440">
        <w:rPr>
          <w:rFonts w:ascii="Arial" w:eastAsia="Century Gothic" w:hAnsi="Arial" w:cs="Century Gothic"/>
          <w:shd w:val="clear" w:color="auto" w:fill="FFFFFF"/>
          <w:lang w:eastAsia="es-CO"/>
        </w:rPr>
        <w:t>Será condonable la beca - crédito </w:t>
      </w:r>
      <w:r w:rsidRPr="00F41440">
        <w:rPr>
          <w:rFonts w:ascii="Arial" w:eastAsia="Century Gothic" w:hAnsi="Arial" w:cs="Century Gothic"/>
          <w:b/>
          <w:shd w:val="clear" w:color="auto" w:fill="FFFFFF"/>
          <w:lang w:eastAsia="es-CO"/>
        </w:rPr>
        <w:t>“</w:t>
      </w:r>
      <w:r w:rsidR="00E55E1E" w:rsidRPr="00F41440">
        <w:rPr>
          <w:rFonts w:ascii="Arial" w:eastAsia="Century Gothic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es-CO"/>
        </w:rPr>
        <w:t xml:space="preserve">Fondo Min Salud – ICETEX Ley 100/93” otorgada </w:t>
      </w:r>
      <w:r w:rsidRPr="00F41440">
        <w:rPr>
          <w:rFonts w:ascii="Arial" w:eastAsia="Century Gothic" w:hAnsi="Arial" w:cs="Century Gothic"/>
          <w:shd w:val="clear" w:color="auto" w:fill="FFFFFF"/>
          <w:lang w:eastAsia="es-CO"/>
        </w:rPr>
        <w:t xml:space="preserve">por el ICETEX en virtud de lo establecido en el artículo 193 de la Ley 100 de 1993 y los Decretos 1038 de 1995, 2745 de 2003, 780 de 2016, a aquellos beneficiarios que reciban su título de especialización y presten sus servicios en zonas de alta dispersión geográfica y de difícil acceso, dentro de los 12 meses siguientes al grado y por un término que no podrá ser inferior al </w:t>
      </w:r>
      <w:r>
        <w:rPr>
          <w:rFonts w:ascii="Arial" w:eastAsia="Century Gothic" w:hAnsi="Arial" w:cs="Century Gothic"/>
          <w:shd w:val="clear" w:color="auto" w:fill="FFFFFF"/>
          <w:lang w:eastAsia="es-CO"/>
        </w:rPr>
        <w:t xml:space="preserve">50% </w:t>
      </w:r>
      <w:r w:rsidRPr="00F41440">
        <w:rPr>
          <w:rFonts w:ascii="Arial" w:eastAsia="Century Gothic" w:hAnsi="Arial" w:cs="Century Gothic"/>
          <w:shd w:val="clear" w:color="auto" w:fill="FFFFFF"/>
          <w:lang w:eastAsia="es-CO"/>
        </w:rPr>
        <w:t xml:space="preserve">de </w:t>
      </w:r>
      <w:r>
        <w:rPr>
          <w:rFonts w:ascii="Arial" w:eastAsia="Century Gothic" w:hAnsi="Arial" w:cs="Century Gothic"/>
          <w:shd w:val="clear" w:color="auto" w:fill="FFFFFF"/>
          <w:lang w:eastAsia="es-CO"/>
        </w:rPr>
        <w:t xml:space="preserve">la </w:t>
      </w:r>
      <w:r w:rsidRPr="00F41440">
        <w:rPr>
          <w:rFonts w:ascii="Arial" w:eastAsia="Century Gothic" w:hAnsi="Arial" w:cs="Century Gothic"/>
          <w:shd w:val="clear" w:color="auto" w:fill="FFFFFF"/>
          <w:lang w:eastAsia="es-CO"/>
        </w:rPr>
        <w:t>duración de la especialidad. Dicho proceso deberá ser reglamentado por el Ministerio de Salud y Protección Social en coordinación con el ICETEX en un término no superior a 6 meses a partir de la vigencia de la presente ley.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val="es-ES_tradnl"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lang w:val="es-ES_tradnl" w:eastAsia="es-CO"/>
        </w:rPr>
        <w:t>Artículo 7. </w:t>
      </w:r>
      <w:r w:rsidRPr="00F41440">
        <w:rPr>
          <w:rFonts w:ascii="Arial" w:eastAsia="Century Gothic" w:hAnsi="Arial" w:cs="Century Gothic"/>
          <w:b/>
          <w:iCs/>
          <w:lang w:val="es-ES_tradnl" w:eastAsia="es-CO"/>
        </w:rPr>
        <w:t>Ejercicio profesional.</w:t>
      </w:r>
      <w:r w:rsidRPr="00F41440">
        <w:rPr>
          <w:rFonts w:ascii="Arial" w:eastAsia="Century Gothic" w:hAnsi="Arial" w:cs="Century Gothic"/>
          <w:b/>
          <w:lang w:val="es-ES_tradnl" w:eastAsia="es-CO"/>
        </w:rPr>
        <w:t> </w:t>
      </w:r>
      <w:r w:rsidRPr="00F41440">
        <w:rPr>
          <w:rFonts w:ascii="Arial" w:eastAsia="Century Gothic" w:hAnsi="Arial" w:cs="Century Gothic"/>
          <w:lang w:val="es-ES_tradnl" w:eastAsia="es-CO"/>
        </w:rPr>
        <w:t xml:space="preserve">El médico especializado, podrá en ejercicio de su especialidad, realizar las actividades inherentes a la profesión médica en general y las específicas dictadas por la </w:t>
      </w:r>
      <w:proofErr w:type="spellStart"/>
      <w:r w:rsidRPr="00F41440">
        <w:rPr>
          <w:rFonts w:ascii="Arial" w:eastAsia="Century Gothic" w:hAnsi="Arial" w:cs="Century Gothic"/>
          <w:lang w:val="es-ES_tradnl" w:eastAsia="es-CO"/>
        </w:rPr>
        <w:t>Lex</w:t>
      </w:r>
      <w:proofErr w:type="spellEnd"/>
      <w:r w:rsidRPr="00F41440">
        <w:rPr>
          <w:rFonts w:ascii="Arial" w:eastAsia="Century Gothic" w:hAnsi="Arial" w:cs="Century Gothic"/>
          <w:lang w:val="es-ES_tradnl" w:eastAsia="es-CO"/>
        </w:rPr>
        <w:t xml:space="preserve"> </w:t>
      </w:r>
      <w:proofErr w:type="spellStart"/>
      <w:r w:rsidRPr="00F41440">
        <w:rPr>
          <w:rFonts w:ascii="Arial" w:eastAsia="Century Gothic" w:hAnsi="Arial" w:cs="Century Gothic"/>
          <w:lang w:val="es-ES_tradnl" w:eastAsia="es-CO"/>
        </w:rPr>
        <w:t>Artis</w:t>
      </w:r>
      <w:proofErr w:type="spellEnd"/>
      <w:r w:rsidRPr="00F41440">
        <w:rPr>
          <w:rFonts w:ascii="Arial" w:eastAsia="Century Gothic" w:hAnsi="Arial" w:cs="Century Gothic"/>
          <w:lang w:val="es-ES_tradnl" w:eastAsia="es-CO"/>
        </w:rPr>
        <w:t xml:space="preserve"> para cada caso en particular.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  <w:r w:rsidRPr="00F41440">
        <w:rPr>
          <w:rFonts w:ascii="Arial" w:eastAsia="Century Gothic" w:hAnsi="Arial" w:cs="Century Gothic"/>
          <w:b/>
          <w:lang w:val="es-ES_tradnl" w:eastAsia="es-CO"/>
        </w:rPr>
        <w:lastRenderedPageBreak/>
        <w:t>Artículo 8.</w:t>
      </w:r>
      <w:r w:rsidRPr="00F41440">
        <w:rPr>
          <w:rFonts w:ascii="Arial" w:eastAsia="Century Gothic" w:hAnsi="Arial" w:cs="Century Gothic"/>
          <w:lang w:val="es-ES_tradnl" w:eastAsia="es-CO"/>
        </w:rPr>
        <w:t xml:space="preserve"> Las instituciones pertenecientes al Sistema General de Seguridad Social en Salud que tengan habilitados los servicios especializados en salud deberán vincular especialistas en el área, conforme a los términos establecidos en la presente ley y las disposiciones reglamentarias.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eastAsia="es-CO"/>
        </w:rPr>
      </w:pPr>
      <w:bookmarkStart w:id="0" w:name="_GoBack"/>
      <w:bookmarkEnd w:id="0"/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val="es-ES_tradnl" w:eastAsia="es-CO"/>
        </w:rPr>
      </w:pPr>
      <w:r w:rsidRPr="00F41440">
        <w:rPr>
          <w:rFonts w:ascii="Arial" w:eastAsia="Century Gothic" w:hAnsi="Arial" w:cs="Century Gothic"/>
          <w:b/>
          <w:lang w:val="es-ES_tradnl" w:eastAsia="es-CO"/>
        </w:rPr>
        <w:t>Artículo 9.</w:t>
      </w:r>
      <w:r w:rsidRPr="00F41440">
        <w:rPr>
          <w:rFonts w:ascii="Arial" w:eastAsia="Century Gothic" w:hAnsi="Arial" w:cs="Century Gothic"/>
          <w:lang w:val="es-ES_tradnl" w:eastAsia="es-CO"/>
        </w:rPr>
        <w:t xml:space="preserve"> Las asociaciones y sociedades científicas de áreas de la medicina serán organizaciones </w:t>
      </w:r>
      <w:r w:rsidRPr="00F41440">
        <w:rPr>
          <w:rFonts w:ascii="Arial" w:eastAsia="Century Gothic" w:hAnsi="Arial" w:cs="Century Gothic"/>
          <w:lang w:eastAsia="es-CO"/>
        </w:rPr>
        <w:t xml:space="preserve">medico científicos gremiales de carácter privado, actuarán como entes </w:t>
      </w:r>
      <w:r w:rsidRPr="00F41440">
        <w:rPr>
          <w:rFonts w:ascii="Arial" w:eastAsia="Century Gothic" w:hAnsi="Arial" w:cs="Century Gothic"/>
          <w:lang w:val="es-ES_tradnl" w:eastAsia="es-CO"/>
        </w:rPr>
        <w:t>asesores, consultivos y de veeduría del ejercicio de la práctica de la especialidad y podrán ejercer funciones públicas cuando la Ley así lo prevea.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lang w:val="es-ES" w:eastAsia="es-CO"/>
        </w:rPr>
        <w:t>Artículo 10. </w:t>
      </w:r>
      <w:r w:rsidRPr="00F41440">
        <w:rPr>
          <w:rFonts w:ascii="Arial" w:eastAsia="Century Gothic" w:hAnsi="Arial" w:cs="Century Gothic"/>
          <w:b/>
          <w:iCs/>
          <w:lang w:val="es-ES" w:eastAsia="es-CO"/>
        </w:rPr>
        <w:t>Ejercicio ilegal.</w:t>
      </w:r>
      <w:r w:rsidRPr="00F41440">
        <w:rPr>
          <w:rFonts w:ascii="Arial" w:eastAsia="Century Gothic" w:hAnsi="Arial" w:cs="Century Gothic"/>
          <w:i/>
          <w:iCs/>
          <w:lang w:val="es-ES" w:eastAsia="es-CO"/>
        </w:rPr>
        <w:t> </w:t>
      </w:r>
      <w:r w:rsidRPr="00F41440">
        <w:rPr>
          <w:rFonts w:ascii="Arial" w:eastAsia="Century Gothic" w:hAnsi="Arial" w:cs="Century Gothic"/>
          <w:lang w:val="es-ES" w:eastAsia="es-CO"/>
        </w:rPr>
        <w:t xml:space="preserve">El ejercicio de especialidades </w:t>
      </w:r>
      <w:r w:rsidRPr="00F41440">
        <w:rPr>
          <w:rFonts w:ascii="Arial" w:eastAsia="Century Gothic" w:hAnsi="Arial" w:cs="Century Gothic"/>
          <w:bCs/>
          <w:lang w:val="es-ES" w:eastAsia="es-CO"/>
        </w:rPr>
        <w:t>médicas y quirúrgicas,</w:t>
      </w:r>
      <w:r w:rsidRPr="00F41440">
        <w:rPr>
          <w:rFonts w:ascii="Arial" w:eastAsia="Century Gothic" w:hAnsi="Arial" w:cs="Century Gothic"/>
          <w:lang w:val="es-ES" w:eastAsia="es-CO"/>
        </w:rPr>
        <w:t xml:space="preserve"> </w:t>
      </w:r>
      <w:r w:rsidRPr="00F41440">
        <w:rPr>
          <w:rFonts w:ascii="Arial" w:eastAsia="Century Gothic" w:hAnsi="Arial" w:cs="Century Gothic"/>
          <w:lang w:val="es-ES_tradnl" w:eastAsia="es-CO"/>
        </w:rPr>
        <w:t xml:space="preserve">en áreas de la medicina </w:t>
      </w:r>
      <w:r w:rsidRPr="00F41440">
        <w:rPr>
          <w:rFonts w:ascii="Arial" w:eastAsia="Century Gothic" w:hAnsi="Arial" w:cs="Century Gothic"/>
          <w:lang w:val="es-ES" w:eastAsia="es-CO"/>
        </w:rPr>
        <w:t>por fuera de las condiciones establecidas en la presente ley se considera ejercicio ilegal de la medicina.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strike/>
          <w:lang w:val="es-ES_tradnl"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lang w:val="es-ES_tradnl" w:eastAsia="es-CO"/>
        </w:rPr>
        <w:t>Lo no previsto en la presente ley se regirá por las normas generales para el ejercicio de las profesiones de la salud.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lang w:eastAsia="es-CO"/>
        </w:rPr>
        <w:t>Artículo 11.</w:t>
      </w:r>
      <w:r w:rsidRPr="00F41440">
        <w:rPr>
          <w:rFonts w:ascii="Arial" w:eastAsia="Century Gothic" w:hAnsi="Arial" w:cs="Century Gothic"/>
          <w:lang w:eastAsia="es-CO"/>
        </w:rPr>
        <w:t xml:space="preserve"> Adiciónese un numeral en el artículo 130 de la ley 1438 de 2011, el cual quedará así: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lang w:eastAsia="es-CO"/>
        </w:rPr>
        <w:t>ARTÍCULO 130. INFRACCIONES ADMINISTRATIVAS.  La Superintendencia Nacional de Salud impondrá sanciones de acuerdo con la conducta o infracción investigada, sin perjuicio de lo dispuesto en otras disposiciones del Sistema General de Seguridad Social en Salud, así: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lang w:eastAsia="es-CO"/>
        </w:rPr>
        <w:t>(…)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lang w:eastAsia="es-CO"/>
        </w:rPr>
        <w:t>22. Ejercer de manera ilegal las profesiones de la salud de conformidad con las normas que regulan la materia.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lang w:eastAsia="es-CO"/>
        </w:rPr>
        <w:t>Artículo 12.</w:t>
      </w:r>
      <w:r w:rsidRPr="00F41440">
        <w:rPr>
          <w:rFonts w:ascii="Arial" w:eastAsia="Century Gothic" w:hAnsi="Arial" w:cs="Century Gothic"/>
          <w:lang w:eastAsia="es-CO"/>
        </w:rPr>
        <w:t xml:space="preserve"> El Ministerio de Educación Nacional cumplirá las siguientes obligaciones: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DF1E48" w:rsidRDefault="00F41440" w:rsidP="00DF1E4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DF1E48">
        <w:rPr>
          <w:rFonts w:ascii="Arial" w:eastAsia="Century Gothic" w:hAnsi="Arial" w:cs="Century Gothic"/>
          <w:lang w:eastAsia="es-CO"/>
        </w:rPr>
        <w:t xml:space="preserve">Reglamentar el proceso de convalidación, los créditos requeridos y competencias respectivas de las especialidades médicas. </w:t>
      </w:r>
    </w:p>
    <w:p w:rsidR="00F41440" w:rsidRPr="00DF1E48" w:rsidRDefault="00F41440" w:rsidP="00DF1E4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DF1E48">
        <w:rPr>
          <w:rFonts w:ascii="Arial" w:eastAsia="Century Gothic" w:hAnsi="Arial" w:cs="Century Gothic"/>
          <w:lang w:eastAsia="es-CO"/>
        </w:rPr>
        <w:t xml:space="preserve">Impartir directrices a las Instituciones de Educación Superior para que en los programas de especialización en salud dispongan de los cupos académicos suficientes para cubrir la demanda de personal médico respectivo conforme a las necesidades de cobertura y calidad respetando siempre la autonomía universitaria. </w:t>
      </w:r>
      <w:r w:rsidR="00032714">
        <w:rPr>
          <w:rFonts w:ascii="Arial" w:eastAsia="Century Gothic" w:hAnsi="Arial" w:cs="Century Gothic"/>
          <w:lang w:eastAsia="es-CO"/>
        </w:rPr>
        <w:t>Para tal efecto, el Ministerio de Educación Nacional en coordinación con el ministerio de Salud y Protección Social crearán un registro de especialidades  médicas en salud, en donde se publique la oferta de los cupos académicos disponibles y necesarios.</w:t>
      </w:r>
    </w:p>
    <w:p w:rsidR="00F41440" w:rsidRPr="00DF1E48" w:rsidRDefault="00F41440" w:rsidP="00DF1E4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DF1E48">
        <w:rPr>
          <w:rFonts w:ascii="Arial" w:eastAsia="Century Gothic" w:hAnsi="Arial" w:cs="Century Gothic"/>
          <w:lang w:eastAsia="es-CO"/>
        </w:rPr>
        <w:t>Fomentar el estudio cualitativo y cuantitativo de las especialidades médicas vigentes y las requeridas en el país, y</w:t>
      </w:r>
    </w:p>
    <w:p w:rsidR="00F41440" w:rsidRPr="00DF1E48" w:rsidRDefault="00F41440" w:rsidP="00DF1E48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DF1E48">
        <w:rPr>
          <w:rFonts w:ascii="Arial" w:eastAsia="Century Gothic" w:hAnsi="Arial" w:cs="Century Gothic"/>
          <w:lang w:eastAsia="es-CO"/>
        </w:rPr>
        <w:t xml:space="preserve">Definir las especialidades médicas y fijar sus competencias con el fin de establecer: i) las áreas de competencias de ejercicio general de los médicos generales, ii) las áreas de competencias de ejercicio profesional en salud que sean comunes entre especialidades afines, y iii) las áreas competencia de ejercicio profesional exclusivo correspondiente a cada especialidad. 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lang w:eastAsia="es-CO"/>
        </w:rPr>
      </w:pPr>
      <w:r w:rsidRPr="00F41440">
        <w:rPr>
          <w:rFonts w:ascii="Arial" w:eastAsia="Century Gothic" w:hAnsi="Arial" w:cs="Century Gothic"/>
          <w:lang w:eastAsia="es-CO"/>
        </w:rPr>
        <w:t>Para cumplir las anteriores obligaciones, el Ministerio de Educación Nacional en coordinación con el Ministerio de salud, instalará una mesa de trabajo intersectorial con la Academia Nacional de Medicina y las agremiaciones académicas de todas las áreas médicas quienes actuarán como comité asesor, y reglamentará lo previsto en el presente artículo en un término no superior a dos (2) años.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Century Gothic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Arial" w:hAnsi="Arial" w:cs="Century Gothic"/>
          <w:lang w:eastAsia="es-CO"/>
        </w:rPr>
      </w:pPr>
      <w:r w:rsidRPr="00F41440">
        <w:rPr>
          <w:rFonts w:ascii="Arial" w:eastAsia="Century Gothic" w:hAnsi="Arial" w:cs="Century Gothic"/>
          <w:b/>
          <w:lang w:val="es-ES_tradnl" w:eastAsia="es-CO"/>
        </w:rPr>
        <w:lastRenderedPageBreak/>
        <w:t>Artículo 13 </w:t>
      </w:r>
      <w:r w:rsidRPr="00F41440">
        <w:rPr>
          <w:rFonts w:ascii="Arial" w:eastAsia="Century Gothic" w:hAnsi="Arial" w:cs="Century Gothic"/>
          <w:b/>
          <w:iCs/>
          <w:lang w:val="es-ES_tradnl" w:eastAsia="es-CO"/>
        </w:rPr>
        <w:t>Vigencia</w:t>
      </w:r>
      <w:r w:rsidRPr="00F41440">
        <w:rPr>
          <w:rFonts w:ascii="Arial" w:eastAsia="Century Gothic" w:hAnsi="Arial" w:cs="Century Gothic"/>
          <w:b/>
          <w:i/>
          <w:iCs/>
          <w:lang w:val="es-ES_tradnl" w:eastAsia="es-CO"/>
        </w:rPr>
        <w:t>.</w:t>
      </w:r>
      <w:r w:rsidRPr="00F41440">
        <w:rPr>
          <w:rFonts w:ascii="Arial" w:eastAsia="Century Gothic" w:hAnsi="Arial" w:cs="Century Gothic"/>
          <w:lang w:val="es-ES_tradnl" w:eastAsia="es-CO"/>
        </w:rPr>
        <w:t xml:space="preserve"> La presente ley rige a partir de su expedición y deroga todas las disposiciones que le sean contrarias </w:t>
      </w:r>
      <w:r w:rsidRPr="00F41440">
        <w:rPr>
          <w:rFonts w:ascii="Arial" w:eastAsia="Century Gothic" w:hAnsi="Arial" w:cs="Century Gothic"/>
          <w:bCs/>
          <w:lang w:val="es-ES_tradnl" w:eastAsia="es-CO"/>
        </w:rPr>
        <w:t>excepto las contenidas en la ley 6 de 1991 y la ley 657 de 2001.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Arial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Arial" w:hAnsi="Arial" w:cs="Century Gothic"/>
          <w:lang w:eastAsia="es-CO"/>
        </w:rPr>
      </w:pPr>
      <w:r w:rsidRPr="00F41440">
        <w:rPr>
          <w:rFonts w:ascii="Arial" w:eastAsia="Arial" w:hAnsi="Arial" w:cs="Century Gothic"/>
          <w:lang w:eastAsia="es-CO"/>
        </w:rPr>
        <w:t>De los Honorables Representantes,</w:t>
      </w: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Arial" w:hAnsi="Arial" w:cs="Century Gothic"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Arial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Arial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Arial" w:hAnsi="Arial" w:cs="Century Gothic"/>
          <w:b/>
          <w:lang w:eastAsia="es-CO"/>
        </w:rPr>
      </w:pPr>
    </w:p>
    <w:p w:rsidR="00F41440" w:rsidRPr="00F41440" w:rsidRDefault="00F41440" w:rsidP="00F41440">
      <w:pPr>
        <w:spacing w:after="0" w:line="240" w:lineRule="auto"/>
        <w:jc w:val="both"/>
        <w:rPr>
          <w:rFonts w:ascii="Arial" w:eastAsia="Arial" w:hAnsi="Arial" w:cs="Century Gothic"/>
          <w:b/>
          <w:lang w:eastAsia="es-CO"/>
        </w:rPr>
      </w:pPr>
      <w:r w:rsidRPr="00F41440">
        <w:rPr>
          <w:rFonts w:ascii="Arial" w:eastAsia="Arial" w:hAnsi="Arial" w:cs="Century Gothic"/>
          <w:b/>
          <w:lang w:eastAsia="es-CO"/>
        </w:rPr>
        <w:t>JOSE LUIS CORREA LOPEZ</w:t>
      </w:r>
      <w:r w:rsidRPr="00F41440">
        <w:rPr>
          <w:rFonts w:ascii="Arial" w:eastAsia="Arial" w:hAnsi="Arial" w:cs="Century Gothic"/>
          <w:b/>
          <w:lang w:eastAsia="es-CO"/>
        </w:rPr>
        <w:tab/>
      </w:r>
      <w:r w:rsidRPr="00F41440">
        <w:rPr>
          <w:rFonts w:ascii="Arial" w:eastAsia="Arial" w:hAnsi="Arial" w:cs="Century Gothic"/>
          <w:b/>
          <w:lang w:eastAsia="es-CO"/>
        </w:rPr>
        <w:tab/>
      </w:r>
      <w:r w:rsidRPr="00F41440">
        <w:rPr>
          <w:rFonts w:ascii="Arial" w:eastAsia="Arial" w:hAnsi="Arial" w:cs="Century Gothic"/>
          <w:b/>
          <w:lang w:eastAsia="es-CO"/>
        </w:rPr>
        <w:tab/>
        <w:t>CARLOS EDUARDO ACOSTA L.</w:t>
      </w:r>
    </w:p>
    <w:p w:rsidR="00437400" w:rsidRPr="008F70C6" w:rsidRDefault="00F41440" w:rsidP="00F41440">
      <w:pPr>
        <w:pStyle w:val="Sinespaciado"/>
        <w:rPr>
          <w:rFonts w:ascii="Arial" w:hAnsi="Arial" w:cs="Arial"/>
          <w:b/>
          <w:smallCaps/>
        </w:rPr>
      </w:pPr>
      <w:r w:rsidRPr="00F41440">
        <w:rPr>
          <w:rFonts w:ascii="Century Gothic" w:eastAsia="Arial" w:hAnsi="Century Gothic" w:cs="Century Gothic"/>
          <w:lang w:eastAsia="es-CO"/>
        </w:rPr>
        <w:t>Coordinador Ponente</w:t>
      </w:r>
      <w:r w:rsidRPr="00F41440">
        <w:rPr>
          <w:rFonts w:ascii="Century Gothic" w:eastAsia="Arial" w:hAnsi="Century Gothic" w:cs="Century Gothic"/>
          <w:lang w:eastAsia="es-CO"/>
        </w:rPr>
        <w:tab/>
      </w:r>
      <w:r w:rsidRPr="00F41440">
        <w:rPr>
          <w:rFonts w:ascii="Century Gothic" w:eastAsia="Arial" w:hAnsi="Century Gothic" w:cs="Century Gothic"/>
          <w:lang w:eastAsia="es-CO"/>
        </w:rPr>
        <w:tab/>
      </w:r>
      <w:r w:rsidRPr="00F41440">
        <w:rPr>
          <w:rFonts w:ascii="Century Gothic" w:eastAsia="Arial" w:hAnsi="Century Gothic" w:cs="Century Gothic"/>
          <w:lang w:eastAsia="es-CO"/>
        </w:rPr>
        <w:tab/>
      </w:r>
      <w:r w:rsidRPr="00F41440">
        <w:rPr>
          <w:rFonts w:ascii="Century Gothic" w:eastAsia="Arial" w:hAnsi="Century Gothic" w:cs="Century Gothic"/>
          <w:lang w:eastAsia="es-CO"/>
        </w:rPr>
        <w:tab/>
        <w:t>Ponente</w:t>
      </w:r>
    </w:p>
    <w:sectPr w:rsidR="00437400" w:rsidRPr="008F70C6" w:rsidSect="00866AA6">
      <w:headerReference w:type="default" r:id="rId8"/>
      <w:footerReference w:type="default" r:id="rId9"/>
      <w:pgSz w:w="12240" w:h="15840" w:code="1"/>
      <w:pgMar w:top="1701" w:right="1134" w:bottom="340" w:left="164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E1E" w:rsidRDefault="00E55E1E" w:rsidP="001A75AA">
      <w:pPr>
        <w:spacing w:after="0" w:line="240" w:lineRule="auto"/>
      </w:pPr>
      <w:r>
        <w:separator/>
      </w:r>
    </w:p>
  </w:endnote>
  <w:endnote w:type="continuationSeparator" w:id="0">
    <w:p w:rsidR="00E55E1E" w:rsidRDefault="00E55E1E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E1E" w:rsidRDefault="00E55E1E" w:rsidP="001A75AA">
      <w:pPr>
        <w:spacing w:after="0" w:line="240" w:lineRule="auto"/>
      </w:pPr>
      <w:r>
        <w:separator/>
      </w:r>
    </w:p>
  </w:footnote>
  <w:footnote w:type="continuationSeparator" w:id="0">
    <w:p w:rsidR="00E55E1E" w:rsidRDefault="00E55E1E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3C0D"/>
    <w:multiLevelType w:val="hybridMultilevel"/>
    <w:tmpl w:val="F3D4A0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FC3"/>
    <w:multiLevelType w:val="hybridMultilevel"/>
    <w:tmpl w:val="6A547166"/>
    <w:lvl w:ilvl="0" w:tplc="E29AD9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C582C73"/>
    <w:multiLevelType w:val="hybridMultilevel"/>
    <w:tmpl w:val="F40054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2CEA"/>
    <w:multiLevelType w:val="hybridMultilevel"/>
    <w:tmpl w:val="9C6091F8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84003"/>
    <w:multiLevelType w:val="hybridMultilevel"/>
    <w:tmpl w:val="D95C5F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F2182"/>
    <w:multiLevelType w:val="hybridMultilevel"/>
    <w:tmpl w:val="B2342CC0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5C3D"/>
    <w:multiLevelType w:val="hybridMultilevel"/>
    <w:tmpl w:val="9DEAC5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94DF7"/>
    <w:multiLevelType w:val="hybridMultilevel"/>
    <w:tmpl w:val="A27AB4F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26C74"/>
    <w:multiLevelType w:val="hybridMultilevel"/>
    <w:tmpl w:val="0BA069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00E40"/>
    <w:multiLevelType w:val="hybridMultilevel"/>
    <w:tmpl w:val="1D36F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635E6"/>
    <w:multiLevelType w:val="hybridMultilevel"/>
    <w:tmpl w:val="E76006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56772"/>
    <w:multiLevelType w:val="multilevel"/>
    <w:tmpl w:val="E828C8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76DEA"/>
    <w:multiLevelType w:val="hybridMultilevel"/>
    <w:tmpl w:val="14566958"/>
    <w:lvl w:ilvl="0" w:tplc="AD681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14"/>
  </w:num>
  <w:num w:numId="5">
    <w:abstractNumId w:val="0"/>
  </w:num>
  <w:num w:numId="6">
    <w:abstractNumId w:val="17"/>
  </w:num>
  <w:num w:numId="7">
    <w:abstractNumId w:val="29"/>
  </w:num>
  <w:num w:numId="8">
    <w:abstractNumId w:val="6"/>
  </w:num>
  <w:num w:numId="9">
    <w:abstractNumId w:val="5"/>
  </w:num>
  <w:num w:numId="10">
    <w:abstractNumId w:val="22"/>
  </w:num>
  <w:num w:numId="11">
    <w:abstractNumId w:val="27"/>
  </w:num>
  <w:num w:numId="12">
    <w:abstractNumId w:val="11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20"/>
  </w:num>
  <w:num w:numId="18">
    <w:abstractNumId w:val="18"/>
  </w:num>
  <w:num w:numId="19">
    <w:abstractNumId w:val="21"/>
  </w:num>
  <w:num w:numId="20">
    <w:abstractNumId w:val="28"/>
  </w:num>
  <w:num w:numId="21">
    <w:abstractNumId w:val="2"/>
  </w:num>
  <w:num w:numId="22">
    <w:abstractNumId w:val="12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  <w:num w:numId="3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32714"/>
    <w:rsid w:val="00044901"/>
    <w:rsid w:val="00045135"/>
    <w:rsid w:val="00047FB1"/>
    <w:rsid w:val="00050B7F"/>
    <w:rsid w:val="000512BC"/>
    <w:rsid w:val="00052081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3284"/>
    <w:rsid w:val="000958D4"/>
    <w:rsid w:val="000971B7"/>
    <w:rsid w:val="000A3D97"/>
    <w:rsid w:val="000B047D"/>
    <w:rsid w:val="000B2847"/>
    <w:rsid w:val="000B41A9"/>
    <w:rsid w:val="000B5E53"/>
    <w:rsid w:val="000B7E47"/>
    <w:rsid w:val="000C69AC"/>
    <w:rsid w:val="000D2E8E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569A"/>
    <w:rsid w:val="0015635A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587"/>
    <w:rsid w:val="0026283E"/>
    <w:rsid w:val="002715BD"/>
    <w:rsid w:val="002717D1"/>
    <w:rsid w:val="00273CDE"/>
    <w:rsid w:val="00273FD2"/>
    <w:rsid w:val="00276D9F"/>
    <w:rsid w:val="00282D98"/>
    <w:rsid w:val="0028641D"/>
    <w:rsid w:val="002925C4"/>
    <w:rsid w:val="00295486"/>
    <w:rsid w:val="00297711"/>
    <w:rsid w:val="002A1867"/>
    <w:rsid w:val="002A37AF"/>
    <w:rsid w:val="002A42AF"/>
    <w:rsid w:val="002A452B"/>
    <w:rsid w:val="002B0710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B0F5C"/>
    <w:rsid w:val="003B2C8F"/>
    <w:rsid w:val="003B359B"/>
    <w:rsid w:val="003B3EBB"/>
    <w:rsid w:val="003B50C1"/>
    <w:rsid w:val="003C0DF5"/>
    <w:rsid w:val="003C2A93"/>
    <w:rsid w:val="003C3E07"/>
    <w:rsid w:val="003D161F"/>
    <w:rsid w:val="003D1A97"/>
    <w:rsid w:val="003D3D21"/>
    <w:rsid w:val="003D7516"/>
    <w:rsid w:val="003D7EC1"/>
    <w:rsid w:val="003E193F"/>
    <w:rsid w:val="003E215A"/>
    <w:rsid w:val="003E3BD9"/>
    <w:rsid w:val="003E4343"/>
    <w:rsid w:val="003E5F08"/>
    <w:rsid w:val="003F0BA6"/>
    <w:rsid w:val="003F262C"/>
    <w:rsid w:val="003F43C3"/>
    <w:rsid w:val="003F538E"/>
    <w:rsid w:val="00400978"/>
    <w:rsid w:val="00402816"/>
    <w:rsid w:val="00403495"/>
    <w:rsid w:val="0040798F"/>
    <w:rsid w:val="00414583"/>
    <w:rsid w:val="004201B0"/>
    <w:rsid w:val="004239FC"/>
    <w:rsid w:val="00427AA0"/>
    <w:rsid w:val="00434121"/>
    <w:rsid w:val="00434D29"/>
    <w:rsid w:val="0043534F"/>
    <w:rsid w:val="00435828"/>
    <w:rsid w:val="004369F9"/>
    <w:rsid w:val="00437400"/>
    <w:rsid w:val="00441109"/>
    <w:rsid w:val="004431E9"/>
    <w:rsid w:val="00445302"/>
    <w:rsid w:val="004462C8"/>
    <w:rsid w:val="00447E4E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4A18"/>
    <w:rsid w:val="004A1D04"/>
    <w:rsid w:val="004A2006"/>
    <w:rsid w:val="004A4C6F"/>
    <w:rsid w:val="004B0683"/>
    <w:rsid w:val="004B1160"/>
    <w:rsid w:val="004B4719"/>
    <w:rsid w:val="004B47F9"/>
    <w:rsid w:val="004B5149"/>
    <w:rsid w:val="004B7885"/>
    <w:rsid w:val="004C3501"/>
    <w:rsid w:val="004C50F6"/>
    <w:rsid w:val="004E04C3"/>
    <w:rsid w:val="004E674B"/>
    <w:rsid w:val="004E71FD"/>
    <w:rsid w:val="004E7DF6"/>
    <w:rsid w:val="004F1CE6"/>
    <w:rsid w:val="004F215A"/>
    <w:rsid w:val="004F4B33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C9B"/>
    <w:rsid w:val="005F4DFF"/>
    <w:rsid w:val="00607AA3"/>
    <w:rsid w:val="00610945"/>
    <w:rsid w:val="0061264E"/>
    <w:rsid w:val="00613B02"/>
    <w:rsid w:val="00622B3F"/>
    <w:rsid w:val="00622B74"/>
    <w:rsid w:val="0062628C"/>
    <w:rsid w:val="006276D2"/>
    <w:rsid w:val="0063155D"/>
    <w:rsid w:val="0063371C"/>
    <w:rsid w:val="00637559"/>
    <w:rsid w:val="006454C1"/>
    <w:rsid w:val="00645C61"/>
    <w:rsid w:val="00653F2B"/>
    <w:rsid w:val="006655C2"/>
    <w:rsid w:val="00667394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0801"/>
    <w:rsid w:val="006B2B87"/>
    <w:rsid w:val="006B40AC"/>
    <w:rsid w:val="006B757E"/>
    <w:rsid w:val="006C2A67"/>
    <w:rsid w:val="006C302E"/>
    <w:rsid w:val="006C370B"/>
    <w:rsid w:val="006C5489"/>
    <w:rsid w:val="006C5736"/>
    <w:rsid w:val="006D20DB"/>
    <w:rsid w:val="006D3C55"/>
    <w:rsid w:val="006E177A"/>
    <w:rsid w:val="006E1D47"/>
    <w:rsid w:val="006E441E"/>
    <w:rsid w:val="006F021B"/>
    <w:rsid w:val="006F38A8"/>
    <w:rsid w:val="006F6B69"/>
    <w:rsid w:val="00713DC0"/>
    <w:rsid w:val="00716397"/>
    <w:rsid w:val="007167A5"/>
    <w:rsid w:val="00720ABC"/>
    <w:rsid w:val="00740BB6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80478F"/>
    <w:rsid w:val="008054C2"/>
    <w:rsid w:val="00807628"/>
    <w:rsid w:val="00813DA1"/>
    <w:rsid w:val="008246B5"/>
    <w:rsid w:val="008255F9"/>
    <w:rsid w:val="00830953"/>
    <w:rsid w:val="00832188"/>
    <w:rsid w:val="00832CEA"/>
    <w:rsid w:val="008356AE"/>
    <w:rsid w:val="0084115C"/>
    <w:rsid w:val="0084327F"/>
    <w:rsid w:val="00845B12"/>
    <w:rsid w:val="00850075"/>
    <w:rsid w:val="008624E2"/>
    <w:rsid w:val="00862916"/>
    <w:rsid w:val="008646A7"/>
    <w:rsid w:val="00865455"/>
    <w:rsid w:val="00866AA6"/>
    <w:rsid w:val="00867570"/>
    <w:rsid w:val="00867625"/>
    <w:rsid w:val="0087202E"/>
    <w:rsid w:val="00872FE3"/>
    <w:rsid w:val="00885EEE"/>
    <w:rsid w:val="0088732B"/>
    <w:rsid w:val="00890AB9"/>
    <w:rsid w:val="00894FA1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8F70C6"/>
    <w:rsid w:val="00900E3B"/>
    <w:rsid w:val="009120F5"/>
    <w:rsid w:val="0092131B"/>
    <w:rsid w:val="0092191E"/>
    <w:rsid w:val="00923085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7BA7"/>
    <w:rsid w:val="009711F9"/>
    <w:rsid w:val="0097138F"/>
    <w:rsid w:val="00972DF0"/>
    <w:rsid w:val="00974F4E"/>
    <w:rsid w:val="00976AEB"/>
    <w:rsid w:val="00977842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4849"/>
    <w:rsid w:val="009C714F"/>
    <w:rsid w:val="009C7782"/>
    <w:rsid w:val="009D3CE0"/>
    <w:rsid w:val="009D422E"/>
    <w:rsid w:val="009D43DE"/>
    <w:rsid w:val="009D6D67"/>
    <w:rsid w:val="009E1ADB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3933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2671"/>
    <w:rsid w:val="00A9451E"/>
    <w:rsid w:val="00AA3B73"/>
    <w:rsid w:val="00AA7C24"/>
    <w:rsid w:val="00AB10D9"/>
    <w:rsid w:val="00AB1FB4"/>
    <w:rsid w:val="00AB4143"/>
    <w:rsid w:val="00AC5DB8"/>
    <w:rsid w:val="00AD05D9"/>
    <w:rsid w:val="00AD580C"/>
    <w:rsid w:val="00AE5DE7"/>
    <w:rsid w:val="00AF3851"/>
    <w:rsid w:val="00AF6350"/>
    <w:rsid w:val="00B02E63"/>
    <w:rsid w:val="00B14CF6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30F5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5BA"/>
    <w:rsid w:val="00BD516F"/>
    <w:rsid w:val="00BD647E"/>
    <w:rsid w:val="00BE5C7C"/>
    <w:rsid w:val="00BF03AD"/>
    <w:rsid w:val="00BF2FDF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73"/>
    <w:rsid w:val="00C910BE"/>
    <w:rsid w:val="00C91C15"/>
    <w:rsid w:val="00C92567"/>
    <w:rsid w:val="00C930F7"/>
    <w:rsid w:val="00C97A5C"/>
    <w:rsid w:val="00CA7AA4"/>
    <w:rsid w:val="00CA7C3D"/>
    <w:rsid w:val="00CB0B25"/>
    <w:rsid w:val="00CB1F7C"/>
    <w:rsid w:val="00CB2A85"/>
    <w:rsid w:val="00CB4C8E"/>
    <w:rsid w:val="00CC253D"/>
    <w:rsid w:val="00CC61DB"/>
    <w:rsid w:val="00CD0A9B"/>
    <w:rsid w:val="00CE344D"/>
    <w:rsid w:val="00CE34C9"/>
    <w:rsid w:val="00CE5396"/>
    <w:rsid w:val="00CE617B"/>
    <w:rsid w:val="00CF1641"/>
    <w:rsid w:val="00CF3148"/>
    <w:rsid w:val="00CF4755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24419"/>
    <w:rsid w:val="00D328A2"/>
    <w:rsid w:val="00D332D3"/>
    <w:rsid w:val="00D47073"/>
    <w:rsid w:val="00D504C2"/>
    <w:rsid w:val="00D506F5"/>
    <w:rsid w:val="00D51DA8"/>
    <w:rsid w:val="00D56A38"/>
    <w:rsid w:val="00D60FBB"/>
    <w:rsid w:val="00D7467B"/>
    <w:rsid w:val="00D761DD"/>
    <w:rsid w:val="00D8118C"/>
    <w:rsid w:val="00D81B26"/>
    <w:rsid w:val="00D83320"/>
    <w:rsid w:val="00D83610"/>
    <w:rsid w:val="00D86E0C"/>
    <w:rsid w:val="00D9054F"/>
    <w:rsid w:val="00D93B8E"/>
    <w:rsid w:val="00D94A44"/>
    <w:rsid w:val="00D97B31"/>
    <w:rsid w:val="00DA6203"/>
    <w:rsid w:val="00DB08FB"/>
    <w:rsid w:val="00DB1EC0"/>
    <w:rsid w:val="00DB2338"/>
    <w:rsid w:val="00DB5BF8"/>
    <w:rsid w:val="00DC1A7C"/>
    <w:rsid w:val="00DC3CE2"/>
    <w:rsid w:val="00DC4001"/>
    <w:rsid w:val="00DD2204"/>
    <w:rsid w:val="00DD235F"/>
    <w:rsid w:val="00DD25D8"/>
    <w:rsid w:val="00DD2F8B"/>
    <w:rsid w:val="00DD62CA"/>
    <w:rsid w:val="00DE4A3F"/>
    <w:rsid w:val="00DE5D05"/>
    <w:rsid w:val="00DF1E48"/>
    <w:rsid w:val="00E020D5"/>
    <w:rsid w:val="00E0468A"/>
    <w:rsid w:val="00E05114"/>
    <w:rsid w:val="00E10459"/>
    <w:rsid w:val="00E17403"/>
    <w:rsid w:val="00E24232"/>
    <w:rsid w:val="00E40C87"/>
    <w:rsid w:val="00E42F28"/>
    <w:rsid w:val="00E4662B"/>
    <w:rsid w:val="00E47A08"/>
    <w:rsid w:val="00E501B8"/>
    <w:rsid w:val="00E52A0D"/>
    <w:rsid w:val="00E53778"/>
    <w:rsid w:val="00E5517D"/>
    <w:rsid w:val="00E55E1E"/>
    <w:rsid w:val="00E61324"/>
    <w:rsid w:val="00E62CF7"/>
    <w:rsid w:val="00E67E16"/>
    <w:rsid w:val="00E71BF7"/>
    <w:rsid w:val="00E71E72"/>
    <w:rsid w:val="00E73DC8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766"/>
    <w:rsid w:val="00EE4B54"/>
    <w:rsid w:val="00EE5220"/>
    <w:rsid w:val="00EE73BD"/>
    <w:rsid w:val="00EF3669"/>
    <w:rsid w:val="00EF55B4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1440"/>
    <w:rsid w:val="00F4582E"/>
    <w:rsid w:val="00F53260"/>
    <w:rsid w:val="00F534FB"/>
    <w:rsid w:val="00F56B3B"/>
    <w:rsid w:val="00F570CD"/>
    <w:rsid w:val="00F67C6B"/>
    <w:rsid w:val="00F71001"/>
    <w:rsid w:val="00F71BA2"/>
    <w:rsid w:val="00F71C27"/>
    <w:rsid w:val="00F72B35"/>
    <w:rsid w:val="00F87CE8"/>
    <w:rsid w:val="00F933F8"/>
    <w:rsid w:val="00FA4171"/>
    <w:rsid w:val="00FA4A39"/>
    <w:rsid w:val="00FB36DF"/>
    <w:rsid w:val="00FB61E4"/>
    <w:rsid w:val="00FD31EE"/>
    <w:rsid w:val="00FD378B"/>
    <w:rsid w:val="00FD3E3B"/>
    <w:rsid w:val="00FD3E63"/>
    <w:rsid w:val="00FD4D9D"/>
    <w:rsid w:val="00FD5A94"/>
    <w:rsid w:val="00FE0837"/>
    <w:rsid w:val="00FE2780"/>
    <w:rsid w:val="00FE2D19"/>
    <w:rsid w:val="00FE3862"/>
    <w:rsid w:val="00FE409D"/>
    <w:rsid w:val="00FE7474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66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C0E4-2B70-43D9-83E6-ADFE6B36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1553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Emiro.Gonzalez</cp:lastModifiedBy>
  <cp:revision>4</cp:revision>
  <cp:lastPrinted>2019-05-17T21:23:00Z</cp:lastPrinted>
  <dcterms:created xsi:type="dcterms:W3CDTF">2020-10-15T21:24:00Z</dcterms:created>
  <dcterms:modified xsi:type="dcterms:W3CDTF">2020-10-15T21:59:00Z</dcterms:modified>
</cp:coreProperties>
</file>