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A27" w:rsidRPr="001F47E2" w:rsidRDefault="00477CF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Honorable Re</w:t>
      </w:r>
      <w:r w:rsidRPr="00517408">
        <w:rPr>
          <w:rFonts w:ascii="Times New Roman" w:eastAsia="Times New Roman" w:hAnsi="Times New Roman" w:cs="Times New Roman"/>
          <w:color w:val="000000"/>
          <w:sz w:val="24"/>
          <w:szCs w:val="24"/>
        </w:rPr>
        <w:t xml:space="preserve">presentante </w:t>
      </w:r>
    </w:p>
    <w:p w:rsidR="00B66A27" w:rsidRPr="001F47E2" w:rsidRDefault="00477CF4">
      <w:pPr>
        <w:pBdr>
          <w:top w:val="nil"/>
          <w:left w:val="nil"/>
          <w:bottom w:val="nil"/>
          <w:right w:val="nil"/>
          <w:between w:val="nil"/>
        </w:pBdr>
        <w:spacing w:after="0" w:line="240" w:lineRule="auto"/>
        <w:rPr>
          <w:rFonts w:ascii="Times New Roman" w:eastAsia="Times New Roman" w:hAnsi="Times New Roman" w:cs="Times New Roman"/>
          <w:color w:val="000000"/>
        </w:rPr>
      </w:pPr>
      <w:r w:rsidRPr="001F47E2">
        <w:rPr>
          <w:rFonts w:ascii="Times New Roman" w:eastAsia="Times New Roman" w:hAnsi="Times New Roman" w:cs="Times New Roman"/>
          <w:b/>
          <w:color w:val="000000"/>
        </w:rPr>
        <w:t xml:space="preserve">ALFREDO RAFAEL DELUQUE ZULETA </w:t>
      </w:r>
    </w:p>
    <w:p w:rsidR="00B66A27" w:rsidRPr="001F47E2" w:rsidRDefault="00477CF4">
      <w:pPr>
        <w:pBdr>
          <w:top w:val="nil"/>
          <w:left w:val="nil"/>
          <w:bottom w:val="nil"/>
          <w:right w:val="nil"/>
          <w:between w:val="nil"/>
        </w:pBdr>
        <w:spacing w:after="0" w:line="240" w:lineRule="auto"/>
        <w:rPr>
          <w:rFonts w:ascii="Times New Roman" w:eastAsia="Times New Roman" w:hAnsi="Times New Roman" w:cs="Times New Roman"/>
          <w:color w:val="000000"/>
        </w:rPr>
      </w:pPr>
      <w:r w:rsidRPr="001F47E2">
        <w:rPr>
          <w:rFonts w:ascii="Times New Roman" w:eastAsia="Times New Roman" w:hAnsi="Times New Roman" w:cs="Times New Roman"/>
          <w:color w:val="000000"/>
        </w:rPr>
        <w:t xml:space="preserve">Presidente </w:t>
      </w:r>
    </w:p>
    <w:p w:rsidR="00B66A27" w:rsidRPr="001F47E2" w:rsidRDefault="00477CF4">
      <w:pPr>
        <w:pBdr>
          <w:top w:val="nil"/>
          <w:left w:val="nil"/>
          <w:bottom w:val="nil"/>
          <w:right w:val="nil"/>
          <w:between w:val="nil"/>
        </w:pBdr>
        <w:spacing w:after="0" w:line="240" w:lineRule="auto"/>
        <w:rPr>
          <w:rFonts w:ascii="Times New Roman" w:eastAsia="Times New Roman" w:hAnsi="Times New Roman" w:cs="Times New Roman"/>
          <w:color w:val="000000"/>
        </w:rPr>
      </w:pPr>
      <w:r w:rsidRPr="001F47E2">
        <w:rPr>
          <w:rFonts w:ascii="Times New Roman" w:eastAsia="Times New Roman" w:hAnsi="Times New Roman" w:cs="Times New Roman"/>
          <w:color w:val="000000"/>
        </w:rPr>
        <w:t xml:space="preserve">Comisión Primera Constitucional Permanente </w:t>
      </w:r>
    </w:p>
    <w:p w:rsidR="00B66A27" w:rsidRPr="001F47E2" w:rsidRDefault="00477CF4">
      <w:pPr>
        <w:pBdr>
          <w:top w:val="nil"/>
          <w:left w:val="nil"/>
          <w:bottom w:val="nil"/>
          <w:right w:val="nil"/>
          <w:between w:val="nil"/>
        </w:pBdr>
        <w:spacing w:after="0" w:line="240" w:lineRule="auto"/>
        <w:rPr>
          <w:rFonts w:ascii="Times New Roman" w:eastAsia="Times New Roman" w:hAnsi="Times New Roman" w:cs="Times New Roman"/>
          <w:color w:val="000000"/>
        </w:rPr>
      </w:pPr>
      <w:r w:rsidRPr="001F47E2">
        <w:rPr>
          <w:rFonts w:ascii="Times New Roman" w:eastAsia="Times New Roman" w:hAnsi="Times New Roman" w:cs="Times New Roman"/>
          <w:color w:val="000000"/>
        </w:rPr>
        <w:t xml:space="preserve">Cámara de representantes </w:t>
      </w:r>
    </w:p>
    <w:p w:rsidR="00B66A27" w:rsidRPr="001F47E2" w:rsidRDefault="0018163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
    <w:p w:rsidR="00B66A27" w:rsidRPr="001F47E2" w:rsidRDefault="00B66A27">
      <w:pPr>
        <w:pBdr>
          <w:top w:val="nil"/>
          <w:left w:val="nil"/>
          <w:bottom w:val="nil"/>
          <w:right w:val="nil"/>
          <w:between w:val="nil"/>
        </w:pBdr>
        <w:spacing w:after="0" w:line="240" w:lineRule="auto"/>
        <w:rPr>
          <w:rFonts w:ascii="Times New Roman" w:eastAsia="Times New Roman" w:hAnsi="Times New Roman" w:cs="Times New Roman"/>
          <w:color w:val="000000"/>
        </w:rPr>
      </w:pPr>
    </w:p>
    <w:p w:rsidR="00B66A27" w:rsidRPr="001F47E2" w:rsidRDefault="00477CF4">
      <w:pPr>
        <w:pBdr>
          <w:top w:val="nil"/>
          <w:left w:val="nil"/>
          <w:bottom w:val="nil"/>
          <w:right w:val="nil"/>
          <w:between w:val="nil"/>
        </w:pBdr>
        <w:shd w:val="clear" w:color="auto" w:fill="FFFFFF"/>
        <w:spacing w:before="280" w:after="280" w:line="276" w:lineRule="auto"/>
        <w:jc w:val="both"/>
        <w:rPr>
          <w:rFonts w:ascii="Times New Roman" w:eastAsia="Arial Narrow" w:hAnsi="Times New Roman" w:cs="Times New Roman"/>
          <w:color w:val="000000"/>
        </w:rPr>
      </w:pPr>
      <w:r w:rsidRPr="001F47E2">
        <w:rPr>
          <w:rFonts w:ascii="Times New Roman" w:eastAsia="Times New Roman" w:hAnsi="Times New Roman" w:cs="Times New Roman"/>
          <w:b/>
          <w:color w:val="000000"/>
        </w:rPr>
        <w:t xml:space="preserve">REFERENCIA: </w:t>
      </w:r>
      <w:r w:rsidRPr="001F47E2">
        <w:rPr>
          <w:rFonts w:ascii="Times New Roman" w:eastAsia="Times New Roman" w:hAnsi="Times New Roman" w:cs="Times New Roman"/>
          <w:color w:val="000000"/>
        </w:rPr>
        <w:t xml:space="preserve">INFORME DE PONENCIA POSITIVA PARA PRIMER DEBATE AL PROYECTO DE LEY NO 211 DE 2020 CÁMARA </w:t>
      </w:r>
      <w:r w:rsidRPr="001F47E2">
        <w:rPr>
          <w:rFonts w:ascii="Times New Roman" w:eastAsia="Arial Narrow" w:hAnsi="Times New Roman" w:cs="Times New Roman"/>
          <w:color w:val="000000"/>
        </w:rPr>
        <w:t>“</w:t>
      </w:r>
      <w:r w:rsidRPr="001F47E2">
        <w:rPr>
          <w:rFonts w:ascii="Times New Roman" w:eastAsia="Arial Narrow" w:hAnsi="Times New Roman" w:cs="Times New Roman"/>
          <w:i/>
          <w:color w:val="000000"/>
        </w:rPr>
        <w:t>POR MEDIO DE LA CUAL SE TOMAN MEDIDAS PARA GARANTIZAR LA PROTESTA PACÍFICA Y SE CREAN TIPOS PENALES”.</w:t>
      </w: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0" w:line="240" w:lineRule="auto"/>
        <w:rPr>
          <w:rFonts w:ascii="Times New Roman" w:eastAsia="Times New Roman" w:hAnsi="Times New Roman" w:cs="Times New Roman"/>
          <w:color w:val="000000"/>
        </w:rPr>
      </w:pPr>
    </w:p>
    <w:p w:rsidR="00B66A27" w:rsidRPr="001F47E2" w:rsidRDefault="00477CF4">
      <w:pPr>
        <w:pBdr>
          <w:top w:val="nil"/>
          <w:left w:val="nil"/>
          <w:bottom w:val="nil"/>
          <w:right w:val="nil"/>
          <w:between w:val="nil"/>
        </w:pBdr>
        <w:spacing w:after="0" w:line="240" w:lineRule="auto"/>
        <w:rPr>
          <w:rFonts w:ascii="Times New Roman" w:eastAsia="Times New Roman" w:hAnsi="Times New Roman" w:cs="Times New Roman"/>
          <w:color w:val="000000"/>
        </w:rPr>
      </w:pPr>
      <w:r w:rsidRPr="001F47E2">
        <w:rPr>
          <w:rFonts w:ascii="Times New Roman" w:eastAsia="Times New Roman" w:hAnsi="Times New Roman" w:cs="Times New Roman"/>
          <w:color w:val="000000"/>
        </w:rPr>
        <w:t xml:space="preserve">Señor Presidente: </w:t>
      </w:r>
    </w:p>
    <w:p w:rsidR="00B66A27" w:rsidRPr="001F47E2" w:rsidRDefault="00B66A27">
      <w:pPr>
        <w:pBdr>
          <w:top w:val="nil"/>
          <w:left w:val="nil"/>
          <w:bottom w:val="nil"/>
          <w:right w:val="nil"/>
          <w:between w:val="nil"/>
        </w:pBdr>
        <w:spacing w:after="0" w:line="240" w:lineRule="auto"/>
        <w:rPr>
          <w:rFonts w:ascii="Times New Roman" w:eastAsia="Times New Roman"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F47E2">
        <w:rPr>
          <w:rFonts w:ascii="Times New Roman" w:eastAsia="Times New Roman" w:hAnsi="Times New Roman" w:cs="Times New Roman"/>
          <w:color w:val="000000"/>
        </w:rPr>
        <w:t>En cumplimiento del honroso encargo impartido, y en cumplimiento del mandato constitucional y de lo dispuesto por la Ley 5 de 1992, por la cual se expide el reglamento del Congreso procedo a rendir informe de ponencia POSITIVA  al Proyecto de Ley No 211 de 2020 Cámara “Por medio de la cual se toman medidas para garantizar la protesta pacífica y se crean tipos penales”</w:t>
      </w: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477CF4">
      <w:pPr>
        <w:pBdr>
          <w:top w:val="nil"/>
          <w:left w:val="nil"/>
          <w:bottom w:val="nil"/>
          <w:right w:val="nil"/>
          <w:between w:val="nil"/>
        </w:pBdr>
        <w:spacing w:after="0" w:line="240" w:lineRule="auto"/>
        <w:rPr>
          <w:rFonts w:ascii="Times New Roman" w:eastAsia="Times New Roman" w:hAnsi="Times New Roman" w:cs="Times New Roman"/>
          <w:color w:val="000000"/>
        </w:rPr>
      </w:pPr>
      <w:r w:rsidRPr="001F47E2">
        <w:rPr>
          <w:rFonts w:ascii="Times New Roman" w:eastAsia="Times New Roman" w:hAnsi="Times New Roman" w:cs="Times New Roman"/>
          <w:color w:val="000000"/>
        </w:rPr>
        <w:t xml:space="preserve">Con el fin de rendir la referida ponencia se desarrollará los siguientes puntos: </w:t>
      </w:r>
    </w:p>
    <w:p w:rsidR="00B66A27" w:rsidRPr="001F47E2" w:rsidRDefault="00B66A27">
      <w:pPr>
        <w:pBdr>
          <w:top w:val="nil"/>
          <w:left w:val="nil"/>
          <w:bottom w:val="nil"/>
          <w:right w:val="nil"/>
          <w:between w:val="nil"/>
        </w:pBdr>
        <w:spacing w:after="0" w:line="240" w:lineRule="auto"/>
        <w:rPr>
          <w:rFonts w:ascii="Times New Roman" w:eastAsia="Times New Roman" w:hAnsi="Times New Roman" w:cs="Times New Roman"/>
          <w:color w:val="000000"/>
        </w:rPr>
      </w:pPr>
    </w:p>
    <w:p w:rsidR="00B66A27" w:rsidRPr="001F47E2" w:rsidRDefault="00477CF4">
      <w:pPr>
        <w:numPr>
          <w:ilvl w:val="0"/>
          <w:numId w:val="3"/>
        </w:numPr>
        <w:pBdr>
          <w:top w:val="nil"/>
          <w:left w:val="nil"/>
          <w:bottom w:val="nil"/>
          <w:right w:val="nil"/>
          <w:between w:val="nil"/>
        </w:pBdr>
        <w:spacing w:after="17" w:line="240" w:lineRule="auto"/>
        <w:rPr>
          <w:rFonts w:ascii="Times New Roman" w:eastAsia="Times New Roman" w:hAnsi="Times New Roman" w:cs="Times New Roman"/>
        </w:rPr>
      </w:pPr>
      <w:r w:rsidRPr="001F47E2">
        <w:rPr>
          <w:rFonts w:ascii="Times New Roman" w:eastAsia="Times New Roman" w:hAnsi="Times New Roman" w:cs="Times New Roman"/>
          <w:color w:val="000000"/>
        </w:rPr>
        <w:t>Antecedentes de la iniciativa legislativa</w:t>
      </w:r>
    </w:p>
    <w:p w:rsidR="00B66A27" w:rsidRPr="004F4652" w:rsidRDefault="00477CF4" w:rsidP="004F4652">
      <w:pPr>
        <w:numPr>
          <w:ilvl w:val="0"/>
          <w:numId w:val="3"/>
        </w:numPr>
        <w:pBdr>
          <w:top w:val="nil"/>
          <w:left w:val="nil"/>
          <w:bottom w:val="nil"/>
          <w:right w:val="nil"/>
          <w:between w:val="nil"/>
        </w:pBdr>
        <w:spacing w:after="12" w:line="240" w:lineRule="auto"/>
        <w:rPr>
          <w:rFonts w:ascii="Times New Roman" w:eastAsia="Times New Roman" w:hAnsi="Times New Roman" w:cs="Times New Roman"/>
        </w:rPr>
      </w:pPr>
      <w:r w:rsidRPr="001F47E2">
        <w:rPr>
          <w:rFonts w:ascii="Times New Roman" w:eastAsia="Times New Roman" w:hAnsi="Times New Roman" w:cs="Times New Roman"/>
          <w:color w:val="000000"/>
        </w:rPr>
        <w:t xml:space="preserve">Justificación de la ponencia </w:t>
      </w:r>
    </w:p>
    <w:p w:rsidR="00B66A27" w:rsidRPr="001F47E2" w:rsidRDefault="00477CF4">
      <w:pPr>
        <w:numPr>
          <w:ilvl w:val="0"/>
          <w:numId w:val="3"/>
        </w:numPr>
        <w:pBdr>
          <w:top w:val="nil"/>
          <w:left w:val="nil"/>
          <w:bottom w:val="nil"/>
          <w:right w:val="nil"/>
          <w:between w:val="nil"/>
        </w:pBdr>
        <w:spacing w:after="12" w:line="240" w:lineRule="auto"/>
        <w:rPr>
          <w:rFonts w:ascii="Times New Roman" w:eastAsia="Times New Roman" w:hAnsi="Times New Roman" w:cs="Times New Roman"/>
        </w:rPr>
      </w:pPr>
      <w:r w:rsidRPr="001F47E2">
        <w:rPr>
          <w:rFonts w:ascii="Times New Roman" w:eastAsia="Times New Roman" w:hAnsi="Times New Roman" w:cs="Times New Roman"/>
          <w:color w:val="000000"/>
        </w:rPr>
        <w:t>Pliego de modificaciones</w:t>
      </w:r>
    </w:p>
    <w:p w:rsidR="00B66A27" w:rsidRPr="001F47E2" w:rsidRDefault="004F4652">
      <w:pPr>
        <w:numPr>
          <w:ilvl w:val="0"/>
          <w:numId w:val="3"/>
        </w:numPr>
        <w:pBdr>
          <w:top w:val="nil"/>
          <w:left w:val="nil"/>
          <w:bottom w:val="nil"/>
          <w:right w:val="nil"/>
          <w:between w:val="nil"/>
        </w:pBdr>
        <w:spacing w:after="12" w:line="240" w:lineRule="auto"/>
        <w:rPr>
          <w:rFonts w:ascii="Times New Roman" w:eastAsia="Times New Roman" w:hAnsi="Times New Roman" w:cs="Times New Roman"/>
        </w:rPr>
      </w:pPr>
      <w:r>
        <w:rPr>
          <w:rFonts w:ascii="Times New Roman" w:eastAsia="Times New Roman" w:hAnsi="Times New Roman" w:cs="Times New Roman"/>
          <w:color w:val="000000"/>
        </w:rPr>
        <w:t>Conclusión</w:t>
      </w:r>
    </w:p>
    <w:p w:rsidR="00B66A27" w:rsidRPr="001F47E2" w:rsidRDefault="00477CF4">
      <w:pPr>
        <w:numPr>
          <w:ilvl w:val="0"/>
          <w:numId w:val="3"/>
        </w:numPr>
        <w:pBdr>
          <w:top w:val="nil"/>
          <w:left w:val="nil"/>
          <w:bottom w:val="nil"/>
          <w:right w:val="nil"/>
          <w:between w:val="nil"/>
        </w:pBdr>
        <w:spacing w:after="12" w:line="240" w:lineRule="auto"/>
        <w:rPr>
          <w:rFonts w:ascii="Times New Roman" w:eastAsia="Times New Roman" w:hAnsi="Times New Roman" w:cs="Times New Roman"/>
        </w:rPr>
      </w:pPr>
      <w:r w:rsidRPr="001F47E2">
        <w:rPr>
          <w:rFonts w:ascii="Times New Roman" w:eastAsia="Times New Roman" w:hAnsi="Times New Roman" w:cs="Times New Roman"/>
          <w:color w:val="000000"/>
        </w:rPr>
        <w:t>Proposición</w:t>
      </w:r>
    </w:p>
    <w:p w:rsidR="00B66A27" w:rsidRPr="004F4652" w:rsidRDefault="00477CF4">
      <w:pPr>
        <w:numPr>
          <w:ilvl w:val="0"/>
          <w:numId w:val="3"/>
        </w:numPr>
        <w:pBdr>
          <w:top w:val="nil"/>
          <w:left w:val="nil"/>
          <w:bottom w:val="nil"/>
          <w:right w:val="nil"/>
          <w:between w:val="nil"/>
        </w:pBdr>
        <w:spacing w:after="12" w:line="240" w:lineRule="auto"/>
        <w:rPr>
          <w:rFonts w:ascii="Times New Roman" w:eastAsia="Times New Roman" w:hAnsi="Times New Roman" w:cs="Times New Roman"/>
        </w:rPr>
      </w:pPr>
      <w:r w:rsidRPr="001F47E2">
        <w:rPr>
          <w:rFonts w:ascii="Times New Roman" w:eastAsia="Times New Roman" w:hAnsi="Times New Roman" w:cs="Times New Roman"/>
          <w:color w:val="000000"/>
        </w:rPr>
        <w:t>Texto Propuesto para primer debate</w:t>
      </w:r>
    </w:p>
    <w:p w:rsidR="004F4652" w:rsidRDefault="004F4652" w:rsidP="004F4652">
      <w:pPr>
        <w:pBdr>
          <w:top w:val="nil"/>
          <w:left w:val="nil"/>
          <w:bottom w:val="nil"/>
          <w:right w:val="nil"/>
          <w:between w:val="nil"/>
        </w:pBdr>
        <w:spacing w:after="12" w:line="240" w:lineRule="auto"/>
        <w:ind w:left="720"/>
        <w:rPr>
          <w:rFonts w:ascii="Times New Roman" w:eastAsia="Times New Roman" w:hAnsi="Times New Roman" w:cs="Times New Roman"/>
          <w:color w:val="000000"/>
        </w:rPr>
      </w:pPr>
    </w:p>
    <w:p w:rsidR="004F4652" w:rsidRPr="001F47E2" w:rsidRDefault="004F4652" w:rsidP="004F4652">
      <w:pPr>
        <w:pBdr>
          <w:top w:val="nil"/>
          <w:left w:val="nil"/>
          <w:bottom w:val="nil"/>
          <w:right w:val="nil"/>
          <w:between w:val="nil"/>
        </w:pBdr>
        <w:spacing w:after="12" w:line="240" w:lineRule="auto"/>
        <w:ind w:left="720"/>
        <w:rPr>
          <w:rFonts w:ascii="Times New Roman" w:eastAsia="Times New Roman" w:hAnsi="Times New Roman" w:cs="Times New Roman"/>
        </w:rPr>
      </w:pPr>
    </w:p>
    <w:p w:rsidR="00B66A27" w:rsidRPr="001F47E2" w:rsidRDefault="00B66A27">
      <w:pPr>
        <w:pBdr>
          <w:top w:val="nil"/>
          <w:left w:val="nil"/>
          <w:bottom w:val="nil"/>
          <w:right w:val="nil"/>
          <w:between w:val="nil"/>
        </w:pBdr>
        <w:spacing w:after="12" w:line="240" w:lineRule="auto"/>
        <w:rPr>
          <w:rFonts w:ascii="Times New Roman" w:eastAsia="Times New Roman" w:hAnsi="Times New Roman" w:cs="Times New Roman"/>
          <w:color w:val="000000"/>
        </w:rPr>
      </w:pPr>
    </w:p>
    <w:p w:rsidR="00B66A27" w:rsidRPr="001F47E2" w:rsidRDefault="00477CF4">
      <w:pPr>
        <w:pBdr>
          <w:top w:val="nil"/>
          <w:left w:val="nil"/>
          <w:bottom w:val="nil"/>
          <w:right w:val="nil"/>
          <w:between w:val="nil"/>
        </w:pBdr>
        <w:spacing w:after="12" w:line="240" w:lineRule="auto"/>
        <w:rPr>
          <w:rFonts w:ascii="Times New Roman" w:eastAsia="Times New Roman" w:hAnsi="Times New Roman" w:cs="Times New Roman"/>
          <w:color w:val="000000"/>
        </w:rPr>
      </w:pPr>
      <w:r w:rsidRPr="001F47E2">
        <w:rPr>
          <w:rFonts w:ascii="Times New Roman" w:eastAsia="Times New Roman" w:hAnsi="Times New Roman" w:cs="Times New Roman"/>
          <w:color w:val="000000"/>
        </w:rPr>
        <w:t xml:space="preserve">Cordialmente, </w:t>
      </w:r>
    </w:p>
    <w:p w:rsidR="00B66A27" w:rsidRPr="001F47E2" w:rsidRDefault="00B66A27">
      <w:pPr>
        <w:pBdr>
          <w:top w:val="nil"/>
          <w:left w:val="nil"/>
          <w:bottom w:val="nil"/>
          <w:right w:val="nil"/>
          <w:between w:val="nil"/>
        </w:pBdr>
        <w:spacing w:after="12" w:line="240" w:lineRule="auto"/>
        <w:rPr>
          <w:rFonts w:ascii="Times New Roman" w:eastAsia="Times New Roman" w:hAnsi="Times New Roman" w:cs="Times New Roman"/>
          <w:color w:val="000000"/>
        </w:rPr>
      </w:pPr>
    </w:p>
    <w:p w:rsidR="00B66A27" w:rsidRDefault="00B66A27">
      <w:pPr>
        <w:pBdr>
          <w:top w:val="nil"/>
          <w:left w:val="nil"/>
          <w:bottom w:val="nil"/>
          <w:right w:val="nil"/>
          <w:between w:val="nil"/>
        </w:pBdr>
        <w:spacing w:after="12" w:line="240" w:lineRule="auto"/>
        <w:rPr>
          <w:rFonts w:ascii="Times New Roman" w:eastAsia="Times New Roman" w:hAnsi="Times New Roman" w:cs="Times New Roman"/>
          <w:color w:val="000000"/>
        </w:rPr>
      </w:pPr>
    </w:p>
    <w:p w:rsidR="000D0D11" w:rsidRDefault="000D0D11" w:rsidP="000D0D1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D0D11" w:rsidRDefault="000D0D11" w:rsidP="000D0D11">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0" w:name="_GoBack"/>
      <w:bookmarkEnd w:id="0"/>
    </w:p>
    <w:p w:rsidR="000D0D11" w:rsidRPr="001F47E2" w:rsidRDefault="000D0D11" w:rsidP="000D0D1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D0D11" w:rsidRPr="001F47E2" w:rsidRDefault="000D0D11" w:rsidP="000D0D1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D0D11" w:rsidRDefault="000D0D11" w:rsidP="000D0D1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D0D11" w:rsidRPr="001F47E2" w:rsidRDefault="000D0D11" w:rsidP="000D0D1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D0D11" w:rsidRPr="001F47E2" w:rsidRDefault="000D0D11" w:rsidP="000D0D11">
      <w:pPr>
        <w:pBdr>
          <w:top w:val="nil"/>
          <w:left w:val="nil"/>
          <w:bottom w:val="nil"/>
          <w:right w:val="nil"/>
          <w:between w:val="nil"/>
        </w:pBdr>
        <w:spacing w:after="0" w:line="240" w:lineRule="auto"/>
        <w:rPr>
          <w:rFonts w:ascii="Times New Roman" w:eastAsia="Times New Roman" w:hAnsi="Times New Roman" w:cs="Times New Roman"/>
          <w:color w:val="000000"/>
        </w:rPr>
      </w:pPr>
      <w:r w:rsidRPr="001F47E2">
        <w:rPr>
          <w:rFonts w:ascii="Times New Roman" w:eastAsia="Times New Roman" w:hAnsi="Times New Roman" w:cs="Times New Roman"/>
          <w:b/>
          <w:color w:val="000000"/>
        </w:rPr>
        <w:t>OSCAR LEONARDO VILLAMIZAR MENESES</w:t>
      </w:r>
      <w:r>
        <w:rPr>
          <w:rFonts w:ascii="Times New Roman" w:eastAsia="Times New Roman" w:hAnsi="Times New Roman" w:cs="Times New Roman"/>
          <w:b/>
          <w:color w:val="000000"/>
        </w:rPr>
        <w:t xml:space="preserve">      JOSE GUSTAVO PADILLA OROZCO</w:t>
      </w:r>
    </w:p>
    <w:p w:rsidR="000D0D11" w:rsidRPr="001F47E2" w:rsidRDefault="000D0D11" w:rsidP="000D0D11">
      <w:pPr>
        <w:pBdr>
          <w:top w:val="nil"/>
          <w:left w:val="nil"/>
          <w:bottom w:val="nil"/>
          <w:right w:val="nil"/>
          <w:between w:val="nil"/>
        </w:pBdr>
        <w:spacing w:after="0" w:line="240" w:lineRule="auto"/>
        <w:rPr>
          <w:rFonts w:ascii="Times New Roman" w:eastAsia="Times New Roman" w:hAnsi="Times New Roman" w:cs="Times New Roman"/>
          <w:color w:val="000000"/>
        </w:rPr>
      </w:pPr>
      <w:r w:rsidRPr="001F47E2">
        <w:rPr>
          <w:rFonts w:ascii="Times New Roman" w:eastAsia="Times New Roman" w:hAnsi="Times New Roman" w:cs="Times New Roman"/>
          <w:color w:val="000000"/>
        </w:rPr>
        <w:t>Representante a la Cámara por Santander</w:t>
      </w:r>
      <w:r>
        <w:rPr>
          <w:rFonts w:ascii="Times New Roman" w:eastAsia="Times New Roman" w:hAnsi="Times New Roman" w:cs="Times New Roman"/>
          <w:color w:val="000000"/>
        </w:rPr>
        <w:t xml:space="preserve">                         Representante a la Cámara Valle del Cauca</w:t>
      </w:r>
    </w:p>
    <w:p w:rsidR="000D0D11" w:rsidRPr="001F47E2" w:rsidRDefault="000D0D11" w:rsidP="000D0D11">
      <w:pPr>
        <w:pBdr>
          <w:top w:val="nil"/>
          <w:left w:val="nil"/>
          <w:bottom w:val="nil"/>
          <w:right w:val="nil"/>
          <w:between w:val="nil"/>
        </w:pBdr>
        <w:spacing w:after="0" w:line="240" w:lineRule="auto"/>
        <w:rPr>
          <w:rFonts w:ascii="Times New Roman" w:eastAsia="Times New Roman" w:hAnsi="Times New Roman" w:cs="Times New Roman"/>
          <w:color w:val="000000"/>
        </w:rPr>
      </w:pPr>
      <w:r w:rsidRPr="001F47E2">
        <w:rPr>
          <w:rFonts w:ascii="Times New Roman" w:eastAsia="Times New Roman" w:hAnsi="Times New Roman" w:cs="Times New Roman"/>
          <w:color w:val="000000"/>
        </w:rPr>
        <w:t>Coordinador Ponente</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Ponente</w:t>
      </w:r>
      <w:proofErr w:type="spellEnd"/>
    </w:p>
    <w:p w:rsidR="004F4652" w:rsidRDefault="004F4652">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4F4652" w:rsidRPr="001F47E2" w:rsidRDefault="004F4652">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12" w:line="240" w:lineRule="auto"/>
        <w:rPr>
          <w:rFonts w:ascii="Times New Roman" w:eastAsia="Times New Roman" w:hAnsi="Times New Roman" w:cs="Times New Roman"/>
          <w:color w:val="000000"/>
        </w:rPr>
      </w:pPr>
    </w:p>
    <w:p w:rsidR="00B66A27" w:rsidRPr="001F47E2" w:rsidRDefault="00477CF4">
      <w:pPr>
        <w:pBdr>
          <w:top w:val="nil"/>
          <w:left w:val="nil"/>
          <w:bottom w:val="nil"/>
          <w:right w:val="nil"/>
          <w:between w:val="nil"/>
        </w:pBdr>
        <w:spacing w:after="12" w:line="240" w:lineRule="auto"/>
        <w:jc w:val="center"/>
        <w:rPr>
          <w:rFonts w:ascii="Times New Roman" w:eastAsia="Times New Roman" w:hAnsi="Times New Roman" w:cs="Times New Roman"/>
          <w:color w:val="000000"/>
        </w:rPr>
      </w:pPr>
      <w:r w:rsidRPr="001F47E2">
        <w:rPr>
          <w:rFonts w:ascii="Times New Roman" w:eastAsia="Times New Roman" w:hAnsi="Times New Roman" w:cs="Times New Roman"/>
          <w:color w:val="000000"/>
        </w:rPr>
        <w:lastRenderedPageBreak/>
        <w:t xml:space="preserve">INFORME DE PONENCIA POSITIVA PARA PRIMER DEBATE AL </w:t>
      </w:r>
      <w:r w:rsidRPr="001F47E2">
        <w:rPr>
          <w:rFonts w:ascii="Times New Roman" w:eastAsia="Arial" w:hAnsi="Times New Roman" w:cs="Times New Roman"/>
          <w:color w:val="000000"/>
        </w:rPr>
        <w:t>PROYECTO DE LEY NO 211</w:t>
      </w:r>
      <w:r w:rsidRPr="001F47E2">
        <w:rPr>
          <w:rFonts w:ascii="Times New Roman" w:eastAsia="Times New Roman" w:hAnsi="Times New Roman" w:cs="Times New Roman"/>
          <w:color w:val="000000"/>
        </w:rPr>
        <w:t xml:space="preserve"> DE 2020 CÁMARA </w:t>
      </w:r>
      <w:r w:rsidRPr="001F47E2">
        <w:rPr>
          <w:rFonts w:ascii="Times New Roman" w:eastAsia="Arial Narrow" w:hAnsi="Times New Roman" w:cs="Times New Roman"/>
          <w:color w:val="000000"/>
        </w:rPr>
        <w:t>“</w:t>
      </w:r>
      <w:r w:rsidRPr="001F47E2">
        <w:rPr>
          <w:rFonts w:ascii="Times New Roman" w:eastAsia="Arial Narrow" w:hAnsi="Times New Roman" w:cs="Times New Roman"/>
          <w:i/>
          <w:color w:val="000000"/>
        </w:rPr>
        <w:t>POR MEDIO DE LA CUAL SE TOMAN MEDIDAS PARA GARANTIZAR LA PROTESTA PACÍFICA Y SE CREAN TIPOS PENALES”.</w:t>
      </w:r>
    </w:p>
    <w:p w:rsidR="00B66A27" w:rsidRPr="001F47E2" w:rsidRDefault="00477CF4">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1F47E2">
        <w:rPr>
          <w:rFonts w:ascii="Times New Roman" w:eastAsia="Times New Roman" w:hAnsi="Times New Roman" w:cs="Times New Roman"/>
          <w:color w:val="000000"/>
        </w:rPr>
        <w:t xml:space="preserve"> </w:t>
      </w:r>
    </w:p>
    <w:p w:rsidR="00B66A27" w:rsidRPr="001F47E2" w:rsidRDefault="00477CF4">
      <w:pPr>
        <w:keepNext/>
        <w:numPr>
          <w:ilvl w:val="0"/>
          <w:numId w:val="1"/>
        </w:numPr>
        <w:pBdr>
          <w:top w:val="nil"/>
          <w:left w:val="nil"/>
          <w:bottom w:val="nil"/>
          <w:right w:val="nil"/>
          <w:between w:val="nil"/>
        </w:pBdr>
        <w:spacing w:before="240" w:after="60"/>
        <w:rPr>
          <w:rFonts w:ascii="Times New Roman" w:eastAsia="Verdana" w:hAnsi="Times New Roman" w:cs="Times New Roman"/>
          <w:b/>
          <w:color w:val="365F91"/>
        </w:rPr>
      </w:pPr>
      <w:r w:rsidRPr="00AC7B84">
        <w:rPr>
          <w:rFonts w:ascii="Times New Roman" w:eastAsia="Verdana" w:hAnsi="Times New Roman" w:cs="Times New Roman"/>
          <w:b/>
          <w:color w:val="365F91"/>
          <w:sz w:val="28"/>
        </w:rPr>
        <w:t>Antecedentes de la iniciativa legislativa</w:t>
      </w:r>
    </w:p>
    <w:p w:rsidR="00B66A27" w:rsidRPr="001F47E2" w:rsidRDefault="00B66A27">
      <w:pPr>
        <w:rPr>
          <w:rFonts w:ascii="Times New Roman" w:hAnsi="Times New Roman" w:cs="Times New Roman"/>
        </w:rPr>
      </w:pPr>
    </w:p>
    <w:p w:rsidR="00B66A27" w:rsidRPr="001F47E2" w:rsidRDefault="00477CF4">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F47E2">
        <w:rPr>
          <w:rFonts w:ascii="Times New Roman" w:eastAsia="Times New Roman" w:hAnsi="Times New Roman" w:cs="Times New Roman"/>
          <w:color w:val="000000"/>
        </w:rPr>
        <w:t xml:space="preserve">La iniciativa legislativa fue radicada el dieciséis (21) de julio de 2020 y cuya autoría está en cabeza del Honorable Representante </w:t>
      </w:r>
      <w:proofErr w:type="spellStart"/>
      <w:r w:rsidRPr="001F47E2">
        <w:rPr>
          <w:rFonts w:ascii="Times New Roman" w:eastAsia="Times New Roman" w:hAnsi="Times New Roman" w:cs="Times New Roman"/>
          <w:color w:val="000000"/>
        </w:rPr>
        <w:t>Victor</w:t>
      </w:r>
      <w:proofErr w:type="spellEnd"/>
      <w:r w:rsidRPr="001F47E2">
        <w:rPr>
          <w:rFonts w:ascii="Times New Roman" w:eastAsia="Times New Roman" w:hAnsi="Times New Roman" w:cs="Times New Roman"/>
          <w:color w:val="000000"/>
        </w:rPr>
        <w:t xml:space="preserve"> Manuel Ortiz Joya. Radicada en los canales dispuesto para esos fines, fue publicada en la Gaceta del Congreso N° 690 de 2020. </w:t>
      </w: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477CF4">
      <w:pPr>
        <w:shd w:val="clear" w:color="auto" w:fill="FFFFFF"/>
        <w:jc w:val="both"/>
        <w:rPr>
          <w:rFonts w:ascii="Times New Roman" w:eastAsia="Lato" w:hAnsi="Times New Roman" w:cs="Times New Roman"/>
        </w:rPr>
      </w:pPr>
      <w:r w:rsidRPr="001F47E2">
        <w:rPr>
          <w:rFonts w:ascii="Times New Roman" w:eastAsia="Times New Roman" w:hAnsi="Times New Roman" w:cs="Times New Roman"/>
        </w:rPr>
        <w:t xml:space="preserve">Posteriormente, mediante correo electrónico remitido por la Comisión Primera Constitucional Permanente de la Cámara de Representantes, se procedió a la designación de los  ponentes para la iniciativa; Oscar Leonardo Villamizar Meneses, como coordinador ponente y los Honorables Representantes: </w:t>
      </w:r>
      <w:r w:rsidRPr="001F47E2">
        <w:rPr>
          <w:rFonts w:ascii="Times New Roman" w:eastAsia="Lato" w:hAnsi="Times New Roman" w:cs="Times New Roman"/>
        </w:rPr>
        <w:t> </w:t>
      </w:r>
      <w:proofErr w:type="spellStart"/>
      <w:r w:rsidRPr="001F47E2">
        <w:rPr>
          <w:rFonts w:ascii="Times New Roman" w:hAnsi="Times New Roman" w:cs="Times New Roman"/>
        </w:rPr>
        <w:fldChar w:fldCharType="begin"/>
      </w:r>
      <w:r w:rsidRPr="001F47E2">
        <w:rPr>
          <w:rFonts w:ascii="Times New Roman" w:hAnsi="Times New Roman" w:cs="Times New Roman"/>
        </w:rPr>
        <w:instrText xml:space="preserve"> HYPERLINK "https://www.camara.gov.co/representantes/jose-gustavo-padilla-orozco" \h </w:instrText>
      </w:r>
      <w:r w:rsidRPr="001F47E2">
        <w:rPr>
          <w:rFonts w:ascii="Times New Roman" w:hAnsi="Times New Roman" w:cs="Times New Roman"/>
        </w:rPr>
        <w:fldChar w:fldCharType="separate"/>
      </w:r>
      <w:r w:rsidRPr="001F47E2">
        <w:rPr>
          <w:rFonts w:ascii="Times New Roman" w:eastAsia="Lato" w:hAnsi="Times New Roman" w:cs="Times New Roman"/>
        </w:rPr>
        <w:t>Jose</w:t>
      </w:r>
      <w:proofErr w:type="spellEnd"/>
      <w:r w:rsidRPr="001F47E2">
        <w:rPr>
          <w:rFonts w:ascii="Times New Roman" w:eastAsia="Lato" w:hAnsi="Times New Roman" w:cs="Times New Roman"/>
        </w:rPr>
        <w:t xml:space="preserve"> Gustavo Padilla Orozco</w:t>
      </w:r>
      <w:r w:rsidRPr="001F47E2">
        <w:rPr>
          <w:rFonts w:ascii="Times New Roman" w:eastAsia="Lato" w:hAnsi="Times New Roman" w:cs="Times New Roman"/>
        </w:rPr>
        <w:fldChar w:fldCharType="end"/>
      </w:r>
      <w:r w:rsidRPr="001F47E2">
        <w:rPr>
          <w:rFonts w:ascii="Times New Roman" w:eastAsia="Lato" w:hAnsi="Times New Roman" w:cs="Times New Roman"/>
        </w:rPr>
        <w:t>,  </w:t>
      </w:r>
      <w:hyperlink r:id="rId9">
        <w:r w:rsidRPr="001F47E2">
          <w:rPr>
            <w:rFonts w:ascii="Times New Roman" w:eastAsia="Lato" w:hAnsi="Times New Roman" w:cs="Times New Roman"/>
          </w:rPr>
          <w:t>John Jairo Hoyos García</w:t>
        </w:r>
      </w:hyperlink>
      <w:r w:rsidRPr="001F47E2">
        <w:rPr>
          <w:rFonts w:ascii="Times New Roman" w:eastAsia="Lato" w:hAnsi="Times New Roman" w:cs="Times New Roman"/>
        </w:rPr>
        <w:t xml:space="preserve">, </w:t>
      </w:r>
      <w:hyperlink r:id="rId10">
        <w:r w:rsidRPr="001F47E2">
          <w:rPr>
            <w:rFonts w:ascii="Times New Roman" w:eastAsia="Lato" w:hAnsi="Times New Roman" w:cs="Times New Roman"/>
          </w:rPr>
          <w:t xml:space="preserve">Jaime </w:t>
        </w:r>
        <w:proofErr w:type="spellStart"/>
        <w:r w:rsidRPr="001F47E2">
          <w:rPr>
            <w:rFonts w:ascii="Times New Roman" w:eastAsia="Lato" w:hAnsi="Times New Roman" w:cs="Times New Roman"/>
          </w:rPr>
          <w:t>Rodriguez</w:t>
        </w:r>
        <w:proofErr w:type="spellEnd"/>
        <w:r w:rsidRPr="001F47E2">
          <w:rPr>
            <w:rFonts w:ascii="Times New Roman" w:eastAsia="Lato" w:hAnsi="Times New Roman" w:cs="Times New Roman"/>
          </w:rPr>
          <w:t xml:space="preserve"> Contreras</w:t>
        </w:r>
      </w:hyperlink>
      <w:r w:rsidRPr="001F47E2">
        <w:rPr>
          <w:rFonts w:ascii="Times New Roman" w:eastAsia="Lato" w:hAnsi="Times New Roman" w:cs="Times New Roman"/>
        </w:rPr>
        <w:t xml:space="preserve">, </w:t>
      </w:r>
      <w:hyperlink r:id="rId11">
        <w:r w:rsidRPr="001F47E2">
          <w:rPr>
            <w:rFonts w:ascii="Times New Roman" w:eastAsia="Lato" w:hAnsi="Times New Roman" w:cs="Times New Roman"/>
          </w:rPr>
          <w:t>Inti Raúl Asprilla Reyes</w:t>
        </w:r>
      </w:hyperlink>
      <w:r w:rsidRPr="001F47E2">
        <w:rPr>
          <w:rFonts w:ascii="Times New Roman" w:eastAsia="Lato" w:hAnsi="Times New Roman" w:cs="Times New Roman"/>
        </w:rPr>
        <w:t>, </w:t>
      </w:r>
      <w:hyperlink r:id="rId12">
        <w:r w:rsidRPr="001F47E2">
          <w:rPr>
            <w:rFonts w:ascii="Times New Roman" w:eastAsia="Lato" w:hAnsi="Times New Roman" w:cs="Times New Roman"/>
          </w:rPr>
          <w:t>Carlos German Navas Talero</w:t>
        </w:r>
      </w:hyperlink>
      <w:r w:rsidRPr="001F47E2">
        <w:rPr>
          <w:rFonts w:ascii="Times New Roman" w:eastAsia="Lato" w:hAnsi="Times New Roman" w:cs="Times New Roman"/>
        </w:rPr>
        <w:t>,  </w:t>
      </w:r>
      <w:hyperlink r:id="rId13">
        <w:r w:rsidRPr="001F47E2">
          <w:rPr>
            <w:rFonts w:ascii="Times New Roman" w:eastAsia="Lato" w:hAnsi="Times New Roman" w:cs="Times New Roman"/>
          </w:rPr>
          <w:t xml:space="preserve">Luis Alberto </w:t>
        </w:r>
        <w:proofErr w:type="spellStart"/>
        <w:r w:rsidRPr="001F47E2">
          <w:rPr>
            <w:rFonts w:ascii="Times New Roman" w:eastAsia="Lato" w:hAnsi="Times New Roman" w:cs="Times New Roman"/>
          </w:rPr>
          <w:t>Alban</w:t>
        </w:r>
        <w:proofErr w:type="spellEnd"/>
        <w:r w:rsidRPr="001F47E2">
          <w:rPr>
            <w:rFonts w:ascii="Times New Roman" w:eastAsia="Lato" w:hAnsi="Times New Roman" w:cs="Times New Roman"/>
          </w:rPr>
          <w:t xml:space="preserve"> Urbano</w:t>
        </w:r>
      </w:hyperlink>
      <w:r w:rsidRPr="001F47E2">
        <w:rPr>
          <w:rFonts w:ascii="Times New Roman" w:eastAsia="Lato" w:hAnsi="Times New Roman" w:cs="Times New Roman"/>
        </w:rPr>
        <w:t xml:space="preserve"> y </w:t>
      </w:r>
      <w:hyperlink r:id="rId14">
        <w:r w:rsidRPr="001F47E2">
          <w:rPr>
            <w:rFonts w:ascii="Times New Roman" w:eastAsia="Lato" w:hAnsi="Times New Roman" w:cs="Times New Roman"/>
          </w:rPr>
          <w:t>Ángela María Robledo Gómez</w:t>
        </w:r>
      </w:hyperlink>
      <w:r w:rsidRPr="001F47E2">
        <w:rPr>
          <w:rFonts w:ascii="Times New Roman" w:eastAsia="Lato" w:hAnsi="Times New Roman" w:cs="Times New Roman"/>
        </w:rPr>
        <w:t>, como ponentes.</w:t>
      </w:r>
    </w:p>
    <w:p w:rsidR="00B66A27" w:rsidRPr="001F47E2" w:rsidRDefault="00477CF4">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F47E2">
        <w:rPr>
          <w:rFonts w:ascii="Times New Roman" w:eastAsia="Times New Roman" w:hAnsi="Times New Roman" w:cs="Times New Roman"/>
          <w:color w:val="000000"/>
        </w:rPr>
        <w:t>.</w:t>
      </w: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AC7B84" w:rsidRDefault="00477CF4">
      <w:pPr>
        <w:numPr>
          <w:ilvl w:val="0"/>
          <w:numId w:val="1"/>
        </w:numPr>
        <w:pBdr>
          <w:top w:val="nil"/>
          <w:left w:val="nil"/>
          <w:bottom w:val="nil"/>
          <w:right w:val="nil"/>
          <w:between w:val="nil"/>
        </w:pBdr>
        <w:spacing w:after="0" w:line="240" w:lineRule="auto"/>
        <w:jc w:val="both"/>
        <w:rPr>
          <w:rFonts w:ascii="Times New Roman" w:eastAsia="Verdana" w:hAnsi="Times New Roman" w:cs="Times New Roman"/>
          <w:color w:val="365F91"/>
          <w:sz w:val="28"/>
        </w:rPr>
      </w:pPr>
      <w:r w:rsidRPr="00AC7B84">
        <w:rPr>
          <w:rFonts w:ascii="Times New Roman" w:eastAsia="Verdana" w:hAnsi="Times New Roman" w:cs="Times New Roman"/>
          <w:b/>
          <w:color w:val="365F91"/>
          <w:sz w:val="28"/>
        </w:rPr>
        <w:t>Justificación de la ponencia</w:t>
      </w:r>
    </w:p>
    <w:p w:rsidR="00B66A27" w:rsidRPr="00AC7B84" w:rsidRDefault="00B66A27">
      <w:pPr>
        <w:pBdr>
          <w:top w:val="nil"/>
          <w:left w:val="nil"/>
          <w:bottom w:val="nil"/>
          <w:right w:val="nil"/>
          <w:between w:val="nil"/>
        </w:pBdr>
        <w:spacing w:after="0" w:line="240" w:lineRule="auto"/>
        <w:jc w:val="both"/>
        <w:rPr>
          <w:rFonts w:ascii="Times New Roman" w:eastAsia="Verdana" w:hAnsi="Times New Roman" w:cs="Times New Roman"/>
          <w:color w:val="365F91"/>
          <w:sz w:val="24"/>
        </w:rPr>
      </w:pPr>
    </w:p>
    <w:p w:rsidR="00B66A27" w:rsidRPr="00AC7B84" w:rsidRDefault="00477CF4">
      <w:pPr>
        <w:numPr>
          <w:ilvl w:val="0"/>
          <w:numId w:val="2"/>
        </w:numPr>
        <w:pBdr>
          <w:top w:val="nil"/>
          <w:left w:val="nil"/>
          <w:bottom w:val="nil"/>
          <w:right w:val="nil"/>
          <w:between w:val="nil"/>
        </w:pBdr>
        <w:spacing w:after="0" w:line="240" w:lineRule="auto"/>
        <w:jc w:val="both"/>
        <w:rPr>
          <w:rFonts w:ascii="Times New Roman" w:eastAsia="Verdana" w:hAnsi="Times New Roman" w:cs="Times New Roman"/>
          <w:color w:val="365F91"/>
          <w:sz w:val="24"/>
        </w:rPr>
      </w:pPr>
      <w:r w:rsidRPr="00AC7B84">
        <w:rPr>
          <w:rFonts w:ascii="Times New Roman" w:eastAsia="Verdana" w:hAnsi="Times New Roman" w:cs="Times New Roman"/>
          <w:color w:val="365F91"/>
          <w:sz w:val="24"/>
        </w:rPr>
        <w:t>Objeto del Proyecto de Ley</w:t>
      </w:r>
    </w:p>
    <w:p w:rsidR="00B66A27" w:rsidRPr="00AC7B84" w:rsidRDefault="00477CF4">
      <w:pPr>
        <w:numPr>
          <w:ilvl w:val="0"/>
          <w:numId w:val="2"/>
        </w:numPr>
        <w:pBdr>
          <w:top w:val="nil"/>
          <w:left w:val="nil"/>
          <w:bottom w:val="nil"/>
          <w:right w:val="nil"/>
          <w:between w:val="nil"/>
        </w:pBdr>
        <w:spacing w:after="0" w:line="240" w:lineRule="auto"/>
        <w:jc w:val="both"/>
        <w:rPr>
          <w:rFonts w:ascii="Times New Roman" w:eastAsia="Verdana" w:hAnsi="Times New Roman" w:cs="Times New Roman"/>
          <w:color w:val="365F91"/>
          <w:sz w:val="24"/>
        </w:rPr>
      </w:pPr>
      <w:r w:rsidRPr="00AC7B84">
        <w:rPr>
          <w:rFonts w:ascii="Times New Roman" w:eastAsia="Verdana" w:hAnsi="Times New Roman" w:cs="Times New Roman"/>
          <w:color w:val="365F91"/>
          <w:sz w:val="24"/>
        </w:rPr>
        <w:t>Marco normativo</w:t>
      </w:r>
    </w:p>
    <w:p w:rsidR="00B66A27" w:rsidRPr="00AC7B84" w:rsidRDefault="00477CF4">
      <w:pPr>
        <w:numPr>
          <w:ilvl w:val="0"/>
          <w:numId w:val="2"/>
        </w:numPr>
        <w:pBdr>
          <w:top w:val="nil"/>
          <w:left w:val="nil"/>
          <w:bottom w:val="nil"/>
          <w:right w:val="nil"/>
          <w:between w:val="nil"/>
        </w:pBdr>
        <w:spacing w:after="0" w:line="240" w:lineRule="auto"/>
        <w:jc w:val="both"/>
        <w:rPr>
          <w:rFonts w:ascii="Times New Roman" w:eastAsia="Verdana" w:hAnsi="Times New Roman" w:cs="Times New Roman"/>
          <w:color w:val="365F91"/>
          <w:sz w:val="24"/>
        </w:rPr>
      </w:pPr>
      <w:r w:rsidRPr="00AC7B84">
        <w:rPr>
          <w:rFonts w:ascii="Times New Roman" w:eastAsia="Verdana" w:hAnsi="Times New Roman" w:cs="Times New Roman"/>
          <w:color w:val="365F91"/>
          <w:sz w:val="24"/>
        </w:rPr>
        <w:t>Fundame</w:t>
      </w:r>
      <w:r w:rsidR="001F47E2" w:rsidRPr="00AC7B84">
        <w:rPr>
          <w:rFonts w:ascii="Times New Roman" w:eastAsia="Verdana" w:hAnsi="Times New Roman" w:cs="Times New Roman"/>
          <w:color w:val="365F91"/>
          <w:sz w:val="24"/>
        </w:rPr>
        <w:t>ntos del nuevo tipo penal</w:t>
      </w:r>
    </w:p>
    <w:p w:rsidR="00B66A27" w:rsidRPr="001F47E2" w:rsidRDefault="00B66A27" w:rsidP="00AC7B84">
      <w:pPr>
        <w:pBdr>
          <w:top w:val="nil"/>
          <w:left w:val="nil"/>
          <w:bottom w:val="nil"/>
          <w:right w:val="nil"/>
          <w:between w:val="nil"/>
        </w:pBdr>
        <w:spacing w:after="0" w:line="240" w:lineRule="auto"/>
        <w:jc w:val="both"/>
        <w:rPr>
          <w:rFonts w:ascii="Times New Roman" w:eastAsia="Verdana" w:hAnsi="Times New Roman" w:cs="Times New Roman"/>
          <w:color w:val="365F91"/>
        </w:rPr>
      </w:pPr>
    </w:p>
    <w:p w:rsidR="00B66A27" w:rsidRDefault="00B66A27">
      <w:pPr>
        <w:shd w:val="clear" w:color="auto" w:fill="FFFFFF"/>
        <w:spacing w:before="45" w:after="15" w:line="240" w:lineRule="auto"/>
        <w:ind w:right="30"/>
        <w:jc w:val="both"/>
        <w:rPr>
          <w:rFonts w:ascii="Times New Roman" w:eastAsia="Arial Narrow" w:hAnsi="Times New Roman" w:cs="Times New Roman"/>
          <w:color w:val="000000"/>
        </w:rPr>
      </w:pPr>
    </w:p>
    <w:p w:rsidR="00AC7B84" w:rsidRDefault="00AC7B84" w:rsidP="00AC7B84">
      <w:pPr>
        <w:shd w:val="clear" w:color="auto" w:fill="FFFFFF"/>
        <w:spacing w:before="45" w:after="15" w:line="240" w:lineRule="auto"/>
        <w:ind w:right="30"/>
        <w:jc w:val="center"/>
        <w:rPr>
          <w:rFonts w:ascii="Times New Roman" w:eastAsia="Arial Narrow" w:hAnsi="Times New Roman" w:cs="Times New Roman"/>
          <w:b/>
          <w:color w:val="000000"/>
        </w:rPr>
      </w:pPr>
      <w:r w:rsidRPr="00AC7B84">
        <w:rPr>
          <w:rFonts w:ascii="Times New Roman" w:eastAsia="Arial Narrow" w:hAnsi="Times New Roman" w:cs="Times New Roman"/>
          <w:b/>
          <w:color w:val="000000"/>
        </w:rPr>
        <w:t>OBJETO DEL PROYECTO</w:t>
      </w:r>
    </w:p>
    <w:p w:rsidR="00AC7B84" w:rsidRPr="00AC7B84" w:rsidRDefault="00AC7B84" w:rsidP="00AC7B84">
      <w:pPr>
        <w:shd w:val="clear" w:color="auto" w:fill="FFFFFF"/>
        <w:spacing w:before="45" w:after="15" w:line="240" w:lineRule="auto"/>
        <w:ind w:right="30"/>
        <w:jc w:val="center"/>
        <w:rPr>
          <w:rFonts w:ascii="Times New Roman" w:eastAsia="Arial Narrow" w:hAnsi="Times New Roman" w:cs="Times New Roman"/>
          <w:b/>
          <w:color w:val="000000"/>
        </w:rPr>
      </w:pP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Este proyecto busca el fortalecimiento de las medidas que promuevan el derecho constitucional a la protesta pacífica y a su vez garanticen la seguridad publica en estos escenarios, para lo cual el proyecto busca judicializar y condenar a quienes se valgan de la protesta para cometer actos violentos que dañen los bienes públicos o privados, hechos que atenten contra la seguridad de los protestantes, contra el orden público y la autoridad, o acciones que desprestigien el buen comportamiento de la misma. Actos que solo buscan, minar, socavar o desprestigiar el derecho legítimo de la protesta; y poner en riesgo la vida, la integridad y los bienes materiales del ciudadano del común y hasta de los mismos protestantes. De esta manera, se busca preservar el orden público, penalizar a quien instigue o promueva los actos de vandálicos, y el fortalecer, por medio de mecanicismos penales, el actuar de las fuerzas del orden.</w:t>
      </w:r>
    </w:p>
    <w:p w:rsidR="00B66A27" w:rsidRPr="001F47E2" w:rsidRDefault="00B66A27">
      <w:pPr>
        <w:shd w:val="clear" w:color="auto" w:fill="FFFFFF"/>
        <w:spacing w:before="45" w:after="15" w:line="240" w:lineRule="auto"/>
        <w:ind w:right="30" w:firstLine="210"/>
        <w:jc w:val="both"/>
        <w:rPr>
          <w:rFonts w:ascii="Times New Roman" w:eastAsia="Arial Narrow" w:hAnsi="Times New Roman" w:cs="Times New Roman"/>
          <w:color w:val="000000"/>
        </w:rPr>
      </w:pP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La iniciativa reconoce la protesta pacífica como un ejercicio legítimo de los derechos de reunión, manifestación pública y pacífica, libertad de asociación, libre circulación, libre expresión, libertad de conciencia, a la oposición y a la participación, crea el tipo penal para que los que instiguen, promuevan o realicen actos violentos dentro de la protesta, sean condenados de manera </w:t>
      </w:r>
      <w:r w:rsidRPr="001F47E2">
        <w:rPr>
          <w:rFonts w:ascii="Times New Roman" w:eastAsia="Arial Narrow" w:hAnsi="Times New Roman" w:cs="Times New Roman"/>
          <w:color w:val="000000"/>
        </w:rPr>
        <w:lastRenderedPageBreak/>
        <w:t>ejemplarizante como mecanismo disuasivo para que a futuro las protestas se den de manera pacífica, segura y en el marco del respeto.</w:t>
      </w:r>
    </w:p>
    <w:p w:rsidR="00B66A27" w:rsidRPr="001F47E2" w:rsidRDefault="00B66A27">
      <w:pPr>
        <w:shd w:val="clear" w:color="auto" w:fill="FFFFFF"/>
        <w:spacing w:before="45" w:after="15" w:line="240" w:lineRule="auto"/>
        <w:ind w:right="30" w:firstLine="210"/>
        <w:jc w:val="both"/>
        <w:rPr>
          <w:rFonts w:ascii="Times New Roman" w:eastAsia="Arial Narrow" w:hAnsi="Times New Roman" w:cs="Times New Roman"/>
          <w:color w:val="000000"/>
        </w:rPr>
      </w:pP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Adicionalmente, se fortalecen las herramientas que tiene el Estado para contener y controlar los actos vandálicos: En primer lugar, este proyecto, buscando minimizar los efectos indirectos de la protesta frente a la contingencia del uso de las vías públicas, demanda el cumplimiento del permiso de la autoridad local o competente que haya autorizado la ocupación de las vías públicas, de esta manera respetar el trayecto establecido permite planes de acción para garantizar el correcto funcionamiento de los servicios que demande el ciudadano.</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Segundo, buscando preservar el Orden público crea el tipo penal del vandalismo en la protesta, medida orientada a criminalizar a quien </w:t>
      </w:r>
      <w:proofErr w:type="spellStart"/>
      <w:r w:rsidRPr="001F47E2">
        <w:rPr>
          <w:rFonts w:ascii="Times New Roman" w:eastAsia="Arial Narrow" w:hAnsi="Times New Roman" w:cs="Times New Roman"/>
          <w:color w:val="000000"/>
        </w:rPr>
        <w:t>vandalice</w:t>
      </w:r>
      <w:proofErr w:type="spellEnd"/>
      <w:r w:rsidRPr="001F47E2">
        <w:rPr>
          <w:rFonts w:ascii="Times New Roman" w:eastAsia="Arial Narrow" w:hAnsi="Times New Roman" w:cs="Times New Roman"/>
          <w:color w:val="000000"/>
        </w:rPr>
        <w:t xml:space="preserve"> la protesta con agravantes como la negativa a identificarse; la fabricación o porte de armas o explosivos; y la cuantía o proporción de la afectación realizada.</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Finalmente, y como un desarrollo integral el proyecto se orienta a fortalecer el componente policial, al exigir el cumplimiento de los permisos o autorizaciones que se dan para la circulación de la protesta. De esta manera, conociendo de antemano los lugares por donde cruzará la protesta, se puedan elaborar acciones preventivas para evitar la interrupción de servicios públicos esenciales, o la afectación al comercio.</w:t>
      </w:r>
    </w:p>
    <w:p w:rsidR="00B66A27" w:rsidRPr="001F47E2" w:rsidRDefault="00B66A27">
      <w:pPr>
        <w:shd w:val="clear" w:color="auto" w:fill="FFFFFF"/>
        <w:spacing w:before="45" w:after="15" w:line="240" w:lineRule="auto"/>
        <w:ind w:right="30" w:firstLine="210"/>
        <w:jc w:val="both"/>
        <w:rPr>
          <w:rFonts w:ascii="Times New Roman" w:eastAsia="Arial Narrow" w:hAnsi="Times New Roman" w:cs="Times New Roman"/>
          <w:color w:val="000000"/>
        </w:rPr>
      </w:pPr>
    </w:p>
    <w:p w:rsidR="00B66A27" w:rsidRPr="001F47E2" w:rsidRDefault="00477CF4" w:rsidP="00AC7B84">
      <w:pPr>
        <w:shd w:val="clear" w:color="auto" w:fill="FFFFFF"/>
        <w:spacing w:before="45" w:after="15" w:line="240" w:lineRule="auto"/>
        <w:ind w:right="30"/>
        <w:jc w:val="center"/>
        <w:rPr>
          <w:rFonts w:ascii="Times New Roman" w:eastAsia="Arial Narrow" w:hAnsi="Times New Roman" w:cs="Times New Roman"/>
          <w:color w:val="000000"/>
        </w:rPr>
      </w:pPr>
      <w:r w:rsidRPr="001F47E2">
        <w:rPr>
          <w:rFonts w:ascii="Times New Roman" w:eastAsia="Arial Narrow" w:hAnsi="Times New Roman" w:cs="Times New Roman"/>
          <w:b/>
          <w:color w:val="000000"/>
        </w:rPr>
        <w:t>MARCO NORMATIVO</w:t>
      </w:r>
    </w:p>
    <w:p w:rsidR="00B66A27" w:rsidRPr="001F47E2" w:rsidRDefault="00B66A27">
      <w:pPr>
        <w:shd w:val="clear" w:color="auto" w:fill="FFFFFF"/>
        <w:spacing w:before="45" w:after="15" w:line="240" w:lineRule="auto"/>
        <w:ind w:right="30" w:firstLine="210"/>
        <w:jc w:val="both"/>
        <w:rPr>
          <w:rFonts w:ascii="Times New Roman" w:eastAsia="Arial Narrow" w:hAnsi="Times New Roman" w:cs="Times New Roman"/>
          <w:color w:val="000000"/>
        </w:rPr>
      </w:pP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Este proyecto de ley tiene como origen las facultades constitucionales del Congreso de la República, otorgadas en los artículos 114 y 154 de la Constitución Política, que reglamentan su función legislativa y facultan al Congreso para presentar este tipo de iniciativas:</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i/>
          <w:color w:val="000000"/>
        </w:rPr>
        <w:t>"Artículo 114. Corresponde al Congreso de la República reformar la Constitución, hacer las leyes y ejercer control político sobre el gobierno y la administración.</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i/>
          <w:color w:val="000000"/>
        </w:rPr>
        <w:t>El Congreso de la República estará integrado por el Senado y la Cámara de Representantes".</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i/>
          <w:color w:val="000000"/>
        </w:rPr>
        <w:t>(...)</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i/>
          <w:color w:val="000000"/>
        </w:rPr>
        <w:t>"Artículo 154. Las leyes pueden tener origen en cualquiera de las Cámaras a propuesta de sus respectivos miembros, del Gobierno nacional, de las entidades señaladas en el artículo 156, o por iniciativa popular en los casos previstos en la Constitución.</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i/>
          <w:color w:val="000000"/>
        </w:rPr>
        <w:t>No obstante,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i/>
          <w:color w:val="000000"/>
        </w:rPr>
        <w:t>Las Cámaras podrán introducir modificaciones a los proyectos presentados por el Gobierno.</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i/>
          <w:color w:val="000000"/>
        </w:rPr>
        <w:t>Los proyectos de ley relativos a los tributos iniciarán su trámite en la Cámara de Representantes y los que se refieran a relaciones internacionales, en el Senado"</w:t>
      </w:r>
      <w:r w:rsidRPr="001F47E2">
        <w:rPr>
          <w:rFonts w:ascii="Times New Roman" w:eastAsia="Arial Narrow" w:hAnsi="Times New Roman" w:cs="Times New Roman"/>
          <w:i/>
          <w:color w:val="000000"/>
          <w:vertAlign w:val="superscript"/>
        </w:rPr>
        <w:footnoteReference w:id="1"/>
      </w:r>
      <w:r w:rsidRPr="001F47E2">
        <w:rPr>
          <w:rFonts w:ascii="Times New Roman" w:eastAsia="Arial Narrow" w:hAnsi="Times New Roman" w:cs="Times New Roman"/>
          <w:i/>
          <w:color w:val="000000"/>
        </w:rPr>
        <w:t>.</w:t>
      </w:r>
    </w:p>
    <w:p w:rsidR="00B66A27" w:rsidRDefault="00B66A27">
      <w:pPr>
        <w:shd w:val="clear" w:color="auto" w:fill="FFFFFF"/>
        <w:spacing w:before="45" w:after="15" w:line="240" w:lineRule="auto"/>
        <w:ind w:right="30" w:firstLine="210"/>
        <w:jc w:val="both"/>
        <w:rPr>
          <w:rFonts w:ascii="Times New Roman" w:eastAsia="Arial Narrow" w:hAnsi="Times New Roman" w:cs="Times New Roman"/>
          <w:color w:val="000000"/>
        </w:rPr>
      </w:pPr>
    </w:p>
    <w:p w:rsidR="000D0D11" w:rsidRDefault="000D0D11">
      <w:pPr>
        <w:shd w:val="clear" w:color="auto" w:fill="FFFFFF"/>
        <w:spacing w:before="45" w:after="15" w:line="240" w:lineRule="auto"/>
        <w:ind w:right="30" w:firstLine="210"/>
        <w:jc w:val="both"/>
        <w:rPr>
          <w:rFonts w:ascii="Times New Roman" w:eastAsia="Arial Narrow" w:hAnsi="Times New Roman" w:cs="Times New Roman"/>
          <w:color w:val="000000"/>
        </w:rPr>
      </w:pPr>
    </w:p>
    <w:p w:rsidR="000D0D11" w:rsidRDefault="000D0D11">
      <w:pPr>
        <w:shd w:val="clear" w:color="auto" w:fill="FFFFFF"/>
        <w:spacing w:before="45" w:after="15" w:line="240" w:lineRule="auto"/>
        <w:ind w:right="30" w:firstLine="210"/>
        <w:jc w:val="both"/>
        <w:rPr>
          <w:rFonts w:ascii="Times New Roman" w:eastAsia="Arial Narrow" w:hAnsi="Times New Roman" w:cs="Times New Roman"/>
          <w:color w:val="000000"/>
        </w:rPr>
      </w:pPr>
    </w:p>
    <w:p w:rsidR="000D0D11" w:rsidRPr="001F47E2" w:rsidRDefault="000D0D11">
      <w:pPr>
        <w:shd w:val="clear" w:color="auto" w:fill="FFFFFF"/>
        <w:spacing w:before="45" w:after="15" w:line="240" w:lineRule="auto"/>
        <w:ind w:right="30" w:firstLine="210"/>
        <w:jc w:val="both"/>
        <w:rPr>
          <w:rFonts w:ascii="Times New Roman" w:eastAsia="Arial Narrow" w:hAnsi="Times New Roman" w:cs="Times New Roman"/>
          <w:color w:val="000000"/>
        </w:rPr>
      </w:pPr>
    </w:p>
    <w:p w:rsidR="00B66A27" w:rsidRDefault="00477CF4">
      <w:pPr>
        <w:spacing w:line="240" w:lineRule="auto"/>
        <w:jc w:val="center"/>
        <w:rPr>
          <w:rFonts w:ascii="Times New Roman" w:eastAsia="Arial Narrow" w:hAnsi="Times New Roman" w:cs="Times New Roman"/>
          <w:b/>
        </w:rPr>
      </w:pPr>
      <w:r w:rsidRPr="001F47E2">
        <w:rPr>
          <w:rFonts w:ascii="Times New Roman" w:eastAsia="Arial Narrow" w:hAnsi="Times New Roman" w:cs="Times New Roman"/>
          <w:b/>
        </w:rPr>
        <w:lastRenderedPageBreak/>
        <w:t xml:space="preserve">RAZONES JURIDICAS Y FUNDAMENTACION NUEVOS TIPOS PENALES – VANDALISMOS </w:t>
      </w:r>
      <w:r w:rsidR="00AC7B84">
        <w:rPr>
          <w:rFonts w:ascii="Times New Roman" w:eastAsia="Arial Narrow" w:hAnsi="Times New Roman" w:cs="Times New Roman"/>
          <w:b/>
        </w:rPr>
        <w:t>–</w:t>
      </w:r>
    </w:p>
    <w:p w:rsidR="00AC7B84" w:rsidRPr="001F47E2" w:rsidRDefault="00AC7B84">
      <w:pPr>
        <w:spacing w:line="240" w:lineRule="auto"/>
        <w:jc w:val="center"/>
        <w:rPr>
          <w:rFonts w:ascii="Times New Roman" w:eastAsia="Arial Narrow" w:hAnsi="Times New Roman" w:cs="Times New Roman"/>
        </w:rPr>
      </w:pP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Lo primero que se debe observar al pretender, dentro de la función legislativa y el principio de reserva legal, es determinar a través de las fuentes materiales, si de los comportamientos de los seres humanos asociados se vislumbra un accionar con características particulares en circunstancias modales, de lugar o de tiempo que ponga en peligro o lesione los bienes jurídicos que el Estado debe garantizar a través de los órganos de control judicial (Fiscalía General de la nación como órgano persecutor y acusador y la juridicidad en cabeza de los jueces y magistrados de la rama judicial del poder público).</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Por tales razones, se debe tener en cuenta al momento de estructurar una configuración normativa, que ésta contenga todos los elementos concretos dentro de una estricta tipicidad como garantía insoslayable del Estado social y democrático de derecho como el nuestro, que si bien es cierto, pueden existir otras conductas punitivas ya consagradas en la legislación penal que regulan y protegen bienes jurídicos, no es menos cierto que la nueva norma jurídica penal debe contener algunas situaciones que permitan considerar la conducta como principal, autónoma, exclusiva y con mayor riqueza descriptiva con estricto apego a los parámetros de una dogmática jurídico penal garantista de la legalidad y de la Constitución Política.</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Es así que en el estatuto de las penas, hoy en día se ha venido ampliando dichas normativas contentivas de prohibiciones en donde, según las fuentes materiales, se ha hecho imperioso y necesario que ciertas conductas ya reguladas bajo circunstancias de agravación punitiva, hayan tomado la particularidad de ser principales, autónomas e independientes, no obstante, valga decir, estar protegiendo el mismo bien jurídico porque así se encuentra dispuesto por el legislador de la ley 599 del 2000, bajo los títulos y los epígrafes utilizados para distinguirlos; verbigracia: la vida y la integridad personal, en donde está consagrado el homicidio y sus clases, las lesiones personales y sus modalidades, entre otras y se haya expedido leyes que de una u otra manera, hacen más expedito y con mayores recursos descriptivos, los elementos objetivos y subjetivos de las normas penales.</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Como ejemplo de lo anterior, las lesiones causadas en la humanidad de una persona natural, se encuentran estipuladas en nuestro ordenamiento de las penas en el capítulo tercero, del título I “delitos contra la vida y la integridad personal”, en los artículos 111 y siguientes, consagrándose que las lesiones en el rostro  bajo cualquier modalidad, es decir, incluía heridas con armas corto punzantes, contundentes, sustancias que causaran daño en el rostro, etcétera son consideradas simple y llanamente lesiones personales con modalidad dolosa, bajo una circunstancia de agravación sancionatoria, la cual es la consagrada en el artículo 113 in fine. Nótese que simplemente se genera una circunstancia de agravación punitiva, amén de lo consagrado en el artículo 117 sobre unidad punitiva queriendo decir que, si una persona sufría, como consecuencia del actuar de otra, bajo factores de conocimiento y voluntad, lesiones varias en su integridad física, se debe tomar la lesión más grave y bajo esta égida, se tasa el docimetría penal.</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 xml:space="preserve">El legislador del año 2016 al analizar bajo las fuentes materiales de la ley que se estaba </w:t>
      </w:r>
      <w:proofErr w:type="spellStart"/>
      <w:r w:rsidR="001F47E2">
        <w:rPr>
          <w:rFonts w:ascii="Times New Roman" w:eastAsia="Arial Narrow" w:hAnsi="Times New Roman" w:cs="Times New Roman"/>
        </w:rPr>
        <w:t>i</w:t>
      </w:r>
      <w:r w:rsidRPr="001F47E2">
        <w:rPr>
          <w:rFonts w:ascii="Times New Roman" w:eastAsia="Arial Narrow" w:hAnsi="Times New Roman" w:cs="Times New Roman"/>
        </w:rPr>
        <w:t>ando</w:t>
      </w:r>
      <w:proofErr w:type="spellEnd"/>
      <w:r w:rsidRPr="001F47E2">
        <w:rPr>
          <w:rFonts w:ascii="Times New Roman" w:eastAsia="Arial Narrow" w:hAnsi="Times New Roman" w:cs="Times New Roman"/>
        </w:rPr>
        <w:t xml:space="preserve"> de manera reiterada y desconsiderada a las personas en Colombia bajo la modalidad de lesionar con agentes químicos, ácido o sustancias similares el cuerpo o la salud, ocasionándole mayor agravación a su conducta y mayor lesión al bien jurídico tutelado de la integridad física; legisló y generó una fuente formal como lo es hoy en día la ley 1773 de 2016 o Ley Natalia Ponce de León, en homenaje a la víctima que recibió una agresión considerable en su rostro producto del accionar </w:t>
      </w:r>
      <w:r w:rsidRPr="001F47E2">
        <w:rPr>
          <w:rFonts w:ascii="Times New Roman" w:eastAsia="Arial Narrow" w:hAnsi="Times New Roman" w:cs="Times New Roman"/>
        </w:rPr>
        <w:lastRenderedPageBreak/>
        <w:t>delictivo de una ex pareja. Obsérvese que, si no hubiese existido dicha ley, el victimario hubiere sido imputado, acusado y condenado por el delito de lesiones personales dolosas agravadas por las circunstancias de haberla infringido en el rostro, y no como sucedió, que al agresor se le condenó a una pena ejemplar cumpliéndose con las funciones de la pena, como lo es entre ella, la prevención general.</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 xml:space="preserve">Así las cosas, y para el caso sub </w:t>
      </w:r>
      <w:proofErr w:type="spellStart"/>
      <w:r w:rsidRPr="001F47E2">
        <w:rPr>
          <w:rFonts w:ascii="Times New Roman" w:eastAsia="Arial Narrow" w:hAnsi="Times New Roman" w:cs="Times New Roman"/>
        </w:rPr>
        <w:t>exámine</w:t>
      </w:r>
      <w:proofErr w:type="spellEnd"/>
      <w:r w:rsidRPr="001F47E2">
        <w:rPr>
          <w:rFonts w:ascii="Times New Roman" w:eastAsia="Arial Narrow" w:hAnsi="Times New Roman" w:cs="Times New Roman"/>
        </w:rPr>
        <w:t xml:space="preserve">, se tiene que lo que se pretende legislar en torno a la conducta denominada “vandalismo” en Colombia, tiene que ver que de las fuentes materiales, es decir, de lo que ha venido sucediendo por años en nuestro país, en donde los manifestantes </w:t>
      </w:r>
      <w:r w:rsidRPr="001F47E2">
        <w:rPr>
          <w:rFonts w:ascii="Times New Roman" w:eastAsia="Arial Narrow" w:hAnsi="Times New Roman" w:cs="Times New Roman"/>
          <w:u w:val="single"/>
        </w:rPr>
        <w:t>se encapuchan para ocultar la identidad con el ánimo consciente y voluntario de generar vandalismo contra las personas, los bienes públicos y privados, so pretexto de generar protesta contra una acción o decisión tomada por un gobernante de turno; han hecho que se pierdan vidas, se menoscabe el patrimonio público y privado, se generen daños a la integridad física de los miembros de la fuerza pública costándole al estado una millonaria suma para su recuperación,</w:t>
      </w:r>
      <w:r w:rsidRPr="001F47E2">
        <w:rPr>
          <w:rFonts w:ascii="Times New Roman" w:eastAsia="Arial Narrow" w:hAnsi="Times New Roman" w:cs="Times New Roman"/>
        </w:rPr>
        <w:t xml:space="preserve"> entre otras afectaciones; y solamente se generan acciones tendientes a capturar, imputar y procesar a ciertos individuos por delitos de menor entidad como los son la violencia contra servidor público, daño en bien ajeno, lesiones personales, </w:t>
      </w:r>
      <w:r w:rsidRPr="001F47E2">
        <w:rPr>
          <w:rFonts w:ascii="Times New Roman" w:eastAsia="Arial Narrow" w:hAnsi="Times New Roman" w:cs="Times New Roman"/>
          <w:u w:val="single"/>
        </w:rPr>
        <w:t>sin que la función principal del derecho penal, el cual es intimidar bajo la sanción punitiva previniendo el delito, se dé en estos casos</w:t>
      </w:r>
      <w:r w:rsidRPr="001F47E2">
        <w:rPr>
          <w:rFonts w:ascii="Times New Roman" w:eastAsia="Arial Narrow" w:hAnsi="Times New Roman" w:cs="Times New Roman"/>
        </w:rPr>
        <w:t>, pues se conoce por los vándalos a priori a su accionar, que dichos comportamientos no comportan una lesión significante a los bienes jurídicos que se tutelan, generándose per se un estado de impunidad y de repetición de dichos actos vandálicos cada vez que quieren ejercer el derecho constitucional y sagrado de la protesta pacífica pública en Colombia sin guardar recato por el respeto y protección de las personas, los bienes y la institucionalidad.</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Bajo este orden de ideas, debemos referirnos a lo que se debe entender por bien jurídico, siendo de ante mano manifestar que el concepto es muy difícil de definir en el ámbito de la ciencia penal, toda vez que la doctrina ha expresado un sin números de definiciones como autores han tratado el tema. El tratadista Von Liszt, dice que “el bien jurídico puede ser definido como un interés vital para el desarrollo de los individuos de una sociedad determinada, que adquiere reconocimiento jurídico”; en otras palabras, el interés se hace indispensable, necesario y trascendente para que la armonía social se mantenga y sea fundamental en un determinado contexto</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 xml:space="preserve">Ahora, es dable decir que el derecho penal no crea bienes jurídicos, sino que se limita a sancionar con una pena ciertas conductas que lesionan ciertos bienes de cierta forma. El bien jurídico es creado ab initio, por el Derecho constitucional y el Derecho Internacional, como ejemplo el derecho a la vida del artículo 11 de la Constitución ratificado por los tratados internacionales en la declaración universal de los derechos humanos Art 3º. </w:t>
      </w:r>
      <w:proofErr w:type="gramStart"/>
      <w:r w:rsidRPr="001F47E2">
        <w:rPr>
          <w:rFonts w:ascii="Times New Roman" w:eastAsia="Arial Narrow" w:hAnsi="Times New Roman" w:cs="Times New Roman"/>
        </w:rPr>
        <w:t>y</w:t>
      </w:r>
      <w:proofErr w:type="gramEnd"/>
      <w:r w:rsidRPr="001F47E2">
        <w:rPr>
          <w:rFonts w:ascii="Times New Roman" w:eastAsia="Arial Narrow" w:hAnsi="Times New Roman" w:cs="Times New Roman"/>
        </w:rPr>
        <w:t xml:space="preserve"> el derecho internacional humanitario.</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De otra parte, se debe aclarar que, el bien jurídico debe distinguirse del objeto de la acción, siendo éste aquel ente físico sobre el cual, concretamente, recae la acción del sujeto. Verbigracia en el delito de hurto el objeto de la acción (o lo que también se conoce como objeto material del delito) sería la cosa mueble que se apropia el sujeto agente y es el bien jurídico la propiedad que se protege en el Artículo 239 del C.P. Delitos contra el patrimonio económico.</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 xml:space="preserve">Teniendo en cuanta lo anterior, el derecho penal no puede sancionar conductas que no afloren al campo de la acción, es decir, que se quedan en los pensamientos, o en comportamientos que no dañen a ninguno, pues el derecho penal es y será la última ratio de los derechos necesarios para conservar la tranquilidad y la armonía en los grupos sociales. Bacigalupo se expresa de la siguiente forma: “El Derecho penal moderno (a partir de </w:t>
      </w:r>
      <w:proofErr w:type="spellStart"/>
      <w:r w:rsidRPr="001F47E2">
        <w:rPr>
          <w:rFonts w:ascii="Times New Roman" w:eastAsia="Arial Narrow" w:hAnsi="Times New Roman" w:cs="Times New Roman"/>
        </w:rPr>
        <w:t>Binding</w:t>
      </w:r>
      <w:proofErr w:type="spellEnd"/>
      <w:r w:rsidRPr="001F47E2">
        <w:rPr>
          <w:rFonts w:ascii="Times New Roman" w:eastAsia="Arial Narrow" w:hAnsi="Times New Roman" w:cs="Times New Roman"/>
        </w:rPr>
        <w:t xml:space="preserve">) se ha desarrollado desde la idea de protección de bienes jurídicos. De acuerdo con ella, el legislador amenaza con pena las acciones que vulneran (o ponen en peligro) determinados intereses de una sociedad determinada. La vida, la </w:t>
      </w:r>
      <w:r w:rsidRPr="001F47E2">
        <w:rPr>
          <w:rFonts w:ascii="Times New Roman" w:eastAsia="Arial Narrow" w:hAnsi="Times New Roman" w:cs="Times New Roman"/>
        </w:rPr>
        <w:lastRenderedPageBreak/>
        <w:t xml:space="preserve">libertad, la propiedad, etcétera son intereses o finalidades de la sociedad que el legislador quiere proteger amenazando a quienes los ataquen con la aplicación de una pena; de esta forma, tales intereses se convierten, a través de su reconocimiento en el orden jurídico positivo, en bienes jurídicos. De la idea de protección de bienes jurídicos se deducen en la teoría límites para el </w:t>
      </w:r>
      <w:proofErr w:type="spellStart"/>
      <w:r w:rsidRPr="001F47E2">
        <w:rPr>
          <w:rFonts w:ascii="Times New Roman" w:eastAsia="Arial Narrow" w:hAnsi="Times New Roman" w:cs="Times New Roman"/>
        </w:rPr>
        <w:t>ius</w:t>
      </w:r>
      <w:proofErr w:type="spellEnd"/>
      <w:r w:rsidRPr="001F47E2">
        <w:rPr>
          <w:rFonts w:ascii="Times New Roman" w:eastAsia="Arial Narrow" w:hAnsi="Times New Roman" w:cs="Times New Roman"/>
        </w:rPr>
        <w:t xml:space="preserve"> </w:t>
      </w:r>
      <w:proofErr w:type="spellStart"/>
      <w:r w:rsidRPr="001F47E2">
        <w:rPr>
          <w:rFonts w:ascii="Times New Roman" w:eastAsia="Arial Narrow" w:hAnsi="Times New Roman" w:cs="Times New Roman"/>
        </w:rPr>
        <w:t>puniendi</w:t>
      </w:r>
      <w:proofErr w:type="spellEnd"/>
      <w:r w:rsidRPr="001F47E2">
        <w:rPr>
          <w:rFonts w:ascii="Times New Roman" w:eastAsia="Arial Narrow" w:hAnsi="Times New Roman" w:cs="Times New Roman"/>
        </w:rPr>
        <w:t xml:space="preserve">, es decir para el derecho de dictar leyes penales”. </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 xml:space="preserve">Así las cosas y como quiera que las normas penales tienden a la protección de los bienes jurídicos y si la conducta desplegada impacta o lesiona de manera efectiva al bien jurídico </w:t>
      </w:r>
      <w:proofErr w:type="spellStart"/>
      <w:r w:rsidRPr="001F47E2">
        <w:rPr>
          <w:rFonts w:ascii="Times New Roman" w:eastAsia="Arial Narrow" w:hAnsi="Times New Roman" w:cs="Times New Roman"/>
        </w:rPr>
        <w:t>tutelable</w:t>
      </w:r>
      <w:proofErr w:type="spellEnd"/>
      <w:r w:rsidRPr="001F47E2">
        <w:rPr>
          <w:rFonts w:ascii="Times New Roman" w:eastAsia="Arial Narrow" w:hAnsi="Times New Roman" w:cs="Times New Roman"/>
        </w:rPr>
        <w:t xml:space="preserve"> por el estado, ésta – la conducta - debe ser considerada como ilícita, es decir, como el ordenamiento punitivo se cimenta en la protección de bienes jurídicos, la lesión efectiva o su puesta en peligro (resultado típico) debe tener incidencia a la hora de crear dicha ilicitud.</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Por tales razones, es viable totalmente, la génesis de nueva tipología conductual frente a la criminalización del vandalismo en Colombia, concibiendo unos tipos penales principales y autónomos, que permitan, así como se legisló en torno al abigeato el cual no era otro que un hurto bajo circunstancias de agravación punitiva en un delito principal; proteger en primera instancia a todas las personas que de una u otra manera realizan una protesta bajo parámetros pacifistas, en segundo lugar proteger a los miembros de la fuerza pública y desenmascarar de una u otra manera a los posibles infiltrados de cualquier línea (llámese de izquierda, derecha, e inclusive miembros de la fuerza pública) para la protección de los bienes en juego durante el transcurrir de la manifestación pacífica y tercero, proteger los bienes públicos y privados de los vándalos que consiguen descargar en ellos toda la ira, odio y demás sentimientos negativos, más como vía de escape sin generar con la ilicitud beneficiar los cometidos de la protesta como derecho fundamental amparado por la carta magna, sino por el contrario, generar el caos, la desolación, la destrucción, la lesión e inclusive la muerte de los propios manifestantes, alterando el orden público y desestabilizando la tranquilidad y la armonía social.</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 xml:space="preserve">A continuación, se relaciona el tipo penal de </w:t>
      </w:r>
      <w:r w:rsidRPr="001F47E2">
        <w:rPr>
          <w:rFonts w:ascii="Times New Roman" w:eastAsia="Arial Narrow" w:hAnsi="Times New Roman" w:cs="Times New Roman"/>
          <w:b/>
        </w:rPr>
        <w:t xml:space="preserve">VANDALISMO Y SUS DIFERENCIAS ENTRE LOS DELITOS DE ASONADA, DAÑO EN BIEN AJENO, LESIONES PERSONALES Y VIOLENCIA CONTRA SERVIDOR PÚBLICO. </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b/>
        </w:rPr>
        <w:t>ASONADA: (</w:t>
      </w:r>
      <w:r w:rsidRPr="001F47E2">
        <w:rPr>
          <w:rFonts w:ascii="Times New Roman" w:eastAsia="Arial Narrow" w:hAnsi="Times New Roman" w:cs="Times New Roman"/>
        </w:rPr>
        <w:t>Artículo 469).</w:t>
      </w:r>
      <w:r w:rsidRPr="001F47E2">
        <w:rPr>
          <w:rFonts w:ascii="Times New Roman" w:eastAsia="Arial Narrow" w:hAnsi="Times New Roman" w:cs="Times New Roman"/>
          <w:b/>
        </w:rPr>
        <w:t xml:space="preserve"> </w:t>
      </w:r>
      <w:r w:rsidRPr="001F47E2">
        <w:rPr>
          <w:rFonts w:ascii="Times New Roman" w:eastAsia="Arial Narrow" w:hAnsi="Times New Roman" w:cs="Times New Roman"/>
          <w:i/>
        </w:rPr>
        <w:t>Los que en forma tumultuaria exigieren violentamente de la autoridad la ejecución u omisión de algún acto propio de sus funciones, incurrirán en prisión de uno (1) a dos (2) años.</w:t>
      </w:r>
    </w:p>
    <w:p w:rsidR="00B66A27" w:rsidRDefault="00477CF4" w:rsidP="00AC7B84">
      <w:pPr>
        <w:spacing w:line="240" w:lineRule="auto"/>
        <w:jc w:val="center"/>
        <w:rPr>
          <w:rFonts w:ascii="Times New Roman" w:eastAsia="Arial Narrow" w:hAnsi="Times New Roman" w:cs="Times New Roman"/>
          <w:b/>
        </w:rPr>
      </w:pPr>
      <w:r w:rsidRPr="001F47E2">
        <w:rPr>
          <w:rFonts w:ascii="Times New Roman" w:eastAsia="Arial Narrow" w:hAnsi="Times New Roman" w:cs="Times New Roman"/>
          <w:b/>
        </w:rPr>
        <w:t>LA ASONADA COMO DELITO POLÍTICO EN EL CÓDIGO PENAL</w:t>
      </w:r>
    </w:p>
    <w:p w:rsidR="00AC7B84" w:rsidRPr="001F47E2" w:rsidRDefault="00AC7B84" w:rsidP="00AC7B84">
      <w:pPr>
        <w:spacing w:line="240" w:lineRule="auto"/>
        <w:jc w:val="center"/>
        <w:rPr>
          <w:rFonts w:ascii="Times New Roman" w:eastAsia="Arial Narrow" w:hAnsi="Times New Roman" w:cs="Times New Roman"/>
        </w:rPr>
      </w:pP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Primero hay que entender qué, se denomina delito político en Colombia a aquellos actos o acciones que atentan contra la Constitución y el orden constitucional establecido.</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 xml:space="preserve">Se suelen considerar delitos políticos aquellos del Código Penal bajo el título de delitos contra el régimen constitucional y legal en el cual se agrupan los tipos de rebelión, sedición y </w:t>
      </w:r>
      <w:r w:rsidRPr="001F47E2">
        <w:rPr>
          <w:rFonts w:ascii="Times New Roman" w:eastAsia="Arial Narrow" w:hAnsi="Times New Roman" w:cs="Times New Roman"/>
          <w:b/>
          <w:i/>
        </w:rPr>
        <w:t>asonada</w:t>
      </w:r>
      <w:r w:rsidRPr="001F47E2">
        <w:rPr>
          <w:rFonts w:ascii="Times New Roman" w:eastAsia="Arial Narrow" w:hAnsi="Times New Roman" w:cs="Times New Roman"/>
        </w:rPr>
        <w:t xml:space="preserve">, como lo reconoce la Sentencia C-986 del 2010, así como la posibilidad de que el legislador confiera el carácter de conexos a otros tipos penales siempre que cumpla con las condiciones de razonabilidad y proporcionalidad. En la Sentencia C-928 del 2005, </w:t>
      </w:r>
      <w:r w:rsidRPr="001F47E2">
        <w:rPr>
          <w:rFonts w:ascii="Times New Roman" w:eastAsia="Arial Narrow" w:hAnsi="Times New Roman" w:cs="Times New Roman"/>
          <w:i/>
        </w:rPr>
        <w:t>se consideró el delito político como aquella infracción que busca el cambio de las instituciones o del sistema de gobierno, caracterizado por su espíritu altruista</w:t>
      </w:r>
      <w:r w:rsidRPr="001F47E2">
        <w:rPr>
          <w:rFonts w:ascii="Times New Roman" w:eastAsia="Arial Narrow" w:hAnsi="Times New Roman" w:cs="Times New Roman"/>
        </w:rPr>
        <w:t>, que, en armonía con el Estatuto de Roma, excluiría de esta categoría o conexos los delitos de genocidio, de lesa humanidad, crímenes de guerra y el crimen de agresión.</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lastRenderedPageBreak/>
        <w:t xml:space="preserve">En teoría con la las garantías que se han dado respecto de los mecanismos de participación democrática desde la promulgación de la C.P. de 1991, así como la consagración constitucional de la democracia participativa, con mecanismos eficaces para ello, no habría cabida para generar el desorden, a través de la asonada, lo cual impide la misma participación ciudadana institucionalizada, pero lo que ha venido ocurriendo es que con la comisión del tipo penal se va transgredido  uno de los fines esenciales  del Estado, como lo es el orden político, social y económico justo. La asonada, al impedir la tranquilidad, priva a los miembros de la sociedad civil de uno de sus derechos fundamentales, cual es la tranquilidad, además de desvertebrar la seguridad; al hacerlo, es injusta, luego tal conducta es incompatible con el orden social justo. Algunas personas dirán, en gracia de discusión, que se trata de la expresión contra una injusticia, no hay legitimación in causa para la violencia, pues la justicia no admite como medio idóneo para su conservación su antinomia, es decir, la injusticia. Finalmente, contra la tranquilidad ciudadana no hay pretensión válida ya que los ataques a la población civil están expresamente prohibidos por los convenios de Ginebra de 1949. </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 xml:space="preserve">Si miramos el concepto </w:t>
      </w:r>
      <w:r w:rsidRPr="001F47E2">
        <w:rPr>
          <w:rFonts w:ascii="Times New Roman" w:eastAsia="Arial Narrow" w:hAnsi="Times New Roman" w:cs="Times New Roman"/>
          <w:b/>
        </w:rPr>
        <w:t>VANDALISMO</w:t>
      </w:r>
      <w:r w:rsidRPr="001F47E2">
        <w:rPr>
          <w:rFonts w:ascii="Times New Roman" w:eastAsia="Arial Narrow" w:hAnsi="Times New Roman" w:cs="Times New Roman"/>
        </w:rPr>
        <w:t>, podemos encontrar que es una “Actitud o inclinación a cometer acciones destructivas contra la propiedad pública y privada sin consideración alguna hacia los demás”</w:t>
      </w:r>
    </w:p>
    <w:p w:rsidR="00B66A27" w:rsidRPr="001F47E2" w:rsidRDefault="00477CF4">
      <w:pPr>
        <w:spacing w:after="0" w:line="240" w:lineRule="auto"/>
        <w:jc w:val="both"/>
        <w:rPr>
          <w:rFonts w:ascii="Times New Roman" w:eastAsia="Arial Narrow" w:hAnsi="Times New Roman" w:cs="Times New Roman"/>
        </w:rPr>
      </w:pPr>
      <w:r w:rsidRPr="001F47E2">
        <w:rPr>
          <w:rFonts w:ascii="Times New Roman" w:eastAsia="Arial Narrow" w:hAnsi="Times New Roman" w:cs="Times New Roman"/>
        </w:rPr>
        <w:t xml:space="preserve">Hoy en día, la palabra vándalo se utiliza para hacer referencia a una persona o un grupo de personas que actúan de manera violenta, para destruir, robar, saquear y violentar propiedades públicas y privadas, lo cual genera situaciones de peligrosidad. </w:t>
      </w:r>
    </w:p>
    <w:p w:rsidR="00B66A27" w:rsidRPr="001F47E2" w:rsidRDefault="00B66A27">
      <w:pPr>
        <w:spacing w:after="0" w:line="240" w:lineRule="auto"/>
        <w:jc w:val="both"/>
        <w:rPr>
          <w:rFonts w:ascii="Times New Roman" w:eastAsia="Arial Narrow" w:hAnsi="Times New Roman" w:cs="Times New Roman"/>
        </w:rPr>
      </w:pPr>
    </w:p>
    <w:p w:rsidR="00B66A27" w:rsidRPr="001F47E2" w:rsidRDefault="00477CF4">
      <w:pPr>
        <w:spacing w:after="0" w:line="240" w:lineRule="auto"/>
        <w:jc w:val="both"/>
        <w:rPr>
          <w:rFonts w:ascii="Times New Roman" w:eastAsia="Arial Narrow" w:hAnsi="Times New Roman" w:cs="Times New Roman"/>
        </w:rPr>
      </w:pPr>
      <w:r w:rsidRPr="001F47E2">
        <w:rPr>
          <w:rFonts w:ascii="Times New Roman" w:eastAsia="Arial Narrow" w:hAnsi="Times New Roman" w:cs="Times New Roman"/>
        </w:rPr>
        <w:t xml:space="preserve">El vandalismo tiene que ver con muchas causas, </w:t>
      </w:r>
      <w:r w:rsidRPr="001F47E2">
        <w:rPr>
          <w:rFonts w:ascii="Times New Roman" w:eastAsia="Arial Narrow" w:hAnsi="Times New Roman" w:cs="Times New Roman"/>
          <w:b/>
        </w:rPr>
        <w:t>pero</w:t>
      </w:r>
      <w:r w:rsidRPr="001F47E2">
        <w:rPr>
          <w:rFonts w:ascii="Times New Roman" w:eastAsia="Arial Narrow" w:hAnsi="Times New Roman" w:cs="Times New Roman"/>
        </w:rPr>
        <w:t xml:space="preserve"> en ocasiones este no tiene causa aparente más que el placer que a una persona o grupo de personas puede generarle el destruir y romper. </w:t>
      </w:r>
    </w:p>
    <w:p w:rsidR="00B66A27" w:rsidRPr="001F47E2" w:rsidRDefault="00477CF4">
      <w:pPr>
        <w:spacing w:after="0" w:line="240" w:lineRule="auto"/>
        <w:jc w:val="both"/>
        <w:rPr>
          <w:rFonts w:ascii="Times New Roman" w:eastAsia="Arial Narrow" w:hAnsi="Times New Roman" w:cs="Times New Roman"/>
        </w:rPr>
      </w:pPr>
      <w:r w:rsidRPr="001F47E2">
        <w:rPr>
          <w:rFonts w:ascii="Times New Roman" w:eastAsia="Arial Narrow" w:hAnsi="Times New Roman" w:cs="Times New Roman"/>
        </w:rPr>
        <w:br/>
        <w:t>Los actos de vandalismo se llevan a cabo cuando se realizan manifestaciones, marchas de protesta, es un accionar de grupos no comprometidos políticamente como sucede con las personas que se camuflan en dichas manifestaciones o las barrabravas o hinchas violentos de fútbol que utilizan estos medios no como forma de protesta sino simplemente de aprovechar, robar, saquear y destruir todo lo que se encuentre a su paso.</w:t>
      </w:r>
    </w:p>
    <w:p w:rsidR="00B66A27" w:rsidRPr="001F47E2" w:rsidRDefault="00477CF4">
      <w:pPr>
        <w:spacing w:after="0" w:line="240" w:lineRule="auto"/>
        <w:jc w:val="both"/>
        <w:rPr>
          <w:rFonts w:ascii="Times New Roman" w:eastAsia="Arial Narrow" w:hAnsi="Times New Roman" w:cs="Times New Roman"/>
        </w:rPr>
      </w:pPr>
      <w:r w:rsidRPr="001F47E2">
        <w:rPr>
          <w:rFonts w:ascii="Times New Roman" w:eastAsia="Arial Narrow" w:hAnsi="Times New Roman" w:cs="Times New Roman"/>
        </w:rPr>
        <w:t xml:space="preserve"> </w:t>
      </w:r>
      <w:r w:rsidRPr="001F47E2">
        <w:rPr>
          <w:rFonts w:ascii="Times New Roman" w:eastAsia="Arial Narrow" w:hAnsi="Times New Roman" w:cs="Times New Roman"/>
        </w:rPr>
        <w:br/>
        <w:t xml:space="preserve">Si bien es cierto, en el vandalismo se ve una categoría amplia de delitos que se utiliza para describir una variedad de conductas. En general, este  incluye cualquier conducta intencional destinada a destruir, alterar o profanar los bienes que pertenece a un tercero, sin pensarse por esto que corresponde al delito de daño en bien ajeno establecido en el Art. 265 de la ley 599 de 2000, teniendo en cuenta que en este tipo penal, la conducta punible descrita es de sujeto activo simple, en tanto no se requiere ninguna calificación ni condición especial de conducta para su configuración y de resultado pues sólo se entiende consumada cuando efectivamente se destruye, inutiliza, desaparece o daña un bien de un tercero. </w:t>
      </w:r>
    </w:p>
    <w:p w:rsidR="00B66A27" w:rsidRPr="001F47E2" w:rsidRDefault="00B66A27">
      <w:pPr>
        <w:spacing w:after="0" w:line="240" w:lineRule="auto"/>
        <w:jc w:val="both"/>
        <w:rPr>
          <w:rFonts w:ascii="Times New Roman" w:eastAsia="Arial Narrow" w:hAnsi="Times New Roman" w:cs="Times New Roman"/>
        </w:rPr>
      </w:pP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El vandalismo</w:t>
      </w:r>
      <w:r w:rsidRPr="001F47E2">
        <w:rPr>
          <w:rFonts w:ascii="Times New Roman" w:eastAsia="Arial Narrow" w:hAnsi="Times New Roman" w:cs="Times New Roman"/>
          <w:i/>
        </w:rPr>
        <w:t xml:space="preserve"> </w:t>
      </w:r>
      <w:r w:rsidRPr="001F47E2">
        <w:rPr>
          <w:rFonts w:ascii="Times New Roman" w:eastAsia="Arial Narrow" w:hAnsi="Times New Roman" w:cs="Times New Roman"/>
        </w:rPr>
        <w:t xml:space="preserve"> que se trata en el presente documento además de no  llegar a considerarse un delito político como si lo es la asonada, corresponde a aquella actuación contraria a derecho ligada necesariamente a una actividad permitida por la ley y protegida por la constitución en su canon 37 ya que se constituye en un respaldo a la participación ciudadana y se entrelaza con el derecho a la protesta, donde se debe garantizar por parte del estado el respeto por los manifestantes, el fortalecimiento de la vigilancia, control de las acciones y el acompañamiento del Estado en las movilizaciones para el respeto de las libertades democráticas.</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lastRenderedPageBreak/>
        <w:t xml:space="preserve">El vandalismo en la protesta social requiere entonces que las conductas o verbos rectores (dañe, destruya e inutilice) ocurran bajo el desarrollo de una protesta, manifestación o movilización pública, como ejercicio de una garantía constitucional que da vía libre a las diferentes marchas ciudadanas en todo el territorio colombiano, donde se  garantiza por parte del Estado el libre agrupamiento de ciudadanos frente a cualquier lugar o las masivas manifestaciones que se llevan a cabo contra la decisión del gobierno, acudiendo a la protesta </w:t>
      </w:r>
      <w:r w:rsidRPr="001F47E2">
        <w:rPr>
          <w:rFonts w:ascii="Times New Roman" w:eastAsia="Arial Narrow" w:hAnsi="Times New Roman" w:cs="Times New Roman"/>
          <w:highlight w:val="white"/>
        </w:rPr>
        <w:t xml:space="preserve">cuando se agotan otros canales de expresión del descontento ante situaciones injustas, lo que lo diferencia radicalmente del simple daño en bien ajeno establecido en </w:t>
      </w:r>
      <w:r w:rsidRPr="001F47E2">
        <w:rPr>
          <w:rFonts w:ascii="Times New Roman" w:eastAsia="Arial Narrow" w:hAnsi="Times New Roman" w:cs="Times New Roman"/>
        </w:rPr>
        <w:t>el Art. 265 de la ley 599 de 2000, no habiendo además distinción de si el daño o destrucción se da respecto de bienes públicos o de particulares.</w:t>
      </w:r>
    </w:p>
    <w:p w:rsidR="00B66A27"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 xml:space="preserve">Como la protesta social es un derecho, el mismo debe desarrollarse y ejercerse siempre con estricto apego a la ley y de manera pacífica para ser reconocido como legítimo y protegido por la institucionalidad. </w:t>
      </w:r>
    </w:p>
    <w:p w:rsidR="00AC7B84" w:rsidRPr="001F47E2" w:rsidRDefault="00AC7B84">
      <w:pPr>
        <w:spacing w:line="240" w:lineRule="auto"/>
        <w:jc w:val="both"/>
        <w:rPr>
          <w:rFonts w:ascii="Times New Roman" w:eastAsia="Arial Narrow" w:hAnsi="Times New Roman" w:cs="Times New Roman"/>
        </w:rPr>
      </w:pPr>
    </w:p>
    <w:p w:rsidR="00B66A27" w:rsidRDefault="00477CF4" w:rsidP="00AC7B84">
      <w:pPr>
        <w:spacing w:line="240" w:lineRule="auto"/>
        <w:jc w:val="center"/>
        <w:rPr>
          <w:rFonts w:ascii="Times New Roman" w:eastAsia="Arial Narrow" w:hAnsi="Times New Roman" w:cs="Times New Roman"/>
          <w:b/>
        </w:rPr>
      </w:pPr>
      <w:r w:rsidRPr="001F47E2">
        <w:rPr>
          <w:rFonts w:ascii="Times New Roman" w:eastAsia="Arial Narrow" w:hAnsi="Times New Roman" w:cs="Times New Roman"/>
          <w:b/>
        </w:rPr>
        <w:t>LAS LESIONES PERSONALES Y LA VIOLENCIA CONTRA SERVIDOR PÚBLICO (sujeto pasivo calificado)</w:t>
      </w:r>
    </w:p>
    <w:p w:rsidR="00AC7B84" w:rsidRPr="001F47E2" w:rsidRDefault="00AC7B84" w:rsidP="00AC7B84">
      <w:pPr>
        <w:spacing w:line="240" w:lineRule="auto"/>
        <w:jc w:val="center"/>
        <w:rPr>
          <w:rFonts w:ascii="Times New Roman" w:eastAsia="Arial Narrow" w:hAnsi="Times New Roman" w:cs="Times New Roman"/>
        </w:rPr>
      </w:pP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 xml:space="preserve">En estos dos tipos penales encontramos varias diferencias, así mismo respecto del tipo penal que se pretende establecer </w:t>
      </w:r>
      <w:r w:rsidRPr="001F47E2">
        <w:rPr>
          <w:rFonts w:ascii="Times New Roman" w:eastAsia="Arial Narrow" w:hAnsi="Times New Roman" w:cs="Times New Roman"/>
          <w:i/>
        </w:rPr>
        <w:t>“vandalismo en la protesta social”</w:t>
      </w:r>
      <w:r w:rsidRPr="001F47E2">
        <w:rPr>
          <w:rFonts w:ascii="Times New Roman" w:eastAsia="Arial Narrow" w:hAnsi="Times New Roman" w:cs="Times New Roman"/>
        </w:rPr>
        <w:t>.</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Estos tipos penales (</w:t>
      </w:r>
      <w:r w:rsidRPr="001F47E2">
        <w:rPr>
          <w:rFonts w:ascii="Times New Roman" w:eastAsia="Arial Narrow" w:hAnsi="Times New Roman" w:cs="Times New Roman"/>
          <w:i/>
        </w:rPr>
        <w:t>lesiones personales y la violencia contra servidor público)</w:t>
      </w:r>
      <w:r w:rsidRPr="001F47E2">
        <w:rPr>
          <w:rFonts w:ascii="Times New Roman" w:eastAsia="Arial Narrow" w:hAnsi="Times New Roman" w:cs="Times New Roman"/>
          <w:b/>
        </w:rPr>
        <w:t xml:space="preserve"> </w:t>
      </w:r>
      <w:r w:rsidRPr="001F47E2">
        <w:rPr>
          <w:rFonts w:ascii="Times New Roman" w:eastAsia="Arial Narrow" w:hAnsi="Times New Roman" w:cs="Times New Roman"/>
        </w:rPr>
        <w:t xml:space="preserve"> tratan de tipos penales de sujeto activo indeterminado pero varia notoriamente teniendo en cuenta que en las lesiones personales, el sujeto pasivo de igual forma es indeterminado, por el contrario en la violencia contra servidor público el sujeto pasivo es el funcionario del Estado; que exige para su configuración un medio específico, a saber, el ejercicio de violencia en cualquiera de sus dos modalidades, esto es, física -entendida como la energía material aplicada a una persona con el fin de someter su voluntad- o moral -consistente en la promesa real de un mal futuro dirigido contra una persona o alguna estrechamente vinculada a ella- con el propósito de obligar al servidor público a la realización u omisión de un acto propio de su cargo, o para que lleve a cabo una conducta contraria a los deberes oficialmente asignados. </w:t>
      </w:r>
    </w:p>
    <w:p w:rsidR="00B66A27" w:rsidRPr="001F47E2" w:rsidRDefault="00477CF4">
      <w:pPr>
        <w:spacing w:line="240" w:lineRule="auto"/>
        <w:jc w:val="both"/>
        <w:rPr>
          <w:rFonts w:ascii="Times New Roman" w:eastAsia="Arial Narrow" w:hAnsi="Times New Roman" w:cs="Times New Roman"/>
        </w:rPr>
      </w:pPr>
      <w:r w:rsidRPr="001F47E2">
        <w:rPr>
          <w:rFonts w:ascii="Times New Roman" w:eastAsia="Arial Narrow" w:hAnsi="Times New Roman" w:cs="Times New Roman"/>
        </w:rPr>
        <w:t xml:space="preserve">Con el delito no se sanciona el hecho de que se ejerza violencia contra un servidor público, se sanciona el hecho de que la violencia sea ejercida con un especial elemento subjetivo (direccional) para obligarlo a observar una de dos conductas, a saber, o a ejecutar u omitir algún acto propio de su cargo, o a realizar uno contrario a sus deberes oficiales. Lo anterior se aleja de lo que se pretende sancionar con los actos de violencia que ocurran contra los miembros de la fuerza pública, siendo estos una especie de servidor público, lo que termina casi que convirtiendo a este sujeto pasivo calificado especialísimo, esto es el servidor público miembro de las fuerza pública exclusivamente y que son agredidos en su integridad física por razón funcional al hacer presencia en las diferentes protestas sociales como garantes del orden público, de las libertades democráticas de quienes se movilizan y protestan en ejercicio de su legítimo derecho, pero también de los ciudadanos en general. </w:t>
      </w:r>
    </w:p>
    <w:p w:rsidR="00B66A27" w:rsidRDefault="00B66A27" w:rsidP="00AC7B84">
      <w:pPr>
        <w:shd w:val="clear" w:color="auto" w:fill="FFFFFF"/>
        <w:spacing w:before="45" w:after="15" w:line="240" w:lineRule="auto"/>
        <w:ind w:right="30"/>
        <w:jc w:val="both"/>
        <w:rPr>
          <w:rFonts w:ascii="Times New Roman" w:eastAsia="Arial Narrow" w:hAnsi="Times New Roman" w:cs="Times New Roman"/>
          <w:color w:val="000000"/>
        </w:rPr>
      </w:pPr>
    </w:p>
    <w:p w:rsidR="000D0D11" w:rsidRDefault="000D0D11" w:rsidP="00AC7B84">
      <w:pPr>
        <w:shd w:val="clear" w:color="auto" w:fill="FFFFFF"/>
        <w:spacing w:before="45" w:after="15" w:line="240" w:lineRule="auto"/>
        <w:ind w:right="30"/>
        <w:jc w:val="both"/>
        <w:rPr>
          <w:rFonts w:ascii="Times New Roman" w:eastAsia="Arial Narrow" w:hAnsi="Times New Roman" w:cs="Times New Roman"/>
          <w:color w:val="000000"/>
        </w:rPr>
      </w:pPr>
    </w:p>
    <w:p w:rsidR="000D0D11" w:rsidRPr="001F47E2" w:rsidRDefault="000D0D11" w:rsidP="00AC7B84">
      <w:pPr>
        <w:shd w:val="clear" w:color="auto" w:fill="FFFFFF"/>
        <w:spacing w:before="45" w:after="15" w:line="240" w:lineRule="auto"/>
        <w:ind w:right="30"/>
        <w:jc w:val="both"/>
        <w:rPr>
          <w:rFonts w:ascii="Times New Roman" w:eastAsia="Arial Narrow" w:hAnsi="Times New Roman" w:cs="Times New Roman"/>
          <w:color w:val="000000"/>
        </w:rPr>
      </w:pPr>
    </w:p>
    <w:p w:rsidR="00B66A27" w:rsidRPr="001F47E2" w:rsidRDefault="00477CF4" w:rsidP="00AC7B84">
      <w:pPr>
        <w:shd w:val="clear" w:color="auto" w:fill="FFFFFF"/>
        <w:spacing w:before="45" w:after="15" w:line="240" w:lineRule="auto"/>
        <w:ind w:right="30"/>
        <w:jc w:val="center"/>
        <w:rPr>
          <w:rFonts w:ascii="Times New Roman" w:eastAsia="Arial Narrow" w:hAnsi="Times New Roman" w:cs="Times New Roman"/>
          <w:color w:val="000000"/>
        </w:rPr>
      </w:pPr>
      <w:r w:rsidRPr="001F47E2">
        <w:rPr>
          <w:rFonts w:ascii="Times New Roman" w:eastAsia="Arial Narrow" w:hAnsi="Times New Roman" w:cs="Times New Roman"/>
          <w:b/>
          <w:color w:val="000000"/>
        </w:rPr>
        <w:lastRenderedPageBreak/>
        <w:t>ESTÁNDARES EN MATERIA DE PROTECCIÓN DEL DERECHO A LA PROTESTA PACÍFICA</w:t>
      </w:r>
    </w:p>
    <w:p w:rsidR="00B66A27" w:rsidRPr="001F47E2" w:rsidRDefault="00B66A27">
      <w:pPr>
        <w:shd w:val="clear" w:color="auto" w:fill="FFFFFF"/>
        <w:spacing w:before="45" w:after="15" w:line="240" w:lineRule="auto"/>
        <w:ind w:right="30" w:firstLine="210"/>
        <w:jc w:val="both"/>
        <w:rPr>
          <w:rFonts w:ascii="Times New Roman" w:eastAsia="Arial Narrow" w:hAnsi="Times New Roman" w:cs="Times New Roman"/>
          <w:color w:val="000000"/>
        </w:rPr>
      </w:pP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El derecho de reunión y manifestación pacífica ha sido reconocido en diversos instrumentos como la Declaración Universal de Derechos Humanos de 1948 (artículo 20), la Declaración Americana de los Derechos y Deberes del Hombre también de 1948 (artículo XXI), la Convención Internacional sobre la Eliminación de todas las Formas de Discriminación Racial de 1965 (artículo 5° literal ix), el Pacto Internacional de Derechos Civiles y Políticos de 1966 (artículo 21), la Convención Americana sobre Derechos Humanos de 1969 (artículo 15) e incluso la Convención sobre los Derechos del Niño de 1989 (artículo 15)</w:t>
      </w:r>
      <w:r w:rsidRPr="001F47E2">
        <w:rPr>
          <w:rFonts w:ascii="Times New Roman" w:eastAsia="Arial Narrow" w:hAnsi="Times New Roman" w:cs="Times New Roman"/>
          <w:color w:val="000000"/>
          <w:vertAlign w:val="superscript"/>
        </w:rPr>
        <w:footnoteReference w:id="2"/>
      </w:r>
      <w:r w:rsidRPr="001F47E2">
        <w:rPr>
          <w:rFonts w:ascii="Times New Roman" w:eastAsia="Arial Narrow" w:hAnsi="Times New Roman" w:cs="Times New Roman"/>
          <w:color w:val="000000"/>
        </w:rPr>
        <w:t>.</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En varias de esas disposiciones se establece que este derecho estará sujeto a las restricciones previstas por la ley que resulten necesarias en una sociedad democrática en interés de la seguridad nacional, de la seguridad pública o del orden público, o para proteger la salud o la moral públicas o los derechos y libertades de los demás, garantizando que el derecho de reunión y manifestación sea ejercido de manera pacífica.</w:t>
      </w:r>
    </w:p>
    <w:p w:rsidR="00B66A27" w:rsidRPr="001F47E2" w:rsidRDefault="00B66A27">
      <w:pPr>
        <w:shd w:val="clear" w:color="auto" w:fill="FFFFFF"/>
        <w:spacing w:before="45" w:after="15" w:line="240" w:lineRule="auto"/>
        <w:ind w:right="30" w:firstLine="210"/>
        <w:jc w:val="both"/>
        <w:rPr>
          <w:rFonts w:ascii="Times New Roman" w:eastAsia="Arial Narrow" w:hAnsi="Times New Roman" w:cs="Times New Roman"/>
          <w:color w:val="000000"/>
        </w:rPr>
      </w:pP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Respecto a estas restricciones, el Consejo de Derechos Humanos de las Naciones Unidas subrayó, mediante Resolución A/HRC/25/L.20 del 24 de marzo de 2014, la necesidad de:</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i/>
          <w:color w:val="000000"/>
        </w:rPr>
        <w:t>"gestionar las concentraciones, como las manifestaciones pacíficas, de forma que se contribuya a su celebración pacífica, y se prevengan muertes o lesiones entre los manifestantes, los transeúntes, los responsables de supervisar las manifestaciones y los funcionarios que ejercen tareas de aplicación de la ley, así como cualquier tipo de violación o abuso de los derechos humanos"</w:t>
      </w:r>
      <w:r w:rsidRPr="001F47E2">
        <w:rPr>
          <w:rFonts w:ascii="Times New Roman" w:eastAsia="Arial Narrow" w:hAnsi="Times New Roman" w:cs="Times New Roman"/>
          <w:i/>
          <w:color w:val="000000"/>
          <w:vertAlign w:val="superscript"/>
        </w:rPr>
        <w:footnoteReference w:id="3"/>
      </w:r>
      <w:r w:rsidRPr="001F47E2">
        <w:rPr>
          <w:rFonts w:ascii="Times New Roman" w:eastAsia="Arial Narrow" w:hAnsi="Times New Roman" w:cs="Times New Roman"/>
          <w:i/>
          <w:color w:val="000000"/>
        </w:rPr>
        <w:t>.</w:t>
      </w:r>
    </w:p>
    <w:p w:rsidR="00B66A27" w:rsidRPr="001F47E2" w:rsidRDefault="00B66A27">
      <w:pPr>
        <w:shd w:val="clear" w:color="auto" w:fill="FFFFFF"/>
        <w:spacing w:before="45" w:after="15" w:line="240" w:lineRule="auto"/>
        <w:ind w:right="30" w:firstLine="210"/>
        <w:jc w:val="both"/>
        <w:rPr>
          <w:rFonts w:ascii="Times New Roman" w:eastAsia="Arial Narrow" w:hAnsi="Times New Roman" w:cs="Times New Roman"/>
          <w:color w:val="000000"/>
        </w:rPr>
      </w:pP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Por su parte, el Relator Especial sobre los Derechos a la Libertad de Reunión Pacífica y de Asociación ha resaltado la obligación que tienen los Estados de demostrar tal necesidad y adoptar solo las medidas que sean </w:t>
      </w:r>
      <w:r w:rsidRPr="001F47E2">
        <w:rPr>
          <w:rFonts w:ascii="Times New Roman" w:eastAsia="Arial Narrow" w:hAnsi="Times New Roman" w:cs="Times New Roman"/>
          <w:color w:val="000000"/>
          <w:u w:val="single"/>
        </w:rPr>
        <w:t>proporcionales</w:t>
      </w:r>
      <w:r w:rsidRPr="001F47E2">
        <w:rPr>
          <w:rFonts w:ascii="Times New Roman" w:eastAsia="Arial Narrow" w:hAnsi="Times New Roman" w:cs="Times New Roman"/>
          <w:color w:val="000000"/>
        </w:rPr>
        <w:t> para la protección de los derechos, conforme a la Observación General número 31 de 2004 del Comité de Derechos Humanos</w:t>
      </w:r>
      <w:r w:rsidRPr="001F47E2">
        <w:rPr>
          <w:rFonts w:ascii="Times New Roman" w:eastAsia="Arial Narrow" w:hAnsi="Times New Roman" w:cs="Times New Roman"/>
          <w:color w:val="000000"/>
          <w:vertAlign w:val="superscript"/>
        </w:rPr>
        <w:footnoteReference w:id="4"/>
      </w:r>
      <w:r w:rsidRPr="001F47E2">
        <w:rPr>
          <w:rFonts w:ascii="Times New Roman" w:eastAsia="Arial Narrow" w:hAnsi="Times New Roman" w:cs="Times New Roman"/>
          <w:color w:val="000000"/>
        </w:rPr>
        <w:t>.</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El derecho a reunirse y manifestarse pública y pacíficamente hace parte del bloque de constitucionalidad y está consagrado expresamente en el artículo 37 de la Constitución Política</w:t>
      </w:r>
      <w:r w:rsidRPr="001F47E2">
        <w:rPr>
          <w:rFonts w:ascii="Times New Roman" w:eastAsia="Arial Narrow" w:hAnsi="Times New Roman" w:cs="Times New Roman"/>
          <w:color w:val="000000"/>
          <w:vertAlign w:val="superscript"/>
        </w:rPr>
        <w:footnoteReference w:id="5"/>
      </w:r>
      <w:r w:rsidRPr="001F47E2">
        <w:rPr>
          <w:rFonts w:ascii="Times New Roman" w:eastAsia="Arial Narrow" w:hAnsi="Times New Roman" w:cs="Times New Roman"/>
          <w:color w:val="000000"/>
        </w:rPr>
        <w:t>. La Corte Constitucional igualmente lo ha reconocido como una de las varias manifestaciones del derecho a la libertad de expresión (artículo 20 CP) y del derecho a la participación (artículo 40 CP).</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lastRenderedPageBreak/>
        <w:t>Su ejercicio no puede prohibirse ni siquiera en estados de excepción y los actos legítimos de protesta social pacífica no pueden ser tipificados como delito, de acuerdo con lo expuesto en la Sentencia C-179 de 1994</w:t>
      </w:r>
      <w:r w:rsidRPr="001F47E2">
        <w:rPr>
          <w:rFonts w:ascii="Times New Roman" w:eastAsia="Arial Narrow" w:hAnsi="Times New Roman" w:cs="Times New Roman"/>
          <w:color w:val="000000"/>
          <w:vertAlign w:val="superscript"/>
        </w:rPr>
        <w:footnoteReference w:id="6"/>
      </w:r>
      <w:r w:rsidRPr="001F47E2">
        <w:rPr>
          <w:rFonts w:ascii="Times New Roman" w:eastAsia="Arial Narrow" w:hAnsi="Times New Roman" w:cs="Times New Roman"/>
          <w:color w:val="000000"/>
        </w:rPr>
        <w:t>. Así mismo, en dicha providencia se indica que el legislador está facultado para determinar las limitaciones constitucionalmente admisibles para su ejercicio, para garantizar su desarrollo pacífico para la protección de los manifestantes.</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Este margen de configuración legislativa en materia penal se deriva de lo dispuesto en los artículos 114 y 150 de la Constitución Político</w:t>
      </w:r>
      <w:r w:rsidRPr="001F47E2">
        <w:rPr>
          <w:rFonts w:ascii="Times New Roman" w:eastAsia="Arial Narrow" w:hAnsi="Times New Roman" w:cs="Times New Roman"/>
          <w:color w:val="000000"/>
          <w:vertAlign w:val="superscript"/>
        </w:rPr>
        <w:footnoteReference w:id="7"/>
      </w:r>
      <w:r w:rsidRPr="001F47E2">
        <w:rPr>
          <w:rFonts w:ascii="Times New Roman" w:eastAsia="Arial Narrow" w:hAnsi="Times New Roman" w:cs="Times New Roman"/>
          <w:color w:val="000000"/>
        </w:rPr>
        <w:t>, según los cuales el legislador goza de amplia libertad para el diseño de la política criminal del Estado, sin que implique discrecionalidad absoluta pues debe enmarcarse en el respeto de los derechos constitucionales como </w:t>
      </w:r>
      <w:r w:rsidRPr="001F47E2">
        <w:rPr>
          <w:rFonts w:ascii="Times New Roman" w:eastAsia="Arial Narrow" w:hAnsi="Times New Roman" w:cs="Times New Roman"/>
          <w:i/>
          <w:color w:val="000000"/>
        </w:rPr>
        <w:t>"límite al poder punitivo del Estado"</w:t>
      </w:r>
      <w:r w:rsidRPr="001F47E2">
        <w:rPr>
          <w:rFonts w:ascii="Times New Roman" w:eastAsia="Arial Narrow" w:hAnsi="Times New Roman" w:cs="Times New Roman"/>
          <w:color w:val="000000"/>
        </w:rPr>
        <w:t>(C-365/12; C-742/12</w:t>
      </w:r>
      <w:r w:rsidRPr="001F47E2">
        <w:rPr>
          <w:rFonts w:ascii="Times New Roman" w:eastAsia="Arial Narrow" w:hAnsi="Times New Roman" w:cs="Times New Roman"/>
          <w:color w:val="000000"/>
          <w:vertAlign w:val="superscript"/>
        </w:rPr>
        <w:footnoteReference w:id="8"/>
      </w:r>
      <w:r w:rsidRPr="001F47E2">
        <w:rPr>
          <w:rFonts w:ascii="Times New Roman" w:eastAsia="Arial Narrow" w:hAnsi="Times New Roman" w:cs="Times New Roman"/>
          <w:color w:val="000000"/>
        </w:rPr>
        <w:t>).</w:t>
      </w:r>
    </w:p>
    <w:p w:rsidR="00B66A27" w:rsidRPr="001F47E2" w:rsidRDefault="00B66A27">
      <w:pPr>
        <w:shd w:val="clear" w:color="auto" w:fill="FFFFFF"/>
        <w:spacing w:before="45" w:after="15" w:line="240" w:lineRule="auto"/>
        <w:ind w:right="30" w:firstLine="210"/>
        <w:jc w:val="both"/>
        <w:rPr>
          <w:rFonts w:ascii="Times New Roman" w:eastAsia="Arial Narrow" w:hAnsi="Times New Roman" w:cs="Times New Roman"/>
          <w:color w:val="000000"/>
        </w:rPr>
      </w:pP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Para esto, se ha reconocido un principio de mínima intervención, por el cual, el derecho penal opera como </w:t>
      </w:r>
      <w:r w:rsidRPr="001F47E2">
        <w:rPr>
          <w:rFonts w:ascii="Times New Roman" w:eastAsia="Arial Narrow" w:hAnsi="Times New Roman" w:cs="Times New Roman"/>
          <w:i/>
          <w:color w:val="000000"/>
        </w:rPr>
        <w:t>ultima ratio</w:t>
      </w:r>
      <w:r w:rsidRPr="001F47E2">
        <w:rPr>
          <w:rFonts w:ascii="Times New Roman" w:eastAsia="Arial Narrow" w:hAnsi="Times New Roman" w:cs="Times New Roman"/>
          <w:color w:val="000000"/>
        </w:rPr>
        <w:t> para garantizar la convivencia pacífica cuando las demás alternativas de control no han funcionado (C-647/01; C-365/12</w:t>
      </w:r>
      <w:r w:rsidRPr="001F47E2">
        <w:rPr>
          <w:rFonts w:ascii="Times New Roman" w:eastAsia="Arial Narrow" w:hAnsi="Times New Roman" w:cs="Times New Roman"/>
          <w:color w:val="000000"/>
          <w:vertAlign w:val="superscript"/>
        </w:rPr>
        <w:footnoteReference w:id="9"/>
      </w:r>
      <w:r w:rsidRPr="001F47E2">
        <w:rPr>
          <w:rFonts w:ascii="Times New Roman" w:eastAsia="Arial Narrow" w:hAnsi="Times New Roman" w:cs="Times New Roman"/>
          <w:color w:val="000000"/>
        </w:rPr>
        <w:t>). Dentro de este antecedente jurisprudencial, es importante destacar el giro del derecho penal en lo que llaman los delitos de peligro, avanzando en las medidas preventivas que mitiguen posibles riegos como es el interés de esta iniciativa:</w:t>
      </w:r>
    </w:p>
    <w:p w:rsidR="00B66A27" w:rsidRPr="001F47E2" w:rsidRDefault="00B66A27">
      <w:pPr>
        <w:shd w:val="clear" w:color="auto" w:fill="FFFFFF"/>
        <w:spacing w:before="45" w:after="15" w:line="240" w:lineRule="auto"/>
        <w:ind w:right="30" w:firstLine="210"/>
        <w:jc w:val="both"/>
        <w:rPr>
          <w:rFonts w:ascii="Times New Roman" w:eastAsia="Arial Narrow" w:hAnsi="Times New Roman" w:cs="Times New Roman"/>
          <w:color w:val="000000"/>
        </w:rPr>
      </w:pP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i/>
          <w:color w:val="000000"/>
        </w:rPr>
        <w:t>"En los delitos de peligro concreto, en cambio, el peligro del bien jurídico es un elemento del tipo, de modo que el delito queda sólo consumado cuando se ha producido realmente el peligro del bien jurídico. Desde el punto de vista dogmático, los delitos de peligro concreto son delitos de resultado"</w:t>
      </w:r>
      <w:r w:rsidRPr="001F47E2">
        <w:rPr>
          <w:rFonts w:ascii="Times New Roman" w:eastAsia="Arial Narrow" w:hAnsi="Times New Roman" w:cs="Times New Roman"/>
          <w:i/>
          <w:color w:val="000000"/>
          <w:vertAlign w:val="superscript"/>
        </w:rPr>
        <w:footnoteReference w:id="10"/>
      </w:r>
      <w:r w:rsidRPr="001F47E2">
        <w:rPr>
          <w:rFonts w:ascii="Times New Roman" w:eastAsia="Arial Narrow" w:hAnsi="Times New Roman" w:cs="Times New Roman"/>
          <w:i/>
          <w:color w:val="000000"/>
        </w:rPr>
        <w:t>.</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La protección constitucional cobija entonces sólo la protesta social pacífica (C-742/12</w:t>
      </w:r>
      <w:r w:rsidRPr="001F47E2">
        <w:rPr>
          <w:rFonts w:ascii="Times New Roman" w:eastAsia="Arial Narrow" w:hAnsi="Times New Roman" w:cs="Times New Roman"/>
          <w:color w:val="000000"/>
          <w:vertAlign w:val="superscript"/>
        </w:rPr>
        <w:footnoteReference w:id="11"/>
      </w:r>
      <w:r w:rsidRPr="001F47E2">
        <w:rPr>
          <w:rFonts w:ascii="Times New Roman" w:eastAsia="Arial Narrow" w:hAnsi="Times New Roman" w:cs="Times New Roman"/>
          <w:color w:val="000000"/>
        </w:rPr>
        <w:t>) y es por esto que proscribir su instrumentalización para cometer dolosamente actos violentos delictivos constituye una medida para el fortalecimiento de las garantías y capacidades para el desarrollo y expresión de intereses plurales y multiculturales a través de la vía de la protesta social.</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Es necesario promover una cultura política de resolución pacífica de conflictos y blindar los escenarios de movilización y protesta social como formas de acción política no violentas que enriquecen la inclusión política y forjan una ciudadanía crítica dispuesta al diálogo. En un contexto de apertura democrática, deben garantizarse los derechos de los manifestantes y de los demás ciudadanos. Este elemento fue uno de los pilares del Acuerdo de Paz firmado en el Teatro Colón, como se expresa en el punto 2.2 del texto:</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i/>
          <w:color w:val="000000"/>
        </w:rPr>
        <w:t xml:space="preserve">"En atención al derecho de todas las personas a constituir organizaciones sociales del más variado tipo; a formar parte de ellas y a difundir sus plataformas; a la libertad de expresión y al disenso; al pluralismo y la tolerancia; a la acción política o social a través de la protesta y la movilización; y teniendo en cuenta la necesidad de una cultura política para la resolución pacífica de los conflictos y la obligación del Estado de garantizar el diálogo deliberante y público, se adoptarán medidas para garantizar el reconocimiento, fortalecimiento y empoderamiento de todos los </w:t>
      </w:r>
      <w:r w:rsidRPr="001F47E2">
        <w:rPr>
          <w:rFonts w:ascii="Times New Roman" w:eastAsia="Arial Narrow" w:hAnsi="Times New Roman" w:cs="Times New Roman"/>
          <w:i/>
          <w:color w:val="000000"/>
        </w:rPr>
        <w:lastRenderedPageBreak/>
        <w:t>movimientos y organizaciones sociales, de acuerdo con sus repertorios y sus plataformas de acción social"</w:t>
      </w:r>
      <w:r w:rsidRPr="001F47E2">
        <w:rPr>
          <w:rFonts w:ascii="Times New Roman" w:eastAsia="Arial Narrow" w:hAnsi="Times New Roman" w:cs="Times New Roman"/>
          <w:i/>
          <w:color w:val="000000"/>
          <w:vertAlign w:val="superscript"/>
        </w:rPr>
        <w:footnoteReference w:id="12"/>
      </w:r>
      <w:r w:rsidRPr="001F47E2">
        <w:rPr>
          <w:rFonts w:ascii="Times New Roman" w:eastAsia="Arial Narrow" w:hAnsi="Times New Roman" w:cs="Times New Roman"/>
          <w:i/>
          <w:color w:val="000000"/>
        </w:rPr>
        <w:t>.</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En este mismo sentido, lo manifestó el exmagistrado José Gregorio Hernández, al explicar que garantizar el derecho a la protesta pacífica implica también deberes para el ciudadano:</w:t>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"Por su parte, el artículo 95 establece que el ejercicio de los derechos y libertades implica responsabilidades. A lo cual agrega que toda persona está obligada a cumplir la Constitución y las leyes y que el primer deber del ciudadano es respetar los derechos ajenos -por ejemplo, los de los transeúntes- y no abusar de los propios; respetar y apoyar a las autoridades democráticas legítimamente constituidas y propender por la paz"</w:t>
      </w:r>
      <w:r w:rsidRPr="001F47E2">
        <w:rPr>
          <w:rFonts w:ascii="Times New Roman" w:eastAsia="Arial Narrow" w:hAnsi="Times New Roman" w:cs="Times New Roman"/>
          <w:color w:val="000000"/>
          <w:vertAlign w:val="superscript"/>
        </w:rPr>
        <w:footnoteReference w:id="13"/>
      </w:r>
      <w:r w:rsidRPr="001F47E2">
        <w:rPr>
          <w:rFonts w:ascii="Times New Roman" w:eastAsia="Arial Narrow" w:hAnsi="Times New Roman" w:cs="Times New Roman"/>
          <w:color w:val="000000"/>
        </w:rPr>
        <w:t>.</w:t>
      </w:r>
    </w:p>
    <w:p w:rsidR="00B66A27" w:rsidRPr="001F47E2" w:rsidRDefault="00B66A27">
      <w:pPr>
        <w:shd w:val="clear" w:color="auto" w:fill="FFFFFF"/>
        <w:spacing w:before="45" w:after="15" w:line="240" w:lineRule="auto"/>
        <w:ind w:right="30" w:firstLine="210"/>
        <w:jc w:val="both"/>
        <w:rPr>
          <w:rFonts w:ascii="Times New Roman" w:eastAsia="Arial Narrow" w:hAnsi="Times New Roman" w:cs="Times New Roman"/>
          <w:color w:val="000000"/>
        </w:rPr>
      </w:pPr>
    </w:p>
    <w:p w:rsidR="00B66A27" w:rsidRPr="001F47E2" w:rsidRDefault="00B66A27">
      <w:pPr>
        <w:shd w:val="clear" w:color="auto" w:fill="FFFFFF"/>
        <w:spacing w:before="45" w:after="15" w:line="240" w:lineRule="auto"/>
        <w:ind w:right="30" w:firstLine="210"/>
        <w:jc w:val="both"/>
        <w:rPr>
          <w:rFonts w:ascii="Times New Roman" w:eastAsia="Arial Narrow" w:hAnsi="Times New Roman" w:cs="Times New Roman"/>
          <w:color w:val="000000"/>
        </w:rPr>
      </w:pPr>
    </w:p>
    <w:p w:rsidR="00B66A27" w:rsidRPr="001F47E2" w:rsidRDefault="00477CF4" w:rsidP="00AC7B84">
      <w:pPr>
        <w:shd w:val="clear" w:color="auto" w:fill="FFFFFF"/>
        <w:spacing w:before="45" w:after="15" w:line="240" w:lineRule="auto"/>
        <w:ind w:right="30"/>
        <w:jc w:val="center"/>
        <w:rPr>
          <w:rFonts w:ascii="Times New Roman" w:eastAsia="Arial Narrow" w:hAnsi="Times New Roman" w:cs="Times New Roman"/>
          <w:color w:val="000000"/>
        </w:rPr>
      </w:pPr>
      <w:r w:rsidRPr="001F47E2">
        <w:rPr>
          <w:rFonts w:ascii="Times New Roman" w:eastAsia="Arial Narrow" w:hAnsi="Times New Roman" w:cs="Times New Roman"/>
          <w:b/>
          <w:color w:val="000000"/>
        </w:rPr>
        <w:t>LA ACCIÓN COLECTIVA VIOLENTA</w:t>
      </w:r>
    </w:p>
    <w:p w:rsidR="00B66A27" w:rsidRPr="001F47E2" w:rsidRDefault="00B66A27">
      <w:pPr>
        <w:shd w:val="clear" w:color="auto" w:fill="FFFFFF"/>
        <w:spacing w:before="45" w:after="15" w:line="240" w:lineRule="auto"/>
        <w:ind w:right="30" w:firstLine="210"/>
        <w:jc w:val="both"/>
        <w:rPr>
          <w:rFonts w:ascii="Times New Roman" w:eastAsia="Arial Narrow" w:hAnsi="Times New Roman" w:cs="Times New Roman"/>
          <w:color w:val="000000"/>
        </w:rPr>
      </w:pP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Cuando se habla de protestas y manifestaciones en ciencias sociales se refieren a las formas que tienen los sujetos para ejercer la acción de manera colectiva. Este tipo de acción no es mayoritariamente violenta, contrario a lo que se podría pensar, la mayoría de acciones colectivas se inscriben dentro las formas institucionalizadas estatalmente y de manera pacífica. Esto hace que, en pro de garantizar el derecho de protesta o de acción colectiva, sea imperante tomar las medidas necesarias para judicializar a las personas que utilicen estas acciones públicas para cometer acciones violentas.</w:t>
      </w: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Desde distintas disciplinas se ha intentado reconstruir el concepto de la acción colectiva violenta; un aporte importante lo han dado la sociología, la ciencia política y la historia comparada que han promovido la mayoría de herramientas metodológicas para articular una interpretación del concepto. Pero el reto ha sido bastante grande, ya que sus mayores desarrollos se han dado en la combinación de dos enfoques que se han pretendido contradictorios:</w:t>
      </w: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i/>
          <w:color w:val="000000"/>
        </w:rPr>
        <w:t>"El que privilegia los marcos estructurales como determinantes 'objetivos' de la violencia y el que privilegia la elección racional de actores individuales y colectivos que optan voluntariamente por la violencia, o sea, los llamados factores 'subjetivos' de la violencia. En esta interpretación, los procesos de larga y mediana duración de la formación del Estado nacional y los problemas surgidos en los desarrollos de la colonización campesina permanente, con su relación con la estructura de la propiedad de la tierra y con las características geográficas del país, se constituyen como 'la estructura de oportunidades' que enmarca, restringe y condiciona las opciones voluntarias de los actores individuales y sociales (p. 319)"</w:t>
      </w:r>
      <w:r w:rsidRPr="001F47E2">
        <w:rPr>
          <w:rFonts w:ascii="Times New Roman" w:eastAsia="Arial Narrow" w:hAnsi="Times New Roman" w:cs="Times New Roman"/>
          <w:i/>
          <w:color w:val="000000"/>
          <w:vertAlign w:val="superscript"/>
        </w:rPr>
        <w:footnoteReference w:id="14"/>
      </w: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La adopción del concepto de acción colectiva violenta llegó tarde al campo de estudio de la acción colectiva. Sus primeros aportes se remontan a los parámetros elaborados por Fernando Reinares</w:t>
      </w:r>
      <w:r w:rsidRPr="001F47E2">
        <w:rPr>
          <w:rFonts w:ascii="Times New Roman" w:eastAsia="Arial Narrow" w:hAnsi="Times New Roman" w:cs="Times New Roman"/>
          <w:color w:val="000000"/>
          <w:vertAlign w:val="superscript"/>
        </w:rPr>
        <w:footnoteReference w:id="15"/>
      </w:r>
      <w:r w:rsidRPr="001F47E2">
        <w:rPr>
          <w:rFonts w:ascii="Times New Roman" w:eastAsia="Arial Narrow" w:hAnsi="Times New Roman" w:cs="Times New Roman"/>
          <w:color w:val="000000"/>
        </w:rPr>
        <w:t xml:space="preserve"> para caracterizar y denominar a los grupos terroristas de derechas e izquierdas en las sociedades </w:t>
      </w:r>
      <w:r w:rsidRPr="001F47E2">
        <w:rPr>
          <w:rFonts w:ascii="Times New Roman" w:eastAsia="Arial Narrow" w:hAnsi="Times New Roman" w:cs="Times New Roman"/>
          <w:color w:val="000000"/>
        </w:rPr>
        <w:lastRenderedPageBreak/>
        <w:t>industriales avanzadas. Teorizando desde el terrorismo hasta las acciones violentas en protestas y manifestaciones.</w:t>
      </w: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Es así que el concepto de acción colectiva violenta describe un comportamiento bastante peligroso para sociedades democráticas, busca identificar los pequeños grupos que responden a un tipo particular de actuación e intereses por fuera de la institucionalidad, definido en relación con la forma negativa que asume el poder político en una sociedad determinada para motivar su acción violenta, caso adecuado a Colombia.</w:t>
      </w: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Este análisis se nutre además con los trabajos académicos y los aportes de Charles </w:t>
      </w:r>
      <w:proofErr w:type="spellStart"/>
      <w:r w:rsidRPr="001F47E2">
        <w:rPr>
          <w:rFonts w:ascii="Times New Roman" w:eastAsia="Arial Narrow" w:hAnsi="Times New Roman" w:cs="Times New Roman"/>
          <w:color w:val="000000"/>
        </w:rPr>
        <w:t>Tilly</w:t>
      </w:r>
      <w:proofErr w:type="spellEnd"/>
      <w:r w:rsidRPr="001F47E2">
        <w:rPr>
          <w:rFonts w:ascii="Times New Roman" w:eastAsia="Arial Narrow" w:hAnsi="Times New Roman" w:cs="Times New Roman"/>
          <w:color w:val="000000"/>
        </w:rPr>
        <w:t xml:space="preserve"> y Michael Taylor</w:t>
      </w:r>
      <w:r w:rsidRPr="001F47E2">
        <w:rPr>
          <w:rFonts w:ascii="Times New Roman" w:eastAsia="Arial Narrow" w:hAnsi="Times New Roman" w:cs="Times New Roman"/>
          <w:color w:val="000000"/>
          <w:vertAlign w:val="superscript"/>
        </w:rPr>
        <w:footnoteReference w:id="16"/>
      </w:r>
      <w:r w:rsidRPr="001F47E2">
        <w:rPr>
          <w:rFonts w:ascii="Times New Roman" w:eastAsia="Arial Narrow" w:hAnsi="Times New Roman" w:cs="Times New Roman"/>
          <w:color w:val="000000"/>
        </w:rPr>
        <w:t>, quienes afirman que la acción colectiva violenta es un componente central del repertorio con el que cuentan los diferentes actores sociales en las sociedades en transición, particularmente durante el proceso de modernización de las sociedades agrarias, pero que pone en peligro cualquier tipo de naciente institucionalidad. Dado que su objetivo no es otro que confrontar a toda institucionalidad posible y romper con los regímenes políticos pasando por encima de los derechos de los otros.</w:t>
      </w: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Dentro de este campo académico, se destacan los estudios de la racionalidad individual a la hora de participar de acciones colectivas violentas en protestas o eventos masivos; desde este campo de estudio se pueden establecer los tipos comportamientos violentos en escenarios masivos. Ejemplo de esto son los trabajos de Otto </w:t>
      </w:r>
      <w:proofErr w:type="spellStart"/>
      <w:r w:rsidRPr="001F47E2">
        <w:rPr>
          <w:rFonts w:ascii="Times New Roman" w:eastAsia="Arial Narrow" w:hAnsi="Times New Roman" w:cs="Times New Roman"/>
          <w:color w:val="000000"/>
        </w:rPr>
        <w:t>Adang</w:t>
      </w:r>
      <w:proofErr w:type="spellEnd"/>
      <w:r w:rsidRPr="001F47E2">
        <w:rPr>
          <w:rFonts w:ascii="Times New Roman" w:eastAsia="Arial Narrow" w:hAnsi="Times New Roman" w:cs="Times New Roman"/>
          <w:color w:val="000000"/>
        </w:rPr>
        <w:t>, que tras analizar este tipo de violencia en Holanda pudo concluir frente al inicio de la violencia colectiva, se debe hacer una distinción entre dos tipos de violencia</w:t>
      </w:r>
      <w:r w:rsidRPr="001F47E2">
        <w:rPr>
          <w:rFonts w:ascii="Times New Roman" w:eastAsia="Arial Narrow" w:hAnsi="Times New Roman" w:cs="Times New Roman"/>
          <w:color w:val="000000"/>
          <w:vertAlign w:val="superscript"/>
        </w:rPr>
        <w:footnoteReference w:id="17"/>
      </w:r>
      <w:r w:rsidRPr="001F47E2">
        <w:rPr>
          <w:rFonts w:ascii="Times New Roman" w:eastAsia="Arial Narrow" w:hAnsi="Times New Roman" w:cs="Times New Roman"/>
          <w:color w:val="000000"/>
        </w:rPr>
        <w:t>:</w:t>
      </w: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"1. </w:t>
      </w:r>
      <w:r w:rsidRPr="001F47E2">
        <w:rPr>
          <w:rFonts w:ascii="Times New Roman" w:eastAsia="Arial Narrow" w:hAnsi="Times New Roman" w:cs="Times New Roman"/>
          <w:b/>
          <w:color w:val="000000"/>
        </w:rPr>
        <w:t>La violencia que está ligada a un disparador claramente identificable. </w:t>
      </w:r>
      <w:r w:rsidRPr="001F47E2">
        <w:rPr>
          <w:rFonts w:ascii="Times New Roman" w:eastAsia="Arial Narrow" w:hAnsi="Times New Roman" w:cs="Times New Roman"/>
          <w:color w:val="000000"/>
        </w:rPr>
        <w:t>Este tipo de violencia es reactiva -es una respuesta a elementos específicos o fricciones en una situación-, ya sean provocaciones por agentes determinados del evento masivo o terceras partes, hechos determinados de la manifestación, medidas tomadas por la policía o algún otro disparador identificable. Teóricamente, este tipo de violencia se vincula fácilmente con las teorías de la agresión familiar (por ejemplo, agresión a partir de la frustración), competencia por recursos limitados o una respuesta a las amenazas.</w:t>
      </w:r>
    </w:p>
    <w:p w:rsidR="00B66A27" w:rsidRPr="001F47E2" w:rsidRDefault="00B66A27">
      <w:pPr>
        <w:shd w:val="clear" w:color="auto" w:fill="FFFFFF"/>
        <w:spacing w:after="15" w:line="240" w:lineRule="auto"/>
        <w:ind w:right="30" w:firstLine="210"/>
        <w:jc w:val="both"/>
        <w:rPr>
          <w:rFonts w:ascii="Times New Roman" w:eastAsia="Arial Narrow" w:hAnsi="Times New Roman" w:cs="Times New Roman"/>
          <w:color w:val="000000"/>
        </w:rPr>
      </w:pP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2. </w:t>
      </w:r>
      <w:r w:rsidRPr="001F47E2">
        <w:rPr>
          <w:rFonts w:ascii="Times New Roman" w:eastAsia="Arial Narrow" w:hAnsi="Times New Roman" w:cs="Times New Roman"/>
          <w:b/>
          <w:color w:val="000000"/>
        </w:rPr>
        <w:t>La violencia que no está ligada a un disparador claramente identificable. </w:t>
      </w:r>
      <w:r w:rsidRPr="001F47E2">
        <w:rPr>
          <w:rFonts w:ascii="Times New Roman" w:eastAsia="Arial Narrow" w:hAnsi="Times New Roman" w:cs="Times New Roman"/>
          <w:color w:val="000000"/>
        </w:rPr>
        <w:t>Este tipo de violencia no es reactivo, pero parecería surgir más espontáneamente. Es ejercida casi exclusivamente por grupos de varones adolescentes y hombres jóvenes adultos y está dirigida específicamente a similares grupos de hombres jóvenes rivales, puede ser un actor contrario o una autoridad determinada. Los respectivos individuos y grupos parecerían buscar activamente oportunidades para confrontar con el grupo rival. Teóricamente, este tipo de violencia puede ser visto como otra expresión del llamado "síndrome del varón joven": la tendencia de los varones jóvenes a tomar riesgos y ser violentos, porque privilegian la obtención de ganancias en el corto plazo, en detrimento de una visión de futuro".</w:t>
      </w: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Frente a esta problemática es importante destacar la conclusión realizada por Otto </w:t>
      </w:r>
      <w:proofErr w:type="spellStart"/>
      <w:r w:rsidRPr="001F47E2">
        <w:rPr>
          <w:rFonts w:ascii="Times New Roman" w:eastAsia="Arial Narrow" w:hAnsi="Times New Roman" w:cs="Times New Roman"/>
          <w:color w:val="000000"/>
        </w:rPr>
        <w:t>Adang</w:t>
      </w:r>
      <w:proofErr w:type="spellEnd"/>
      <w:r w:rsidRPr="001F47E2">
        <w:rPr>
          <w:rFonts w:ascii="Times New Roman" w:eastAsia="Arial Narrow" w:hAnsi="Times New Roman" w:cs="Times New Roman"/>
          <w:color w:val="000000"/>
        </w:rPr>
        <w:t xml:space="preserve"> sobre la sociología de la violencia, al determinar que es un comportamiento de reducidas minorías y que se comportan según cálculos de acción racional, lo que sugeriría que subir las cargas punitivas puede llegar a ser un incentivo para limitar su acción:</w:t>
      </w: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i/>
          <w:color w:val="000000"/>
        </w:rPr>
        <w:lastRenderedPageBreak/>
        <w:t>"A partir de las observaciones queda claro que sólo una pequeña minoría dentro de un grupo se involucra en los comportamientos más riesgosos, mientras que la mayoría de los participantes eligen alternativas menos riesgosas (gritar, gesticular, correr) o no involucrarse de ningún modo. Aun para aquellos que son violentos, hay muchos más misiles lanzándose que pelea física, y agresión redirigida a objetos inanimados (rejas, micros, trenes) que a individuos que no pueden entrar a pelear. Hay algo contradictorio aquí, ya que el síndrome del varón joven se caracteriza por el comportamiento arriesgado y la participación en la violencia involucra justamente esto"</w:t>
      </w:r>
      <w:r w:rsidRPr="001F47E2">
        <w:rPr>
          <w:rFonts w:ascii="Times New Roman" w:eastAsia="Arial Narrow" w:hAnsi="Times New Roman" w:cs="Times New Roman"/>
          <w:i/>
          <w:color w:val="000000"/>
          <w:vertAlign w:val="superscript"/>
        </w:rPr>
        <w:footnoteReference w:id="18"/>
      </w:r>
      <w:r w:rsidRPr="001F47E2">
        <w:rPr>
          <w:rFonts w:ascii="Times New Roman" w:eastAsia="Arial Narrow" w:hAnsi="Times New Roman" w:cs="Times New Roman"/>
          <w:i/>
          <w:color w:val="000000"/>
        </w:rPr>
        <w:t>.</w:t>
      </w:r>
    </w:p>
    <w:p w:rsidR="00B66A27" w:rsidRPr="001F47E2" w:rsidRDefault="00B66A27">
      <w:pPr>
        <w:shd w:val="clear" w:color="auto" w:fill="FFFFFF"/>
        <w:spacing w:after="15" w:line="240" w:lineRule="auto"/>
        <w:ind w:right="30" w:firstLine="210"/>
        <w:jc w:val="both"/>
        <w:rPr>
          <w:rFonts w:ascii="Times New Roman" w:eastAsia="Arial Narrow" w:hAnsi="Times New Roman" w:cs="Times New Roman"/>
          <w:color w:val="000000"/>
        </w:rPr>
      </w:pPr>
    </w:p>
    <w:p w:rsidR="00B66A27" w:rsidRDefault="00477CF4" w:rsidP="00AC7B84">
      <w:pPr>
        <w:shd w:val="clear" w:color="auto" w:fill="FFFFFF"/>
        <w:spacing w:after="15" w:line="240" w:lineRule="auto"/>
        <w:ind w:right="30"/>
        <w:jc w:val="center"/>
        <w:rPr>
          <w:rFonts w:ascii="Times New Roman" w:eastAsia="Arial Narrow" w:hAnsi="Times New Roman" w:cs="Times New Roman"/>
          <w:b/>
          <w:color w:val="000000"/>
        </w:rPr>
      </w:pPr>
      <w:r w:rsidRPr="001F47E2">
        <w:rPr>
          <w:rFonts w:ascii="Times New Roman" w:eastAsia="Arial Narrow" w:hAnsi="Times New Roman" w:cs="Times New Roman"/>
          <w:b/>
          <w:color w:val="000000"/>
        </w:rPr>
        <w:t>CIFRAS DE PROTESTA SOCIAL EN COLOMBIA</w:t>
      </w:r>
    </w:p>
    <w:p w:rsidR="00AC7B84" w:rsidRPr="001F47E2" w:rsidRDefault="00AC7B84" w:rsidP="00AC7B84">
      <w:pPr>
        <w:shd w:val="clear" w:color="auto" w:fill="FFFFFF"/>
        <w:spacing w:after="15" w:line="240" w:lineRule="auto"/>
        <w:ind w:right="30"/>
        <w:jc w:val="center"/>
        <w:rPr>
          <w:rFonts w:ascii="Times New Roman" w:eastAsia="Arial Narrow" w:hAnsi="Times New Roman" w:cs="Times New Roman"/>
          <w:color w:val="000000"/>
        </w:rPr>
      </w:pP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El objetivo de reformar y fortalecer el tipo penal se basa en un análisis minucioso de las cifras de protesta que ha presentado el país en el último tiempo. Por ejemplo, según la base de datos del CINEP de luchas sociales desde 2010 a 2016, las protestas se han mantenido en cerca de 3 diarias</w:t>
      </w:r>
      <w:r w:rsidRPr="001F47E2">
        <w:rPr>
          <w:rFonts w:ascii="Times New Roman" w:eastAsia="Arial Narrow" w:hAnsi="Times New Roman" w:cs="Times New Roman"/>
          <w:color w:val="000000"/>
          <w:vertAlign w:val="superscript"/>
        </w:rPr>
        <w:footnoteReference w:id="19"/>
      </w:r>
      <w:r w:rsidRPr="001F47E2">
        <w:rPr>
          <w:rFonts w:ascii="Times New Roman" w:eastAsia="Arial Narrow" w:hAnsi="Times New Roman" w:cs="Times New Roman"/>
          <w:color w:val="000000"/>
        </w:rPr>
        <w:t>, lo que hace que el país viva constantemente el escenario de protesta y que sea necesaria su regulación para prevenir que llegue a violencia. Según datos del CINEP se han presentado 827 protestas para 2010 y cerca de 760 para 2016.</w:t>
      </w: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Un análisis detallado concluye que las protestas han aumentado desde finales del decenio pasado, durante el periodo presidencial de Álvaro Uribe, y que la tendencia se mantuvo durante la administración de Juan Manuel Santos, pero dentro de la gestión de este último se llegó al pico de 1.037 en 2013, pico igualmente presentado dentro de la administración Uribe en 2007 en la que hubo 1.016 protestas, en su mayoría motivadas por los derechos humano</w:t>
      </w:r>
      <w:r w:rsidRPr="001F47E2">
        <w:rPr>
          <w:rFonts w:ascii="Times New Roman" w:eastAsia="Arial Narrow" w:hAnsi="Times New Roman" w:cs="Times New Roman"/>
          <w:color w:val="000000"/>
          <w:vertAlign w:val="superscript"/>
        </w:rPr>
        <w:footnoteReference w:id="20"/>
      </w:r>
      <w:r w:rsidRPr="001F47E2">
        <w:rPr>
          <w:rFonts w:ascii="Times New Roman" w:eastAsia="Arial Narrow" w:hAnsi="Times New Roman" w:cs="Times New Roman"/>
          <w:color w:val="000000"/>
        </w:rPr>
        <w:t>.</w:t>
      </w: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Este incremento ha demostrado en crecimiento de valores democráticos, ya que la protesta en su gran mayoría se ha presentado sin violencia, pero es necesario tomar medidas que consoliden este avance, para no repetir fenómenos de violencia de otras épocas, como los motines de artesanos en el siglo XIX, el Bogotazo de 1948 o los paros cívicos de los 1970.</w:t>
      </w:r>
    </w:p>
    <w:p w:rsidR="00B66A27" w:rsidRPr="001F47E2" w:rsidRDefault="00B66A27">
      <w:pPr>
        <w:shd w:val="clear" w:color="auto" w:fill="FFFFFF"/>
        <w:spacing w:after="15" w:line="240" w:lineRule="auto"/>
        <w:ind w:right="30"/>
        <w:jc w:val="both"/>
        <w:rPr>
          <w:rFonts w:ascii="Times New Roman" w:eastAsia="Arial Narrow" w:hAnsi="Times New Roman" w:cs="Times New Roman"/>
          <w:color w:val="000000"/>
        </w:rPr>
      </w:pP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Podemos apreciar la gráfica con el número de protestas con base en los datos del CINEP:</w:t>
      </w:r>
    </w:p>
    <w:p w:rsidR="00B66A27" w:rsidRPr="001F47E2" w:rsidRDefault="00B66A27">
      <w:pPr>
        <w:shd w:val="clear" w:color="auto" w:fill="FFFFFF"/>
        <w:spacing w:after="15" w:line="240" w:lineRule="auto"/>
        <w:ind w:right="30"/>
        <w:jc w:val="both"/>
        <w:rPr>
          <w:rFonts w:ascii="Times New Roman" w:eastAsia="Arial Narrow" w:hAnsi="Times New Roman" w:cs="Times New Roman"/>
          <w:color w:val="000000"/>
        </w:rPr>
      </w:pPr>
    </w:p>
    <w:p w:rsidR="00B66A27" w:rsidRPr="001F47E2" w:rsidRDefault="00477CF4">
      <w:pPr>
        <w:shd w:val="clear" w:color="auto" w:fill="FFFFFF"/>
        <w:spacing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noProof/>
          <w:color w:val="000000"/>
          <w:lang w:eastAsia="es-CO"/>
        </w:rPr>
        <w:drawing>
          <wp:inline distT="0" distB="0" distL="114300" distR="114300" wp14:anchorId="19430D23" wp14:editId="3C5BB635">
            <wp:extent cx="3562985" cy="1962150"/>
            <wp:effectExtent l="0" t="0" r="0" b="0"/>
            <wp:docPr id="4" name="image4.png" descr="Descripción: http://svrpubindc.imprenta.gov.co/ServicioGacetasWAR/rest/consultar/getImage/1080/Imagen1111/03-12-2018"/>
            <wp:cNvGraphicFramePr/>
            <a:graphic xmlns:a="http://schemas.openxmlformats.org/drawingml/2006/main">
              <a:graphicData uri="http://schemas.openxmlformats.org/drawingml/2006/picture">
                <pic:pic xmlns:pic="http://schemas.openxmlformats.org/drawingml/2006/picture">
                  <pic:nvPicPr>
                    <pic:cNvPr id="0" name="image4.png" descr="Descripción: http://svrpubindc.imprenta.gov.co/ServicioGacetasWAR/rest/consultar/getImage/1080/Imagen1111/03-12-2018"/>
                    <pic:cNvPicPr preferRelativeResize="0"/>
                  </pic:nvPicPr>
                  <pic:blipFill>
                    <a:blip r:embed="rId15"/>
                    <a:srcRect/>
                    <a:stretch>
                      <a:fillRect/>
                    </a:stretch>
                  </pic:blipFill>
                  <pic:spPr>
                    <a:xfrm>
                      <a:off x="0" y="0"/>
                      <a:ext cx="3562985" cy="1962150"/>
                    </a:xfrm>
                    <a:prstGeom prst="rect">
                      <a:avLst/>
                    </a:prstGeom>
                    <a:ln/>
                  </pic:spPr>
                </pic:pic>
              </a:graphicData>
            </a:graphic>
          </wp:inline>
        </w:drawing>
      </w: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Analizando más detalladamente el año 2013 en el que se presentó un gran pico de protestas gracias al paro agrario que vivió el país, de ese año se destaca con preocupación que los sectores </w:t>
      </w:r>
      <w:r w:rsidRPr="001F47E2">
        <w:rPr>
          <w:rFonts w:ascii="Times New Roman" w:eastAsia="Arial Narrow" w:hAnsi="Times New Roman" w:cs="Times New Roman"/>
          <w:color w:val="000000"/>
        </w:rPr>
        <w:lastRenderedPageBreak/>
        <w:t>financieros y de prestación de servicios también generan estadísticas que demostraron los costos de estas manifestaciones.</w:t>
      </w:r>
    </w:p>
    <w:p w:rsidR="004F4652" w:rsidRPr="00AC7B84" w:rsidRDefault="00477CF4" w:rsidP="00AC7B84">
      <w:pPr>
        <w:shd w:val="clear" w:color="auto" w:fill="FFFFFF"/>
        <w:spacing w:before="45" w:after="15" w:line="240" w:lineRule="auto"/>
        <w:ind w:right="30"/>
        <w:jc w:val="both"/>
        <w:rPr>
          <w:rFonts w:ascii="Times New Roman" w:eastAsia="Arial Narrow" w:hAnsi="Times New Roman" w:cs="Times New Roman"/>
        </w:rPr>
      </w:pPr>
      <w:r w:rsidRPr="001F47E2">
        <w:rPr>
          <w:rFonts w:ascii="Times New Roman" w:eastAsia="Arial Narrow" w:hAnsi="Times New Roman" w:cs="Times New Roman"/>
          <w:i/>
          <w:color w:val="000000"/>
        </w:rPr>
        <w:t>"El bloqueo indiscriminado de vías generó una afectación importante en varios sectores del país, dada la restricción al paso de alimentos y mercancías, impidiendo el transporte de los ciudadanos. La Asociación Nacional de Instituciones Financieras (</w:t>
      </w:r>
      <w:proofErr w:type="spellStart"/>
      <w:r w:rsidRPr="001F47E2">
        <w:rPr>
          <w:rFonts w:ascii="Times New Roman" w:eastAsia="Arial Narrow" w:hAnsi="Times New Roman" w:cs="Times New Roman"/>
          <w:i/>
          <w:color w:val="000000"/>
        </w:rPr>
        <w:t>Anif</w:t>
      </w:r>
      <w:proofErr w:type="spellEnd"/>
      <w:r w:rsidRPr="001F47E2">
        <w:rPr>
          <w:rFonts w:ascii="Times New Roman" w:eastAsia="Arial Narrow" w:hAnsi="Times New Roman" w:cs="Times New Roman"/>
          <w:i/>
          <w:color w:val="000000"/>
        </w:rPr>
        <w:t>) consideró que en el 2013 se perdieron alrededor de 1.8 billones de pesos, y se estima que a la nación le costó 900.000 millones de pesos el paro agrario</w:t>
      </w:r>
      <w:r w:rsidRPr="001F47E2">
        <w:rPr>
          <w:rFonts w:ascii="Times New Roman" w:eastAsia="Arial Narrow" w:hAnsi="Times New Roman" w:cs="Times New Roman"/>
          <w:i/>
          <w:color w:val="000000"/>
          <w:vertAlign w:val="superscript"/>
        </w:rPr>
        <w:footnoteReference w:id="21"/>
      </w:r>
      <w:r w:rsidRPr="001F47E2">
        <w:rPr>
          <w:rFonts w:ascii="Times New Roman" w:eastAsia="Arial Narrow" w:hAnsi="Times New Roman" w:cs="Times New Roman"/>
          <w:i/>
          <w:color w:val="000000"/>
          <w:vertAlign w:val="superscript"/>
        </w:rPr>
        <w:t>”</w:t>
      </w:r>
      <w:r w:rsidRPr="001F47E2">
        <w:rPr>
          <w:rFonts w:ascii="Times New Roman" w:eastAsia="Arial Narrow" w:hAnsi="Times New Roman" w:cs="Times New Roman"/>
          <w:i/>
          <w:color w:val="000000"/>
        </w:rPr>
        <w:t>.</w:t>
      </w:r>
    </w:p>
    <w:p w:rsidR="004F4652" w:rsidRPr="001F47E2" w:rsidRDefault="004F4652">
      <w:pPr>
        <w:spacing w:line="240" w:lineRule="auto"/>
        <w:ind w:hanging="2"/>
        <w:jc w:val="both"/>
        <w:rPr>
          <w:rFonts w:ascii="Times New Roman" w:eastAsia="Book Antiqua" w:hAnsi="Times New Roman" w:cs="Times New Roman"/>
        </w:rPr>
      </w:pPr>
    </w:p>
    <w:p w:rsidR="00B66A27" w:rsidRPr="00AC7B84" w:rsidRDefault="00477CF4">
      <w:pPr>
        <w:numPr>
          <w:ilvl w:val="0"/>
          <w:numId w:val="1"/>
        </w:numPr>
        <w:spacing w:line="240" w:lineRule="auto"/>
        <w:jc w:val="both"/>
        <w:rPr>
          <w:rFonts w:ascii="Times New Roman" w:eastAsia="Verdana" w:hAnsi="Times New Roman" w:cs="Times New Roman"/>
          <w:color w:val="1F497D"/>
          <w:sz w:val="28"/>
        </w:rPr>
      </w:pPr>
      <w:r w:rsidRPr="00AC7B84">
        <w:rPr>
          <w:rFonts w:ascii="Times New Roman" w:eastAsia="Verdana" w:hAnsi="Times New Roman" w:cs="Times New Roman"/>
          <w:b/>
          <w:color w:val="1F497D"/>
          <w:sz w:val="28"/>
        </w:rPr>
        <w:t>Pliego de modificaciones</w:t>
      </w: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365F91"/>
        </w:rPr>
      </w:pPr>
    </w:p>
    <w:tbl>
      <w:tblPr>
        <w:tblStyle w:val="a"/>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2"/>
        <w:gridCol w:w="3333"/>
        <w:gridCol w:w="2389"/>
      </w:tblGrid>
      <w:tr w:rsidR="00B66A27" w:rsidRPr="001F47E2">
        <w:tc>
          <w:tcPr>
            <w:tcW w:w="3332" w:type="dxa"/>
          </w:tcPr>
          <w:p w:rsidR="00B66A27" w:rsidRPr="001F47E2" w:rsidRDefault="00477CF4">
            <w:pPr>
              <w:jc w:val="both"/>
              <w:rPr>
                <w:rFonts w:ascii="Times New Roman" w:eastAsia="Times New Roman" w:hAnsi="Times New Roman" w:cs="Times New Roman"/>
              </w:rPr>
            </w:pPr>
            <w:r w:rsidRPr="001F47E2">
              <w:rPr>
                <w:rFonts w:ascii="Times New Roman" w:eastAsia="Times New Roman" w:hAnsi="Times New Roman" w:cs="Times New Roman"/>
                <w:b/>
              </w:rPr>
              <w:t>TEXTO RADICADO</w:t>
            </w:r>
          </w:p>
        </w:tc>
        <w:tc>
          <w:tcPr>
            <w:tcW w:w="3333" w:type="dxa"/>
          </w:tcPr>
          <w:p w:rsidR="00B66A27" w:rsidRPr="001F47E2" w:rsidRDefault="00477CF4">
            <w:pPr>
              <w:jc w:val="both"/>
              <w:rPr>
                <w:rFonts w:ascii="Times New Roman" w:eastAsia="Times New Roman" w:hAnsi="Times New Roman" w:cs="Times New Roman"/>
              </w:rPr>
            </w:pPr>
            <w:r w:rsidRPr="001F47E2">
              <w:rPr>
                <w:rFonts w:ascii="Times New Roman" w:eastAsia="Times New Roman" w:hAnsi="Times New Roman" w:cs="Times New Roman"/>
                <w:b/>
              </w:rPr>
              <w:t>TEXTO PRIMER DEBATE</w:t>
            </w:r>
          </w:p>
        </w:tc>
        <w:tc>
          <w:tcPr>
            <w:tcW w:w="2389" w:type="dxa"/>
          </w:tcPr>
          <w:p w:rsidR="00B66A27" w:rsidRPr="001F47E2" w:rsidRDefault="00477CF4">
            <w:pPr>
              <w:jc w:val="center"/>
              <w:rPr>
                <w:rFonts w:ascii="Times New Roman" w:eastAsia="Times New Roman" w:hAnsi="Times New Roman" w:cs="Times New Roman"/>
              </w:rPr>
            </w:pPr>
            <w:r w:rsidRPr="001F47E2">
              <w:rPr>
                <w:rFonts w:ascii="Times New Roman" w:eastAsia="Times New Roman" w:hAnsi="Times New Roman" w:cs="Times New Roman"/>
                <w:b/>
              </w:rPr>
              <w:t>JUSTIFICACION</w:t>
            </w:r>
          </w:p>
        </w:tc>
      </w:tr>
      <w:tr w:rsidR="00B66A27" w:rsidRPr="001F47E2">
        <w:tc>
          <w:tcPr>
            <w:tcW w:w="3332" w:type="dxa"/>
          </w:tcPr>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Times New Roman" w:hAnsi="Times New Roman" w:cs="Times New Roman"/>
                <w:color w:val="000000"/>
              </w:rPr>
              <w:t>“Por medio de la cual se toman medidas para garantizar la protesta pacífica y se crean tipos penales”</w:t>
            </w:r>
          </w:p>
        </w:tc>
        <w:tc>
          <w:tcPr>
            <w:tcW w:w="3333" w:type="dxa"/>
          </w:tcPr>
          <w:p w:rsidR="00B66A27" w:rsidRPr="001F47E2" w:rsidRDefault="00477CF4">
            <w:pPr>
              <w:ind w:hanging="2"/>
              <w:jc w:val="both"/>
              <w:rPr>
                <w:rFonts w:ascii="Times New Roman" w:eastAsia="Times New Roman" w:hAnsi="Times New Roman" w:cs="Times New Roman"/>
              </w:rPr>
            </w:pPr>
            <w:r w:rsidRPr="001F47E2">
              <w:rPr>
                <w:rFonts w:ascii="Times New Roman" w:eastAsia="Times New Roman" w:hAnsi="Times New Roman" w:cs="Times New Roman"/>
              </w:rPr>
              <w:t>“Por medio de la cual se crea el tipo penal vandalismo como medida para garantizar la seguridad pública y promover la protesta pacífica”</w:t>
            </w:r>
          </w:p>
        </w:tc>
        <w:tc>
          <w:tcPr>
            <w:tcW w:w="2389" w:type="dxa"/>
          </w:tcPr>
          <w:p w:rsidR="00B66A27" w:rsidRPr="001F47E2" w:rsidRDefault="00477CF4">
            <w:pPr>
              <w:ind w:hanging="2"/>
              <w:jc w:val="both"/>
              <w:rPr>
                <w:rFonts w:ascii="Times New Roman" w:eastAsia="Times New Roman" w:hAnsi="Times New Roman" w:cs="Times New Roman"/>
                <w:b/>
              </w:rPr>
            </w:pPr>
            <w:r w:rsidRPr="001F47E2">
              <w:rPr>
                <w:rFonts w:ascii="Times New Roman" w:eastAsia="Times New Roman" w:hAnsi="Times New Roman" w:cs="Times New Roman"/>
                <w:b/>
              </w:rPr>
              <w:t>Representa con mayor claridad el contenido del proyecto</w:t>
            </w:r>
          </w:p>
        </w:tc>
      </w:tr>
      <w:tr w:rsidR="00B66A27" w:rsidRPr="001F47E2">
        <w:tc>
          <w:tcPr>
            <w:tcW w:w="3332" w:type="dxa"/>
          </w:tcPr>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b/>
                <w:color w:val="000000"/>
              </w:rPr>
              <w:t xml:space="preserve">Artículo 1. Adiciónese al código penal (Ley 599 del 2000) el siguiente artículo: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b/>
                <w:color w:val="000000"/>
              </w:rPr>
              <w:t xml:space="preserve">ARTICULO 367 C. Vandalismo: </w:t>
            </w:r>
            <w:r w:rsidRPr="001F47E2">
              <w:rPr>
                <w:rFonts w:ascii="Times New Roman" w:eastAsia="Arial Narrow" w:hAnsi="Times New Roman" w:cs="Times New Roman"/>
                <w:color w:val="000000"/>
              </w:rPr>
              <w:t xml:space="preserve">El que, valiéndose de una protesta, manifestación o movilización pública, dañe, atente o destruya los bienes públicos o privados; atente contra la integridad física de los miembros de la fuerza pública, incurrirá en prisión de 6 a 8 años y multa de 100 a 500 salarios mínimos legales mensuales vigentes.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La pena señalada en el artículo anterior, será de 8 a 10 años de prisión y multa de 501 a 1000 salarios mínimos legales mensuales vigentes, en los siguientes casos: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1. Obrar en coparticipación criminal.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2. Ocultando su rostro total o </w:t>
            </w:r>
            <w:r w:rsidRPr="001F47E2">
              <w:rPr>
                <w:rFonts w:ascii="Times New Roman" w:eastAsia="Arial Narrow" w:hAnsi="Times New Roman" w:cs="Times New Roman"/>
                <w:color w:val="000000"/>
              </w:rPr>
              <w:lastRenderedPageBreak/>
              <w:t xml:space="preserve">parcialmente, de tal manera que no permitan su identificación o la dificulte.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3. Fabrique, transporte, almacene, distribuya, ofrezca, venda, suministre, adquiera, tenga en su poder, lleve consigo, porte armas o explosivos de fabricación casera o artesanal, o sustancias corrosivas o similares.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4. Si la conducta de los daños causados sobre los bienes públicos o privados, cuyo valor superen los 500 salarios mínimos legales mensuales vigentes, la pena se aumentará de una tercera parte a la mitad.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0D0D11" w:rsidRDefault="00477CF4" w:rsidP="000D0D11">
            <w:pPr>
              <w:jc w:val="both"/>
              <w:rPr>
                <w:rFonts w:ascii="Times New Roman" w:eastAsia="Arial Narrow" w:hAnsi="Times New Roman" w:cs="Times New Roman"/>
              </w:rPr>
            </w:pPr>
            <w:r w:rsidRPr="001F47E2">
              <w:rPr>
                <w:rFonts w:ascii="Times New Roman" w:eastAsia="Arial Narrow" w:hAnsi="Times New Roman" w:cs="Times New Roman"/>
              </w:rPr>
              <w:t>Lo anterior, siempre que la conducta no constituya delito sancionado con pena mayor y del concurso con el delito de asonada contemplado en el artículo 469 del C.P.</w:t>
            </w:r>
          </w:p>
        </w:tc>
        <w:tc>
          <w:tcPr>
            <w:tcW w:w="3333" w:type="dxa"/>
          </w:tcPr>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b/>
                <w:color w:val="000000"/>
              </w:rPr>
              <w:lastRenderedPageBreak/>
              <w:t xml:space="preserve">Artículo 1. Adiciónese al código penal (Ley 599 del 2000) el siguiente artículo: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b/>
                <w:color w:val="000000"/>
              </w:rPr>
              <w:t xml:space="preserve">ARTICULO 367 C. Vandalismo: </w:t>
            </w:r>
            <w:r w:rsidRPr="001F47E2">
              <w:rPr>
                <w:rFonts w:ascii="Times New Roman" w:eastAsia="Arial Narrow" w:hAnsi="Times New Roman" w:cs="Times New Roman"/>
                <w:color w:val="000000"/>
              </w:rPr>
              <w:t xml:space="preserve">El que, valiéndose de una protesta, manifestación o movilización pública, dañe, </w:t>
            </w:r>
            <w:r w:rsidRPr="001F47E2">
              <w:rPr>
                <w:rFonts w:ascii="Times New Roman" w:eastAsia="Arial Narrow" w:hAnsi="Times New Roman" w:cs="Times New Roman"/>
                <w:strike/>
                <w:color w:val="000000"/>
              </w:rPr>
              <w:t>atente</w:t>
            </w:r>
            <w:r w:rsidRPr="001F47E2">
              <w:rPr>
                <w:rFonts w:ascii="Times New Roman" w:eastAsia="Arial Narrow" w:hAnsi="Times New Roman" w:cs="Times New Roman"/>
                <w:color w:val="000000"/>
              </w:rPr>
              <w:t xml:space="preserve"> o destruya los bienes públicos o privados; </w:t>
            </w:r>
            <w:r w:rsidRPr="001F47E2">
              <w:rPr>
                <w:rFonts w:ascii="Times New Roman" w:eastAsia="Arial Narrow" w:hAnsi="Times New Roman" w:cs="Times New Roman"/>
                <w:color w:val="000000"/>
                <w:highlight w:val="yellow"/>
              </w:rPr>
              <w:t>ejerza violencia</w:t>
            </w:r>
            <w:r w:rsidRPr="001F47E2">
              <w:rPr>
                <w:rFonts w:ascii="Times New Roman" w:eastAsia="Arial Narrow" w:hAnsi="Times New Roman" w:cs="Times New Roman"/>
                <w:color w:val="000000"/>
              </w:rPr>
              <w:t xml:space="preserve"> contra la integridad física de los miembros de la fuerza pública, incurrirá en prisión de 6 a 8 años y multa de 100 a 500 salarios mínimos legales mensuales vigentes.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La pena señalada en el artículo anterior, será de 8 a 10 años de prisión y multa de 501 a 1000 salarios mínimos legales mensuales vigentes, en los siguientes casos: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1. Obrar en coparticipación criminal.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color w:val="000000"/>
                <w:highlight w:val="yellow"/>
              </w:rPr>
              <w:t xml:space="preserve">2. Impedir, obstaculizar o dificultar </w:t>
            </w:r>
            <w:r w:rsidRPr="001F47E2">
              <w:rPr>
                <w:rFonts w:ascii="Times New Roman" w:eastAsia="Arial Narrow" w:hAnsi="Times New Roman" w:cs="Times New Roman"/>
                <w:color w:val="000000"/>
                <w:highlight w:val="yellow"/>
              </w:rPr>
              <w:lastRenderedPageBreak/>
              <w:t>su identificación.</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strike/>
                <w:color w:val="000000"/>
              </w:rPr>
              <w:t xml:space="preserve">3. Fabrique, transporte, almacene, distribuya, ofrezca, venda, suministre, adquiera, tenga en su poder, lleve consigo, porte armas o explosivos de fabricación casera o artesanal, o sustancias corrosivas o similares.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4. Si la conducta de los daños causados sobre los bienes públicos o privados, cuyo valor superen los 500 salarios mínimos legales mensuales vigentes, la pena se aumentará de una tercera parte a la mitad.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jc w:val="both"/>
              <w:rPr>
                <w:rFonts w:ascii="Times New Roman" w:eastAsia="Arial Narrow" w:hAnsi="Times New Roman" w:cs="Times New Roman"/>
              </w:rPr>
            </w:pPr>
            <w:r w:rsidRPr="001F47E2">
              <w:rPr>
                <w:rFonts w:ascii="Times New Roman" w:eastAsia="Arial Narrow" w:hAnsi="Times New Roman" w:cs="Times New Roman"/>
              </w:rPr>
              <w:t>Lo anterior, siempre que la conducta no constituya delito sancionado con pena mayor</w:t>
            </w:r>
            <w:r w:rsidRPr="001F47E2">
              <w:rPr>
                <w:rFonts w:ascii="Times New Roman" w:eastAsia="Arial Narrow" w:hAnsi="Times New Roman" w:cs="Times New Roman"/>
                <w:strike/>
              </w:rPr>
              <w:t xml:space="preserve"> y del concurso con el delito de asonada contemplado en el artículo 469 del C.P.</w:t>
            </w:r>
          </w:p>
          <w:p w:rsidR="00B66A27" w:rsidRPr="001F47E2" w:rsidRDefault="00B66A27">
            <w:pPr>
              <w:ind w:hanging="2"/>
              <w:jc w:val="both"/>
              <w:rPr>
                <w:rFonts w:ascii="Times New Roman" w:eastAsia="Times New Roman" w:hAnsi="Times New Roman" w:cs="Times New Roman"/>
              </w:rPr>
            </w:pPr>
          </w:p>
        </w:tc>
        <w:tc>
          <w:tcPr>
            <w:tcW w:w="2389" w:type="dxa"/>
          </w:tcPr>
          <w:p w:rsidR="00B66A27" w:rsidRPr="001F47E2" w:rsidRDefault="00517408">
            <w:pPr>
              <w:ind w:hanging="2"/>
              <w:jc w:val="both"/>
              <w:rPr>
                <w:rFonts w:ascii="Times New Roman" w:hAnsi="Times New Roman" w:cs="Times New Roman"/>
                <w:b/>
              </w:rPr>
            </w:pPr>
            <w:r w:rsidRPr="001F47E2">
              <w:rPr>
                <w:rFonts w:ascii="Times New Roman" w:hAnsi="Times New Roman" w:cs="Times New Roman"/>
                <w:b/>
              </w:rPr>
              <w:lastRenderedPageBreak/>
              <w:t>La dogmática penal, la jurisprudencia y el Código Penal reconocen que el atentar contra un bien jurídico debe entenderse como la realización de una tentativa.</w:t>
            </w:r>
          </w:p>
          <w:p w:rsidR="00517408" w:rsidRPr="001F47E2" w:rsidRDefault="00517408">
            <w:pPr>
              <w:ind w:hanging="2"/>
              <w:jc w:val="both"/>
              <w:rPr>
                <w:rFonts w:ascii="Times New Roman" w:hAnsi="Times New Roman" w:cs="Times New Roman"/>
                <w:b/>
              </w:rPr>
            </w:pPr>
          </w:p>
          <w:p w:rsidR="00517408" w:rsidRPr="001F47E2" w:rsidRDefault="00517408">
            <w:pPr>
              <w:ind w:hanging="2"/>
              <w:jc w:val="both"/>
              <w:rPr>
                <w:rFonts w:ascii="Times New Roman" w:hAnsi="Times New Roman" w:cs="Times New Roman"/>
                <w:b/>
              </w:rPr>
            </w:pPr>
          </w:p>
          <w:p w:rsidR="00517408" w:rsidRPr="001F47E2" w:rsidRDefault="00517408">
            <w:pPr>
              <w:ind w:hanging="2"/>
              <w:jc w:val="both"/>
              <w:rPr>
                <w:rFonts w:ascii="Times New Roman" w:hAnsi="Times New Roman" w:cs="Times New Roman"/>
                <w:b/>
              </w:rPr>
            </w:pPr>
          </w:p>
          <w:p w:rsidR="00517408" w:rsidRPr="001F47E2" w:rsidRDefault="00517408">
            <w:pPr>
              <w:ind w:hanging="2"/>
              <w:jc w:val="both"/>
              <w:rPr>
                <w:rFonts w:ascii="Times New Roman" w:hAnsi="Times New Roman" w:cs="Times New Roman"/>
                <w:b/>
              </w:rPr>
            </w:pPr>
          </w:p>
          <w:p w:rsidR="00517408" w:rsidRPr="001F47E2" w:rsidRDefault="00517408">
            <w:pPr>
              <w:ind w:hanging="2"/>
              <w:jc w:val="both"/>
              <w:rPr>
                <w:rFonts w:ascii="Times New Roman" w:hAnsi="Times New Roman" w:cs="Times New Roman"/>
                <w:b/>
              </w:rPr>
            </w:pPr>
          </w:p>
          <w:p w:rsidR="00517408" w:rsidRPr="001F47E2" w:rsidRDefault="00517408">
            <w:pPr>
              <w:ind w:hanging="2"/>
              <w:jc w:val="both"/>
              <w:rPr>
                <w:rFonts w:ascii="Times New Roman" w:hAnsi="Times New Roman" w:cs="Times New Roman"/>
                <w:b/>
              </w:rPr>
            </w:pPr>
          </w:p>
          <w:p w:rsidR="00517408" w:rsidRPr="001F47E2" w:rsidRDefault="00517408">
            <w:pPr>
              <w:ind w:hanging="2"/>
              <w:jc w:val="both"/>
              <w:rPr>
                <w:rFonts w:ascii="Times New Roman" w:hAnsi="Times New Roman" w:cs="Times New Roman"/>
                <w:b/>
              </w:rPr>
            </w:pPr>
          </w:p>
          <w:p w:rsidR="00517408" w:rsidRPr="001F47E2" w:rsidRDefault="00517408" w:rsidP="00541733">
            <w:pPr>
              <w:jc w:val="both"/>
              <w:rPr>
                <w:rFonts w:ascii="Times New Roman" w:hAnsi="Times New Roman" w:cs="Times New Roman"/>
                <w:b/>
              </w:rPr>
            </w:pPr>
          </w:p>
          <w:p w:rsidR="00517408" w:rsidRPr="001F47E2" w:rsidRDefault="00517408">
            <w:pPr>
              <w:ind w:hanging="2"/>
              <w:jc w:val="both"/>
              <w:rPr>
                <w:rFonts w:ascii="Times New Roman" w:eastAsia="Arial Narrow" w:hAnsi="Times New Roman" w:cs="Times New Roman"/>
                <w:b/>
                <w:color w:val="000000"/>
              </w:rPr>
            </w:pPr>
            <w:r w:rsidRPr="001F47E2">
              <w:rPr>
                <w:rFonts w:ascii="Times New Roman" w:hAnsi="Times New Roman" w:cs="Times New Roman"/>
                <w:b/>
              </w:rPr>
              <w:t xml:space="preserve">La causal para aumentar la pena por el delito de </w:t>
            </w:r>
            <w:r w:rsidRPr="001F47E2">
              <w:rPr>
                <w:rFonts w:ascii="Times New Roman" w:hAnsi="Times New Roman" w:cs="Times New Roman"/>
                <w:b/>
              </w:rPr>
              <w:lastRenderedPageBreak/>
              <w:t>vandalismo, “</w:t>
            </w:r>
            <w:r w:rsidRPr="001F47E2">
              <w:rPr>
                <w:rFonts w:ascii="Times New Roman" w:eastAsia="Arial Narrow" w:hAnsi="Times New Roman" w:cs="Times New Roman"/>
                <w:b/>
                <w:color w:val="000000"/>
              </w:rPr>
              <w:t>Ocultando su rostro total o parcialmente, de tal manera que no permitan su identificación”</w:t>
            </w:r>
            <w:r w:rsidR="00541733" w:rsidRPr="001F47E2">
              <w:rPr>
                <w:rFonts w:ascii="Times New Roman" w:eastAsia="Arial Narrow" w:hAnsi="Times New Roman" w:cs="Times New Roman"/>
                <w:b/>
                <w:color w:val="000000"/>
              </w:rPr>
              <w:t xml:space="preserve"> (No. 2)</w:t>
            </w:r>
            <w:r w:rsidRPr="001F47E2">
              <w:rPr>
                <w:rFonts w:ascii="Times New Roman" w:eastAsia="Arial Narrow" w:hAnsi="Times New Roman" w:cs="Times New Roman"/>
                <w:b/>
                <w:color w:val="000000"/>
              </w:rPr>
              <w:t xml:space="preserve"> se considera en contravía con el derecho a la libr</w:t>
            </w:r>
            <w:r w:rsidR="00541733" w:rsidRPr="001F47E2">
              <w:rPr>
                <w:rFonts w:ascii="Times New Roman" w:eastAsia="Arial Narrow" w:hAnsi="Times New Roman" w:cs="Times New Roman"/>
                <w:b/>
                <w:color w:val="000000"/>
              </w:rPr>
              <w:t>e expresión.</w:t>
            </w:r>
          </w:p>
          <w:p w:rsidR="00541733" w:rsidRPr="001F47E2" w:rsidRDefault="00541733">
            <w:pPr>
              <w:ind w:hanging="2"/>
              <w:jc w:val="both"/>
              <w:rPr>
                <w:rFonts w:ascii="Times New Roman" w:eastAsia="Times New Roman" w:hAnsi="Times New Roman" w:cs="Times New Roman"/>
                <w:b/>
              </w:rPr>
            </w:pPr>
          </w:p>
          <w:p w:rsidR="00541733" w:rsidRPr="001F47E2" w:rsidRDefault="00541733" w:rsidP="00541733">
            <w:pPr>
              <w:ind w:hanging="2"/>
              <w:jc w:val="both"/>
              <w:rPr>
                <w:rFonts w:ascii="Times New Roman" w:eastAsia="Times New Roman" w:hAnsi="Times New Roman" w:cs="Times New Roman"/>
                <w:b/>
              </w:rPr>
            </w:pPr>
            <w:r w:rsidRPr="001F47E2">
              <w:rPr>
                <w:rFonts w:ascii="Times New Roman" w:eastAsia="Times New Roman" w:hAnsi="Times New Roman" w:cs="Times New Roman"/>
                <w:b/>
              </w:rPr>
              <w:t xml:space="preserve">La causal No. 3 constituye un delito ya sancionado con pena mayor. Por lo que se considera innecesario estipularlo. </w:t>
            </w:r>
          </w:p>
        </w:tc>
      </w:tr>
      <w:tr w:rsidR="00B66A27" w:rsidRPr="001F47E2">
        <w:tc>
          <w:tcPr>
            <w:tcW w:w="3332" w:type="dxa"/>
          </w:tcPr>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b/>
                <w:color w:val="000000"/>
              </w:rPr>
              <w:lastRenderedPageBreak/>
              <w:t xml:space="preserve">Artículo 2. Adiciónese al código penal (Ley 599 del 2000) el siguiente artículo: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b/>
                <w:color w:val="000000"/>
              </w:rPr>
              <w:t xml:space="preserve">ARTICULO 367 D. </w:t>
            </w:r>
            <w:r w:rsidRPr="001F47E2">
              <w:rPr>
                <w:rFonts w:ascii="Times New Roman" w:eastAsia="Arial Narrow" w:hAnsi="Times New Roman" w:cs="Times New Roman"/>
                <w:color w:val="000000"/>
              </w:rPr>
              <w:t xml:space="preserve">“El que promueva, ayude, financie, facilite, estimule, incite, induzca o proporcione los medios a realizar la conducta descrita en el artículo 367C, incurrirá en prisión de 4 a 8 años y multa de 50 a 100 salarios mínimos legales mensuales vigentes”. </w:t>
            </w:r>
          </w:p>
          <w:p w:rsidR="00B66A27" w:rsidRPr="001F47E2" w:rsidRDefault="00B66A27">
            <w:pPr>
              <w:ind w:hanging="2"/>
              <w:jc w:val="both"/>
              <w:rPr>
                <w:rFonts w:ascii="Times New Roman" w:eastAsia="Times New Roman" w:hAnsi="Times New Roman" w:cs="Times New Roman"/>
              </w:rPr>
            </w:pPr>
          </w:p>
        </w:tc>
        <w:tc>
          <w:tcPr>
            <w:tcW w:w="3333" w:type="dxa"/>
          </w:tcPr>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b/>
                <w:strike/>
                <w:color w:val="000000"/>
              </w:rPr>
              <w:t xml:space="preserve">Artículo 2. Adiciónese al código penal (Ley 599 del 2000) el siguiente artículo: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b/>
                <w:strike/>
                <w:color w:val="000000"/>
              </w:rPr>
              <w:t xml:space="preserve">ARTICULO 367 D. </w:t>
            </w:r>
            <w:r w:rsidRPr="001F47E2">
              <w:rPr>
                <w:rFonts w:ascii="Times New Roman" w:eastAsia="Arial Narrow" w:hAnsi="Times New Roman" w:cs="Times New Roman"/>
                <w:strike/>
                <w:color w:val="000000"/>
              </w:rPr>
              <w:t xml:space="preserve">“El que promueva, ayude, financie, facilite, estimule, incite, induzca o proporcione los medios a realizar la conducta descrita en el artículo 367C, incurrirá en prisión de 4 a 8 años y multa de 50 a 100 salarios mínimos legales mensuales vigentes”. </w:t>
            </w:r>
          </w:p>
          <w:p w:rsidR="00B66A27" w:rsidRPr="001F47E2" w:rsidRDefault="00B66A27">
            <w:pPr>
              <w:jc w:val="both"/>
              <w:rPr>
                <w:rFonts w:ascii="Times New Roman" w:eastAsia="Times New Roman" w:hAnsi="Times New Roman" w:cs="Times New Roman"/>
              </w:rPr>
            </w:pPr>
          </w:p>
        </w:tc>
        <w:tc>
          <w:tcPr>
            <w:tcW w:w="2389" w:type="dxa"/>
          </w:tcPr>
          <w:p w:rsidR="00B66A27" w:rsidRPr="001F47E2" w:rsidRDefault="00477CF4">
            <w:pPr>
              <w:jc w:val="both"/>
              <w:rPr>
                <w:rFonts w:ascii="Times New Roman" w:eastAsia="Times New Roman" w:hAnsi="Times New Roman" w:cs="Times New Roman"/>
              </w:rPr>
            </w:pPr>
            <w:r w:rsidRPr="001F47E2">
              <w:rPr>
                <w:rFonts w:ascii="Times New Roman" w:eastAsia="Times New Roman" w:hAnsi="Times New Roman" w:cs="Times New Roman"/>
                <w:b/>
              </w:rPr>
              <w:t xml:space="preserve">El </w:t>
            </w:r>
            <w:proofErr w:type="spellStart"/>
            <w:r w:rsidRPr="001F47E2">
              <w:rPr>
                <w:rFonts w:ascii="Times New Roman" w:eastAsia="Times New Roman" w:hAnsi="Times New Roman" w:cs="Times New Roman"/>
                <w:b/>
              </w:rPr>
              <w:t>articulo</w:t>
            </w:r>
            <w:proofErr w:type="spellEnd"/>
            <w:r w:rsidRPr="001F47E2">
              <w:rPr>
                <w:rFonts w:ascii="Times New Roman" w:eastAsia="Times New Roman" w:hAnsi="Times New Roman" w:cs="Times New Roman"/>
                <w:b/>
              </w:rPr>
              <w:t xml:space="preserve"> 30 de la ley 599 del 2000 establece como participes al determinador y al </w:t>
            </w:r>
            <w:proofErr w:type="spellStart"/>
            <w:r w:rsidRPr="001F47E2">
              <w:rPr>
                <w:rFonts w:ascii="Times New Roman" w:eastAsia="Times New Roman" w:hAnsi="Times New Roman" w:cs="Times New Roman"/>
                <w:b/>
              </w:rPr>
              <w:t>complice</w:t>
            </w:r>
            <w:proofErr w:type="spellEnd"/>
            <w:r w:rsidRPr="001F47E2">
              <w:rPr>
                <w:rFonts w:ascii="Times New Roman" w:eastAsia="Times New Roman" w:hAnsi="Times New Roman" w:cs="Times New Roman"/>
                <w:b/>
              </w:rPr>
              <w:t xml:space="preserve"> con sus respectivas penas, por lo tanto se considera innecesario e inviable al abrirse la posibilidad de confusión para las partes en el proceso judicial.</w:t>
            </w:r>
          </w:p>
        </w:tc>
      </w:tr>
      <w:tr w:rsidR="00B66A27" w:rsidRPr="001F47E2">
        <w:tc>
          <w:tcPr>
            <w:tcW w:w="3332" w:type="dxa"/>
          </w:tcPr>
          <w:p w:rsidR="00B66A27" w:rsidRPr="001F47E2" w:rsidRDefault="00477CF4">
            <w:pPr>
              <w:jc w:val="both"/>
              <w:rPr>
                <w:rFonts w:ascii="Times New Roman" w:eastAsia="Arial Narrow" w:hAnsi="Times New Roman" w:cs="Times New Roman"/>
              </w:rPr>
            </w:pPr>
            <w:r w:rsidRPr="001F47E2">
              <w:rPr>
                <w:rFonts w:ascii="Times New Roman" w:eastAsia="Arial Narrow" w:hAnsi="Times New Roman" w:cs="Times New Roman"/>
                <w:b/>
              </w:rPr>
              <w:t xml:space="preserve">Artículo 3. </w:t>
            </w:r>
            <w:r w:rsidRPr="001F47E2">
              <w:rPr>
                <w:rFonts w:ascii="Times New Roman" w:eastAsia="Arial Narrow" w:hAnsi="Times New Roman" w:cs="Times New Roman"/>
              </w:rPr>
              <w:t>La presente ley rige a partir de su publicación y deroga cualquier disposición que le sea contraria.</w:t>
            </w:r>
          </w:p>
          <w:p w:rsidR="00B66A27" w:rsidRPr="001F47E2" w:rsidRDefault="00B66A27">
            <w:pPr>
              <w:ind w:hanging="2"/>
              <w:jc w:val="both"/>
              <w:rPr>
                <w:rFonts w:ascii="Times New Roman" w:eastAsia="Times New Roman" w:hAnsi="Times New Roman" w:cs="Times New Roman"/>
                <w:highlight w:val="green"/>
              </w:rPr>
            </w:pPr>
          </w:p>
        </w:tc>
        <w:tc>
          <w:tcPr>
            <w:tcW w:w="3333" w:type="dxa"/>
          </w:tcPr>
          <w:p w:rsidR="00B66A27" w:rsidRPr="001F47E2" w:rsidRDefault="00477CF4">
            <w:pPr>
              <w:jc w:val="both"/>
              <w:rPr>
                <w:rFonts w:ascii="Times New Roman" w:eastAsia="Arial Narrow" w:hAnsi="Times New Roman" w:cs="Times New Roman"/>
              </w:rPr>
            </w:pPr>
            <w:r w:rsidRPr="001F47E2">
              <w:rPr>
                <w:rFonts w:ascii="Times New Roman" w:eastAsia="Arial Narrow" w:hAnsi="Times New Roman" w:cs="Times New Roman"/>
                <w:b/>
              </w:rPr>
              <w:t xml:space="preserve">Artículo 3. </w:t>
            </w:r>
            <w:r w:rsidRPr="001F47E2">
              <w:rPr>
                <w:rFonts w:ascii="Times New Roman" w:eastAsia="Arial Narrow" w:hAnsi="Times New Roman" w:cs="Times New Roman"/>
              </w:rPr>
              <w:t>La presente ley rige a partir de su publicación y deroga cualquier disposición que le sea contraria.</w:t>
            </w:r>
          </w:p>
          <w:p w:rsidR="00B66A27" w:rsidRPr="001F47E2" w:rsidRDefault="00B66A27">
            <w:pPr>
              <w:jc w:val="both"/>
              <w:rPr>
                <w:rFonts w:ascii="Times New Roman" w:eastAsia="Times New Roman" w:hAnsi="Times New Roman" w:cs="Times New Roman"/>
              </w:rPr>
            </w:pPr>
          </w:p>
        </w:tc>
        <w:tc>
          <w:tcPr>
            <w:tcW w:w="2389" w:type="dxa"/>
          </w:tcPr>
          <w:p w:rsidR="00B66A27" w:rsidRPr="001F47E2" w:rsidRDefault="00477CF4">
            <w:pPr>
              <w:jc w:val="both"/>
              <w:rPr>
                <w:rFonts w:ascii="Times New Roman" w:eastAsia="Times New Roman" w:hAnsi="Times New Roman" w:cs="Times New Roman"/>
              </w:rPr>
            </w:pPr>
            <w:r w:rsidRPr="001F47E2">
              <w:rPr>
                <w:rFonts w:ascii="Times New Roman" w:eastAsia="Times New Roman" w:hAnsi="Times New Roman" w:cs="Times New Roman"/>
                <w:b/>
                <w:color w:val="4B4949"/>
              </w:rPr>
              <w:t>Igual</w:t>
            </w:r>
          </w:p>
        </w:tc>
      </w:tr>
    </w:tbl>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365F91"/>
        </w:rPr>
      </w:pPr>
    </w:p>
    <w:p w:rsidR="00B66A27" w:rsidRPr="001F47E2" w:rsidRDefault="00B66A27">
      <w:pPr>
        <w:pBdr>
          <w:top w:val="nil"/>
          <w:left w:val="nil"/>
          <w:bottom w:val="nil"/>
          <w:right w:val="nil"/>
          <w:between w:val="nil"/>
        </w:pBdr>
        <w:spacing w:after="0" w:line="240" w:lineRule="auto"/>
        <w:rPr>
          <w:rFonts w:ascii="Times New Roman" w:eastAsia="Arial" w:hAnsi="Times New Roman" w:cs="Times New Roman"/>
          <w:color w:val="000000"/>
        </w:rPr>
      </w:pPr>
    </w:p>
    <w:p w:rsidR="00B66A27" w:rsidRPr="001F47E2" w:rsidRDefault="00B66A27">
      <w:pPr>
        <w:pBdr>
          <w:top w:val="nil"/>
          <w:left w:val="nil"/>
          <w:bottom w:val="nil"/>
          <w:right w:val="nil"/>
          <w:between w:val="nil"/>
        </w:pBdr>
        <w:spacing w:after="0" w:line="240" w:lineRule="auto"/>
        <w:rPr>
          <w:rFonts w:ascii="Times New Roman" w:eastAsia="Arial" w:hAnsi="Times New Roman" w:cs="Times New Roman"/>
          <w:color w:val="000000"/>
        </w:rPr>
      </w:pPr>
    </w:p>
    <w:p w:rsidR="00B66A27" w:rsidRPr="00AC7B84" w:rsidRDefault="00AC7B84">
      <w:pPr>
        <w:numPr>
          <w:ilvl w:val="0"/>
          <w:numId w:val="1"/>
        </w:numPr>
        <w:pBdr>
          <w:top w:val="nil"/>
          <w:left w:val="nil"/>
          <w:bottom w:val="nil"/>
          <w:right w:val="nil"/>
          <w:between w:val="nil"/>
        </w:pBdr>
        <w:spacing w:after="0" w:line="240" w:lineRule="auto"/>
        <w:rPr>
          <w:rFonts w:ascii="Times New Roman" w:eastAsia="Verdana" w:hAnsi="Times New Roman" w:cs="Times New Roman"/>
          <w:color w:val="1F497D"/>
        </w:rPr>
      </w:pPr>
      <w:r>
        <w:rPr>
          <w:rFonts w:ascii="Times New Roman" w:eastAsia="Verdana" w:hAnsi="Times New Roman" w:cs="Times New Roman"/>
          <w:b/>
          <w:color w:val="1F497D"/>
          <w:sz w:val="28"/>
        </w:rPr>
        <w:t>Conclusión</w:t>
      </w:r>
      <w:r w:rsidR="00477CF4" w:rsidRPr="00AC7B84">
        <w:rPr>
          <w:rFonts w:ascii="Times New Roman" w:eastAsia="Verdana" w:hAnsi="Times New Roman" w:cs="Times New Roman"/>
          <w:color w:val="1F497D"/>
        </w:rPr>
        <w:t xml:space="preserve"> </w:t>
      </w:r>
    </w:p>
    <w:p w:rsidR="00B66A27" w:rsidRPr="001F47E2" w:rsidRDefault="00B66A27">
      <w:pPr>
        <w:pBdr>
          <w:top w:val="nil"/>
          <w:left w:val="nil"/>
          <w:bottom w:val="nil"/>
          <w:right w:val="nil"/>
          <w:between w:val="nil"/>
        </w:pBdr>
        <w:spacing w:after="0" w:line="240" w:lineRule="auto"/>
        <w:ind w:left="720"/>
        <w:rPr>
          <w:rFonts w:ascii="Times New Roman" w:eastAsia="Verdana" w:hAnsi="Times New Roman" w:cs="Times New Roman"/>
          <w:color w:val="1F497D"/>
        </w:rPr>
      </w:pPr>
    </w:p>
    <w:p w:rsidR="00B66A27" w:rsidRPr="001F47E2" w:rsidRDefault="00477CF4">
      <w:pPr>
        <w:shd w:val="clear" w:color="auto" w:fill="FFFFFF"/>
        <w:spacing w:before="45" w:after="15" w:line="240" w:lineRule="auto"/>
        <w:ind w:right="30"/>
        <w:jc w:val="both"/>
        <w:rPr>
          <w:rFonts w:ascii="Times New Roman" w:eastAsia="Arial Narrow" w:hAnsi="Times New Roman" w:cs="Times New Roman"/>
          <w:color w:val="000000"/>
        </w:rPr>
      </w:pPr>
      <w:r w:rsidRPr="001F47E2">
        <w:rPr>
          <w:rFonts w:ascii="Times New Roman" w:eastAsia="Times New Roman" w:hAnsi="Times New Roman" w:cs="Times New Roman"/>
        </w:rPr>
        <w:t>La presente iniciativa de origen parlamentario</w:t>
      </w:r>
      <w:r w:rsidR="00AC7B84">
        <w:rPr>
          <w:rFonts w:ascii="Times New Roman" w:eastAsia="Times New Roman" w:hAnsi="Times New Roman" w:cs="Times New Roman"/>
        </w:rPr>
        <w:t xml:space="preserve">, busca garantizar la seguridad </w:t>
      </w:r>
      <w:r w:rsidR="00AC7B84" w:rsidRPr="001F47E2">
        <w:rPr>
          <w:rFonts w:ascii="Times New Roman" w:eastAsia="Times New Roman" w:hAnsi="Times New Roman" w:cs="Times New Roman"/>
        </w:rPr>
        <w:t>pública</w:t>
      </w:r>
      <w:r w:rsidRPr="001F47E2">
        <w:rPr>
          <w:rFonts w:ascii="Times New Roman" w:eastAsia="Times New Roman" w:hAnsi="Times New Roman" w:cs="Times New Roman"/>
        </w:rPr>
        <w:t xml:space="preserve"> y promover la protesta pacífica </w:t>
      </w:r>
      <w:r w:rsidRPr="001F47E2">
        <w:rPr>
          <w:rFonts w:ascii="Times New Roman" w:eastAsia="Arial Narrow" w:hAnsi="Times New Roman" w:cs="Times New Roman"/>
          <w:color w:val="000000"/>
        </w:rPr>
        <w:t xml:space="preserve">a través de la creación del tipo penal que judicialice a las personas que se valgan de una protesta para cometer actos de violencia que dañen los bienes públicos o privados, atentando contra el orden público y la autoridad. </w:t>
      </w: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0" w:line="240" w:lineRule="auto"/>
        <w:rPr>
          <w:rFonts w:ascii="Times New Roman" w:eastAsia="Arial" w:hAnsi="Times New Roman" w:cs="Times New Roman"/>
          <w:color w:val="000000"/>
        </w:rPr>
      </w:pPr>
    </w:p>
    <w:p w:rsidR="00B66A27" w:rsidRPr="001F47E2" w:rsidRDefault="00B66A27">
      <w:pPr>
        <w:pBdr>
          <w:top w:val="nil"/>
          <w:left w:val="nil"/>
          <w:bottom w:val="nil"/>
          <w:right w:val="nil"/>
          <w:between w:val="nil"/>
        </w:pBdr>
        <w:spacing w:after="0" w:line="240" w:lineRule="auto"/>
        <w:rPr>
          <w:rFonts w:ascii="Times New Roman" w:eastAsia="Arial" w:hAnsi="Times New Roman" w:cs="Times New Roman"/>
          <w:color w:val="000000"/>
        </w:rPr>
      </w:pPr>
    </w:p>
    <w:p w:rsidR="00B66A27" w:rsidRPr="001F47E2" w:rsidRDefault="00477CF4">
      <w:pPr>
        <w:numPr>
          <w:ilvl w:val="0"/>
          <w:numId w:val="1"/>
        </w:numPr>
        <w:pBdr>
          <w:top w:val="nil"/>
          <w:left w:val="nil"/>
          <w:bottom w:val="nil"/>
          <w:right w:val="nil"/>
          <w:between w:val="nil"/>
        </w:pBdr>
        <w:spacing w:after="0" w:line="240" w:lineRule="auto"/>
        <w:rPr>
          <w:rFonts w:ascii="Times New Roman" w:eastAsia="Verdana" w:hAnsi="Times New Roman" w:cs="Times New Roman"/>
          <w:color w:val="1F497D"/>
        </w:rPr>
      </w:pPr>
      <w:r w:rsidRPr="00AC7B84">
        <w:rPr>
          <w:rFonts w:ascii="Times New Roman" w:eastAsia="Verdana" w:hAnsi="Times New Roman" w:cs="Times New Roman"/>
          <w:b/>
          <w:color w:val="1F497D"/>
          <w:sz w:val="28"/>
        </w:rPr>
        <w:t xml:space="preserve">Proposición: </w:t>
      </w:r>
    </w:p>
    <w:p w:rsidR="00B66A27" w:rsidRPr="001F47E2" w:rsidRDefault="00B66A27">
      <w:pPr>
        <w:pBdr>
          <w:top w:val="nil"/>
          <w:left w:val="nil"/>
          <w:bottom w:val="nil"/>
          <w:right w:val="nil"/>
          <w:between w:val="nil"/>
        </w:pBdr>
        <w:spacing w:after="0" w:line="240" w:lineRule="auto"/>
        <w:rPr>
          <w:rFonts w:ascii="Times New Roman" w:eastAsia="Arial"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F47E2">
        <w:rPr>
          <w:rFonts w:ascii="Times New Roman" w:eastAsia="Times New Roman" w:hAnsi="Times New Roman" w:cs="Times New Roman"/>
          <w:color w:val="000000"/>
        </w:rPr>
        <w:t>Bajo las anteriores consideraciones, me permito rendir ponencia positiva al Proyecto de Ley No 211 de 2020 Cámara “</w:t>
      </w:r>
      <w:r w:rsidR="0018163A">
        <w:rPr>
          <w:rFonts w:ascii="Times New Roman" w:eastAsia="Arial Narrow" w:hAnsi="Times New Roman" w:cs="Times New Roman"/>
          <w:color w:val="000000"/>
        </w:rPr>
        <w:t xml:space="preserve">Por medio de la cual se toman medidas para garantizar la protesta </w:t>
      </w:r>
      <w:proofErr w:type="spellStart"/>
      <w:r w:rsidR="0018163A">
        <w:rPr>
          <w:rFonts w:ascii="Times New Roman" w:eastAsia="Arial Narrow" w:hAnsi="Times New Roman" w:cs="Times New Roman"/>
          <w:color w:val="000000"/>
        </w:rPr>
        <w:t>pacifica</w:t>
      </w:r>
      <w:proofErr w:type="spellEnd"/>
      <w:r w:rsidR="0018163A">
        <w:rPr>
          <w:rFonts w:ascii="Times New Roman" w:eastAsia="Arial Narrow" w:hAnsi="Times New Roman" w:cs="Times New Roman"/>
          <w:color w:val="000000"/>
        </w:rPr>
        <w:t xml:space="preserve"> y se crean tipos penales” </w:t>
      </w:r>
      <w:r w:rsidRPr="001F47E2">
        <w:rPr>
          <w:rFonts w:ascii="Times New Roman" w:eastAsia="Times New Roman" w:hAnsi="Times New Roman" w:cs="Times New Roman"/>
          <w:color w:val="000000"/>
        </w:rPr>
        <w:t>y en consecuencia solicito dar primer debate al presente proyecto de ley, con el texto propuesto que se anexa.</w:t>
      </w: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477CF4">
      <w:pPr>
        <w:pBdr>
          <w:top w:val="nil"/>
          <w:left w:val="nil"/>
          <w:bottom w:val="nil"/>
          <w:right w:val="nil"/>
          <w:between w:val="nil"/>
        </w:pBdr>
        <w:spacing w:after="12" w:line="240" w:lineRule="auto"/>
        <w:rPr>
          <w:rFonts w:ascii="Times New Roman" w:eastAsia="Times New Roman" w:hAnsi="Times New Roman" w:cs="Times New Roman"/>
          <w:color w:val="000000"/>
        </w:rPr>
      </w:pPr>
      <w:r w:rsidRPr="001F47E2">
        <w:rPr>
          <w:rFonts w:ascii="Times New Roman" w:eastAsia="Times New Roman" w:hAnsi="Times New Roman" w:cs="Times New Roman"/>
          <w:color w:val="000000"/>
        </w:rPr>
        <w:t xml:space="preserve">Atentamente, </w:t>
      </w:r>
    </w:p>
    <w:p w:rsidR="00B66A27" w:rsidRPr="001F47E2" w:rsidRDefault="00B66A27">
      <w:pPr>
        <w:pBdr>
          <w:top w:val="nil"/>
          <w:left w:val="nil"/>
          <w:bottom w:val="nil"/>
          <w:right w:val="nil"/>
          <w:between w:val="nil"/>
        </w:pBdr>
        <w:spacing w:after="12" w:line="240" w:lineRule="auto"/>
        <w:rPr>
          <w:rFonts w:ascii="Times New Roman" w:eastAsia="Times New Roman" w:hAnsi="Times New Roman" w:cs="Times New Roman"/>
          <w:color w:val="000000"/>
        </w:rPr>
      </w:pPr>
    </w:p>
    <w:p w:rsidR="00B66A27" w:rsidRDefault="00B66A27">
      <w:pPr>
        <w:pBdr>
          <w:top w:val="nil"/>
          <w:left w:val="nil"/>
          <w:bottom w:val="nil"/>
          <w:right w:val="nil"/>
          <w:between w:val="nil"/>
        </w:pBdr>
        <w:spacing w:after="12" w:line="240" w:lineRule="auto"/>
        <w:rPr>
          <w:rFonts w:ascii="Times New Roman" w:eastAsia="Times New Roman" w:hAnsi="Times New Roman" w:cs="Times New Roman"/>
          <w:color w:val="000000"/>
        </w:rPr>
      </w:pPr>
    </w:p>
    <w:p w:rsidR="00AC7B84" w:rsidRDefault="00AC7B84">
      <w:pPr>
        <w:pBdr>
          <w:top w:val="nil"/>
          <w:left w:val="nil"/>
          <w:bottom w:val="nil"/>
          <w:right w:val="nil"/>
          <w:between w:val="nil"/>
        </w:pBdr>
        <w:spacing w:after="12" w:line="240" w:lineRule="auto"/>
        <w:rPr>
          <w:rFonts w:ascii="Times New Roman" w:eastAsia="Times New Roman" w:hAnsi="Times New Roman" w:cs="Times New Roman"/>
          <w:color w:val="000000"/>
        </w:rPr>
      </w:pPr>
    </w:p>
    <w:p w:rsidR="00AC7B84" w:rsidRDefault="00AC7B84">
      <w:pPr>
        <w:pBdr>
          <w:top w:val="nil"/>
          <w:left w:val="nil"/>
          <w:bottom w:val="nil"/>
          <w:right w:val="nil"/>
          <w:between w:val="nil"/>
        </w:pBdr>
        <w:spacing w:after="12" w:line="240" w:lineRule="auto"/>
        <w:rPr>
          <w:rFonts w:ascii="Times New Roman" w:eastAsia="Times New Roman" w:hAnsi="Times New Roman" w:cs="Times New Roman"/>
          <w:color w:val="000000"/>
        </w:rPr>
      </w:pPr>
    </w:p>
    <w:p w:rsidR="00AC7B84" w:rsidRPr="001F47E2" w:rsidRDefault="00AC7B84">
      <w:pPr>
        <w:pBdr>
          <w:top w:val="nil"/>
          <w:left w:val="nil"/>
          <w:bottom w:val="nil"/>
          <w:right w:val="nil"/>
          <w:between w:val="nil"/>
        </w:pBdr>
        <w:spacing w:after="12" w:line="240" w:lineRule="auto"/>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12" w:line="240" w:lineRule="auto"/>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12" w:line="240" w:lineRule="auto"/>
        <w:rPr>
          <w:rFonts w:ascii="Times New Roman" w:eastAsia="Times New Roman" w:hAnsi="Times New Roman" w:cs="Times New Roman"/>
          <w:color w:val="000000"/>
        </w:rPr>
      </w:pPr>
    </w:p>
    <w:p w:rsidR="00B66A27" w:rsidRPr="001F47E2" w:rsidRDefault="00477CF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F47E2">
        <w:rPr>
          <w:rFonts w:ascii="Times New Roman" w:eastAsia="Times New Roman" w:hAnsi="Times New Roman" w:cs="Times New Roman"/>
          <w:b/>
          <w:color w:val="000000"/>
        </w:rPr>
        <w:t>OSCAR LEONARDO VILLAMIZAR MENESES</w:t>
      </w:r>
    </w:p>
    <w:p w:rsidR="00B66A27" w:rsidRPr="001F47E2" w:rsidRDefault="00477CF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F47E2">
        <w:rPr>
          <w:rFonts w:ascii="Times New Roman" w:eastAsia="Times New Roman" w:hAnsi="Times New Roman" w:cs="Times New Roman"/>
          <w:color w:val="000000"/>
        </w:rPr>
        <w:t>Representante a la Cámara por Santander</w:t>
      </w:r>
    </w:p>
    <w:p w:rsidR="00B66A27" w:rsidRPr="001F47E2" w:rsidRDefault="000D0D11">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Coordinador </w:t>
      </w:r>
      <w:r w:rsidR="00477CF4" w:rsidRPr="001F47E2">
        <w:rPr>
          <w:rFonts w:ascii="Times New Roman" w:eastAsia="Times New Roman" w:hAnsi="Times New Roman" w:cs="Times New Roman"/>
          <w:color w:val="000000"/>
        </w:rPr>
        <w:t>Ponente</w:t>
      </w:r>
    </w:p>
    <w:p w:rsidR="008F54B9" w:rsidRPr="001F47E2" w:rsidRDefault="008F54B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8F54B9" w:rsidRPr="001F47E2" w:rsidRDefault="008F54B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8F54B9" w:rsidRPr="001F47E2" w:rsidRDefault="008F54B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8F54B9" w:rsidRPr="001F47E2" w:rsidRDefault="008F54B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8F54B9" w:rsidRPr="001F47E2" w:rsidRDefault="008F54B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8F54B9" w:rsidRPr="001F47E2" w:rsidRDefault="008F54B9" w:rsidP="008F54B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1F47E2">
        <w:rPr>
          <w:rFonts w:ascii="Times New Roman" w:eastAsia="Times New Roman" w:hAnsi="Times New Roman" w:cs="Times New Roman"/>
          <w:b/>
          <w:color w:val="000000"/>
        </w:rPr>
        <w:t>JOSÉ GUSTAVO PADILLA OROZCO</w:t>
      </w:r>
    </w:p>
    <w:p w:rsidR="008F54B9" w:rsidRPr="001F47E2" w:rsidRDefault="008F54B9" w:rsidP="008F54B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F47E2">
        <w:rPr>
          <w:rFonts w:ascii="Times New Roman" w:eastAsia="Times New Roman" w:hAnsi="Times New Roman" w:cs="Times New Roman"/>
          <w:color w:val="000000"/>
        </w:rPr>
        <w:t>Representante a la Cámara Valle del Cauca</w:t>
      </w:r>
    </w:p>
    <w:p w:rsidR="008F54B9" w:rsidRPr="001F47E2" w:rsidRDefault="008F54B9" w:rsidP="008F54B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F47E2">
        <w:rPr>
          <w:rFonts w:ascii="Times New Roman" w:eastAsia="Times New Roman" w:hAnsi="Times New Roman" w:cs="Times New Roman"/>
          <w:color w:val="000000"/>
        </w:rPr>
        <w:t>Ponente</w:t>
      </w:r>
    </w:p>
    <w:p w:rsidR="008F54B9" w:rsidRPr="001F47E2" w:rsidRDefault="008F54B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477CF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F47E2">
        <w:rPr>
          <w:rFonts w:ascii="Times New Roman" w:eastAsia="Times New Roman" w:hAnsi="Times New Roman" w:cs="Times New Roman"/>
          <w:color w:val="000000"/>
        </w:rPr>
        <w:t>TEXTO PROPUESTO PARA PRIMER DEBATE AL PROYECTO DE LEY NO 211 DE 2020 CÁMARA “POR MEDIO DE LA CUAL SE CREA EL TIPO PENAL VANDALISMO COMO MEDIDA PARA GARANTIZAR LA SEGURIDAD PÚBLICA Y PROMOVER LA PROTESTA PACÍFICA”</w:t>
      </w:r>
    </w:p>
    <w:p w:rsidR="00B66A27" w:rsidRPr="001F47E2" w:rsidRDefault="00B66A27">
      <w:pPr>
        <w:pBdr>
          <w:top w:val="nil"/>
          <w:left w:val="nil"/>
          <w:bottom w:val="nil"/>
          <w:right w:val="nil"/>
          <w:between w:val="nil"/>
        </w:pBdr>
        <w:spacing w:after="0" w:line="240" w:lineRule="auto"/>
        <w:jc w:val="center"/>
        <w:rPr>
          <w:rFonts w:ascii="Times New Roman" w:eastAsia="Times New Roman" w:hAnsi="Times New Roman" w:cs="Times New Roman"/>
          <w:color w:val="365F91"/>
        </w:rPr>
      </w:pPr>
    </w:p>
    <w:p w:rsidR="00B66A27" w:rsidRPr="001F47E2" w:rsidRDefault="00B66A27">
      <w:pPr>
        <w:pBdr>
          <w:top w:val="nil"/>
          <w:left w:val="nil"/>
          <w:bottom w:val="nil"/>
          <w:right w:val="nil"/>
          <w:between w:val="nil"/>
        </w:pBdr>
        <w:spacing w:after="0" w:line="240" w:lineRule="auto"/>
        <w:jc w:val="center"/>
        <w:rPr>
          <w:rFonts w:ascii="Times New Roman" w:eastAsia="Times New Roman" w:hAnsi="Times New Roman" w:cs="Times New Roman"/>
          <w:color w:val="365F91"/>
        </w:rPr>
      </w:pPr>
    </w:p>
    <w:p w:rsidR="00B66A27" w:rsidRPr="001F47E2" w:rsidRDefault="00477CF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F47E2">
        <w:rPr>
          <w:rFonts w:ascii="Times New Roman" w:eastAsia="Times New Roman" w:hAnsi="Times New Roman" w:cs="Times New Roman"/>
          <w:b/>
          <w:color w:val="000000"/>
        </w:rPr>
        <w:t>El Congreso de la República de Colombia</w:t>
      </w:r>
    </w:p>
    <w:p w:rsidR="00B66A27" w:rsidRPr="001F47E2" w:rsidRDefault="00B66A2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B66A27" w:rsidRPr="001F47E2" w:rsidRDefault="00477CF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F47E2">
        <w:rPr>
          <w:rFonts w:ascii="Times New Roman" w:eastAsia="Times New Roman" w:hAnsi="Times New Roman" w:cs="Times New Roman"/>
          <w:b/>
          <w:color w:val="000000"/>
        </w:rPr>
        <w:t>DECRETA:</w:t>
      </w:r>
    </w:p>
    <w:p w:rsidR="00B66A27" w:rsidRPr="001F47E2" w:rsidRDefault="00B66A2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b/>
          <w:color w:val="000000"/>
        </w:rPr>
        <w:t xml:space="preserve">Artículo 1. Adiciónese al código penal (Ley 599 del 2000) el siguiente artículo: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b/>
          <w:color w:val="000000"/>
        </w:rPr>
        <w:t xml:space="preserve">ARTICULO 367 C. Vandalismo: </w:t>
      </w:r>
      <w:r w:rsidRPr="001F47E2">
        <w:rPr>
          <w:rFonts w:ascii="Times New Roman" w:eastAsia="Arial Narrow" w:hAnsi="Times New Roman" w:cs="Times New Roman"/>
          <w:color w:val="000000"/>
        </w:rPr>
        <w:t xml:space="preserve">El que, valiéndose de una protesta, manifestación o movilización pública, dañe, o destruya los bienes públicos o privados; ejerza violencia contra la integridad física de los miembros de la fuerza pública, incurrirá en prisión de 6 a 8 años y multa de 100 a 500 salarios mínimos legales mensuales vigentes.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La pena señalada en el artículo anterior, será de 8 a 10 años de prisión y multa de 501 a 1000 salarios mínimos legales mensuales vigentes, en los siguientes casos: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1. Obrar en coparticipación criminal.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2. Impedir, obstaculizar o dificultar su identificación.</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pBdr>
          <w:top w:val="nil"/>
          <w:left w:val="nil"/>
          <w:bottom w:val="nil"/>
          <w:right w:val="nil"/>
          <w:between w:val="nil"/>
        </w:pBdr>
        <w:spacing w:after="0" w:line="240" w:lineRule="auto"/>
        <w:jc w:val="both"/>
        <w:rPr>
          <w:rFonts w:ascii="Times New Roman" w:eastAsia="Arial Narrow" w:hAnsi="Times New Roman" w:cs="Times New Roman"/>
          <w:color w:val="000000"/>
        </w:rPr>
      </w:pPr>
      <w:r w:rsidRPr="001F47E2">
        <w:rPr>
          <w:rFonts w:ascii="Times New Roman" w:eastAsia="Arial Narrow" w:hAnsi="Times New Roman" w:cs="Times New Roman"/>
          <w:color w:val="000000"/>
        </w:rPr>
        <w:t xml:space="preserve">3. Si la conducta de los daños causados sobre los bienes públicos o privados, cuyo valor superen los 500 salarios mínimos legales mensuales vigentes, la pena se aumentará de una tercera parte a la mitad. </w:t>
      </w:r>
    </w:p>
    <w:p w:rsidR="00B66A27" w:rsidRPr="001F47E2" w:rsidRDefault="00B66A27">
      <w:pPr>
        <w:pBdr>
          <w:top w:val="nil"/>
          <w:left w:val="nil"/>
          <w:bottom w:val="nil"/>
          <w:right w:val="nil"/>
          <w:between w:val="nil"/>
        </w:pBdr>
        <w:spacing w:after="0" w:line="240" w:lineRule="auto"/>
        <w:jc w:val="both"/>
        <w:rPr>
          <w:rFonts w:ascii="Times New Roman" w:eastAsia="Arial Narrow" w:hAnsi="Times New Roman" w:cs="Times New Roman"/>
          <w:color w:val="000000"/>
        </w:rPr>
      </w:pPr>
    </w:p>
    <w:p w:rsidR="00B66A27" w:rsidRPr="001F47E2" w:rsidRDefault="00477CF4">
      <w:pPr>
        <w:jc w:val="both"/>
        <w:rPr>
          <w:rFonts w:ascii="Times New Roman" w:eastAsia="Arial Narrow" w:hAnsi="Times New Roman" w:cs="Times New Roman"/>
        </w:rPr>
      </w:pPr>
      <w:r w:rsidRPr="001F47E2">
        <w:rPr>
          <w:rFonts w:ascii="Times New Roman" w:eastAsia="Arial Narrow" w:hAnsi="Times New Roman" w:cs="Times New Roman"/>
        </w:rPr>
        <w:t>Lo anterior, siempre que la conducta no constituya delito sancionado con pena mayor.</w:t>
      </w:r>
    </w:p>
    <w:p w:rsidR="00B66A27" w:rsidRPr="001F47E2" w:rsidRDefault="00477CF4">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F47E2">
        <w:rPr>
          <w:rFonts w:ascii="Times New Roman" w:eastAsia="Arial Narrow" w:hAnsi="Times New Roman" w:cs="Times New Roman"/>
          <w:b/>
          <w:color w:val="000000"/>
        </w:rPr>
        <w:t xml:space="preserve">Artículo 2. </w:t>
      </w:r>
      <w:r w:rsidRPr="001F47E2">
        <w:rPr>
          <w:rFonts w:ascii="Times New Roman" w:eastAsia="Arial Narrow" w:hAnsi="Times New Roman" w:cs="Times New Roman"/>
          <w:color w:val="000000"/>
        </w:rPr>
        <w:t>La presente ley rige a partir de su publicación y deroga cualquier disposición que le sea contraria.</w:t>
      </w:r>
    </w:p>
    <w:p w:rsidR="00B66A27"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D0D11" w:rsidRDefault="000D0D1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D0D11" w:rsidRPr="001F47E2" w:rsidRDefault="000D0D1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Default="00AC7B84">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 los</w:t>
      </w:r>
      <w:r w:rsidR="00477CF4" w:rsidRPr="001F47E2">
        <w:rPr>
          <w:rFonts w:ascii="Times New Roman" w:eastAsia="Times New Roman" w:hAnsi="Times New Roman" w:cs="Times New Roman"/>
          <w:color w:val="000000"/>
        </w:rPr>
        <w:t xml:space="preserve"> suscrito</w:t>
      </w:r>
      <w:r>
        <w:rPr>
          <w:rFonts w:ascii="Times New Roman" w:eastAsia="Times New Roman" w:hAnsi="Times New Roman" w:cs="Times New Roman"/>
          <w:color w:val="000000"/>
        </w:rPr>
        <w:t>s</w:t>
      </w:r>
      <w:r w:rsidR="00477CF4" w:rsidRPr="001F47E2">
        <w:rPr>
          <w:rFonts w:ascii="Times New Roman" w:eastAsia="Times New Roman" w:hAnsi="Times New Roman" w:cs="Times New Roman"/>
          <w:color w:val="000000"/>
        </w:rPr>
        <w:t>,</w:t>
      </w:r>
    </w:p>
    <w:p w:rsidR="000D0D11" w:rsidRDefault="000D0D1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D0D11" w:rsidRDefault="000D0D1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D0D11" w:rsidRDefault="000D0D1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D0D11" w:rsidRPr="001F47E2" w:rsidRDefault="000D0D1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D0D11" w:rsidRDefault="000D0D1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D0D11" w:rsidRPr="001F47E2" w:rsidRDefault="000D0D1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D0D11" w:rsidRPr="001F47E2" w:rsidRDefault="000D0D11" w:rsidP="000D0D11">
      <w:pPr>
        <w:pBdr>
          <w:top w:val="nil"/>
          <w:left w:val="nil"/>
          <w:bottom w:val="nil"/>
          <w:right w:val="nil"/>
          <w:between w:val="nil"/>
        </w:pBdr>
        <w:spacing w:after="0" w:line="240" w:lineRule="auto"/>
        <w:rPr>
          <w:rFonts w:ascii="Times New Roman" w:eastAsia="Times New Roman" w:hAnsi="Times New Roman" w:cs="Times New Roman"/>
          <w:color w:val="000000"/>
        </w:rPr>
      </w:pPr>
      <w:r w:rsidRPr="001F47E2">
        <w:rPr>
          <w:rFonts w:ascii="Times New Roman" w:eastAsia="Times New Roman" w:hAnsi="Times New Roman" w:cs="Times New Roman"/>
          <w:b/>
          <w:color w:val="000000"/>
        </w:rPr>
        <w:t>OSCAR LEONARDO VILLAMIZAR MENESES</w:t>
      </w:r>
      <w:r>
        <w:rPr>
          <w:rFonts w:ascii="Times New Roman" w:eastAsia="Times New Roman" w:hAnsi="Times New Roman" w:cs="Times New Roman"/>
          <w:b/>
          <w:color w:val="000000"/>
        </w:rPr>
        <w:t xml:space="preserve">      JOSE GUSTAVO PADILLA OROZCO</w:t>
      </w:r>
    </w:p>
    <w:p w:rsidR="000D0D11" w:rsidRPr="001F47E2" w:rsidRDefault="000D0D11" w:rsidP="000D0D11">
      <w:pPr>
        <w:pBdr>
          <w:top w:val="nil"/>
          <w:left w:val="nil"/>
          <w:bottom w:val="nil"/>
          <w:right w:val="nil"/>
          <w:between w:val="nil"/>
        </w:pBdr>
        <w:spacing w:after="0" w:line="240" w:lineRule="auto"/>
        <w:rPr>
          <w:rFonts w:ascii="Times New Roman" w:eastAsia="Times New Roman" w:hAnsi="Times New Roman" w:cs="Times New Roman"/>
          <w:color w:val="000000"/>
        </w:rPr>
      </w:pPr>
      <w:r w:rsidRPr="001F47E2">
        <w:rPr>
          <w:rFonts w:ascii="Times New Roman" w:eastAsia="Times New Roman" w:hAnsi="Times New Roman" w:cs="Times New Roman"/>
          <w:color w:val="000000"/>
        </w:rPr>
        <w:t>Representante a la Cámara por Santander</w:t>
      </w:r>
      <w:r>
        <w:rPr>
          <w:rFonts w:ascii="Times New Roman" w:eastAsia="Times New Roman" w:hAnsi="Times New Roman" w:cs="Times New Roman"/>
          <w:color w:val="000000"/>
        </w:rPr>
        <w:t xml:space="preserve">                         Representante a la Cámara Valle del Cauca</w:t>
      </w:r>
    </w:p>
    <w:p w:rsidR="000D0D11" w:rsidRPr="001F47E2" w:rsidRDefault="000D0D11" w:rsidP="000D0D11">
      <w:pPr>
        <w:pBdr>
          <w:top w:val="nil"/>
          <w:left w:val="nil"/>
          <w:bottom w:val="nil"/>
          <w:right w:val="nil"/>
          <w:between w:val="nil"/>
        </w:pBdr>
        <w:spacing w:after="0" w:line="240" w:lineRule="auto"/>
        <w:rPr>
          <w:rFonts w:ascii="Times New Roman" w:eastAsia="Times New Roman" w:hAnsi="Times New Roman" w:cs="Times New Roman"/>
          <w:color w:val="000000"/>
        </w:rPr>
      </w:pPr>
      <w:r w:rsidRPr="001F47E2">
        <w:rPr>
          <w:rFonts w:ascii="Times New Roman" w:eastAsia="Times New Roman" w:hAnsi="Times New Roman" w:cs="Times New Roman"/>
          <w:color w:val="000000"/>
        </w:rPr>
        <w:t>Coordinador Ponente</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Ponente</w:t>
      </w:r>
      <w:proofErr w:type="spellEnd"/>
    </w:p>
    <w:p w:rsidR="00B66A27" w:rsidRPr="001F47E2"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310F5C" w:rsidRPr="001F47E2" w:rsidRDefault="00310F5C" w:rsidP="000D0D11">
      <w:pPr>
        <w:pBdr>
          <w:top w:val="nil"/>
          <w:left w:val="nil"/>
          <w:bottom w:val="nil"/>
          <w:right w:val="nil"/>
          <w:between w:val="nil"/>
        </w:pBdr>
        <w:tabs>
          <w:tab w:val="left" w:pos="975"/>
        </w:tabs>
        <w:spacing w:after="0" w:line="240" w:lineRule="auto"/>
        <w:rPr>
          <w:rFonts w:ascii="Times New Roman" w:eastAsia="Times New Roman" w:hAnsi="Times New Roman" w:cs="Times New Roman"/>
          <w:color w:val="000000"/>
        </w:rPr>
      </w:pPr>
    </w:p>
    <w:sectPr w:rsidR="00310F5C" w:rsidRPr="001F47E2">
      <w:headerReference w:type="even" r:id="rId16"/>
      <w:headerReference w:type="default" r:id="rId17"/>
      <w:footerReference w:type="default" r:id="rId18"/>
      <w:headerReference w:type="first" r:id="rId19"/>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89" w:rsidRDefault="00E61A89">
      <w:pPr>
        <w:spacing w:after="0" w:line="240" w:lineRule="auto"/>
      </w:pPr>
      <w:r>
        <w:separator/>
      </w:r>
    </w:p>
  </w:endnote>
  <w:endnote w:type="continuationSeparator" w:id="0">
    <w:p w:rsidR="00E61A89" w:rsidRDefault="00E6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A27" w:rsidRDefault="00477CF4">
    <w:pPr>
      <w:pBdr>
        <w:top w:val="nil"/>
        <w:left w:val="nil"/>
        <w:bottom w:val="nil"/>
        <w:right w:val="nil"/>
        <w:between w:val="nil"/>
      </w:pBdr>
      <w:tabs>
        <w:tab w:val="left" w:pos="1065"/>
      </w:tabs>
      <w:spacing w:after="0" w:line="240" w:lineRule="auto"/>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89" w:rsidRDefault="00E61A89">
      <w:pPr>
        <w:spacing w:after="0" w:line="240" w:lineRule="auto"/>
      </w:pPr>
      <w:r>
        <w:separator/>
      </w:r>
    </w:p>
  </w:footnote>
  <w:footnote w:type="continuationSeparator" w:id="0">
    <w:p w:rsidR="00E61A89" w:rsidRDefault="00E61A89">
      <w:pPr>
        <w:spacing w:after="0" w:line="240" w:lineRule="auto"/>
      </w:pPr>
      <w:r>
        <w:continuationSeparator/>
      </w:r>
    </w:p>
  </w:footnote>
  <w:footnote w:id="1">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ASAMBLEA NACIONAL CONSTITUYENTE. Constitución Política de Colombia de 1991.</w:t>
      </w:r>
    </w:p>
  </w:footnote>
  <w:footnote w:id="2">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 LOS DERECHOS HUMANOS, Declaración Universal. Asamblea General de las Naciones Unidas. Recuperada el, 1948, vol. 13.</w:t>
      </w:r>
    </w:p>
    <w:p w:rsidR="00B66A27" w:rsidRDefault="00477CF4">
      <w:pPr>
        <w:pBdr>
          <w:top w:val="nil"/>
          <w:left w:val="nil"/>
          <w:bottom w:val="nil"/>
          <w:right w:val="nil"/>
          <w:between w:val="nil"/>
        </w:pBdr>
        <w:spacing w:after="0" w:line="240" w:lineRule="auto"/>
        <w:rPr>
          <w:color w:val="000000"/>
          <w:sz w:val="20"/>
          <w:szCs w:val="20"/>
        </w:rPr>
      </w:pPr>
      <w:r>
        <w:rPr>
          <w:color w:val="000000"/>
          <w:sz w:val="20"/>
          <w:szCs w:val="20"/>
        </w:rPr>
        <w:t>ORTEGA, Luis Gabriel Ferrer. La Convención Internacional sobre la Eliminación de Todas las Formas de Discriminación Racial. Comisión Nacional de los Derechos Humanos, 2015.</w:t>
      </w:r>
    </w:p>
    <w:p w:rsidR="00B66A27" w:rsidRDefault="00477CF4">
      <w:pPr>
        <w:pBdr>
          <w:top w:val="nil"/>
          <w:left w:val="nil"/>
          <w:bottom w:val="nil"/>
          <w:right w:val="nil"/>
          <w:between w:val="nil"/>
        </w:pBdr>
        <w:spacing w:after="0" w:line="240" w:lineRule="auto"/>
        <w:rPr>
          <w:color w:val="000000"/>
          <w:sz w:val="20"/>
          <w:szCs w:val="20"/>
        </w:rPr>
      </w:pPr>
      <w:r>
        <w:rPr>
          <w:color w:val="000000"/>
          <w:sz w:val="20"/>
          <w:szCs w:val="20"/>
        </w:rPr>
        <w:t>HUMANOS, Comité de Derechos. Pacto Internacional de Derechos Civiles y Políticos. Boletín n, 1999, vol. 3, p. 07.</w:t>
      </w:r>
    </w:p>
    <w:p w:rsidR="00B66A27" w:rsidRDefault="00477CF4">
      <w:pPr>
        <w:pBdr>
          <w:top w:val="nil"/>
          <w:left w:val="nil"/>
          <w:bottom w:val="nil"/>
          <w:right w:val="nil"/>
          <w:between w:val="nil"/>
        </w:pBdr>
        <w:spacing w:after="0" w:line="240" w:lineRule="auto"/>
        <w:rPr>
          <w:color w:val="000000"/>
          <w:sz w:val="20"/>
          <w:szCs w:val="20"/>
        </w:rPr>
      </w:pPr>
      <w:r>
        <w:rPr>
          <w:color w:val="000000"/>
          <w:sz w:val="20"/>
          <w:szCs w:val="20"/>
        </w:rPr>
        <w:t>HUMANOS, Convención Americana sobre Derechos. Convención Americana sobre Derechos Humanos. 1969.</w:t>
      </w:r>
    </w:p>
    <w:p w:rsidR="00B66A27" w:rsidRDefault="00477CF4">
      <w:pPr>
        <w:pBdr>
          <w:top w:val="nil"/>
          <w:left w:val="nil"/>
          <w:bottom w:val="nil"/>
          <w:right w:val="nil"/>
          <w:between w:val="nil"/>
        </w:pBdr>
        <w:spacing w:after="0" w:line="240" w:lineRule="auto"/>
        <w:rPr>
          <w:color w:val="000000"/>
          <w:sz w:val="20"/>
          <w:szCs w:val="20"/>
        </w:rPr>
      </w:pPr>
      <w:r>
        <w:rPr>
          <w:color w:val="000000"/>
          <w:sz w:val="20"/>
          <w:szCs w:val="20"/>
        </w:rPr>
        <w:t>ESPAÑOL, UNICEF Comité. Convención sobre los Derechos del Niño. FUNDACIÓN UNICEF-COMITÉ ESPAÑOL, 2016.</w:t>
      </w:r>
    </w:p>
  </w:footnote>
  <w:footnote w:id="3">
    <w:p w:rsidR="00B66A27" w:rsidRPr="00310F5C" w:rsidRDefault="00477CF4">
      <w:pPr>
        <w:pBdr>
          <w:top w:val="nil"/>
          <w:left w:val="nil"/>
          <w:bottom w:val="nil"/>
          <w:right w:val="nil"/>
          <w:between w:val="nil"/>
        </w:pBdr>
        <w:spacing w:after="0" w:line="240" w:lineRule="auto"/>
        <w:rPr>
          <w:color w:val="000000"/>
          <w:sz w:val="20"/>
          <w:szCs w:val="20"/>
          <w:lang w:val="en-US"/>
        </w:rPr>
      </w:pPr>
      <w:r>
        <w:rPr>
          <w:vertAlign w:val="superscript"/>
        </w:rPr>
        <w:footnoteRef/>
      </w:r>
      <w:r w:rsidRPr="00310F5C">
        <w:rPr>
          <w:color w:val="000000"/>
          <w:sz w:val="20"/>
          <w:szCs w:val="20"/>
          <w:lang w:val="en-US"/>
        </w:rPr>
        <w:t xml:space="preserve"> BREEN, Claire. International human rights law. 2014.</w:t>
      </w:r>
    </w:p>
  </w:footnote>
  <w:footnote w:id="4">
    <w:p w:rsidR="00B66A27" w:rsidRPr="00310F5C" w:rsidRDefault="00477CF4">
      <w:pPr>
        <w:pBdr>
          <w:top w:val="nil"/>
          <w:left w:val="nil"/>
          <w:bottom w:val="nil"/>
          <w:right w:val="nil"/>
          <w:between w:val="nil"/>
        </w:pBdr>
        <w:spacing w:after="0" w:line="240" w:lineRule="auto"/>
        <w:rPr>
          <w:color w:val="000000"/>
          <w:sz w:val="20"/>
          <w:szCs w:val="20"/>
          <w:lang w:val="en-US"/>
        </w:rPr>
      </w:pPr>
      <w:r>
        <w:rPr>
          <w:vertAlign w:val="superscript"/>
        </w:rPr>
        <w:footnoteRef/>
      </w:r>
      <w:r>
        <w:rPr>
          <w:color w:val="000000"/>
          <w:sz w:val="20"/>
          <w:szCs w:val="20"/>
        </w:rPr>
        <w:t xml:space="preserve"> DE DERECHOS HUMANOS, Comité. Observación general No. 31 [80] Naturaleza de la obligación jurídica general impuesta a los Estados Partes en el Pacto. </w:t>
      </w:r>
      <w:r w:rsidRPr="00310F5C">
        <w:rPr>
          <w:color w:val="000000"/>
          <w:sz w:val="20"/>
          <w:szCs w:val="20"/>
          <w:lang w:val="en-US"/>
        </w:rPr>
        <w:t>CPR/C/21/Rev/1/Add. 13, http://tb.ohchr.org/default.aspx, 2004.</w:t>
      </w:r>
    </w:p>
  </w:footnote>
  <w:footnote w:id="5">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ASAMBLEA NACIONAL CONSTITUYENTE. Constitución Política de Colombia de 1991.</w:t>
      </w:r>
    </w:p>
  </w:footnote>
  <w:footnote w:id="6">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CONSTITUCIONAL, Corte. Sentencia C-179 de 1994. MP. Carlos Gaviria Díaz, 1994.</w:t>
      </w:r>
    </w:p>
  </w:footnote>
  <w:footnote w:id="7">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ASAMBLEA NACIONAL CONSTITUYENTE. Constitución Política de Colombia de 1991.</w:t>
      </w:r>
    </w:p>
  </w:footnote>
  <w:footnote w:id="8">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CONSTITUCIONAL, Corte. Sentencia C-742, MP María Victoria Calle Correa. 2012.</w:t>
      </w:r>
    </w:p>
  </w:footnote>
  <w:footnote w:id="9">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OCHOA, Francisco </w:t>
      </w:r>
      <w:proofErr w:type="spellStart"/>
      <w:r>
        <w:rPr>
          <w:color w:val="000000"/>
          <w:sz w:val="20"/>
          <w:szCs w:val="20"/>
        </w:rPr>
        <w:t>Bernate</w:t>
      </w:r>
      <w:proofErr w:type="spellEnd"/>
      <w:r>
        <w:rPr>
          <w:color w:val="000000"/>
          <w:sz w:val="20"/>
          <w:szCs w:val="20"/>
        </w:rPr>
        <w:t>. Análisis jurisprudencial Corte Constitucional. Sentencia C-181 del 13 de abril de 2016. Global Iure, 2017, vol. 5, pp. 213-228.</w:t>
      </w:r>
    </w:p>
  </w:footnote>
  <w:footnote w:id="10">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CEREZO MIR, José. Los delitos de peligro abstracto en el ámbito del derecho penal del riesgo. 2002.</w:t>
      </w:r>
    </w:p>
  </w:footnote>
  <w:footnote w:id="11">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DAZA, Germán Alfonso López. La protesta social y el derecho de terceros. Revista Jurídica </w:t>
      </w:r>
      <w:proofErr w:type="spellStart"/>
      <w:r>
        <w:rPr>
          <w:color w:val="000000"/>
          <w:sz w:val="20"/>
          <w:szCs w:val="20"/>
        </w:rPr>
        <w:t>Piélagus</w:t>
      </w:r>
      <w:proofErr w:type="spellEnd"/>
      <w:r>
        <w:rPr>
          <w:color w:val="000000"/>
          <w:sz w:val="20"/>
          <w:szCs w:val="20"/>
        </w:rPr>
        <w:t>, 2017, vol. 16, no. 1, pp. 7-8.</w:t>
      </w:r>
    </w:p>
  </w:footnote>
  <w:footnote w:id="12">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LA PAZ, Alto Comisionado. Acuerdo final para la terminación del conflicto y la construcción de una paz estable y duradera. Gobierno Nacional de Colombia, 2016.</w:t>
      </w:r>
    </w:p>
  </w:footnote>
  <w:footnote w:id="13">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HERNÁNDEZ, José Gregorio. Protesta y vandalismo: ¿Cómo permitir la una y evitar el otro? Razón Pública, 2018, 26 de noviembre.</w:t>
      </w:r>
    </w:p>
  </w:footnote>
  <w:footnote w:id="14">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Cadena, Miguel Ángel. (2006). LA ACCIÓN COLECTIVA VIOLENTA EN COLOMBIA. Papel Político, 11(2), 807-811. </w:t>
      </w:r>
      <w:proofErr w:type="spellStart"/>
      <w:r>
        <w:rPr>
          <w:color w:val="000000"/>
          <w:sz w:val="20"/>
          <w:szCs w:val="20"/>
        </w:rPr>
        <w:t>Retrieved</w:t>
      </w:r>
      <w:proofErr w:type="spellEnd"/>
      <w:r>
        <w:rPr>
          <w:color w:val="000000"/>
          <w:sz w:val="20"/>
          <w:szCs w:val="20"/>
        </w:rPr>
        <w:t xml:space="preserve"> </w:t>
      </w:r>
      <w:proofErr w:type="spellStart"/>
      <w:r>
        <w:rPr>
          <w:color w:val="000000"/>
          <w:sz w:val="20"/>
          <w:szCs w:val="20"/>
        </w:rPr>
        <w:t>November</w:t>
      </w:r>
      <w:proofErr w:type="spellEnd"/>
      <w:r>
        <w:rPr>
          <w:color w:val="000000"/>
          <w:sz w:val="20"/>
          <w:szCs w:val="20"/>
        </w:rPr>
        <w:t xml:space="preserve"> 23, 2018, </w:t>
      </w:r>
      <w:proofErr w:type="spellStart"/>
      <w:r>
        <w:rPr>
          <w:color w:val="000000"/>
          <w:sz w:val="20"/>
          <w:szCs w:val="20"/>
        </w:rPr>
        <w:t>from</w:t>
      </w:r>
      <w:proofErr w:type="spellEnd"/>
      <w:r>
        <w:rPr>
          <w:color w:val="000000"/>
          <w:sz w:val="20"/>
          <w:szCs w:val="20"/>
        </w:rPr>
        <w:t xml:space="preserve"> http://www.scielo.org.co/scielo.php?script=sci_arttext&amp;pid=S0122-44092006000200011&amp;lng=en&amp;tlng=es.</w:t>
      </w:r>
    </w:p>
  </w:footnote>
  <w:footnote w:id="15">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REINARES, Fernando; ELORZA, Antonio. El nuevo terrorismo islamista: del 11-S al 11-M. temas de hoy, 2004.</w:t>
      </w:r>
    </w:p>
  </w:footnote>
  <w:footnote w:id="16">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Cadena, Miguel Ángel. (2006). LA ACCIÓN COLECTIVA VIOLENTA EN COLOMBIA. Papel Político, 11(2), 807-811. </w:t>
      </w:r>
      <w:proofErr w:type="spellStart"/>
      <w:r>
        <w:rPr>
          <w:color w:val="000000"/>
          <w:sz w:val="20"/>
          <w:szCs w:val="20"/>
        </w:rPr>
        <w:t>Retrieved</w:t>
      </w:r>
      <w:proofErr w:type="spellEnd"/>
      <w:r>
        <w:rPr>
          <w:color w:val="000000"/>
          <w:sz w:val="20"/>
          <w:szCs w:val="20"/>
        </w:rPr>
        <w:t xml:space="preserve"> </w:t>
      </w:r>
      <w:proofErr w:type="spellStart"/>
      <w:r>
        <w:rPr>
          <w:color w:val="000000"/>
          <w:sz w:val="20"/>
          <w:szCs w:val="20"/>
        </w:rPr>
        <w:t>November</w:t>
      </w:r>
      <w:proofErr w:type="spellEnd"/>
      <w:r>
        <w:rPr>
          <w:color w:val="000000"/>
          <w:sz w:val="20"/>
          <w:szCs w:val="20"/>
        </w:rPr>
        <w:t xml:space="preserve"> 23, 2018, </w:t>
      </w:r>
      <w:proofErr w:type="spellStart"/>
      <w:r>
        <w:rPr>
          <w:color w:val="000000"/>
          <w:sz w:val="20"/>
          <w:szCs w:val="20"/>
        </w:rPr>
        <w:t>from</w:t>
      </w:r>
      <w:proofErr w:type="spellEnd"/>
      <w:r>
        <w:rPr>
          <w:color w:val="000000"/>
          <w:sz w:val="20"/>
          <w:szCs w:val="20"/>
        </w:rPr>
        <w:t xml:space="preserve"> http://www.scielo.org.co/scielo.php?script=sci_arttext&amp;pid=S0122-44092006000200011&amp;lng=en&amp;tlng=es.</w:t>
      </w:r>
    </w:p>
  </w:footnote>
  <w:footnote w:id="17">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Adang</w:t>
      </w:r>
      <w:proofErr w:type="spellEnd"/>
      <w:r>
        <w:rPr>
          <w:color w:val="000000"/>
          <w:sz w:val="20"/>
          <w:szCs w:val="20"/>
        </w:rPr>
        <w:t>, Otto. (2012). Inicio y escalada de la violencia colectiva: un estudio de observación comparada entre las protestas y los eventos de fútbol. Cuadernos de Seguridad (Instituto Nacional de Estudios Estratégicos de la Seguridad Ministerio de Seguridad - República Argentina). 113-147.</w:t>
      </w:r>
    </w:p>
  </w:footnote>
  <w:footnote w:id="18">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Ibid</w:t>
      </w:r>
      <w:proofErr w:type="spellEnd"/>
      <w:r>
        <w:rPr>
          <w:color w:val="000000"/>
          <w:sz w:val="20"/>
          <w:szCs w:val="20"/>
        </w:rPr>
        <w:t>.</w:t>
      </w:r>
    </w:p>
  </w:footnote>
  <w:footnote w:id="19">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NEIRA, Mauricio Archila. Reglamentar la protesta social: Pero ¿cómo? Razón Pública, 2018, 23 de julio.</w:t>
      </w:r>
    </w:p>
  </w:footnote>
  <w:footnote w:id="20">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Ibid</w:t>
      </w:r>
      <w:proofErr w:type="spellEnd"/>
      <w:r>
        <w:rPr>
          <w:color w:val="000000"/>
          <w:sz w:val="20"/>
          <w:szCs w:val="20"/>
        </w:rPr>
        <w:t>.</w:t>
      </w:r>
    </w:p>
  </w:footnote>
  <w:footnote w:id="21">
    <w:p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MORALES, Johnny Gutiérrez. Colombia es el país de las manifestaciones. Las 2 Orillas, 2014, 24 de agosto.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A27" w:rsidRDefault="00477CF4">
    <w:pPr>
      <w:pBdr>
        <w:top w:val="nil"/>
        <w:left w:val="nil"/>
        <w:bottom w:val="nil"/>
        <w:right w:val="nil"/>
        <w:between w:val="nil"/>
      </w:pBdr>
      <w:spacing w:after="0" w:line="240" w:lineRule="auto"/>
      <w:rPr>
        <w:color w:val="000000"/>
      </w:rPr>
    </w:pPr>
    <w:r>
      <w:rPr>
        <w:noProof/>
        <w:color w:val="000000"/>
        <w:lang w:eastAsia="es-CO"/>
      </w:rPr>
      <w:drawing>
        <wp:anchor distT="0" distB="0" distL="0" distR="0" simplePos="0" relativeHeight="251661312" behindDoc="1" locked="0" layoutInCell="1" hidden="0" allowOverlap="1">
          <wp:simplePos x="0" y="0"/>
          <wp:positionH relativeFrom="leftMargin">
            <wp:align>center</wp:align>
          </wp:positionH>
          <wp:positionV relativeFrom="topMargin">
            <wp:align>center</wp:align>
          </wp:positionV>
          <wp:extent cx="3232785" cy="30359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32785" cy="303593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A27" w:rsidRDefault="00477CF4">
    <w:pPr>
      <w:pBdr>
        <w:top w:val="nil"/>
        <w:left w:val="nil"/>
        <w:bottom w:val="nil"/>
        <w:right w:val="nil"/>
        <w:between w:val="nil"/>
      </w:pBdr>
      <w:spacing w:after="0" w:line="240" w:lineRule="auto"/>
      <w:rPr>
        <w:color w:val="000000"/>
      </w:rPr>
    </w:pPr>
    <w:r>
      <w:rPr>
        <w:noProof/>
        <w:lang w:eastAsia="es-CO"/>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-428624</wp:posOffset>
          </wp:positionV>
          <wp:extent cx="7620000" cy="1228725"/>
          <wp:effectExtent l="0" t="0" r="0" b="0"/>
          <wp:wrapSquare wrapText="bothSides" distT="0" distB="0" distL="114300" distR="11430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620000" cy="122872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A27" w:rsidRDefault="00477CF4">
    <w:pPr>
      <w:pBdr>
        <w:top w:val="nil"/>
        <w:left w:val="nil"/>
        <w:bottom w:val="nil"/>
        <w:right w:val="nil"/>
        <w:between w:val="nil"/>
      </w:pBdr>
      <w:spacing w:after="0" w:line="240" w:lineRule="auto"/>
      <w:rPr>
        <w:color w:val="000000"/>
      </w:rPr>
    </w:pPr>
    <w:r>
      <w:rPr>
        <w:noProof/>
        <w:color w:val="000000"/>
        <w:lang w:eastAsia="es-CO"/>
      </w:rPr>
      <w:drawing>
        <wp:anchor distT="0" distB="0" distL="0" distR="0" simplePos="0" relativeHeight="251660288" behindDoc="1" locked="0" layoutInCell="1" hidden="0" allowOverlap="1">
          <wp:simplePos x="0" y="0"/>
          <wp:positionH relativeFrom="leftMargin">
            <wp:align>center</wp:align>
          </wp:positionH>
          <wp:positionV relativeFrom="topMargin">
            <wp:align>center</wp:align>
          </wp:positionV>
          <wp:extent cx="3232785" cy="303593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232785" cy="303593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749D1"/>
    <w:multiLevelType w:val="multilevel"/>
    <w:tmpl w:val="11DA5F8E"/>
    <w:lvl w:ilvl="0">
      <w:start w:val="1"/>
      <w:numFmt w:val="upperRoman"/>
      <w:lvlText w:val="%1."/>
      <w:lvlJc w:val="right"/>
      <w:pPr>
        <w:ind w:left="720" w:hanging="360"/>
      </w:pPr>
      <w:rPr>
        <w:b/>
        <w:color w:val="365F9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BAE66AF"/>
    <w:multiLevelType w:val="multilevel"/>
    <w:tmpl w:val="215AFD8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46C77F7E"/>
    <w:multiLevelType w:val="multilevel"/>
    <w:tmpl w:val="D4CC47DC"/>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A27"/>
    <w:rsid w:val="000D0D11"/>
    <w:rsid w:val="0018163A"/>
    <w:rsid w:val="001F47E2"/>
    <w:rsid w:val="00310F5C"/>
    <w:rsid w:val="00477CF4"/>
    <w:rsid w:val="004F4652"/>
    <w:rsid w:val="00517408"/>
    <w:rsid w:val="00541733"/>
    <w:rsid w:val="006D70F9"/>
    <w:rsid w:val="0089166B"/>
    <w:rsid w:val="008E7E93"/>
    <w:rsid w:val="008F54B9"/>
    <w:rsid w:val="00AC7B84"/>
    <w:rsid w:val="00B66A27"/>
    <w:rsid w:val="00E61A89"/>
    <w:rsid w:val="00F7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174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7408"/>
    <w:rPr>
      <w:rFonts w:ascii="Tahoma" w:hAnsi="Tahoma" w:cs="Tahoma"/>
      <w:sz w:val="16"/>
      <w:szCs w:val="16"/>
    </w:rPr>
  </w:style>
  <w:style w:type="paragraph" w:styleId="Piedepgina">
    <w:name w:val="footer"/>
    <w:basedOn w:val="Normal"/>
    <w:link w:val="PiedepginaCar"/>
    <w:uiPriority w:val="99"/>
    <w:unhideWhenUsed/>
    <w:rsid w:val="000D0D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D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174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7408"/>
    <w:rPr>
      <w:rFonts w:ascii="Tahoma" w:hAnsi="Tahoma" w:cs="Tahoma"/>
      <w:sz w:val="16"/>
      <w:szCs w:val="16"/>
    </w:rPr>
  </w:style>
  <w:style w:type="paragraph" w:styleId="Piedepgina">
    <w:name w:val="footer"/>
    <w:basedOn w:val="Normal"/>
    <w:link w:val="PiedepginaCar"/>
    <w:uiPriority w:val="99"/>
    <w:unhideWhenUsed/>
    <w:rsid w:val="000D0D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mara.gov.co/representantes/luis-alberto-alban-urba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amara.gov.co/representantes/carlos-german-navas-taler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mara.gov.co/representantes/inti-raul-asprilla-reyes"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www.camara.gov.co/representantes/jaime-rodriguez-contreras"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camara.gov.co/representantes/john-jairo-hoyos-garcia" TargetMode="External"/><Relationship Id="rId14" Type="http://schemas.openxmlformats.org/officeDocument/2006/relationships/hyperlink" Target="https://www.camara.gov.co/representantes/angela-maria-robledo-gome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7E8D4-9484-4461-B8A7-5BE7AE7B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7357</Words>
  <Characters>40465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Edisson Cespedes</dc:creator>
  <cp:lastModifiedBy>TATIANA</cp:lastModifiedBy>
  <cp:revision>3</cp:revision>
  <cp:lastPrinted>2021-03-11T19:22:00Z</cp:lastPrinted>
  <dcterms:created xsi:type="dcterms:W3CDTF">2021-03-10T22:23:00Z</dcterms:created>
  <dcterms:modified xsi:type="dcterms:W3CDTF">2021-03-11T19:23:00Z</dcterms:modified>
</cp:coreProperties>
</file>