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F42D0" w:rsidRDefault="000B2A8E">
      <w:pPr>
        <w:spacing w:after="0"/>
        <w:jc w:val="center"/>
        <w:rPr>
          <w:rFonts w:ascii="Arial" w:eastAsia="Arial" w:hAnsi="Arial" w:cs="Arial"/>
          <w:b/>
        </w:rPr>
      </w:pPr>
      <w:r>
        <w:rPr>
          <w:rFonts w:ascii="Arial" w:eastAsia="Arial" w:hAnsi="Arial" w:cs="Arial"/>
          <w:b/>
        </w:rPr>
        <w:t xml:space="preserve">INFORME DE PONENCIA NEGATIVA PARA PRIMER DEBATE DE PROYECTO DE LEY 411 DE 2020 CÁMARA </w:t>
      </w:r>
      <w:r>
        <w:rPr>
          <w:rFonts w:ascii="Arial" w:eastAsia="Arial" w:hAnsi="Arial" w:cs="Arial"/>
          <w:b/>
          <w:i/>
        </w:rPr>
        <w:t>“POR MEDIO DE LA CUAL SE DICTAN MEDIDAS PARA LA PREVENCIÓN Y SANCIÓN DE LOS ABUSOS EN LA ACTIVIDAD DE POLICÍA”</w:t>
      </w:r>
    </w:p>
    <w:p w:rsidR="009F42D0" w:rsidRDefault="009F42D0">
      <w:pPr>
        <w:spacing w:after="0"/>
        <w:jc w:val="both"/>
        <w:rPr>
          <w:rFonts w:ascii="Arial" w:eastAsia="Arial" w:hAnsi="Arial" w:cs="Arial"/>
          <w:b/>
        </w:rPr>
      </w:pP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 xml:space="preserve">Bogotá D.C., 18 de noviembre de 2020 </w:t>
      </w: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 xml:space="preserve">Doctor  </w:t>
      </w:r>
    </w:p>
    <w:p w:rsidR="009F42D0" w:rsidRDefault="000B2A8E">
      <w:pPr>
        <w:spacing w:after="0"/>
        <w:jc w:val="both"/>
        <w:rPr>
          <w:rFonts w:ascii="Arial" w:eastAsia="Arial" w:hAnsi="Arial" w:cs="Arial"/>
          <w:b/>
        </w:rPr>
      </w:pPr>
      <w:r>
        <w:rPr>
          <w:rFonts w:ascii="Arial" w:eastAsia="Arial" w:hAnsi="Arial" w:cs="Arial"/>
          <w:b/>
        </w:rPr>
        <w:t>ALFREDO DELUQUE</w:t>
      </w:r>
    </w:p>
    <w:p w:rsidR="009F42D0" w:rsidRDefault="000B2A8E">
      <w:pPr>
        <w:spacing w:after="0"/>
        <w:jc w:val="both"/>
        <w:rPr>
          <w:rFonts w:ascii="Arial" w:eastAsia="Arial" w:hAnsi="Arial" w:cs="Arial"/>
        </w:rPr>
      </w:pPr>
      <w:r>
        <w:rPr>
          <w:rFonts w:ascii="Arial" w:eastAsia="Arial" w:hAnsi="Arial" w:cs="Arial"/>
        </w:rPr>
        <w:t xml:space="preserve">Presidente Comisión Primera </w:t>
      </w:r>
    </w:p>
    <w:p w:rsidR="009F42D0" w:rsidRDefault="000B2A8E">
      <w:pPr>
        <w:spacing w:after="0"/>
        <w:jc w:val="both"/>
        <w:rPr>
          <w:rFonts w:ascii="Arial" w:eastAsia="Arial" w:hAnsi="Arial" w:cs="Arial"/>
        </w:rPr>
      </w:pPr>
      <w:r>
        <w:rPr>
          <w:rFonts w:ascii="Arial" w:eastAsia="Arial" w:hAnsi="Arial" w:cs="Arial"/>
        </w:rPr>
        <w:t>Cámara de Representantes</w:t>
      </w:r>
    </w:p>
    <w:p w:rsidR="009F42D0" w:rsidRDefault="000B2A8E">
      <w:pPr>
        <w:spacing w:after="0"/>
        <w:jc w:val="both"/>
        <w:rPr>
          <w:rFonts w:ascii="Arial" w:eastAsia="Arial" w:hAnsi="Arial" w:cs="Arial"/>
        </w:rPr>
      </w:pPr>
      <w:r>
        <w:rPr>
          <w:rFonts w:ascii="Arial" w:eastAsia="Arial" w:hAnsi="Arial" w:cs="Arial"/>
        </w:rPr>
        <w:t xml:space="preserve">Ciudad </w:t>
      </w: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b/>
        </w:rPr>
      </w:pPr>
    </w:p>
    <w:p w:rsidR="009F42D0" w:rsidRDefault="000B2A8E">
      <w:pPr>
        <w:spacing w:after="0"/>
        <w:jc w:val="both"/>
        <w:rPr>
          <w:rFonts w:ascii="Arial" w:eastAsia="Arial" w:hAnsi="Arial" w:cs="Arial"/>
          <w:b/>
        </w:rPr>
      </w:pPr>
      <w:r>
        <w:rPr>
          <w:rFonts w:ascii="Arial" w:eastAsia="Arial" w:hAnsi="Arial" w:cs="Arial"/>
          <w:b/>
          <w:i/>
        </w:rPr>
        <w:t>Referencia:</w:t>
      </w:r>
      <w:r>
        <w:rPr>
          <w:rFonts w:ascii="Arial" w:eastAsia="Arial" w:hAnsi="Arial" w:cs="Arial"/>
          <w:b/>
        </w:rPr>
        <w:t xml:space="preserve"> </w:t>
      </w:r>
      <w:r>
        <w:rPr>
          <w:rFonts w:ascii="Arial" w:eastAsia="Arial" w:hAnsi="Arial" w:cs="Arial"/>
          <w:i/>
        </w:rPr>
        <w:t xml:space="preserve">informe de </w:t>
      </w:r>
      <w:r>
        <w:rPr>
          <w:rFonts w:ascii="Arial" w:eastAsia="Arial" w:hAnsi="Arial" w:cs="Arial"/>
          <w:b/>
          <w:i/>
        </w:rPr>
        <w:t xml:space="preserve">Ponencia negativa </w:t>
      </w:r>
      <w:r>
        <w:rPr>
          <w:rFonts w:ascii="Arial" w:eastAsia="Arial" w:hAnsi="Arial" w:cs="Arial"/>
          <w:b/>
        </w:rPr>
        <w:t xml:space="preserve">para proyecto de ley 411 de 2020 cámara </w:t>
      </w:r>
      <w:r>
        <w:rPr>
          <w:rFonts w:ascii="Arial" w:eastAsia="Arial" w:hAnsi="Arial" w:cs="Arial"/>
          <w:b/>
          <w:i/>
        </w:rPr>
        <w:t>“por medio de la cual se dictan medidas para la prevención y sanción de los abusos en la activi</w:t>
      </w:r>
      <w:r>
        <w:rPr>
          <w:rFonts w:ascii="Arial" w:eastAsia="Arial" w:hAnsi="Arial" w:cs="Arial"/>
          <w:b/>
          <w:i/>
        </w:rPr>
        <w:t>dad de policía”</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b/>
        </w:rPr>
      </w:pPr>
      <w:r>
        <w:rPr>
          <w:rFonts w:ascii="Arial" w:eastAsia="Arial" w:hAnsi="Arial" w:cs="Arial"/>
        </w:rPr>
        <w:t xml:space="preserve">En cumplimiento de la designación por usted encomendada, nos permitimos rendir informe de Ponencia Negativa, para primer debate en Comisión Primera de la Cámara de Representantes al </w:t>
      </w:r>
      <w:r>
        <w:rPr>
          <w:rFonts w:ascii="Arial" w:eastAsia="Arial" w:hAnsi="Arial" w:cs="Arial"/>
          <w:b/>
        </w:rPr>
        <w:t xml:space="preserve">PROYECTO de ley 411 de 2020 cámara </w:t>
      </w:r>
      <w:r>
        <w:rPr>
          <w:rFonts w:ascii="Arial" w:eastAsia="Arial" w:hAnsi="Arial" w:cs="Arial"/>
          <w:b/>
          <w:i/>
        </w:rPr>
        <w:t xml:space="preserve">“por medio de la cual </w:t>
      </w:r>
      <w:r>
        <w:rPr>
          <w:rFonts w:ascii="Arial" w:eastAsia="Arial" w:hAnsi="Arial" w:cs="Arial"/>
          <w:b/>
          <w:i/>
        </w:rPr>
        <w:t>se dictan medidas para la prevención y sanción de los abusos en la actividad de policía”</w:t>
      </w:r>
    </w:p>
    <w:p w:rsidR="009F42D0" w:rsidRDefault="009F42D0">
      <w:pPr>
        <w:spacing w:after="0"/>
        <w:jc w:val="both"/>
        <w:rPr>
          <w:rFonts w:ascii="Arial" w:eastAsia="Arial" w:hAnsi="Arial" w:cs="Arial"/>
          <w:b/>
        </w:rPr>
      </w:pP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Cordialmente,</w:t>
      </w: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b/>
        </w:rPr>
      </w:pPr>
      <w:r>
        <w:rPr>
          <w:rFonts w:ascii="Arial" w:eastAsia="Arial" w:hAnsi="Arial" w:cs="Arial"/>
          <w:b/>
        </w:rPr>
        <w:t xml:space="preserve">                                                                                             </w:t>
      </w:r>
    </w:p>
    <w:p w:rsidR="009F42D0" w:rsidRDefault="000B2A8E">
      <w:pPr>
        <w:spacing w:after="0"/>
        <w:jc w:val="both"/>
        <w:rPr>
          <w:rFonts w:ascii="Arial" w:eastAsia="Arial" w:hAnsi="Arial" w:cs="Arial"/>
          <w:b/>
        </w:rPr>
      </w:pPr>
      <w:r>
        <w:rPr>
          <w:rFonts w:ascii="Arial" w:eastAsia="Arial" w:hAnsi="Arial" w:cs="Arial"/>
          <w:b/>
        </w:rPr>
        <w:t>JORGE ENRIQUE BURGOS</w:t>
      </w:r>
      <w:r>
        <w:rPr>
          <w:rFonts w:ascii="Arial" w:eastAsia="Arial" w:hAnsi="Arial" w:cs="Arial"/>
        </w:rPr>
        <w:t xml:space="preserve">                                  </w:t>
      </w:r>
      <w:r>
        <w:rPr>
          <w:rFonts w:ascii="Arial" w:eastAsia="Arial" w:hAnsi="Arial" w:cs="Arial"/>
        </w:rPr>
        <w:t xml:space="preserve">            </w:t>
      </w:r>
      <w:r>
        <w:rPr>
          <w:rFonts w:ascii="Arial" w:eastAsia="Arial" w:hAnsi="Arial" w:cs="Arial"/>
          <w:b/>
        </w:rPr>
        <w:t xml:space="preserve">ÁLVARO HERNÁN PRADA                                          </w:t>
      </w:r>
    </w:p>
    <w:p w:rsidR="009F42D0" w:rsidRDefault="000B2A8E">
      <w:pPr>
        <w:spacing w:after="0"/>
        <w:jc w:val="both"/>
        <w:rPr>
          <w:rFonts w:ascii="Arial" w:eastAsia="Arial" w:hAnsi="Arial" w:cs="Arial"/>
        </w:rPr>
      </w:pPr>
      <w:r>
        <w:rPr>
          <w:rFonts w:ascii="Arial" w:eastAsia="Arial" w:hAnsi="Arial" w:cs="Arial"/>
        </w:rPr>
        <w:t>Ponente Coordinador                                                           Ponente</w:t>
      </w: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b/>
        </w:rPr>
      </w:pPr>
    </w:p>
    <w:p w:rsidR="009F42D0" w:rsidRDefault="009F42D0">
      <w:pPr>
        <w:spacing w:after="0"/>
        <w:jc w:val="both"/>
        <w:rPr>
          <w:rFonts w:ascii="Arial" w:eastAsia="Arial" w:hAnsi="Arial" w:cs="Arial"/>
          <w:b/>
        </w:rPr>
      </w:pPr>
    </w:p>
    <w:p w:rsidR="009F42D0" w:rsidRDefault="009F42D0">
      <w:pPr>
        <w:spacing w:after="0"/>
        <w:jc w:val="center"/>
        <w:rPr>
          <w:rFonts w:ascii="Arial" w:eastAsia="Arial" w:hAnsi="Arial" w:cs="Arial"/>
          <w:b/>
        </w:rPr>
      </w:pPr>
    </w:p>
    <w:p w:rsidR="009F42D0" w:rsidRDefault="009F42D0">
      <w:pPr>
        <w:spacing w:after="0"/>
        <w:jc w:val="center"/>
        <w:rPr>
          <w:rFonts w:ascii="Arial" w:eastAsia="Arial" w:hAnsi="Arial" w:cs="Arial"/>
          <w:b/>
        </w:rPr>
      </w:pPr>
    </w:p>
    <w:p w:rsidR="009F42D0" w:rsidRDefault="009F42D0">
      <w:pPr>
        <w:spacing w:after="0"/>
        <w:jc w:val="center"/>
        <w:rPr>
          <w:rFonts w:ascii="Arial" w:eastAsia="Arial" w:hAnsi="Arial" w:cs="Arial"/>
          <w:b/>
        </w:rPr>
      </w:pPr>
    </w:p>
    <w:p w:rsidR="009F42D0" w:rsidRDefault="009F42D0">
      <w:pPr>
        <w:spacing w:after="0"/>
        <w:jc w:val="center"/>
        <w:rPr>
          <w:rFonts w:ascii="Arial" w:eastAsia="Arial" w:hAnsi="Arial" w:cs="Arial"/>
          <w:b/>
        </w:rPr>
      </w:pPr>
    </w:p>
    <w:p w:rsidR="009F42D0" w:rsidRDefault="009F42D0">
      <w:pPr>
        <w:spacing w:after="0"/>
        <w:jc w:val="center"/>
        <w:rPr>
          <w:rFonts w:ascii="Arial" w:eastAsia="Arial" w:hAnsi="Arial" w:cs="Arial"/>
          <w:b/>
        </w:rPr>
      </w:pPr>
    </w:p>
    <w:p w:rsidR="009F42D0" w:rsidRDefault="000B2A8E">
      <w:pPr>
        <w:spacing w:after="0"/>
        <w:jc w:val="center"/>
        <w:rPr>
          <w:rFonts w:ascii="Arial" w:eastAsia="Arial" w:hAnsi="Arial" w:cs="Arial"/>
          <w:b/>
        </w:rPr>
      </w:pPr>
      <w:r>
        <w:rPr>
          <w:rFonts w:ascii="Arial" w:eastAsia="Arial" w:hAnsi="Arial" w:cs="Arial"/>
          <w:b/>
        </w:rPr>
        <w:t>JUAN CARLOS WILLS</w:t>
      </w:r>
    </w:p>
    <w:p w:rsidR="009F42D0" w:rsidRDefault="000B2A8E">
      <w:pPr>
        <w:spacing w:after="0"/>
        <w:jc w:val="center"/>
        <w:rPr>
          <w:rFonts w:ascii="Arial" w:eastAsia="Arial" w:hAnsi="Arial" w:cs="Arial"/>
        </w:rPr>
      </w:pPr>
      <w:r>
        <w:rPr>
          <w:rFonts w:ascii="Arial" w:eastAsia="Arial" w:hAnsi="Arial" w:cs="Arial"/>
        </w:rPr>
        <w:t>Ponente</w:t>
      </w: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 xml:space="preserve">                    </w:t>
      </w:r>
    </w:p>
    <w:p w:rsidR="009F42D0" w:rsidRDefault="000B2A8E">
      <w:pPr>
        <w:numPr>
          <w:ilvl w:val="0"/>
          <w:numId w:val="2"/>
        </w:numPr>
        <w:spacing w:after="0"/>
        <w:ind w:hanging="360"/>
        <w:contextualSpacing/>
        <w:jc w:val="both"/>
        <w:rPr>
          <w:rFonts w:ascii="Arial" w:eastAsia="Arial" w:hAnsi="Arial" w:cs="Arial"/>
        </w:rPr>
      </w:pPr>
      <w:r>
        <w:rPr>
          <w:rFonts w:ascii="Arial" w:eastAsia="Arial" w:hAnsi="Arial" w:cs="Arial"/>
          <w:b/>
        </w:rPr>
        <w:t>TRÁMITE LEGISLATIVO</w:t>
      </w:r>
    </w:p>
    <w:p w:rsidR="009F42D0" w:rsidRDefault="009F42D0">
      <w:pPr>
        <w:spacing w:after="0"/>
        <w:jc w:val="both"/>
        <w:rPr>
          <w:rFonts w:ascii="Arial" w:eastAsia="Arial" w:hAnsi="Arial" w:cs="Arial"/>
          <w:b/>
        </w:rPr>
      </w:pPr>
    </w:p>
    <w:p w:rsidR="009F42D0" w:rsidRDefault="000B2A8E">
      <w:pPr>
        <w:spacing w:after="0"/>
        <w:jc w:val="both"/>
        <w:rPr>
          <w:rFonts w:ascii="Arial" w:eastAsia="Arial" w:hAnsi="Arial" w:cs="Arial"/>
          <w:b/>
        </w:rPr>
      </w:pPr>
      <w:r>
        <w:rPr>
          <w:rFonts w:ascii="Arial" w:eastAsia="Arial" w:hAnsi="Arial" w:cs="Arial"/>
        </w:rPr>
        <w:t>El presente proyecto de ley fue radicado en la secretaria de Cámara de Representantes el 11 de septiembre de 2020, por los Honorables Senadores</w:t>
      </w:r>
      <w:r>
        <w:rPr>
          <w:rFonts w:ascii="Arial" w:eastAsia="Arial" w:hAnsi="Arial" w:cs="Arial"/>
          <w:shd w:val="clear" w:color="auto" w:fill="F2F2F2"/>
        </w:rPr>
        <w:t xml:space="preserve"> </w:t>
      </w:r>
      <w:hyperlink r:id="rId7">
        <w:r>
          <w:rPr>
            <w:rFonts w:ascii="Arial" w:eastAsia="Arial" w:hAnsi="Arial" w:cs="Arial"/>
          </w:rPr>
          <w:t>Antonio sanguino Páez</w:t>
        </w:r>
      </w:hyperlink>
      <w:r>
        <w:rPr>
          <w:rFonts w:ascii="Arial" w:eastAsia="Arial" w:hAnsi="Arial" w:cs="Arial"/>
          <w:shd w:val="clear" w:color="auto" w:fill="F2F2F2"/>
        </w:rPr>
        <w:t xml:space="preserve"> , </w:t>
      </w:r>
      <w:hyperlink r:id="rId8">
        <w:r>
          <w:rPr>
            <w:rFonts w:ascii="Arial" w:eastAsia="Arial" w:hAnsi="Arial" w:cs="Arial"/>
          </w:rPr>
          <w:t>Wilson Arias Castillo</w:t>
        </w:r>
      </w:hyperlink>
      <w:r>
        <w:rPr>
          <w:rFonts w:ascii="Arial" w:eastAsia="Arial" w:hAnsi="Arial" w:cs="Arial"/>
          <w:shd w:val="clear" w:color="auto" w:fill="F2F2F2"/>
        </w:rPr>
        <w:t xml:space="preserve"> , </w:t>
      </w:r>
      <w:hyperlink r:id="rId9">
        <w:r>
          <w:rPr>
            <w:rFonts w:ascii="Arial" w:eastAsia="Arial" w:hAnsi="Arial" w:cs="Arial"/>
          </w:rPr>
          <w:t>Juan Luis Castro Córdoba</w:t>
        </w:r>
      </w:hyperlink>
      <w:r>
        <w:rPr>
          <w:rFonts w:ascii="Arial" w:eastAsia="Arial" w:hAnsi="Arial" w:cs="Arial"/>
          <w:shd w:val="clear" w:color="auto" w:fill="F2F2F2"/>
        </w:rPr>
        <w:t xml:space="preserve"> , </w:t>
      </w:r>
      <w:hyperlink r:id="rId10">
        <w:r>
          <w:rPr>
            <w:rFonts w:ascii="Arial" w:eastAsia="Arial" w:hAnsi="Arial" w:cs="Arial"/>
          </w:rPr>
          <w:t>Jorge Eduardo Londoño Ulloa</w:t>
        </w:r>
      </w:hyperlink>
      <w:r>
        <w:rPr>
          <w:rFonts w:ascii="Arial" w:eastAsia="Arial" w:hAnsi="Arial" w:cs="Arial"/>
          <w:shd w:val="clear" w:color="auto" w:fill="F2F2F2"/>
        </w:rPr>
        <w:t xml:space="preserve"> , </w:t>
      </w:r>
      <w:hyperlink r:id="rId11">
        <w:r>
          <w:rPr>
            <w:rFonts w:ascii="Arial" w:eastAsia="Arial" w:hAnsi="Arial" w:cs="Arial"/>
          </w:rPr>
          <w:t xml:space="preserve">Angélica </w:t>
        </w:r>
        <w:proofErr w:type="spellStart"/>
        <w:r>
          <w:rPr>
            <w:rFonts w:ascii="Arial" w:eastAsia="Arial" w:hAnsi="Arial" w:cs="Arial"/>
          </w:rPr>
          <w:t>lisbeth</w:t>
        </w:r>
        <w:proofErr w:type="spellEnd"/>
        <w:r>
          <w:rPr>
            <w:rFonts w:ascii="Arial" w:eastAsia="Arial" w:hAnsi="Arial" w:cs="Arial"/>
          </w:rPr>
          <w:t xml:space="preserve"> lozano correa</w:t>
        </w:r>
      </w:hyperlink>
      <w:r>
        <w:rPr>
          <w:rFonts w:ascii="Arial" w:eastAsia="Arial" w:hAnsi="Arial" w:cs="Arial"/>
          <w:shd w:val="clear" w:color="auto" w:fill="F2F2F2"/>
        </w:rPr>
        <w:t xml:space="preserve"> , </w:t>
      </w:r>
      <w:hyperlink r:id="rId12">
        <w:r>
          <w:rPr>
            <w:rFonts w:ascii="Arial" w:eastAsia="Arial" w:hAnsi="Arial" w:cs="Arial"/>
          </w:rPr>
          <w:t>Jorge Enrique Robledo Castillo</w:t>
        </w:r>
      </w:hyperlink>
      <w:r>
        <w:rPr>
          <w:rFonts w:ascii="Arial" w:eastAsia="Arial" w:hAnsi="Arial" w:cs="Arial"/>
        </w:rPr>
        <w:t xml:space="preserve"> y por l</w:t>
      </w:r>
      <w:r>
        <w:rPr>
          <w:rFonts w:ascii="Arial" w:eastAsia="Arial" w:hAnsi="Arial" w:cs="Arial"/>
        </w:rPr>
        <w:t xml:space="preserve">os Honorables Representantes </w:t>
      </w:r>
      <w:r>
        <w:rPr>
          <w:rFonts w:ascii="Arial" w:eastAsia="Arial" w:hAnsi="Arial" w:cs="Arial"/>
          <w:shd w:val="clear" w:color="auto" w:fill="F2F2F2"/>
        </w:rPr>
        <w:t> </w:t>
      </w:r>
      <w:hyperlink r:id="rId13">
        <w:r>
          <w:rPr>
            <w:rFonts w:ascii="Arial" w:eastAsia="Arial" w:hAnsi="Arial" w:cs="Arial"/>
          </w:rPr>
          <w:t>Inti Raúl Asprilla Reyes</w:t>
        </w:r>
      </w:hyperlink>
      <w:r>
        <w:rPr>
          <w:rFonts w:ascii="Arial" w:eastAsia="Arial" w:hAnsi="Arial" w:cs="Arial"/>
          <w:shd w:val="clear" w:color="auto" w:fill="F2F2F2"/>
        </w:rPr>
        <w:t> ,.</w:t>
      </w:r>
      <w:hyperlink r:id="rId14">
        <w:r>
          <w:rPr>
            <w:rFonts w:ascii="Arial" w:eastAsia="Arial" w:hAnsi="Arial" w:cs="Arial"/>
          </w:rPr>
          <w:t xml:space="preserve">Wilmer Leal </w:t>
        </w:r>
        <w:proofErr w:type="spellStart"/>
        <w:r>
          <w:rPr>
            <w:rFonts w:ascii="Arial" w:eastAsia="Arial" w:hAnsi="Arial" w:cs="Arial"/>
          </w:rPr>
          <w:t>Perez</w:t>
        </w:r>
        <w:proofErr w:type="spellEnd"/>
      </w:hyperlink>
      <w:r>
        <w:rPr>
          <w:rFonts w:ascii="Arial" w:eastAsia="Arial" w:hAnsi="Arial" w:cs="Arial"/>
          <w:shd w:val="clear" w:color="auto" w:fill="F2F2F2"/>
        </w:rPr>
        <w:t> ,</w:t>
      </w:r>
      <w:hyperlink r:id="rId15">
        <w:r>
          <w:rPr>
            <w:rFonts w:ascii="Arial" w:eastAsia="Arial" w:hAnsi="Arial" w:cs="Arial"/>
          </w:rPr>
          <w:t xml:space="preserve">Cesar Augusto </w:t>
        </w:r>
        <w:proofErr w:type="spellStart"/>
        <w:r>
          <w:rPr>
            <w:rFonts w:ascii="Arial" w:eastAsia="Arial" w:hAnsi="Arial" w:cs="Arial"/>
          </w:rPr>
          <w:t>Pachon</w:t>
        </w:r>
        <w:proofErr w:type="spellEnd"/>
        <w:r>
          <w:rPr>
            <w:rFonts w:ascii="Arial" w:eastAsia="Arial" w:hAnsi="Arial" w:cs="Arial"/>
          </w:rPr>
          <w:t xml:space="preserve"> </w:t>
        </w:r>
        <w:proofErr w:type="spellStart"/>
        <w:r>
          <w:rPr>
            <w:rFonts w:ascii="Arial" w:eastAsia="Arial" w:hAnsi="Arial" w:cs="Arial"/>
          </w:rPr>
          <w:t>Achury</w:t>
        </w:r>
        <w:proofErr w:type="spellEnd"/>
      </w:hyperlink>
      <w:r>
        <w:rPr>
          <w:rFonts w:ascii="Arial" w:eastAsia="Arial" w:hAnsi="Arial" w:cs="Arial"/>
          <w:shd w:val="clear" w:color="auto" w:fill="F2F2F2"/>
        </w:rPr>
        <w:t> ,</w:t>
      </w:r>
      <w:r>
        <w:rPr>
          <w:rFonts w:ascii="Arial" w:eastAsia="Arial" w:hAnsi="Arial" w:cs="Arial"/>
        </w:rPr>
        <w:t xml:space="preserve"> </w:t>
      </w:r>
      <w:hyperlink r:id="rId16">
        <w:r>
          <w:rPr>
            <w:rFonts w:ascii="Arial" w:eastAsia="Arial" w:hAnsi="Arial" w:cs="Arial"/>
          </w:rPr>
          <w:t>Ángela María Robledo Gómez</w:t>
        </w:r>
      </w:hyperlink>
      <w:r>
        <w:rPr>
          <w:rFonts w:ascii="Arial" w:eastAsia="Arial" w:hAnsi="Arial" w:cs="Arial"/>
          <w:shd w:val="clear" w:color="auto" w:fill="F2F2F2"/>
        </w:rPr>
        <w:t> ,</w:t>
      </w:r>
      <w:r>
        <w:rPr>
          <w:rFonts w:ascii="Arial" w:eastAsia="Arial" w:hAnsi="Arial" w:cs="Arial"/>
        </w:rPr>
        <w:t xml:space="preserve"> </w:t>
      </w:r>
      <w:hyperlink r:id="rId17">
        <w:r>
          <w:rPr>
            <w:rFonts w:ascii="Arial" w:eastAsia="Arial" w:hAnsi="Arial" w:cs="Arial"/>
          </w:rPr>
          <w:t xml:space="preserve">Mauricio </w:t>
        </w:r>
        <w:proofErr w:type="spellStart"/>
        <w:r>
          <w:rPr>
            <w:rFonts w:ascii="Arial" w:eastAsia="Arial" w:hAnsi="Arial" w:cs="Arial"/>
          </w:rPr>
          <w:t>Andres</w:t>
        </w:r>
        <w:proofErr w:type="spellEnd"/>
        <w:r>
          <w:rPr>
            <w:rFonts w:ascii="Arial" w:eastAsia="Arial" w:hAnsi="Arial" w:cs="Arial"/>
          </w:rPr>
          <w:t xml:space="preserve"> Toro Orjuela</w:t>
        </w:r>
      </w:hyperlink>
      <w:r>
        <w:rPr>
          <w:rFonts w:ascii="Arial" w:eastAsia="Arial" w:hAnsi="Arial" w:cs="Arial"/>
          <w:shd w:val="clear" w:color="auto" w:fill="F2F2F2"/>
        </w:rPr>
        <w:t xml:space="preserve"> , </w:t>
      </w:r>
      <w:hyperlink r:id="rId18">
        <w:r>
          <w:rPr>
            <w:rFonts w:ascii="Arial" w:eastAsia="Arial" w:hAnsi="Arial" w:cs="Arial"/>
          </w:rPr>
          <w:t xml:space="preserve">Catalina Ortiz </w:t>
        </w:r>
        <w:proofErr w:type="spellStart"/>
        <w:r>
          <w:rPr>
            <w:rFonts w:ascii="Arial" w:eastAsia="Arial" w:hAnsi="Arial" w:cs="Arial"/>
          </w:rPr>
          <w:t>Lalinde</w:t>
        </w:r>
        <w:proofErr w:type="spellEnd"/>
      </w:hyperlink>
      <w:r>
        <w:rPr>
          <w:rFonts w:ascii="Arial" w:eastAsia="Arial" w:hAnsi="Arial" w:cs="Arial"/>
          <w:shd w:val="clear" w:color="auto" w:fill="F2F2F2"/>
        </w:rPr>
        <w:t xml:space="preserve"> , </w:t>
      </w:r>
      <w:hyperlink r:id="rId19">
        <w:r>
          <w:rPr>
            <w:rFonts w:ascii="Arial" w:eastAsia="Arial" w:hAnsi="Arial" w:cs="Arial"/>
          </w:rPr>
          <w:t>Cesar Augusto Ortiz Zorro</w:t>
        </w:r>
      </w:hyperlink>
      <w:r>
        <w:rPr>
          <w:rFonts w:ascii="Arial" w:eastAsia="Arial" w:hAnsi="Arial" w:cs="Arial"/>
          <w:shd w:val="clear" w:color="auto" w:fill="F2F2F2"/>
        </w:rPr>
        <w:t> ,</w:t>
      </w:r>
      <w:r>
        <w:rPr>
          <w:rFonts w:ascii="Arial" w:eastAsia="Arial" w:hAnsi="Arial" w:cs="Arial"/>
        </w:rPr>
        <w:t xml:space="preserve"> </w:t>
      </w:r>
      <w:hyperlink r:id="rId20">
        <w:proofErr w:type="spellStart"/>
        <w:r>
          <w:rPr>
            <w:rFonts w:ascii="Arial" w:eastAsia="Arial" w:hAnsi="Arial" w:cs="Arial"/>
          </w:rPr>
          <w:t>Leon</w:t>
        </w:r>
        <w:proofErr w:type="spellEnd"/>
        <w:r>
          <w:rPr>
            <w:rFonts w:ascii="Arial" w:eastAsia="Arial" w:hAnsi="Arial" w:cs="Arial"/>
          </w:rPr>
          <w:t xml:space="preserve"> Fredy Muñoz Lopera</w:t>
        </w:r>
      </w:hyperlink>
      <w:r>
        <w:rPr>
          <w:rFonts w:ascii="Arial" w:eastAsia="Arial" w:hAnsi="Arial" w:cs="Arial"/>
          <w:shd w:val="clear" w:color="auto" w:fill="F2F2F2"/>
        </w:rPr>
        <w:t> ,</w:t>
      </w:r>
      <w:r>
        <w:rPr>
          <w:rFonts w:ascii="Arial" w:eastAsia="Arial" w:hAnsi="Arial" w:cs="Arial"/>
        </w:rPr>
        <w:t xml:space="preserve"> </w:t>
      </w:r>
      <w:hyperlink r:id="rId21">
        <w:r>
          <w:rPr>
            <w:rFonts w:ascii="Arial" w:eastAsia="Arial" w:hAnsi="Arial" w:cs="Arial"/>
          </w:rPr>
          <w:t>Harry Gi</w:t>
        </w:r>
        <w:r>
          <w:rPr>
            <w:rFonts w:ascii="Arial" w:eastAsia="Arial" w:hAnsi="Arial" w:cs="Arial"/>
          </w:rPr>
          <w:t>ovanny González García</w:t>
        </w:r>
      </w:hyperlink>
      <w:r>
        <w:rPr>
          <w:rFonts w:ascii="Arial" w:eastAsia="Arial" w:hAnsi="Arial" w:cs="Arial"/>
          <w:shd w:val="clear" w:color="auto" w:fill="F2F2F2"/>
        </w:rPr>
        <w:t xml:space="preserve"> , </w:t>
      </w:r>
      <w:hyperlink r:id="rId22">
        <w:proofErr w:type="spellStart"/>
        <w:r>
          <w:rPr>
            <w:rFonts w:ascii="Arial" w:eastAsia="Arial" w:hAnsi="Arial" w:cs="Arial"/>
          </w:rPr>
          <w:t>Fabian</w:t>
        </w:r>
        <w:proofErr w:type="spellEnd"/>
        <w:r>
          <w:rPr>
            <w:rFonts w:ascii="Arial" w:eastAsia="Arial" w:hAnsi="Arial" w:cs="Arial"/>
          </w:rPr>
          <w:t xml:space="preserve"> </w:t>
        </w:r>
        <w:proofErr w:type="spellStart"/>
        <w:r>
          <w:rPr>
            <w:rFonts w:ascii="Arial" w:eastAsia="Arial" w:hAnsi="Arial" w:cs="Arial"/>
          </w:rPr>
          <w:t>Diaz</w:t>
        </w:r>
        <w:proofErr w:type="spellEnd"/>
        <w:r>
          <w:rPr>
            <w:rFonts w:ascii="Arial" w:eastAsia="Arial" w:hAnsi="Arial" w:cs="Arial"/>
          </w:rPr>
          <w:t xml:space="preserve"> Plata</w:t>
        </w:r>
      </w:hyperlink>
      <w:r>
        <w:rPr>
          <w:rFonts w:ascii="Arial" w:eastAsia="Arial" w:hAnsi="Arial" w:cs="Arial"/>
          <w:shd w:val="clear" w:color="auto" w:fill="F2F2F2"/>
        </w:rPr>
        <w:t xml:space="preserve"> , </w:t>
      </w:r>
      <w:hyperlink r:id="rId23">
        <w:r>
          <w:rPr>
            <w:rFonts w:ascii="Arial" w:eastAsia="Arial" w:hAnsi="Arial" w:cs="Arial"/>
          </w:rPr>
          <w:t>Abel David Jaramillo Largo</w:t>
        </w:r>
      </w:hyperlink>
      <w:r>
        <w:rPr>
          <w:rFonts w:ascii="Arial" w:eastAsia="Arial" w:hAnsi="Arial" w:cs="Arial"/>
          <w:shd w:val="clear" w:color="auto" w:fill="F2F2F2"/>
        </w:rPr>
        <w:t xml:space="preserve"> , </w:t>
      </w:r>
      <w:hyperlink r:id="rId24">
        <w:proofErr w:type="spellStart"/>
        <w:r>
          <w:rPr>
            <w:rFonts w:ascii="Arial" w:eastAsia="Arial" w:hAnsi="Arial" w:cs="Arial"/>
          </w:rPr>
          <w:t>Jose</w:t>
        </w:r>
        <w:proofErr w:type="spellEnd"/>
        <w:r>
          <w:rPr>
            <w:rFonts w:ascii="Arial" w:eastAsia="Arial" w:hAnsi="Arial" w:cs="Arial"/>
          </w:rPr>
          <w:t xml:space="preserve"> Daniel </w:t>
        </w:r>
        <w:proofErr w:type="spellStart"/>
        <w:r>
          <w:rPr>
            <w:rFonts w:ascii="Arial" w:eastAsia="Arial" w:hAnsi="Arial" w:cs="Arial"/>
          </w:rPr>
          <w:t>Lopez</w:t>
        </w:r>
        <w:proofErr w:type="spellEnd"/>
        <w:r>
          <w:rPr>
            <w:rFonts w:ascii="Arial" w:eastAsia="Arial" w:hAnsi="Arial" w:cs="Arial"/>
          </w:rPr>
          <w:t xml:space="preserve"> </w:t>
        </w:r>
        <w:proofErr w:type="spellStart"/>
        <w:r>
          <w:rPr>
            <w:rFonts w:ascii="Arial" w:eastAsia="Arial" w:hAnsi="Arial" w:cs="Arial"/>
          </w:rPr>
          <w:t>Jimenez</w:t>
        </w:r>
        <w:proofErr w:type="spellEnd"/>
      </w:hyperlink>
      <w:r>
        <w:rPr>
          <w:rFonts w:ascii="Arial" w:eastAsia="Arial" w:hAnsi="Arial" w:cs="Arial"/>
          <w:shd w:val="clear" w:color="auto" w:fill="F2F2F2"/>
        </w:rPr>
        <w:t xml:space="preserve"> , </w:t>
      </w:r>
      <w:hyperlink r:id="rId25">
        <w:r>
          <w:rPr>
            <w:rFonts w:ascii="Arial" w:eastAsia="Arial" w:hAnsi="Arial" w:cs="Arial"/>
          </w:rPr>
          <w:t>Katherine Miranda Peña</w:t>
        </w:r>
      </w:hyperlink>
      <w:r>
        <w:rPr>
          <w:rFonts w:ascii="Arial" w:eastAsia="Arial" w:hAnsi="Arial" w:cs="Arial"/>
          <w:shd w:val="clear" w:color="auto" w:fill="F2F2F2"/>
        </w:rPr>
        <w:t> ,</w:t>
      </w:r>
      <w:hyperlink r:id="rId26">
        <w:r>
          <w:rPr>
            <w:rFonts w:ascii="Arial" w:eastAsia="Arial" w:hAnsi="Arial" w:cs="Arial"/>
          </w:rPr>
          <w:t>Carlos German Navas Talero</w:t>
        </w:r>
      </w:hyperlink>
      <w:r>
        <w:rPr>
          <w:rFonts w:ascii="Arial" w:eastAsia="Arial" w:hAnsi="Arial" w:cs="Arial"/>
          <w:shd w:val="clear" w:color="auto" w:fill="F2F2F2"/>
        </w:rPr>
        <w:t xml:space="preserve"> , </w:t>
      </w:r>
      <w:hyperlink r:id="rId27">
        <w:proofErr w:type="spellStart"/>
        <w:r>
          <w:rPr>
            <w:rFonts w:ascii="Arial" w:eastAsia="Arial" w:hAnsi="Arial" w:cs="Arial"/>
          </w:rPr>
          <w:t>Maria</w:t>
        </w:r>
        <w:proofErr w:type="spellEnd"/>
        <w:r>
          <w:rPr>
            <w:rFonts w:ascii="Arial" w:eastAsia="Arial" w:hAnsi="Arial" w:cs="Arial"/>
          </w:rPr>
          <w:t xml:space="preserve"> </w:t>
        </w:r>
        <w:proofErr w:type="spellStart"/>
        <w:r>
          <w:rPr>
            <w:rFonts w:ascii="Arial" w:eastAsia="Arial" w:hAnsi="Arial" w:cs="Arial"/>
          </w:rPr>
          <w:t>Jose</w:t>
        </w:r>
        <w:proofErr w:type="spellEnd"/>
        <w:r>
          <w:rPr>
            <w:rFonts w:ascii="Arial" w:eastAsia="Arial" w:hAnsi="Arial" w:cs="Arial"/>
          </w:rPr>
          <w:t xml:space="preserve"> Pizarro </w:t>
        </w:r>
        <w:proofErr w:type="spellStart"/>
        <w:r>
          <w:rPr>
            <w:rFonts w:ascii="Arial" w:eastAsia="Arial" w:hAnsi="Arial" w:cs="Arial"/>
          </w:rPr>
          <w:t>Rodriguez</w:t>
        </w:r>
        <w:proofErr w:type="spellEnd"/>
      </w:hyperlink>
      <w:r>
        <w:rPr>
          <w:rFonts w:ascii="Arial" w:eastAsia="Arial" w:hAnsi="Arial" w:cs="Arial"/>
          <w:shd w:val="clear" w:color="auto" w:fill="F2F2F2"/>
        </w:rPr>
        <w:t xml:space="preserve"> , </w:t>
      </w:r>
      <w:hyperlink r:id="rId28">
        <w:r>
          <w:rPr>
            <w:rFonts w:ascii="Arial" w:eastAsia="Arial" w:hAnsi="Arial" w:cs="Arial"/>
          </w:rPr>
          <w:t>Juan Carlos Lozada Vargas</w:t>
        </w:r>
      </w:hyperlink>
      <w:r>
        <w:rPr>
          <w:rFonts w:ascii="Arial" w:eastAsia="Arial" w:hAnsi="Arial" w:cs="Arial"/>
          <w:shd w:val="clear" w:color="auto" w:fill="F2F2F2"/>
        </w:rPr>
        <w:t xml:space="preserve"> , </w:t>
      </w:r>
      <w:hyperlink r:id="rId29">
        <w:r>
          <w:rPr>
            <w:rFonts w:ascii="Arial" w:eastAsia="Arial" w:hAnsi="Arial" w:cs="Arial"/>
          </w:rPr>
          <w:t xml:space="preserve">David Ricardo Racero </w:t>
        </w:r>
        <w:proofErr w:type="spellStart"/>
        <w:r>
          <w:rPr>
            <w:rFonts w:ascii="Arial" w:eastAsia="Arial" w:hAnsi="Arial" w:cs="Arial"/>
          </w:rPr>
          <w:t>Mayorca</w:t>
        </w:r>
        <w:proofErr w:type="spellEnd"/>
      </w:hyperlink>
      <w:r>
        <w:rPr>
          <w:rFonts w:ascii="Arial" w:eastAsia="Arial" w:hAnsi="Arial" w:cs="Arial"/>
          <w:shd w:val="clear" w:color="auto" w:fill="F2F2F2"/>
        </w:rPr>
        <w:t xml:space="preserve"> , </w:t>
      </w:r>
      <w:hyperlink r:id="rId30">
        <w:r>
          <w:rPr>
            <w:rFonts w:ascii="Arial" w:eastAsia="Arial" w:hAnsi="Arial" w:cs="Arial"/>
          </w:rPr>
          <w:t xml:space="preserve">Jorge Alberto </w:t>
        </w:r>
        <w:proofErr w:type="spellStart"/>
        <w:r>
          <w:rPr>
            <w:rFonts w:ascii="Arial" w:eastAsia="Arial" w:hAnsi="Arial" w:cs="Arial"/>
          </w:rPr>
          <w:t>Gomez</w:t>
        </w:r>
        <w:proofErr w:type="spellEnd"/>
        <w:r>
          <w:rPr>
            <w:rFonts w:ascii="Arial" w:eastAsia="Arial" w:hAnsi="Arial" w:cs="Arial"/>
          </w:rPr>
          <w:t xml:space="preserve"> Gallego</w:t>
        </w:r>
      </w:hyperlink>
      <w:r>
        <w:rPr>
          <w:rFonts w:ascii="Arial" w:eastAsia="Arial" w:hAnsi="Arial" w:cs="Arial"/>
        </w:rPr>
        <w:t xml:space="preserve">. </w:t>
      </w:r>
    </w:p>
    <w:p w:rsidR="009F42D0" w:rsidRDefault="009F42D0">
      <w:pPr>
        <w:spacing w:after="0"/>
        <w:jc w:val="both"/>
        <w:rPr>
          <w:rFonts w:ascii="Arial" w:eastAsia="Arial" w:hAnsi="Arial" w:cs="Arial"/>
          <w:b/>
        </w:rPr>
      </w:pPr>
    </w:p>
    <w:p w:rsidR="009F42D0" w:rsidRDefault="000B2A8E">
      <w:pPr>
        <w:spacing w:after="0"/>
        <w:jc w:val="both"/>
        <w:rPr>
          <w:rFonts w:ascii="Arial" w:eastAsia="Arial" w:hAnsi="Arial" w:cs="Arial"/>
        </w:rPr>
      </w:pPr>
      <w:r>
        <w:rPr>
          <w:rFonts w:ascii="Arial" w:eastAsia="Arial" w:hAnsi="Arial" w:cs="Arial"/>
        </w:rPr>
        <w:t>La mesa directiva de la Comisión Primera designó como ponentes en primer debate de la presente iniciativa</w:t>
      </w:r>
      <w:r>
        <w:rPr>
          <w:rFonts w:ascii="Arial" w:eastAsia="Arial" w:hAnsi="Arial" w:cs="Arial"/>
          <w:b/>
        </w:rPr>
        <w:t xml:space="preserve">, </w:t>
      </w:r>
      <w:r>
        <w:rPr>
          <w:rFonts w:ascii="Arial" w:eastAsia="Arial" w:hAnsi="Arial" w:cs="Arial"/>
        </w:rPr>
        <w:t xml:space="preserve">a los siguientes honorables representantes: </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 xml:space="preserve">INTI RAUL ASPRILLAS -C-  </w:t>
      </w:r>
    </w:p>
    <w:p w:rsidR="009F42D0" w:rsidRDefault="000B2A8E">
      <w:pPr>
        <w:spacing w:after="0"/>
        <w:jc w:val="both"/>
        <w:rPr>
          <w:rFonts w:ascii="Arial" w:eastAsia="Arial" w:hAnsi="Arial" w:cs="Arial"/>
        </w:rPr>
      </w:pPr>
      <w:r>
        <w:rPr>
          <w:rFonts w:ascii="Arial" w:eastAsia="Arial" w:hAnsi="Arial" w:cs="Arial"/>
        </w:rPr>
        <w:t>JORGE ENRIQUE BURGOS LUGO –C-</w:t>
      </w:r>
    </w:p>
    <w:p w:rsidR="009F42D0" w:rsidRDefault="000B2A8E">
      <w:pPr>
        <w:spacing w:after="0"/>
        <w:jc w:val="both"/>
        <w:rPr>
          <w:rFonts w:ascii="Arial" w:eastAsia="Arial" w:hAnsi="Arial" w:cs="Arial"/>
        </w:rPr>
      </w:pPr>
      <w:r>
        <w:rPr>
          <w:rFonts w:ascii="Arial" w:eastAsia="Arial" w:hAnsi="Arial" w:cs="Arial"/>
        </w:rPr>
        <w:t>HARRY G</w:t>
      </w:r>
      <w:r>
        <w:rPr>
          <w:rFonts w:ascii="Arial" w:eastAsia="Arial" w:hAnsi="Arial" w:cs="Arial"/>
        </w:rPr>
        <w:t>IOVANNY GONZALEZ GARCIA</w:t>
      </w:r>
    </w:p>
    <w:p w:rsidR="009F42D0" w:rsidRDefault="000B2A8E">
      <w:pPr>
        <w:spacing w:after="0"/>
        <w:jc w:val="both"/>
        <w:rPr>
          <w:rFonts w:ascii="Arial" w:eastAsia="Arial" w:hAnsi="Arial" w:cs="Arial"/>
        </w:rPr>
      </w:pPr>
      <w:r>
        <w:rPr>
          <w:rFonts w:ascii="Arial" w:eastAsia="Arial" w:hAnsi="Arial" w:cs="Arial"/>
        </w:rPr>
        <w:t>JOSE DANIEL LOPEZ JIMENEZ</w:t>
      </w:r>
    </w:p>
    <w:p w:rsidR="009F42D0" w:rsidRDefault="000B2A8E">
      <w:pPr>
        <w:spacing w:after="0"/>
        <w:jc w:val="both"/>
        <w:rPr>
          <w:rFonts w:ascii="Arial" w:eastAsia="Arial" w:hAnsi="Arial" w:cs="Arial"/>
        </w:rPr>
      </w:pPr>
      <w:r>
        <w:rPr>
          <w:rFonts w:ascii="Arial" w:eastAsia="Arial" w:hAnsi="Arial" w:cs="Arial"/>
        </w:rPr>
        <w:t>JUAN CARLOS WILLS OSPINA</w:t>
      </w:r>
    </w:p>
    <w:p w:rsidR="009F42D0" w:rsidRDefault="000B2A8E">
      <w:pPr>
        <w:spacing w:after="0"/>
        <w:jc w:val="both"/>
        <w:rPr>
          <w:rFonts w:ascii="Arial" w:eastAsia="Arial" w:hAnsi="Arial" w:cs="Arial"/>
        </w:rPr>
      </w:pPr>
      <w:r>
        <w:rPr>
          <w:rFonts w:ascii="Arial" w:eastAsia="Arial" w:hAnsi="Arial" w:cs="Arial"/>
        </w:rPr>
        <w:lastRenderedPageBreak/>
        <w:t>ALVARO HERNAN PRADA ARTUNDUAGA</w:t>
      </w:r>
    </w:p>
    <w:p w:rsidR="009F42D0" w:rsidRDefault="000B2A8E">
      <w:pPr>
        <w:spacing w:after="0"/>
        <w:jc w:val="both"/>
        <w:rPr>
          <w:rFonts w:ascii="Arial" w:eastAsia="Arial" w:hAnsi="Arial" w:cs="Arial"/>
        </w:rPr>
      </w:pPr>
      <w:r>
        <w:rPr>
          <w:rFonts w:ascii="Arial" w:eastAsia="Arial" w:hAnsi="Arial" w:cs="Arial"/>
        </w:rPr>
        <w:t>CARLOS GERMAN NAVAS TALERO</w:t>
      </w:r>
    </w:p>
    <w:p w:rsidR="009F42D0" w:rsidRDefault="000B2A8E">
      <w:pPr>
        <w:spacing w:after="0"/>
        <w:jc w:val="both"/>
        <w:rPr>
          <w:rFonts w:ascii="Arial" w:eastAsia="Arial" w:hAnsi="Arial" w:cs="Arial"/>
        </w:rPr>
      </w:pPr>
      <w:r>
        <w:rPr>
          <w:rFonts w:ascii="Arial" w:eastAsia="Arial" w:hAnsi="Arial" w:cs="Arial"/>
        </w:rPr>
        <w:t>LUIS ALBERTO ALBAN URBANO</w:t>
      </w:r>
    </w:p>
    <w:p w:rsidR="009F42D0" w:rsidRDefault="000B2A8E">
      <w:pPr>
        <w:spacing w:after="0"/>
        <w:jc w:val="both"/>
        <w:rPr>
          <w:rFonts w:ascii="Arial" w:eastAsia="Arial" w:hAnsi="Arial" w:cs="Arial"/>
          <w:b/>
        </w:rPr>
      </w:pPr>
      <w:r>
        <w:rPr>
          <w:rFonts w:ascii="Arial" w:eastAsia="Arial" w:hAnsi="Arial" w:cs="Arial"/>
        </w:rPr>
        <w:t>ANGELA MARIA ROBLEDO</w:t>
      </w:r>
    </w:p>
    <w:p w:rsidR="009F42D0" w:rsidRDefault="009F42D0">
      <w:pPr>
        <w:spacing w:after="0"/>
        <w:jc w:val="both"/>
        <w:rPr>
          <w:rFonts w:ascii="Arial" w:eastAsia="Arial" w:hAnsi="Arial" w:cs="Arial"/>
          <w:b/>
        </w:rPr>
      </w:pP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rPr>
      </w:pPr>
    </w:p>
    <w:p w:rsidR="009F42D0" w:rsidRDefault="000B2A8E">
      <w:pPr>
        <w:numPr>
          <w:ilvl w:val="0"/>
          <w:numId w:val="2"/>
        </w:numPr>
        <w:spacing w:after="0"/>
        <w:ind w:hanging="360"/>
        <w:contextualSpacing/>
        <w:jc w:val="both"/>
        <w:rPr>
          <w:rFonts w:ascii="Arial" w:eastAsia="Arial" w:hAnsi="Arial" w:cs="Arial"/>
        </w:rPr>
      </w:pPr>
      <w:r>
        <w:rPr>
          <w:rFonts w:ascii="Arial" w:eastAsia="Arial" w:hAnsi="Arial" w:cs="Arial"/>
          <w:b/>
        </w:rPr>
        <w:t>OBJETO DEL PROYECTO</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Dictar las medidas para prevenir y sancionar los abusos en la actividad de la Policía Nacional, garantizando los derechos establecidos por la Constitución Política, el bloque de constitucionalidad, los tratados internacionales y Resoluciones de la Organiza</w:t>
      </w:r>
      <w:r>
        <w:rPr>
          <w:rFonts w:ascii="Arial" w:eastAsia="Arial" w:hAnsi="Arial" w:cs="Arial"/>
        </w:rPr>
        <w:t>ción de las Naciones Unidas sobre el uso de la fuerza.</w:t>
      </w: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rPr>
      </w:pPr>
    </w:p>
    <w:p w:rsidR="009F42D0" w:rsidRDefault="000B2A8E">
      <w:pPr>
        <w:numPr>
          <w:ilvl w:val="0"/>
          <w:numId w:val="2"/>
        </w:numPr>
        <w:spacing w:after="0"/>
        <w:ind w:hanging="360"/>
        <w:contextualSpacing/>
        <w:jc w:val="both"/>
        <w:rPr>
          <w:rFonts w:ascii="Arial" w:eastAsia="Arial" w:hAnsi="Arial" w:cs="Arial"/>
        </w:rPr>
      </w:pPr>
      <w:r>
        <w:rPr>
          <w:rFonts w:ascii="Arial" w:eastAsia="Arial" w:hAnsi="Arial" w:cs="Arial"/>
          <w:b/>
        </w:rPr>
        <w:t>CONSIDERACIONES AL PROYECTO DE LEY</w:t>
      </w:r>
    </w:p>
    <w:p w:rsidR="009F42D0" w:rsidRDefault="009F42D0">
      <w:pPr>
        <w:spacing w:after="0"/>
        <w:ind w:left="108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 xml:space="preserve">Las discusiones en torno al uso de la fuerza </w:t>
      </w:r>
      <w:r>
        <w:rPr>
          <w:rFonts w:ascii="Arial" w:eastAsia="Arial" w:hAnsi="Arial" w:cs="Arial"/>
          <w:i/>
        </w:rPr>
        <w:t>desmedida</w:t>
      </w:r>
      <w:r>
        <w:rPr>
          <w:rFonts w:ascii="Arial" w:eastAsia="Arial" w:hAnsi="Arial" w:cs="Arial"/>
        </w:rPr>
        <w:t xml:space="preserve"> por parte de la Policía Nacional, han sido álgidas en todos los entornos de la sociedad colombiana, unos hablan de “manzanas podridas” otros de “eliminación de algunos de los cuerpos policiales” y otros de “reforma integral”; perspectivas que si bien son </w:t>
      </w:r>
      <w:r>
        <w:rPr>
          <w:rFonts w:ascii="Arial" w:eastAsia="Arial" w:hAnsi="Arial" w:cs="Arial"/>
        </w:rPr>
        <w:t>válidas, con sus diferentes posturas personales y generalizadas, nos dirigen a una conclusión y es que es necesario analizar la orientación del actuar y los límites de la Policía Nacional en el ejercicio de sus funciones, conclusión en la que sin duda esta</w:t>
      </w:r>
      <w:r>
        <w:rPr>
          <w:rFonts w:ascii="Arial" w:eastAsia="Arial" w:hAnsi="Arial" w:cs="Arial"/>
        </w:rPr>
        <w:t xml:space="preserve">mos de acuerdo. Sin embargo, surge un cuestionamiento: </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¿Es necesario expedir más y más normatividad en torno a las funciones, régimen disciplinario y procedimiento de operaciones de la Policía Nacional con la finalidad de que cumplan a cabalidad la norma</w:t>
      </w:r>
      <w:r>
        <w:rPr>
          <w:rFonts w:ascii="Arial" w:eastAsia="Arial" w:hAnsi="Arial" w:cs="Arial"/>
        </w:rPr>
        <w:t xml:space="preserve">tividad que ya se tiene sobre la materia? </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 xml:space="preserve">Analicemos lo que ya se ha regulado: </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b/>
        </w:rPr>
        <w:t>Primero</w:t>
      </w:r>
      <w:r>
        <w:rPr>
          <w:rFonts w:ascii="Arial" w:eastAsia="Arial" w:hAnsi="Arial" w:cs="Arial"/>
        </w:rPr>
        <w:t>. El artículo 218 de la Constitución Política establece que la Policía Nacional es un cuerpo armado permanente de naturaleza civil, cuyo fin primordial es el mantenim</w:t>
      </w:r>
      <w:r>
        <w:rPr>
          <w:rFonts w:ascii="Arial" w:eastAsia="Arial" w:hAnsi="Arial" w:cs="Arial"/>
        </w:rPr>
        <w:t xml:space="preserve">iento de </w:t>
      </w:r>
      <w:r>
        <w:rPr>
          <w:rFonts w:ascii="Arial" w:eastAsia="Arial" w:hAnsi="Arial" w:cs="Arial"/>
        </w:rPr>
        <w:lastRenderedPageBreak/>
        <w:t xml:space="preserve">las condiciones necesarias para el ejercicio de los derechos y libertades públicas, y para asegurar que los habitantes de Colombia convivan en paz. </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Luego, si bien es cierto la premisa establecida para la Policía Nacional en la Carta Política de:</w:t>
      </w:r>
      <w:r>
        <w:rPr>
          <w:rFonts w:ascii="Arial" w:eastAsia="Arial" w:hAnsi="Arial" w:cs="Arial"/>
        </w:rPr>
        <w:t xml:space="preserve"> “</w:t>
      </w:r>
      <w:r>
        <w:rPr>
          <w:rFonts w:ascii="Arial" w:eastAsia="Arial" w:hAnsi="Arial" w:cs="Arial"/>
          <w:i/>
        </w:rPr>
        <w:t>asegurar que los habitantes de Colombia convivan en paz</w:t>
      </w:r>
      <w:r>
        <w:rPr>
          <w:rFonts w:ascii="Arial" w:eastAsia="Arial" w:hAnsi="Arial" w:cs="Arial"/>
        </w:rPr>
        <w:t>”, durante los últimos años se ha manchado con las actuaciones ampliamente registradas que todos conocemos y desde luego reprochables desde todo punto de vista, en contra de la ciudadanía. También lo</w:t>
      </w:r>
      <w:r>
        <w:rPr>
          <w:rFonts w:ascii="Arial" w:eastAsia="Arial" w:hAnsi="Arial" w:cs="Arial"/>
        </w:rPr>
        <w:t xml:space="preserve"> es que, la Policía Nacional de Colombia ha estado al servicio de la sociedad colombiana tanto en la ciudad como en la ruralidad, sus resultados en la lucha contra el crimen organizado, narcotráfico, redes delictuales entre otras actuaciones, han sido noto</w:t>
      </w:r>
      <w:r>
        <w:rPr>
          <w:rFonts w:ascii="Arial" w:eastAsia="Arial" w:hAnsi="Arial" w:cs="Arial"/>
        </w:rPr>
        <w:t>rios y reconocidos incluso con premios a nivel internacional. Resultados que evidentemente no excusan los lamentables hechos sucedidos en las manifestaciones, pero que, si exaltan que la Policía Nacional, es un cuerpo compuesto por seres humanos que como t</w:t>
      </w:r>
      <w:r>
        <w:rPr>
          <w:rFonts w:ascii="Arial" w:eastAsia="Arial" w:hAnsi="Arial" w:cs="Arial"/>
        </w:rPr>
        <w:t xml:space="preserve">odos cometemos errores, y que por supuesto tendrán las consecuencias que establece la ley para tal fin.  </w:t>
      </w:r>
    </w:p>
    <w:p w:rsidR="009F42D0" w:rsidRDefault="009F42D0">
      <w:pPr>
        <w:spacing w:after="0"/>
        <w:jc w:val="both"/>
        <w:rPr>
          <w:rFonts w:ascii="Arial" w:eastAsia="Arial" w:hAnsi="Arial" w:cs="Arial"/>
        </w:rPr>
      </w:pPr>
    </w:p>
    <w:p w:rsidR="009F42D0" w:rsidRDefault="000B2A8E">
      <w:pPr>
        <w:jc w:val="both"/>
        <w:rPr>
          <w:rFonts w:ascii="Arial" w:eastAsia="Arial" w:hAnsi="Arial" w:cs="Arial"/>
        </w:rPr>
      </w:pPr>
      <w:r>
        <w:rPr>
          <w:rFonts w:ascii="Arial" w:eastAsia="Arial" w:hAnsi="Arial" w:cs="Arial"/>
          <w:b/>
        </w:rPr>
        <w:t>Segundo.</w:t>
      </w:r>
      <w:r>
        <w:rPr>
          <w:rFonts w:ascii="Arial" w:eastAsia="Arial" w:hAnsi="Arial" w:cs="Arial"/>
        </w:rPr>
        <w:t xml:space="preserve"> La Ley 1015 de 2006, La Ley 1801 de 2016, la Resolución No. 03002 del 29 de junio de 2017 y la Resolución No. 02903 del 23 de junio de 2017,</w:t>
      </w:r>
      <w:r>
        <w:rPr>
          <w:rFonts w:ascii="Arial" w:eastAsia="Arial" w:hAnsi="Arial" w:cs="Arial"/>
        </w:rPr>
        <w:t xml:space="preserve"> son solo unas de las numerosas normas que regulan el funcionamiento administrativo y disciplinario con trascendencia penal de todos los integrantes de la policía nacional, sin distinción alguna, si fuere el caso. </w:t>
      </w:r>
    </w:p>
    <w:p w:rsidR="009F42D0" w:rsidRDefault="000B2A8E">
      <w:pPr>
        <w:spacing w:after="0"/>
        <w:jc w:val="both"/>
        <w:rPr>
          <w:rFonts w:ascii="Arial" w:eastAsia="Arial" w:hAnsi="Arial" w:cs="Arial"/>
        </w:rPr>
      </w:pPr>
      <w:r>
        <w:rPr>
          <w:rFonts w:ascii="Arial" w:eastAsia="Arial" w:hAnsi="Arial" w:cs="Arial"/>
          <w:b/>
        </w:rPr>
        <w:t>Tercero</w:t>
      </w:r>
      <w:r>
        <w:rPr>
          <w:rFonts w:ascii="Arial" w:eastAsia="Arial" w:hAnsi="Arial" w:cs="Arial"/>
        </w:rPr>
        <w:t xml:space="preserve">. La prohibición del bastón tipo </w:t>
      </w:r>
      <w:proofErr w:type="spellStart"/>
      <w:proofErr w:type="gramStart"/>
      <w:r>
        <w:rPr>
          <w:rFonts w:ascii="Arial" w:eastAsia="Arial" w:hAnsi="Arial" w:cs="Arial"/>
        </w:rPr>
        <w:t>t</w:t>
      </w:r>
      <w:r>
        <w:rPr>
          <w:rFonts w:ascii="Arial" w:eastAsia="Arial" w:hAnsi="Arial" w:cs="Arial"/>
        </w:rPr>
        <w:t>onfa</w:t>
      </w:r>
      <w:proofErr w:type="spellEnd"/>
      <w:r>
        <w:rPr>
          <w:rFonts w:ascii="Arial" w:eastAsia="Arial" w:hAnsi="Arial" w:cs="Arial"/>
        </w:rPr>
        <w:t>,  las</w:t>
      </w:r>
      <w:proofErr w:type="gramEnd"/>
      <w:r>
        <w:rPr>
          <w:rFonts w:ascii="Arial" w:eastAsia="Arial" w:hAnsi="Arial" w:cs="Arial"/>
        </w:rPr>
        <w:t xml:space="preserve"> armas cinéticas, dispositivos eléctricos, hacen parte de las herramientas menos agresivas que utiliza los miembros de la Policía Nacional y además están reguladas por el Ministerio de Defensa Nacional (NTMD-0263-A1). Y la Resolución No. 02903 de</w:t>
      </w:r>
      <w:r>
        <w:rPr>
          <w:rFonts w:ascii="Arial" w:eastAsia="Arial" w:hAnsi="Arial" w:cs="Arial"/>
        </w:rPr>
        <w:t xml:space="preserve">l 23 JUN 2017 </w:t>
      </w:r>
      <w:r>
        <w:rPr>
          <w:rFonts w:ascii="Arial" w:eastAsia="Arial" w:hAnsi="Arial" w:cs="Arial"/>
          <w:i/>
        </w:rPr>
        <w:t>“Por la cual se expide el reglamento para el uso de la fuerza y el empleo de armas, municiones, elementos y dispositivos menos letales, por la Policía Nacional”</w:t>
      </w:r>
      <w:r>
        <w:rPr>
          <w:rFonts w:ascii="Arial" w:eastAsia="Arial" w:hAnsi="Arial" w:cs="Arial"/>
        </w:rPr>
        <w:t>.</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 xml:space="preserve">Además de la normatividad interna la Policía Nacional </w:t>
      </w:r>
      <w:proofErr w:type="spellStart"/>
      <w:r>
        <w:rPr>
          <w:rFonts w:ascii="Arial" w:eastAsia="Arial" w:hAnsi="Arial" w:cs="Arial"/>
        </w:rPr>
        <w:t>esta</w:t>
      </w:r>
      <w:proofErr w:type="spellEnd"/>
      <w:r>
        <w:rPr>
          <w:rFonts w:ascii="Arial" w:eastAsia="Arial" w:hAnsi="Arial" w:cs="Arial"/>
        </w:rPr>
        <w:t xml:space="preserve"> en la obligación de </w:t>
      </w:r>
      <w:r>
        <w:rPr>
          <w:rFonts w:ascii="Arial" w:eastAsia="Arial" w:hAnsi="Arial" w:cs="Arial"/>
        </w:rPr>
        <w:t>“Generar la cultura del respeto por los derechos fundamentales en la institución, contribuyendo efectivamente al desarrollo de la política gubernamental en materia de Derechos Humanos y Derecho Internacional Humanitario, fortaleciendo la legitimidad y cred</w:t>
      </w:r>
      <w:r>
        <w:rPr>
          <w:rFonts w:ascii="Arial" w:eastAsia="Arial" w:hAnsi="Arial" w:cs="Arial"/>
        </w:rPr>
        <w:t xml:space="preserve">ibilidad de la Policía </w:t>
      </w:r>
      <w:r>
        <w:rPr>
          <w:rFonts w:ascii="Arial" w:eastAsia="Arial" w:hAnsi="Arial" w:cs="Arial"/>
        </w:rPr>
        <w:lastRenderedPageBreak/>
        <w:t>Nacional”</w:t>
      </w:r>
      <w:r>
        <w:rPr>
          <w:rFonts w:ascii="Arial" w:eastAsia="Arial" w:hAnsi="Arial" w:cs="Arial"/>
          <w:vertAlign w:val="superscript"/>
        </w:rPr>
        <w:footnoteReference w:id="1"/>
      </w:r>
      <w:r>
        <w:rPr>
          <w:rFonts w:ascii="Arial" w:eastAsia="Arial" w:hAnsi="Arial" w:cs="Arial"/>
        </w:rPr>
        <w:t xml:space="preserve">. </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Los protocolos empleados en el proceso de formación, cumplen con el marco normativo que regula el uso de la fuerza y la aplicación de la defensa personal en los procedimientos de policía de acuerdo a lo establecido en l</w:t>
      </w:r>
      <w:r>
        <w:rPr>
          <w:rFonts w:ascii="Arial" w:eastAsia="Arial" w:hAnsi="Arial" w:cs="Arial"/>
        </w:rPr>
        <w:t xml:space="preserve">os instrumentos del Derecho Internacional Humanitario y Derechos Humanos, Constitución Política, leyes nacionales y disposiciones internas de la Policía Nacional. </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b/>
        </w:rPr>
      </w:pPr>
      <w:r>
        <w:rPr>
          <w:rFonts w:ascii="Arial" w:eastAsia="Arial" w:hAnsi="Arial" w:cs="Arial"/>
          <w:b/>
        </w:rPr>
        <w:t xml:space="preserve">Cuarto. </w:t>
      </w:r>
      <w:r>
        <w:rPr>
          <w:rFonts w:ascii="Arial" w:eastAsia="Arial" w:hAnsi="Arial" w:cs="Arial"/>
        </w:rPr>
        <w:t xml:space="preserve">Los funcionarios de la Policía Nacional basan su procedimiento en el </w:t>
      </w:r>
      <w:r>
        <w:rPr>
          <w:rFonts w:ascii="Arial" w:eastAsia="Arial" w:hAnsi="Arial" w:cs="Arial"/>
          <w:i/>
        </w:rPr>
        <w:t>“Modelo del uso diferenciado y proporcional de la fuerza”</w:t>
      </w:r>
      <w:r>
        <w:rPr>
          <w:rFonts w:ascii="Arial" w:eastAsia="Arial" w:hAnsi="Arial" w:cs="Arial"/>
        </w:rPr>
        <w:t>, contemplado en la Resolución 02903 de 2017, donde se distingue la fuerza preventiva y reactiva, las cuales se emplean atendiendo las circunstancias de tiempo, modo y lugar, por tal razón, el unifor</w:t>
      </w:r>
      <w:r>
        <w:rPr>
          <w:rFonts w:ascii="Arial" w:eastAsia="Arial" w:hAnsi="Arial" w:cs="Arial"/>
        </w:rPr>
        <w:t>mado tiene la capacidad de ponderar bajo los criterios de pericia, experiencia e idoneidad, el uso de estos elementos.</w:t>
      </w:r>
      <w:r>
        <w:rPr>
          <w:rFonts w:ascii="Arial" w:eastAsia="Arial" w:hAnsi="Arial" w:cs="Arial"/>
          <w:vertAlign w:val="superscript"/>
        </w:rPr>
        <w:footnoteReference w:id="2"/>
      </w:r>
    </w:p>
    <w:p w:rsidR="009F42D0" w:rsidRDefault="009F42D0">
      <w:pPr>
        <w:spacing w:after="0"/>
        <w:jc w:val="both"/>
        <w:rPr>
          <w:rFonts w:ascii="Arial" w:eastAsia="Arial" w:hAnsi="Arial" w:cs="Arial"/>
          <w:b/>
        </w:rPr>
      </w:pPr>
    </w:p>
    <w:p w:rsidR="009F42D0" w:rsidRDefault="000B2A8E">
      <w:pPr>
        <w:spacing w:after="0"/>
        <w:jc w:val="both"/>
        <w:rPr>
          <w:rFonts w:ascii="Arial" w:eastAsia="Arial" w:hAnsi="Arial" w:cs="Arial"/>
        </w:rPr>
      </w:pPr>
      <w:r>
        <w:rPr>
          <w:rFonts w:ascii="Arial" w:eastAsia="Arial" w:hAnsi="Arial" w:cs="Arial"/>
          <w:b/>
        </w:rPr>
        <w:t>Quinto</w:t>
      </w:r>
      <w:r>
        <w:rPr>
          <w:rFonts w:ascii="Arial" w:eastAsia="Arial" w:hAnsi="Arial" w:cs="Arial"/>
        </w:rPr>
        <w:t>. La Corte Constitucional en algunos de sus pronunciamientos ha exhortado al Congreso de la República, a legislar a través de una</w:t>
      </w:r>
      <w:r>
        <w:rPr>
          <w:rFonts w:ascii="Arial" w:eastAsia="Arial" w:hAnsi="Arial" w:cs="Arial"/>
        </w:rPr>
        <w:t xml:space="preserve"> </w:t>
      </w:r>
      <w:r>
        <w:rPr>
          <w:rFonts w:ascii="Arial" w:eastAsia="Arial" w:hAnsi="Arial" w:cs="Arial"/>
          <w:u w:val="single"/>
        </w:rPr>
        <w:t>ley estatutaria</w:t>
      </w:r>
      <w:r>
        <w:rPr>
          <w:rFonts w:ascii="Arial" w:eastAsia="Arial" w:hAnsi="Arial" w:cs="Arial"/>
        </w:rPr>
        <w:t xml:space="preserve"> las manifestaciones pacíficas. Una de las principales razones por la que se propone este este proyecto. Sin embargo, la presente iniciativa legislativa no está regulando el verdadero problema evidenciado en las manifestaciones. Por el cont</w:t>
      </w:r>
      <w:r>
        <w:rPr>
          <w:rFonts w:ascii="Arial" w:eastAsia="Arial" w:hAnsi="Arial" w:cs="Arial"/>
        </w:rPr>
        <w:t xml:space="preserve">rario, desde su título lo que busca es sancionar las reprochables acciones de la Policía Nacional, cuando esto ya es objeto de reglamentación, en las normas referidas y las que se citarán en el presente documento. </w:t>
      </w:r>
    </w:p>
    <w:p w:rsidR="009F42D0" w:rsidRDefault="009F42D0">
      <w:pPr>
        <w:spacing w:after="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b/>
        </w:rPr>
        <w:t>Sexto</w:t>
      </w:r>
      <w:r>
        <w:rPr>
          <w:rFonts w:ascii="Arial" w:eastAsia="Arial" w:hAnsi="Arial" w:cs="Arial"/>
        </w:rPr>
        <w:t>. El sistema único para mejoramient</w:t>
      </w:r>
      <w:r>
        <w:rPr>
          <w:rFonts w:ascii="Arial" w:eastAsia="Arial" w:hAnsi="Arial" w:cs="Arial"/>
        </w:rPr>
        <w:t xml:space="preserve">o y prevención de los abusos propuesto con la finalidad de presentar quejas, ya </w:t>
      </w:r>
      <w:proofErr w:type="spellStart"/>
      <w:r>
        <w:rPr>
          <w:rFonts w:ascii="Arial" w:eastAsia="Arial" w:hAnsi="Arial" w:cs="Arial"/>
        </w:rPr>
        <w:t>esta</w:t>
      </w:r>
      <w:proofErr w:type="spellEnd"/>
      <w:r>
        <w:rPr>
          <w:rFonts w:ascii="Arial" w:eastAsia="Arial" w:hAnsi="Arial" w:cs="Arial"/>
        </w:rPr>
        <w:t xml:space="preserve"> regulado por la Policía Nacional a través del Sistema de Información de Peticiones, Quejas, Reclamos y Sugerencias -SIPQRS, herramienta que permite que los ciudadanos real</w:t>
      </w:r>
      <w:r>
        <w:rPr>
          <w:rFonts w:ascii="Arial" w:eastAsia="Arial" w:hAnsi="Arial" w:cs="Arial"/>
        </w:rPr>
        <w:t>icen seguimiento a sus requerimientos en tiempo real a través de los canales de atención al ciudadano establecidos, haciendo uso del número único de ticket que le es asignado a cada solicitud.</w:t>
      </w:r>
    </w:p>
    <w:p w:rsidR="009F42D0" w:rsidRDefault="009F42D0">
      <w:pPr>
        <w:spacing w:after="0"/>
        <w:jc w:val="both"/>
        <w:rPr>
          <w:rFonts w:ascii="Arial" w:eastAsia="Arial" w:hAnsi="Arial" w:cs="Arial"/>
        </w:rPr>
      </w:pPr>
    </w:p>
    <w:p w:rsidR="009F42D0" w:rsidRDefault="000B2A8E">
      <w:pPr>
        <w:jc w:val="both"/>
        <w:rPr>
          <w:rFonts w:ascii="Arial" w:eastAsia="Arial" w:hAnsi="Arial" w:cs="Arial"/>
        </w:rPr>
      </w:pPr>
      <w:r>
        <w:rPr>
          <w:rFonts w:ascii="Arial" w:eastAsia="Arial" w:hAnsi="Arial" w:cs="Arial"/>
        </w:rPr>
        <w:lastRenderedPageBreak/>
        <w:t>En consecuencia, sin desconocer la necesidad de regular las ac</w:t>
      </w:r>
      <w:r>
        <w:rPr>
          <w:rFonts w:ascii="Arial" w:eastAsia="Arial" w:hAnsi="Arial" w:cs="Arial"/>
        </w:rPr>
        <w:t>tuaciones de la Policía Nacional, es claro que este proyecto no es la solución para resolver el uso de la fuerza desmedida por parte de estos. Esto, toda vez que no remedia los problemas que se deben solucionar, se excluye las verdaderas problemáticas soci</w:t>
      </w:r>
      <w:r>
        <w:rPr>
          <w:rFonts w:ascii="Arial" w:eastAsia="Arial" w:hAnsi="Arial" w:cs="Arial"/>
        </w:rPr>
        <w:t xml:space="preserve">ales que están ocurriendo en las manifestaciones, en donde no solo los ciudadanos resultan afectados en su integridad física, cada vez son más los policías victimas de hechos violentos, más los bienes de uso </w:t>
      </w:r>
      <w:proofErr w:type="spellStart"/>
      <w:r>
        <w:rPr>
          <w:rFonts w:ascii="Arial" w:eastAsia="Arial" w:hAnsi="Arial" w:cs="Arial"/>
        </w:rPr>
        <w:t>publico</w:t>
      </w:r>
      <w:proofErr w:type="spellEnd"/>
      <w:r>
        <w:rPr>
          <w:rFonts w:ascii="Arial" w:eastAsia="Arial" w:hAnsi="Arial" w:cs="Arial"/>
        </w:rPr>
        <w:t xml:space="preserve"> destruidos y las afectaciones a la propi</w:t>
      </w:r>
      <w:r>
        <w:rPr>
          <w:rFonts w:ascii="Arial" w:eastAsia="Arial" w:hAnsi="Arial" w:cs="Arial"/>
        </w:rPr>
        <w:t>edad privada más recurrentes. No podemos seguir legislando sobre temas puntuales que ya se encuentran regulados y expidiendo normativas que a la larga no generen impacto en la sociedad. Es necesario hacer una reforma Policial, ¡SÍ! pero al interior de la I</w:t>
      </w:r>
      <w:r>
        <w:rPr>
          <w:rFonts w:ascii="Arial" w:eastAsia="Arial" w:hAnsi="Arial" w:cs="Arial"/>
        </w:rPr>
        <w:t>nstitución enfocada en el cumplimiento de las normas existentes que rigen la materia y corrigiendo todos los errores que hoy se han evidenciado, con la única finalidad de garantizar seguridad, dignidad y confianza mutua entre ciudadanía y la Policía Nacion</w:t>
      </w:r>
      <w:r>
        <w:rPr>
          <w:rFonts w:ascii="Arial" w:eastAsia="Arial" w:hAnsi="Arial" w:cs="Arial"/>
        </w:rPr>
        <w:t xml:space="preserve">al. </w:t>
      </w:r>
    </w:p>
    <w:p w:rsidR="009F42D0" w:rsidRDefault="000B2A8E">
      <w:pPr>
        <w:jc w:val="both"/>
        <w:rPr>
          <w:rFonts w:ascii="Arial" w:eastAsia="Arial" w:hAnsi="Arial" w:cs="Arial"/>
        </w:rPr>
      </w:pPr>
      <w:r>
        <w:rPr>
          <w:rFonts w:ascii="Arial" w:eastAsia="Arial" w:hAnsi="Arial" w:cs="Arial"/>
        </w:rPr>
        <w:t xml:space="preserve">Por consiguiente, bajo los argumentos expuestos, se propone ponencia negativa y en su defecto el archivo de la iniciativa legislativa. </w:t>
      </w:r>
    </w:p>
    <w:p w:rsidR="009F42D0" w:rsidRDefault="000B2A8E">
      <w:pPr>
        <w:numPr>
          <w:ilvl w:val="0"/>
          <w:numId w:val="2"/>
        </w:numPr>
        <w:spacing w:after="0"/>
        <w:ind w:hanging="360"/>
        <w:contextualSpacing/>
        <w:jc w:val="both"/>
        <w:rPr>
          <w:rFonts w:ascii="Arial" w:eastAsia="Arial" w:hAnsi="Arial" w:cs="Arial"/>
        </w:rPr>
      </w:pPr>
      <w:r>
        <w:rPr>
          <w:rFonts w:ascii="Arial" w:eastAsia="Arial" w:hAnsi="Arial" w:cs="Arial"/>
          <w:b/>
        </w:rPr>
        <w:t xml:space="preserve">NORMATIDAD QUE REGULA LA ACTUACIÓN DE LA POLICÍA NACIONAL EN COLOMBIA  </w:t>
      </w:r>
    </w:p>
    <w:p w:rsidR="009F42D0" w:rsidRDefault="009F42D0">
      <w:pPr>
        <w:spacing w:after="0"/>
        <w:ind w:left="1080"/>
        <w:jc w:val="both"/>
        <w:rPr>
          <w:rFonts w:ascii="Arial" w:eastAsia="Arial" w:hAnsi="Arial" w:cs="Arial"/>
          <w:b/>
        </w:rPr>
      </w:pPr>
    </w:p>
    <w:p w:rsidR="009F42D0" w:rsidRDefault="000B2A8E">
      <w:pPr>
        <w:numPr>
          <w:ilvl w:val="0"/>
          <w:numId w:val="5"/>
        </w:numPr>
        <w:spacing w:after="0"/>
        <w:ind w:hanging="360"/>
        <w:contextualSpacing/>
        <w:jc w:val="both"/>
        <w:rPr>
          <w:rFonts w:ascii="Arial" w:eastAsia="Arial" w:hAnsi="Arial" w:cs="Arial"/>
          <w:b/>
        </w:rPr>
      </w:pPr>
      <w:r>
        <w:rPr>
          <w:rFonts w:ascii="Arial" w:eastAsia="Arial" w:hAnsi="Arial" w:cs="Arial"/>
          <w:b/>
        </w:rPr>
        <w:t>Normatividad Internacional:</w:t>
      </w:r>
    </w:p>
    <w:p w:rsidR="009F42D0" w:rsidRDefault="009F42D0">
      <w:pPr>
        <w:spacing w:after="0"/>
        <w:jc w:val="both"/>
        <w:rPr>
          <w:rFonts w:ascii="Arial" w:eastAsia="Arial" w:hAnsi="Arial" w:cs="Arial"/>
        </w:rPr>
      </w:pPr>
    </w:p>
    <w:p w:rsidR="009F42D0" w:rsidRDefault="000B2A8E">
      <w:pPr>
        <w:numPr>
          <w:ilvl w:val="0"/>
          <w:numId w:val="4"/>
        </w:numPr>
        <w:spacing w:after="0"/>
        <w:ind w:hanging="360"/>
        <w:contextualSpacing/>
        <w:jc w:val="both"/>
        <w:rPr>
          <w:b/>
        </w:rPr>
      </w:pPr>
      <w:r>
        <w:rPr>
          <w:rFonts w:ascii="Arial" w:eastAsia="Arial" w:hAnsi="Arial" w:cs="Arial"/>
        </w:rPr>
        <w:t>Pacto Interna</w:t>
      </w:r>
      <w:r>
        <w:rPr>
          <w:rFonts w:ascii="Arial" w:eastAsia="Arial" w:hAnsi="Arial" w:cs="Arial"/>
        </w:rPr>
        <w:t>cional de los Derechos Civiles y Políticos, adoptado y abierto a la firma, ratificación y adhesión por la Asamblea General en su resolución 2200 A (XXI), de 16 diciembre de 1966, ratificado por la Ley 74 de 1968</w:t>
      </w:r>
      <w:r>
        <w:rPr>
          <w:rFonts w:ascii="Arial" w:eastAsia="Arial" w:hAnsi="Arial" w:cs="Arial"/>
          <w:vertAlign w:val="superscript"/>
        </w:rPr>
        <w:footnoteReference w:id="3"/>
      </w:r>
      <w:r>
        <w:rPr>
          <w:rFonts w:ascii="Arial" w:eastAsia="Arial" w:hAnsi="Arial" w:cs="Arial"/>
        </w:rPr>
        <w:t>.</w:t>
      </w:r>
    </w:p>
    <w:p w:rsidR="009F42D0" w:rsidRDefault="009F42D0">
      <w:pPr>
        <w:spacing w:after="0"/>
        <w:ind w:left="720"/>
        <w:jc w:val="both"/>
        <w:rPr>
          <w:rFonts w:ascii="Arial" w:eastAsia="Arial" w:hAnsi="Arial" w:cs="Arial"/>
          <w:b/>
        </w:rPr>
      </w:pPr>
    </w:p>
    <w:p w:rsidR="009F42D0" w:rsidRDefault="000B2A8E">
      <w:pPr>
        <w:numPr>
          <w:ilvl w:val="0"/>
          <w:numId w:val="4"/>
        </w:numPr>
        <w:spacing w:after="0"/>
        <w:ind w:hanging="360"/>
        <w:contextualSpacing/>
        <w:jc w:val="both"/>
        <w:rPr>
          <w:b/>
        </w:rPr>
      </w:pPr>
      <w:r>
        <w:rPr>
          <w:rFonts w:ascii="Arial" w:eastAsia="Arial" w:hAnsi="Arial" w:cs="Arial"/>
        </w:rPr>
        <w:t>Pacto Internacional de Derechos Económico</w:t>
      </w:r>
      <w:r>
        <w:rPr>
          <w:rFonts w:ascii="Arial" w:eastAsia="Arial" w:hAnsi="Arial" w:cs="Arial"/>
        </w:rPr>
        <w:t>s, Sociales y Culturales, ratificado por la Ley 74 de 1968</w:t>
      </w:r>
      <w:r>
        <w:rPr>
          <w:rFonts w:ascii="Arial" w:eastAsia="Arial" w:hAnsi="Arial" w:cs="Arial"/>
          <w:vertAlign w:val="superscript"/>
        </w:rPr>
        <w:footnoteReference w:id="4"/>
      </w:r>
      <w:r>
        <w:rPr>
          <w:rFonts w:ascii="Arial" w:eastAsia="Arial" w:hAnsi="Arial" w:cs="Arial"/>
        </w:rPr>
        <w:t>.</w:t>
      </w:r>
    </w:p>
    <w:p w:rsidR="009F42D0" w:rsidRDefault="009F42D0">
      <w:pPr>
        <w:spacing w:after="0"/>
        <w:ind w:left="720"/>
        <w:rPr>
          <w:rFonts w:ascii="Arial" w:eastAsia="Arial" w:hAnsi="Arial" w:cs="Arial"/>
        </w:rPr>
      </w:pPr>
    </w:p>
    <w:p w:rsidR="009F42D0" w:rsidRDefault="000B2A8E">
      <w:pPr>
        <w:numPr>
          <w:ilvl w:val="0"/>
          <w:numId w:val="4"/>
        </w:numPr>
        <w:spacing w:after="0"/>
        <w:ind w:hanging="360"/>
        <w:contextualSpacing/>
        <w:jc w:val="both"/>
        <w:rPr>
          <w:b/>
        </w:rPr>
      </w:pPr>
      <w:r>
        <w:rPr>
          <w:rFonts w:ascii="Arial" w:eastAsia="Arial" w:hAnsi="Arial" w:cs="Arial"/>
        </w:rPr>
        <w:lastRenderedPageBreak/>
        <w:t>Convención contra la Tortura y otros Tratos o Penas Crueles, Inhumanas o Degradantes, adoptado y abierto a la firma, ratificación y adhesión por la Asamblea General en su Resolución 39/46, de 10</w:t>
      </w:r>
      <w:r>
        <w:rPr>
          <w:rFonts w:ascii="Arial" w:eastAsia="Arial" w:hAnsi="Arial" w:cs="Arial"/>
        </w:rPr>
        <w:t xml:space="preserve"> de diciembre de 1984 (preámbulo párrafos 4 y 6, artículos 1, 2 y 4), ratificada por la Ley 70 de 1984</w:t>
      </w:r>
      <w:r>
        <w:rPr>
          <w:rFonts w:ascii="Arial" w:eastAsia="Arial" w:hAnsi="Arial" w:cs="Arial"/>
          <w:vertAlign w:val="superscript"/>
        </w:rPr>
        <w:footnoteReference w:id="5"/>
      </w:r>
      <w:r>
        <w:rPr>
          <w:rFonts w:ascii="Arial" w:eastAsia="Arial" w:hAnsi="Arial" w:cs="Arial"/>
        </w:rPr>
        <w:t>.</w:t>
      </w:r>
    </w:p>
    <w:p w:rsidR="009F42D0" w:rsidRDefault="009F42D0">
      <w:pPr>
        <w:spacing w:after="0"/>
        <w:ind w:left="720"/>
        <w:rPr>
          <w:rFonts w:ascii="Arial" w:eastAsia="Arial" w:hAnsi="Arial" w:cs="Arial"/>
        </w:rPr>
      </w:pPr>
    </w:p>
    <w:p w:rsidR="009F42D0" w:rsidRDefault="000B2A8E">
      <w:pPr>
        <w:numPr>
          <w:ilvl w:val="0"/>
          <w:numId w:val="4"/>
        </w:numPr>
        <w:spacing w:after="0"/>
        <w:ind w:hanging="360"/>
        <w:contextualSpacing/>
        <w:jc w:val="both"/>
        <w:rPr>
          <w:b/>
        </w:rPr>
      </w:pPr>
      <w:r>
        <w:rPr>
          <w:rFonts w:ascii="Arial" w:eastAsia="Arial" w:hAnsi="Arial" w:cs="Arial"/>
        </w:rPr>
        <w:t>Convención Americana de Derechos Humanos San José, Costa Rica 7 al 22 de noviembre de 1969, ratificada por la Ley 16 de 1972</w:t>
      </w:r>
      <w:r>
        <w:rPr>
          <w:rFonts w:ascii="Arial" w:eastAsia="Arial" w:hAnsi="Arial" w:cs="Arial"/>
          <w:vertAlign w:val="superscript"/>
        </w:rPr>
        <w:footnoteReference w:id="6"/>
      </w:r>
      <w:r>
        <w:rPr>
          <w:rFonts w:ascii="Arial" w:eastAsia="Arial" w:hAnsi="Arial" w:cs="Arial"/>
        </w:rPr>
        <w:t>.</w:t>
      </w:r>
    </w:p>
    <w:p w:rsidR="009F42D0" w:rsidRDefault="009F42D0">
      <w:pPr>
        <w:spacing w:after="0"/>
        <w:ind w:left="720"/>
        <w:rPr>
          <w:rFonts w:ascii="Arial" w:eastAsia="Arial" w:hAnsi="Arial" w:cs="Arial"/>
        </w:rPr>
      </w:pPr>
    </w:p>
    <w:p w:rsidR="009F42D0" w:rsidRDefault="000B2A8E">
      <w:pPr>
        <w:numPr>
          <w:ilvl w:val="0"/>
          <w:numId w:val="4"/>
        </w:numPr>
        <w:spacing w:after="0"/>
        <w:ind w:hanging="360"/>
        <w:contextualSpacing/>
        <w:jc w:val="both"/>
        <w:rPr>
          <w:b/>
        </w:rPr>
      </w:pPr>
      <w:r>
        <w:rPr>
          <w:rFonts w:ascii="Arial" w:eastAsia="Arial" w:hAnsi="Arial" w:cs="Arial"/>
        </w:rPr>
        <w:t>Declaración Universal de los Derechos Humanos.</w:t>
      </w:r>
    </w:p>
    <w:p w:rsidR="009F42D0" w:rsidRDefault="009F42D0">
      <w:pPr>
        <w:spacing w:after="0"/>
        <w:ind w:left="720"/>
        <w:rPr>
          <w:rFonts w:ascii="Arial" w:eastAsia="Arial" w:hAnsi="Arial" w:cs="Arial"/>
        </w:rPr>
      </w:pPr>
    </w:p>
    <w:p w:rsidR="009F42D0" w:rsidRDefault="000B2A8E">
      <w:pPr>
        <w:numPr>
          <w:ilvl w:val="0"/>
          <w:numId w:val="4"/>
        </w:numPr>
        <w:spacing w:after="0"/>
        <w:ind w:hanging="360"/>
        <w:contextualSpacing/>
        <w:jc w:val="both"/>
        <w:rPr>
          <w:b/>
        </w:rPr>
      </w:pPr>
      <w:r>
        <w:rPr>
          <w:rFonts w:ascii="Arial" w:eastAsia="Arial" w:hAnsi="Arial" w:cs="Arial"/>
        </w:rPr>
        <w:t>Código de conducta para funcionarios encargados de hacer cumplir la Ley, Adoptado por la Asamblea General de Naciones Unidas en su Resolución 34/169 del 17 de diciembre de 1979.</w:t>
      </w:r>
    </w:p>
    <w:p w:rsidR="009F42D0" w:rsidRDefault="009F42D0">
      <w:pPr>
        <w:spacing w:after="0"/>
        <w:ind w:left="720"/>
        <w:rPr>
          <w:rFonts w:ascii="Arial" w:eastAsia="Arial" w:hAnsi="Arial" w:cs="Arial"/>
        </w:rPr>
      </w:pPr>
    </w:p>
    <w:p w:rsidR="009F42D0" w:rsidRDefault="000B2A8E">
      <w:pPr>
        <w:numPr>
          <w:ilvl w:val="0"/>
          <w:numId w:val="4"/>
        </w:numPr>
        <w:spacing w:after="0"/>
        <w:ind w:hanging="360"/>
        <w:contextualSpacing/>
        <w:jc w:val="both"/>
        <w:rPr>
          <w:b/>
        </w:rPr>
      </w:pPr>
      <w:r>
        <w:rPr>
          <w:rFonts w:ascii="Arial" w:eastAsia="Arial" w:hAnsi="Arial" w:cs="Arial"/>
        </w:rPr>
        <w:t>Principios básicos sobre el e</w:t>
      </w:r>
      <w:r>
        <w:rPr>
          <w:rFonts w:ascii="Arial" w:eastAsia="Arial" w:hAnsi="Arial" w:cs="Arial"/>
        </w:rPr>
        <w:t>mpleo de la fuerza y de armas de fuego por los funcionarios encargados de hacer cumplir la Ley, adoptado por el octavo Congreso de las Naciones Unidas sobre Prevención del Delito y Tratamiento del Delincuente, Celebrado en la Habana (Cuba), del 27 de agost</w:t>
      </w:r>
      <w:r>
        <w:rPr>
          <w:rFonts w:ascii="Arial" w:eastAsia="Arial" w:hAnsi="Arial" w:cs="Arial"/>
        </w:rPr>
        <w:t>o al 7 de septiembre de 1990, siendo pertinente tener en cuenta:</w:t>
      </w:r>
    </w:p>
    <w:p w:rsidR="009F42D0" w:rsidRDefault="009F42D0">
      <w:pPr>
        <w:ind w:left="720"/>
        <w:rPr>
          <w:rFonts w:ascii="Arial" w:eastAsia="Arial" w:hAnsi="Arial" w:cs="Arial"/>
          <w:i/>
        </w:rPr>
      </w:pPr>
    </w:p>
    <w:p w:rsidR="009F42D0" w:rsidRDefault="000B2A8E">
      <w:pPr>
        <w:spacing w:after="0"/>
        <w:ind w:left="1440"/>
        <w:jc w:val="both"/>
        <w:rPr>
          <w:b/>
        </w:rPr>
      </w:pPr>
      <w:r>
        <w:rPr>
          <w:rFonts w:ascii="Arial" w:eastAsia="Arial" w:hAnsi="Arial" w:cs="Arial"/>
          <w:i/>
        </w:rPr>
        <w:t>“Los funcionarios encargados de hacer cumplir la ley no emplearán armas de fuego contra las personas salvo en defensa propia o de otras personas, en caso de peligro inminente de muerte o les</w:t>
      </w:r>
      <w:r>
        <w:rPr>
          <w:rFonts w:ascii="Arial" w:eastAsia="Arial" w:hAnsi="Arial" w:cs="Arial"/>
          <w:i/>
        </w:rPr>
        <w:t>iones graves, o con el propósito de evitar la comisión de un delito particularmente grave que entrañe una seria amenaza para la vida, o con el objeto de detener a una persona que represente ese peligro y oponga resistencia a su autoridad, o para impedir su</w:t>
      </w:r>
      <w:r>
        <w:rPr>
          <w:rFonts w:ascii="Arial" w:eastAsia="Arial" w:hAnsi="Arial" w:cs="Arial"/>
          <w:i/>
        </w:rPr>
        <w:t xml:space="preserve"> fuga, y sólo en caso de que resulten insuficientes medidas menos </w:t>
      </w:r>
      <w:r>
        <w:rPr>
          <w:rFonts w:ascii="Arial" w:eastAsia="Arial" w:hAnsi="Arial" w:cs="Arial"/>
          <w:i/>
        </w:rPr>
        <w:lastRenderedPageBreak/>
        <w:t>extremas para lograr dichos objetivos. En cualquier caso, sólo se podrá hacer uso intencional de armas letales cuando sea estrictamente inevitable para proteger una vida.”</w:t>
      </w:r>
    </w:p>
    <w:p w:rsidR="009F42D0" w:rsidRDefault="009F42D0">
      <w:pPr>
        <w:spacing w:after="0"/>
        <w:ind w:left="720"/>
        <w:jc w:val="both"/>
        <w:rPr>
          <w:rFonts w:ascii="Arial" w:eastAsia="Arial" w:hAnsi="Arial" w:cs="Arial"/>
          <w:i/>
        </w:rPr>
      </w:pPr>
    </w:p>
    <w:p w:rsidR="009F42D0" w:rsidRDefault="000B2A8E">
      <w:pPr>
        <w:numPr>
          <w:ilvl w:val="0"/>
          <w:numId w:val="4"/>
        </w:numPr>
        <w:spacing w:after="0"/>
        <w:ind w:hanging="360"/>
        <w:contextualSpacing/>
        <w:jc w:val="both"/>
        <w:rPr>
          <w:b/>
        </w:rPr>
      </w:pPr>
      <w:r>
        <w:rPr>
          <w:rFonts w:ascii="Arial" w:eastAsia="Arial" w:hAnsi="Arial" w:cs="Arial"/>
        </w:rPr>
        <w:t>Comité Internacio</w:t>
      </w:r>
      <w:r>
        <w:rPr>
          <w:rFonts w:ascii="Arial" w:eastAsia="Arial" w:hAnsi="Arial" w:cs="Arial"/>
        </w:rPr>
        <w:t>nal de la Cruz Roja (2017 – agosto 20 de 2018), Servir y proteger: Derecho de los Derechos Humanos y Derecho Humanitario para las Fuerzas de Policía y de Seguridad.</w:t>
      </w:r>
    </w:p>
    <w:p w:rsidR="009F42D0" w:rsidRDefault="009F42D0">
      <w:pPr>
        <w:spacing w:after="0"/>
        <w:ind w:left="720"/>
        <w:jc w:val="both"/>
        <w:rPr>
          <w:rFonts w:ascii="Arial" w:eastAsia="Arial" w:hAnsi="Arial" w:cs="Arial"/>
          <w:b/>
        </w:rPr>
      </w:pPr>
    </w:p>
    <w:p w:rsidR="009F42D0" w:rsidRDefault="000B2A8E">
      <w:pPr>
        <w:numPr>
          <w:ilvl w:val="0"/>
          <w:numId w:val="4"/>
        </w:numPr>
        <w:spacing w:after="0"/>
        <w:ind w:hanging="360"/>
        <w:contextualSpacing/>
        <w:jc w:val="both"/>
        <w:rPr>
          <w:b/>
        </w:rPr>
      </w:pPr>
      <w:r>
        <w:rPr>
          <w:rFonts w:ascii="Arial" w:eastAsia="Arial" w:hAnsi="Arial" w:cs="Arial"/>
        </w:rPr>
        <w:t>Conjunto de Principios para la Protección de todas las Personas Sometidas a Cualquier form</w:t>
      </w:r>
      <w:r>
        <w:rPr>
          <w:rFonts w:ascii="Arial" w:eastAsia="Arial" w:hAnsi="Arial" w:cs="Arial"/>
        </w:rPr>
        <w:t xml:space="preserve">a de Detención o Prisión, Proclamado por la Asamblea General de la Organización de las Naciones Unidas en su Resolución 43/173 del 9 de diciembre de 1988. </w:t>
      </w:r>
    </w:p>
    <w:p w:rsidR="009F42D0" w:rsidRDefault="009F42D0">
      <w:pPr>
        <w:spacing w:after="0"/>
        <w:ind w:left="426" w:hanging="426"/>
        <w:jc w:val="both"/>
        <w:rPr>
          <w:rFonts w:ascii="Arial" w:eastAsia="Arial" w:hAnsi="Arial" w:cs="Arial"/>
        </w:rPr>
      </w:pPr>
    </w:p>
    <w:p w:rsidR="009F42D0" w:rsidRDefault="000B2A8E">
      <w:pPr>
        <w:numPr>
          <w:ilvl w:val="0"/>
          <w:numId w:val="5"/>
        </w:numPr>
        <w:spacing w:after="0"/>
        <w:ind w:hanging="360"/>
        <w:contextualSpacing/>
        <w:jc w:val="both"/>
        <w:rPr>
          <w:rFonts w:ascii="Arial" w:eastAsia="Arial" w:hAnsi="Arial" w:cs="Arial"/>
          <w:b/>
        </w:rPr>
      </w:pPr>
      <w:r>
        <w:rPr>
          <w:rFonts w:ascii="Arial" w:eastAsia="Arial" w:hAnsi="Arial" w:cs="Arial"/>
          <w:b/>
        </w:rPr>
        <w:t xml:space="preserve">Normatividad Nacional: </w:t>
      </w:r>
    </w:p>
    <w:p w:rsidR="009F42D0" w:rsidRDefault="009F42D0">
      <w:pPr>
        <w:spacing w:after="0"/>
        <w:ind w:left="720"/>
        <w:jc w:val="both"/>
        <w:rPr>
          <w:rFonts w:ascii="Arial" w:eastAsia="Arial" w:hAnsi="Arial" w:cs="Arial"/>
          <w:b/>
        </w:rPr>
      </w:pPr>
    </w:p>
    <w:p w:rsidR="009F42D0" w:rsidRDefault="000B2A8E">
      <w:pPr>
        <w:numPr>
          <w:ilvl w:val="0"/>
          <w:numId w:val="1"/>
        </w:numPr>
        <w:spacing w:after="0"/>
        <w:ind w:hanging="360"/>
        <w:contextualSpacing/>
        <w:jc w:val="both"/>
        <w:rPr>
          <w:b/>
        </w:rPr>
      </w:pPr>
      <w:r>
        <w:rPr>
          <w:rFonts w:ascii="Arial" w:eastAsia="Arial" w:hAnsi="Arial" w:cs="Arial"/>
          <w:b/>
        </w:rPr>
        <w:t xml:space="preserve">Constitución Política. </w:t>
      </w:r>
      <w:r>
        <w:rPr>
          <w:rFonts w:ascii="Arial" w:eastAsia="Arial" w:hAnsi="Arial" w:cs="Arial"/>
          <w:b/>
          <w:u w:val="single"/>
        </w:rPr>
        <w:t>Artículo 218</w:t>
      </w:r>
      <w:r>
        <w:rPr>
          <w:rFonts w:ascii="Arial" w:eastAsia="Arial" w:hAnsi="Arial" w:cs="Arial"/>
        </w:rPr>
        <w:t>:</w:t>
      </w:r>
      <w:r>
        <w:rPr>
          <w:rFonts w:ascii="Arial" w:eastAsia="Arial" w:hAnsi="Arial" w:cs="Arial"/>
          <w:b/>
        </w:rPr>
        <w:t xml:space="preserve"> </w:t>
      </w:r>
      <w:r>
        <w:rPr>
          <w:rFonts w:ascii="Arial" w:eastAsia="Arial" w:hAnsi="Arial" w:cs="Arial"/>
        </w:rPr>
        <w:t>“La Policía Nacional es un cuerpo arm</w:t>
      </w:r>
      <w:r>
        <w:rPr>
          <w:rFonts w:ascii="Arial" w:eastAsia="Arial" w:hAnsi="Arial" w:cs="Arial"/>
        </w:rPr>
        <w:t xml:space="preserve">ado permanente de naturaleza civil, a cargo de la </w:t>
      </w:r>
      <w:proofErr w:type="spellStart"/>
      <w:r>
        <w:rPr>
          <w:rFonts w:ascii="Arial" w:eastAsia="Arial" w:hAnsi="Arial" w:cs="Arial"/>
        </w:rPr>
        <w:t>Nación</w:t>
      </w:r>
      <w:proofErr w:type="spellEnd"/>
      <w:r>
        <w:rPr>
          <w:rFonts w:ascii="Arial" w:eastAsia="Arial" w:hAnsi="Arial" w:cs="Arial"/>
        </w:rPr>
        <w:t xml:space="preserve">, cuyo fin primordial es el mantenimiento de las condiciones necesarias para el ejercicio de los derechos y libertades </w:t>
      </w:r>
      <w:proofErr w:type="spellStart"/>
      <w:r>
        <w:rPr>
          <w:rFonts w:ascii="Arial" w:eastAsia="Arial" w:hAnsi="Arial" w:cs="Arial"/>
        </w:rPr>
        <w:t>públicas</w:t>
      </w:r>
      <w:proofErr w:type="spellEnd"/>
      <w:r>
        <w:rPr>
          <w:rFonts w:ascii="Arial" w:eastAsia="Arial" w:hAnsi="Arial" w:cs="Arial"/>
        </w:rPr>
        <w:t xml:space="preserve">, y para asegurar que los habitantes de Colombia convivan en paz. </w:t>
      </w:r>
    </w:p>
    <w:p w:rsidR="009F42D0" w:rsidRDefault="009F42D0">
      <w:pPr>
        <w:spacing w:after="0"/>
        <w:ind w:left="709"/>
        <w:jc w:val="both"/>
        <w:rPr>
          <w:rFonts w:ascii="Arial" w:eastAsia="Arial" w:hAnsi="Arial" w:cs="Arial"/>
          <w:b/>
        </w:rPr>
      </w:pPr>
    </w:p>
    <w:p w:rsidR="009F42D0" w:rsidRDefault="000B2A8E">
      <w:pPr>
        <w:numPr>
          <w:ilvl w:val="0"/>
          <w:numId w:val="1"/>
        </w:numPr>
        <w:spacing w:after="0"/>
        <w:ind w:hanging="360"/>
        <w:contextualSpacing/>
        <w:jc w:val="both"/>
        <w:rPr>
          <w:b/>
        </w:rPr>
      </w:pPr>
      <w:r>
        <w:rPr>
          <w:rFonts w:ascii="Arial" w:eastAsia="Arial" w:hAnsi="Arial" w:cs="Arial"/>
        </w:rPr>
        <w:t xml:space="preserve">Ley 62 del 12 de agosto de 1993, </w:t>
      </w:r>
      <w:r>
        <w:rPr>
          <w:rFonts w:ascii="Arial" w:eastAsia="Arial" w:hAnsi="Arial" w:cs="Arial"/>
          <w:i/>
        </w:rPr>
        <w:t>“Por la cual se expiden normas sobre la Policía Nacional, se crea un establecimiento público de seguridad social y bienestar para la Policía Nacional, se crea la Superintendencia de Vigilancia y Seguridad Privada y se revis</w:t>
      </w:r>
      <w:r>
        <w:rPr>
          <w:rFonts w:ascii="Arial" w:eastAsia="Arial" w:hAnsi="Arial" w:cs="Arial"/>
          <w:i/>
        </w:rPr>
        <w:t>te de facultades extraordinarias al Presidente de la Republica”.</w:t>
      </w:r>
    </w:p>
    <w:p w:rsidR="009F42D0" w:rsidRDefault="009F42D0">
      <w:pPr>
        <w:spacing w:after="0"/>
        <w:ind w:left="720"/>
        <w:jc w:val="both"/>
        <w:rPr>
          <w:rFonts w:ascii="Arial" w:eastAsia="Arial" w:hAnsi="Arial" w:cs="Arial"/>
          <w:b/>
        </w:rPr>
      </w:pPr>
    </w:p>
    <w:p w:rsidR="009F42D0" w:rsidRDefault="000B2A8E">
      <w:pPr>
        <w:numPr>
          <w:ilvl w:val="0"/>
          <w:numId w:val="1"/>
        </w:numPr>
        <w:spacing w:after="0"/>
        <w:ind w:hanging="360"/>
        <w:contextualSpacing/>
        <w:jc w:val="both"/>
        <w:rPr>
          <w:b/>
        </w:rPr>
      </w:pPr>
      <w:r>
        <w:rPr>
          <w:rFonts w:ascii="Arial" w:eastAsia="Arial" w:hAnsi="Arial" w:cs="Arial"/>
        </w:rPr>
        <w:t xml:space="preserve">Ley 906 del 31 de julio del 2004, </w:t>
      </w:r>
      <w:r>
        <w:rPr>
          <w:rFonts w:ascii="Arial" w:eastAsia="Arial" w:hAnsi="Arial" w:cs="Arial"/>
          <w:i/>
        </w:rPr>
        <w:t>“Por la cual se expide el Código de Procedimiento Penal”.</w:t>
      </w:r>
    </w:p>
    <w:p w:rsidR="009F42D0" w:rsidRDefault="009F42D0">
      <w:pPr>
        <w:spacing w:after="0"/>
        <w:ind w:left="720"/>
        <w:rPr>
          <w:rFonts w:ascii="Arial" w:eastAsia="Arial" w:hAnsi="Arial" w:cs="Arial"/>
        </w:rPr>
      </w:pPr>
    </w:p>
    <w:p w:rsidR="009F42D0" w:rsidRDefault="000B2A8E">
      <w:pPr>
        <w:numPr>
          <w:ilvl w:val="0"/>
          <w:numId w:val="1"/>
        </w:numPr>
        <w:spacing w:after="0"/>
        <w:ind w:hanging="360"/>
        <w:contextualSpacing/>
        <w:jc w:val="both"/>
        <w:rPr>
          <w:b/>
        </w:rPr>
      </w:pPr>
      <w:r>
        <w:rPr>
          <w:rFonts w:ascii="Arial" w:eastAsia="Arial" w:hAnsi="Arial" w:cs="Arial"/>
        </w:rPr>
        <w:t xml:space="preserve">Ley 1801 del 29 de julio del 2016 </w:t>
      </w:r>
      <w:r>
        <w:rPr>
          <w:rFonts w:ascii="Arial" w:eastAsia="Arial" w:hAnsi="Arial" w:cs="Arial"/>
          <w:i/>
        </w:rPr>
        <w:t>“Por el cual se expide el Código Nacional de Seguridad y Conviv</w:t>
      </w:r>
      <w:r>
        <w:rPr>
          <w:rFonts w:ascii="Arial" w:eastAsia="Arial" w:hAnsi="Arial" w:cs="Arial"/>
          <w:i/>
        </w:rPr>
        <w:t>encia Ciudadana”.</w:t>
      </w:r>
    </w:p>
    <w:p w:rsidR="009F42D0" w:rsidRDefault="009F42D0">
      <w:pPr>
        <w:spacing w:after="0"/>
        <w:ind w:left="720"/>
        <w:rPr>
          <w:rFonts w:ascii="Arial" w:eastAsia="Arial" w:hAnsi="Arial" w:cs="Arial"/>
        </w:rPr>
      </w:pPr>
    </w:p>
    <w:p w:rsidR="009F42D0" w:rsidRDefault="000B2A8E">
      <w:pPr>
        <w:numPr>
          <w:ilvl w:val="0"/>
          <w:numId w:val="1"/>
        </w:numPr>
        <w:spacing w:after="0"/>
        <w:ind w:hanging="360"/>
        <w:contextualSpacing/>
        <w:jc w:val="both"/>
        <w:rPr>
          <w:b/>
        </w:rPr>
      </w:pPr>
      <w:r>
        <w:rPr>
          <w:rFonts w:ascii="Arial" w:eastAsia="Arial" w:hAnsi="Arial" w:cs="Arial"/>
        </w:rPr>
        <w:t xml:space="preserve">Resolución 1190 del 03 de agosto de 2018 </w:t>
      </w:r>
      <w:r>
        <w:rPr>
          <w:rFonts w:ascii="Arial" w:eastAsia="Arial" w:hAnsi="Arial" w:cs="Arial"/>
          <w:i/>
        </w:rPr>
        <w:t>“Protocolo para la Coordinación de las acciones de respeto y garantía a la protesta pacífica como un ejercicio legítimo de los derechos de reunión, manifestación pública y pacífica, libertad de as</w:t>
      </w:r>
      <w:r>
        <w:rPr>
          <w:rFonts w:ascii="Arial" w:eastAsia="Arial" w:hAnsi="Arial" w:cs="Arial"/>
          <w:i/>
        </w:rPr>
        <w:t>ociación, libre circulación, a la libre expresión, libertad de conciencia, a la oposición y a la participación, inclusive de quienes no participan en la protesta pacífica”.</w:t>
      </w:r>
    </w:p>
    <w:p w:rsidR="009F42D0" w:rsidRDefault="009F42D0">
      <w:pPr>
        <w:spacing w:after="0"/>
        <w:ind w:left="284"/>
        <w:jc w:val="both"/>
        <w:rPr>
          <w:rFonts w:ascii="Arial" w:eastAsia="Arial" w:hAnsi="Arial" w:cs="Arial"/>
        </w:rPr>
      </w:pPr>
    </w:p>
    <w:p w:rsidR="009F42D0" w:rsidRDefault="000B2A8E">
      <w:pPr>
        <w:numPr>
          <w:ilvl w:val="0"/>
          <w:numId w:val="5"/>
        </w:numPr>
        <w:spacing w:after="0"/>
        <w:ind w:hanging="360"/>
        <w:contextualSpacing/>
        <w:jc w:val="both"/>
        <w:rPr>
          <w:rFonts w:ascii="Arial" w:eastAsia="Arial" w:hAnsi="Arial" w:cs="Arial"/>
          <w:b/>
        </w:rPr>
      </w:pPr>
      <w:r>
        <w:rPr>
          <w:rFonts w:ascii="Arial" w:eastAsia="Arial" w:hAnsi="Arial" w:cs="Arial"/>
          <w:b/>
        </w:rPr>
        <w:t xml:space="preserve">Regulación Interna de la Policía Nacional: </w:t>
      </w:r>
    </w:p>
    <w:p w:rsidR="009F42D0" w:rsidRDefault="009F42D0">
      <w:pPr>
        <w:spacing w:after="0"/>
        <w:ind w:left="284"/>
        <w:jc w:val="both"/>
        <w:rPr>
          <w:rFonts w:ascii="Arial" w:eastAsia="Arial" w:hAnsi="Arial" w:cs="Arial"/>
        </w:rPr>
      </w:pPr>
    </w:p>
    <w:p w:rsidR="009F42D0" w:rsidRDefault="000B2A8E">
      <w:pPr>
        <w:numPr>
          <w:ilvl w:val="0"/>
          <w:numId w:val="3"/>
        </w:numPr>
        <w:spacing w:after="0"/>
        <w:ind w:hanging="360"/>
        <w:contextualSpacing/>
        <w:jc w:val="both"/>
      </w:pPr>
      <w:r>
        <w:rPr>
          <w:rFonts w:ascii="Arial" w:eastAsia="Arial" w:hAnsi="Arial" w:cs="Arial"/>
        </w:rPr>
        <w:t xml:space="preserve">Resolución 00911 del 01 de abril del </w:t>
      </w:r>
      <w:r>
        <w:rPr>
          <w:rFonts w:ascii="Arial" w:eastAsia="Arial" w:hAnsi="Arial" w:cs="Arial"/>
        </w:rPr>
        <w:t>2009 “</w:t>
      </w:r>
      <w:r>
        <w:rPr>
          <w:rFonts w:ascii="Arial" w:eastAsia="Arial" w:hAnsi="Arial" w:cs="Arial"/>
          <w:i/>
        </w:rPr>
        <w:t xml:space="preserve">Por la cual se adopta el Manual de Patrullaje Urbano para la Policía Nacional”. </w:t>
      </w:r>
    </w:p>
    <w:p w:rsidR="009F42D0" w:rsidRDefault="009F42D0">
      <w:pPr>
        <w:spacing w:after="0"/>
        <w:ind w:left="720"/>
        <w:jc w:val="both"/>
        <w:rPr>
          <w:rFonts w:ascii="Arial" w:eastAsia="Arial" w:hAnsi="Arial" w:cs="Arial"/>
          <w:i/>
        </w:rPr>
      </w:pPr>
    </w:p>
    <w:p w:rsidR="009F42D0" w:rsidRDefault="000B2A8E">
      <w:pPr>
        <w:numPr>
          <w:ilvl w:val="0"/>
          <w:numId w:val="3"/>
        </w:numPr>
        <w:spacing w:after="0"/>
        <w:ind w:hanging="360"/>
        <w:contextualSpacing/>
        <w:jc w:val="both"/>
      </w:pPr>
      <w:r>
        <w:rPr>
          <w:rFonts w:ascii="Arial" w:eastAsia="Arial" w:hAnsi="Arial" w:cs="Arial"/>
        </w:rPr>
        <w:t xml:space="preserve">Resolución 02903 del 23 de junio del 2017 </w:t>
      </w:r>
      <w:r>
        <w:rPr>
          <w:rFonts w:ascii="Arial" w:eastAsia="Arial" w:hAnsi="Arial" w:cs="Arial"/>
          <w:i/>
        </w:rPr>
        <w:t>“Por la cual se expide el Reglamento para el uso de la fuerza y el empleo de armas, municiones, elementos y dispositivos menos</w:t>
      </w:r>
      <w:r>
        <w:rPr>
          <w:rFonts w:ascii="Arial" w:eastAsia="Arial" w:hAnsi="Arial" w:cs="Arial"/>
          <w:i/>
        </w:rPr>
        <w:t xml:space="preserve"> letales, por la Policía Nacional”.</w:t>
      </w:r>
    </w:p>
    <w:p w:rsidR="009F42D0" w:rsidRDefault="009F42D0">
      <w:pPr>
        <w:spacing w:after="0"/>
        <w:ind w:left="720"/>
        <w:rPr>
          <w:rFonts w:ascii="Arial" w:eastAsia="Arial" w:hAnsi="Arial" w:cs="Arial"/>
        </w:rPr>
      </w:pPr>
    </w:p>
    <w:p w:rsidR="009F42D0" w:rsidRDefault="000B2A8E">
      <w:pPr>
        <w:numPr>
          <w:ilvl w:val="0"/>
          <w:numId w:val="3"/>
        </w:numPr>
        <w:spacing w:after="0"/>
        <w:ind w:hanging="360"/>
        <w:contextualSpacing/>
        <w:jc w:val="both"/>
      </w:pPr>
      <w:r>
        <w:rPr>
          <w:rFonts w:ascii="Arial" w:eastAsia="Arial" w:hAnsi="Arial" w:cs="Arial"/>
        </w:rPr>
        <w:t xml:space="preserve">Resolución 03002 del 29 de junio del 2017 </w:t>
      </w:r>
      <w:r>
        <w:rPr>
          <w:rFonts w:ascii="Arial" w:eastAsia="Arial" w:hAnsi="Arial" w:cs="Arial"/>
          <w:i/>
        </w:rPr>
        <w:t>“Por la cual se expide el Manual para el servicio en manifestaciones y control de disturbios para la Policía Nacional”.</w:t>
      </w:r>
    </w:p>
    <w:p w:rsidR="009F42D0" w:rsidRDefault="009F42D0">
      <w:pPr>
        <w:spacing w:after="0"/>
        <w:ind w:left="720"/>
        <w:rPr>
          <w:rFonts w:ascii="Arial" w:eastAsia="Arial" w:hAnsi="Arial" w:cs="Arial"/>
        </w:rPr>
      </w:pPr>
    </w:p>
    <w:p w:rsidR="009F42D0" w:rsidRDefault="000B2A8E">
      <w:pPr>
        <w:numPr>
          <w:ilvl w:val="0"/>
          <w:numId w:val="3"/>
        </w:numPr>
        <w:spacing w:after="0"/>
        <w:ind w:hanging="360"/>
        <w:contextualSpacing/>
        <w:jc w:val="both"/>
      </w:pPr>
      <w:r>
        <w:rPr>
          <w:rFonts w:ascii="Arial" w:eastAsia="Arial" w:hAnsi="Arial" w:cs="Arial"/>
        </w:rPr>
        <w:t>Guía Práctica del Sistema Táctico Básico Policial código 3EC-GU0001 de 10 de diciembre del 2018.</w:t>
      </w:r>
    </w:p>
    <w:p w:rsidR="009F42D0" w:rsidRDefault="009F42D0">
      <w:pPr>
        <w:spacing w:after="0"/>
        <w:ind w:left="720"/>
        <w:rPr>
          <w:rFonts w:ascii="Arial" w:eastAsia="Arial" w:hAnsi="Arial" w:cs="Arial"/>
        </w:rPr>
      </w:pPr>
    </w:p>
    <w:p w:rsidR="009F42D0" w:rsidRDefault="000B2A8E">
      <w:pPr>
        <w:numPr>
          <w:ilvl w:val="0"/>
          <w:numId w:val="3"/>
        </w:numPr>
        <w:spacing w:after="0"/>
        <w:ind w:hanging="360"/>
        <w:contextualSpacing/>
        <w:jc w:val="both"/>
      </w:pPr>
      <w:r>
        <w:rPr>
          <w:rFonts w:ascii="Arial" w:eastAsia="Arial" w:hAnsi="Arial" w:cs="Arial"/>
        </w:rPr>
        <w:t xml:space="preserve">Directiva Operativa Transitoria 005 DIPON-DISEC del 01/03/2020 </w:t>
      </w:r>
      <w:r>
        <w:rPr>
          <w:rFonts w:ascii="Arial" w:eastAsia="Arial" w:hAnsi="Arial" w:cs="Arial"/>
          <w:i/>
        </w:rPr>
        <w:t>“Parámetros institucionales para la activación del sistema de anticipación y atención de manifestaciones públicas y control de disturbios en el territorio nacional”.</w:t>
      </w:r>
    </w:p>
    <w:p w:rsidR="009F42D0" w:rsidRDefault="009F42D0">
      <w:pPr>
        <w:spacing w:after="0"/>
        <w:ind w:left="720"/>
        <w:rPr>
          <w:rFonts w:ascii="Arial" w:eastAsia="Arial" w:hAnsi="Arial" w:cs="Arial"/>
          <w:i/>
        </w:rPr>
      </w:pPr>
    </w:p>
    <w:p w:rsidR="009F42D0" w:rsidRDefault="000B2A8E">
      <w:pPr>
        <w:numPr>
          <w:ilvl w:val="0"/>
          <w:numId w:val="3"/>
        </w:numPr>
        <w:spacing w:after="0"/>
        <w:ind w:hanging="360"/>
        <w:contextualSpacing/>
        <w:jc w:val="both"/>
      </w:pPr>
      <w:r>
        <w:rPr>
          <w:rFonts w:ascii="Arial" w:eastAsia="Arial" w:hAnsi="Arial" w:cs="Arial"/>
          <w:i/>
        </w:rPr>
        <w:t xml:space="preserve">La Ley 1801 de 2016, por la cual se expide el Código Nacional de Seguridad y Convivencia </w:t>
      </w:r>
      <w:r>
        <w:rPr>
          <w:rFonts w:ascii="Arial" w:eastAsia="Arial" w:hAnsi="Arial" w:cs="Arial"/>
          <w:i/>
        </w:rPr>
        <w:t xml:space="preserve">Ciudadana, respecto de las obligaciones de la policía establece: </w:t>
      </w:r>
      <w:bookmarkStart w:id="0" w:name="gjdgxs" w:colFirst="0" w:colLast="0"/>
      <w:bookmarkEnd w:id="0"/>
    </w:p>
    <w:p w:rsidR="009F42D0" w:rsidRDefault="009F42D0">
      <w:pPr>
        <w:spacing w:after="0"/>
        <w:ind w:left="720"/>
        <w:rPr>
          <w:rFonts w:ascii="Arial" w:eastAsia="Arial" w:hAnsi="Arial" w:cs="Arial"/>
          <w:i/>
          <w:highlight w:val="white"/>
        </w:rPr>
      </w:pPr>
    </w:p>
    <w:p w:rsidR="009F42D0" w:rsidRDefault="000B2A8E">
      <w:pPr>
        <w:numPr>
          <w:ilvl w:val="0"/>
          <w:numId w:val="3"/>
        </w:numPr>
        <w:spacing w:after="0"/>
        <w:ind w:hanging="360"/>
        <w:contextualSpacing/>
        <w:jc w:val="both"/>
      </w:pPr>
      <w:r>
        <w:rPr>
          <w:rFonts w:ascii="Arial" w:eastAsia="Arial" w:hAnsi="Arial" w:cs="Arial"/>
          <w:i/>
          <w:highlight w:val="white"/>
        </w:rPr>
        <w:t>La Ley 1015 de 2006</w:t>
      </w:r>
      <w:r>
        <w:rPr>
          <w:rFonts w:ascii="Arial" w:eastAsia="Arial" w:hAnsi="Arial" w:cs="Arial"/>
          <w:i/>
        </w:rPr>
        <w:t xml:space="preserve">, </w:t>
      </w:r>
      <w:r>
        <w:rPr>
          <w:rFonts w:ascii="Arial" w:eastAsia="Arial" w:hAnsi="Arial" w:cs="Arial"/>
          <w:i/>
          <w:highlight w:val="white"/>
        </w:rPr>
        <w:t>por medio de la cual se expide el Régimen Disciplinario para la Policía Nacional, establece de manera taxativa la mayoría de las sanciones que se pretende aplicar en el</w:t>
      </w:r>
      <w:r>
        <w:rPr>
          <w:rFonts w:ascii="Arial" w:eastAsia="Arial" w:hAnsi="Arial" w:cs="Arial"/>
          <w:i/>
          <w:highlight w:val="white"/>
        </w:rPr>
        <w:t xml:space="preserve"> proyecto de ley estatutaria propuesto, así:</w:t>
      </w:r>
      <w:r>
        <w:rPr>
          <w:rFonts w:ascii="Arial" w:eastAsia="Arial" w:hAnsi="Arial" w:cs="Arial"/>
          <w:highlight w:val="white"/>
        </w:rPr>
        <w:t xml:space="preserve"> </w:t>
      </w:r>
    </w:p>
    <w:p w:rsidR="009F42D0" w:rsidRDefault="009F42D0">
      <w:pPr>
        <w:shd w:val="clear" w:color="auto" w:fill="FFFFFF"/>
        <w:spacing w:before="100" w:after="100"/>
        <w:jc w:val="both"/>
        <w:rPr>
          <w:rFonts w:ascii="Arial" w:eastAsia="Arial" w:hAnsi="Arial" w:cs="Arial"/>
        </w:rPr>
      </w:pPr>
    </w:p>
    <w:p w:rsidR="009F42D0" w:rsidRDefault="000B2A8E">
      <w:pPr>
        <w:numPr>
          <w:ilvl w:val="0"/>
          <w:numId w:val="2"/>
        </w:numPr>
        <w:spacing w:after="0"/>
        <w:ind w:hanging="360"/>
        <w:contextualSpacing/>
        <w:jc w:val="both"/>
        <w:rPr>
          <w:rFonts w:ascii="Arial" w:eastAsia="Arial" w:hAnsi="Arial" w:cs="Arial"/>
        </w:rPr>
      </w:pPr>
      <w:r>
        <w:rPr>
          <w:rFonts w:ascii="Arial" w:eastAsia="Arial" w:hAnsi="Arial" w:cs="Arial"/>
          <w:b/>
        </w:rPr>
        <w:t>PROPOSICIÓN</w:t>
      </w:r>
    </w:p>
    <w:p w:rsidR="009F42D0" w:rsidRDefault="009F42D0">
      <w:pPr>
        <w:spacing w:after="0"/>
        <w:ind w:left="1080"/>
        <w:jc w:val="both"/>
        <w:rPr>
          <w:rFonts w:ascii="Arial" w:eastAsia="Arial" w:hAnsi="Arial" w:cs="Arial"/>
        </w:rPr>
      </w:pPr>
    </w:p>
    <w:p w:rsidR="009F42D0" w:rsidRDefault="000B2A8E">
      <w:pPr>
        <w:spacing w:after="0"/>
        <w:jc w:val="both"/>
        <w:rPr>
          <w:rFonts w:ascii="Arial" w:eastAsia="Arial" w:hAnsi="Arial" w:cs="Arial"/>
        </w:rPr>
      </w:pPr>
      <w:r>
        <w:rPr>
          <w:rFonts w:ascii="Arial" w:eastAsia="Arial" w:hAnsi="Arial" w:cs="Arial"/>
        </w:rPr>
        <w:t xml:space="preserve">Por las anteriores razones presentamos ponencia negativa y en su defecto el archivo del Proyecto de Ley 411 de 2020 Cámara </w:t>
      </w:r>
      <w:r>
        <w:rPr>
          <w:rFonts w:ascii="Arial" w:eastAsia="Arial" w:hAnsi="Arial" w:cs="Arial"/>
          <w:i/>
        </w:rPr>
        <w:t>“POR MEDIO DE LA CUAL SE DICTAN MEDIDAS PARA LA PREVENCIÓN Y SANCIÓN DE L</w:t>
      </w:r>
      <w:r>
        <w:rPr>
          <w:rFonts w:ascii="Arial" w:eastAsia="Arial" w:hAnsi="Arial" w:cs="Arial"/>
          <w:i/>
        </w:rPr>
        <w:t>OS ABUSOS EN LA ACTIVIDAD DE POLICÍA”</w:t>
      </w:r>
    </w:p>
    <w:p w:rsidR="009F42D0" w:rsidRDefault="009F42D0">
      <w:pPr>
        <w:spacing w:after="0"/>
        <w:jc w:val="both"/>
        <w:rPr>
          <w:rFonts w:ascii="Arial" w:eastAsia="Arial" w:hAnsi="Arial" w:cs="Arial"/>
          <w:b/>
        </w:rPr>
      </w:pPr>
    </w:p>
    <w:p w:rsidR="009F42D0" w:rsidRDefault="009F42D0">
      <w:pPr>
        <w:spacing w:after="0"/>
        <w:jc w:val="both"/>
        <w:rPr>
          <w:rFonts w:ascii="Arial" w:eastAsia="Arial" w:hAnsi="Arial" w:cs="Arial"/>
          <w:b/>
        </w:rPr>
      </w:pPr>
    </w:p>
    <w:p w:rsidR="009F42D0" w:rsidRDefault="009F42D0">
      <w:pPr>
        <w:spacing w:after="0"/>
        <w:jc w:val="both"/>
        <w:rPr>
          <w:rFonts w:ascii="Arial" w:eastAsia="Arial" w:hAnsi="Arial" w:cs="Arial"/>
          <w:b/>
        </w:rPr>
      </w:pPr>
    </w:p>
    <w:p w:rsidR="009F42D0" w:rsidRDefault="000B2A8E">
      <w:pPr>
        <w:spacing w:after="0"/>
        <w:jc w:val="both"/>
        <w:rPr>
          <w:rFonts w:ascii="Arial" w:eastAsia="Arial" w:hAnsi="Arial" w:cs="Arial"/>
          <w:b/>
        </w:rPr>
      </w:pPr>
      <w:r>
        <w:rPr>
          <w:rFonts w:ascii="Arial" w:eastAsia="Arial" w:hAnsi="Arial" w:cs="Arial"/>
          <w:b/>
        </w:rPr>
        <w:t xml:space="preserve">                                                                                             </w:t>
      </w:r>
    </w:p>
    <w:p w:rsidR="009F42D0" w:rsidRDefault="009F42D0">
      <w:pPr>
        <w:spacing w:after="0"/>
        <w:jc w:val="both"/>
        <w:rPr>
          <w:rFonts w:ascii="Arial" w:eastAsia="Arial" w:hAnsi="Arial" w:cs="Arial"/>
          <w:b/>
        </w:rPr>
      </w:pPr>
    </w:p>
    <w:p w:rsidR="009F42D0" w:rsidRDefault="000B2A8E">
      <w:pPr>
        <w:spacing w:after="0"/>
        <w:jc w:val="both"/>
        <w:rPr>
          <w:rFonts w:ascii="Arial" w:eastAsia="Arial" w:hAnsi="Arial" w:cs="Arial"/>
          <w:b/>
        </w:rPr>
      </w:pPr>
      <w:r>
        <w:rPr>
          <w:rFonts w:ascii="Arial" w:eastAsia="Arial" w:hAnsi="Arial" w:cs="Arial"/>
          <w:b/>
        </w:rPr>
        <w:t>JORGE ENRIQUE BURGOS</w:t>
      </w:r>
      <w:r>
        <w:rPr>
          <w:rFonts w:ascii="Arial" w:eastAsia="Arial" w:hAnsi="Arial" w:cs="Arial"/>
        </w:rPr>
        <w:t xml:space="preserve">                                              </w:t>
      </w:r>
      <w:r>
        <w:rPr>
          <w:rFonts w:ascii="Arial" w:eastAsia="Arial" w:hAnsi="Arial" w:cs="Arial"/>
          <w:b/>
        </w:rPr>
        <w:t xml:space="preserve">ÁLVARO HERNÁN PRADA                                  </w:t>
      </w:r>
      <w:r>
        <w:rPr>
          <w:rFonts w:ascii="Arial" w:eastAsia="Arial" w:hAnsi="Arial" w:cs="Arial"/>
          <w:b/>
        </w:rPr>
        <w:t xml:space="preserve">        </w:t>
      </w:r>
    </w:p>
    <w:p w:rsidR="009F42D0" w:rsidRDefault="000B2A8E">
      <w:pPr>
        <w:spacing w:after="0"/>
        <w:jc w:val="both"/>
        <w:rPr>
          <w:rFonts w:ascii="Arial" w:eastAsia="Arial" w:hAnsi="Arial" w:cs="Arial"/>
        </w:rPr>
      </w:pPr>
      <w:bookmarkStart w:id="1" w:name="_30j0zll" w:colFirst="0" w:colLast="0"/>
      <w:bookmarkEnd w:id="1"/>
      <w:r>
        <w:rPr>
          <w:rFonts w:ascii="Arial" w:eastAsia="Arial" w:hAnsi="Arial" w:cs="Arial"/>
        </w:rPr>
        <w:t>Ponente Coordinador                                                           Ponente</w:t>
      </w: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rPr>
      </w:pPr>
    </w:p>
    <w:p w:rsidR="009F42D0" w:rsidRDefault="009F42D0">
      <w:pPr>
        <w:spacing w:after="0"/>
        <w:jc w:val="both"/>
        <w:rPr>
          <w:rFonts w:ascii="Arial" w:eastAsia="Arial" w:hAnsi="Arial" w:cs="Arial"/>
          <w:b/>
        </w:rPr>
      </w:pPr>
    </w:p>
    <w:p w:rsidR="009F42D0" w:rsidRDefault="009F42D0">
      <w:pPr>
        <w:spacing w:after="0"/>
        <w:jc w:val="both"/>
        <w:rPr>
          <w:rFonts w:ascii="Arial" w:eastAsia="Arial" w:hAnsi="Arial" w:cs="Arial"/>
          <w:b/>
        </w:rPr>
      </w:pPr>
    </w:p>
    <w:p w:rsidR="009F42D0" w:rsidRDefault="009F42D0">
      <w:pPr>
        <w:spacing w:after="0"/>
        <w:jc w:val="both"/>
        <w:rPr>
          <w:rFonts w:ascii="Arial" w:eastAsia="Arial" w:hAnsi="Arial" w:cs="Arial"/>
          <w:b/>
        </w:rPr>
      </w:pPr>
      <w:bookmarkStart w:id="2" w:name="_GoBack"/>
      <w:bookmarkEnd w:id="2"/>
    </w:p>
    <w:p w:rsidR="009F42D0" w:rsidRDefault="009F42D0">
      <w:pPr>
        <w:spacing w:after="0"/>
        <w:jc w:val="both"/>
        <w:rPr>
          <w:rFonts w:ascii="Arial" w:eastAsia="Arial" w:hAnsi="Arial" w:cs="Arial"/>
          <w:b/>
        </w:rPr>
      </w:pPr>
    </w:p>
    <w:p w:rsidR="009F42D0" w:rsidRDefault="009F42D0">
      <w:pPr>
        <w:spacing w:after="0"/>
        <w:jc w:val="both"/>
        <w:rPr>
          <w:rFonts w:ascii="Arial" w:eastAsia="Arial" w:hAnsi="Arial" w:cs="Arial"/>
          <w:b/>
        </w:rPr>
      </w:pPr>
    </w:p>
    <w:p w:rsidR="009F42D0" w:rsidRDefault="000B2A8E">
      <w:pPr>
        <w:spacing w:after="0"/>
        <w:jc w:val="center"/>
        <w:rPr>
          <w:rFonts w:ascii="Arial" w:eastAsia="Arial" w:hAnsi="Arial" w:cs="Arial"/>
          <w:b/>
        </w:rPr>
      </w:pPr>
      <w:r>
        <w:rPr>
          <w:rFonts w:ascii="Arial" w:eastAsia="Arial" w:hAnsi="Arial" w:cs="Arial"/>
          <w:b/>
        </w:rPr>
        <w:t>JUAN CARLOS WILLS</w:t>
      </w:r>
    </w:p>
    <w:p w:rsidR="009F42D0" w:rsidRDefault="000B2A8E">
      <w:pPr>
        <w:spacing w:after="0"/>
        <w:jc w:val="center"/>
        <w:rPr>
          <w:rFonts w:ascii="Arial" w:eastAsia="Arial" w:hAnsi="Arial" w:cs="Arial"/>
        </w:rPr>
      </w:pPr>
      <w:r>
        <w:rPr>
          <w:rFonts w:ascii="Arial" w:eastAsia="Arial" w:hAnsi="Arial" w:cs="Arial"/>
        </w:rPr>
        <w:t>Ponente</w:t>
      </w:r>
    </w:p>
    <w:p w:rsidR="009F42D0" w:rsidRDefault="000B2A8E">
      <w:pPr>
        <w:spacing w:after="0"/>
        <w:jc w:val="both"/>
        <w:rPr>
          <w:rFonts w:ascii="Arial" w:eastAsia="Arial" w:hAnsi="Arial" w:cs="Arial"/>
          <w:b/>
        </w:rPr>
      </w:pPr>
      <w:r>
        <w:rPr>
          <w:rFonts w:ascii="Arial" w:eastAsia="Arial" w:hAnsi="Arial" w:cs="Arial"/>
        </w:rPr>
        <w:t xml:space="preserve">   </w:t>
      </w:r>
    </w:p>
    <w:sectPr w:rsidR="009F42D0">
      <w:headerReference w:type="default" r:id="rId31"/>
      <w:footerReference w:type="default" r:id="rId32"/>
      <w:pgSz w:w="12240" w:h="15840"/>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A8E" w:rsidRDefault="000B2A8E">
      <w:pPr>
        <w:spacing w:after="0" w:line="240" w:lineRule="auto"/>
      </w:pPr>
      <w:r>
        <w:separator/>
      </w:r>
    </w:p>
  </w:endnote>
  <w:endnote w:type="continuationSeparator" w:id="0">
    <w:p w:rsidR="000B2A8E" w:rsidRDefault="000B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D0" w:rsidRDefault="009F42D0">
    <w:pPr>
      <w:tabs>
        <w:tab w:val="center" w:pos="4419"/>
        <w:tab w:val="right" w:pos="8838"/>
      </w:tabs>
      <w:spacing w:after="0" w:line="240" w:lineRule="auto"/>
      <w:jc w:val="center"/>
      <w:rPr>
        <w:sz w:val="16"/>
        <w:szCs w:val="16"/>
      </w:rPr>
    </w:pPr>
  </w:p>
  <w:p w:rsidR="009F42D0" w:rsidRDefault="009F42D0">
    <w:pPr>
      <w:tabs>
        <w:tab w:val="left" w:pos="3795"/>
      </w:tabs>
      <w:spacing w:after="2148" w:line="240" w:lineRule="auto"/>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A8E" w:rsidRDefault="000B2A8E">
      <w:pPr>
        <w:spacing w:after="0" w:line="240" w:lineRule="auto"/>
      </w:pPr>
      <w:r>
        <w:separator/>
      </w:r>
    </w:p>
  </w:footnote>
  <w:footnote w:type="continuationSeparator" w:id="0">
    <w:p w:rsidR="000B2A8E" w:rsidRDefault="000B2A8E">
      <w:pPr>
        <w:spacing w:after="0" w:line="240" w:lineRule="auto"/>
      </w:pPr>
      <w:r>
        <w:continuationSeparator/>
      </w:r>
    </w:p>
  </w:footnote>
  <w:footnote w:id="1">
    <w:p w:rsidR="009F42D0" w:rsidRDefault="000B2A8E">
      <w:pPr>
        <w:spacing w:after="0" w:line="240" w:lineRule="auto"/>
        <w:rPr>
          <w:i/>
          <w:sz w:val="16"/>
          <w:szCs w:val="16"/>
        </w:rPr>
      </w:pPr>
      <w:r>
        <w:rPr>
          <w:vertAlign w:val="superscript"/>
        </w:rPr>
        <w:footnoteRef/>
      </w:r>
      <w:r>
        <w:rPr>
          <w:sz w:val="20"/>
          <w:szCs w:val="20"/>
        </w:rPr>
        <w:t xml:space="preserve"> </w:t>
      </w:r>
      <w:proofErr w:type="spellStart"/>
      <w:r>
        <w:rPr>
          <w:rFonts w:ascii="Arial" w:eastAsia="Arial" w:hAnsi="Arial" w:cs="Arial"/>
          <w:i/>
          <w:sz w:val="16"/>
          <w:szCs w:val="16"/>
        </w:rPr>
        <w:t>Pagina</w:t>
      </w:r>
      <w:proofErr w:type="spellEnd"/>
      <w:r>
        <w:rPr>
          <w:rFonts w:ascii="Arial" w:eastAsia="Arial" w:hAnsi="Arial" w:cs="Arial"/>
          <w:i/>
          <w:sz w:val="16"/>
          <w:szCs w:val="16"/>
        </w:rPr>
        <w:t xml:space="preserve"> oficial policía Nacional</w:t>
      </w:r>
      <w:r>
        <w:rPr>
          <w:i/>
          <w:sz w:val="16"/>
          <w:szCs w:val="16"/>
        </w:rPr>
        <w:t xml:space="preserve"> </w:t>
      </w:r>
    </w:p>
  </w:footnote>
  <w:footnote w:id="2">
    <w:p w:rsidR="009F42D0" w:rsidRDefault="000B2A8E">
      <w:pPr>
        <w:spacing w:after="0" w:line="240" w:lineRule="auto"/>
        <w:ind w:left="284" w:hanging="284"/>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Fuente: Dirección Nacional de Escuelas – DINAE, mediante comunicación oficial S-2020-010578-DINAE de fecha 13/09/2020.</w:t>
      </w:r>
    </w:p>
  </w:footnote>
  <w:footnote w:id="3">
    <w:p w:rsidR="009F42D0" w:rsidRDefault="000B2A8E">
      <w:pPr>
        <w:spacing w:after="0" w:line="240" w:lineRule="auto"/>
        <w:ind w:left="142" w:hanging="142"/>
        <w:jc w:val="both"/>
        <w:rPr>
          <w:rFonts w:ascii="Arial" w:eastAsia="Arial" w:hAnsi="Arial" w:cs="Arial"/>
          <w:sz w:val="16"/>
          <w:szCs w:val="16"/>
        </w:rPr>
      </w:pPr>
      <w:r>
        <w:rPr>
          <w:vertAlign w:val="superscript"/>
        </w:rPr>
        <w:footnoteRef/>
      </w:r>
      <w:r>
        <w:rPr>
          <w:i/>
          <w:sz w:val="16"/>
          <w:szCs w:val="16"/>
        </w:rPr>
        <w:t xml:space="preserve"> </w:t>
      </w:r>
      <w:r>
        <w:rPr>
          <w:rFonts w:ascii="Arial" w:eastAsia="Arial" w:hAnsi="Arial" w:cs="Arial"/>
          <w:i/>
          <w:sz w:val="16"/>
          <w:szCs w:val="16"/>
        </w:rPr>
        <w:t>“Por la cual se aprueban los "Pactos Internacionales de Derechos Económicos, Sociales y Culturales, de Derechos Civiles y Políticos, as</w:t>
      </w:r>
      <w:r>
        <w:rPr>
          <w:rFonts w:ascii="Arial" w:eastAsia="Arial" w:hAnsi="Arial" w:cs="Arial"/>
          <w:i/>
          <w:sz w:val="16"/>
          <w:szCs w:val="16"/>
        </w:rPr>
        <w:t>í como el Protocolo Facultativo de este último, aprobados por la Asamblea General de las Naciones Unidas en votación unánime, en Nueva York, el 16 de diciembre de 1966”.</w:t>
      </w:r>
    </w:p>
  </w:footnote>
  <w:footnote w:id="4">
    <w:p w:rsidR="009F42D0" w:rsidRDefault="000B2A8E">
      <w:pPr>
        <w:spacing w:after="0" w:line="240" w:lineRule="auto"/>
        <w:ind w:left="142" w:hanging="142"/>
        <w:jc w:val="both"/>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i/>
          <w:sz w:val="16"/>
          <w:szCs w:val="16"/>
        </w:rPr>
        <w:t>Ídem</w:t>
      </w:r>
      <w:r>
        <w:rPr>
          <w:rFonts w:ascii="Arial" w:eastAsia="Arial" w:hAnsi="Arial" w:cs="Arial"/>
          <w:sz w:val="16"/>
          <w:szCs w:val="16"/>
        </w:rPr>
        <w:t>.</w:t>
      </w:r>
    </w:p>
  </w:footnote>
  <w:footnote w:id="5">
    <w:p w:rsidR="009F42D0" w:rsidRDefault="000B2A8E">
      <w:pPr>
        <w:spacing w:after="0" w:line="240" w:lineRule="auto"/>
        <w:ind w:left="142" w:hanging="142"/>
        <w:jc w:val="both"/>
        <w:rPr>
          <w:sz w:val="20"/>
          <w:szCs w:val="20"/>
        </w:rPr>
      </w:pPr>
      <w:r>
        <w:rPr>
          <w:vertAlign w:val="superscript"/>
        </w:rPr>
        <w:footnoteRef/>
      </w:r>
      <w:r>
        <w:rPr>
          <w:sz w:val="20"/>
          <w:szCs w:val="20"/>
        </w:rPr>
        <w:t xml:space="preserve"> </w:t>
      </w:r>
      <w:r>
        <w:rPr>
          <w:rFonts w:ascii="Arial" w:eastAsia="Arial" w:hAnsi="Arial" w:cs="Arial"/>
          <w:sz w:val="16"/>
          <w:szCs w:val="16"/>
        </w:rPr>
        <w:t>“</w:t>
      </w:r>
      <w:r>
        <w:rPr>
          <w:rFonts w:ascii="Arial" w:eastAsia="Arial" w:hAnsi="Arial" w:cs="Arial"/>
          <w:i/>
          <w:sz w:val="16"/>
          <w:szCs w:val="16"/>
        </w:rPr>
        <w:t>Por medio de la cual se aprueba la "Convención contra la tortura y otros tr</w:t>
      </w:r>
      <w:r>
        <w:rPr>
          <w:rFonts w:ascii="Arial" w:eastAsia="Arial" w:hAnsi="Arial" w:cs="Arial"/>
          <w:i/>
          <w:sz w:val="16"/>
          <w:szCs w:val="16"/>
        </w:rPr>
        <w:t>atos o penas crueles, inhumanos o degradantes", adoptada en Naciones Unidas el 10 de diciembre de 1984</w:t>
      </w:r>
      <w:r>
        <w:rPr>
          <w:rFonts w:ascii="Arial" w:eastAsia="Arial" w:hAnsi="Arial" w:cs="Arial"/>
          <w:sz w:val="16"/>
          <w:szCs w:val="16"/>
        </w:rPr>
        <w:t>”.</w:t>
      </w:r>
    </w:p>
  </w:footnote>
  <w:footnote w:id="6">
    <w:p w:rsidR="009F42D0" w:rsidRDefault="000B2A8E">
      <w:pPr>
        <w:spacing w:after="0" w:line="240" w:lineRule="auto"/>
        <w:ind w:left="142" w:hanging="142"/>
        <w:jc w:val="both"/>
        <w:rPr>
          <w:sz w:val="20"/>
          <w:szCs w:val="20"/>
        </w:rPr>
      </w:pPr>
      <w:r>
        <w:rPr>
          <w:vertAlign w:val="superscript"/>
        </w:rPr>
        <w:footnoteRef/>
      </w:r>
      <w:r>
        <w:rPr>
          <w:sz w:val="20"/>
          <w:szCs w:val="20"/>
        </w:rPr>
        <w:t xml:space="preserve"> </w:t>
      </w:r>
      <w:r>
        <w:rPr>
          <w:rFonts w:ascii="Arial" w:eastAsia="Arial" w:hAnsi="Arial" w:cs="Arial"/>
          <w:sz w:val="16"/>
          <w:szCs w:val="16"/>
        </w:rPr>
        <w:t>“</w:t>
      </w:r>
      <w:r>
        <w:rPr>
          <w:rFonts w:ascii="Arial" w:eastAsia="Arial" w:hAnsi="Arial" w:cs="Arial"/>
          <w:i/>
          <w:sz w:val="16"/>
          <w:szCs w:val="16"/>
        </w:rPr>
        <w:t>Por medio de la cual se aprueba la Convención Americana sobre Derechos Humanos "Pacto de San José de Costa Rica", firmado en San José, Costa Rica, e</w:t>
      </w:r>
      <w:r>
        <w:rPr>
          <w:rFonts w:ascii="Arial" w:eastAsia="Arial" w:hAnsi="Arial" w:cs="Arial"/>
          <w:i/>
          <w:sz w:val="16"/>
          <w:szCs w:val="16"/>
        </w:rPr>
        <w:t>l 22 de noviembre de 1969</w:t>
      </w:r>
      <w:r>
        <w:rPr>
          <w:rFonts w:ascii="Arial" w:eastAsia="Arial" w:hAnsi="Arial" w:cs="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D0" w:rsidRDefault="000B2A8E">
    <w:pPr>
      <w:tabs>
        <w:tab w:val="center" w:pos="4419"/>
        <w:tab w:val="right" w:pos="8838"/>
      </w:tabs>
      <w:spacing w:before="708" w:after="0" w:line="240" w:lineRule="auto"/>
      <w:jc w:val="center"/>
    </w:pPr>
    <w:r>
      <w:rPr>
        <w:noProof/>
        <w:lang w:val="es-CO"/>
      </w:rPr>
      <w:drawing>
        <wp:inline distT="0" distB="0" distL="0" distR="0">
          <wp:extent cx="4095750" cy="1409700"/>
          <wp:effectExtent l="0" t="0" r="0" b="0"/>
          <wp:docPr id="9" name="image4.png" descr="http://tatacabello.com/wp-content/uploads/2016/02/Logo-camara.jpg"/>
          <wp:cNvGraphicFramePr/>
          <a:graphic xmlns:a="http://schemas.openxmlformats.org/drawingml/2006/main">
            <a:graphicData uri="http://schemas.openxmlformats.org/drawingml/2006/picture">
              <pic:pic xmlns:pic="http://schemas.openxmlformats.org/drawingml/2006/picture">
                <pic:nvPicPr>
                  <pic:cNvPr id="0" name="image4.png" descr="http://tatacabello.com/wp-content/uploads/2016/02/Logo-camara.jpg"/>
                  <pic:cNvPicPr preferRelativeResize="0"/>
                </pic:nvPicPr>
                <pic:blipFill>
                  <a:blip r:embed="rId1"/>
                  <a:srcRect/>
                  <a:stretch>
                    <a:fillRect/>
                  </a:stretch>
                </pic:blipFill>
                <pic:spPr>
                  <a:xfrm>
                    <a:off x="0" y="0"/>
                    <a:ext cx="4095750" cy="1409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D35E8"/>
    <w:multiLevelType w:val="multilevel"/>
    <w:tmpl w:val="8308330A"/>
    <w:lvl w:ilvl="0">
      <w:start w:val="1"/>
      <w:numFmt w:val="upperRoman"/>
      <w:lvlText w:val="%1."/>
      <w:lvlJc w:val="right"/>
      <w:pPr>
        <w:ind w:left="1080" w:firstLine="2880"/>
      </w:pPr>
      <w:rPr>
        <w:b/>
      </w:rPr>
    </w:lvl>
    <w:lvl w:ilvl="1">
      <w:start w:val="1"/>
      <w:numFmt w:val="lowerLetter"/>
      <w:lvlText w:val="%2."/>
      <w:lvlJc w:val="left"/>
      <w:pPr>
        <w:ind w:left="1800" w:firstLine="5040"/>
      </w:pPr>
    </w:lvl>
    <w:lvl w:ilvl="2">
      <w:start w:val="1"/>
      <w:numFmt w:val="lowerRoman"/>
      <w:lvlText w:val="%3."/>
      <w:lvlJc w:val="right"/>
      <w:pPr>
        <w:ind w:left="2520" w:firstLine="7380"/>
      </w:pPr>
    </w:lvl>
    <w:lvl w:ilvl="3">
      <w:start w:val="1"/>
      <w:numFmt w:val="decimal"/>
      <w:lvlText w:val="%4."/>
      <w:lvlJc w:val="left"/>
      <w:pPr>
        <w:ind w:left="3240" w:firstLine="9360"/>
      </w:pPr>
    </w:lvl>
    <w:lvl w:ilvl="4">
      <w:start w:val="1"/>
      <w:numFmt w:val="lowerLetter"/>
      <w:lvlText w:val="%5."/>
      <w:lvlJc w:val="left"/>
      <w:pPr>
        <w:ind w:left="3960" w:firstLine="11520"/>
      </w:pPr>
    </w:lvl>
    <w:lvl w:ilvl="5">
      <w:start w:val="1"/>
      <w:numFmt w:val="lowerRoman"/>
      <w:lvlText w:val="%6."/>
      <w:lvlJc w:val="right"/>
      <w:pPr>
        <w:ind w:left="4680" w:firstLine="13860"/>
      </w:pPr>
    </w:lvl>
    <w:lvl w:ilvl="6">
      <w:start w:val="1"/>
      <w:numFmt w:val="decimal"/>
      <w:lvlText w:val="%7."/>
      <w:lvlJc w:val="left"/>
      <w:pPr>
        <w:ind w:left="5400" w:firstLine="15840"/>
      </w:pPr>
    </w:lvl>
    <w:lvl w:ilvl="7">
      <w:start w:val="1"/>
      <w:numFmt w:val="lowerLetter"/>
      <w:lvlText w:val="%8."/>
      <w:lvlJc w:val="left"/>
      <w:pPr>
        <w:ind w:left="6120" w:firstLine="18000"/>
      </w:pPr>
    </w:lvl>
    <w:lvl w:ilvl="8">
      <w:start w:val="1"/>
      <w:numFmt w:val="lowerRoman"/>
      <w:lvlText w:val="%9."/>
      <w:lvlJc w:val="right"/>
      <w:pPr>
        <w:ind w:left="6840" w:firstLine="20340"/>
      </w:pPr>
    </w:lvl>
  </w:abstractNum>
  <w:abstractNum w:abstractNumId="1" w15:restartNumberingAfterBreak="0">
    <w:nsid w:val="404C6EFC"/>
    <w:multiLevelType w:val="multilevel"/>
    <w:tmpl w:val="F18E9674"/>
    <w:lvl w:ilvl="0">
      <w:start w:val="1"/>
      <w:numFmt w:val="decimal"/>
      <w:lvlText w:val="%1."/>
      <w:lvlJc w:val="left"/>
      <w:pPr>
        <w:ind w:left="1440" w:firstLine="2520"/>
      </w:pPr>
      <w:rPr>
        <w:b/>
        <w:i w:val="0"/>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 w15:restartNumberingAfterBreak="0">
    <w:nsid w:val="4697421F"/>
    <w:multiLevelType w:val="multilevel"/>
    <w:tmpl w:val="D244F8A2"/>
    <w:lvl w:ilvl="0">
      <w:start w:val="1"/>
      <w:numFmt w:val="decimal"/>
      <w:lvlText w:val="%1."/>
      <w:lvlJc w:val="left"/>
      <w:pPr>
        <w:ind w:left="1440" w:firstLine="2520"/>
      </w:p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 w15:restartNumberingAfterBreak="0">
    <w:nsid w:val="79296835"/>
    <w:multiLevelType w:val="multilevel"/>
    <w:tmpl w:val="2A02FBBA"/>
    <w:lvl w:ilvl="0">
      <w:start w:val="1"/>
      <w:numFmt w:val="lowerLetter"/>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 w15:restartNumberingAfterBreak="0">
    <w:nsid w:val="7B3E59EF"/>
    <w:multiLevelType w:val="multilevel"/>
    <w:tmpl w:val="DE9829B4"/>
    <w:lvl w:ilvl="0">
      <w:start w:val="1"/>
      <w:numFmt w:val="decimal"/>
      <w:lvlText w:val="%1."/>
      <w:lvlJc w:val="left"/>
      <w:pPr>
        <w:ind w:left="1440" w:firstLine="2520"/>
      </w:p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D0"/>
    <w:rsid w:val="000B2A8E"/>
    <w:rsid w:val="009F42D0"/>
    <w:rsid w:val="00AC4B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7B48"/>
  <w15:docId w15:val="{6AB49ABC-1C76-45EA-8C87-99C5EA86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O" w:eastAsia="es-CO"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5DA"/>
    <w:rPr>
      <w:lang w:val="es-ES_tradnl"/>
    </w:rPr>
  </w:style>
  <w:style w:type="paragraph" w:styleId="Ttulo1">
    <w:name w:val="heading 1"/>
    <w:basedOn w:val="Normal"/>
    <w:next w:val="Normal"/>
    <w:uiPriority w:val="9"/>
    <w:qFormat/>
    <w:pPr>
      <w:keepNext/>
      <w:keepLines/>
      <w:spacing w:before="480" w:after="120"/>
      <w:contextualSpacing/>
      <w:outlineLvl w:val="0"/>
    </w:pPr>
    <w:rPr>
      <w:b/>
      <w:sz w:val="48"/>
      <w:szCs w:val="48"/>
    </w:rPr>
  </w:style>
  <w:style w:type="paragraph" w:styleId="Ttulo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Ttulo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Ttulo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Ttulo5">
    <w:name w:val="heading 5"/>
    <w:basedOn w:val="Normal"/>
    <w:next w:val="Normal"/>
    <w:uiPriority w:val="9"/>
    <w:semiHidden/>
    <w:unhideWhenUsed/>
    <w:qFormat/>
    <w:pPr>
      <w:keepNext/>
      <w:keepLines/>
      <w:spacing w:before="220" w:after="40"/>
      <w:contextualSpacing/>
      <w:outlineLvl w:val="4"/>
    </w:pPr>
    <w:rPr>
      <w:b/>
    </w:rPr>
  </w:style>
  <w:style w:type="paragraph" w:styleId="Ttulo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contextualSpacing/>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notapie">
    <w:name w:val="footnote text"/>
    <w:aliases w:val="Footnote Text Char Char Char,texto de nota al pie,Footnote Text Char,Footnote Text Char Char Char Char Char Char Char Char,footnote text,Ref. de nota al pie1,16 Point,Superscript 6 Point,FA Fu Car,Footnote refere"/>
    <w:basedOn w:val="Normal"/>
    <w:link w:val="TextonotapieCar"/>
    <w:uiPriority w:val="99"/>
    <w:unhideWhenUsed/>
    <w:qFormat/>
    <w:rsid w:val="004F15DA"/>
    <w:pPr>
      <w:spacing w:after="0" w:line="240" w:lineRule="auto"/>
    </w:pPr>
    <w:rPr>
      <w:sz w:val="20"/>
      <w:szCs w:val="20"/>
    </w:rPr>
  </w:style>
  <w:style w:type="character" w:customStyle="1" w:styleId="TextonotapieCar">
    <w:name w:val="Texto nota pie Car"/>
    <w:aliases w:val="Footnote Text Char Char Char Car,texto de nota al pie Car,Footnote Text Char Car,Footnote Text Char Char Char Char Char Char Char Char Car,footnote text Car,Ref. de nota al pie1 Car,16 Point Car,Superscript 6 Point Car,FA Fu Car Car"/>
    <w:basedOn w:val="Fuentedeprrafopredeter"/>
    <w:link w:val="Textonotapie"/>
    <w:uiPriority w:val="99"/>
    <w:rsid w:val="004F15DA"/>
    <w:rPr>
      <w:sz w:val="20"/>
      <w:szCs w:val="20"/>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basedOn w:val="Fuentedeprrafopredeter"/>
    <w:link w:val="Piedepagina"/>
    <w:uiPriority w:val="99"/>
    <w:unhideWhenUsed/>
    <w:qFormat/>
    <w:rsid w:val="004F15DA"/>
    <w:rPr>
      <w:vertAlign w:val="superscript"/>
    </w:rPr>
  </w:style>
  <w:style w:type="paragraph" w:styleId="Prrafodelista">
    <w:name w:val="List Paragraph"/>
    <w:aliases w:val="Elabora,Bullet List,FooterText,numbered,List Paragraph1,Paragraphe de liste1,lp1,Use Case List Paragraph,titulo 3,Bullets,NORMAL,Párrafo de lista4,List Paragraph,Dot pt,F5 List Paragraph,No Spacing1,List Paragraph Char Char Char,Bullet"/>
    <w:basedOn w:val="Normal"/>
    <w:link w:val="PrrafodelistaCar"/>
    <w:uiPriority w:val="34"/>
    <w:qFormat/>
    <w:rsid w:val="004F15DA"/>
    <w:pPr>
      <w:ind w:left="720"/>
      <w:contextualSpacing/>
    </w:pPr>
  </w:style>
  <w:style w:type="paragraph" w:styleId="NormalWeb">
    <w:name w:val="Normal (Web)"/>
    <w:basedOn w:val="Normal"/>
    <w:uiPriority w:val="99"/>
    <w:unhideWhenUsed/>
    <w:rsid w:val="004F15DA"/>
    <w:rPr>
      <w:rFonts w:ascii="Times New Roman" w:hAnsi="Times New Roman" w:cs="Times New Roman"/>
      <w:sz w:val="24"/>
      <w:szCs w:val="24"/>
    </w:rPr>
  </w:style>
  <w:style w:type="character" w:customStyle="1" w:styleId="apple-converted-space">
    <w:name w:val="apple-converted-space"/>
    <w:basedOn w:val="Fuentedeprrafopredeter"/>
    <w:rsid w:val="004F15DA"/>
  </w:style>
  <w:style w:type="character" w:styleId="Hipervnculo">
    <w:name w:val="Hyperlink"/>
    <w:basedOn w:val="Fuentedeprrafopredeter"/>
    <w:uiPriority w:val="99"/>
    <w:semiHidden/>
    <w:unhideWhenUsed/>
    <w:rsid w:val="004F15DA"/>
    <w:rPr>
      <w:color w:val="0000FF"/>
      <w:u w:val="single"/>
    </w:rPr>
  </w:style>
  <w:style w:type="paragraph" w:styleId="Textodeglobo">
    <w:name w:val="Balloon Text"/>
    <w:basedOn w:val="Normal"/>
    <w:link w:val="TextodegloboCar"/>
    <w:uiPriority w:val="99"/>
    <w:semiHidden/>
    <w:unhideWhenUsed/>
    <w:rsid w:val="004F15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5DA"/>
    <w:rPr>
      <w:rFonts w:ascii="Tahoma" w:hAnsi="Tahoma" w:cs="Tahoma"/>
      <w:sz w:val="16"/>
      <w:szCs w:val="16"/>
    </w:rPr>
  </w:style>
  <w:style w:type="table" w:styleId="Tablaconcuadrcula">
    <w:name w:val="Table Grid"/>
    <w:basedOn w:val="Tablanormal"/>
    <w:uiPriority w:val="59"/>
    <w:rsid w:val="004F1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C08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08F3"/>
  </w:style>
  <w:style w:type="paragraph" w:styleId="Piedepgina">
    <w:name w:val="footer"/>
    <w:basedOn w:val="Normal"/>
    <w:link w:val="PiedepginaCar"/>
    <w:uiPriority w:val="99"/>
    <w:unhideWhenUsed/>
    <w:rsid w:val="008C08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08F3"/>
  </w:style>
  <w:style w:type="character" w:styleId="Textoennegrita">
    <w:name w:val="Strong"/>
    <w:basedOn w:val="Fuentedeprrafopredeter"/>
    <w:uiPriority w:val="22"/>
    <w:qFormat/>
    <w:rsid w:val="000F6855"/>
    <w:rPr>
      <w:b/>
      <w:bCs/>
    </w:rPr>
  </w:style>
  <w:style w:type="character" w:styleId="Hipervnculovisitado">
    <w:name w:val="FollowedHyperlink"/>
    <w:basedOn w:val="Fuentedeprrafopredeter"/>
    <w:uiPriority w:val="99"/>
    <w:semiHidden/>
    <w:unhideWhenUsed/>
    <w:rsid w:val="00105D98"/>
    <w:rPr>
      <w:color w:val="800080" w:themeColor="followedHyperlink"/>
      <w:u w:val="single"/>
    </w:rPr>
  </w:style>
  <w:style w:type="character" w:styleId="nfasis">
    <w:name w:val="Emphasis"/>
    <w:basedOn w:val="Fuentedeprrafopredeter"/>
    <w:uiPriority w:val="20"/>
    <w:qFormat/>
    <w:rsid w:val="003064D3"/>
    <w:rPr>
      <w:i/>
      <w:iCs/>
    </w:rPr>
  </w:style>
  <w:style w:type="paragraph" w:styleId="Textosinformato">
    <w:name w:val="Plain Text"/>
    <w:basedOn w:val="Normal"/>
    <w:link w:val="TextosinformatoCar"/>
    <w:uiPriority w:val="99"/>
    <w:unhideWhenUsed/>
    <w:rsid w:val="002D493D"/>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2D493D"/>
    <w:rPr>
      <w:rFonts w:ascii="Courier New" w:eastAsia="Times New Roman" w:hAnsi="Courier New" w:cs="Courier New"/>
      <w:sz w:val="20"/>
      <w:szCs w:val="20"/>
      <w:lang w:val="es-ES" w:eastAsia="es-ES"/>
    </w:rPr>
  </w:style>
  <w:style w:type="paragraph" w:customStyle="1" w:styleId="Piedepagina">
    <w:name w:val="Pie de pagina"/>
    <w:basedOn w:val="Normal"/>
    <w:link w:val="Refdenotaalpie"/>
    <w:uiPriority w:val="99"/>
    <w:rsid w:val="002D493D"/>
    <w:pPr>
      <w:spacing w:after="160" w:line="240" w:lineRule="exact"/>
    </w:pPr>
    <w:rPr>
      <w:vertAlign w:val="superscript"/>
    </w:rPr>
  </w:style>
  <w:style w:type="character" w:customStyle="1" w:styleId="PrrafodelistaCar">
    <w:name w:val="Párrafo de lista Car"/>
    <w:aliases w:val="Elabora Car,Bullet List Car,FooterText Car,numbered Car,List Paragraph1 Car,Paragraphe de liste1 Car,lp1 Car,Use Case List Paragraph Car,titulo 3 Car,Bullets Car,NORMAL Car,Párrafo de lista4 Car,List Paragraph Car,Dot pt Car"/>
    <w:link w:val="Prrafodelista"/>
    <w:uiPriority w:val="34"/>
    <w:qFormat/>
    <w:rsid w:val="002D493D"/>
  </w:style>
  <w:style w:type="paragraph" w:styleId="Textoindependiente">
    <w:name w:val="Body Text"/>
    <w:basedOn w:val="Normal"/>
    <w:link w:val="TextoindependienteCar"/>
    <w:rsid w:val="002D493D"/>
    <w:pPr>
      <w:spacing w:after="0" w:line="240" w:lineRule="auto"/>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2D493D"/>
    <w:rPr>
      <w:rFonts w:ascii="Arial" w:eastAsia="Times New Roman" w:hAnsi="Arial" w:cs="Times New Roman"/>
      <w:sz w:val="24"/>
      <w:szCs w:val="20"/>
      <w:lang w:val="es-ES" w:eastAsia="es-ES"/>
    </w:rPr>
  </w:style>
  <w:style w:type="paragraph" w:customStyle="1" w:styleId="Default">
    <w:name w:val="Default"/>
    <w:rsid w:val="002D493D"/>
    <w:pPr>
      <w:autoSpaceDE w:val="0"/>
      <w:autoSpaceDN w:val="0"/>
      <w:adjustRightInd w:val="0"/>
      <w:spacing w:after="0" w:line="240" w:lineRule="auto"/>
    </w:pPr>
    <w:rPr>
      <w:rFonts w:ascii="Times New Roman" w:hAnsi="Times New Roman" w:cs="Times New Roman"/>
      <w:sz w:val="24"/>
      <w:szCs w:val="24"/>
    </w:rPr>
  </w:style>
  <w:style w:type="paragraph" w:customStyle="1" w:styleId="xmsonormal">
    <w:name w:val="x_msonormal"/>
    <w:basedOn w:val="Normal"/>
    <w:rsid w:val="009728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ww-textoindependiente21">
    <w:name w:val="x_ww-textoindependiente21"/>
    <w:basedOn w:val="Normal"/>
    <w:rsid w:val="009728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inti-raul-asprilla-reyes" TargetMode="External"/><Relationship Id="rId18" Type="http://schemas.openxmlformats.org/officeDocument/2006/relationships/hyperlink" Target="https://www.camara.gov.co/representantes/catalina-ortiz-lalinde" TargetMode="External"/><Relationship Id="rId26" Type="http://schemas.openxmlformats.org/officeDocument/2006/relationships/hyperlink" Target="https://www.camara.gov.co/representantes/carlos-german-navas-talero" TargetMode="External"/><Relationship Id="rId3" Type="http://schemas.openxmlformats.org/officeDocument/2006/relationships/settings" Target="settings.xml"/><Relationship Id="rId21" Type="http://schemas.openxmlformats.org/officeDocument/2006/relationships/hyperlink" Target="https://www.camara.gov.co/representantes/harry-giovanny-gonzalez-garcia" TargetMode="External"/><Relationship Id="rId34" Type="http://schemas.openxmlformats.org/officeDocument/2006/relationships/theme" Target="theme/theme1.xml"/><Relationship Id="rId7" Type="http://schemas.openxmlformats.org/officeDocument/2006/relationships/hyperlink" Target="https://www.camara.gov.co/antonio-sanguino-paez" TargetMode="External"/><Relationship Id="rId12" Type="http://schemas.openxmlformats.org/officeDocument/2006/relationships/hyperlink" Target="https://www.camara.gov.co/jorge-enrique-robledo-castillo" TargetMode="External"/><Relationship Id="rId17" Type="http://schemas.openxmlformats.org/officeDocument/2006/relationships/hyperlink" Target="https://www.camara.gov.co/representantes/mauricio-andres-toro-orjuela" TargetMode="External"/><Relationship Id="rId25" Type="http://schemas.openxmlformats.org/officeDocument/2006/relationships/hyperlink" Target="https://www.camara.gov.co/representantes/katherine-miranda-pen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mara.gov.co/representantes/angela-maria-robledo-gomez" TargetMode="External"/><Relationship Id="rId20" Type="http://schemas.openxmlformats.org/officeDocument/2006/relationships/hyperlink" Target="https://www.camara.gov.co/representantes/leon-fredy-munoz-lopera" TargetMode="External"/><Relationship Id="rId29" Type="http://schemas.openxmlformats.org/officeDocument/2006/relationships/hyperlink" Target="https://www.camara.gov.co/representantes/david-ricardo-racero-mayor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angelica-lisbeth-lozano-correa" TargetMode="External"/><Relationship Id="rId24" Type="http://schemas.openxmlformats.org/officeDocument/2006/relationships/hyperlink" Target="https://www.camara.gov.co/representantes/jose-daniel-lopez-jimenez"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amara.gov.co/representantes/cesar-augusto-pachon-achury" TargetMode="External"/><Relationship Id="rId23" Type="http://schemas.openxmlformats.org/officeDocument/2006/relationships/hyperlink" Target="https://www.camara.gov.co/representantes/abel-david-jaramillo-largo" TargetMode="External"/><Relationship Id="rId28" Type="http://schemas.openxmlformats.org/officeDocument/2006/relationships/hyperlink" Target="https://www.camara.gov.co/representantes/juan-carlos-lozada-vargas" TargetMode="External"/><Relationship Id="rId10" Type="http://schemas.openxmlformats.org/officeDocument/2006/relationships/hyperlink" Target="https://www.camara.gov.co/jorge-eduardo-londono-ulloa" TargetMode="External"/><Relationship Id="rId19" Type="http://schemas.openxmlformats.org/officeDocument/2006/relationships/hyperlink" Target="https://www.camara.gov.co/representantes/cesar-augusto-ortiz-zorro"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mara.gov.co/juan-luis-castro-cordoba" TargetMode="External"/><Relationship Id="rId14" Type="http://schemas.openxmlformats.org/officeDocument/2006/relationships/hyperlink" Target="https://www.camara.gov.co/representantes/wilmer-leal-perez" TargetMode="External"/><Relationship Id="rId22" Type="http://schemas.openxmlformats.org/officeDocument/2006/relationships/hyperlink" Target="https://www.camara.gov.co/representantes/fabian-diaz-plata" TargetMode="External"/><Relationship Id="rId27" Type="http://schemas.openxmlformats.org/officeDocument/2006/relationships/hyperlink" Target="https://www.camara.gov.co/representantes/maria-jose-pizarro-rodriguez" TargetMode="External"/><Relationship Id="rId30" Type="http://schemas.openxmlformats.org/officeDocument/2006/relationships/hyperlink" Target="https://www.camara.gov.co/representantes/jorge-alberto-gomez-gallego" TargetMode="External"/><Relationship Id="rId8" Type="http://schemas.openxmlformats.org/officeDocument/2006/relationships/hyperlink" Target="https://www.camara.gov.co/wilson-arias-castill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2635</Words>
  <Characters>14494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Mauricio.Lopez</dc:creator>
  <cp:lastModifiedBy>Mauricio.Lopez</cp:lastModifiedBy>
  <cp:revision>2</cp:revision>
  <dcterms:created xsi:type="dcterms:W3CDTF">2020-11-20T19:33:00Z</dcterms:created>
  <dcterms:modified xsi:type="dcterms:W3CDTF">2020-11-20T19:33:00Z</dcterms:modified>
</cp:coreProperties>
</file>