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ADE01" w14:textId="35271421" w:rsidR="00BC3E4B" w:rsidRDefault="00CA7BFC">
      <w:pPr>
        <w:jc w:val="center"/>
        <w:rPr>
          <w:rFonts w:ascii="Century Gothic" w:eastAsia="Century Gothic" w:hAnsi="Century Gothic" w:cs="Century Gothic"/>
          <w:b/>
          <w:color w:val="000000"/>
          <w:highlight w:val="white"/>
        </w:rPr>
      </w:pPr>
      <w:r w:rsidRPr="00CA7BFC">
        <w:rPr>
          <w:rFonts w:ascii="Century Gothic" w:eastAsia="Century Gothic" w:hAnsi="Century Gothic" w:cs="Century Gothic"/>
          <w:b/>
          <w:color w:val="000000"/>
          <w:lang w:val="es-CO"/>
        </w:rPr>
        <w:t xml:space="preserve">TEXTO APROBADO EN PRIMER DEBATE  EN LA COMISIÓN PRIMERA DE LA CÁMARA DE REPRESENTANTES DEL </w:t>
      </w:r>
      <w:r w:rsidR="00D847AE">
        <w:rPr>
          <w:rFonts w:ascii="Century Gothic" w:eastAsia="Century Gothic" w:hAnsi="Century Gothic" w:cs="Century Gothic"/>
          <w:b/>
          <w:color w:val="000000"/>
        </w:rPr>
        <w:t>PROYECTO DE LEY 600 DE 2021</w:t>
      </w:r>
      <w:r>
        <w:rPr>
          <w:rFonts w:ascii="Century Gothic" w:eastAsia="Century Gothic" w:hAnsi="Century Gothic" w:cs="Century Gothic"/>
          <w:b/>
          <w:color w:val="000000"/>
        </w:rPr>
        <w:t xml:space="preserve">CAMARA </w:t>
      </w:r>
      <w:r w:rsidR="00D847AE">
        <w:rPr>
          <w:rFonts w:ascii="Century Gothic" w:eastAsia="Century Gothic" w:hAnsi="Century Gothic" w:cs="Century Gothic"/>
          <w:b/>
          <w:color w:val="000000"/>
          <w:highlight w:val="white"/>
        </w:rPr>
        <w:t>“Por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p>
    <w:p w14:paraId="4F439199" w14:textId="77777777" w:rsidR="00BC3E4B" w:rsidRDefault="00BC3E4B">
      <w:pPr>
        <w:jc w:val="center"/>
        <w:rPr>
          <w:rFonts w:ascii="Century Gothic" w:eastAsia="Century Gothic" w:hAnsi="Century Gothic" w:cs="Century Gothic"/>
          <w:b/>
          <w:color w:val="000000"/>
          <w:highlight w:val="white"/>
        </w:rPr>
      </w:pPr>
    </w:p>
    <w:p w14:paraId="6E356E20"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 xml:space="preserve">EL CONGRESO DE COLOMBIA </w:t>
      </w:r>
    </w:p>
    <w:p w14:paraId="12CEAFC6"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DECRETA:</w:t>
      </w:r>
    </w:p>
    <w:p w14:paraId="1E39F302"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 xml:space="preserve">CAPÍTULO I </w:t>
      </w:r>
    </w:p>
    <w:p w14:paraId="302C506B" w14:textId="77777777" w:rsidR="00BC3E4B" w:rsidRDefault="00D847AE">
      <w:pPr>
        <w:jc w:val="center"/>
        <w:rPr>
          <w:rFonts w:ascii="Century Gothic" w:eastAsia="Century Gothic" w:hAnsi="Century Gothic" w:cs="Century Gothic"/>
          <w:b/>
          <w:color w:val="000000"/>
          <w:highlight w:val="white"/>
        </w:rPr>
      </w:pPr>
      <w:r>
        <w:rPr>
          <w:rFonts w:ascii="Century Gothic" w:eastAsia="Century Gothic" w:hAnsi="Century Gothic" w:cs="Century Gothic"/>
          <w:b/>
          <w:color w:val="000000"/>
          <w:highlight w:val="white"/>
        </w:rPr>
        <w:t>DISPOSICIONES GENERALES</w:t>
      </w:r>
    </w:p>
    <w:p w14:paraId="2F15F7A8"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b/>
          <w:color w:val="000000"/>
          <w:highlight w:val="yellow"/>
        </w:rPr>
      </w:pPr>
    </w:p>
    <w:p w14:paraId="78CAB940"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b/>
          <w:color w:val="000000"/>
          <w:highlight w:val="white"/>
        </w:rPr>
        <w:t>ARTÍCULO 1. OBJETO.</w:t>
      </w:r>
      <w:r>
        <w:rPr>
          <w:rFonts w:ascii="Century Gothic" w:eastAsia="Century Gothic" w:hAnsi="Century Gothic" w:cs="Century Gothic"/>
          <w:color w:val="000000"/>
          <w:highlight w:val="white"/>
        </w:rPr>
        <w:t xml:space="preserve"> La presente ley tiene por objeto regular las responsabilidades especiales de los medios de comunicación frente a los derechos de la niñez, la infancia y la adolescencia, de conformidad con lo establecido por los numerales 5, 6, 7 y 8 del artículo 47 de la Ley 1098 de 2006, mediante la adopción de mecanismos de prevención destinados a prevenir la producción y difusión de contenidos que atenten contra sus derechos. Así mismo, se establecen medidas técnicas y administrativas destinadas a prevenir la materialización de conductas que atenten contra los derechos de los menores de edad y se prevé un régimen sancionatorio aplicable, en caso de materializarse un presunto comportamiento reprochable respecto de cualquiera de las medidas incorporadas al ordenamiento a través de la presente ley para garantizar la protección de los derechos de la niñez, la infancia y la adolescencia. </w:t>
      </w:r>
    </w:p>
    <w:p w14:paraId="1431C88F"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i/>
          <w:color w:val="000000"/>
        </w:rPr>
      </w:pPr>
    </w:p>
    <w:p w14:paraId="54E7D69D"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 ÁMBITO DE APLICACIÓN.</w:t>
      </w:r>
      <w:r>
        <w:rPr>
          <w:rFonts w:ascii="Century Gothic" w:eastAsia="Century Gothic" w:hAnsi="Century Gothic" w:cs="Century Gothic"/>
          <w:color w:val="000000"/>
        </w:rPr>
        <w:t xml:space="preserve"> Para efectos de la presente ley se entenderá por medio de comunicación todo aquel que, mediante el uso del espectro radioeléctrico, transmita o publique información y contenidos, con independencia de la tecnología  que se utilice para el efecto.</w:t>
      </w:r>
    </w:p>
    <w:p w14:paraId="5D211582"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942F936"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w:t>
      </w:r>
      <w:r>
        <w:rPr>
          <w:rFonts w:ascii="Century Gothic" w:eastAsia="Century Gothic" w:hAnsi="Century Gothic" w:cs="Century Gothic"/>
          <w:color w:val="000000"/>
        </w:rPr>
        <w:t xml:space="preserve"> Los proveedores de  Servicios de acceso a Internet (en adelante ISP, por su sigla en Inglés), en su calidad de titulares de las funcionalidades y recursos de red nacionales y/o internacionales necesarios para permitir a un usuario interconectarse a la red de Internet y aprovechar sus recursos y servicios, ejecutarán las medidas previstas en la presente ley para garantizar la protección de los derechos de</w:t>
      </w:r>
      <w:r>
        <w:rPr>
          <w:rFonts w:ascii="Century Gothic" w:eastAsia="Century Gothic" w:hAnsi="Century Gothic" w:cs="Century Gothic"/>
          <w:color w:val="000000"/>
          <w:highlight w:val="white"/>
        </w:rPr>
        <w:t xml:space="preserve"> la niñez,</w:t>
      </w:r>
      <w:r>
        <w:rPr>
          <w:rFonts w:ascii="Century Gothic" w:eastAsia="Century Gothic" w:hAnsi="Century Gothic" w:cs="Century Gothic"/>
          <w:color w:val="000000"/>
        </w:rPr>
        <w:t xml:space="preserve"> la infancia y la adolescencia, la difusión a través de la Internet, de material que atente directa o indirectamente contra la integridad moral, psíquica o física de niños, niñas y adolescentes, incite a la violencia, haga apología de hechos delictivos o contravencionales, o contenga mensajes discriminatorios contra este sector de la población. </w:t>
      </w:r>
    </w:p>
    <w:p w14:paraId="795F766A"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E4EACA1"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ARTÍCULO 3. PRINCIPIOS</w:t>
      </w:r>
      <w:r>
        <w:rPr>
          <w:rFonts w:ascii="Century Gothic" w:eastAsia="Century Gothic" w:hAnsi="Century Gothic" w:cs="Century Gothic"/>
          <w:color w:val="000000"/>
          <w:sz w:val="22"/>
          <w:szCs w:val="22"/>
        </w:rPr>
        <w:t>. Para la aplicación de la presente Ley se tendrán en cuenta los principios de protección integral, corresponsabilidad, no discriminación, interés superior de los menores de edad, prevalencia y exigibilidad de los derechos de la niñez, la infancia y la adolescencia, así́ como los demás previstos en  el Código de la Infancia y la Adolescencia, la Constitución Política, los tratados o convenios internacionales de Derechos Humanos ratificados por Colombia, en especial la Convención sobre los Derechos del Niño y demás que hagan parte del bloque de constitucionalidad. Igualmente, aplican los principios del debido proceso, los de prohibición de censura y respeto a la libertad de expresión e información.</w:t>
      </w:r>
    </w:p>
    <w:p w14:paraId="0B417A87"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4. CORRESPONSABILIDAD Y PROTECCIÓN INTEGRAL DE LOS DERECHOS DE LA NIÑEZ, LA INFANCIA Y LA ADOLESCENCIA</w:t>
      </w:r>
      <w:r>
        <w:rPr>
          <w:rFonts w:ascii="Century Gothic" w:eastAsia="Century Gothic" w:hAnsi="Century Gothic" w:cs="Century Gothic"/>
          <w:color w:val="000000"/>
          <w:sz w:val="22"/>
          <w:szCs w:val="22"/>
        </w:rPr>
        <w:t>. La familia, el Estado y los medios de comunicación, en el marco de su responsabilidad social, deberán garantizar la libertad de expresión y el derecho a la información de los menores de edad, y en virtud de ello, deberán promover el uso responsable de las tecnologías de la información y las comunicaciones, la formación y el desarrollo integral, de los menores de edad, así como, garantizar la divulgación de sus derechos, su libertad de expresión y su derecho a la información.</w:t>
      </w:r>
    </w:p>
    <w:p w14:paraId="6A063EF1" w14:textId="77777777" w:rsidR="00BC3E4B" w:rsidRDefault="00BC3E4B">
      <w:pPr>
        <w:rPr>
          <w:rFonts w:ascii="Century Gothic" w:eastAsia="Century Gothic" w:hAnsi="Century Gothic" w:cs="Century Gothic"/>
          <w:color w:val="000000"/>
        </w:rPr>
      </w:pPr>
    </w:p>
    <w:p w14:paraId="0CA9A2B5"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Los medios, al definir los contenidos que transmiten, como en el tratamiento y difusión de información relacionada con o dirigida a la niñez, la infancia y la adolescencia, así como su participación en programas audiovisuales deberán garantizar el mandato establecido en el Art. 44 de la Constitución Política en armonía con el principio de protección integral de la infancia y adolescencia dispuesto en el artículo 47 de la Ley 1098 de 2006.</w:t>
      </w:r>
    </w:p>
    <w:p w14:paraId="62D3B698" w14:textId="77777777" w:rsidR="00BC3E4B" w:rsidRDefault="00BC3E4B">
      <w:pPr>
        <w:rPr>
          <w:rFonts w:ascii="Century Gothic" w:eastAsia="Century Gothic" w:hAnsi="Century Gothic" w:cs="Century Gothic"/>
          <w:color w:val="000000"/>
        </w:rPr>
      </w:pPr>
    </w:p>
    <w:p w14:paraId="6F10D1F0"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PARÁGRAFO.</w:t>
      </w:r>
      <w:r>
        <w:rPr>
          <w:rFonts w:ascii="Century Gothic" w:eastAsia="Century Gothic" w:hAnsi="Century Gothic" w:cs="Century Gothic"/>
          <w:color w:val="000000"/>
        </w:rPr>
        <w:t xml:space="preserve"> Los medios descritos tendrán una responsabilidad ética en la defensa y promoción de los derechos de la niñez, la infancia y adolescencia. Así mismo deben hacer un uso adecuado de imágenes de la niñez, la infancia y la adolescencia resguardando la identidad y evitando su revictimización.</w:t>
      </w:r>
    </w:p>
    <w:p w14:paraId="7352D387" w14:textId="77777777" w:rsidR="00BC3E4B" w:rsidRDefault="00D847AE">
      <w:pPr>
        <w:pStyle w:val="Ttulo1"/>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II</w:t>
      </w:r>
    </w:p>
    <w:p w14:paraId="4B89DF3F"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034661D0" w14:textId="77777777" w:rsidR="00BC3E4B" w:rsidRDefault="00D847AE">
      <w:pPr>
        <w:jc w:val="center"/>
        <w:rPr>
          <w:rFonts w:ascii="Century Gothic" w:eastAsia="Century Gothic" w:hAnsi="Century Gothic" w:cs="Century Gothic"/>
          <w:b/>
          <w:color w:val="000000"/>
        </w:rPr>
      </w:pPr>
      <w:r>
        <w:rPr>
          <w:rFonts w:ascii="Century Gothic" w:eastAsia="Century Gothic" w:hAnsi="Century Gothic" w:cs="Century Gothic"/>
          <w:b/>
          <w:color w:val="000000"/>
        </w:rPr>
        <w:t>PROMOCIÓN DE LOS DERECHOS DE LA NIÑEZ, LA INFANCIA Y LA ADOLESCENCIA Y MEDIDAS PREVENTIVAS</w:t>
      </w:r>
    </w:p>
    <w:p w14:paraId="3E230795"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60E6C09C"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5. CÓDIGO DE BUENAS PRÁCTICAS. </w:t>
      </w:r>
      <w:r>
        <w:rPr>
          <w:rFonts w:ascii="Century Gothic" w:eastAsia="Century Gothic" w:hAnsi="Century Gothic" w:cs="Century Gothic"/>
          <w:color w:val="000000"/>
        </w:rPr>
        <w:t xml:space="preserve">Los medios de comunicación, en desarrollo del principio de corresponsabilidad, adoptarán y divulgarán los Códigos de Buenas Prácticas para garantizar la observancia de sus deberes, </w:t>
      </w:r>
      <w:r>
        <w:rPr>
          <w:rFonts w:ascii="Century Gothic" w:eastAsia="Century Gothic" w:hAnsi="Century Gothic" w:cs="Century Gothic"/>
          <w:color w:val="000000"/>
        </w:rPr>
        <w:lastRenderedPageBreak/>
        <w:t>responsabilidades y obligaciones para con la infancia y la adolescencia.</w:t>
      </w:r>
    </w:p>
    <w:p w14:paraId="0F781D95"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0E1388BE" w14:textId="20452382"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1. </w:t>
      </w:r>
      <w:r>
        <w:rPr>
          <w:rFonts w:ascii="Century Gothic" w:eastAsia="Century Gothic" w:hAnsi="Century Gothic" w:cs="Century Gothic"/>
          <w:color w:val="000000"/>
        </w:rPr>
        <w:t xml:space="preserve">Los Códigos de Buenas Prácticas a que se refiere este artículo deberán adoptarse dentro del año siguiente a la entrada en vigor de esta ley, o al momento en que el medio de comunicación inicie su transmisión o circulación, según el caso. En caso de que el medio de comunicación ya cuente con un Código o reglamento, o similar, </w:t>
      </w:r>
      <w:r w:rsidR="00F10F67">
        <w:rPr>
          <w:rFonts w:ascii="Century Gothic" w:eastAsia="Century Gothic" w:hAnsi="Century Gothic" w:cs="Century Gothic"/>
          <w:color w:val="000000"/>
        </w:rPr>
        <w:t>deber</w:t>
      </w:r>
      <w:r>
        <w:rPr>
          <w:rFonts w:ascii="Century Gothic" w:eastAsia="Century Gothic" w:hAnsi="Century Gothic" w:cs="Century Gothic"/>
          <w:color w:val="000000"/>
        </w:rPr>
        <w:t>á adaptarlo a los términos de la presente Ley dentro del mismo plazo previsto en este artículo.</w:t>
      </w:r>
    </w:p>
    <w:p w14:paraId="1E71899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04B7170F" w14:textId="30C86E3F"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 2</w:t>
      </w:r>
      <w:r>
        <w:rPr>
          <w:rFonts w:ascii="Century Gothic" w:eastAsia="Century Gothic" w:hAnsi="Century Gothic" w:cs="Century Gothic"/>
          <w:color w:val="000000"/>
        </w:rPr>
        <w:t xml:space="preserve">. El Instituto Colombiano de Bienestar Familiar -ICBF- en coordinación con la Comisión de Regulación de Comunicaciones - CRC, y el Ministerio de Tecnologías de la Información y las Comunicaciones establecerá </w:t>
      </w:r>
      <w:r w:rsidR="00CD211C">
        <w:rPr>
          <w:rFonts w:ascii="Century Gothic" w:eastAsia="Century Gothic" w:hAnsi="Century Gothic" w:cs="Century Gothic"/>
          <w:color w:val="000000"/>
        </w:rPr>
        <w:t xml:space="preserve">las </w:t>
      </w:r>
      <w:r>
        <w:rPr>
          <w:rFonts w:ascii="Century Gothic" w:eastAsia="Century Gothic" w:hAnsi="Century Gothic" w:cs="Century Gothic"/>
          <w:color w:val="000000"/>
        </w:rPr>
        <w:t>guías prácticas</w:t>
      </w:r>
      <w:r w:rsidR="00CD211C">
        <w:rPr>
          <w:rFonts w:ascii="Century Gothic" w:eastAsia="Century Gothic" w:hAnsi="Century Gothic" w:cs="Century Gothic"/>
          <w:color w:val="000000"/>
        </w:rPr>
        <w:t xml:space="preserve"> y los lineamientos</w:t>
      </w:r>
      <w:r>
        <w:rPr>
          <w:rFonts w:ascii="Century Gothic" w:eastAsia="Century Gothic" w:hAnsi="Century Gothic" w:cs="Century Gothic"/>
          <w:color w:val="000000"/>
        </w:rPr>
        <w:t xml:space="preserve">, que deberán ser adoptadas dentro de los </w:t>
      </w:r>
      <w:r w:rsidR="009F76A0">
        <w:rPr>
          <w:rFonts w:ascii="Century Gothic" w:eastAsia="Century Gothic" w:hAnsi="Century Gothic" w:cs="Century Gothic"/>
          <w:color w:val="000000"/>
        </w:rPr>
        <w:t>3</w:t>
      </w:r>
      <w:r>
        <w:rPr>
          <w:rFonts w:ascii="Century Gothic" w:eastAsia="Century Gothic" w:hAnsi="Century Gothic" w:cs="Century Gothic"/>
          <w:color w:val="000000"/>
        </w:rPr>
        <w:t xml:space="preserve"> meses siguientes a la entrada en vigor de esta ley, para orientar la adopción de los códigos de buenas  prácticas previstos en esta ley, respecto de la protección de los derechos de la niñez, la infancia y la adolescencia, con el fin de armonizar los criterios útiles para garantizar a la población infantil y adolescente sus derechos prevalentes en el marco de las normas nacionales e internacionales vigentes, y de los fines y principios de esta ley.</w:t>
      </w:r>
    </w:p>
    <w:p w14:paraId="7EFC4155"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2E63647F" w14:textId="24CBB4EE" w:rsidR="00BC3E4B" w:rsidRDefault="00D847AE" w:rsidP="009E18F1">
      <w:pPr>
        <w:jc w:val="both"/>
        <w:rPr>
          <w:rFonts w:ascii="Century Gothic" w:eastAsia="Century Gothic" w:hAnsi="Century Gothic" w:cs="Century Gothic"/>
          <w:color w:val="000000"/>
        </w:rPr>
      </w:pPr>
      <w:r>
        <w:rPr>
          <w:rFonts w:ascii="Century Gothic" w:eastAsia="Century Gothic" w:hAnsi="Century Gothic" w:cs="Century Gothic"/>
          <w:b/>
          <w:color w:val="000000"/>
        </w:rPr>
        <w:t>ARTÍCULO 6. DIVULGACIÓN DE LOS CÓDIGOS DE BUENAS PRÁCTICAS</w:t>
      </w:r>
      <w:r>
        <w:rPr>
          <w:rFonts w:ascii="Century Gothic" w:eastAsia="Century Gothic" w:hAnsi="Century Gothic" w:cs="Century Gothic"/>
          <w:color w:val="000000"/>
        </w:rPr>
        <w:t>. Los medios divulgarán sus Códigos de Buenas Prácticas en sus sitios web o en el medio que dispongan para tal fin. Al momento de la expedición de dichos códigos, deberá remitir prueba de la divulgación</w:t>
      </w:r>
      <w:r w:rsidR="009E18F1">
        <w:rPr>
          <w:rFonts w:ascii="Century Gothic" w:eastAsia="Century Gothic" w:hAnsi="Century Gothic" w:cs="Century Gothic"/>
          <w:color w:val="000000"/>
        </w:rPr>
        <w:t xml:space="preserve"> </w:t>
      </w:r>
      <w:r w:rsidR="009E18F1" w:rsidRPr="009E18F1">
        <w:rPr>
          <w:rFonts w:ascii="Century Gothic" w:eastAsia="Century Gothic" w:hAnsi="Century Gothic" w:cs="Century Gothic"/>
          <w:color w:val="000000"/>
        </w:rPr>
        <w:t>y cumplimiento de las guías y lineamientos</w:t>
      </w:r>
      <w:r w:rsidR="009E18F1">
        <w:rPr>
          <w:rFonts w:ascii="Century Gothic" w:eastAsia="Century Gothic" w:hAnsi="Century Gothic" w:cs="Century Gothic"/>
          <w:color w:val="000000"/>
        </w:rPr>
        <w:t xml:space="preserve"> </w:t>
      </w:r>
      <w:r w:rsidR="009E18F1" w:rsidRPr="009E18F1">
        <w:rPr>
          <w:rFonts w:ascii="Century Gothic" w:eastAsia="Century Gothic" w:hAnsi="Century Gothic" w:cs="Century Gothic"/>
          <w:color w:val="000000"/>
        </w:rPr>
        <w:t>establecidos</w:t>
      </w:r>
      <w:r>
        <w:rPr>
          <w:rFonts w:ascii="Century Gothic" w:eastAsia="Century Gothic" w:hAnsi="Century Gothic" w:cs="Century Gothic"/>
          <w:color w:val="000000"/>
        </w:rPr>
        <w:t>, al Ministerio de Tecnologías de la Información y las Comunicaciones – MinTIC -, a la Comisión de Regulación de Comunicaciones – CRC -, para su verificación, en el marco de sus competencias.</w:t>
      </w:r>
      <w:r>
        <w:rPr>
          <w:noProof/>
          <w:lang w:val="es-CO" w:eastAsia="es-CO"/>
        </w:rPr>
        <mc:AlternateContent>
          <mc:Choice Requires="wps">
            <w:drawing>
              <wp:anchor distT="0" distB="0" distL="0" distR="0" simplePos="0" relativeHeight="251660288" behindDoc="0" locked="0" layoutInCell="1" hidden="0" allowOverlap="1" wp14:anchorId="216F817A" wp14:editId="4DC6DB45">
                <wp:simplePos x="0" y="0"/>
                <wp:positionH relativeFrom="column">
                  <wp:posOffset>4991100</wp:posOffset>
                </wp:positionH>
                <wp:positionV relativeFrom="paragraph">
                  <wp:posOffset>139700</wp:posOffset>
                </wp:positionV>
                <wp:extent cx="46990" cy="12700"/>
                <wp:effectExtent l="0" t="0" r="0" b="0"/>
                <wp:wrapSquare wrapText="bothSides" distT="0" distB="0" distL="0" distR="0"/>
                <wp:docPr id="123" name="Rectángulo 123"/>
                <wp:cNvGraphicFramePr/>
                <a:graphic xmlns:a="http://schemas.openxmlformats.org/drawingml/2006/main">
                  <a:graphicData uri="http://schemas.microsoft.com/office/word/2010/wordprocessingShape">
                    <wps:wsp>
                      <wps:cNvSpPr/>
                      <wps:spPr>
                        <a:xfrm>
                          <a:off x="5322505" y="3774603"/>
                          <a:ext cx="46990" cy="10795"/>
                        </a:xfrm>
                        <a:prstGeom prst="rect">
                          <a:avLst/>
                        </a:prstGeom>
                        <a:solidFill>
                          <a:srgbClr val="000000"/>
                        </a:solidFill>
                        <a:ln>
                          <a:noFill/>
                        </a:ln>
                      </wps:spPr>
                      <wps:txbx>
                        <w:txbxContent>
                          <w:p w14:paraId="63F139B5" w14:textId="77777777" w:rsidR="00BC3E4B" w:rsidRDefault="00BC3E4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6F817A" id="Rectángulo 123" o:spid="_x0000_s1026" style="position:absolute;left:0;text-align:left;margin-left:393pt;margin-top:11pt;width:3.7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" fillcolor="black" stroked="f">
                <v:textbox inset="2.53958mm,2.53958mm,2.53958mm,2.53958mm">
                  <w:txbxContent>
                    <w:p w14:paraId="63F139B5" w14:textId="77777777" w:rsidR="00BC3E4B" w:rsidRDefault="00BC3E4B">
                      <w:pPr>
                        <w:spacing w:after="0" w:line="240" w:lineRule="auto"/>
                        <w:textDirection w:val="btLr"/>
                      </w:pPr>
                    </w:p>
                  </w:txbxContent>
                </v:textbox>
                <w10:wrap type="square"/>
              </v:rect>
            </w:pict>
          </mc:Fallback>
        </mc:AlternateContent>
      </w:r>
    </w:p>
    <w:p w14:paraId="3613377A" w14:textId="43FB4406" w:rsidR="00BC3E4B" w:rsidRDefault="00D847AE">
      <w:pPr>
        <w:pStyle w:val="Ttulo1"/>
        <w:jc w:val="both"/>
        <w:rPr>
          <w:rFonts w:ascii="Century Gothic" w:eastAsia="Century Gothic" w:hAnsi="Century Gothic" w:cs="Century Gothic"/>
          <w:b/>
          <w:color w:val="000000"/>
        </w:rPr>
      </w:pPr>
      <w:r>
        <w:rPr>
          <w:rFonts w:ascii="Century Gothic" w:eastAsia="Century Gothic" w:hAnsi="Century Gothic" w:cs="Century Gothic"/>
          <w:b/>
          <w:color w:val="000000"/>
          <w:sz w:val="22"/>
          <w:szCs w:val="22"/>
        </w:rPr>
        <w:t xml:space="preserve">ARTÍCULO 7. SELLO DE BUENAS PRÁCTICAS EN FAVOR DE LA NIÑEZ, LA INFANCIA Y LA ADOLESCENCIA. </w:t>
      </w:r>
      <w:r>
        <w:rPr>
          <w:rFonts w:ascii="Century Gothic" w:eastAsia="Century Gothic" w:hAnsi="Century Gothic" w:cs="Century Gothic"/>
          <w:color w:val="000000"/>
          <w:sz w:val="22"/>
          <w:szCs w:val="22"/>
        </w:rPr>
        <w:t>El Gobierno Nacional, a través del ICBF, y mediante un sello de buenas prácticas en favor de los menores de edad, reconocerá anualmente a aquellos medios de comunicación, que se destaquen por ponerlas en marcha, e impulsar y generar contenidos, para prevenir la trata, discriminación</w:t>
      </w:r>
      <w:r w:rsidR="00AB2204">
        <w:rPr>
          <w:rFonts w:ascii="Century Gothic" w:eastAsia="Century Gothic" w:hAnsi="Century Gothic" w:cs="Century Gothic"/>
          <w:color w:val="000000"/>
          <w:sz w:val="22"/>
          <w:szCs w:val="22"/>
        </w:rPr>
        <w:t>, el castigo físico como método de corrección</w:t>
      </w:r>
      <w:r>
        <w:rPr>
          <w:rFonts w:ascii="Century Gothic" w:eastAsia="Century Gothic" w:hAnsi="Century Gothic" w:cs="Century Gothic"/>
          <w:color w:val="000000"/>
          <w:sz w:val="22"/>
          <w:szCs w:val="22"/>
        </w:rPr>
        <w:t xml:space="preserve"> y todo tipo de violencia contra los niños, niñas y adolescentes. Para otorgar el sello, se podrán tener como insumos lo</w:t>
      </w:r>
      <w:r w:rsidR="00EF5F67">
        <w:rPr>
          <w:rFonts w:ascii="Century Gothic" w:eastAsia="Century Gothic" w:hAnsi="Century Gothic" w:cs="Century Gothic"/>
          <w:color w:val="000000"/>
          <w:sz w:val="22"/>
          <w:szCs w:val="22"/>
        </w:rPr>
        <w:t>s</w:t>
      </w:r>
      <w:r>
        <w:rPr>
          <w:rFonts w:ascii="Century Gothic" w:eastAsia="Century Gothic" w:hAnsi="Century Gothic" w:cs="Century Gothic"/>
          <w:color w:val="000000"/>
          <w:sz w:val="22"/>
          <w:szCs w:val="22"/>
        </w:rPr>
        <w:t xml:space="preserve"> que sean presentados por las autoridades mencionadas en el artículo 17 de la presente ley.</w:t>
      </w:r>
    </w:p>
    <w:p w14:paraId="1A4406E9"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3EC9C5FA" w14:textId="77777777" w:rsidR="00BC3E4B" w:rsidRDefault="00D847AE">
      <w:pPr>
        <w:pStyle w:val="Ttulo1"/>
        <w:ind w:hanging="6"/>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CAPÍTULO III</w:t>
      </w:r>
    </w:p>
    <w:p w14:paraId="5DBCDD89" w14:textId="77777777" w:rsidR="00BC3E4B" w:rsidRDefault="00D847AE">
      <w:pPr>
        <w:pStyle w:val="Ttulo1"/>
        <w:ind w:hanging="6"/>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FRANJAS HORARIAS</w:t>
      </w:r>
    </w:p>
    <w:p w14:paraId="318BC92E" w14:textId="77777777" w:rsidR="00BC3E4B" w:rsidRDefault="00BC3E4B">
      <w:pPr>
        <w:pStyle w:val="Ttulo1"/>
        <w:ind w:hanging="6"/>
        <w:rPr>
          <w:rFonts w:ascii="Century Gothic" w:eastAsia="Century Gothic" w:hAnsi="Century Gothic" w:cs="Century Gothic"/>
          <w:color w:val="000000"/>
          <w:sz w:val="22"/>
          <w:szCs w:val="22"/>
        </w:rPr>
      </w:pPr>
    </w:p>
    <w:p w14:paraId="5AB1BF94"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8. HORARIO PARA PROGRAMAS CON CONTENIDOS VIOLENTOS O DE TIPO SEXUAL. </w:t>
      </w:r>
      <w:r>
        <w:rPr>
          <w:rFonts w:ascii="Century Gothic" w:eastAsia="Century Gothic" w:hAnsi="Century Gothic" w:cs="Century Gothic"/>
          <w:color w:val="000000"/>
        </w:rPr>
        <w:t>Las franjas de audiencia se clasifican en infantil, adolescente, familiar y adulta. Entre las 05:00 y las 22:00 horas la programación será familiar, para adolescentes o infantil. Sólo a partir de las 22:00 horas y hasta las 05:00 horas se podrá presentar programación para adultos.</w:t>
      </w:r>
    </w:p>
    <w:p w14:paraId="700F70BF"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sz w:val="21"/>
          <w:szCs w:val="21"/>
        </w:rPr>
      </w:pPr>
      <w:r>
        <w:rPr>
          <w:rFonts w:ascii="Century Gothic" w:eastAsia="Century Gothic" w:hAnsi="Century Gothic" w:cs="Century Gothic"/>
          <w:b/>
          <w:color w:val="000000"/>
          <w:sz w:val="21"/>
          <w:szCs w:val="21"/>
        </w:rPr>
        <w:t>PARÁGRAFO.</w:t>
      </w:r>
      <w:r>
        <w:rPr>
          <w:rFonts w:ascii="Century Gothic" w:eastAsia="Century Gothic" w:hAnsi="Century Gothic" w:cs="Century Gothic"/>
          <w:color w:val="000000"/>
          <w:sz w:val="21"/>
          <w:szCs w:val="21"/>
        </w:rPr>
        <w:t xml:space="preserve"> Para lo dispuesto en el presente artículo se excluye el servicio de internet.</w:t>
      </w:r>
    </w:p>
    <w:p w14:paraId="1B654361" w14:textId="77777777" w:rsidR="00BC3E4B" w:rsidRDefault="00BC3E4B">
      <w:pPr>
        <w:jc w:val="both"/>
        <w:rPr>
          <w:rFonts w:ascii="Century Gothic" w:eastAsia="Century Gothic" w:hAnsi="Century Gothic" w:cs="Century Gothic"/>
          <w:color w:val="000000"/>
        </w:rPr>
      </w:pPr>
    </w:p>
    <w:p w14:paraId="16D69A9C" w14:textId="6728A2B4" w:rsidR="00BC3E4B" w:rsidRPr="00F9749D" w:rsidRDefault="00D847AE">
      <w:pPr>
        <w:jc w:val="both"/>
        <w:rPr>
          <w:rFonts w:ascii="Century Gothic" w:eastAsia="Century Gothic" w:hAnsi="Century Gothic" w:cs="Century Gothic"/>
          <w:b/>
          <w:color w:val="000000"/>
          <w:u w:val="single"/>
        </w:rPr>
      </w:pPr>
      <w:r>
        <w:rPr>
          <w:rFonts w:ascii="Century Gothic" w:eastAsia="Century Gothic" w:hAnsi="Century Gothic" w:cs="Century Gothic"/>
          <w:b/>
          <w:color w:val="000000"/>
        </w:rPr>
        <w:t xml:space="preserve">ARTÍCULO 9. PROGRAMACIÓN EN LAS FRANJAS DE CONTENIDO INFANTIL. </w:t>
      </w:r>
      <w:r>
        <w:rPr>
          <w:rFonts w:ascii="Century Gothic" w:eastAsia="Century Gothic" w:hAnsi="Century Gothic" w:cs="Century Gothic"/>
          <w:color w:val="000000"/>
        </w:rPr>
        <w:t>En las franjas de programación infantil, los proveedores del servicio de televisión y radiodifusión sonora dedicarán como mínimo un espacio semanal para difundir pedagogía dirigida a la niñez, la infancia y la adolescencia</w:t>
      </w:r>
      <w:r w:rsidR="00E60B54">
        <w:rPr>
          <w:rFonts w:ascii="Century Gothic" w:eastAsia="Century Gothic" w:hAnsi="Century Gothic" w:cs="Century Gothic"/>
          <w:color w:val="000000"/>
        </w:rPr>
        <w:t xml:space="preserve"> </w:t>
      </w:r>
      <w:r w:rsidR="00E60B54" w:rsidRPr="00E60B54">
        <w:rPr>
          <w:rFonts w:ascii="Century Gothic" w:eastAsia="Century Gothic" w:hAnsi="Century Gothic" w:cs="Century Gothic"/>
          <w:color w:val="000000"/>
        </w:rPr>
        <w:t>generando contenidos que estimulen, de acuerdo a las edades de desarrollo, los procesos de pensamiento e imaginación, procesos de creatividad, promoviendo hábitos de vida saludables y que fomenten la actividad física, así como contenido dirigido</w:t>
      </w:r>
      <w:r>
        <w:rPr>
          <w:rFonts w:ascii="Century Gothic" w:eastAsia="Century Gothic" w:hAnsi="Century Gothic" w:cs="Century Gothic"/>
          <w:color w:val="000000"/>
        </w:rPr>
        <w:t xml:space="preserve"> a acudientes, para la prevención del maltrato infantil</w:t>
      </w:r>
      <w:r w:rsidR="00F9749D" w:rsidRPr="00D52439">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de la trata, la pornografía infantil, el turismo sexual, </w:t>
      </w:r>
      <w:r w:rsidR="00F9749D">
        <w:rPr>
          <w:rFonts w:ascii="Century Gothic" w:eastAsia="Century Gothic" w:hAnsi="Century Gothic" w:cs="Century Gothic"/>
          <w:color w:val="000000"/>
        </w:rPr>
        <w:t xml:space="preserve">discriminación, el castigo físico como método de corrección </w:t>
      </w:r>
      <w:r>
        <w:rPr>
          <w:rFonts w:ascii="Century Gothic" w:eastAsia="Century Gothic" w:hAnsi="Century Gothic" w:cs="Century Gothic"/>
          <w:color w:val="000000"/>
        </w:rPr>
        <w:t xml:space="preserve"> y cualquier otra conducta </w:t>
      </w:r>
      <w:r>
        <w:rPr>
          <w:rFonts w:ascii="Century Gothic" w:eastAsia="Century Gothic" w:hAnsi="Century Gothic" w:cs="Century Gothic"/>
          <w:color w:val="000000"/>
          <w:highlight w:val="white"/>
        </w:rPr>
        <w:t>que incite a la violencia, que haga apología de hechos delictivos o contravenciones contra los menores de edad</w:t>
      </w:r>
      <w:r>
        <w:rPr>
          <w:rFonts w:ascii="Century Gothic" w:eastAsia="Century Gothic" w:hAnsi="Century Gothic" w:cs="Century Gothic"/>
          <w:color w:val="000000"/>
        </w:rPr>
        <w:t>. De igual modo, brindará orientación relacionada con los canales directos de denuncia u orientación familiar en casos de violencia intrafamiliar. Para el servicio de televisión el contenido del que habla el presente artículo deberá ser producido directamente por el canal de televisión.</w:t>
      </w:r>
    </w:p>
    <w:p w14:paraId="41F61941" w14:textId="22031A42"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10. ADVERTENCIA SOBRE CONTENIDOS DE LA EMISIÓN DE CADA PROGRAMA. </w:t>
      </w:r>
      <w:r>
        <w:rPr>
          <w:rFonts w:ascii="Century Gothic" w:eastAsia="Century Gothic" w:hAnsi="Century Gothic" w:cs="Century Gothic"/>
          <w:color w:val="000000"/>
        </w:rPr>
        <w:t xml:space="preserve">Antes de cada emisión de contenido, los concesionarios del servicio de radiodifusión sonora deberán informar el rango de edad al cual está dirigido, su clasificación como infantil, adolescente o familiar o si está dirigido exclusivamente a adultos, si contiene o no </w:t>
      </w:r>
      <w:r w:rsidR="006B1F0F">
        <w:rPr>
          <w:rFonts w:ascii="Century Gothic" w:eastAsia="Century Gothic" w:hAnsi="Century Gothic" w:cs="Century Gothic"/>
          <w:color w:val="000000"/>
        </w:rPr>
        <w:t>menciones a temáticas</w:t>
      </w:r>
      <w:r>
        <w:rPr>
          <w:rFonts w:ascii="Century Gothic" w:eastAsia="Century Gothic" w:hAnsi="Century Gothic" w:cs="Century Gothic"/>
          <w:color w:val="000000"/>
        </w:rPr>
        <w:t xml:space="preserve"> de sexo o violencia, si debe ser visto o e</w:t>
      </w:r>
      <w:r w:rsidR="006B1F0F">
        <w:rPr>
          <w:rFonts w:ascii="Century Gothic" w:eastAsia="Century Gothic" w:hAnsi="Century Gothic" w:cs="Century Gothic"/>
          <w:color w:val="000000"/>
        </w:rPr>
        <w:t>scuchado en compañía de adultos</w:t>
      </w:r>
      <w:r w:rsidR="00D50E99">
        <w:rPr>
          <w:rFonts w:ascii="Century Gothic" w:eastAsia="Century Gothic" w:hAnsi="Century Gothic" w:cs="Century Gothic"/>
          <w:color w:val="000000"/>
        </w:rPr>
        <w:t>.</w:t>
      </w:r>
      <w:r>
        <w:rPr>
          <w:rFonts w:ascii="Century Gothic" w:eastAsia="Century Gothic" w:hAnsi="Century Gothic" w:cs="Century Gothic"/>
          <w:color w:val="000000"/>
        </w:rPr>
        <w:t xml:space="preserve"> Este mensaje debe ser claro, de fácil audición, y deberá aparecer como mínimo dos (2) veces adicionales a la mención realizada antes de la emisión, a lo largo de la emisión del programa, la primera de ellas una vez transcurrido el 35% del contenido del programa emitido y la segunda, una vez transcurrido el 70% del contenido del programa emitido. Para el caso del servicio de televisión se hará mención de esta advertencia dentro del espacio previsto dentro de la regulación vigente.</w:t>
      </w:r>
    </w:p>
    <w:p w14:paraId="1933B080"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b/>
          <w:color w:val="000000"/>
        </w:rPr>
      </w:pPr>
    </w:p>
    <w:p w14:paraId="6F06E8D4"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11. ARCHIVO. </w:t>
      </w:r>
      <w:r>
        <w:rPr>
          <w:rFonts w:ascii="Century Gothic" w:eastAsia="Century Gothic" w:hAnsi="Century Gothic" w:cs="Century Gothic"/>
          <w:color w:val="000000"/>
        </w:rPr>
        <w:t>Para los fines previstos en esta Ley, la conservación de archivos para el servicio de radiodifusión sonora será de noventa (90) días, contados a partir del día siguiente de su emisión. Para el caso del servicio de televisión el término de conservación será de seis (6) meses.</w:t>
      </w:r>
    </w:p>
    <w:p w14:paraId="771EEE0B"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789F24E3" w14:textId="77777777" w:rsidR="00BC3E4B" w:rsidRDefault="00D847AE">
      <w:pPr>
        <w:pStyle w:val="Ttulo1"/>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IV</w:t>
      </w:r>
    </w:p>
    <w:p w14:paraId="0C571347"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038B332F" w14:textId="77777777" w:rsidR="00BC3E4B" w:rsidRDefault="00D847AE">
      <w:pPr>
        <w:jc w:val="center"/>
        <w:rPr>
          <w:rFonts w:ascii="Century Gothic" w:eastAsia="Century Gothic" w:hAnsi="Century Gothic" w:cs="Century Gothic"/>
          <w:b/>
          <w:color w:val="000000"/>
        </w:rPr>
      </w:pPr>
      <w:r>
        <w:rPr>
          <w:rFonts w:ascii="Century Gothic" w:eastAsia="Century Gothic" w:hAnsi="Century Gothic" w:cs="Century Gothic"/>
          <w:b/>
          <w:color w:val="000000"/>
        </w:rPr>
        <w:t>MEDIDAS PARA GARANTIZAR LA PROTECCIÓN DE LOS DERECHOS DE LA NIÑEZ, LA INFANCIA Y LA ADOLESCENCIA POR PARTE DE LOS PROVEEDORES DE SERVICIOS DE INTERNET</w:t>
      </w:r>
    </w:p>
    <w:p w14:paraId="0E3741E2"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b/>
          <w:color w:val="000000"/>
        </w:rPr>
      </w:pPr>
    </w:p>
    <w:p w14:paraId="6583C5A5" w14:textId="1AF92341" w:rsidR="00FA34E5" w:rsidRPr="00FA34E5" w:rsidRDefault="00D847AE" w:rsidP="00FA34E5">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12. COMISIÓN DE EXPERTOS:</w:t>
      </w:r>
      <w:r w:rsidR="00FA34E5">
        <w:rPr>
          <w:rFonts w:ascii="Century Gothic" w:eastAsia="Century Gothic" w:hAnsi="Century Gothic" w:cs="Century Gothic"/>
          <w:b/>
          <w:color w:val="000000"/>
        </w:rPr>
        <w:t xml:space="preserve"> </w:t>
      </w:r>
      <w:r w:rsidR="00FA34E5" w:rsidRPr="00FA34E5">
        <w:rPr>
          <w:rFonts w:ascii="Century Gothic" w:eastAsia="Century Gothic" w:hAnsi="Century Gothic" w:cs="Century Gothic"/>
          <w:color w:val="000000"/>
        </w:rPr>
        <w:t>Dentro del mes siguiente a la entrada en</w:t>
      </w:r>
    </w:p>
    <w:p w14:paraId="78E72A3A" w14:textId="2360FA41" w:rsidR="00BC3E4B" w:rsidRPr="00FA34E5" w:rsidRDefault="00FA34E5" w:rsidP="00FA34E5">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sidRPr="00FA34E5">
        <w:rPr>
          <w:rFonts w:ascii="Century Gothic" w:eastAsia="Century Gothic" w:hAnsi="Century Gothic" w:cs="Century Gothic"/>
          <w:color w:val="000000"/>
        </w:rPr>
        <w:t>vigencia de la presente Ley, el Gobierno Nacional en cabeza del Instituto Colombiano de Bienestar Familiar conformará una Comisión integrada por peritos jurídicos y técnicos, y expertos en telecomunicaciones, con el propósito de</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proponer iniciativas técnicas y administrativas sobre</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sistemas o mecanismos de detección, control parental, filtro y clasificación de</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contenidos acorde con lo dispuesto en el siguiente artículo.</w:t>
      </w:r>
    </w:p>
    <w:p w14:paraId="574BFCF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3C698BA" w14:textId="7707E3BA" w:rsidR="00BC3E4B" w:rsidRDefault="00FA34E5" w:rsidP="00C834D2">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sidRPr="00FA34E5">
        <w:rPr>
          <w:rFonts w:ascii="Century Gothic" w:eastAsia="Century Gothic" w:hAnsi="Century Gothic" w:cs="Century Gothic"/>
          <w:color w:val="000000"/>
        </w:rPr>
        <w:t>Los miembros de la Comisión serán funcionarios de las entidades públicas</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pertenecientes al Sistema Nacional de Bienestar Familiar y al Sector de</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Tecnologías de</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la Información y las Comunicaciones, y su designación corresponderá al representante</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legal de las mismas. En todo caso, formarán parte de la Comisión, el Instituto</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Colombiano de Bienestar Familiar, el Ministerio de Tecnologías de la Información y las</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Comunicaciones, el Director Ejecutivo de la Comisión de Regulación de</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Comunicaciones, la Procuraduría General de la Nación, la Defensoría del Pueblo, la</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Dirección de Investigación Criminal e Interpol, la Fiscalía General de la Nación, o sus</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delegados y a sus reuniones podrán ser invitados con voz pero sin voto la Delegación</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para Colombia de la Unicef y representantes de organizaciones civiles, corporaciones,</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o agremiaciones que tengan relación con el propósito de la Comisión de Expertos,</w:t>
      </w:r>
      <w:r>
        <w:rPr>
          <w:rFonts w:ascii="Century Gothic" w:eastAsia="Century Gothic" w:hAnsi="Century Gothic" w:cs="Century Gothic"/>
          <w:color w:val="000000"/>
        </w:rPr>
        <w:t xml:space="preserve"> </w:t>
      </w:r>
      <w:r w:rsidRPr="00FA34E5">
        <w:rPr>
          <w:rFonts w:ascii="Century Gothic" w:eastAsia="Century Gothic" w:hAnsi="Century Gothic" w:cs="Century Gothic"/>
          <w:color w:val="000000"/>
        </w:rPr>
        <w:t>especialmente representantes de los medios de comunicación y de los ISP.</w:t>
      </w:r>
    </w:p>
    <w:p w14:paraId="3234523B" w14:textId="77777777" w:rsidR="00FA34E5" w:rsidRDefault="00FA34E5" w:rsidP="00FA34E5">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EAD5DC1" w14:textId="39BEBC91" w:rsidR="00C834D2" w:rsidRDefault="002A050B" w:rsidP="002A050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sidRPr="002A050B">
        <w:rPr>
          <w:rFonts w:ascii="Century Gothic" w:eastAsia="Century Gothic" w:hAnsi="Century Gothic" w:cs="Century Gothic"/>
          <w:color w:val="000000"/>
        </w:rPr>
        <w:t>La Comisión a la que se refiere el presente artículo, presentará un informe escrito al</w:t>
      </w:r>
      <w:r>
        <w:rPr>
          <w:rFonts w:ascii="Century Gothic" w:eastAsia="Century Gothic" w:hAnsi="Century Gothic" w:cs="Century Gothic"/>
          <w:color w:val="000000"/>
        </w:rPr>
        <w:t xml:space="preserve"> </w:t>
      </w:r>
      <w:r w:rsidRPr="002A050B">
        <w:rPr>
          <w:rFonts w:ascii="Century Gothic" w:eastAsia="Century Gothic" w:hAnsi="Century Gothic" w:cs="Century Gothic"/>
          <w:color w:val="000000"/>
        </w:rPr>
        <w:t>Gobierno Nacional dentro de los cuatro (4) meses siguientes a su</w:t>
      </w:r>
      <w:r>
        <w:rPr>
          <w:rFonts w:ascii="Century Gothic" w:eastAsia="Century Gothic" w:hAnsi="Century Gothic" w:cs="Century Gothic"/>
          <w:color w:val="000000"/>
        </w:rPr>
        <w:t xml:space="preserve"> </w:t>
      </w:r>
      <w:r w:rsidRPr="002A050B">
        <w:rPr>
          <w:rFonts w:ascii="Century Gothic" w:eastAsia="Century Gothic" w:hAnsi="Century Gothic" w:cs="Century Gothic"/>
          <w:color w:val="000000"/>
        </w:rPr>
        <w:t>conformación, en el</w:t>
      </w:r>
      <w:r>
        <w:rPr>
          <w:rFonts w:ascii="Century Gothic" w:eastAsia="Century Gothic" w:hAnsi="Century Gothic" w:cs="Century Gothic"/>
          <w:color w:val="000000"/>
        </w:rPr>
        <w:t xml:space="preserve"> </w:t>
      </w:r>
      <w:r w:rsidRPr="002A050B">
        <w:rPr>
          <w:rFonts w:ascii="Century Gothic" w:eastAsia="Century Gothic" w:hAnsi="Century Gothic" w:cs="Century Gothic"/>
          <w:color w:val="000000"/>
        </w:rPr>
        <w:t>cual consten las</w:t>
      </w:r>
      <w:r>
        <w:rPr>
          <w:rFonts w:ascii="Century Gothic" w:eastAsia="Century Gothic" w:hAnsi="Century Gothic" w:cs="Century Gothic"/>
          <w:color w:val="000000"/>
        </w:rPr>
        <w:t xml:space="preserve"> </w:t>
      </w:r>
      <w:r w:rsidRPr="002A050B">
        <w:rPr>
          <w:rFonts w:ascii="Century Gothic" w:eastAsia="Century Gothic" w:hAnsi="Century Gothic" w:cs="Century Gothic"/>
          <w:color w:val="000000"/>
        </w:rPr>
        <w:t>recomendaciones propuestas.</w:t>
      </w:r>
    </w:p>
    <w:p w14:paraId="1C437D00" w14:textId="77777777" w:rsidR="00FA34E5" w:rsidRDefault="00FA34E5" w:rsidP="00FA34E5">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8B97E02" w14:textId="0AEA1AEE" w:rsidR="00BC3E4B" w:rsidRDefault="002A050B" w:rsidP="002A050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sidRPr="002A050B">
        <w:rPr>
          <w:rFonts w:ascii="Century Gothic" w:eastAsia="Century Gothic" w:hAnsi="Century Gothic" w:cs="Century Gothic"/>
          <w:b/>
          <w:color w:val="000000"/>
        </w:rPr>
        <w:t>PARÁGRAFO 1</w:t>
      </w:r>
      <w:r w:rsidRPr="002A050B">
        <w:rPr>
          <w:rFonts w:ascii="Century Gothic" w:eastAsia="Century Gothic" w:hAnsi="Century Gothic" w:cs="Century Gothic"/>
          <w:color w:val="000000"/>
        </w:rPr>
        <w:t>: Una vez conformada la Comisión de Expertos, se deberá convocar</w:t>
      </w:r>
      <w:r>
        <w:rPr>
          <w:rFonts w:ascii="Century Gothic" w:eastAsia="Century Gothic" w:hAnsi="Century Gothic" w:cs="Century Gothic"/>
          <w:color w:val="000000"/>
        </w:rPr>
        <w:t xml:space="preserve"> </w:t>
      </w:r>
      <w:r w:rsidRPr="002A050B">
        <w:rPr>
          <w:rFonts w:ascii="Century Gothic" w:eastAsia="Century Gothic" w:hAnsi="Century Gothic" w:cs="Century Gothic"/>
          <w:color w:val="000000"/>
        </w:rPr>
        <w:t>mínimo una audiencia pública en la que toda persona natural o jurídica, pueda</w:t>
      </w:r>
      <w:r>
        <w:rPr>
          <w:rFonts w:ascii="Century Gothic" w:eastAsia="Century Gothic" w:hAnsi="Century Gothic" w:cs="Century Gothic"/>
          <w:color w:val="000000"/>
        </w:rPr>
        <w:t xml:space="preserve"> </w:t>
      </w:r>
      <w:r w:rsidRPr="002A050B">
        <w:rPr>
          <w:rFonts w:ascii="Century Gothic" w:eastAsia="Century Gothic" w:hAnsi="Century Gothic" w:cs="Century Gothic"/>
          <w:color w:val="000000"/>
        </w:rPr>
        <w:t>presentar expresar sus opiniones.</w:t>
      </w:r>
    </w:p>
    <w:p w14:paraId="6554D63F" w14:textId="77777777" w:rsidR="002A050B" w:rsidRDefault="002A050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02AC2B59" w14:textId="77777777" w:rsidR="002A050B" w:rsidRDefault="002A050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22079D7F" w14:textId="77777777" w:rsidR="002A050B" w:rsidRDefault="002A050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1F23DF3B" w14:textId="25AF8ADE" w:rsidR="00BC3E4B" w:rsidRDefault="00D847AE" w:rsidP="0049278A">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w:t>
      </w:r>
      <w:r w:rsidR="006667B4">
        <w:rPr>
          <w:rFonts w:ascii="Century Gothic" w:eastAsia="Century Gothic" w:hAnsi="Century Gothic" w:cs="Century Gothic"/>
          <w:b/>
          <w:color w:val="000000"/>
        </w:rPr>
        <w:t xml:space="preserve"> 2</w:t>
      </w:r>
      <w:r>
        <w:rPr>
          <w:rFonts w:ascii="Century Gothic" w:eastAsia="Century Gothic" w:hAnsi="Century Gothic" w:cs="Century Gothic"/>
          <w:color w:val="000000"/>
        </w:rPr>
        <w:t xml:space="preserve">. La Comisión de Expertos </w:t>
      </w:r>
      <w:r w:rsidR="0049278A" w:rsidRPr="0049278A">
        <w:rPr>
          <w:rFonts w:ascii="Century Gothic" w:eastAsia="Century Gothic" w:hAnsi="Century Gothic" w:cs="Century Gothic"/>
          <w:color w:val="000000"/>
        </w:rPr>
        <w:t>deberá reunirse por lo menos una (1) vez al año,</w:t>
      </w:r>
      <w:r w:rsidR="0049278A">
        <w:rPr>
          <w:rFonts w:ascii="Century Gothic" w:eastAsia="Century Gothic" w:hAnsi="Century Gothic" w:cs="Century Gothic"/>
          <w:color w:val="000000"/>
        </w:rPr>
        <w:t xml:space="preserve"> </w:t>
      </w:r>
      <w:r w:rsidR="0049278A" w:rsidRPr="0049278A">
        <w:rPr>
          <w:rFonts w:ascii="Century Gothic" w:eastAsia="Century Gothic" w:hAnsi="Century Gothic" w:cs="Century Gothic"/>
          <w:color w:val="000000"/>
        </w:rPr>
        <w:t>contado a partir de la vigencia de la presente Ley.</w:t>
      </w:r>
    </w:p>
    <w:p w14:paraId="3E379F5E"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57A1088B" w14:textId="536E838A" w:rsidR="00BC3E4B" w:rsidRDefault="00D847AE" w:rsidP="0049278A">
      <w:pPr>
        <w:widowControl w:val="0"/>
        <w:pBdr>
          <w:top w:val="nil"/>
          <w:left w:val="nil"/>
          <w:bottom w:val="nil"/>
          <w:right w:val="nil"/>
          <w:between w:val="nil"/>
        </w:pBdr>
        <w:spacing w:after="0" w:line="240" w:lineRule="auto"/>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 xml:space="preserve">ARTÍCULO 13. </w:t>
      </w:r>
      <w:r w:rsidR="0049278A" w:rsidRPr="0049278A">
        <w:rPr>
          <w:rFonts w:ascii="Century Gothic" w:eastAsia="Century Gothic" w:hAnsi="Century Gothic" w:cs="Century Gothic"/>
          <w:b/>
          <w:color w:val="000000"/>
          <w:sz w:val="21"/>
          <w:szCs w:val="21"/>
        </w:rPr>
        <w:t>CATÁLOGO DE CONTENIDOS.</w:t>
      </w:r>
      <w:r w:rsidR="0049278A" w:rsidRPr="0049278A">
        <w:rPr>
          <w:rFonts w:ascii="Century Gothic" w:eastAsia="Century Gothic" w:hAnsi="Century Gothic" w:cs="Century Gothic"/>
          <w:color w:val="000000"/>
          <w:sz w:val="21"/>
          <w:szCs w:val="21"/>
        </w:rPr>
        <w:t xml:space="preserve"> Los contenidos que pueden atentar contra la integridad psíquica, física de la niñez o adolescencia o derechos preestablecidos en la Constitución y ley, mediante el acceso, uso y aprovechamiento del internet, serán aquellos que: (i) inciten a la violencia contra menores; (ii) hagan apología de hechos delictivos o contravencionales en contra de menores y; (iii) contengan mensajes discriminatorios contra este sector de la población.</w:t>
      </w:r>
    </w:p>
    <w:p w14:paraId="57D1ADB6" w14:textId="77777777" w:rsidR="00BC3E4B" w:rsidRDefault="00BC3E4B">
      <w:pPr>
        <w:pBdr>
          <w:top w:val="nil"/>
          <w:left w:val="nil"/>
          <w:bottom w:val="nil"/>
          <w:right w:val="nil"/>
          <w:between w:val="nil"/>
        </w:pBdr>
        <w:spacing w:line="240" w:lineRule="auto"/>
        <w:jc w:val="both"/>
        <w:rPr>
          <w:rFonts w:ascii="Century Gothic" w:eastAsia="Century Gothic" w:hAnsi="Century Gothic" w:cs="Century Gothic"/>
          <w:b/>
          <w:color w:val="000000"/>
          <w:sz w:val="21"/>
          <w:szCs w:val="21"/>
          <w:u w:val="single"/>
        </w:rPr>
      </w:pPr>
    </w:p>
    <w:p w14:paraId="22020A91"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14. PROHIBICIONES: </w:t>
      </w:r>
      <w:r>
        <w:rPr>
          <w:rFonts w:ascii="Century Gothic" w:eastAsia="Century Gothic" w:hAnsi="Century Gothic" w:cs="Century Gothic"/>
          <w:color w:val="000000"/>
        </w:rPr>
        <w:t>Los Proveedores de Servicios de Internet – ISP - no podrán:</w:t>
      </w:r>
    </w:p>
    <w:p w14:paraId="435C2249"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09C1A8B" w14:textId="77777777" w:rsidR="00BC3E4B" w:rsidRDefault="00D847AE">
      <w:pPr>
        <w:widowControl w:val="0"/>
        <w:numPr>
          <w:ilvl w:val="0"/>
          <w:numId w:val="20"/>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imágenes, textos, documentos o archivos audiovisuales que atenten directa o indirectamente contra la integridad moral, psíquica o física de la niñez, la infancia y la adolescencia, que inciten a la violencia, que hagan apología de hechos delictivos o contravencionales, o que contengan mensajes discriminatorios contra este sector de la población.</w:t>
      </w:r>
    </w:p>
    <w:p w14:paraId="3FB32009"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5E0D56E" w14:textId="77777777" w:rsidR="00BC3E4B" w:rsidRDefault="00D847AE">
      <w:pPr>
        <w:widowControl w:val="0"/>
        <w:numPr>
          <w:ilvl w:val="0"/>
          <w:numId w:val="20"/>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vínculos o links sobre sitios en la red que contengan imágenes, textos, documentos o archivos audiovisuales que atenten directa o indirectamente contra la integridad moral, psíquica o física de la niñez, la infancia y la adolescencia, que inciten a la violencia, que hagan apología de hechos delictivos o contravencionales, o que conlleven mensajes discriminatorios contra este sector de la población.</w:t>
      </w:r>
    </w:p>
    <w:p w14:paraId="2D68C6D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27A0CC78"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15. DEBERES: </w:t>
      </w:r>
      <w:r>
        <w:rPr>
          <w:rFonts w:ascii="Century Gothic" w:eastAsia="Century Gothic" w:hAnsi="Century Gothic" w:cs="Century Gothic"/>
          <w:color w:val="000000"/>
        </w:rPr>
        <w:t>Sin perjuicio de la obligación de denuncia consagrada en la ley, los Proveedores de Servicios de Internet deberán:</w:t>
      </w:r>
    </w:p>
    <w:p w14:paraId="5ED0F16E"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0CB0100"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Denunciar ante las autoridades competentes cualquier acto criminal contra menores de edad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56F21006"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F5DAAC5"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Combatir con todos los medios técnicos a su alcance la difusión de material que atente directa o indirectamente contra la integridad moral, psíquica o física de la niñez, la infancia y la adolescencia, que incite a la violencia, que haga apología de hechos delictivos o contravencionales, o que conlleve mensajes discriminatorios contra este sector de la población.</w:t>
      </w:r>
    </w:p>
    <w:p w14:paraId="676D1351"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E8AFCC4"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Abstenerse de usar Internet para la divulgación de material que atente directa o indirectamente contra la integridad moral, psíquica o física de los niños, niñas, y adolescentes, que incite a la violencia, que haga apología de hechos delictivos o contravencionales, o que conlleve mensajes discriminatorios contra este sector de la población.</w:t>
      </w:r>
    </w:p>
    <w:p w14:paraId="150FCC17"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A153C84" w14:textId="77777777" w:rsidR="00BC3E4B" w:rsidRDefault="00D847AE">
      <w:pPr>
        <w:widowControl w:val="0"/>
        <w:numPr>
          <w:ilvl w:val="0"/>
          <w:numId w:val="22"/>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Establecer mecanismos técnicos de bloqueo por medio de los cuales se pueda proteger a los usuarios del acceso a material que atente directa o indirectamente contra la integridad moral, psíquica o física de la niñez, la infancia y la adolescencia, que incite a la violencia, que haga apología de hechos delictivos o contravencionales, o que conlleven mensajes discriminatorios contra este sector de la población.</w:t>
      </w:r>
    </w:p>
    <w:p w14:paraId="3BBF433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33831FE0" w14:textId="77777777" w:rsidR="00BC3E4B" w:rsidRDefault="00D847AE">
      <w:pPr>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16. MEDIDAS TÉCNICAS. </w:t>
      </w:r>
      <w:r>
        <w:rPr>
          <w:rFonts w:ascii="Century Gothic" w:eastAsia="Century Gothic" w:hAnsi="Century Gothic" w:cs="Century Gothic"/>
          <w:color w:val="000000"/>
        </w:rPr>
        <w:t>Los Proveedores de Servicios de Internet están obligados a:</w:t>
      </w:r>
    </w:p>
    <w:p w14:paraId="486AAE5D"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3FB00565"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Implementar sistemas internos de seguridad para su red, encaminados a evitar el acceso no autorizado a su red, la realización de </w:t>
      </w:r>
      <w:r>
        <w:rPr>
          <w:rFonts w:ascii="Century Gothic" w:eastAsia="Century Gothic" w:hAnsi="Century Gothic" w:cs="Century Gothic"/>
          <w:i/>
          <w:color w:val="000000"/>
        </w:rPr>
        <w:t>spamming</w:t>
      </w:r>
      <w:r>
        <w:rPr>
          <w:rFonts w:ascii="Century Gothic" w:eastAsia="Century Gothic" w:hAnsi="Century Gothic" w:cs="Century Gothic"/>
          <w:color w:val="000000"/>
        </w:rPr>
        <w:t>, phishing , o que desde sistemas públicos se tenga acceso a su red, con el fin de difundir en ella contenido que atente contra la integridad moral, psíquica o física de la niñez, la infancia y la adolescencia, que incite a la violencia, que haga apología de hechos delictivos o contravencionales, o que conlleve mensajes discriminatorios contra este sector de la población.</w:t>
      </w:r>
    </w:p>
    <w:p w14:paraId="5ECBC4D6"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4A4B3B14"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Implementar en su propia infraestructura, técnicas de control, basadas en la clasificación de contenidos que tengan como objetivo fundamental evitar el acceso a sitios con 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43265957"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313E27BD" w14:textId="77777777" w:rsidR="00BC3E4B" w:rsidRDefault="00D847AE">
      <w:pPr>
        <w:widowControl w:val="0"/>
        <w:pBdr>
          <w:top w:val="nil"/>
          <w:left w:val="nil"/>
          <w:bottom w:val="nil"/>
          <w:right w:val="nil"/>
          <w:between w:val="nil"/>
        </w:pBdr>
        <w:spacing w:after="0" w:line="240"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La clasificación de estos contenidos se sujetará a la que efectúe la Comisión de Expertos de que trata el artículo 11 de la presente Ley.</w:t>
      </w:r>
    </w:p>
    <w:p w14:paraId="38873BED" w14:textId="77777777" w:rsidR="00BC3E4B" w:rsidRDefault="00BC3E4B">
      <w:pPr>
        <w:widowControl w:val="0"/>
        <w:pBdr>
          <w:top w:val="nil"/>
          <w:left w:val="nil"/>
          <w:bottom w:val="nil"/>
          <w:right w:val="nil"/>
          <w:between w:val="nil"/>
        </w:pBdr>
        <w:spacing w:after="0" w:line="240" w:lineRule="auto"/>
        <w:ind w:left="284"/>
        <w:rPr>
          <w:rFonts w:ascii="Century Gothic" w:eastAsia="Century Gothic" w:hAnsi="Century Gothic" w:cs="Century Gothic"/>
          <w:color w:val="000000"/>
        </w:rPr>
      </w:pPr>
    </w:p>
    <w:p w14:paraId="3712CAC4" w14:textId="77777777" w:rsidR="00BC3E4B" w:rsidRDefault="00D847AE">
      <w:pPr>
        <w:widowControl w:val="0"/>
        <w:pBdr>
          <w:top w:val="nil"/>
          <w:left w:val="nil"/>
          <w:bottom w:val="nil"/>
          <w:right w:val="nil"/>
          <w:between w:val="nil"/>
        </w:pBdr>
        <w:spacing w:after="0" w:line="240" w:lineRule="auto"/>
        <w:ind w:left="360"/>
        <w:jc w:val="both"/>
        <w:rPr>
          <w:rFonts w:ascii="Century Gothic" w:eastAsia="Century Gothic" w:hAnsi="Century Gothic" w:cs="Century Gothic"/>
          <w:color w:val="000000"/>
        </w:rPr>
      </w:pPr>
      <w:r>
        <w:rPr>
          <w:rFonts w:ascii="Century Gothic" w:eastAsia="Century Gothic" w:hAnsi="Century Gothic" w:cs="Century Gothic"/>
          <w:color w:val="000000"/>
        </w:rPr>
        <w:t>Los ISP deberán proporcionar mecanismos técnicos que permitan a los usuarios mayores de dieciocho (18) años, acceder a contenidos que, pese a haber sido incorporados en el catálogo de que trata el artículo 11 de la presente Ley, no constituyan delitos.</w:t>
      </w:r>
    </w:p>
    <w:p w14:paraId="66F9889C"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0DFAA67C"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Ofrecer o informar a sus usuarios mediante sus páginas web y los contratos que suscriban con ellos, sobre la existencia de mecanismos de filtrado que puedan ser instalados en los equipos de los suscriptores, o a los cuales puedan acceder a través de páginas web, con el fin de prevenir y contrarrestar el acceso a </w:t>
      </w:r>
      <w:r>
        <w:rPr>
          <w:rFonts w:ascii="Century Gothic" w:eastAsia="Century Gothic" w:hAnsi="Century Gothic" w:cs="Century Gothic"/>
          <w:color w:val="000000"/>
        </w:rPr>
        <w:lastRenderedPageBreak/>
        <w:t>contenidos que vayan en contra de la integridad moral, psíquica o física de la niñez, la infancia y la adolescencia, que inciten a la violencia, que hagan apología de hechos delictivos o contravencionales, o que conlleven mensajes discriminatorios contra este sector de la población.</w:t>
      </w:r>
    </w:p>
    <w:p w14:paraId="63D1A66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7CE9C8EE"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Facilitar a los usuarios el acceso a la información de criterios de clasificación, los valores y principios que los sustentan, la configuración de los sistemas de selección de contenido, y la forma como estos se activan en los equipos de los usuarios.</w:t>
      </w:r>
    </w:p>
    <w:p w14:paraId="2FCE5AE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A824748"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Indicar que no es accesible una dirección IP (</w:t>
      </w:r>
      <w:r>
        <w:rPr>
          <w:rFonts w:ascii="Century Gothic" w:eastAsia="Century Gothic" w:hAnsi="Century Gothic" w:cs="Century Gothic"/>
          <w:i/>
          <w:color w:val="000000"/>
        </w:rPr>
        <w:t>Internet Protocol</w:t>
      </w:r>
      <w:r>
        <w:rPr>
          <w:rFonts w:ascii="Century Gothic" w:eastAsia="Century Gothic" w:hAnsi="Century Gothic" w:cs="Century Gothic"/>
          <w:color w:val="000000"/>
        </w:rPr>
        <w:t>) cuando el contenido ha sido limitado o bloqueado por el ISP a través de una herramienta de selección de contenido.</w:t>
      </w:r>
    </w:p>
    <w:p w14:paraId="12F55632"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68F8891D"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Incluir en sus sitios web, información expresa sobre la existencia y los alcances de la presente Ley.</w:t>
      </w:r>
    </w:p>
    <w:p w14:paraId="21B10C4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2030EB78" w14:textId="77777777" w:rsidR="00BC3E4B" w:rsidRDefault="00D847AE">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Implementar vínculos o "links" claramente visibles en su propio sitio web, con el fin de que el usuario pueda denunciar ante las autoridades competentes sitios web con presencia de contenidos que vayan en contra de la integridad moral, psíquica o física de la niñez, la infancia y la adolescencia, que incite a la violencia, que haga apología de hechos delictivos o contravencionales, o que conlleven mensajes discriminatorios contra este sector de la población.</w:t>
      </w:r>
    </w:p>
    <w:p w14:paraId="4FE26C46" w14:textId="77777777" w:rsidR="00E47170" w:rsidRDefault="00E47170" w:rsidP="00E47170">
      <w:pPr>
        <w:widowControl w:val="0"/>
        <w:pBdr>
          <w:top w:val="nil"/>
          <w:left w:val="nil"/>
          <w:bottom w:val="nil"/>
          <w:right w:val="nil"/>
          <w:between w:val="nil"/>
        </w:pBdr>
        <w:spacing w:after="0" w:line="240" w:lineRule="auto"/>
        <w:ind w:left="360"/>
        <w:jc w:val="both"/>
        <w:rPr>
          <w:rFonts w:ascii="Century Gothic" w:eastAsia="Century Gothic" w:hAnsi="Century Gothic" w:cs="Century Gothic"/>
          <w:color w:val="000000"/>
        </w:rPr>
      </w:pPr>
    </w:p>
    <w:p w14:paraId="0380BFA3" w14:textId="08521453" w:rsidR="00E47170" w:rsidRDefault="00E47170" w:rsidP="00E47170">
      <w:pPr>
        <w:widowControl w:val="0"/>
        <w:numPr>
          <w:ilvl w:val="0"/>
          <w:numId w:val="24"/>
        </w:num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E47170">
        <w:rPr>
          <w:rFonts w:ascii="Century Gothic" w:eastAsia="Century Gothic" w:hAnsi="Century Gothic" w:cs="Century Gothic"/>
          <w:color w:val="000000"/>
        </w:rPr>
        <w:t>Los prestadores de servicios de internet en escuelas, bibliotecas y centros juveniles, deberán instalar programas para proteger a los menores del contenido inapropiado</w:t>
      </w:r>
    </w:p>
    <w:p w14:paraId="5EB29165" w14:textId="77777777" w:rsidR="00E47170" w:rsidRDefault="00E47170" w:rsidP="00E47170">
      <w:pPr>
        <w:widowControl w:val="0"/>
        <w:pBdr>
          <w:top w:val="nil"/>
          <w:left w:val="nil"/>
          <w:bottom w:val="nil"/>
          <w:right w:val="nil"/>
          <w:between w:val="nil"/>
        </w:pBdr>
        <w:spacing w:after="0" w:line="240" w:lineRule="auto"/>
        <w:ind w:left="360"/>
        <w:jc w:val="both"/>
        <w:rPr>
          <w:rFonts w:ascii="Century Gothic" w:eastAsia="Century Gothic" w:hAnsi="Century Gothic" w:cs="Century Gothic"/>
          <w:color w:val="000000"/>
        </w:rPr>
      </w:pPr>
    </w:p>
    <w:p w14:paraId="0FC60EBF" w14:textId="77777777" w:rsidR="00BC3E4B" w:rsidRDefault="00BC3E4B">
      <w:pPr>
        <w:widowControl w:val="0"/>
        <w:pBdr>
          <w:top w:val="nil"/>
          <w:left w:val="nil"/>
          <w:bottom w:val="nil"/>
          <w:right w:val="nil"/>
          <w:between w:val="nil"/>
        </w:pBdr>
        <w:spacing w:after="0" w:line="240" w:lineRule="auto"/>
        <w:jc w:val="center"/>
        <w:rPr>
          <w:rFonts w:ascii="Century Gothic" w:eastAsia="Century Gothic" w:hAnsi="Century Gothic" w:cs="Century Gothic"/>
          <w:color w:val="000000"/>
        </w:rPr>
      </w:pPr>
    </w:p>
    <w:p w14:paraId="3C30790C" w14:textId="77777777" w:rsidR="00BC3E4B" w:rsidRDefault="00D847AE">
      <w:pPr>
        <w:pStyle w:val="Ttulo1"/>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CAPÍTULO V RÉGIMEN SANCIONATORIO</w:t>
      </w:r>
    </w:p>
    <w:p w14:paraId="2AA09C06" w14:textId="77777777" w:rsidR="00BC3E4B" w:rsidRDefault="00BC3E4B">
      <w:pPr>
        <w:pStyle w:val="Ttulo1"/>
        <w:ind w:firstLine="667"/>
        <w:rPr>
          <w:rFonts w:ascii="Century Gothic" w:eastAsia="Century Gothic" w:hAnsi="Century Gothic" w:cs="Century Gothic"/>
          <w:color w:val="000000"/>
          <w:sz w:val="22"/>
          <w:szCs w:val="22"/>
        </w:rPr>
      </w:pPr>
    </w:p>
    <w:p w14:paraId="6E8E63C6"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17. DISPOSICIONES GENERALES. </w:t>
      </w:r>
      <w:r>
        <w:rPr>
          <w:rFonts w:ascii="Century Gothic" w:eastAsia="Century Gothic" w:hAnsi="Century Gothic" w:cs="Century Gothic"/>
          <w:color w:val="000000"/>
        </w:rPr>
        <w:t>Las infracciones a las disposiciones contenidas en la presente Ley darán lugar a la imposición de sanciones legales por parte de las siguientes autoridades en el marco de sus competencias:</w:t>
      </w:r>
    </w:p>
    <w:p w14:paraId="67969BB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7E08DD4" w14:textId="77777777" w:rsidR="00BC3E4B" w:rsidRDefault="00D847AE">
      <w:pPr>
        <w:widowControl w:val="0"/>
        <w:numPr>
          <w:ilvl w:val="1"/>
          <w:numId w:val="24"/>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La Sesión de Comisión de Contenidos Audiovisuales de la Comisión de Regulación de Comunicaciones, en el caso de las infracciones cometidas por los concesionarios y operadores del servicio de televisión, cualquiera que sea su modalidad.</w:t>
      </w:r>
    </w:p>
    <w:p w14:paraId="1CADC965"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213F731" w14:textId="77777777" w:rsidR="00BC3E4B" w:rsidRDefault="00D847AE">
      <w:pPr>
        <w:widowControl w:val="0"/>
        <w:numPr>
          <w:ilvl w:val="1"/>
          <w:numId w:val="24"/>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Ministerio de Tecnologías de la Información y las Comunicaciones, en el caso de las infracciones cometidas por los Proveedores de Servicios de Radiodifusión </w:t>
      </w:r>
      <w:r>
        <w:rPr>
          <w:rFonts w:ascii="Century Gothic" w:eastAsia="Century Gothic" w:hAnsi="Century Gothic" w:cs="Century Gothic"/>
          <w:color w:val="000000"/>
        </w:rPr>
        <w:lastRenderedPageBreak/>
        <w:t>Sonora y los Proveedores de Servicios de Internet.</w:t>
      </w:r>
    </w:p>
    <w:p w14:paraId="62FEE1E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72E13BE"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w:t>
      </w:r>
      <w:r>
        <w:rPr>
          <w:rFonts w:ascii="Century Gothic" w:eastAsia="Century Gothic" w:hAnsi="Century Gothic" w:cs="Century Gothic"/>
          <w:color w:val="000000"/>
        </w:rPr>
        <w:t>Las funciones y competencias de las autoridades señaladas en las Leyes 679 de 2001, 1335 de 2009 y 1480 de 2011, para la protección de los derechos de la niñez, la infancia y la adolescencia, no se verán afectadas y seguirán rigiéndose por lo previsto en estas o las que hagan sus veces.</w:t>
      </w:r>
    </w:p>
    <w:p w14:paraId="6DB8474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51932DCF"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18. INFRACCIONES. </w:t>
      </w:r>
      <w:r>
        <w:rPr>
          <w:rFonts w:ascii="Century Gothic" w:eastAsia="Century Gothic" w:hAnsi="Century Gothic" w:cs="Century Gothic"/>
          <w:color w:val="000000"/>
        </w:rPr>
        <w:t>Serán infracciones sancionables en los términos de esta Ley, con independencia de la tecnología o mecanismo de divulgación usado por el respectivo medio, las siguientes:</w:t>
      </w:r>
    </w:p>
    <w:p w14:paraId="16512EE6"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380F915"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La violación de cualquiera de las responsabilidades especiales previstas en los numerales 5, 6, 7 y 8 del artículo 47 de la Ley 1098 de 2006.</w:t>
      </w:r>
    </w:p>
    <w:p w14:paraId="45E07810"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4F6AEB0F" w14:textId="77777777" w:rsidR="00BC3E4B" w:rsidRDefault="00D847AE">
      <w:pPr>
        <w:widowControl w:val="0"/>
        <w:numPr>
          <w:ilvl w:val="0"/>
          <w:numId w:val="9"/>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Alojar en su propio sitio web imágenes, textos, documentos o archivos audiovisuales que atenten contra los derechos de la niñez, la infancia y la adolescencia, de conformidad con lo dispuesto en los numerales 5,6,7 y 8 del artículo 47 de la Ley 1098 de 2006.</w:t>
      </w:r>
    </w:p>
    <w:p w14:paraId="53C871D8"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4BC44BAD"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Incumplir con las prohibiciones, obligaciones, deberes, medidas técnicas y administrativas que deben adoptar los Proveedores de Servicios de Internet, de conformidad con lo previsto en la presente Ley y en las demás disposiciones reglamentarias o regulatorias de la misma.</w:t>
      </w:r>
    </w:p>
    <w:p w14:paraId="44980E61"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186C739C"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incumplimiento de la adopción del código de buenas prácticas y/o remisión de la prueba de divulgación a las autoridades administrativas según lo establecido en la presente Ley.</w:t>
      </w:r>
    </w:p>
    <w:p w14:paraId="139BEF62"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603B2F8F"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No tener a disposición de las autoridades administrativas los archivos requeridos conforme a lo dispuesto en el artículo 10 de la presente Ley sobre el archivo de la información.</w:t>
      </w:r>
    </w:p>
    <w:p w14:paraId="599C5A30"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5E3CCA16"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No contestar,</w:t>
      </w:r>
      <w:r>
        <w:rPr>
          <w:rFonts w:ascii="Century Gothic" w:eastAsia="Century Gothic" w:hAnsi="Century Gothic" w:cs="Century Gothic"/>
          <w:color w:val="000000"/>
          <w:highlight w:val="white"/>
        </w:rPr>
        <w:t xml:space="preserve"> contestar de forma inexacta o contestar por fuera del término que se otorgue para el efecto,</w:t>
      </w:r>
      <w:r>
        <w:rPr>
          <w:rFonts w:ascii="Century Gothic" w:eastAsia="Century Gothic" w:hAnsi="Century Gothic" w:cs="Century Gothic"/>
          <w:color w:val="000000"/>
        </w:rPr>
        <w:t xml:space="preserve"> los requerimientos de las autoridades administrativas con relación al cumplimiento de las disposiciones previstas en la presente Ley.</w:t>
      </w:r>
    </w:p>
    <w:p w14:paraId="5D21A859" w14:textId="77777777" w:rsidR="00BC3E4B" w:rsidRDefault="00BC3E4B">
      <w:pPr>
        <w:widowControl w:val="0"/>
        <w:pBdr>
          <w:top w:val="nil"/>
          <w:left w:val="nil"/>
          <w:bottom w:val="nil"/>
          <w:right w:val="nil"/>
          <w:between w:val="nil"/>
        </w:pBdr>
        <w:spacing w:after="0" w:line="240" w:lineRule="auto"/>
        <w:ind w:left="284" w:hanging="284"/>
        <w:rPr>
          <w:rFonts w:ascii="Century Gothic" w:eastAsia="Century Gothic" w:hAnsi="Century Gothic" w:cs="Century Gothic"/>
          <w:color w:val="000000"/>
        </w:rPr>
      </w:pPr>
    </w:p>
    <w:p w14:paraId="6F444FEC" w14:textId="77777777" w:rsidR="00BC3E4B" w:rsidRDefault="00D847AE">
      <w:pPr>
        <w:widowControl w:val="0"/>
        <w:numPr>
          <w:ilvl w:val="0"/>
          <w:numId w:val="9"/>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Cualquier otra forma de incumplimiento o violación de las obligaciones previstas en esta Ley o en las demás disposiciones reglamentarias o regulatorias concordantes sobre la materia regulada por la presente ley.</w:t>
      </w:r>
    </w:p>
    <w:p w14:paraId="2ABAF8A9"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1E242D6" w14:textId="77777777"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 xml:space="preserve">ARTÍCULO 19. SANCIONES APLICABLES EN MATERIA DE RADIODIFUSIÓN SONORA Y SERVICIO DE INTERNET. </w:t>
      </w:r>
      <w:r>
        <w:rPr>
          <w:rFonts w:ascii="Century Gothic" w:eastAsia="Century Gothic" w:hAnsi="Century Gothic" w:cs="Century Gothic"/>
          <w:color w:val="000000"/>
          <w:sz w:val="22"/>
          <w:szCs w:val="22"/>
        </w:rPr>
        <w:t>Los responsables de las infracciones señaladas en esta Ley estarán sujetos a las siguientes sanciones:</w:t>
      </w:r>
    </w:p>
    <w:p w14:paraId="402AE49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890F87B" w14:textId="77777777" w:rsidR="00BC3E4B" w:rsidRDefault="00D847AE">
      <w:pPr>
        <w:widowControl w:val="0"/>
        <w:numPr>
          <w:ilvl w:val="0"/>
          <w:numId w:val="11"/>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Amonestación.</w:t>
      </w:r>
    </w:p>
    <w:p w14:paraId="7C996F48"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254F0CE0" w14:textId="77777777" w:rsidR="00BC3E4B" w:rsidRDefault="00D847AE">
      <w:pPr>
        <w:widowControl w:val="0"/>
        <w:numPr>
          <w:ilvl w:val="0"/>
          <w:numId w:val="11"/>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Realización de un programa o informe periodístico sobre las responsabilidades especiales de los medios frente a los derechos de la niñez, la infancia y la adolescencia.</w:t>
      </w:r>
    </w:p>
    <w:p w14:paraId="64ADC09E"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78C36608" w14:textId="77777777" w:rsidR="00BC3E4B" w:rsidRDefault="00D847AE">
      <w:pPr>
        <w:widowControl w:val="0"/>
        <w:numPr>
          <w:ilvl w:val="0"/>
          <w:numId w:val="11"/>
        </w:numPr>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Suspensión del título habilitante para la prestación del servicio hasta por dos (2) meses.</w:t>
      </w:r>
    </w:p>
    <w:p w14:paraId="7B2E2BAD"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354E85E8" w14:textId="77777777" w:rsidR="00BC3E4B" w:rsidRDefault="00D847AE">
      <w:pPr>
        <w:widowControl w:val="0"/>
        <w:numPr>
          <w:ilvl w:val="0"/>
          <w:numId w:val="11"/>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Multa hasta por el equivalente de dos mil (2000) salarios mínimos legales mensuales vigentes para personas naturales.</w:t>
      </w:r>
    </w:p>
    <w:p w14:paraId="2073EB14" w14:textId="77777777" w:rsidR="00BC3E4B" w:rsidRDefault="00BC3E4B">
      <w:pPr>
        <w:widowControl w:val="0"/>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p>
    <w:p w14:paraId="1A0E10EB" w14:textId="77777777" w:rsidR="00BC3E4B" w:rsidRDefault="00D847AE">
      <w:pPr>
        <w:widowControl w:val="0"/>
        <w:numPr>
          <w:ilvl w:val="0"/>
          <w:numId w:val="11"/>
        </w:numPr>
        <w:pBdr>
          <w:top w:val="nil"/>
          <w:left w:val="nil"/>
          <w:bottom w:val="nil"/>
          <w:right w:val="nil"/>
          <w:between w:val="nil"/>
        </w:pBdr>
        <w:spacing w:after="0" w:line="240" w:lineRule="auto"/>
        <w:ind w:left="284" w:hanging="284"/>
        <w:jc w:val="both"/>
        <w:rPr>
          <w:rFonts w:ascii="Century Gothic" w:eastAsia="Century Gothic" w:hAnsi="Century Gothic" w:cs="Century Gothic"/>
          <w:color w:val="000000"/>
        </w:rPr>
      </w:pPr>
      <w:r>
        <w:rPr>
          <w:rFonts w:ascii="Century Gothic" w:eastAsia="Century Gothic" w:hAnsi="Century Gothic" w:cs="Century Gothic"/>
          <w:color w:val="000000"/>
        </w:rPr>
        <w:t>Multa hasta por el equivalente a quince mil (15000) salarios mínimos legales mensuales vigentes para personas jurídicas.</w:t>
      </w:r>
    </w:p>
    <w:p w14:paraId="28ABD91F"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63B53441"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 1</w:t>
      </w:r>
      <w:r>
        <w:rPr>
          <w:rFonts w:ascii="Century Gothic" w:eastAsia="Century Gothic" w:hAnsi="Century Gothic" w:cs="Century Gothic"/>
          <w:color w:val="000000"/>
        </w:rPr>
        <w:t>. En el procedimiento administrativo sancionador, serán factores atenuantes, los contenidos en las disposiciones aplicables a cada caso.</w:t>
      </w:r>
    </w:p>
    <w:p w14:paraId="39A29215"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2CCAFBC2"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2. </w:t>
      </w:r>
      <w:r>
        <w:rPr>
          <w:rFonts w:ascii="Century Gothic" w:eastAsia="Century Gothic" w:hAnsi="Century Gothic" w:cs="Century Gothic"/>
          <w:color w:val="000000"/>
        </w:rPr>
        <w:t>Las infracciones y sanciones consagradas en las Leyes 679 de 2001, 1335 y 1355 de 2009 y 1480 de 2011, para la protección de la infancia y la adolescencia, seguirán rigiéndose por lo previsto en estas.</w:t>
      </w:r>
    </w:p>
    <w:p w14:paraId="022909F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7B6EE219" w14:textId="77777777"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20. MODIFICAR EL ARTÍCULO 22 DE LA LEY 1341 DE 2009. </w:t>
      </w:r>
      <w:r>
        <w:rPr>
          <w:rFonts w:ascii="Century Gothic" w:eastAsia="Century Gothic" w:hAnsi="Century Gothic" w:cs="Century Gothic"/>
          <w:color w:val="000000"/>
        </w:rPr>
        <w:t>Modificar el numeral 30 del artículo 22 de la Ley 1341 de 2009, adicionado por el artículo 19 de la Ley 1978 de 2019 el cual quedará así:</w:t>
      </w:r>
    </w:p>
    <w:p w14:paraId="50EC7425"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22. Funciones de la Comisión de Regulación de Comunicaciones</w:t>
      </w:r>
      <w:r>
        <w:rPr>
          <w:rFonts w:ascii="Century Gothic" w:eastAsia="Century Gothic" w:hAnsi="Century Gothic" w:cs="Century Gothic"/>
          <w:color w:val="000000"/>
        </w:rPr>
        <w:t>. Son funciones de la Comisión de Regulación de Comunicaciones. respecto de la provisión de redes y servicios de telecomunicaciones, incluyendo el servicio de televisión abierta radiodifundida y todas las demás modalidades del servicio de televisión y el servicio de radiodifusión sonora, las siguientes:</w:t>
      </w:r>
    </w:p>
    <w:p w14:paraId="1A307D85"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14C1522" w14:textId="77777777" w:rsidR="00BC3E4B" w:rsidRDefault="00D847AE">
      <w:pPr>
        <w:widowControl w:val="0"/>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w:t>
      </w:r>
    </w:p>
    <w:p w14:paraId="6ED38D92" w14:textId="77777777" w:rsidR="00BC3E4B" w:rsidRDefault="00D847AE">
      <w:pPr>
        <w:widowControl w:val="0"/>
        <w:numPr>
          <w:ilvl w:val="0"/>
          <w:numId w:val="12"/>
        </w:numPr>
        <w:pBdr>
          <w:top w:val="nil"/>
          <w:left w:val="nil"/>
          <w:bottom w:val="nil"/>
          <w:right w:val="nil"/>
          <w:between w:val="nil"/>
        </w:pBdr>
        <w:tabs>
          <w:tab w:val="left" w:pos="419"/>
        </w:tabs>
        <w:spacing w:after="0" w:line="240" w:lineRule="auto"/>
        <w:ind w:left="0" w:firstLine="0"/>
        <w:jc w:val="both"/>
        <w:rPr>
          <w:rFonts w:ascii="Century Gothic" w:eastAsia="Century Gothic" w:hAnsi="Century Gothic" w:cs="Century Gothic"/>
          <w:i/>
          <w:color w:val="000000"/>
        </w:rPr>
      </w:pPr>
      <w:r>
        <w:rPr>
          <w:rFonts w:ascii="Century Gothic" w:eastAsia="Century Gothic" w:hAnsi="Century Gothic" w:cs="Century Gothic"/>
          <w:i/>
          <w:color w:val="000000"/>
        </w:rPr>
        <w:t xml:space="preserve">Sancionar a los operadores, concesionarios de espacios de televisión y contratistas de televisión nacional cuando violen las disposiciones constitucionales y legales que amparan específicamente los derechos de la familia y de la niñez, la infancia y la adolescencia. De acuerdo con la reglamentación aplicable, los infractores se harán acreedores de las sanciones de amonestación, realización de un programa o informe periodístico sobre las responsabilidades especiales de los medios de comunicación frente a los niños, niñas y adolescentes o suspensión del </w:t>
      </w:r>
      <w:r>
        <w:rPr>
          <w:rFonts w:ascii="Century Gothic" w:eastAsia="Century Gothic" w:hAnsi="Century Gothic" w:cs="Century Gothic"/>
          <w:i/>
          <w:color w:val="000000"/>
        </w:rPr>
        <w:lastRenderedPageBreak/>
        <w:t xml:space="preserve">servicio hasta por cinco (5) meses, </w:t>
      </w:r>
      <w:r>
        <w:rPr>
          <w:rFonts w:ascii="Century Gothic" w:eastAsia="Century Gothic" w:hAnsi="Century Gothic" w:cs="Century Gothic"/>
          <w:color w:val="000000"/>
        </w:rPr>
        <w:t xml:space="preserve"> Caducidad del contrato o cancelación de la licencia, autorización o permiso.</w:t>
      </w:r>
      <w:r>
        <w:rPr>
          <w:rFonts w:ascii="Century Gothic" w:eastAsia="Century Gothic" w:hAnsi="Century Gothic" w:cs="Century Gothic"/>
          <w:i/>
          <w:color w:val="000000"/>
        </w:rPr>
        <w:t xml:space="preserve">,, multa hasta por el equivalente de dos mil (2000) salarios mínimos legales mensuales para personas naturales y multa hasta por el equivalente a quince mil (15.000) salarios mínimos legales mensuales para personas jurídicas y </w:t>
      </w:r>
      <w:r>
        <w:rPr>
          <w:rFonts w:ascii="Century Gothic" w:eastAsia="Century Gothic" w:hAnsi="Century Gothic" w:cs="Century Gothic"/>
          <w:color w:val="000000"/>
        </w:rPr>
        <w:t xml:space="preserve"> Caducidad del contrato o cancelación de la licencia, autorización o permiso</w:t>
      </w:r>
      <w:r>
        <w:rPr>
          <w:rFonts w:ascii="Century Gothic" w:eastAsia="Century Gothic" w:hAnsi="Century Gothic" w:cs="Century Gothic"/>
          <w:i/>
          <w:color w:val="000000"/>
        </w:rPr>
        <w:t xml:space="preserve"> . En todo caso, se respetarán las normas establecidas en la Ley sobre el debido proceso.</w:t>
      </w:r>
    </w:p>
    <w:p w14:paraId="44EAFA2C"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i/>
          <w:color w:val="000000"/>
        </w:rPr>
      </w:pPr>
    </w:p>
    <w:p w14:paraId="058C45A0"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PARÁGRAFO 1</w:t>
      </w:r>
      <w:r>
        <w:rPr>
          <w:rFonts w:ascii="Century Gothic" w:eastAsia="Century Gothic" w:hAnsi="Century Gothic" w:cs="Century Gothic"/>
          <w:color w:val="000000"/>
        </w:rPr>
        <w:t>. En el procedimiento administrativo sancionatorio, serán factores atenuantes, los contenidos en las disposiciones aplicables a cada caso.</w:t>
      </w:r>
    </w:p>
    <w:p w14:paraId="7157C438"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F0F81EB" w14:textId="77777777"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PARÁGRAFO 2. </w:t>
      </w:r>
      <w:r>
        <w:rPr>
          <w:rFonts w:ascii="Century Gothic" w:eastAsia="Century Gothic" w:hAnsi="Century Gothic" w:cs="Century Gothic"/>
          <w:color w:val="000000"/>
        </w:rPr>
        <w:t>Las infracciones y sanciones consagradas en las Leyes 679 de 2001, 1335 y 1355 de 2009 y 1480 de 2011, para la protección de los derechos de la niñez, la infancia y la adolescencia, seguirán rigiéndose por lo previsto en ellas.</w:t>
      </w:r>
    </w:p>
    <w:p w14:paraId="51B920D8" w14:textId="77777777" w:rsidR="0049278A" w:rsidRDefault="0049278A">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76F2422D" w14:textId="69B30AA4"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2</w:t>
      </w:r>
      <w:r w:rsidR="0049278A">
        <w:rPr>
          <w:rFonts w:ascii="Century Gothic" w:eastAsia="Century Gothic" w:hAnsi="Century Gothic" w:cs="Century Gothic"/>
          <w:b/>
          <w:color w:val="000000"/>
          <w:sz w:val="22"/>
          <w:szCs w:val="22"/>
        </w:rPr>
        <w:t>1</w:t>
      </w:r>
      <w:r>
        <w:rPr>
          <w:rFonts w:ascii="Century Gothic" w:eastAsia="Century Gothic" w:hAnsi="Century Gothic" w:cs="Century Gothic"/>
          <w:b/>
          <w:color w:val="000000"/>
          <w:sz w:val="22"/>
          <w:szCs w:val="22"/>
        </w:rPr>
        <w:t>. CRITERIOS PARA DETERMINAR LA GRAVEDAD O LEVEDAD DE LA FALTA:</w:t>
      </w:r>
      <w:r>
        <w:rPr>
          <w:rFonts w:ascii="Century Gothic" w:eastAsia="Century Gothic" w:hAnsi="Century Gothic" w:cs="Century Gothic"/>
          <w:color w:val="000000"/>
          <w:sz w:val="22"/>
          <w:szCs w:val="22"/>
        </w:rPr>
        <w:t xml:space="preserve"> La gravedad de las faltas, y el rigor de las sanciones por infracciones administrativas se graduarán, por parte de cada autoridad administrativa, atendiendo a los criterios definidos en el artículo 50 de la Ley 1437 de 2011, , o las normas que la modifiquen, complementen o sustituyan.</w:t>
      </w:r>
    </w:p>
    <w:p w14:paraId="46E1A644" w14:textId="77777777" w:rsidR="00BC3E4B" w:rsidRDefault="00BC3E4B">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59B46A86" w14:textId="2D41CF36"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w:t>
      </w:r>
      <w:r w:rsidR="0049278A">
        <w:rPr>
          <w:rFonts w:ascii="Century Gothic" w:eastAsia="Century Gothic" w:hAnsi="Century Gothic" w:cs="Century Gothic"/>
          <w:b/>
          <w:color w:val="000000"/>
        </w:rPr>
        <w:t>2</w:t>
      </w:r>
      <w:r>
        <w:rPr>
          <w:rFonts w:ascii="Century Gothic" w:eastAsia="Century Gothic" w:hAnsi="Century Gothic" w:cs="Century Gothic"/>
          <w:b/>
          <w:color w:val="000000"/>
        </w:rPr>
        <w:t xml:space="preserve">. AMONESTACIÓN. </w:t>
      </w:r>
      <w:r>
        <w:rPr>
          <w:rFonts w:ascii="Century Gothic" w:eastAsia="Century Gothic" w:hAnsi="Century Gothic" w:cs="Century Gothic"/>
          <w:color w:val="000000"/>
        </w:rPr>
        <w:t>La amonestación consistirá en el llamado de atención por parte del Ministerio de Tecnologías de la Información y las Comunicaciones o la Sesión de Comisión de Contenidos Audiovisuales de la Comisión de Regulación de Comunicaciones, según corresponda.</w:t>
      </w:r>
    </w:p>
    <w:p w14:paraId="79677F2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1284F6C6" w14:textId="1875226D" w:rsidR="00BC3E4B" w:rsidRDefault="00D847AE">
      <w:pPr>
        <w:jc w:val="both"/>
        <w:rPr>
          <w:rFonts w:ascii="Century Gothic" w:eastAsia="Century Gothic" w:hAnsi="Century Gothic" w:cs="Century Gothic"/>
          <w:color w:val="000000"/>
        </w:rPr>
      </w:pPr>
      <w:r>
        <w:rPr>
          <w:rFonts w:ascii="Century Gothic" w:eastAsia="Century Gothic" w:hAnsi="Century Gothic" w:cs="Century Gothic"/>
          <w:b/>
          <w:color w:val="000000"/>
        </w:rPr>
        <w:t>ARTÍCULO 2</w:t>
      </w:r>
      <w:r w:rsidR="0049278A">
        <w:rPr>
          <w:rFonts w:ascii="Century Gothic" w:eastAsia="Century Gothic" w:hAnsi="Century Gothic" w:cs="Century Gothic"/>
          <w:b/>
          <w:color w:val="000000"/>
        </w:rPr>
        <w:t>3</w:t>
      </w:r>
      <w:r>
        <w:rPr>
          <w:rFonts w:ascii="Century Gothic" w:eastAsia="Century Gothic" w:hAnsi="Century Gothic" w:cs="Century Gothic"/>
          <w:b/>
          <w:color w:val="000000"/>
        </w:rPr>
        <w:t xml:space="preserve">. PROCEDIMIENTO ADMINISTRATIVO SANCIONATORIO. </w:t>
      </w:r>
      <w:r>
        <w:rPr>
          <w:rFonts w:ascii="Century Gothic" w:eastAsia="Century Gothic" w:hAnsi="Century Gothic" w:cs="Century Gothic"/>
          <w:color w:val="000000"/>
        </w:rPr>
        <w:t>Para la imposición de las sanciones a que se refiere esta Ley, se seguirá el procedimiento consagrado en la Ley 1437 de 2011, o las normas que la modifiquen, complementen o sustituyan.</w:t>
      </w:r>
    </w:p>
    <w:p w14:paraId="01DD4D9D" w14:textId="523CC7F8" w:rsidR="00BC3E4B" w:rsidRDefault="00D847AE">
      <w:pPr>
        <w:pStyle w:val="Ttulo1"/>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ARTÍCULO 2</w:t>
      </w:r>
      <w:r w:rsidR="0049278A">
        <w:rPr>
          <w:rFonts w:ascii="Century Gothic" w:eastAsia="Century Gothic" w:hAnsi="Century Gothic" w:cs="Century Gothic"/>
          <w:b/>
          <w:color w:val="000000"/>
          <w:sz w:val="22"/>
          <w:szCs w:val="22"/>
        </w:rPr>
        <w:t>4</w:t>
      </w:r>
      <w:r>
        <w:rPr>
          <w:rFonts w:ascii="Century Gothic" w:eastAsia="Century Gothic" w:hAnsi="Century Gothic" w:cs="Century Gothic"/>
          <w:b/>
          <w:color w:val="000000"/>
          <w:sz w:val="22"/>
          <w:szCs w:val="22"/>
        </w:rPr>
        <w:t xml:space="preserve">. PARTICIPACIÓN </w:t>
      </w:r>
      <w:r>
        <w:rPr>
          <w:rFonts w:ascii="Century Gothic" w:eastAsia="Century Gothic" w:hAnsi="Century Gothic" w:cs="Century Gothic"/>
          <w:b/>
          <w:color w:val="000000"/>
          <w:sz w:val="22"/>
          <w:szCs w:val="22"/>
          <w:highlight w:val="white"/>
        </w:rPr>
        <w:t>DE ENTIDADES EN EL PROCEDIMIENTO ADMINISTRATIVO SANCIONATORIO</w:t>
      </w:r>
      <w:r>
        <w:rPr>
          <w:rFonts w:ascii="Century Gothic" w:eastAsia="Century Gothic" w:hAnsi="Century Gothic" w:cs="Century Gothic"/>
          <w:color w:val="000000"/>
          <w:sz w:val="22"/>
          <w:szCs w:val="22"/>
        </w:rPr>
        <w:t xml:space="preserve"> El acto administrativo que ordena la apertura del procedimiento administrativo sancionatorio deberá ordenar la comunicación al Instituto Colombiano de Bienestar Familiar y a la Procuraduría General de la Nación y la Defensoría del Pueblo, para que, dentro de la oportunidad legal, si lo consideran necesario, se hagan parte del proceso, con el fin de garantizar desde el marco de sus competencias, la protección de los derechos de la niñez, la infancia y la adolescencia Dichas entidades estarán facultadas para rendir concepto, aportar, solicitar y controvertir pruebas, presentar alegaciones, recurrir la decisión definitiva que se adopte y demandarla judicialmente</w:t>
      </w:r>
      <w:r>
        <w:rPr>
          <w:rFonts w:ascii="Century Gothic" w:eastAsia="Century Gothic" w:hAnsi="Century Gothic" w:cs="Century Gothic"/>
          <w:b/>
          <w:color w:val="000000"/>
          <w:sz w:val="22"/>
          <w:szCs w:val="22"/>
        </w:rPr>
        <w:t>.</w:t>
      </w:r>
    </w:p>
    <w:p w14:paraId="21F72520"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21581319" w14:textId="77777777" w:rsidR="00BC3E4B" w:rsidRDefault="00D847AE">
      <w:pPr>
        <w:pStyle w:val="Ttulo1"/>
        <w:ind w:firstLine="6"/>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CAPÍTULO VI DISPOSICIONES FINALES</w:t>
      </w:r>
    </w:p>
    <w:p w14:paraId="4AE161BA" w14:textId="77777777" w:rsidR="00BC3E4B" w:rsidRDefault="00BC3E4B">
      <w:pPr>
        <w:widowControl w:val="0"/>
        <w:pBdr>
          <w:top w:val="nil"/>
          <w:left w:val="nil"/>
          <w:bottom w:val="nil"/>
          <w:right w:val="nil"/>
          <w:between w:val="nil"/>
        </w:pBdr>
        <w:spacing w:after="0" w:line="240" w:lineRule="auto"/>
        <w:jc w:val="center"/>
        <w:rPr>
          <w:rFonts w:ascii="Century Gothic" w:eastAsia="Century Gothic" w:hAnsi="Century Gothic" w:cs="Century Gothic"/>
          <w:b/>
          <w:color w:val="000000"/>
        </w:rPr>
      </w:pPr>
    </w:p>
    <w:p w14:paraId="436EE686" w14:textId="50D30B1E"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w:t>
      </w:r>
      <w:r w:rsidR="0049278A">
        <w:rPr>
          <w:rFonts w:ascii="Century Gothic" w:eastAsia="Century Gothic" w:hAnsi="Century Gothic" w:cs="Century Gothic"/>
          <w:b/>
          <w:color w:val="000000"/>
        </w:rPr>
        <w:t>5</w:t>
      </w:r>
      <w:r>
        <w:rPr>
          <w:rFonts w:ascii="Century Gothic" w:eastAsia="Century Gothic" w:hAnsi="Century Gothic" w:cs="Century Gothic"/>
          <w:b/>
          <w:color w:val="000000"/>
        </w:rPr>
        <w:t xml:space="preserve">. DESTINO DE LAS MULTAS. </w:t>
      </w:r>
      <w:r>
        <w:rPr>
          <w:rFonts w:ascii="Century Gothic" w:eastAsia="Century Gothic" w:hAnsi="Century Gothic" w:cs="Century Gothic"/>
          <w:color w:val="000000"/>
        </w:rPr>
        <w:t>Los dineros recaudados por concepto de las multas impuestas en virtud del incumplimiento de lo dispuesto en la presente ley se destinarán al Fondo contra la explotación sexual que se encuentra adscrito al  Instituto Colombiano de Bienestar Familiar.</w:t>
      </w:r>
    </w:p>
    <w:p w14:paraId="108E873D" w14:textId="77777777" w:rsidR="00BC3E4B" w:rsidRDefault="00BC3E4B">
      <w:pPr>
        <w:widowControl w:val="0"/>
        <w:pBdr>
          <w:top w:val="nil"/>
          <w:left w:val="nil"/>
          <w:bottom w:val="nil"/>
          <w:right w:val="nil"/>
          <w:between w:val="nil"/>
        </w:pBdr>
        <w:spacing w:after="0" w:line="240" w:lineRule="auto"/>
        <w:rPr>
          <w:rFonts w:ascii="Century Gothic" w:eastAsia="Century Gothic" w:hAnsi="Century Gothic" w:cs="Century Gothic"/>
          <w:color w:val="000000"/>
        </w:rPr>
      </w:pPr>
    </w:p>
    <w:p w14:paraId="46E6D97F" w14:textId="7FF96C88" w:rsidR="00BC3E4B" w:rsidRDefault="00D847AE">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ARTÍCULO 2</w:t>
      </w:r>
      <w:r w:rsidR="0049278A">
        <w:rPr>
          <w:rFonts w:ascii="Century Gothic" w:eastAsia="Century Gothic" w:hAnsi="Century Gothic" w:cs="Century Gothic"/>
          <w:b/>
          <w:color w:val="000000"/>
        </w:rPr>
        <w:t>6</w:t>
      </w:r>
      <w:r>
        <w:rPr>
          <w:rFonts w:ascii="Century Gothic" w:eastAsia="Century Gothic" w:hAnsi="Century Gothic" w:cs="Century Gothic"/>
          <w:b/>
          <w:color w:val="000000"/>
        </w:rPr>
        <w:t xml:space="preserve">. VIGENCIA. </w:t>
      </w:r>
      <w:r>
        <w:rPr>
          <w:rFonts w:ascii="Century Gothic" w:eastAsia="Century Gothic" w:hAnsi="Century Gothic" w:cs="Century Gothic"/>
          <w:color w:val="000000"/>
        </w:rPr>
        <w:t>La presente Ley rige a partir de su promulgación.</w:t>
      </w:r>
    </w:p>
    <w:p w14:paraId="7F5C16D2" w14:textId="77777777" w:rsidR="00CE7E1D" w:rsidRDefault="00CE7E1D">
      <w:pPr>
        <w:widowControl w:val="0"/>
        <w:pBdr>
          <w:top w:val="nil"/>
          <w:left w:val="nil"/>
          <w:bottom w:val="nil"/>
          <w:right w:val="nil"/>
          <w:between w:val="nil"/>
        </w:pBdr>
        <w:spacing w:after="0" w:line="240" w:lineRule="auto"/>
        <w:jc w:val="both"/>
        <w:rPr>
          <w:rFonts w:ascii="Century Gothic" w:eastAsia="Century Gothic" w:hAnsi="Century Gothic" w:cs="Century Gothic"/>
          <w:color w:val="000000"/>
        </w:rPr>
      </w:pPr>
      <w:bookmarkStart w:id="0" w:name="_GoBack"/>
      <w:bookmarkEnd w:id="0"/>
    </w:p>
    <w:p w14:paraId="2132A8AB" w14:textId="77777777" w:rsidR="00BC3E4B" w:rsidRDefault="00BC3E4B">
      <w:pPr>
        <w:spacing w:after="0" w:line="240" w:lineRule="auto"/>
        <w:rPr>
          <w:rFonts w:ascii="Century Gothic" w:eastAsia="Century Gothic" w:hAnsi="Century Gothic" w:cs="Century Gothic"/>
          <w:b/>
          <w:color w:val="000000"/>
          <w:highlight w:val="white"/>
        </w:rPr>
      </w:pPr>
    </w:p>
    <w:p w14:paraId="26ACB842" w14:textId="57AE3101" w:rsidR="004752D7" w:rsidRPr="004752D7" w:rsidRDefault="004752D7" w:rsidP="004752D7">
      <w:pPr>
        <w:jc w:val="both"/>
        <w:rPr>
          <w:rFonts w:ascii="Century Gothic" w:eastAsia="Century Gothic" w:hAnsi="Century Gothic" w:cs="Century Gothic"/>
          <w:highlight w:val="white"/>
          <w:lang w:val="es-CO"/>
        </w:rPr>
      </w:pPr>
      <w:r w:rsidRPr="004752D7">
        <w:rPr>
          <w:rFonts w:ascii="Century Gothic" w:eastAsia="Century Gothic" w:hAnsi="Century Gothic" w:cs="Century Gothic"/>
          <w:highlight w:val="white"/>
          <w:lang w:val="es-CO"/>
        </w:rPr>
        <w:t xml:space="preserve">En los anteriores términos fue aprobado con modificaciones el presente proyecto de Ley según consta en el acta </w:t>
      </w:r>
      <w:r>
        <w:rPr>
          <w:rFonts w:ascii="Century Gothic" w:eastAsia="Century Gothic" w:hAnsi="Century Gothic" w:cs="Century Gothic"/>
          <w:highlight w:val="white"/>
          <w:lang w:val="es-CO"/>
        </w:rPr>
        <w:t>50</w:t>
      </w:r>
      <w:r w:rsidRPr="004752D7">
        <w:rPr>
          <w:rFonts w:ascii="Century Gothic" w:eastAsia="Century Gothic" w:hAnsi="Century Gothic" w:cs="Century Gothic"/>
          <w:highlight w:val="white"/>
          <w:lang w:val="es-CO"/>
        </w:rPr>
        <w:t xml:space="preserve"> de sesión mixta del </w:t>
      </w:r>
      <w:r>
        <w:rPr>
          <w:rFonts w:ascii="Century Gothic" w:eastAsia="Century Gothic" w:hAnsi="Century Gothic" w:cs="Century Gothic"/>
          <w:highlight w:val="white"/>
          <w:lang w:val="es-CO"/>
        </w:rPr>
        <w:t>31</w:t>
      </w:r>
      <w:r w:rsidRPr="004752D7">
        <w:rPr>
          <w:rFonts w:ascii="Century Gothic" w:eastAsia="Century Gothic" w:hAnsi="Century Gothic" w:cs="Century Gothic"/>
          <w:highlight w:val="white"/>
          <w:lang w:val="es-CO"/>
        </w:rPr>
        <w:t xml:space="preserve"> de mayo de 2021; así mismo fue anunciado entre otras fechas el día </w:t>
      </w:r>
      <w:r>
        <w:rPr>
          <w:rFonts w:ascii="Century Gothic" w:eastAsia="Century Gothic" w:hAnsi="Century Gothic" w:cs="Century Gothic"/>
          <w:highlight w:val="white"/>
          <w:lang w:val="es-CO"/>
        </w:rPr>
        <w:t>26</w:t>
      </w:r>
      <w:r w:rsidRPr="004752D7">
        <w:rPr>
          <w:rFonts w:ascii="Century Gothic" w:eastAsia="Century Gothic" w:hAnsi="Century Gothic" w:cs="Century Gothic"/>
          <w:highlight w:val="white"/>
          <w:lang w:val="es-CO"/>
        </w:rPr>
        <w:t xml:space="preserve"> de mayo de 2021, según consta en el acta 4</w:t>
      </w:r>
      <w:r>
        <w:rPr>
          <w:rFonts w:ascii="Century Gothic" w:eastAsia="Century Gothic" w:hAnsi="Century Gothic" w:cs="Century Gothic"/>
          <w:highlight w:val="white"/>
          <w:lang w:val="es-CO"/>
        </w:rPr>
        <w:t>9</w:t>
      </w:r>
      <w:r w:rsidRPr="004752D7">
        <w:rPr>
          <w:rFonts w:ascii="Century Gothic" w:eastAsia="Century Gothic" w:hAnsi="Century Gothic" w:cs="Century Gothic"/>
          <w:highlight w:val="white"/>
          <w:lang w:val="es-CO"/>
        </w:rPr>
        <w:t xml:space="preserve"> de sesión </w:t>
      </w:r>
      <w:r>
        <w:rPr>
          <w:rFonts w:ascii="Century Gothic" w:eastAsia="Century Gothic" w:hAnsi="Century Gothic" w:cs="Century Gothic"/>
          <w:highlight w:val="white"/>
          <w:lang w:val="es-CO"/>
        </w:rPr>
        <w:t>mixta</w:t>
      </w:r>
      <w:r w:rsidRPr="004752D7">
        <w:rPr>
          <w:rFonts w:ascii="Century Gothic" w:eastAsia="Century Gothic" w:hAnsi="Century Gothic" w:cs="Century Gothic"/>
          <w:highlight w:val="white"/>
          <w:lang w:val="es-CO"/>
        </w:rPr>
        <w:t xml:space="preserve"> de esa misma fecha.</w:t>
      </w:r>
    </w:p>
    <w:p w14:paraId="4B2587A7" w14:textId="77777777" w:rsidR="004752D7" w:rsidRPr="004752D7" w:rsidRDefault="004752D7" w:rsidP="004752D7">
      <w:pPr>
        <w:jc w:val="both"/>
        <w:rPr>
          <w:rFonts w:ascii="Century Gothic" w:eastAsia="Century Gothic" w:hAnsi="Century Gothic" w:cs="Century Gothic"/>
          <w:highlight w:val="white"/>
          <w:lang w:val="es-CO"/>
        </w:rPr>
      </w:pPr>
    </w:p>
    <w:p w14:paraId="7ABBBE2D" w14:textId="77777777" w:rsidR="004752D7" w:rsidRDefault="004752D7" w:rsidP="004752D7">
      <w:pPr>
        <w:jc w:val="both"/>
        <w:rPr>
          <w:rFonts w:ascii="Century Gothic" w:eastAsia="Century Gothic" w:hAnsi="Century Gothic" w:cs="Century Gothic"/>
          <w:highlight w:val="white"/>
          <w:lang w:val="es-CO"/>
        </w:rPr>
      </w:pPr>
    </w:p>
    <w:p w14:paraId="7A1C6565" w14:textId="77777777" w:rsidR="00BB2372" w:rsidRDefault="00BB2372" w:rsidP="004752D7">
      <w:pPr>
        <w:jc w:val="both"/>
        <w:rPr>
          <w:rFonts w:ascii="Century Gothic" w:eastAsia="Century Gothic" w:hAnsi="Century Gothic" w:cs="Century Gothic"/>
          <w:highlight w:val="white"/>
          <w:lang w:val="es-CO"/>
        </w:rPr>
      </w:pPr>
    </w:p>
    <w:p w14:paraId="18337700" w14:textId="77777777" w:rsidR="0073136B" w:rsidRPr="004752D7" w:rsidRDefault="0073136B" w:rsidP="004752D7">
      <w:pPr>
        <w:jc w:val="both"/>
        <w:rPr>
          <w:rFonts w:ascii="Century Gothic" w:eastAsia="Century Gothic" w:hAnsi="Century Gothic" w:cs="Century Gothic"/>
          <w:highlight w:val="white"/>
          <w:lang w:val="es-CO"/>
        </w:rPr>
      </w:pPr>
    </w:p>
    <w:p w14:paraId="0F7BB378" w14:textId="7A024B09" w:rsidR="004752D7" w:rsidRPr="004752D7" w:rsidRDefault="00961568" w:rsidP="00961568">
      <w:pPr>
        <w:tabs>
          <w:tab w:val="left" w:pos="4820"/>
        </w:tabs>
        <w:jc w:val="both"/>
        <w:rPr>
          <w:rFonts w:ascii="Century Gothic" w:eastAsia="Century Gothic" w:hAnsi="Century Gothic" w:cs="Century Gothic"/>
          <w:highlight w:val="white"/>
          <w:lang w:val="es-CO"/>
        </w:rPr>
      </w:pPr>
      <w:r w:rsidRPr="00961568">
        <w:rPr>
          <w:rFonts w:ascii="Century Gothic" w:eastAsia="Century Gothic" w:hAnsi="Century Gothic" w:cs="Century Gothic"/>
          <w:b/>
          <w:highlight w:val="white"/>
        </w:rPr>
        <w:t>JULIAN PEINADO RAMIREZ</w:t>
      </w:r>
      <w:r w:rsidR="004752D7" w:rsidRPr="004752D7">
        <w:rPr>
          <w:rFonts w:ascii="Century Gothic" w:eastAsia="Century Gothic" w:hAnsi="Century Gothic" w:cs="Century Gothic"/>
          <w:highlight w:val="white"/>
          <w:lang w:val="es-CO"/>
        </w:rPr>
        <w:tab/>
      </w:r>
      <w:r w:rsidRPr="00961568">
        <w:rPr>
          <w:rFonts w:ascii="Century Gothic" w:eastAsia="Century Gothic" w:hAnsi="Century Gothic" w:cs="Century Gothic"/>
          <w:b/>
          <w:lang w:val="es-CO"/>
        </w:rPr>
        <w:t>ADRIANA MAGALI MATIZ VARGAS</w:t>
      </w:r>
      <w:r w:rsidRPr="00961568">
        <w:rPr>
          <w:rFonts w:ascii="Century Gothic" w:eastAsia="Century Gothic" w:hAnsi="Century Gothic" w:cs="Century Gothic"/>
          <w:highlight w:val="white"/>
          <w:lang w:val="es-CO"/>
        </w:rPr>
        <w:t xml:space="preserve"> </w:t>
      </w:r>
    </w:p>
    <w:p w14:paraId="17A0C475" w14:textId="51B8EA0B" w:rsidR="004752D7" w:rsidRPr="004752D7" w:rsidRDefault="004752D7" w:rsidP="00961568">
      <w:pPr>
        <w:tabs>
          <w:tab w:val="left" w:pos="4820"/>
        </w:tabs>
        <w:jc w:val="both"/>
        <w:rPr>
          <w:rFonts w:ascii="Century Gothic" w:eastAsia="Century Gothic" w:hAnsi="Century Gothic" w:cs="Century Gothic"/>
          <w:highlight w:val="white"/>
          <w:lang w:val="es-CO"/>
        </w:rPr>
      </w:pPr>
      <w:r w:rsidRPr="004752D7">
        <w:rPr>
          <w:rFonts w:ascii="Century Gothic" w:eastAsia="Century Gothic" w:hAnsi="Century Gothic" w:cs="Century Gothic"/>
          <w:highlight w:val="white"/>
          <w:lang w:val="es-CO"/>
        </w:rPr>
        <w:t xml:space="preserve">Ponente </w:t>
      </w:r>
      <w:r w:rsidR="00961568">
        <w:rPr>
          <w:rFonts w:ascii="Century Gothic" w:eastAsia="Century Gothic" w:hAnsi="Century Gothic" w:cs="Century Gothic"/>
          <w:highlight w:val="white"/>
          <w:lang w:val="es-CO"/>
        </w:rPr>
        <w:t>Coordinador</w:t>
      </w:r>
      <w:r w:rsidRPr="004752D7">
        <w:rPr>
          <w:rFonts w:ascii="Century Gothic" w:eastAsia="Century Gothic" w:hAnsi="Century Gothic" w:cs="Century Gothic"/>
          <w:highlight w:val="white"/>
          <w:lang w:val="es-CO"/>
        </w:rPr>
        <w:tab/>
      </w:r>
      <w:r w:rsidR="00961568" w:rsidRPr="00961568">
        <w:rPr>
          <w:rFonts w:ascii="Century Gothic" w:eastAsia="Century Gothic" w:hAnsi="Century Gothic" w:cs="Century Gothic"/>
          <w:highlight w:val="white"/>
          <w:lang w:val="es-CO"/>
        </w:rPr>
        <w:t>Ponente Coordinador</w:t>
      </w:r>
      <w:r w:rsidRPr="004752D7">
        <w:rPr>
          <w:rFonts w:ascii="Century Gothic" w:eastAsia="Century Gothic" w:hAnsi="Century Gothic" w:cs="Century Gothic"/>
          <w:highlight w:val="white"/>
          <w:lang w:val="es-CO"/>
        </w:rPr>
        <w:tab/>
      </w:r>
    </w:p>
    <w:p w14:paraId="0D9D8962" w14:textId="77777777" w:rsidR="004752D7" w:rsidRDefault="004752D7" w:rsidP="00961568">
      <w:pPr>
        <w:tabs>
          <w:tab w:val="left" w:pos="4820"/>
        </w:tabs>
        <w:jc w:val="center"/>
        <w:rPr>
          <w:rFonts w:ascii="Century Gothic" w:eastAsia="Century Gothic" w:hAnsi="Century Gothic" w:cs="Century Gothic"/>
          <w:highlight w:val="white"/>
          <w:lang w:val="es-CO"/>
        </w:rPr>
      </w:pPr>
    </w:p>
    <w:p w14:paraId="2E6AC0F0" w14:textId="77777777" w:rsidR="00BB2372" w:rsidRDefault="00BB2372" w:rsidP="00961568">
      <w:pPr>
        <w:tabs>
          <w:tab w:val="left" w:pos="4820"/>
        </w:tabs>
        <w:jc w:val="center"/>
        <w:rPr>
          <w:rFonts w:ascii="Century Gothic" w:eastAsia="Century Gothic" w:hAnsi="Century Gothic" w:cs="Century Gothic"/>
          <w:highlight w:val="white"/>
          <w:lang w:val="es-CO"/>
        </w:rPr>
      </w:pPr>
    </w:p>
    <w:p w14:paraId="0968E710" w14:textId="77777777" w:rsidR="0073136B" w:rsidRDefault="0073136B" w:rsidP="00961568">
      <w:pPr>
        <w:tabs>
          <w:tab w:val="left" w:pos="4820"/>
        </w:tabs>
        <w:jc w:val="center"/>
        <w:rPr>
          <w:rFonts w:ascii="Century Gothic" w:eastAsia="Century Gothic" w:hAnsi="Century Gothic" w:cs="Century Gothic"/>
          <w:highlight w:val="white"/>
          <w:lang w:val="es-CO"/>
        </w:rPr>
      </w:pPr>
    </w:p>
    <w:p w14:paraId="1874FCCC" w14:textId="77777777" w:rsidR="0073136B" w:rsidRDefault="0073136B" w:rsidP="00961568">
      <w:pPr>
        <w:tabs>
          <w:tab w:val="left" w:pos="4820"/>
        </w:tabs>
        <w:jc w:val="center"/>
        <w:rPr>
          <w:rFonts w:ascii="Century Gothic" w:eastAsia="Century Gothic" w:hAnsi="Century Gothic" w:cs="Century Gothic"/>
          <w:highlight w:val="white"/>
          <w:lang w:val="es-CO"/>
        </w:rPr>
      </w:pPr>
    </w:p>
    <w:p w14:paraId="5C20DB22" w14:textId="06519494" w:rsidR="00961568" w:rsidRPr="004752D7" w:rsidRDefault="00961568" w:rsidP="00961568">
      <w:pPr>
        <w:tabs>
          <w:tab w:val="left" w:pos="4820"/>
        </w:tabs>
        <w:jc w:val="both"/>
        <w:rPr>
          <w:rFonts w:ascii="Century Gothic" w:eastAsia="Century Gothic" w:hAnsi="Century Gothic" w:cs="Century Gothic"/>
          <w:highlight w:val="white"/>
          <w:lang w:val="es-CO"/>
        </w:rPr>
      </w:pPr>
      <w:r w:rsidRPr="00961568">
        <w:rPr>
          <w:rFonts w:ascii="Century Gothic" w:eastAsia="Century Gothic" w:hAnsi="Century Gothic" w:cs="Century Gothic"/>
          <w:b/>
        </w:rPr>
        <w:t>MARGARITA MARIA RESTREPO ARANGO</w:t>
      </w:r>
      <w:r w:rsidRPr="004752D7">
        <w:rPr>
          <w:rFonts w:ascii="Century Gothic" w:eastAsia="Century Gothic" w:hAnsi="Century Gothic" w:cs="Century Gothic"/>
          <w:highlight w:val="white"/>
          <w:lang w:val="es-CO"/>
        </w:rPr>
        <w:tab/>
      </w:r>
      <w:r w:rsidRPr="004752D7">
        <w:rPr>
          <w:rFonts w:ascii="Century Gothic" w:eastAsia="Century Gothic" w:hAnsi="Century Gothic" w:cs="Century Gothic"/>
          <w:b/>
          <w:highlight w:val="white"/>
          <w:lang w:val="es-CO"/>
        </w:rPr>
        <w:t>ALFREDO RAFAEL DELUQUE ZULETA</w:t>
      </w:r>
    </w:p>
    <w:p w14:paraId="73838E73" w14:textId="40215532" w:rsidR="00961568" w:rsidRPr="004752D7" w:rsidRDefault="00961568" w:rsidP="00961568">
      <w:pPr>
        <w:tabs>
          <w:tab w:val="left" w:pos="4820"/>
        </w:tabs>
        <w:jc w:val="both"/>
        <w:rPr>
          <w:rFonts w:ascii="Century Gothic" w:eastAsia="Century Gothic" w:hAnsi="Century Gothic" w:cs="Century Gothic"/>
          <w:highlight w:val="white"/>
          <w:lang w:val="es-CO"/>
        </w:rPr>
      </w:pPr>
      <w:r w:rsidRPr="004752D7">
        <w:rPr>
          <w:rFonts w:ascii="Century Gothic" w:eastAsia="Century Gothic" w:hAnsi="Century Gothic" w:cs="Century Gothic"/>
          <w:highlight w:val="white"/>
          <w:lang w:val="es-CO"/>
        </w:rPr>
        <w:t xml:space="preserve">Ponente </w:t>
      </w:r>
      <w:r>
        <w:rPr>
          <w:rFonts w:ascii="Century Gothic" w:eastAsia="Century Gothic" w:hAnsi="Century Gothic" w:cs="Century Gothic"/>
          <w:highlight w:val="white"/>
          <w:lang w:val="es-CO"/>
        </w:rPr>
        <w:t>Coordinador</w:t>
      </w:r>
      <w:r w:rsidRPr="004752D7">
        <w:rPr>
          <w:rFonts w:ascii="Century Gothic" w:eastAsia="Century Gothic" w:hAnsi="Century Gothic" w:cs="Century Gothic"/>
          <w:highlight w:val="white"/>
          <w:lang w:val="es-CO"/>
        </w:rPr>
        <w:tab/>
        <w:t>Presidente</w:t>
      </w:r>
    </w:p>
    <w:p w14:paraId="3CA100E2" w14:textId="77777777" w:rsidR="004752D7" w:rsidRPr="004752D7" w:rsidRDefault="004752D7" w:rsidP="004752D7">
      <w:pPr>
        <w:jc w:val="center"/>
        <w:rPr>
          <w:rFonts w:ascii="Century Gothic" w:eastAsia="Century Gothic" w:hAnsi="Century Gothic" w:cs="Century Gothic"/>
          <w:highlight w:val="white"/>
          <w:lang w:val="es-CO"/>
        </w:rPr>
      </w:pPr>
    </w:p>
    <w:p w14:paraId="07ABB83E" w14:textId="77777777" w:rsidR="004752D7" w:rsidRPr="004752D7" w:rsidRDefault="004752D7" w:rsidP="004752D7">
      <w:pPr>
        <w:jc w:val="center"/>
        <w:rPr>
          <w:rFonts w:ascii="Century Gothic" w:eastAsia="Century Gothic" w:hAnsi="Century Gothic" w:cs="Century Gothic"/>
          <w:highlight w:val="white"/>
          <w:lang w:val="es-CO"/>
        </w:rPr>
      </w:pPr>
    </w:p>
    <w:p w14:paraId="61C7E9B4" w14:textId="77777777" w:rsidR="004752D7" w:rsidRPr="004752D7" w:rsidRDefault="004752D7" w:rsidP="004752D7">
      <w:pPr>
        <w:jc w:val="center"/>
        <w:rPr>
          <w:rFonts w:ascii="Century Gothic" w:eastAsia="Century Gothic" w:hAnsi="Century Gothic" w:cs="Century Gothic"/>
          <w:highlight w:val="white"/>
          <w:lang w:val="es-CO"/>
        </w:rPr>
      </w:pPr>
    </w:p>
    <w:p w14:paraId="4D5D8DA9" w14:textId="77777777" w:rsidR="004752D7" w:rsidRPr="004752D7" w:rsidRDefault="004752D7" w:rsidP="004752D7">
      <w:pPr>
        <w:jc w:val="center"/>
        <w:rPr>
          <w:rFonts w:ascii="Century Gothic" w:eastAsia="Century Gothic" w:hAnsi="Century Gothic" w:cs="Century Gothic"/>
          <w:highlight w:val="white"/>
          <w:lang w:val="es-CO"/>
        </w:rPr>
      </w:pPr>
    </w:p>
    <w:p w14:paraId="19105C1F" w14:textId="77777777" w:rsidR="004752D7" w:rsidRPr="004752D7" w:rsidRDefault="004752D7" w:rsidP="004752D7">
      <w:pPr>
        <w:jc w:val="center"/>
        <w:rPr>
          <w:rFonts w:ascii="Century Gothic" w:eastAsia="Century Gothic" w:hAnsi="Century Gothic" w:cs="Century Gothic"/>
          <w:b/>
          <w:highlight w:val="white"/>
          <w:lang w:val="es-CO"/>
        </w:rPr>
      </w:pPr>
      <w:r w:rsidRPr="004752D7">
        <w:rPr>
          <w:rFonts w:ascii="Century Gothic" w:eastAsia="Century Gothic" w:hAnsi="Century Gothic" w:cs="Century Gothic"/>
          <w:b/>
          <w:highlight w:val="white"/>
          <w:lang w:val="es-CO"/>
        </w:rPr>
        <w:t>AMPARO YANETH CALDERON PERDOMO</w:t>
      </w:r>
    </w:p>
    <w:p w14:paraId="23AACEEE" w14:textId="77777777" w:rsidR="004752D7" w:rsidRPr="004752D7" w:rsidRDefault="004752D7" w:rsidP="004752D7">
      <w:pPr>
        <w:jc w:val="center"/>
        <w:rPr>
          <w:rFonts w:ascii="Century Gothic" w:eastAsia="Century Gothic" w:hAnsi="Century Gothic" w:cs="Century Gothic"/>
          <w:highlight w:val="white"/>
          <w:lang w:val="es-CO"/>
        </w:rPr>
      </w:pPr>
      <w:r w:rsidRPr="004752D7">
        <w:rPr>
          <w:rFonts w:ascii="Century Gothic" w:eastAsia="Century Gothic" w:hAnsi="Century Gothic" w:cs="Century Gothic"/>
          <w:highlight w:val="white"/>
          <w:lang w:val="es-CO"/>
        </w:rPr>
        <w:t>Secretaria</w:t>
      </w:r>
    </w:p>
    <w:p w14:paraId="60946FD0" w14:textId="77777777" w:rsidR="00BC3E4B" w:rsidRDefault="00BC3E4B">
      <w:pPr>
        <w:jc w:val="both"/>
        <w:rPr>
          <w:rFonts w:ascii="Century Gothic" w:eastAsia="Century Gothic" w:hAnsi="Century Gothic" w:cs="Century Gothic"/>
          <w:highlight w:val="white"/>
        </w:rPr>
      </w:pPr>
    </w:p>
    <w:sectPr w:rsidR="00BC3E4B" w:rsidSect="00CA7BFC">
      <w:headerReference w:type="default" r:id="rId8"/>
      <w:footerReference w:type="even" r:id="rId9"/>
      <w:footerReference w:type="default" r:id="rId10"/>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19427" w14:textId="77777777" w:rsidR="00116A80" w:rsidRDefault="00116A80">
      <w:pPr>
        <w:spacing w:after="0" w:line="240" w:lineRule="auto"/>
      </w:pPr>
      <w:r>
        <w:separator/>
      </w:r>
    </w:p>
  </w:endnote>
  <w:endnote w:type="continuationSeparator" w:id="0">
    <w:p w14:paraId="04E8739C" w14:textId="77777777" w:rsidR="00116A80" w:rsidRDefault="0011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lang w:val="es-ES" w:eastAsia="es-ES"/>
          </w:rPr>
        </w:pPr>
        <w:r w:rsidRPr="00CA7BFC">
          <w:rPr>
            <w:rFonts w:ascii="Aparajita" w:eastAsia="Times New Roman" w:hAnsi="Aparajita" w:cs="Aparajita"/>
            <w:color w:val="808080" w:themeColor="background1" w:themeShade="80"/>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CA7BFC">
          <w:rPr>
            <w:rFonts w:ascii="Aparajita" w:eastAsia="Times New Roman" w:hAnsi="Aparajita" w:cs="Aparajita"/>
            <w:color w:val="808080" w:themeColor="background1" w:themeShade="80"/>
            <w:szCs w:val="24"/>
            <w:lang w:val="es-ES" w:eastAsia="es-ES"/>
          </w:rPr>
          <w:t xml:space="preserve">Carrera 7 N° 8 – 68, oficina 238 B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CA7BFC">
          <w:rPr>
            <w:rFonts w:ascii="Aparajita" w:eastAsia="Times New Roman" w:hAnsi="Aparajita" w:cs="Aparajita"/>
            <w:color w:val="808080" w:themeColor="background1" w:themeShade="80"/>
            <w:szCs w:val="24"/>
            <w:lang w:val="en-US" w:eastAsia="es-ES"/>
          </w:rPr>
          <w:t xml:space="preserve">PBX: 3904050 – Ext. 4289 - 4288  Email: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CFC60" w14:textId="77777777" w:rsidR="00116A80" w:rsidRDefault="00116A80">
      <w:pPr>
        <w:spacing w:after="0" w:line="240" w:lineRule="auto"/>
      </w:pPr>
      <w:r>
        <w:separator/>
      </w:r>
    </w:p>
  </w:footnote>
  <w:footnote w:type="continuationSeparator" w:id="0">
    <w:p w14:paraId="1DE89118" w14:textId="77777777" w:rsidR="00116A80" w:rsidRDefault="00116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6F12DFAE" w:rsidR="00BC3E4B" w:rsidRPr="00CA7BFC" w:rsidRDefault="00CA7BFC" w:rsidP="00CA7BFC">
    <w:pPr>
      <w:pStyle w:val="Encabezado"/>
      <w:jc w:val="center"/>
    </w:pPr>
    <w:r w:rsidRPr="00165143">
      <w:rPr>
        <w:noProof/>
        <w:lang w:val="es-CO" w:eastAsia="es-CO"/>
      </w:rPr>
      <w:drawing>
        <wp:inline distT="0" distB="0" distL="0" distR="0" wp14:anchorId="421BFDC3" wp14:editId="46E2FCE1">
          <wp:extent cx="1981200" cy="5842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149" t="51920" r="47472" b="33134"/>
                  <a:stretch>
                    <a:fillRect/>
                  </a:stretch>
                </pic:blipFill>
                <pic:spPr bwMode="auto">
                  <a:xfrm>
                    <a:off x="0" y="0"/>
                    <a:ext cx="19812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3">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4">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5">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6">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3"/>
  </w:num>
  <w:num w:numId="2">
    <w:abstractNumId w:val="19"/>
  </w:num>
  <w:num w:numId="3">
    <w:abstractNumId w:val="25"/>
  </w:num>
  <w:num w:numId="4">
    <w:abstractNumId w:val="26"/>
  </w:num>
  <w:num w:numId="5">
    <w:abstractNumId w:val="5"/>
  </w:num>
  <w:num w:numId="6">
    <w:abstractNumId w:val="2"/>
  </w:num>
  <w:num w:numId="7">
    <w:abstractNumId w:val="10"/>
  </w:num>
  <w:num w:numId="8">
    <w:abstractNumId w:val="21"/>
  </w:num>
  <w:num w:numId="9">
    <w:abstractNumId w:val="3"/>
  </w:num>
  <w:num w:numId="10">
    <w:abstractNumId w:val="17"/>
  </w:num>
  <w:num w:numId="11">
    <w:abstractNumId w:val="13"/>
  </w:num>
  <w:num w:numId="12">
    <w:abstractNumId w:val="22"/>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28"/>
  </w:num>
  <w:num w:numId="21">
    <w:abstractNumId w:val="27"/>
  </w:num>
  <w:num w:numId="22">
    <w:abstractNumId w:val="7"/>
  </w:num>
  <w:num w:numId="23">
    <w:abstractNumId w:val="18"/>
  </w:num>
  <w:num w:numId="24">
    <w:abstractNumId w:val="20"/>
  </w:num>
  <w:num w:numId="25">
    <w:abstractNumId w:val="11"/>
  </w:num>
  <w:num w:numId="26">
    <w:abstractNumId w:val="12"/>
  </w:num>
  <w:num w:numId="27">
    <w:abstractNumId w:val="8"/>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D7330"/>
    <w:rsid w:val="000F29C4"/>
    <w:rsid w:val="00116A80"/>
    <w:rsid w:val="00141E9A"/>
    <w:rsid w:val="00246D97"/>
    <w:rsid w:val="00247B5E"/>
    <w:rsid w:val="002A050B"/>
    <w:rsid w:val="002B15AE"/>
    <w:rsid w:val="004752D7"/>
    <w:rsid w:val="0049278A"/>
    <w:rsid w:val="00525502"/>
    <w:rsid w:val="00552946"/>
    <w:rsid w:val="006667B4"/>
    <w:rsid w:val="006B1F0F"/>
    <w:rsid w:val="006D3CF8"/>
    <w:rsid w:val="0073136B"/>
    <w:rsid w:val="00762755"/>
    <w:rsid w:val="00771A2E"/>
    <w:rsid w:val="00781CF3"/>
    <w:rsid w:val="007D6DC1"/>
    <w:rsid w:val="00961568"/>
    <w:rsid w:val="009B5108"/>
    <w:rsid w:val="009B75CE"/>
    <w:rsid w:val="009C5CF0"/>
    <w:rsid w:val="009D59D9"/>
    <w:rsid w:val="009E18F1"/>
    <w:rsid w:val="009F76A0"/>
    <w:rsid w:val="00AB2204"/>
    <w:rsid w:val="00B63F91"/>
    <w:rsid w:val="00BB2372"/>
    <w:rsid w:val="00BC211F"/>
    <w:rsid w:val="00BC3E4B"/>
    <w:rsid w:val="00C1217F"/>
    <w:rsid w:val="00C834D2"/>
    <w:rsid w:val="00C94F86"/>
    <w:rsid w:val="00C95BD6"/>
    <w:rsid w:val="00CA7BFC"/>
    <w:rsid w:val="00CD211C"/>
    <w:rsid w:val="00CE7E1D"/>
    <w:rsid w:val="00D50E99"/>
    <w:rsid w:val="00D52439"/>
    <w:rsid w:val="00D847AE"/>
    <w:rsid w:val="00DC7280"/>
    <w:rsid w:val="00E47170"/>
    <w:rsid w:val="00E60B54"/>
    <w:rsid w:val="00EE14AC"/>
    <w:rsid w:val="00EF5F67"/>
    <w:rsid w:val="00F10F67"/>
    <w:rsid w:val="00F9749D"/>
    <w:rsid w:val="00FA34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4138</Words>
  <Characters>22761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Javier Eduardo Figueroa Pulido</cp:lastModifiedBy>
  <cp:revision>2</cp:revision>
  <dcterms:created xsi:type="dcterms:W3CDTF">2021-06-02T21:26:00Z</dcterms:created>
  <dcterms:modified xsi:type="dcterms:W3CDTF">2021-06-02T21:26:00Z</dcterms:modified>
</cp:coreProperties>
</file>