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Bogotá, D.C, </w:t>
      </w:r>
      <w:r w:rsidR="008B213C">
        <w:rPr>
          <w:rFonts w:ascii="Century Gothic" w:eastAsia="Century Gothic" w:hAnsi="Century Gothic" w:cs="Century Gothic"/>
          <w:color w:val="000000"/>
        </w:rPr>
        <w:t>1</w:t>
      </w:r>
      <w:r>
        <w:rPr>
          <w:rFonts w:ascii="Century Gothic" w:eastAsia="Century Gothic" w:hAnsi="Century Gothic" w:cs="Century Gothic"/>
          <w:color w:val="000000"/>
        </w:rPr>
        <w:t xml:space="preserve"> de </w:t>
      </w:r>
      <w:r w:rsidR="008B213C">
        <w:rPr>
          <w:rFonts w:ascii="Century Gothic" w:eastAsia="Century Gothic" w:hAnsi="Century Gothic" w:cs="Century Gothic"/>
          <w:color w:val="000000"/>
        </w:rPr>
        <w:t xml:space="preserve">octubre </w:t>
      </w:r>
      <w:r>
        <w:rPr>
          <w:rFonts w:ascii="Century Gothic" w:eastAsia="Century Gothic" w:hAnsi="Century Gothic" w:cs="Century Gothic"/>
          <w:color w:val="000000"/>
        </w:rPr>
        <w:t>de 2020</w:t>
      </w:r>
    </w:p>
    <w:p w:rsidR="007F2593" w:rsidRDefault="007F2593">
      <w:pPr>
        <w:jc w:val="both"/>
        <w:rPr>
          <w:rFonts w:ascii="Century Gothic" w:eastAsia="Century Gothic" w:hAnsi="Century Gothic" w:cs="Century Gothic"/>
          <w:b/>
          <w:color w:val="000000"/>
          <w:sz w:val="24"/>
          <w:szCs w:val="24"/>
        </w:rPr>
      </w:pPr>
    </w:p>
    <w:p w:rsidR="007F2593" w:rsidRDefault="006C511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Doctor</w:t>
      </w:r>
    </w:p>
    <w:p w:rsidR="007F2593" w:rsidRDefault="006C5116">
      <w:p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ALFREDO RAFAEL DELUQUE ZULETA</w:t>
      </w:r>
    </w:p>
    <w:p w:rsidR="007F2593" w:rsidRDefault="006C511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Presidente </w:t>
      </w:r>
    </w:p>
    <w:p w:rsidR="007F2593" w:rsidRDefault="006C511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Comisión Primera Constitucional</w:t>
      </w:r>
    </w:p>
    <w:p w:rsidR="007F2593" w:rsidRDefault="006C511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b/>
          <w:color w:val="000000"/>
        </w:rPr>
        <w:t>CÁMARA DE REPRESENTANTES</w:t>
      </w:r>
    </w:p>
    <w:p w:rsidR="007F2593" w:rsidRDefault="006C511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Bogotá D.C.</w:t>
      </w:r>
    </w:p>
    <w:p w:rsidR="007F2593" w:rsidRDefault="007F2593">
      <w:pPr>
        <w:jc w:val="both"/>
        <w:rPr>
          <w:rFonts w:ascii="Century Gothic" w:eastAsia="Century Gothic" w:hAnsi="Century Gothic" w:cs="Century Gothic"/>
          <w:b/>
          <w:color w:val="000000"/>
        </w:rPr>
      </w:pPr>
    </w:p>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REFERENCIA: </w:t>
      </w:r>
      <w:r>
        <w:rPr>
          <w:rFonts w:ascii="Century Gothic" w:eastAsia="Century Gothic" w:hAnsi="Century Gothic" w:cs="Century Gothic"/>
          <w:color w:val="000000"/>
        </w:rPr>
        <w:t xml:space="preserve">INFORME DE PONENCIA PARA PRIMER DEBATE EN CÁMARA AL PROYECTO DE LEY ESTATUTARIA 342 de 2020 CÁMARA </w:t>
      </w:r>
      <w:r>
        <w:rPr>
          <w:rFonts w:ascii="Century Gothic" w:eastAsia="Century Gothic" w:hAnsi="Century Gothic" w:cs="Century Gothic"/>
          <w:b/>
          <w:color w:val="000000"/>
        </w:rPr>
        <w:t>“</w:t>
      </w:r>
      <w:r>
        <w:rPr>
          <w:rFonts w:ascii="Century Gothic" w:eastAsia="Century Gothic" w:hAnsi="Century Gothic" w:cs="Century Gothic"/>
          <w:b/>
          <w:i/>
          <w:color w:val="000000"/>
        </w:rPr>
        <w:t>Por medio del cual se adiciona un parágrafo transitorio al Artículo 15 de la Ley Estatutaria 1751 de 2015</w:t>
      </w:r>
      <w:r>
        <w:rPr>
          <w:rFonts w:ascii="Century Gothic" w:eastAsia="Century Gothic" w:hAnsi="Century Gothic" w:cs="Century Gothic"/>
          <w:b/>
          <w:color w:val="000000"/>
        </w:rPr>
        <w:t>”.</w:t>
      </w:r>
    </w:p>
    <w:p w:rsidR="007F2593" w:rsidRDefault="007F2593">
      <w:pPr>
        <w:jc w:val="both"/>
        <w:rPr>
          <w:rFonts w:ascii="Century Gothic" w:eastAsia="Century Gothic" w:hAnsi="Century Gothic" w:cs="Century Gothic"/>
          <w:color w:val="000000"/>
        </w:rPr>
      </w:pPr>
    </w:p>
    <w:p w:rsidR="007F2593" w:rsidRDefault="006C5116">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Respetado Señor Presidente: </w:t>
      </w:r>
    </w:p>
    <w:p w:rsidR="007F2593" w:rsidRDefault="007F2593">
      <w:pPr>
        <w:spacing w:after="0" w:line="240" w:lineRule="auto"/>
        <w:jc w:val="both"/>
        <w:rPr>
          <w:rFonts w:ascii="Century Gothic" w:eastAsia="Century Gothic" w:hAnsi="Century Gothic" w:cs="Century Gothic"/>
          <w:color w:val="000000"/>
        </w:rPr>
      </w:pPr>
    </w:p>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color w:val="000000"/>
        </w:rPr>
        <w:t xml:space="preserve">En cumplimiento de la designación de la mesa directiva, de la manera más atenta, por medio del presente escrito y dentro del término establecido para el efecto, procedemos a rendir informe de ponencia para primer debate al Proyecto de Ley Estatutaria 342 de 2020 CÁMARA </w:t>
      </w:r>
      <w:r>
        <w:rPr>
          <w:rFonts w:ascii="Century Gothic" w:eastAsia="Century Gothic" w:hAnsi="Century Gothic" w:cs="Century Gothic"/>
          <w:b/>
          <w:color w:val="000000"/>
        </w:rPr>
        <w:t>“</w:t>
      </w:r>
      <w:r>
        <w:rPr>
          <w:rFonts w:ascii="Century Gothic" w:eastAsia="Century Gothic" w:hAnsi="Century Gothic" w:cs="Century Gothic"/>
          <w:b/>
          <w:i/>
          <w:color w:val="000000"/>
        </w:rPr>
        <w:t>Por medio del cual se adiciona un parágrafo transitorio al Artículo 15 de la Ley Estatutaria 1751 de 2015</w:t>
      </w:r>
      <w:r>
        <w:rPr>
          <w:rFonts w:ascii="Century Gothic" w:eastAsia="Century Gothic" w:hAnsi="Century Gothic" w:cs="Century Gothic"/>
          <w:b/>
          <w:color w:val="000000"/>
        </w:rPr>
        <w:t>”.</w:t>
      </w:r>
    </w:p>
    <w:p w:rsidR="007F2593" w:rsidRDefault="007F2593">
      <w:pPr>
        <w:jc w:val="both"/>
        <w:rPr>
          <w:rFonts w:ascii="Century Gothic" w:eastAsia="Century Gothic" w:hAnsi="Century Gothic" w:cs="Century Gothic"/>
          <w:b/>
          <w:i/>
          <w:color w:val="000000"/>
        </w:rPr>
      </w:pP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Cordialmente,</w:t>
      </w:r>
    </w:p>
    <w:p w:rsidR="007F2593" w:rsidRDefault="007F2593">
      <w:pPr>
        <w:spacing w:after="0"/>
        <w:rPr>
          <w:rFonts w:ascii="Century Gothic" w:eastAsia="Century Gothic" w:hAnsi="Century Gothic" w:cs="Century Gothic"/>
          <w:color w:val="000000"/>
          <w:sz w:val="24"/>
          <w:szCs w:val="24"/>
        </w:rPr>
      </w:pPr>
    </w:p>
    <w:tbl>
      <w:tblPr>
        <w:tblStyle w:val="a"/>
        <w:tblW w:w="8828"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414"/>
        <w:gridCol w:w="4414"/>
      </w:tblGrid>
      <w:tr w:rsidR="007F2593" w:rsidTr="000A682F">
        <w:tc>
          <w:tcPr>
            <w:tcW w:w="4414" w:type="dxa"/>
          </w:tcPr>
          <w:p w:rsidR="003207BC" w:rsidRDefault="003207BC">
            <w:pPr>
              <w:spacing w:after="0"/>
              <w:rPr>
                <w:rFonts w:ascii="Century Gothic" w:eastAsia="Century Gothic" w:hAnsi="Century Gothic" w:cs="Century Gothic"/>
                <w:b/>
                <w:color w:val="000000"/>
              </w:rPr>
            </w:pPr>
          </w:p>
          <w:p w:rsidR="003207BC" w:rsidRDefault="003207BC">
            <w:pPr>
              <w:spacing w:after="0"/>
              <w:rPr>
                <w:rFonts w:ascii="Century Gothic" w:eastAsia="Century Gothic" w:hAnsi="Century Gothic" w:cs="Century Gothic"/>
                <w:b/>
                <w:color w:val="000000"/>
              </w:rPr>
            </w:pPr>
          </w:p>
          <w:p w:rsidR="003207BC" w:rsidRDefault="003207BC">
            <w:pPr>
              <w:spacing w:after="0"/>
              <w:rPr>
                <w:rFonts w:ascii="Century Gothic" w:eastAsia="Century Gothic" w:hAnsi="Century Gothic" w:cs="Century Gothic"/>
                <w:b/>
                <w:color w:val="000000"/>
              </w:rPr>
            </w:pPr>
          </w:p>
          <w:p w:rsidR="003207BC" w:rsidRDefault="003207BC">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JOSÉ DANIEL LÓPEZ JIMENEZ                                 </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c>
          <w:tcPr>
            <w:tcW w:w="4414" w:type="dxa"/>
          </w:tcPr>
          <w:p w:rsidR="007F2593" w:rsidRDefault="007F2593">
            <w:pPr>
              <w:spacing w:after="0"/>
              <w:rPr>
                <w:rFonts w:ascii="Century Gothic" w:eastAsia="Century Gothic" w:hAnsi="Century Gothic" w:cs="Century Gothic"/>
                <w:b/>
                <w:color w:val="000000"/>
              </w:rPr>
            </w:pPr>
          </w:p>
          <w:p w:rsidR="007F2593" w:rsidRDefault="007F2593">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ALFREDO RAFAEL DELUQUE ZULETA</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r>
      <w:tr w:rsidR="007F2593" w:rsidTr="000A682F">
        <w:tc>
          <w:tcPr>
            <w:tcW w:w="4414" w:type="dxa"/>
          </w:tcPr>
          <w:p w:rsidR="007F2593" w:rsidRDefault="007F2593">
            <w:pPr>
              <w:spacing w:after="0"/>
              <w:rPr>
                <w:rFonts w:ascii="Century Gothic" w:eastAsia="Century Gothic" w:hAnsi="Century Gothic" w:cs="Century Gothic"/>
                <w:color w:val="000000"/>
              </w:rPr>
            </w:pPr>
          </w:p>
          <w:p w:rsidR="007F2593" w:rsidRDefault="007F2593">
            <w:pPr>
              <w:spacing w:after="0"/>
              <w:rPr>
                <w:rFonts w:ascii="Century Gothic" w:eastAsia="Century Gothic" w:hAnsi="Century Gothic" w:cs="Century Gothic"/>
                <w:b/>
                <w:color w:val="000000"/>
              </w:rPr>
            </w:pPr>
          </w:p>
          <w:p w:rsidR="00EB1F4D" w:rsidRDefault="00EB1F4D">
            <w:pPr>
              <w:spacing w:after="0"/>
              <w:rPr>
                <w:rFonts w:ascii="Century Gothic" w:eastAsia="Century Gothic" w:hAnsi="Century Gothic" w:cs="Century Gothic"/>
                <w:b/>
                <w:color w:val="000000"/>
              </w:rPr>
            </w:pPr>
          </w:p>
          <w:p w:rsidR="00EB1F4D" w:rsidRDefault="00EB1F4D">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OSCAR HERNÁN SÁNCHEZ LEÓN</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EB1F4D" w:rsidRDefault="00EB1F4D">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MANUEL DAZA IGUARÁN</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p w:rsidR="007F2593" w:rsidRDefault="007F2593">
            <w:pPr>
              <w:spacing w:after="0"/>
              <w:rPr>
                <w:rFonts w:ascii="Century Gothic" w:eastAsia="Century Gothic" w:hAnsi="Century Gothic" w:cs="Century Gothic"/>
                <w:color w:val="000000"/>
              </w:rPr>
            </w:pPr>
          </w:p>
        </w:tc>
      </w:tr>
      <w:tr w:rsidR="007F2593" w:rsidTr="000A682F">
        <w:trPr>
          <w:trHeight w:val="2564"/>
        </w:trPr>
        <w:tc>
          <w:tcPr>
            <w:tcW w:w="4414" w:type="dxa"/>
          </w:tcPr>
          <w:p w:rsidR="007F2593" w:rsidRDefault="007F2593">
            <w:pPr>
              <w:spacing w:after="0"/>
              <w:rPr>
                <w:rFonts w:ascii="Century Gothic" w:eastAsia="Century Gothic" w:hAnsi="Century Gothic" w:cs="Century Gothic"/>
                <w:b/>
                <w:color w:val="000000"/>
              </w:rPr>
            </w:pPr>
          </w:p>
          <w:p w:rsidR="007F2593" w:rsidRDefault="007F2593">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CARLOS WILLS OSPINA</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7F2593" w:rsidRDefault="007F2593">
            <w:pPr>
              <w:spacing w:after="0"/>
              <w:rPr>
                <w:rFonts w:ascii="Century Gothic" w:eastAsia="Century Gothic" w:hAnsi="Century Gothic" w:cs="Century Gothic"/>
                <w:b/>
                <w:color w:val="000000"/>
              </w:rPr>
            </w:pPr>
          </w:p>
          <w:p w:rsidR="007F2593" w:rsidRDefault="007F2593">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JUANITA GOEBERTUS ESTRADA</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p w:rsidR="007F2593" w:rsidRDefault="007F2593">
            <w:pPr>
              <w:spacing w:after="0"/>
              <w:rPr>
                <w:rFonts w:ascii="Century Gothic" w:eastAsia="Century Gothic" w:hAnsi="Century Gothic" w:cs="Century Gothic"/>
                <w:color w:val="000000"/>
              </w:rPr>
            </w:pPr>
          </w:p>
        </w:tc>
      </w:tr>
      <w:tr w:rsidR="007F2593" w:rsidTr="000A682F">
        <w:tc>
          <w:tcPr>
            <w:tcW w:w="4414" w:type="dxa"/>
          </w:tcPr>
          <w:p w:rsidR="007F2593" w:rsidRDefault="007F2593">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b/>
                <w:color w:val="000000"/>
              </w:rPr>
              <w:t>CARLOS GERMÁN NAVAS TALERO</w:t>
            </w:r>
            <w:r>
              <w:rPr>
                <w:rFonts w:ascii="Century Gothic" w:eastAsia="Century Gothic" w:hAnsi="Century Gothic" w:cs="Century Gothic"/>
                <w:color w:val="000000"/>
              </w:rPr>
              <w:t xml:space="preserve">  </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7F2593" w:rsidRDefault="007F2593">
            <w:pPr>
              <w:spacing w:after="0"/>
              <w:rPr>
                <w:rFonts w:ascii="Century Gothic" w:eastAsia="Century Gothic" w:hAnsi="Century Gothic" w:cs="Century Gothic"/>
                <w:b/>
                <w:color w:val="000000"/>
              </w:rPr>
            </w:pPr>
          </w:p>
          <w:p w:rsidR="007F2593" w:rsidRDefault="007F2593">
            <w:pPr>
              <w:spacing w:after="0"/>
              <w:rPr>
                <w:rFonts w:ascii="Century Gothic" w:eastAsia="Century Gothic" w:hAnsi="Century Gothic" w:cs="Century Gothic"/>
                <w:b/>
                <w:color w:val="000000"/>
              </w:rPr>
            </w:pP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b/>
                <w:color w:val="000000"/>
              </w:rPr>
              <w:t>LUIS ALBERTO ALBÁN URBANO</w:t>
            </w:r>
          </w:p>
          <w:p w:rsidR="007F2593" w:rsidRDefault="006C5116">
            <w:pPr>
              <w:spacing w:after="0"/>
              <w:rPr>
                <w:rFonts w:ascii="Century Gothic" w:eastAsia="Century Gothic" w:hAnsi="Century Gothic" w:cs="Century Gothic"/>
                <w:color w:val="000000"/>
              </w:rPr>
            </w:pPr>
            <w:r>
              <w:rPr>
                <w:rFonts w:ascii="Century Gothic" w:eastAsia="Century Gothic" w:hAnsi="Century Gothic" w:cs="Century Gothic"/>
                <w:color w:val="000000"/>
              </w:rPr>
              <w:t xml:space="preserve">Ponente                                                           </w:t>
            </w:r>
          </w:p>
          <w:p w:rsidR="007F2593" w:rsidRDefault="007F2593">
            <w:pPr>
              <w:spacing w:after="0"/>
              <w:rPr>
                <w:rFonts w:ascii="Century Gothic" w:eastAsia="Century Gothic" w:hAnsi="Century Gothic" w:cs="Century Gothic"/>
                <w:color w:val="000000"/>
              </w:rPr>
            </w:pPr>
          </w:p>
        </w:tc>
      </w:tr>
      <w:tr w:rsidR="007F2593" w:rsidTr="000A682F">
        <w:tc>
          <w:tcPr>
            <w:tcW w:w="4414" w:type="dxa"/>
          </w:tcPr>
          <w:p w:rsidR="007F2593" w:rsidRDefault="007F2593">
            <w:pPr>
              <w:spacing w:after="0"/>
              <w:jc w:val="both"/>
              <w:rPr>
                <w:rFonts w:ascii="Century Gothic" w:eastAsia="Century Gothic" w:hAnsi="Century Gothic" w:cs="Century Gothic"/>
                <w:b/>
                <w:color w:val="000000"/>
              </w:rPr>
            </w:pPr>
          </w:p>
          <w:p w:rsidR="007F2593" w:rsidRDefault="007F2593">
            <w:pPr>
              <w:spacing w:after="0"/>
              <w:jc w:val="both"/>
              <w:rPr>
                <w:rFonts w:ascii="Century Gothic" w:eastAsia="Century Gothic" w:hAnsi="Century Gothic" w:cs="Century Gothic"/>
                <w:b/>
                <w:color w:val="000000"/>
              </w:rPr>
            </w:pPr>
          </w:p>
          <w:p w:rsidR="007F2593" w:rsidRDefault="007F2593">
            <w:pPr>
              <w:spacing w:after="0"/>
              <w:jc w:val="both"/>
              <w:rPr>
                <w:rFonts w:ascii="Century Gothic" w:eastAsia="Century Gothic" w:hAnsi="Century Gothic" w:cs="Century Gothic"/>
                <w:b/>
                <w:color w:val="000000"/>
              </w:rPr>
            </w:pPr>
          </w:p>
          <w:p w:rsidR="007F2593" w:rsidRDefault="006C5116">
            <w:pP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ÁNGELA MARÍA ROBLEDO GÓMEZ</w:t>
            </w:r>
          </w:p>
          <w:p w:rsidR="007F2593" w:rsidRDefault="006C5116">
            <w:pP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Ponente</w:t>
            </w:r>
          </w:p>
          <w:p w:rsidR="007F2593" w:rsidRDefault="007F2593">
            <w:pPr>
              <w:spacing w:after="0"/>
              <w:rPr>
                <w:rFonts w:ascii="Century Gothic" w:eastAsia="Century Gothic" w:hAnsi="Century Gothic" w:cs="Century Gothic"/>
                <w:color w:val="000000"/>
              </w:rPr>
            </w:pPr>
          </w:p>
        </w:tc>
        <w:tc>
          <w:tcPr>
            <w:tcW w:w="4414" w:type="dxa"/>
          </w:tcPr>
          <w:p w:rsidR="007F2593" w:rsidRDefault="007F2593">
            <w:pPr>
              <w:spacing w:after="0"/>
              <w:rPr>
                <w:rFonts w:ascii="Century Gothic" w:eastAsia="Century Gothic" w:hAnsi="Century Gothic" w:cs="Century Gothic"/>
                <w:color w:val="000000"/>
              </w:rPr>
            </w:pPr>
          </w:p>
        </w:tc>
      </w:tr>
    </w:tbl>
    <w:p w:rsidR="006542AE" w:rsidRDefault="006542AE">
      <w:pPr>
        <w:spacing w:after="0"/>
        <w:rPr>
          <w:rFonts w:ascii="Century Gothic" w:eastAsia="Century Gothic" w:hAnsi="Century Gothic" w:cs="Century Gothic"/>
          <w:color w:val="000000"/>
        </w:rPr>
      </w:pPr>
    </w:p>
    <w:p w:rsidR="006542AE" w:rsidRDefault="006542AE">
      <w:pPr>
        <w:rPr>
          <w:rFonts w:ascii="Century Gothic" w:eastAsia="Century Gothic" w:hAnsi="Century Gothic" w:cs="Century Gothic"/>
          <w:color w:val="000000"/>
        </w:rPr>
      </w:pPr>
      <w:r>
        <w:rPr>
          <w:rFonts w:ascii="Century Gothic" w:eastAsia="Century Gothic" w:hAnsi="Century Gothic" w:cs="Century Gothic"/>
          <w:color w:val="000000"/>
        </w:rPr>
        <w:br w:type="page"/>
      </w:r>
    </w:p>
    <w:p w:rsidR="007F2593" w:rsidRDefault="007F2593">
      <w:pPr>
        <w:spacing w:after="0"/>
        <w:rPr>
          <w:rFonts w:ascii="Century Gothic" w:eastAsia="Century Gothic" w:hAnsi="Century Gothic" w:cs="Century Gothic"/>
          <w:color w:val="000000"/>
        </w:rPr>
      </w:pPr>
    </w:p>
    <w:p w:rsidR="003207BC" w:rsidRDefault="003207BC">
      <w:pPr>
        <w:spacing w:after="0" w:line="240" w:lineRule="auto"/>
        <w:jc w:val="both"/>
        <w:rPr>
          <w:rFonts w:ascii="Century Gothic" w:eastAsia="Century Gothic" w:hAnsi="Century Gothic" w:cs="Century Gothic"/>
          <w:color w:val="000000"/>
        </w:rPr>
      </w:pPr>
    </w:p>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color w:val="000000"/>
        </w:rPr>
        <w:t xml:space="preserve">INFORME DE PONENCIA PARA PRIMER DEBATE EN CÁMARA AL PROYECTO DE LEY ESTATUTARIA 342 de 2020 CÁMARA </w:t>
      </w:r>
      <w:r>
        <w:rPr>
          <w:rFonts w:ascii="Century Gothic" w:eastAsia="Century Gothic" w:hAnsi="Century Gothic" w:cs="Century Gothic"/>
          <w:b/>
          <w:color w:val="000000"/>
        </w:rPr>
        <w:t>“</w:t>
      </w:r>
      <w:r>
        <w:rPr>
          <w:rFonts w:ascii="Century Gothic" w:eastAsia="Century Gothic" w:hAnsi="Century Gothic" w:cs="Century Gothic"/>
          <w:b/>
          <w:i/>
          <w:color w:val="000000"/>
        </w:rPr>
        <w:t>Por medio del cual se adiciona un parágrafo transitorio al Artículo 15 de la Ley Estatutaria 1751 de 2015</w:t>
      </w:r>
      <w:r>
        <w:rPr>
          <w:rFonts w:ascii="Century Gothic" w:eastAsia="Century Gothic" w:hAnsi="Century Gothic" w:cs="Century Gothic"/>
          <w:b/>
          <w:color w:val="000000"/>
        </w:rPr>
        <w:t>”.</w:t>
      </w:r>
    </w:p>
    <w:p w:rsidR="007F2593" w:rsidRDefault="007F2593">
      <w:pPr>
        <w:jc w:val="both"/>
        <w:rPr>
          <w:rFonts w:ascii="Century Gothic" w:eastAsia="Century Gothic" w:hAnsi="Century Gothic" w:cs="Century Gothic"/>
          <w:color w:val="000000"/>
        </w:rPr>
      </w:pP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La presente ponencia consta de las siguientes partes:</w:t>
      </w:r>
    </w:p>
    <w:p w:rsidR="007F2593" w:rsidRDefault="007F2593">
      <w:pPr>
        <w:spacing w:after="0" w:line="240" w:lineRule="auto"/>
        <w:jc w:val="both"/>
        <w:rPr>
          <w:rFonts w:ascii="Century Gothic" w:eastAsia="Century Gothic" w:hAnsi="Century Gothic" w:cs="Century Gothic"/>
          <w:color w:val="000000"/>
        </w:rPr>
      </w:pPr>
    </w:p>
    <w:p w:rsidR="007F2593" w:rsidRDefault="006C5116">
      <w:pPr>
        <w:numPr>
          <w:ilvl w:val="0"/>
          <w:numId w:val="3"/>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ANTECEDENTES</w:t>
      </w:r>
    </w:p>
    <w:p w:rsidR="007F2593" w:rsidRDefault="006C5116">
      <w:pPr>
        <w:numPr>
          <w:ilvl w:val="0"/>
          <w:numId w:val="3"/>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sz w:val="24"/>
          <w:szCs w:val="24"/>
        </w:rPr>
        <w:t>CONTEXTO HISTÓRICO Y OBJETO DEL PROYECTO</w:t>
      </w:r>
    </w:p>
    <w:p w:rsidR="007F2593" w:rsidRDefault="006C5116">
      <w:pPr>
        <w:numPr>
          <w:ilvl w:val="0"/>
          <w:numId w:val="3"/>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MARCO NORMATIVO Y JURISPRUDENCIA</w:t>
      </w:r>
    </w:p>
    <w:p w:rsidR="007F2593" w:rsidRDefault="006C5116">
      <w:pPr>
        <w:numPr>
          <w:ilvl w:val="0"/>
          <w:numId w:val="3"/>
        </w:numPr>
        <w:pBdr>
          <w:top w:val="nil"/>
          <w:left w:val="nil"/>
          <w:bottom w:val="nil"/>
          <w:right w:val="nil"/>
          <w:between w:val="nil"/>
        </w:pBdr>
        <w:spacing w:after="0" w:line="259"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FUNDAMENTOS JURÍDICOS DE LA COMPETENCIA DEL CONGRESO PARA REGULAR LA MATERIA</w:t>
      </w:r>
    </w:p>
    <w:p w:rsidR="007F2593" w:rsidRDefault="006C5116">
      <w:pPr>
        <w:numPr>
          <w:ilvl w:val="0"/>
          <w:numId w:val="3"/>
        </w:numPr>
        <w:pBdr>
          <w:top w:val="nil"/>
          <w:left w:val="nil"/>
          <w:bottom w:val="nil"/>
          <w:right w:val="nil"/>
          <w:between w:val="nil"/>
        </w:pBdr>
        <w:spacing w:after="0" w:line="259"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RELACIÓN DE POSIBLES CONFLICTOS DE INTERÉS</w:t>
      </w:r>
    </w:p>
    <w:p w:rsidR="007F2593" w:rsidRDefault="006C5116">
      <w:pPr>
        <w:numPr>
          <w:ilvl w:val="0"/>
          <w:numId w:val="3"/>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PLIEGO DE MODIFICACIONES</w:t>
      </w:r>
    </w:p>
    <w:p w:rsidR="007F2593" w:rsidRDefault="006C5116">
      <w:pPr>
        <w:numPr>
          <w:ilvl w:val="0"/>
          <w:numId w:val="3"/>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PROPOSICIÓN</w:t>
      </w:r>
    </w:p>
    <w:p w:rsidR="007F2593" w:rsidRDefault="007F2593">
      <w:pPr>
        <w:spacing w:after="0" w:line="240" w:lineRule="auto"/>
        <w:jc w:val="both"/>
        <w:rPr>
          <w:rFonts w:ascii="Times New Roman" w:eastAsia="Times New Roman" w:hAnsi="Times New Roman" w:cs="Times New Roman"/>
          <w:color w:val="000000"/>
          <w:sz w:val="24"/>
          <w:szCs w:val="24"/>
        </w:rPr>
      </w:pPr>
    </w:p>
    <w:p w:rsidR="007F2593" w:rsidRDefault="007F2593">
      <w:pPr>
        <w:spacing w:after="0" w:line="240" w:lineRule="auto"/>
        <w:jc w:val="both"/>
        <w:rPr>
          <w:rFonts w:ascii="Times New Roman" w:eastAsia="Times New Roman" w:hAnsi="Times New Roman" w:cs="Times New Roman"/>
          <w:b/>
          <w:color w:val="000000"/>
          <w:sz w:val="24"/>
          <w:szCs w:val="24"/>
        </w:rPr>
      </w:pPr>
    </w:p>
    <w:p w:rsidR="007F2593" w:rsidRDefault="006C5116">
      <w:pPr>
        <w:numPr>
          <w:ilvl w:val="0"/>
          <w:numId w:val="1"/>
        </w:numPr>
        <w:pBdr>
          <w:top w:val="nil"/>
          <w:left w:val="nil"/>
          <w:bottom w:val="nil"/>
          <w:right w:val="nil"/>
          <w:between w:val="nil"/>
        </w:pBdr>
        <w:spacing w:after="0" w:line="240"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ANTECEDENTES</w:t>
      </w:r>
    </w:p>
    <w:p w:rsidR="007F2593" w:rsidRDefault="007F2593">
      <w:pPr>
        <w:spacing w:after="0" w:line="240" w:lineRule="auto"/>
        <w:jc w:val="both"/>
        <w:rPr>
          <w:rFonts w:ascii="Century Gothic" w:eastAsia="Century Gothic" w:hAnsi="Century Gothic" w:cs="Century Gothic"/>
          <w:color w:val="000000"/>
        </w:rPr>
      </w:pPr>
    </w:p>
    <w:p w:rsidR="007F2593" w:rsidRDefault="006C5116">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Proyecto de Ley Estatutaria 342 de 2020 fue radicado el 11 de agosto de 2020 ante la secretaria de la H. Cámara de Representantes por el Representante a la Cámara Carlos Adolfo Ardila Espinosa.</w:t>
      </w:r>
    </w:p>
    <w:p w:rsidR="007F2593" w:rsidRDefault="006C5116">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Proyecto de Ley Estatutaria fue publicado en la Gaceta del Congreso No. 818 de 2020.</w:t>
      </w:r>
    </w:p>
    <w:p w:rsidR="007F2593" w:rsidRDefault="006C5116">
      <w:pPr>
        <w:numPr>
          <w:ilvl w:val="0"/>
          <w:numId w:val="2"/>
        </w:numPr>
        <w:pBdr>
          <w:top w:val="nil"/>
          <w:left w:val="nil"/>
          <w:bottom w:val="nil"/>
          <w:right w:val="nil"/>
          <w:between w:val="nil"/>
        </w:pBdr>
        <w:spacing w:after="0" w:line="240" w:lineRule="auto"/>
        <w:jc w:val="both"/>
        <w:rPr>
          <w:color w:val="000000"/>
        </w:rPr>
      </w:pPr>
      <w:r>
        <w:rPr>
          <w:rFonts w:ascii="Century Gothic" w:eastAsia="Century Gothic" w:hAnsi="Century Gothic" w:cs="Century Gothic"/>
          <w:color w:val="000000"/>
        </w:rPr>
        <w:t xml:space="preserve">El 17 de septiembre de 2020 fueron designados como ponentes José Daniel López (coordinador), Alfredo Rafael Deluque Zuleta (coordinador), Oscar Hernán Sánchez León, Juan Manuel Daza Iguarán, Juan Carlos Wills Ospina, Juanita María Goebertus Estrada, Carlos Germán Navas Talero, Luis Alberto Albán Urbano y Ángela María Robledo Gómez. </w:t>
      </w:r>
      <w:r>
        <w:rPr>
          <w:color w:val="000000"/>
        </w:rPr>
        <w:t>.</w:t>
      </w:r>
    </w:p>
    <w:p w:rsidR="007F2593" w:rsidRDefault="007F2593">
      <w:pPr>
        <w:spacing w:after="0" w:line="240" w:lineRule="auto"/>
        <w:jc w:val="both"/>
        <w:rPr>
          <w:rFonts w:ascii="Times New Roman" w:eastAsia="Times New Roman" w:hAnsi="Times New Roman" w:cs="Times New Roman"/>
          <w:b/>
          <w:color w:val="000000"/>
          <w:sz w:val="24"/>
          <w:szCs w:val="24"/>
        </w:rPr>
      </w:pPr>
    </w:p>
    <w:p w:rsidR="007F2593" w:rsidRDefault="006C5116">
      <w:pPr>
        <w:numPr>
          <w:ilvl w:val="0"/>
          <w:numId w:val="1"/>
        </w:numPr>
        <w:pBdr>
          <w:top w:val="nil"/>
          <w:left w:val="nil"/>
          <w:bottom w:val="nil"/>
          <w:right w:val="nil"/>
          <w:between w:val="nil"/>
        </w:pBdr>
        <w:spacing w:after="0" w:line="240"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sz w:val="24"/>
          <w:szCs w:val="24"/>
        </w:rPr>
        <w:t>CONTEXTO HISTÓRICO Y OBJETO DEL PROYECTO</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rPr>
        <w:t xml:space="preserve">Es un hecho notorio y de público conocimiento que la humanidad atraviesa por la peor pandemia en los últimos 100 años. Por tal razón, </w:t>
      </w:r>
      <w:r>
        <w:rPr>
          <w:rFonts w:ascii="Century Gothic" w:eastAsia="Century Gothic" w:hAnsi="Century Gothic" w:cs="Century Gothic"/>
          <w:color w:val="000000"/>
          <w:highlight w:val="white"/>
        </w:rPr>
        <w:t>el Gobierno Nacional expidió el Decreto 637 del 6 de mayo de 2020, mediante el cual se declara el Estado de Emergencia Económica, Social y Ecológica en todo el territorio nacional, y mediante el cual se dio lugar a varias disposiciones normativas para mitigar los efectos del SARS-Cov-2 en la población.</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lastRenderedPageBreak/>
        <w:t>Hasta el momento, y a pesar de los esfuerzos de la comunidad científica que trabaja con premura, no se cuenta con una vacuna completamente desarrollada y con los suficientes ensayos clínicos que den cuenta de su eficacia y seguridad. Sin embargo, varios desarrollos son prometedores, y dadas las terribles consecuencias en vidas humanas, fiscales y económicas que ha generado la pandemia, diferentes entidades gubernamentales y de regulación extranjeras han hecho grandes esfuerzos para disminuir los tiempos de aprobación de las mismas, sin afectar la seguridad de los usuarios.</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color w:val="000000"/>
          <w:highlight w:val="white"/>
        </w:rPr>
        <w:t>De cualquier modo, la premura en el desarrollo de las vacunas implica unos riesgos no sólo en términos de salud, sino también de orden fiscal, pues existe la posibilidad de que las vacunas compradas anticipadamente no tengan la eficacia que se esperaba, o bien existe la posibilidad de que al comprarlas luego de verificada su efectividad, los pedidos tarden en llegar a nuestro país debido a la competencia internacional por la prelación en las listas de espera de los distintos laboratorios desarrolladores. Ello implicaría que los daños económicos y sociales causados por la pandemia se extenderían en el tiempo de manera mucho más perjudicial para el país, ya no como consecuencia de la ausencia de vacunas contra el Covid-19, sino de los retrasos del gobierno nacional en el acceso a las dosis necesarias para la inmunización de la población colombiana.</w:t>
      </w:r>
    </w:p>
    <w:p w:rsidR="007F2593" w:rsidRDefault="007F2593">
      <w:pPr>
        <w:spacing w:line="240" w:lineRule="auto"/>
        <w:jc w:val="both"/>
        <w:rPr>
          <w:rFonts w:ascii="Century Gothic" w:eastAsia="Century Gothic" w:hAnsi="Century Gothic" w:cs="Century Gothic"/>
          <w:color w:val="000000"/>
        </w:rPr>
      </w:pPr>
    </w:p>
    <w:p w:rsidR="007F2593" w:rsidRDefault="006C5116">
      <w:pPr>
        <w:spacing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Este riesgo se ve acrecentado por el hecho de que el artículo 15 de la Ley Estatutaria de Salud (Ley 1751 de 2015) contempla la prohibición de utilizar recursos públicos asignados a la salud en la compra de medicamentos experimentales, lo cual limita la posibilidad de realizar compras anticipadas de las eventuales vacunas. Razón por la cual se justifica limitar transitoriamente dichas prohibiciones, con miras a obtener una solución oportuna a la pandemia que hoy nos afecta.</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rsidR="007F2593" w:rsidRDefault="007F2593">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rsidR="007F2593" w:rsidRDefault="006C5116">
      <w:pPr>
        <w:numPr>
          <w:ilvl w:val="0"/>
          <w:numId w:val="1"/>
        </w:numPr>
        <w:pBdr>
          <w:top w:val="nil"/>
          <w:left w:val="nil"/>
          <w:bottom w:val="nil"/>
          <w:right w:val="nil"/>
          <w:between w:val="nil"/>
        </w:pBdr>
        <w:spacing w:after="0" w:line="240"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MARCO NORMATIVO Y JURISPRUDENCIAL</w:t>
      </w:r>
    </w:p>
    <w:p w:rsidR="007F2593" w:rsidRDefault="007F2593">
      <w:pPr>
        <w:pBdr>
          <w:top w:val="nil"/>
          <w:left w:val="nil"/>
          <w:bottom w:val="nil"/>
          <w:right w:val="nil"/>
          <w:between w:val="nil"/>
        </w:pBdr>
        <w:spacing w:after="160" w:line="240" w:lineRule="auto"/>
        <w:jc w:val="both"/>
        <w:rPr>
          <w:rFonts w:ascii="Century Gothic" w:eastAsia="Century Gothic" w:hAnsi="Century Gothic" w:cs="Century Gothic"/>
          <w:color w:val="000000"/>
          <w:highlight w:val="white"/>
        </w:rPr>
      </w:pPr>
    </w:p>
    <w:p w:rsidR="007F2593" w:rsidRDefault="006C5116">
      <w:pPr>
        <w:jc w:val="both"/>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Fundamento Constitucional</w:t>
      </w:r>
    </w:p>
    <w:p w:rsidR="007F2593" w:rsidRDefault="006C5116">
      <w:pPr>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 xml:space="preserve">El artículo 11 de la Constitución Política establece que la vida es un derecho fundamental inviolable. A su vez, el artículo 1 de la misma norma, señala que Colombia es un Estado social de derecho, fundada en el respeto de la dignidad humana. En ese sentido, y en virtud de inviolabilidad del derecho a la vida, el carácter de estado social del Estado colombiano y el respeto de la dignidad humana, se hace necesario adoptar todas las medidas, incluídas las legislativas, que permitan jurídicamente la pre compra de o las vacunas que se encuentren en </w:t>
      </w:r>
      <w:r>
        <w:rPr>
          <w:rFonts w:ascii="Century Gothic" w:eastAsia="Century Gothic" w:hAnsi="Century Gothic" w:cs="Century Gothic"/>
          <w:color w:val="000000"/>
          <w:highlight w:val="white"/>
        </w:rPr>
        <w:lastRenderedPageBreak/>
        <w:t>fase III, pues ello garantizaría el acceso oportuno a estas y consecuencialmente la protección del derecho a la vida.</w:t>
      </w:r>
    </w:p>
    <w:p w:rsidR="007F2593" w:rsidRDefault="006C5116">
      <w:pPr>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 xml:space="preserve">Por su parte, el artículo 2 de la Constitución Política indica que son fines esenciales del Estado, entre otros, garantizar la efectividad de los principios, derechos y deberes consagrados en la Constitución. El cumplimiento efectivo de los derechos, implica que se adopten medidas efectivas para garantizarlos. En lo que respecta al derecho a la vida, relacionado con las tasas de mortalidad generadas por la pandemia originada por el COVID-19, una medida idonea para la efectividad del derecho, sería la pre compra oportuna de  vacunas que se encuentren en fase III experimental. </w:t>
      </w:r>
    </w:p>
    <w:p w:rsidR="007F2593" w:rsidRDefault="006C5116">
      <w:pPr>
        <w:jc w:val="both"/>
        <w:rPr>
          <w:rFonts w:ascii="Century Gothic" w:eastAsia="Century Gothic" w:hAnsi="Century Gothic" w:cs="Century Gothic"/>
          <w:i/>
          <w:color w:val="000000"/>
          <w:highlight w:val="white"/>
        </w:rPr>
      </w:pPr>
      <w:r>
        <w:rPr>
          <w:rFonts w:ascii="Century Gothic" w:eastAsia="Century Gothic" w:hAnsi="Century Gothic" w:cs="Century Gothic"/>
          <w:color w:val="000000"/>
          <w:highlight w:val="white"/>
        </w:rPr>
        <w:t xml:space="preserve">Adicionalmente, al derecho a la vida, otros derechos constitucionales también se encuentran afectados por la pandemia, los cuales se protegerían a partir de la pre compra oportuna de vacunas en fase experimental, como son los derechos de los niños, consagrados en el artículo 44 constitucional y el derecho a la salud contemplado en el artículo 49 de la Constitución Política, que indica: </w:t>
      </w:r>
      <w:r>
        <w:rPr>
          <w:rFonts w:ascii="Century Gothic" w:eastAsia="Century Gothic" w:hAnsi="Century Gothic" w:cs="Century Gothic"/>
          <w:i/>
          <w:color w:val="000000"/>
          <w:highlight w:val="white"/>
        </w:rPr>
        <w:t xml:space="preserve">“ La atención de la salud y el saneamiento ambiental son servicios públicos a cargo del Estado. Se garantiza a todas las personas el acceso a los servicios de promoción, protección y recuperación de la salud. </w:t>
      </w:r>
    </w:p>
    <w:p w:rsidR="007F2593" w:rsidRDefault="006C5116">
      <w:pPr>
        <w:ind w:left="72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Fundamento legal y reglamentario</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16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La Ley 1751 de 2015, estableció en su artículo primero que su objeto era</w:t>
      </w:r>
      <w:r>
        <w:rPr>
          <w:rFonts w:ascii="Century Gothic" w:eastAsia="Century Gothic" w:hAnsi="Century Gothic" w:cs="Century Gothic"/>
          <w:i/>
          <w:color w:val="000000"/>
          <w:highlight w:val="white"/>
        </w:rPr>
        <w:t xml:space="preserve"> “(…) garantizar el derecho fundamental a la salud, regularlo y establecer sus mecanismos de protección”. </w:t>
      </w:r>
      <w:r>
        <w:rPr>
          <w:rFonts w:ascii="Century Gothic" w:eastAsia="Century Gothic" w:hAnsi="Century Gothic" w:cs="Century Gothic"/>
          <w:color w:val="000000"/>
          <w:highlight w:val="white"/>
        </w:rPr>
        <w:t xml:space="preserve">A su vez, la Ley 9 de 1979 indica que “(…) </w:t>
      </w:r>
      <w:r>
        <w:rPr>
          <w:rFonts w:ascii="Century Gothic" w:eastAsia="Century Gothic" w:hAnsi="Century Gothic" w:cs="Century Gothic"/>
          <w:color w:val="000000"/>
          <w:highlight w:val="white"/>
        </w:rPr>
        <w:lastRenderedPageBreak/>
        <w:t>corresponde al Estado, como regulador en materia de salud, expedir las disposiciones necesarias para asegurar una adecuada situación de higiene y seguridad en todas las actividades, así como vigilar su cumplimiento a través de las autoridades de salud”.</w:t>
      </w:r>
    </w:p>
    <w:p w:rsidR="007F2593" w:rsidRDefault="006C5116">
      <w:pP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 xml:space="preserve">Por su parte, el Decreto 780 de 2016, Único Reglamentario del Sector Salud y Protección Social en el parágrafo 1 de su artículo 2.8.8.1.4.3 que establece que </w:t>
      </w:r>
      <w:r>
        <w:rPr>
          <w:rFonts w:ascii="Century Gothic" w:eastAsia="Century Gothic" w:hAnsi="Century Gothic" w:cs="Century Gothic"/>
          <w:i/>
          <w:color w:val="000000"/>
          <w:highlight w:val="white"/>
        </w:rPr>
        <w:t>“El Ministerio de Salud y Protección Social, como autoridad sanitaria del Sistema de Vigilancia en Salud Pública, sin perjuicio de las medidas antes señaladas y en caso de epidemias o situaciones de emergencia sanitaria nacional o internacional, se podrán adoptar medidas de carácter urgente y otras precauciones basadas en principios científicos recomendadas por expertos con el objetivo de limitar la diseminación de una enfermedad o un riesgo que se haya extendido ampliamente dentro de un grupo o comunidad en una zona determinada".</w:t>
      </w:r>
      <w:r>
        <w:rPr>
          <w:rFonts w:ascii="Century Gothic" w:eastAsia="Century Gothic" w:hAnsi="Century Gothic" w:cs="Century Gothic"/>
          <w:color w:val="000000"/>
          <w:highlight w:val="white"/>
        </w:rPr>
        <w:t xml:space="preserve"> </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 xml:space="preserve">Teniendo en cuenta las normas citadas previamente, la protección del derecho a la salud es una función reconocida legalmente a cargo del Estado, que debe materializarse a partir de actuaciones concretas en situaciones como la originada por la pandemia del COVID-19. En ese sentido, la modificación propuesta, se encuentra justificada en una </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i/>
          <w:color w:val="000000"/>
          <w:highlight w:val="white"/>
        </w:rPr>
      </w:pP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b/>
          <w:color w:val="000000"/>
          <w:highlight w:val="white"/>
          <w:u w:val="singl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Fundamento jurisprudencial</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i/>
          <w:color w:val="000000"/>
          <w:highlight w:val="white"/>
        </w:rPr>
      </w:pPr>
      <w:r>
        <w:rPr>
          <w:rFonts w:ascii="Century Gothic" w:eastAsia="Century Gothic" w:hAnsi="Century Gothic" w:cs="Century Gothic"/>
          <w:color w:val="000000"/>
          <w:highlight w:val="white"/>
        </w:rPr>
        <w:t xml:space="preserve">La Corte Constitucional en Sentencia T-016 de 2007, señaló lo siguiente: </w:t>
      </w:r>
      <w:r>
        <w:rPr>
          <w:rFonts w:ascii="Century Gothic" w:eastAsia="Century Gothic" w:hAnsi="Century Gothic" w:cs="Century Gothic"/>
          <w:i/>
          <w:color w:val="000000"/>
          <w:highlight w:val="white"/>
        </w:rPr>
        <w:t>“A propósito del derecho fundamental a la salud puede decirse que respecto de las prestaciones excluidas de las categorías legales y reglamentarias únicamente podrá acudirse al amparo por vía de acción de tutela en aquellos eventos en los cuales logre demostrarse que la falta de reconocimiento del derecho fundamental a la salud (i) significa a un mismo tiempo lesionar de manera seria y directa la dignidad humana de la persona afectada con la vulneración del derecho; (ii) se pregona de un sujeto de especial protección constitucional y/o (iii) implica poner a la persona afectada en una condición de indefensión por su falta de capacidad de pago para hacer valer ese derecho”.</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Por otro lado, en la Sentencia T-760 de 2008, determinó: “</w:t>
      </w:r>
      <w:r>
        <w:rPr>
          <w:rFonts w:ascii="Century Gothic" w:eastAsia="Century Gothic" w:hAnsi="Century Gothic" w:cs="Century Gothic"/>
          <w:i/>
          <w:color w:val="000000"/>
          <w:highlight w:val="white"/>
        </w:rPr>
        <w:t xml:space="preserve">El derecho a la salud es un derecho constitucional fundamental. La Corte lo ha protegido por tres vías. La primera ha sido estableciendo su relación de conexidad con el derecho a la vida, el derecho a la integridad personal y el derecho a la dignidad humana, lo cual le ha permitido a la Corte identificar aspectos del núcleo esencial del derecho a la salud y admitir su tutelabilidad; la segunda ha sido reconociendo su naturaleza fundamental en contextos donde el tutelante es un sujeto de especial protección, lo cual ha llevado a la Corte a asegurar que un cierto ámbito de servicios de salud </w:t>
      </w:r>
      <w:r>
        <w:rPr>
          <w:rFonts w:ascii="Century Gothic" w:eastAsia="Century Gothic" w:hAnsi="Century Gothic" w:cs="Century Gothic"/>
          <w:i/>
          <w:color w:val="000000"/>
          <w:highlight w:val="white"/>
        </w:rPr>
        <w:lastRenderedPageBreak/>
        <w:t>requeridos sea efectivamente garantizado; la tercera, es afirmando en general la fundamentalidad del derecho a la salud en lo que respecta a un ámbito básico, el cual coincide con los servicios contemplados por la Constitución, el bloque de constitucionalidad, la ley y los planes obligatorios de salud, con las extensiones necesarias para proteger una vida digna. A continuación, pasa la Corte a delimitar y caracterizar el derecho a la salud, en los términos en que ha sido consignado por la Constitución, el bloque de constitucionalidad, la Ley y la jurisprudencia</w:t>
      </w:r>
      <w:r>
        <w:rPr>
          <w:rFonts w:ascii="Century Gothic" w:eastAsia="Century Gothic" w:hAnsi="Century Gothic" w:cs="Century Gothic"/>
          <w:color w:val="000000"/>
          <w:highlight w:val="white"/>
        </w:rPr>
        <w:t>”.</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 xml:space="preserve">De acuerdo con lo anterior, el derecho a la salud ha sido reconocido como un derecho fundamental, ya sea a partir de la conexidad o de manera directa. El carácter fundamental del derecho, trae como consecuencia, su imperiosa protección por parte del legislador, con la adopción de medidas, que permitan su garantía efectiva en un contexto excepcional de pandemia. Dentro de esas medidas, se encuentran la modificación de las rectricciones actuales para la pre compra de vacunas, que pueden impedir la protección efectiva y oportuna del derecho, atendiendo las circunstancias actuales del desarrollo de las vacunas y las posibilidades de compra a futuro. </w:t>
      </w:r>
    </w:p>
    <w:p w:rsidR="007F2593" w:rsidRDefault="007F2593">
      <w:pPr>
        <w:jc w:val="both"/>
        <w:rPr>
          <w:rFonts w:ascii="Century Gothic" w:eastAsia="Century Gothic" w:hAnsi="Century Gothic" w:cs="Century Gothic"/>
          <w:b/>
          <w:color w:val="000000"/>
        </w:rPr>
      </w:pPr>
    </w:p>
    <w:p w:rsidR="007F2593" w:rsidRDefault="006C5116">
      <w:pPr>
        <w:numPr>
          <w:ilvl w:val="0"/>
          <w:numId w:val="1"/>
        </w:numPr>
        <w:pBdr>
          <w:top w:val="nil"/>
          <w:left w:val="nil"/>
          <w:bottom w:val="nil"/>
          <w:right w:val="nil"/>
          <w:between w:val="nil"/>
        </w:pBdr>
        <w:spacing w:after="0" w:line="259"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FUNDAMENTOS JURÍDICOS DE LA COMPETENCIA DEL CONGRESO PARA REGULAR LA MATERIA</w:t>
      </w:r>
    </w:p>
    <w:p w:rsidR="007F2593" w:rsidRDefault="007F2593">
      <w:pPr>
        <w:pBdr>
          <w:top w:val="nil"/>
          <w:left w:val="nil"/>
          <w:bottom w:val="nil"/>
          <w:right w:val="nil"/>
          <w:between w:val="nil"/>
        </w:pBdr>
        <w:spacing w:after="160" w:line="259" w:lineRule="auto"/>
        <w:jc w:val="both"/>
        <w:rPr>
          <w:rFonts w:ascii="Century Gothic" w:eastAsia="Century Gothic" w:hAnsi="Century Gothic" w:cs="Century Gothic"/>
          <w:color w:val="000000"/>
        </w:rPr>
      </w:pPr>
    </w:p>
    <w:p w:rsidR="007F2593" w:rsidRDefault="006C5116">
      <w:pPr>
        <w:jc w:val="both"/>
        <w:rPr>
          <w:rFonts w:ascii="Century Gothic" w:eastAsia="Century Gothic" w:hAnsi="Century Gothic" w:cs="Century Gothic"/>
          <w:b/>
          <w:color w:val="000000"/>
        </w:rPr>
      </w:pPr>
      <w:r>
        <w:rPr>
          <w:rFonts w:ascii="Century Gothic" w:eastAsia="Century Gothic" w:hAnsi="Century Gothic" w:cs="Century Gothic"/>
          <w:b/>
          <w:color w:val="000000"/>
        </w:rPr>
        <w:t>Constitucional</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“…ARTÍCULO 114. Corresponde al Congreso de la República reformar la Constitución, hacer las leyes y ejercer control político sobre el gobierno y la administración. El Congreso de la República, estará integrado por el Senado y la Cámara de Representantes…”</w:t>
      </w:r>
    </w:p>
    <w:p w:rsidR="007F2593" w:rsidRDefault="006C5116">
      <w:pPr>
        <w:jc w:val="both"/>
        <w:rPr>
          <w:rFonts w:ascii="Century Gothic" w:eastAsia="Century Gothic" w:hAnsi="Century Gothic" w:cs="Century Gothic"/>
          <w:b/>
          <w:color w:val="000000"/>
        </w:rPr>
      </w:pPr>
      <w:r>
        <w:rPr>
          <w:rFonts w:ascii="Century Gothic" w:eastAsia="Century Gothic" w:hAnsi="Century Gothic" w:cs="Century Gothic"/>
          <w:b/>
          <w:color w:val="000000"/>
        </w:rPr>
        <w:t>Legal</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LEY 3 de 1992 “Por la cual se expiden normas sobre las comisiones del Congreso de Colombia y se dictan otras disposiciones”.</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“…ARTÍCULO 2º Tanto en el Senado como en la Cámara de Representantes funcionarán Comisiones Constitucionales Permanentes, encargadas de dar primer debate a los proyectos de acto legislativo o de ley referente a los asuntos de su competencia.</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Las Comisiones Constitucionales Permanentes en cada una de las Cámaras serán siete (7) a saber:</w:t>
      </w:r>
    </w:p>
    <w:p w:rsidR="007F2593" w:rsidRDefault="006C5116">
      <w:pPr>
        <w:jc w:val="both"/>
      </w:pPr>
      <w:r>
        <w:rPr>
          <w:rFonts w:ascii="Century Gothic" w:eastAsia="Century Gothic" w:hAnsi="Century Gothic" w:cs="Century Gothic"/>
          <w:color w:val="000000"/>
        </w:rPr>
        <w:lastRenderedPageBreak/>
        <w:t xml:space="preserve">(…) Comisión Primera. Compuesta por diecinueve (19) miembros en el Senado y treinta y cinco (35) en la Cámara de Representantes, conocerá de: reforma constitucional; </w:t>
      </w:r>
      <w:r>
        <w:rPr>
          <w:rFonts w:ascii="Century Gothic" w:eastAsia="Century Gothic" w:hAnsi="Century Gothic" w:cs="Century Gothic"/>
          <w:color w:val="000000"/>
          <w:u w:val="single"/>
        </w:rPr>
        <w:t>leyes estatutarias;</w:t>
      </w:r>
      <w:r>
        <w:rPr>
          <w:rFonts w:ascii="Century Gothic" w:eastAsia="Century Gothic" w:hAnsi="Century Gothic" w:cs="Century Gothic"/>
          <w:color w:val="000000"/>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p>
    <w:p w:rsidR="007F2593" w:rsidRDefault="007F2593">
      <w:pPr>
        <w:pBdr>
          <w:top w:val="nil"/>
          <w:left w:val="nil"/>
          <w:bottom w:val="nil"/>
          <w:right w:val="nil"/>
          <w:between w:val="nil"/>
        </w:pBdr>
        <w:spacing w:after="0" w:line="259" w:lineRule="auto"/>
        <w:jc w:val="both"/>
        <w:rPr>
          <w:rFonts w:ascii="Century Gothic" w:eastAsia="Century Gothic" w:hAnsi="Century Gothic" w:cs="Century Gothic"/>
          <w:b/>
          <w:color w:val="000000"/>
        </w:rPr>
      </w:pPr>
    </w:p>
    <w:p w:rsidR="007F2593" w:rsidRDefault="006C5116">
      <w:pPr>
        <w:numPr>
          <w:ilvl w:val="0"/>
          <w:numId w:val="1"/>
        </w:numPr>
        <w:pBdr>
          <w:top w:val="nil"/>
          <w:left w:val="nil"/>
          <w:bottom w:val="nil"/>
          <w:right w:val="nil"/>
          <w:between w:val="nil"/>
        </w:pBdr>
        <w:spacing w:after="160" w:line="259"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RELACIÓN DE POSIBLES CONFLICTOS DE INTERÉS</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El artículo 3 de la Ley 2003 de 2019 “Por la cual se modifica parcialmente la Ley 5 de 1992 y se dictan otras disposiciones” estableció: “Artículo 3. El artículo 291 de la Ley 5 de 1992 quedará así: Artículo 291. 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Como ponentes consideramos que el contenido y propuesta es de carácter general, por lo que no configuraría un conflicto de interés. Sin embargo, si algún congresista considera que puede configurarse un conflicto de interés, deberá manifestarlo oportunamente. </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p>
    <w:p w:rsidR="007F2593" w:rsidRDefault="006C5116">
      <w:pPr>
        <w:numPr>
          <w:ilvl w:val="0"/>
          <w:numId w:val="1"/>
        </w:numPr>
        <w:pBdr>
          <w:top w:val="nil"/>
          <w:left w:val="nil"/>
          <w:bottom w:val="nil"/>
          <w:right w:val="nil"/>
          <w:between w:val="nil"/>
        </w:pBdr>
        <w:spacing w:after="0" w:line="259"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PLIEGO DE MODIFICACIONES</w:t>
      </w:r>
    </w:p>
    <w:p w:rsidR="007F2593" w:rsidRDefault="007F2593">
      <w:pPr>
        <w:pBdr>
          <w:top w:val="nil"/>
          <w:left w:val="nil"/>
          <w:bottom w:val="nil"/>
          <w:right w:val="nil"/>
          <w:between w:val="nil"/>
        </w:pBdr>
        <w:spacing w:after="0" w:line="259" w:lineRule="auto"/>
        <w:jc w:val="both"/>
        <w:rPr>
          <w:rFonts w:ascii="Century Gothic" w:eastAsia="Century Gothic" w:hAnsi="Century Gothic" w:cs="Century Gothic"/>
          <w:b/>
          <w:color w:val="000000"/>
        </w:rPr>
      </w:pPr>
    </w:p>
    <w:p w:rsidR="007F2593" w:rsidRDefault="006C5116">
      <w:pPr>
        <w:pBdr>
          <w:top w:val="nil"/>
          <w:left w:val="nil"/>
          <w:bottom w:val="nil"/>
          <w:right w:val="nil"/>
          <w:between w:val="nil"/>
        </w:pBdr>
        <w:spacing w:after="0" w:line="259" w:lineRule="auto"/>
        <w:jc w:val="both"/>
        <w:rPr>
          <w:rFonts w:ascii="Century Gothic" w:eastAsia="Century Gothic" w:hAnsi="Century Gothic" w:cs="Century Gothic"/>
          <w:color w:val="000000"/>
        </w:rPr>
      </w:pPr>
      <w:r>
        <w:rPr>
          <w:rFonts w:ascii="Century Gothic" w:eastAsia="Century Gothic" w:hAnsi="Century Gothic" w:cs="Century Gothic"/>
          <w:color w:val="000000"/>
        </w:rPr>
        <w:t>Se propone el siguiente pliego de modificaciones:</w:t>
      </w:r>
    </w:p>
    <w:p w:rsidR="007F2593" w:rsidRDefault="007F2593">
      <w:pPr>
        <w:pBdr>
          <w:top w:val="nil"/>
          <w:left w:val="nil"/>
          <w:bottom w:val="nil"/>
          <w:right w:val="nil"/>
          <w:between w:val="nil"/>
        </w:pBdr>
        <w:spacing w:after="0" w:line="259" w:lineRule="auto"/>
        <w:jc w:val="both"/>
        <w:rPr>
          <w:rFonts w:ascii="Century Gothic" w:eastAsia="Century Gothic" w:hAnsi="Century Gothic" w:cs="Century Gothic"/>
          <w:color w:val="000000"/>
        </w:rPr>
      </w:pPr>
    </w:p>
    <w:p w:rsidR="007F2593" w:rsidRDefault="007F2593">
      <w:pPr>
        <w:pBdr>
          <w:top w:val="nil"/>
          <w:left w:val="nil"/>
          <w:bottom w:val="nil"/>
          <w:right w:val="nil"/>
          <w:between w:val="nil"/>
        </w:pBdr>
        <w:spacing w:after="160" w:line="259" w:lineRule="auto"/>
        <w:jc w:val="both"/>
        <w:rPr>
          <w:rFonts w:ascii="Century Gothic" w:eastAsia="Century Gothic" w:hAnsi="Century Gothic" w:cs="Century Gothic"/>
          <w:color w:val="000000"/>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F2593">
        <w:tc>
          <w:tcPr>
            <w:tcW w:w="4414" w:type="dxa"/>
          </w:tcPr>
          <w:p w:rsidR="007F2593" w:rsidRDefault="006C5116">
            <w:pPr>
              <w:pBdr>
                <w:top w:val="nil"/>
                <w:left w:val="nil"/>
                <w:bottom w:val="nil"/>
                <w:right w:val="nil"/>
                <w:between w:val="nil"/>
              </w:pBdr>
              <w:spacing w:after="160" w:line="259"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TEXTO PRESENTADO POR EL AUTOR</w:t>
            </w:r>
          </w:p>
        </w:tc>
        <w:tc>
          <w:tcPr>
            <w:tcW w:w="4414" w:type="dxa"/>
          </w:tcPr>
          <w:p w:rsidR="007F2593" w:rsidRDefault="006C5116">
            <w:pPr>
              <w:pBdr>
                <w:top w:val="nil"/>
                <w:left w:val="nil"/>
                <w:bottom w:val="nil"/>
                <w:right w:val="nil"/>
                <w:between w:val="nil"/>
              </w:pBdr>
              <w:spacing w:after="160" w:line="259"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TEXTO PROPUESTO PARA PRIMER DEBATE</w:t>
            </w:r>
          </w:p>
        </w:tc>
      </w:tr>
      <w:tr w:rsidR="007F2593">
        <w:tc>
          <w:tcPr>
            <w:tcW w:w="4414" w:type="dxa"/>
          </w:tcPr>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w:t>
            </w:r>
            <w:r>
              <w:rPr>
                <w:rFonts w:ascii="Century Gothic" w:eastAsia="Century Gothic" w:hAnsi="Century Gothic" w:cs="Century Gothic"/>
                <w:b/>
                <w:i/>
                <w:color w:val="000000"/>
              </w:rPr>
              <w:t xml:space="preserve">Por medio </w:t>
            </w:r>
            <w:r>
              <w:rPr>
                <w:rFonts w:ascii="Century Gothic" w:eastAsia="Century Gothic" w:hAnsi="Century Gothic" w:cs="Century Gothic"/>
                <w:b/>
                <w:i/>
                <w:strike/>
                <w:color w:val="000000"/>
              </w:rPr>
              <w:t>del</w:t>
            </w:r>
            <w:r>
              <w:rPr>
                <w:rFonts w:ascii="Century Gothic" w:eastAsia="Century Gothic" w:hAnsi="Century Gothic" w:cs="Century Gothic"/>
                <w:b/>
                <w:i/>
                <w:color w:val="000000"/>
              </w:rPr>
              <w:t xml:space="preserve"> </w:t>
            </w:r>
            <w:r>
              <w:rPr>
                <w:rFonts w:ascii="Century Gothic" w:eastAsia="Century Gothic" w:hAnsi="Century Gothic" w:cs="Century Gothic"/>
                <w:b/>
                <w:i/>
                <w:color w:val="000000"/>
                <w:u w:val="single"/>
              </w:rPr>
              <w:t>de la</w:t>
            </w:r>
            <w:r>
              <w:rPr>
                <w:rFonts w:ascii="Century Gothic" w:eastAsia="Century Gothic" w:hAnsi="Century Gothic" w:cs="Century Gothic"/>
                <w:b/>
                <w:i/>
                <w:color w:val="000000"/>
              </w:rPr>
              <w:t xml:space="preserve"> cual se adiciona un parágrafo</w:t>
            </w:r>
            <w:r w:rsidRPr="003207BC">
              <w:rPr>
                <w:rFonts w:ascii="Century Gothic" w:eastAsia="Century Gothic" w:hAnsi="Century Gothic" w:cs="Century Gothic"/>
                <w:b/>
                <w:i/>
                <w:strike/>
                <w:color w:val="000000"/>
              </w:rPr>
              <w:t xml:space="preserve"> transitorio</w:t>
            </w:r>
            <w:r>
              <w:rPr>
                <w:rFonts w:ascii="Century Gothic" w:eastAsia="Century Gothic" w:hAnsi="Century Gothic" w:cs="Century Gothic"/>
                <w:b/>
                <w:i/>
                <w:color w:val="000000"/>
              </w:rPr>
              <w:t xml:space="preserve"> al Artículo 15 de la Ley Estatutaria 1751 de 2015</w:t>
            </w:r>
            <w:r>
              <w:rPr>
                <w:rFonts w:ascii="Century Gothic" w:eastAsia="Century Gothic" w:hAnsi="Century Gothic" w:cs="Century Gothic"/>
                <w:b/>
                <w:color w:val="000000"/>
              </w:rPr>
              <w:t>”.</w:t>
            </w:r>
          </w:p>
          <w:p w:rsidR="007F2593" w:rsidRDefault="007F2593">
            <w:pPr>
              <w:pBdr>
                <w:top w:val="nil"/>
                <w:left w:val="nil"/>
                <w:bottom w:val="nil"/>
                <w:right w:val="nil"/>
                <w:between w:val="nil"/>
              </w:pBdr>
              <w:spacing w:after="160" w:line="259" w:lineRule="auto"/>
              <w:jc w:val="both"/>
              <w:rPr>
                <w:rFonts w:ascii="Century Gothic" w:eastAsia="Century Gothic" w:hAnsi="Century Gothic" w:cs="Century Gothic"/>
                <w:b/>
                <w:color w:val="000000"/>
              </w:rPr>
            </w:pPr>
          </w:p>
        </w:tc>
        <w:tc>
          <w:tcPr>
            <w:tcW w:w="4414" w:type="dxa"/>
          </w:tcPr>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i/>
                <w:color w:val="000000"/>
              </w:rPr>
              <w:t>Por medio de la cual se adiciona un parágrafo al Artículo 15 de la Ley Estatutaria 1751 de 2015</w:t>
            </w:r>
            <w:r>
              <w:rPr>
                <w:rFonts w:ascii="Century Gothic" w:eastAsia="Century Gothic" w:hAnsi="Century Gothic" w:cs="Century Gothic"/>
                <w:b/>
                <w:color w:val="000000"/>
              </w:rPr>
              <w:t>”.</w:t>
            </w:r>
          </w:p>
          <w:p w:rsidR="007F2593" w:rsidRDefault="007F2593">
            <w:pPr>
              <w:pBdr>
                <w:top w:val="nil"/>
                <w:left w:val="nil"/>
                <w:bottom w:val="nil"/>
                <w:right w:val="nil"/>
                <w:between w:val="nil"/>
              </w:pBdr>
              <w:spacing w:after="160" w:line="259" w:lineRule="auto"/>
              <w:jc w:val="both"/>
              <w:rPr>
                <w:rFonts w:ascii="Century Gothic" w:eastAsia="Century Gothic" w:hAnsi="Century Gothic" w:cs="Century Gothic"/>
                <w:b/>
                <w:color w:val="000000"/>
              </w:rPr>
            </w:pPr>
          </w:p>
        </w:tc>
      </w:tr>
      <w:tr w:rsidR="007F2593">
        <w:tc>
          <w:tcPr>
            <w:tcW w:w="4414" w:type="dxa"/>
            <w:tcBorders>
              <w:bottom w:val="single" w:sz="4" w:space="0" w:color="000000"/>
            </w:tcBorders>
          </w:tcPr>
          <w:p w:rsidR="007F2593" w:rsidRDefault="006C5116">
            <w:pPr>
              <w:spacing w:line="240" w:lineRule="auto"/>
              <w:jc w:val="both"/>
              <w:rPr>
                <w:rFonts w:ascii="Century Gothic" w:eastAsia="Century Gothic" w:hAnsi="Century Gothic" w:cs="Century Gothic"/>
              </w:rPr>
            </w:pPr>
            <w:r>
              <w:rPr>
                <w:rFonts w:ascii="Century Gothic" w:eastAsia="Century Gothic" w:hAnsi="Century Gothic" w:cs="Century Gothic"/>
                <w:b/>
              </w:rPr>
              <w:lastRenderedPageBreak/>
              <w:t xml:space="preserve">Artículo 1. </w:t>
            </w:r>
            <w:r>
              <w:rPr>
                <w:rFonts w:ascii="Century Gothic" w:eastAsia="Century Gothic" w:hAnsi="Century Gothic" w:cs="Century Gothic"/>
              </w:rPr>
              <w:t xml:space="preserve">Adiciónese un parágrafo </w:t>
            </w:r>
            <w:r w:rsidRPr="001D317A">
              <w:rPr>
                <w:rFonts w:ascii="Century Gothic" w:eastAsia="Century Gothic" w:hAnsi="Century Gothic" w:cs="Century Gothic"/>
                <w:strike/>
              </w:rPr>
              <w:t>transitorio</w:t>
            </w:r>
            <w:r>
              <w:rPr>
                <w:rFonts w:ascii="Century Gothic" w:eastAsia="Century Gothic" w:hAnsi="Century Gothic" w:cs="Century Gothic"/>
              </w:rPr>
              <w:t xml:space="preserve"> al artículo 15 de la Ley Estatutaria 1751 de 2015, el cual quedará así:</w:t>
            </w: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w:t>
            </w:r>
            <w:r w:rsidRPr="0096677E">
              <w:rPr>
                <w:rFonts w:ascii="Century Gothic" w:eastAsia="Century Gothic" w:hAnsi="Century Gothic" w:cs="Century Gothic"/>
                <w:b/>
                <w:strike/>
                <w:color w:val="000000"/>
              </w:rPr>
              <w:t>TRANSITORIO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Las </w:t>
            </w:r>
            <w:r>
              <w:rPr>
                <w:rFonts w:ascii="Century Gothic" w:eastAsia="Century Gothic" w:hAnsi="Century Gothic" w:cs="Century Gothic"/>
                <w:strike/>
                <w:color w:val="000000"/>
              </w:rPr>
              <w:t>prohibiciones</w:t>
            </w:r>
            <w:r>
              <w:rPr>
                <w:rFonts w:ascii="Century Gothic" w:eastAsia="Century Gothic" w:hAnsi="Century Gothic" w:cs="Century Gothic"/>
                <w:color w:val="000000"/>
              </w:rPr>
              <w:t xml:space="preserve"> restricciones de los literales b), c), </w:t>
            </w:r>
            <w:r>
              <w:rPr>
                <w:rFonts w:ascii="Century Gothic" w:eastAsia="Century Gothic" w:hAnsi="Century Gothic" w:cs="Century Gothic"/>
                <w:strike/>
                <w:color w:val="000000"/>
              </w:rPr>
              <w:t>d)</w:t>
            </w:r>
            <w:r>
              <w:rPr>
                <w:rFonts w:ascii="Century Gothic" w:eastAsia="Century Gothic" w:hAnsi="Century Gothic" w:cs="Century Gothic"/>
                <w:color w:val="000000"/>
              </w:rPr>
              <w:t xml:space="preserve"> y e), no aplicarán para efectos de las inversiones que el Gobierno Nacional deba hacer para asegurar el acceso a </w:t>
            </w:r>
            <w:r>
              <w:rPr>
                <w:rFonts w:ascii="Century Gothic" w:eastAsia="Century Gothic" w:hAnsi="Century Gothic" w:cs="Century Gothic"/>
                <w:strike/>
                <w:color w:val="000000"/>
              </w:rPr>
              <w:t xml:space="preserve">la </w:t>
            </w:r>
            <w:r>
              <w:rPr>
                <w:rFonts w:ascii="Century Gothic" w:eastAsia="Century Gothic" w:hAnsi="Century Gothic" w:cs="Century Gothic"/>
                <w:color w:val="000000"/>
              </w:rPr>
              <w:t xml:space="preserve">vacunas </w:t>
            </w:r>
            <w:r>
              <w:rPr>
                <w:rFonts w:ascii="Century Gothic" w:eastAsia="Century Gothic" w:hAnsi="Century Gothic" w:cs="Century Gothic"/>
                <w:strike/>
                <w:color w:val="000000"/>
              </w:rPr>
              <w:t>contra</w:t>
            </w:r>
            <w:r>
              <w:rPr>
                <w:rFonts w:ascii="Century Gothic" w:eastAsia="Century Gothic" w:hAnsi="Century Gothic" w:cs="Century Gothic"/>
                <w:color w:val="000000"/>
              </w:rPr>
              <w:t xml:space="preserve"> </w:t>
            </w:r>
            <w:r>
              <w:rPr>
                <w:rFonts w:ascii="Century Gothic" w:eastAsia="Century Gothic" w:hAnsi="Century Gothic" w:cs="Century Gothic"/>
                <w:strike/>
                <w:color w:val="000000"/>
              </w:rPr>
              <w:t>el COVID-19</w:t>
            </w:r>
            <w:r>
              <w:rPr>
                <w:rFonts w:ascii="Century Gothic" w:eastAsia="Century Gothic" w:hAnsi="Century Gothic" w:cs="Century Gothic"/>
                <w:color w:val="000000"/>
              </w:rPr>
              <w:t xml:space="preserve"> para la atención de pandemias declaradas como tales por la Organización Mundial de la Salud. </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rPr>
            </w:pP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b/>
                <w:strike/>
                <w:color w:val="000000"/>
              </w:rPr>
            </w:pPr>
            <w:r>
              <w:rPr>
                <w:rFonts w:ascii="Century Gothic" w:eastAsia="Century Gothic" w:hAnsi="Century Gothic" w:cs="Century Gothic"/>
                <w:strike/>
                <w:color w:val="000000"/>
              </w:rPr>
              <w:t>Para el efecto, el Gobierno Nacional queda autorizado para destinar recursos del presupuesto nacional o del FOME, para pre-compra de vacunas cuyos ensayos clínicos se encuentren en fase III, y que de acuerdo al procedimiento técnico-científico y el criterio de expertos de alto nivel de que habla el presente artículo, genere las mayores expectativas de eficacia.</w:t>
            </w:r>
          </w:p>
          <w:p w:rsidR="007F2593" w:rsidRDefault="007F2593">
            <w:pPr>
              <w:pBdr>
                <w:top w:val="nil"/>
                <w:left w:val="nil"/>
                <w:bottom w:val="nil"/>
                <w:right w:val="nil"/>
                <w:between w:val="nil"/>
              </w:pBdr>
              <w:spacing w:after="0" w:line="240" w:lineRule="auto"/>
              <w:jc w:val="both"/>
              <w:rPr>
                <w:rFonts w:ascii="Century Gothic" w:eastAsia="Century Gothic" w:hAnsi="Century Gothic" w:cs="Century Gothic"/>
                <w:color w:val="000000"/>
              </w:rPr>
            </w:pPr>
          </w:p>
        </w:tc>
        <w:tc>
          <w:tcPr>
            <w:tcW w:w="4414" w:type="dxa"/>
            <w:tcBorders>
              <w:bottom w:val="single" w:sz="4" w:space="0" w:color="000000"/>
            </w:tcBorders>
          </w:tcPr>
          <w:p w:rsidR="007F2593" w:rsidRDefault="006C5116">
            <w:pPr>
              <w:spacing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 </w:t>
            </w:r>
            <w:r>
              <w:rPr>
                <w:rFonts w:ascii="Century Gothic" w:eastAsia="Century Gothic" w:hAnsi="Century Gothic" w:cs="Century Gothic"/>
                <w:color w:val="000000"/>
              </w:rPr>
              <w:t>Adiciónese un parágrafo al artículo 15 de la Ley Estatutaria 1751 de 2015, el cual quedará así:</w:t>
            </w:r>
          </w:p>
          <w:p w:rsidR="000051B8" w:rsidRDefault="000051B8">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rsidR="007F2593" w:rsidRDefault="006C5116">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PARÁGRAFO: </w:t>
            </w:r>
            <w:r>
              <w:rPr>
                <w:rFonts w:ascii="Century Gothic" w:eastAsia="Century Gothic" w:hAnsi="Century Gothic" w:cs="Century Gothic"/>
                <w:color w:val="000000"/>
              </w:rPr>
              <w:t>Las restricciones de los literales b), c) y e), no aplicarán para efectos de las inversiones que el Gobierno Nacional deba hacer para asegurar el acceso a  vacunas para la atención de</w:t>
            </w:r>
            <w:r w:rsidR="001F6F8C">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pandemias declaradas como tales por la Organización Mundial de la Salud. </w:t>
            </w:r>
          </w:p>
          <w:p w:rsidR="007F2593" w:rsidRDefault="007F2593">
            <w:pPr>
              <w:pBdr>
                <w:top w:val="nil"/>
                <w:left w:val="nil"/>
                <w:bottom w:val="nil"/>
                <w:right w:val="nil"/>
                <w:between w:val="nil"/>
              </w:pBdr>
              <w:spacing w:after="160" w:line="259" w:lineRule="auto"/>
              <w:jc w:val="both"/>
              <w:rPr>
                <w:rFonts w:ascii="Century Gothic" w:eastAsia="Century Gothic" w:hAnsi="Century Gothic" w:cs="Century Gothic"/>
                <w:color w:val="000000"/>
              </w:rPr>
            </w:pPr>
          </w:p>
          <w:p w:rsidR="007F2593" w:rsidRDefault="006C5116">
            <w:pPr>
              <w:jc w:val="both"/>
              <w:rPr>
                <w:rFonts w:ascii="Century Gothic" w:eastAsia="Century Gothic" w:hAnsi="Century Gothic" w:cs="Century Gothic"/>
                <w:color w:val="000000"/>
              </w:rPr>
            </w:pPr>
            <w:r>
              <w:rPr>
                <w:rFonts w:ascii="Century Gothic" w:eastAsia="Century Gothic" w:hAnsi="Century Gothic" w:cs="Century Gothic"/>
                <w:color w:val="000000"/>
                <w:u w:val="single"/>
              </w:rPr>
              <w:t>En todo caso, el Invima y el Instituto de Evaluación de Tecnologías en Salud -IETS deberán emitir un concepto técnico sobre la calidad, seguridad</w:t>
            </w:r>
            <w:r>
              <w:rPr>
                <w:rFonts w:ascii="Century Gothic" w:eastAsia="Century Gothic" w:hAnsi="Century Gothic" w:cs="Century Gothic"/>
                <w:color w:val="000000"/>
              </w:rPr>
              <w:t xml:space="preserve">, </w:t>
            </w:r>
            <w:r>
              <w:rPr>
                <w:rFonts w:ascii="Century Gothic" w:eastAsia="Century Gothic" w:hAnsi="Century Gothic" w:cs="Century Gothic"/>
                <w:color w:val="000000"/>
                <w:u w:val="single"/>
              </w:rPr>
              <w:t>eficacia y efectividad de los servicios y tecnologías que se adquieran al amparo de este parágrafo. Este concepto técnico no podrá basarse exclusivamente en las aprobaciones de agencias regulatorias de referencia. Adicionalmente, toda la información y evidencia en la que se basen para elaborar dicho concepto técnico, deberá hacerse pública, incluidos los protocolos y los resultados de la investigación clínica.</w:t>
            </w:r>
          </w:p>
          <w:p w:rsidR="007F2593" w:rsidRDefault="007F2593">
            <w:pPr>
              <w:pBdr>
                <w:top w:val="nil"/>
                <w:left w:val="nil"/>
                <w:bottom w:val="nil"/>
                <w:right w:val="nil"/>
                <w:between w:val="nil"/>
              </w:pBdr>
              <w:spacing w:after="0" w:line="259" w:lineRule="auto"/>
              <w:ind w:left="720"/>
              <w:jc w:val="both"/>
              <w:rPr>
                <w:rFonts w:ascii="Century Gothic" w:eastAsia="Century Gothic" w:hAnsi="Century Gothic" w:cs="Century Gothic"/>
                <w:color w:val="000000"/>
              </w:rPr>
            </w:pPr>
          </w:p>
          <w:p w:rsidR="007F2593" w:rsidRDefault="006C5116">
            <w:pPr>
              <w:pBdr>
                <w:top w:val="nil"/>
                <w:left w:val="nil"/>
                <w:bottom w:val="nil"/>
                <w:right w:val="nil"/>
                <w:between w:val="nil"/>
              </w:pBdr>
              <w:spacing w:after="160" w:line="259" w:lineRule="auto"/>
              <w:jc w:val="both"/>
              <w:rPr>
                <w:rFonts w:ascii="Century Gothic" w:eastAsia="Century Gothic" w:hAnsi="Century Gothic" w:cs="Century Gothic"/>
                <w:color w:val="000000"/>
                <w:u w:val="single"/>
              </w:rPr>
            </w:pPr>
            <w:r>
              <w:rPr>
                <w:rFonts w:ascii="Century Gothic" w:eastAsia="Century Gothic" w:hAnsi="Century Gothic" w:cs="Century Gothic"/>
                <w:color w:val="000000"/>
                <w:u w:val="single"/>
              </w:rPr>
              <w:t>E</w:t>
            </w:r>
            <w:r w:rsidR="00E33D69">
              <w:rPr>
                <w:rFonts w:ascii="Century Gothic" w:eastAsia="Century Gothic" w:hAnsi="Century Gothic" w:cs="Century Gothic"/>
                <w:color w:val="000000"/>
                <w:u w:val="single"/>
              </w:rPr>
              <w:t>l</w:t>
            </w:r>
            <w:r>
              <w:rPr>
                <w:rFonts w:ascii="Century Gothic" w:eastAsia="Century Gothic" w:hAnsi="Century Gothic" w:cs="Century Gothic"/>
                <w:color w:val="000000"/>
                <w:u w:val="single"/>
              </w:rPr>
              <w:t xml:space="preserve"> concepto técnico será requisito necesario para que el Gobierno Nacional o el Ministerio de Salud y Protección Social pueda destinar recursos públicos asignados a la salud o de cualquier fondo de emergencia </w:t>
            </w:r>
            <w:r>
              <w:rPr>
                <w:rFonts w:ascii="Century Gothic" w:eastAsia="Century Gothic" w:hAnsi="Century Gothic" w:cs="Century Gothic"/>
                <w:color w:val="000000"/>
                <w:u w:val="single"/>
              </w:rPr>
              <w:lastRenderedPageBreak/>
              <w:t>creado especialmente para hacer frente a la epidemia o pandemia.</w:t>
            </w:r>
          </w:p>
        </w:tc>
      </w:tr>
      <w:tr w:rsidR="007F2593">
        <w:tc>
          <w:tcPr>
            <w:tcW w:w="8828" w:type="dxa"/>
            <w:gridSpan w:val="2"/>
          </w:tcPr>
          <w:p w:rsidR="001F6F8C" w:rsidRPr="006C3FD8" w:rsidRDefault="006C5116">
            <w:pPr>
              <w:spacing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JUSTIFICACIÓN</w:t>
            </w:r>
            <w:r w:rsidR="006C3FD8">
              <w:rPr>
                <w:rFonts w:ascii="Century Gothic" w:eastAsia="Century Gothic" w:hAnsi="Century Gothic" w:cs="Century Gothic"/>
                <w:b/>
                <w:color w:val="000000"/>
              </w:rPr>
              <w:t xml:space="preserve">: </w:t>
            </w:r>
            <w:r w:rsidR="006C3FD8">
              <w:rPr>
                <w:rFonts w:ascii="Century Gothic" w:eastAsia="Century Gothic" w:hAnsi="Century Gothic" w:cs="Century Gothic"/>
                <w:color w:val="000000"/>
              </w:rPr>
              <w:t>s</w:t>
            </w:r>
            <w:r>
              <w:rPr>
                <w:rFonts w:ascii="Century Gothic" w:eastAsia="Century Gothic" w:hAnsi="Century Gothic" w:cs="Century Gothic"/>
                <w:color w:val="000000"/>
              </w:rPr>
              <w:t xml:space="preserve">e modifica el artículo para señalar que la excepción aplica para la compra de vacunas para la atención de pandemias </w:t>
            </w:r>
            <w:r w:rsidR="00D114A3">
              <w:rPr>
                <w:rFonts w:ascii="Century Gothic" w:eastAsia="Century Gothic" w:hAnsi="Century Gothic" w:cs="Century Gothic"/>
                <w:color w:val="000000"/>
              </w:rPr>
              <w:t xml:space="preserve">o epidemias </w:t>
            </w:r>
            <w:r>
              <w:rPr>
                <w:rFonts w:ascii="Century Gothic" w:eastAsia="Century Gothic" w:hAnsi="Century Gothic" w:cs="Century Gothic"/>
                <w:color w:val="000000"/>
              </w:rPr>
              <w:t xml:space="preserve">declaradas por la Organización Mundial de la Salud, previendo la posibilidad de futuras </w:t>
            </w:r>
            <w:r w:rsidR="007319C2">
              <w:rPr>
                <w:rFonts w:ascii="Century Gothic" w:eastAsia="Century Gothic" w:hAnsi="Century Gothic" w:cs="Century Gothic"/>
                <w:color w:val="000000"/>
              </w:rPr>
              <w:t xml:space="preserve">epidemias o </w:t>
            </w:r>
            <w:r>
              <w:rPr>
                <w:rFonts w:ascii="Century Gothic" w:eastAsia="Century Gothic" w:hAnsi="Century Gothic" w:cs="Century Gothic"/>
                <w:color w:val="000000"/>
              </w:rPr>
              <w:t xml:space="preserve">pandemias y no restringiendo la norma a la originada por el COVID-19. De igual manera, se suprime el aparte final del artículo, teniendo en cuenta que su contenido puede dificultar la inversión en pre compra de vacunas, bajo criterios que no garantizan la idoneidad final de la vacuna. </w:t>
            </w:r>
            <w:r w:rsidR="001F6F8C">
              <w:rPr>
                <w:rFonts w:ascii="Century Gothic" w:eastAsia="Century Gothic" w:hAnsi="Century Gothic" w:cs="Century Gothic"/>
                <w:color w:val="000000"/>
              </w:rPr>
              <w:t>En su lugar, se adiciona como requisito</w:t>
            </w:r>
            <w:r w:rsidR="000018EC">
              <w:rPr>
                <w:rFonts w:ascii="Century Gothic" w:eastAsia="Century Gothic" w:hAnsi="Century Gothic" w:cs="Century Gothic"/>
                <w:color w:val="000000"/>
              </w:rPr>
              <w:t>,</w:t>
            </w:r>
            <w:r w:rsidR="001F6F8C">
              <w:rPr>
                <w:rFonts w:ascii="Century Gothic" w:eastAsia="Century Gothic" w:hAnsi="Century Gothic" w:cs="Century Gothic"/>
                <w:color w:val="000000"/>
              </w:rPr>
              <w:t xml:space="preserve"> la exigencia de un concepto técnico que pretenden establecer criterios objetivos con base cientifica que mejoren las posibilidades de éxito </w:t>
            </w:r>
            <w:r w:rsidR="007319C2">
              <w:rPr>
                <w:rFonts w:ascii="Century Gothic" w:eastAsia="Century Gothic" w:hAnsi="Century Gothic" w:cs="Century Gothic"/>
                <w:color w:val="000000"/>
              </w:rPr>
              <w:t xml:space="preserve">en las </w:t>
            </w:r>
            <w:r w:rsidR="001F6F8C">
              <w:rPr>
                <w:rFonts w:ascii="Century Gothic" w:eastAsia="Century Gothic" w:hAnsi="Century Gothic" w:cs="Century Gothic"/>
                <w:color w:val="000000"/>
              </w:rPr>
              <w:t xml:space="preserve">inversiones </w:t>
            </w:r>
            <w:r w:rsidR="007319C2">
              <w:rPr>
                <w:rFonts w:ascii="Century Gothic" w:eastAsia="Century Gothic" w:hAnsi="Century Gothic" w:cs="Century Gothic"/>
                <w:color w:val="000000"/>
              </w:rPr>
              <w:t>que se realicen.</w:t>
            </w:r>
            <w:r w:rsidR="001F6F8C">
              <w:rPr>
                <w:rFonts w:ascii="Century Gothic" w:eastAsia="Century Gothic" w:hAnsi="Century Gothic" w:cs="Century Gothic"/>
                <w:color w:val="000000"/>
              </w:rPr>
              <w:t xml:space="preserve"> </w:t>
            </w:r>
          </w:p>
          <w:p w:rsidR="001F6F8C" w:rsidRDefault="001F6F8C">
            <w:pPr>
              <w:spacing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Finalmente, </w:t>
            </w:r>
            <w:r w:rsidR="007319C2">
              <w:rPr>
                <w:rFonts w:ascii="Century Gothic" w:eastAsia="Century Gothic" w:hAnsi="Century Gothic" w:cs="Century Gothic"/>
                <w:color w:val="000000"/>
              </w:rPr>
              <w:t>y como consecuencia de</w:t>
            </w:r>
            <w:r w:rsidR="007B4ADC">
              <w:rPr>
                <w:rFonts w:ascii="Century Gothic" w:eastAsia="Century Gothic" w:hAnsi="Century Gothic" w:cs="Century Gothic"/>
                <w:color w:val="000000"/>
              </w:rPr>
              <w:t xml:space="preserve"> la extensión de la aplicación a futuras epidemias y pandemias</w:t>
            </w:r>
            <w:r w:rsidR="007319C2">
              <w:rPr>
                <w:rFonts w:ascii="Century Gothic" w:eastAsia="Century Gothic" w:hAnsi="Century Gothic" w:cs="Century Gothic"/>
                <w:color w:val="000000"/>
              </w:rPr>
              <w:t xml:space="preserve">, se establece el carácter permanente de la norma. </w:t>
            </w:r>
          </w:p>
        </w:tc>
      </w:tr>
      <w:tr w:rsidR="007F2593">
        <w:tc>
          <w:tcPr>
            <w:tcW w:w="4414" w:type="dxa"/>
          </w:tcPr>
          <w:p w:rsidR="007F2593" w:rsidRDefault="006C5116" w:rsidP="006C3FD8">
            <w:pPr>
              <w:spacing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 Vigencia.</w:t>
            </w:r>
            <w:r>
              <w:rPr>
                <w:rFonts w:ascii="Century Gothic" w:eastAsia="Century Gothic" w:hAnsi="Century Gothic" w:cs="Century Gothic"/>
                <w:color w:val="000000"/>
              </w:rPr>
              <w:t xml:space="preserve"> La presente Ley Estatutaria rige a partir de su promulgación.</w:t>
            </w:r>
          </w:p>
        </w:tc>
        <w:tc>
          <w:tcPr>
            <w:tcW w:w="4414" w:type="dxa"/>
          </w:tcPr>
          <w:p w:rsidR="007F2593" w:rsidRDefault="006C5116">
            <w:pPr>
              <w:pBdr>
                <w:top w:val="nil"/>
                <w:left w:val="nil"/>
                <w:bottom w:val="nil"/>
                <w:right w:val="nil"/>
                <w:between w:val="nil"/>
              </w:pBdr>
              <w:spacing w:after="160" w:line="259" w:lineRule="auto"/>
              <w:jc w:val="both"/>
              <w:rPr>
                <w:rFonts w:ascii="Century Gothic" w:eastAsia="Century Gothic" w:hAnsi="Century Gothic" w:cs="Century Gothic"/>
                <w:color w:val="000000"/>
              </w:rPr>
            </w:pPr>
            <w:r>
              <w:rPr>
                <w:rFonts w:ascii="Century Gothic" w:eastAsia="Century Gothic" w:hAnsi="Century Gothic" w:cs="Century Gothic"/>
                <w:color w:val="000000"/>
              </w:rPr>
              <w:t>Sin modificaciones.</w:t>
            </w:r>
          </w:p>
        </w:tc>
      </w:tr>
    </w:tbl>
    <w:p w:rsidR="007F2593" w:rsidRDefault="007F2593">
      <w:pPr>
        <w:pBdr>
          <w:top w:val="nil"/>
          <w:left w:val="nil"/>
          <w:bottom w:val="nil"/>
          <w:right w:val="nil"/>
          <w:between w:val="nil"/>
        </w:pBdr>
        <w:spacing w:after="0" w:line="259" w:lineRule="auto"/>
        <w:jc w:val="both"/>
        <w:rPr>
          <w:rFonts w:ascii="Century Gothic" w:eastAsia="Century Gothic" w:hAnsi="Century Gothic" w:cs="Century Gothic"/>
          <w:b/>
          <w:color w:val="000000"/>
        </w:rPr>
      </w:pPr>
    </w:p>
    <w:p w:rsidR="007F2593" w:rsidRDefault="006C5116">
      <w:pPr>
        <w:numPr>
          <w:ilvl w:val="0"/>
          <w:numId w:val="1"/>
        </w:numPr>
        <w:pBdr>
          <w:top w:val="nil"/>
          <w:left w:val="nil"/>
          <w:bottom w:val="nil"/>
          <w:right w:val="nil"/>
          <w:between w:val="nil"/>
        </w:pBdr>
        <w:spacing w:after="160" w:line="259" w:lineRule="auto"/>
        <w:ind w:left="0" w:firstLine="0"/>
        <w:jc w:val="both"/>
        <w:rPr>
          <w:rFonts w:ascii="Century Gothic" w:eastAsia="Century Gothic" w:hAnsi="Century Gothic" w:cs="Century Gothic"/>
          <w:b/>
          <w:color w:val="000000"/>
        </w:rPr>
      </w:pPr>
      <w:r>
        <w:rPr>
          <w:rFonts w:ascii="Century Gothic" w:eastAsia="Century Gothic" w:hAnsi="Century Gothic" w:cs="Century Gothic"/>
          <w:b/>
          <w:color w:val="000000"/>
        </w:rPr>
        <w:t>PROPOSICIÓN</w:t>
      </w:r>
    </w:p>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color w:val="000000"/>
        </w:rPr>
        <w:t xml:space="preserve">Con base en las anteriores consideraciones, de manera respetuosa solicitamos a la Comisión Primera de la Cámara de Representantes, dar primer debate con la finalidad de aprobar el Proyecto de Ley Estatutaria No. 342 de 2020 CÁMARA </w:t>
      </w:r>
      <w:r>
        <w:rPr>
          <w:rFonts w:ascii="Century Gothic" w:eastAsia="Century Gothic" w:hAnsi="Century Gothic" w:cs="Century Gothic"/>
          <w:b/>
          <w:color w:val="000000"/>
        </w:rPr>
        <w:t>“</w:t>
      </w:r>
      <w:r>
        <w:rPr>
          <w:rFonts w:ascii="Century Gothic" w:eastAsia="Century Gothic" w:hAnsi="Century Gothic" w:cs="Century Gothic"/>
          <w:b/>
          <w:i/>
          <w:color w:val="000000"/>
        </w:rPr>
        <w:t>Por medio del cual se adiciona un parágrafo transitorio al Artículo 15 de la Ley Estatutaria 1751 de 2015</w:t>
      </w:r>
      <w:r>
        <w:rPr>
          <w:rFonts w:ascii="Century Gothic" w:eastAsia="Century Gothic" w:hAnsi="Century Gothic" w:cs="Century Gothic"/>
          <w:b/>
          <w:color w:val="000000"/>
        </w:rPr>
        <w:t>”.</w:t>
      </w:r>
    </w:p>
    <w:p w:rsidR="007F2593" w:rsidRDefault="007F2593">
      <w:pPr>
        <w:shd w:val="clear" w:color="auto" w:fill="FFFFFF"/>
        <w:spacing w:after="0" w:line="240" w:lineRule="auto"/>
        <w:jc w:val="both"/>
        <w:rPr>
          <w:rFonts w:ascii="Century Gothic" w:eastAsia="Century Gothic" w:hAnsi="Century Gothic" w:cs="Century Gothic"/>
          <w:i/>
          <w:color w:val="000000"/>
        </w:rPr>
      </w:pPr>
    </w:p>
    <w:p w:rsidR="006C3FD8" w:rsidRDefault="006C3FD8">
      <w:pPr>
        <w:shd w:val="clear" w:color="auto" w:fill="FFFFFF"/>
        <w:spacing w:after="0" w:line="240" w:lineRule="auto"/>
        <w:jc w:val="both"/>
        <w:rPr>
          <w:rFonts w:ascii="Times New Roman" w:eastAsia="Times New Roman" w:hAnsi="Times New Roman" w:cs="Times New Roman"/>
          <w:color w:val="000000"/>
          <w:sz w:val="24"/>
          <w:szCs w:val="24"/>
        </w:rPr>
      </w:pPr>
    </w:p>
    <w:p w:rsidR="007F2593" w:rsidRDefault="006C5116">
      <w:pPr>
        <w:shd w:val="clear" w:color="auto" w:fill="FFFFFF"/>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Cordialmente,</w:t>
      </w:r>
    </w:p>
    <w:p w:rsidR="007F2593" w:rsidRDefault="007F2593">
      <w:pPr>
        <w:shd w:val="clear" w:color="auto" w:fill="FFFFFF"/>
        <w:spacing w:after="0" w:line="240" w:lineRule="auto"/>
        <w:jc w:val="both"/>
        <w:rPr>
          <w:rFonts w:ascii="Century Gothic" w:eastAsia="Century Gothic" w:hAnsi="Century Gothic" w:cs="Century Gothic"/>
          <w:color w:val="000000"/>
        </w:rPr>
      </w:pPr>
    </w:p>
    <w:p w:rsidR="007F2593" w:rsidRDefault="007F2593">
      <w:pPr>
        <w:shd w:val="clear" w:color="auto" w:fill="FFFFFF"/>
        <w:spacing w:after="0" w:line="240" w:lineRule="auto"/>
        <w:jc w:val="both"/>
        <w:rPr>
          <w:rFonts w:ascii="Century Gothic" w:eastAsia="Century Gothic" w:hAnsi="Century Gothic" w:cs="Century Gothic"/>
          <w:color w:val="000000"/>
        </w:rPr>
      </w:pPr>
    </w:p>
    <w:tbl>
      <w:tblPr>
        <w:tblStyle w:val="a"/>
        <w:tblW w:w="8828"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414"/>
        <w:gridCol w:w="4414"/>
      </w:tblGrid>
      <w:tr w:rsidR="006C3FD8" w:rsidTr="002C5E29">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JOSÉ DANIEL LÓPEZ JIMENEZ                                 </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c>
          <w:tcPr>
            <w:tcW w:w="4414" w:type="dxa"/>
          </w:tcPr>
          <w:p w:rsidR="006C3FD8" w:rsidRDefault="006C3FD8" w:rsidP="002C5E29">
            <w:pPr>
              <w:spacing w:after="0"/>
              <w:rPr>
                <w:rFonts w:ascii="Century Gothic" w:eastAsia="Century Gothic" w:hAnsi="Century Gothic" w:cs="Century Gothic"/>
                <w:b/>
                <w:color w:val="000000"/>
              </w:rPr>
            </w:pPr>
          </w:p>
          <w:p w:rsidR="00B303BC" w:rsidRDefault="00B303BC"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ALFREDO RAFAEL DELUQUE ZULETA</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r>
      <w:tr w:rsidR="006C3FD8" w:rsidTr="002C5E29">
        <w:tc>
          <w:tcPr>
            <w:tcW w:w="4414" w:type="dxa"/>
          </w:tcPr>
          <w:p w:rsidR="006C3FD8" w:rsidRDefault="006C3FD8" w:rsidP="002C5E29">
            <w:pPr>
              <w:spacing w:after="0"/>
              <w:rPr>
                <w:rFonts w:ascii="Century Gothic" w:eastAsia="Century Gothic" w:hAnsi="Century Gothic" w:cs="Century Gothic"/>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OSCAR HERNÁN SÁNCHEZ LEÓN</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MANUEL DAZA IGUARÁN</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lastRenderedPageBreak/>
              <w:t>Ponente</w:t>
            </w:r>
          </w:p>
          <w:p w:rsidR="006C3FD8" w:rsidRDefault="006C3FD8" w:rsidP="002C5E29">
            <w:pPr>
              <w:spacing w:after="0"/>
              <w:rPr>
                <w:rFonts w:ascii="Century Gothic" w:eastAsia="Century Gothic" w:hAnsi="Century Gothic" w:cs="Century Gothic"/>
                <w:color w:val="000000"/>
              </w:rPr>
            </w:pPr>
          </w:p>
        </w:tc>
      </w:tr>
      <w:tr w:rsidR="006C3FD8" w:rsidTr="002C5E29">
        <w:trPr>
          <w:trHeight w:val="2564"/>
        </w:trPr>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CARLOS WILLS OSPINA</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JUANITA GOEBERTUS ESTRADA</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p w:rsidR="006C3FD8" w:rsidRDefault="006C3FD8" w:rsidP="002C5E29">
            <w:pPr>
              <w:spacing w:after="0"/>
              <w:rPr>
                <w:rFonts w:ascii="Century Gothic" w:eastAsia="Century Gothic" w:hAnsi="Century Gothic" w:cs="Century Gothic"/>
                <w:color w:val="000000"/>
              </w:rPr>
            </w:pPr>
          </w:p>
        </w:tc>
      </w:tr>
      <w:tr w:rsidR="006C3FD8" w:rsidTr="002C5E29">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b/>
                <w:color w:val="000000"/>
              </w:rPr>
              <w:t>CARLOS GERMÁN NAVAS TALERO</w:t>
            </w:r>
            <w:r>
              <w:rPr>
                <w:rFonts w:ascii="Century Gothic" w:eastAsia="Century Gothic" w:hAnsi="Century Gothic" w:cs="Century Gothic"/>
                <w:color w:val="000000"/>
              </w:rPr>
              <w:t xml:space="preserve">  </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b/>
                <w:color w:val="000000"/>
              </w:rPr>
            </w:pP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b/>
                <w:color w:val="000000"/>
              </w:rPr>
              <w:t>LUIS ALBERTO ALBÁN URBANO</w:t>
            </w:r>
          </w:p>
          <w:p w:rsidR="006C3FD8" w:rsidRDefault="006C3FD8"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 xml:space="preserve">Ponente                                                           </w:t>
            </w:r>
          </w:p>
          <w:p w:rsidR="006C3FD8" w:rsidRDefault="006C3FD8" w:rsidP="002C5E29">
            <w:pPr>
              <w:spacing w:after="0"/>
              <w:rPr>
                <w:rFonts w:ascii="Century Gothic" w:eastAsia="Century Gothic" w:hAnsi="Century Gothic" w:cs="Century Gothic"/>
                <w:color w:val="000000"/>
              </w:rPr>
            </w:pPr>
          </w:p>
        </w:tc>
      </w:tr>
      <w:tr w:rsidR="006C3FD8" w:rsidTr="002C5E29">
        <w:tc>
          <w:tcPr>
            <w:tcW w:w="4414" w:type="dxa"/>
          </w:tcPr>
          <w:p w:rsidR="006C3FD8" w:rsidRDefault="006C3FD8" w:rsidP="002C5E29">
            <w:pPr>
              <w:spacing w:after="0"/>
              <w:jc w:val="both"/>
              <w:rPr>
                <w:rFonts w:ascii="Century Gothic" w:eastAsia="Century Gothic" w:hAnsi="Century Gothic" w:cs="Century Gothic"/>
                <w:b/>
                <w:color w:val="000000"/>
              </w:rPr>
            </w:pPr>
          </w:p>
          <w:p w:rsidR="006C3FD8" w:rsidRDefault="006C3FD8" w:rsidP="002C5E29">
            <w:pPr>
              <w:spacing w:after="0"/>
              <w:jc w:val="both"/>
              <w:rPr>
                <w:rFonts w:ascii="Century Gothic" w:eastAsia="Century Gothic" w:hAnsi="Century Gothic" w:cs="Century Gothic"/>
                <w:b/>
                <w:color w:val="000000"/>
              </w:rPr>
            </w:pPr>
          </w:p>
          <w:p w:rsidR="006C3FD8" w:rsidRDefault="006C3FD8" w:rsidP="002C5E29">
            <w:pPr>
              <w:spacing w:after="0"/>
              <w:jc w:val="both"/>
              <w:rPr>
                <w:rFonts w:ascii="Century Gothic" w:eastAsia="Century Gothic" w:hAnsi="Century Gothic" w:cs="Century Gothic"/>
                <w:b/>
                <w:color w:val="000000"/>
              </w:rPr>
            </w:pPr>
          </w:p>
          <w:p w:rsidR="006C3FD8" w:rsidRDefault="006C3FD8" w:rsidP="002C5E29">
            <w:pP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ÁNGELA MARÍA ROBLEDO GÓMEZ</w:t>
            </w:r>
          </w:p>
          <w:p w:rsidR="006C3FD8" w:rsidRDefault="006C3FD8" w:rsidP="002C5E29">
            <w:pP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Ponente</w:t>
            </w:r>
          </w:p>
          <w:p w:rsidR="006C3FD8" w:rsidRDefault="006C3FD8" w:rsidP="002C5E29">
            <w:pPr>
              <w:spacing w:after="0"/>
              <w:rPr>
                <w:rFonts w:ascii="Century Gothic" w:eastAsia="Century Gothic" w:hAnsi="Century Gothic" w:cs="Century Gothic"/>
                <w:color w:val="000000"/>
              </w:rPr>
            </w:pPr>
          </w:p>
        </w:tc>
        <w:tc>
          <w:tcPr>
            <w:tcW w:w="4414" w:type="dxa"/>
          </w:tcPr>
          <w:p w:rsidR="006C3FD8" w:rsidRDefault="006C3FD8" w:rsidP="002C5E29">
            <w:pPr>
              <w:spacing w:after="0"/>
              <w:rPr>
                <w:rFonts w:ascii="Century Gothic" w:eastAsia="Century Gothic" w:hAnsi="Century Gothic" w:cs="Century Gothic"/>
                <w:color w:val="000000"/>
              </w:rPr>
            </w:pPr>
          </w:p>
        </w:tc>
      </w:tr>
    </w:tbl>
    <w:p w:rsidR="007F2593" w:rsidRDefault="007F2593">
      <w:pPr>
        <w:shd w:val="clear" w:color="auto" w:fill="FFFFFF"/>
        <w:spacing w:after="0" w:line="240" w:lineRule="auto"/>
        <w:jc w:val="both"/>
        <w:rPr>
          <w:rFonts w:ascii="Times New Roman" w:eastAsia="Times New Roman" w:hAnsi="Times New Roman" w:cs="Times New Roman"/>
          <w:color w:val="000000"/>
          <w:sz w:val="24"/>
          <w:szCs w:val="24"/>
        </w:rPr>
      </w:pPr>
    </w:p>
    <w:p w:rsidR="007F2593" w:rsidRDefault="007F2593">
      <w:pPr>
        <w:spacing w:after="0" w:line="240" w:lineRule="auto"/>
        <w:jc w:val="both"/>
        <w:rPr>
          <w:rFonts w:ascii="Century Gothic" w:eastAsia="Century Gothic" w:hAnsi="Century Gothic" w:cs="Century Gothic"/>
          <w:b/>
          <w:color w:val="000000"/>
        </w:rPr>
      </w:pPr>
    </w:p>
    <w:p w:rsidR="007F2593" w:rsidRDefault="006C5116">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Teniendo en cuenta lo anterior, se propone el siguiente texto:</w:t>
      </w:r>
    </w:p>
    <w:p w:rsidR="007F2593" w:rsidRDefault="007F2593">
      <w:pPr>
        <w:spacing w:after="0" w:line="240" w:lineRule="auto"/>
        <w:jc w:val="both"/>
        <w:rPr>
          <w:rFonts w:ascii="Century Gothic" w:eastAsia="Century Gothic" w:hAnsi="Century Gothic" w:cs="Century Gothic"/>
          <w:b/>
          <w:color w:val="000000"/>
        </w:rPr>
      </w:pPr>
    </w:p>
    <w:p w:rsidR="007F2593" w:rsidRDefault="006C5116">
      <w:pP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TEXTO PROPUESTO PARA PRIMER DEBATE EN CÁMARA </w:t>
      </w:r>
      <w:r>
        <w:rPr>
          <w:rFonts w:ascii="Century Gothic" w:eastAsia="Century Gothic" w:hAnsi="Century Gothic" w:cs="Century Gothic"/>
          <w:color w:val="000000"/>
        </w:rPr>
        <w:t>al</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Proyecto de Ley Estatutaria 342 de 2020 CÁMARA </w:t>
      </w:r>
      <w:r>
        <w:rPr>
          <w:rFonts w:ascii="Century Gothic" w:eastAsia="Century Gothic" w:hAnsi="Century Gothic" w:cs="Century Gothic"/>
          <w:b/>
          <w:color w:val="000000"/>
        </w:rPr>
        <w:t>“</w:t>
      </w:r>
      <w:r>
        <w:rPr>
          <w:rFonts w:ascii="Century Gothic" w:eastAsia="Century Gothic" w:hAnsi="Century Gothic" w:cs="Century Gothic"/>
          <w:b/>
          <w:i/>
          <w:color w:val="000000"/>
        </w:rPr>
        <w:t>Por medio de la cual se adiciona un parágrafo al Artículo 15 de la Ley Estatutaria 1751 de 2015</w:t>
      </w:r>
      <w:r>
        <w:rPr>
          <w:rFonts w:ascii="Century Gothic" w:eastAsia="Century Gothic" w:hAnsi="Century Gothic" w:cs="Century Gothic"/>
          <w:b/>
          <w:color w:val="000000"/>
        </w:rPr>
        <w:t>”.</w:t>
      </w:r>
    </w:p>
    <w:p w:rsidR="007F2593" w:rsidRDefault="007F2593">
      <w:pPr>
        <w:jc w:val="both"/>
        <w:rPr>
          <w:b/>
          <w:color w:val="000000"/>
          <w:sz w:val="24"/>
          <w:szCs w:val="24"/>
        </w:rPr>
      </w:pPr>
    </w:p>
    <w:p w:rsidR="007F2593" w:rsidRDefault="006C5116">
      <w:pPr>
        <w:jc w:val="center"/>
        <w:rPr>
          <w:rFonts w:ascii="Century Gothic" w:eastAsia="Century Gothic" w:hAnsi="Century Gothic" w:cs="Century Gothic"/>
          <w:b/>
          <w:color w:val="000000"/>
        </w:rPr>
      </w:pPr>
      <w:r>
        <w:rPr>
          <w:rFonts w:ascii="Century Gothic" w:eastAsia="Century Gothic" w:hAnsi="Century Gothic" w:cs="Century Gothic"/>
          <w:b/>
          <w:color w:val="000000"/>
        </w:rPr>
        <w:t>EL CONGRESO DE COLOMBIA,</w:t>
      </w:r>
    </w:p>
    <w:p w:rsidR="007F2593" w:rsidRDefault="006C5116">
      <w:pPr>
        <w:jc w:val="center"/>
        <w:rPr>
          <w:rFonts w:ascii="Century Gothic" w:eastAsia="Century Gothic" w:hAnsi="Century Gothic" w:cs="Century Gothic"/>
          <w:b/>
          <w:color w:val="000000"/>
        </w:rPr>
      </w:pPr>
      <w:r>
        <w:rPr>
          <w:rFonts w:ascii="Century Gothic" w:eastAsia="Century Gothic" w:hAnsi="Century Gothic" w:cs="Century Gothic"/>
          <w:b/>
          <w:color w:val="000000"/>
        </w:rPr>
        <w:t>DECRETA:</w:t>
      </w:r>
    </w:p>
    <w:p w:rsidR="00763B53" w:rsidRDefault="00763B53" w:rsidP="00763B53">
      <w:pPr>
        <w:spacing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 </w:t>
      </w:r>
      <w:r>
        <w:rPr>
          <w:rFonts w:ascii="Century Gothic" w:eastAsia="Century Gothic" w:hAnsi="Century Gothic" w:cs="Century Gothic"/>
          <w:color w:val="000000"/>
        </w:rPr>
        <w:t>Adiciónese un parágrafo al artículo 15 de la Ley Estatutaria 1751 de 2015, el cual quedará así:</w:t>
      </w:r>
    </w:p>
    <w:p w:rsidR="00763B53" w:rsidRDefault="00763B53" w:rsidP="00763B53">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rsidR="00763B53" w:rsidRDefault="00763B53" w:rsidP="00763B53">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PARÁGRAFO: </w:t>
      </w:r>
      <w:r>
        <w:rPr>
          <w:rFonts w:ascii="Century Gothic" w:eastAsia="Century Gothic" w:hAnsi="Century Gothic" w:cs="Century Gothic"/>
          <w:color w:val="000000"/>
        </w:rPr>
        <w:t xml:space="preserve">Las restricciones de los literales b), c) y e), no aplicarán para efectos de las inversiones que el Gobierno Nacional deba hacer para asegurar el acceso a  vacunas para la atención de pandemias declaradas como tales por la Organización Mundial de la Salud. </w:t>
      </w:r>
    </w:p>
    <w:p w:rsidR="00763B53" w:rsidRDefault="00763B53" w:rsidP="00763B53">
      <w:pPr>
        <w:pBdr>
          <w:top w:val="nil"/>
          <w:left w:val="nil"/>
          <w:bottom w:val="nil"/>
          <w:right w:val="nil"/>
          <w:between w:val="nil"/>
        </w:pBdr>
        <w:spacing w:after="160" w:line="259" w:lineRule="auto"/>
        <w:jc w:val="both"/>
        <w:rPr>
          <w:rFonts w:ascii="Century Gothic" w:eastAsia="Century Gothic" w:hAnsi="Century Gothic" w:cs="Century Gothic"/>
          <w:color w:val="000000"/>
        </w:rPr>
      </w:pPr>
    </w:p>
    <w:p w:rsidR="00763B53" w:rsidRDefault="00763B53" w:rsidP="00763B53">
      <w:pPr>
        <w:jc w:val="both"/>
        <w:rPr>
          <w:rFonts w:ascii="Century Gothic" w:eastAsia="Century Gothic" w:hAnsi="Century Gothic" w:cs="Century Gothic"/>
          <w:color w:val="000000"/>
        </w:rPr>
      </w:pPr>
      <w:r w:rsidRPr="00763B53">
        <w:rPr>
          <w:rFonts w:ascii="Century Gothic" w:eastAsia="Century Gothic" w:hAnsi="Century Gothic" w:cs="Century Gothic"/>
          <w:color w:val="000000"/>
        </w:rPr>
        <w:t>En todo caso, el Invima y el Instituto de Evaluación de Tecnologías en Salud -IETS deberán emitir un concepto técnico sobre la calidad, seguridad, eficacia y efectividad de los servicios y tecnologías que se adquieran al amparo de este parágrafo. Este concepto técnico no podrá basarse exclusivamente en las aprobaciones de agencias regulatorias de referencia. Adicionalmente, toda la información y evidencia en la que se basen para elaborar dicho concepto técnico, deberá hacerse pública, incluidos los protocolos y los resultados de la investigación clínica.</w:t>
      </w:r>
    </w:p>
    <w:p w:rsidR="007F2593" w:rsidRPr="00763B53" w:rsidRDefault="00763B53" w:rsidP="00763B53">
      <w:pPr>
        <w:jc w:val="both"/>
        <w:rPr>
          <w:rFonts w:ascii="Century Gothic" w:eastAsia="Century Gothic" w:hAnsi="Century Gothic" w:cs="Century Gothic"/>
          <w:color w:val="000000"/>
        </w:rPr>
      </w:pPr>
      <w:r w:rsidRPr="00763B53">
        <w:rPr>
          <w:rFonts w:ascii="Century Gothic" w:eastAsia="Century Gothic" w:hAnsi="Century Gothic" w:cs="Century Gothic"/>
          <w:color w:val="000000"/>
        </w:rPr>
        <w:t>E</w:t>
      </w:r>
      <w:r w:rsidR="00E33D69">
        <w:rPr>
          <w:rFonts w:ascii="Century Gothic" w:eastAsia="Century Gothic" w:hAnsi="Century Gothic" w:cs="Century Gothic"/>
          <w:color w:val="000000"/>
        </w:rPr>
        <w:t>l</w:t>
      </w:r>
      <w:r w:rsidRPr="00763B53">
        <w:rPr>
          <w:rFonts w:ascii="Century Gothic" w:eastAsia="Century Gothic" w:hAnsi="Century Gothic" w:cs="Century Gothic"/>
          <w:color w:val="000000"/>
        </w:rPr>
        <w:t xml:space="preserve"> concepto técnico será requisito necesario para que el Gobierno Nacional o el Ministerio de Salud y Protección Social pueda destinar recursos públicos asignados a la salud o de cualquier fondo de emergencia creado especialmente para hacer frente a la epidemia o pandemia.</w:t>
      </w:r>
    </w:p>
    <w:p w:rsidR="007F2593" w:rsidRDefault="006C5116">
      <w:pPr>
        <w:spacing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 Vigencia.</w:t>
      </w:r>
      <w:r>
        <w:rPr>
          <w:rFonts w:ascii="Century Gothic" w:eastAsia="Century Gothic" w:hAnsi="Century Gothic" w:cs="Century Gothic"/>
          <w:color w:val="000000"/>
        </w:rPr>
        <w:t xml:space="preserve"> La presente Ley Estatutaria rige a partir de su promulgación.</w:t>
      </w:r>
    </w:p>
    <w:p w:rsidR="007F2593" w:rsidRDefault="007F2593">
      <w:pPr>
        <w:rPr>
          <w:rFonts w:ascii="Century Gothic" w:eastAsia="Century Gothic" w:hAnsi="Century Gothic" w:cs="Century Gothic"/>
          <w:color w:val="000000"/>
        </w:rPr>
      </w:pPr>
      <w:bookmarkStart w:id="0" w:name="_gjdgxs" w:colFirst="0" w:colLast="0"/>
      <w:bookmarkEnd w:id="0"/>
    </w:p>
    <w:p w:rsidR="007F2593" w:rsidRDefault="006C5116">
      <w:pPr>
        <w:shd w:val="clear" w:color="auto" w:fill="FFFFFF"/>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Cordialmente,</w:t>
      </w:r>
    </w:p>
    <w:p w:rsidR="007F2593" w:rsidRDefault="007F2593">
      <w:pPr>
        <w:shd w:val="clear" w:color="auto" w:fill="FFFFFF"/>
        <w:spacing w:after="0" w:line="240" w:lineRule="auto"/>
        <w:jc w:val="both"/>
        <w:rPr>
          <w:rFonts w:ascii="Century Gothic" w:eastAsia="Century Gothic" w:hAnsi="Century Gothic" w:cs="Century Gothic"/>
          <w:color w:val="000000"/>
        </w:rPr>
      </w:pPr>
    </w:p>
    <w:p w:rsidR="007F2593" w:rsidRDefault="007F2593">
      <w:pPr>
        <w:shd w:val="clear" w:color="auto" w:fill="FFFFFF"/>
        <w:spacing w:after="0" w:line="240" w:lineRule="auto"/>
        <w:jc w:val="both"/>
        <w:rPr>
          <w:rFonts w:ascii="Century Gothic" w:eastAsia="Century Gothic" w:hAnsi="Century Gothic" w:cs="Century Gothic"/>
          <w:color w:val="000000"/>
        </w:rPr>
      </w:pPr>
    </w:p>
    <w:p w:rsidR="007F2593" w:rsidRDefault="007F2593">
      <w:pPr>
        <w:shd w:val="clear" w:color="auto" w:fill="FFFFFF"/>
        <w:spacing w:after="0" w:line="240" w:lineRule="auto"/>
        <w:jc w:val="both"/>
        <w:rPr>
          <w:rFonts w:ascii="Times New Roman" w:eastAsia="Times New Roman" w:hAnsi="Times New Roman" w:cs="Times New Roman"/>
          <w:color w:val="000000"/>
          <w:sz w:val="24"/>
          <w:szCs w:val="24"/>
        </w:rPr>
      </w:pPr>
    </w:p>
    <w:tbl>
      <w:tblPr>
        <w:tblStyle w:val="a"/>
        <w:tblW w:w="8828"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414"/>
        <w:gridCol w:w="4414"/>
      </w:tblGrid>
      <w:tr w:rsidR="00763B53" w:rsidTr="002C5E29">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JOSÉ DANIEL LÓPEZ JIMENEZ                                 </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ALFREDO RAFAEL DELUQUE ZULETA</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Coordinador Ponente</w:t>
            </w:r>
          </w:p>
        </w:tc>
      </w:tr>
      <w:tr w:rsidR="00763B53" w:rsidTr="002C5E29">
        <w:tc>
          <w:tcPr>
            <w:tcW w:w="4414" w:type="dxa"/>
          </w:tcPr>
          <w:p w:rsidR="00763B53" w:rsidRDefault="00763B53" w:rsidP="002C5E29">
            <w:pPr>
              <w:spacing w:after="0"/>
              <w:rPr>
                <w:rFonts w:ascii="Century Gothic" w:eastAsia="Century Gothic" w:hAnsi="Century Gothic" w:cs="Century Gothic"/>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OSCAR HERNÁN SÁNCHEZ LEÓN</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lastRenderedPageBreak/>
              <w:t>Ponente</w:t>
            </w:r>
          </w:p>
        </w:tc>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MANUEL DAZA IGUARÁN</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p w:rsidR="00763B53" w:rsidRDefault="00763B53" w:rsidP="002C5E29">
            <w:pPr>
              <w:spacing w:after="0"/>
              <w:rPr>
                <w:rFonts w:ascii="Century Gothic" w:eastAsia="Century Gothic" w:hAnsi="Century Gothic" w:cs="Century Gothic"/>
                <w:color w:val="000000"/>
              </w:rPr>
            </w:pPr>
          </w:p>
        </w:tc>
      </w:tr>
      <w:tr w:rsidR="00763B53" w:rsidTr="002C5E29">
        <w:trPr>
          <w:trHeight w:val="2564"/>
        </w:trPr>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 CARLOS WILLS OSPINA</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r>
              <w:rPr>
                <w:rFonts w:ascii="Century Gothic" w:eastAsia="Century Gothic" w:hAnsi="Century Gothic" w:cs="Century Gothic"/>
                <w:b/>
                <w:color w:val="000000"/>
              </w:rPr>
              <w:t>JUANITA GOEBERTUS ESTRADA</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p w:rsidR="00763B53" w:rsidRDefault="00763B53" w:rsidP="002C5E29">
            <w:pPr>
              <w:spacing w:after="0"/>
              <w:rPr>
                <w:rFonts w:ascii="Century Gothic" w:eastAsia="Century Gothic" w:hAnsi="Century Gothic" w:cs="Century Gothic"/>
                <w:color w:val="000000"/>
              </w:rPr>
            </w:pPr>
          </w:p>
        </w:tc>
      </w:tr>
      <w:tr w:rsidR="00763B53" w:rsidTr="002C5E29">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b/>
                <w:color w:val="000000"/>
              </w:rPr>
              <w:t>CARLOS GERMÁN NAVAS TALERO</w:t>
            </w:r>
            <w:r>
              <w:rPr>
                <w:rFonts w:ascii="Century Gothic" w:eastAsia="Century Gothic" w:hAnsi="Century Gothic" w:cs="Century Gothic"/>
                <w:color w:val="000000"/>
              </w:rPr>
              <w:t xml:space="preserve">  </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Ponente</w:t>
            </w:r>
          </w:p>
        </w:tc>
        <w:tc>
          <w:tcPr>
            <w:tcW w:w="4414" w:type="dxa"/>
          </w:tcPr>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b/>
                <w:color w:val="000000"/>
              </w:rPr>
            </w:pP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b/>
                <w:color w:val="000000"/>
              </w:rPr>
              <w:t>LUIS ALBERTO ALBÁN URBANO</w:t>
            </w:r>
          </w:p>
          <w:p w:rsidR="00763B53" w:rsidRDefault="00763B53" w:rsidP="002C5E29">
            <w:pPr>
              <w:spacing w:after="0"/>
              <w:rPr>
                <w:rFonts w:ascii="Century Gothic" w:eastAsia="Century Gothic" w:hAnsi="Century Gothic" w:cs="Century Gothic"/>
                <w:color w:val="000000"/>
              </w:rPr>
            </w:pPr>
            <w:r>
              <w:rPr>
                <w:rFonts w:ascii="Century Gothic" w:eastAsia="Century Gothic" w:hAnsi="Century Gothic" w:cs="Century Gothic"/>
                <w:color w:val="000000"/>
              </w:rPr>
              <w:t xml:space="preserve">Ponente                                                           </w:t>
            </w:r>
          </w:p>
          <w:p w:rsidR="00763B53" w:rsidRDefault="00763B53" w:rsidP="002C5E29">
            <w:pPr>
              <w:spacing w:after="0"/>
              <w:rPr>
                <w:rFonts w:ascii="Century Gothic" w:eastAsia="Century Gothic" w:hAnsi="Century Gothic" w:cs="Century Gothic"/>
                <w:color w:val="000000"/>
              </w:rPr>
            </w:pPr>
          </w:p>
        </w:tc>
      </w:tr>
      <w:tr w:rsidR="00763B53" w:rsidTr="002C5E29">
        <w:tc>
          <w:tcPr>
            <w:tcW w:w="4414" w:type="dxa"/>
          </w:tcPr>
          <w:p w:rsidR="00763B53" w:rsidRDefault="00763B53" w:rsidP="002C5E29">
            <w:pPr>
              <w:spacing w:after="0"/>
              <w:jc w:val="both"/>
              <w:rPr>
                <w:rFonts w:ascii="Century Gothic" w:eastAsia="Century Gothic" w:hAnsi="Century Gothic" w:cs="Century Gothic"/>
                <w:b/>
                <w:color w:val="000000"/>
              </w:rPr>
            </w:pPr>
          </w:p>
          <w:p w:rsidR="00763B53" w:rsidRDefault="00763B53" w:rsidP="002C5E29">
            <w:pPr>
              <w:spacing w:after="0"/>
              <w:jc w:val="both"/>
              <w:rPr>
                <w:rFonts w:ascii="Century Gothic" w:eastAsia="Century Gothic" w:hAnsi="Century Gothic" w:cs="Century Gothic"/>
                <w:b/>
                <w:color w:val="000000"/>
              </w:rPr>
            </w:pPr>
            <w:bookmarkStart w:id="1" w:name="_GoBack"/>
            <w:bookmarkEnd w:id="1"/>
          </w:p>
          <w:p w:rsidR="00763B53" w:rsidRDefault="00763B53" w:rsidP="002C5E29">
            <w:pPr>
              <w:spacing w:after="0"/>
              <w:jc w:val="both"/>
              <w:rPr>
                <w:rFonts w:ascii="Century Gothic" w:eastAsia="Century Gothic" w:hAnsi="Century Gothic" w:cs="Century Gothic"/>
                <w:b/>
                <w:color w:val="000000"/>
              </w:rPr>
            </w:pPr>
          </w:p>
          <w:p w:rsidR="00763B53" w:rsidRDefault="00763B53" w:rsidP="002C5E29">
            <w:pP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ÁNGELA MARÍA ROBLEDO GÓMEZ</w:t>
            </w:r>
          </w:p>
          <w:p w:rsidR="00763B53" w:rsidRDefault="00763B53" w:rsidP="002C5E29">
            <w:pP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Ponente</w:t>
            </w:r>
          </w:p>
          <w:p w:rsidR="00763B53" w:rsidRDefault="00763B53" w:rsidP="002C5E29">
            <w:pPr>
              <w:spacing w:after="0"/>
              <w:rPr>
                <w:rFonts w:ascii="Century Gothic" w:eastAsia="Century Gothic" w:hAnsi="Century Gothic" w:cs="Century Gothic"/>
                <w:color w:val="000000"/>
              </w:rPr>
            </w:pPr>
          </w:p>
        </w:tc>
        <w:tc>
          <w:tcPr>
            <w:tcW w:w="4414" w:type="dxa"/>
          </w:tcPr>
          <w:p w:rsidR="00763B53" w:rsidRDefault="00763B53" w:rsidP="002C5E29">
            <w:pPr>
              <w:spacing w:after="0"/>
              <w:rPr>
                <w:rFonts w:ascii="Century Gothic" w:eastAsia="Century Gothic" w:hAnsi="Century Gothic" w:cs="Century Gothic"/>
                <w:color w:val="000000"/>
              </w:rPr>
            </w:pPr>
          </w:p>
        </w:tc>
      </w:tr>
    </w:tbl>
    <w:p w:rsidR="007F2593" w:rsidRDefault="007F2593">
      <w:pPr>
        <w:spacing w:after="0"/>
        <w:rPr>
          <w:rFonts w:ascii="Century Gothic" w:eastAsia="Century Gothic" w:hAnsi="Century Gothic" w:cs="Century Gothic"/>
          <w:b/>
          <w:color w:val="000000"/>
          <w:sz w:val="24"/>
          <w:szCs w:val="24"/>
        </w:rPr>
      </w:pPr>
    </w:p>
    <w:p w:rsidR="007F2593" w:rsidRDefault="007F2593">
      <w:pPr>
        <w:rPr>
          <w:rFonts w:ascii="Century Gothic" w:eastAsia="Century Gothic" w:hAnsi="Century Gothic" w:cs="Century Gothic"/>
          <w:color w:val="000000"/>
        </w:rPr>
      </w:pPr>
    </w:p>
    <w:sectPr w:rsidR="007F2593">
      <w:headerReference w:type="default" r:id="rId7"/>
      <w:footerReference w:type="default" r:id="rId8"/>
      <w:pgSz w:w="12240" w:h="15840"/>
      <w:pgMar w:top="226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91" w:rsidRDefault="007E5A91">
      <w:pPr>
        <w:spacing w:after="0" w:line="240" w:lineRule="auto"/>
      </w:pPr>
      <w:r>
        <w:separator/>
      </w:r>
    </w:p>
  </w:endnote>
  <w:endnote w:type="continuationSeparator" w:id="0">
    <w:p w:rsidR="007E5A91" w:rsidRDefault="007E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93" w:rsidRDefault="006C5116">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                                   </w:t>
    </w:r>
    <w:r>
      <w:rPr>
        <w:color w:val="000000"/>
      </w:rPr>
      <w:tab/>
    </w:r>
  </w:p>
  <w:p w:rsidR="007F2593" w:rsidRDefault="007F2593">
    <w:pPr>
      <w:pBdr>
        <w:top w:val="nil"/>
        <w:left w:val="nil"/>
        <w:bottom w:val="nil"/>
        <w:right w:val="nil"/>
        <w:between w:val="nil"/>
      </w:pBdr>
      <w:tabs>
        <w:tab w:val="center" w:pos="4419"/>
        <w:tab w:val="right" w:pos="8838"/>
      </w:tabs>
      <w:spacing w:after="0" w:line="240" w:lineRule="auto"/>
      <w:jc w:val="center"/>
      <w:rPr>
        <w:color w:val="000000"/>
      </w:rPr>
    </w:pPr>
  </w:p>
  <w:p w:rsidR="007F2593" w:rsidRDefault="006C5116">
    <w:pPr>
      <w:pBdr>
        <w:top w:val="nil"/>
        <w:left w:val="nil"/>
        <w:bottom w:val="nil"/>
        <w:right w:val="nil"/>
        <w:between w:val="nil"/>
      </w:pBdr>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del Congreso: Carrera 7 No 8 – 68, Bogotá. Teléfono: 4325100 </w:t>
    </w:r>
  </w:p>
  <w:p w:rsidR="007F2593" w:rsidRDefault="007F2593">
    <w:pPr>
      <w:pBdr>
        <w:top w:val="nil"/>
        <w:left w:val="nil"/>
        <w:bottom w:val="nil"/>
        <w:right w:val="nil"/>
        <w:between w:val="nil"/>
      </w:pBdr>
      <w:tabs>
        <w:tab w:val="center" w:pos="4419"/>
        <w:tab w:val="right" w:pos="8838"/>
      </w:tabs>
      <w:spacing w:after="0" w:line="240" w:lineRule="auto"/>
      <w:rPr>
        <w:color w:val="000000"/>
      </w:rPr>
    </w:pPr>
  </w:p>
  <w:p w:rsidR="007F2593" w:rsidRDefault="007F25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91" w:rsidRDefault="007E5A91">
      <w:pPr>
        <w:spacing w:after="0" w:line="240" w:lineRule="auto"/>
      </w:pPr>
      <w:r>
        <w:separator/>
      </w:r>
    </w:p>
  </w:footnote>
  <w:footnote w:type="continuationSeparator" w:id="0">
    <w:p w:rsidR="007E5A91" w:rsidRDefault="007E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93" w:rsidRDefault="007F2593">
    <w:pPr>
      <w:pBdr>
        <w:top w:val="nil"/>
        <w:left w:val="nil"/>
        <w:bottom w:val="nil"/>
        <w:right w:val="nil"/>
        <w:between w:val="nil"/>
      </w:pBdr>
      <w:tabs>
        <w:tab w:val="center" w:pos="4419"/>
        <w:tab w:val="right" w:pos="8838"/>
      </w:tabs>
      <w:spacing w:after="0" w:line="240" w:lineRule="auto"/>
      <w:rPr>
        <w:color w:val="000000"/>
      </w:rPr>
    </w:pPr>
  </w:p>
  <w:p w:rsidR="007F2593" w:rsidRDefault="007F2593">
    <w:pPr>
      <w:tabs>
        <w:tab w:val="center" w:pos="4419"/>
        <w:tab w:val="right" w:pos="8838"/>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720"/>
    <w:multiLevelType w:val="multilevel"/>
    <w:tmpl w:val="15049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66E27"/>
    <w:multiLevelType w:val="multilevel"/>
    <w:tmpl w:val="148E0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981EB8"/>
    <w:multiLevelType w:val="multilevel"/>
    <w:tmpl w:val="534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93"/>
    <w:rsid w:val="000018EC"/>
    <w:rsid w:val="000051B8"/>
    <w:rsid w:val="000A682F"/>
    <w:rsid w:val="000B568E"/>
    <w:rsid w:val="001D317A"/>
    <w:rsid w:val="001F6F8C"/>
    <w:rsid w:val="003207BC"/>
    <w:rsid w:val="00547A19"/>
    <w:rsid w:val="006542AE"/>
    <w:rsid w:val="006C3FD8"/>
    <w:rsid w:val="006C5116"/>
    <w:rsid w:val="007319C2"/>
    <w:rsid w:val="00763B53"/>
    <w:rsid w:val="007B4ADC"/>
    <w:rsid w:val="007E5A91"/>
    <w:rsid w:val="007F2593"/>
    <w:rsid w:val="008B213C"/>
    <w:rsid w:val="0096677E"/>
    <w:rsid w:val="00B303BC"/>
    <w:rsid w:val="00CF450D"/>
    <w:rsid w:val="00D114A3"/>
    <w:rsid w:val="00E33D69"/>
    <w:rsid w:val="00EB1F4D"/>
    <w:rsid w:val="00F459B6"/>
    <w:rsid w:val="00FA1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043DF-231F-194F-9C1B-36CE7A99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s-CO"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3155</Words>
  <Characters>17357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cp:lastModifiedBy>
  <cp:revision>21</cp:revision>
  <dcterms:created xsi:type="dcterms:W3CDTF">2020-10-01T16:30:00Z</dcterms:created>
  <dcterms:modified xsi:type="dcterms:W3CDTF">2020-10-04T11:29:00Z</dcterms:modified>
</cp:coreProperties>
</file>