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4232" w14:textId="77777777" w:rsidR="00F36280" w:rsidRDefault="00F36280" w:rsidP="00F36280">
      <w:pPr>
        <w:jc w:val="right"/>
        <w:rPr>
          <w:rFonts w:ascii="Bookman Old Style" w:hAnsi="Bookman Old Style" w:cstheme="minorHAnsi"/>
          <w:b/>
          <w:sz w:val="20"/>
          <w:szCs w:val="20"/>
        </w:rPr>
      </w:pPr>
    </w:p>
    <w:p w14:paraId="4F484112" w14:textId="77777777" w:rsidR="00883B56" w:rsidRDefault="008A3240" w:rsidP="002F6989">
      <w:pPr>
        <w:jc w:val="center"/>
        <w:rPr>
          <w:rFonts w:ascii="Bookman Old Style" w:hAnsi="Bookman Old Style" w:cs="Arial"/>
          <w:b/>
          <w:bCs/>
        </w:rPr>
      </w:pPr>
      <w:r>
        <w:rPr>
          <w:rFonts w:ascii="Bookman Old Style" w:hAnsi="Bookman Old Style" w:cs="Arial"/>
          <w:b/>
          <w:bCs/>
        </w:rPr>
        <w:t>INFORME DE PONENCIA PARA SEGUNDO</w:t>
      </w:r>
      <w:r w:rsidR="002F6989" w:rsidRPr="00F46028">
        <w:rPr>
          <w:rFonts w:ascii="Bookman Old Style" w:hAnsi="Bookman Old Style" w:cs="Arial"/>
          <w:b/>
          <w:bCs/>
        </w:rPr>
        <w:t xml:space="preserve"> DEBATE </w:t>
      </w:r>
      <w:r w:rsidR="00883B56">
        <w:rPr>
          <w:rFonts w:ascii="Bookman Old Style" w:hAnsi="Bookman Old Style" w:cs="Arial"/>
          <w:b/>
          <w:bCs/>
        </w:rPr>
        <w:t xml:space="preserve">EN PRIMERA VUELTA </w:t>
      </w:r>
      <w:r w:rsidR="002F6989" w:rsidRPr="00F46028">
        <w:rPr>
          <w:rFonts w:ascii="Bookman Old Style" w:hAnsi="Bookman Old Style" w:cs="Arial"/>
          <w:b/>
          <w:bCs/>
        </w:rPr>
        <w:t xml:space="preserve">AL PROYECTO DE </w:t>
      </w:r>
      <w:r w:rsidR="002F6989">
        <w:rPr>
          <w:rFonts w:ascii="Bookman Old Style" w:hAnsi="Bookman Old Style" w:cs="Arial"/>
          <w:b/>
          <w:bCs/>
        </w:rPr>
        <w:t xml:space="preserve">ACTO LEGISLATIVO </w:t>
      </w:r>
      <w:r w:rsidR="002F6989" w:rsidRPr="00F46028">
        <w:rPr>
          <w:rFonts w:ascii="Bookman Old Style" w:hAnsi="Bookman Old Style" w:cs="Arial"/>
          <w:b/>
          <w:bCs/>
        </w:rPr>
        <w:t xml:space="preserve">NÚMERO </w:t>
      </w:r>
      <w:r w:rsidR="002F6989">
        <w:rPr>
          <w:rFonts w:ascii="Bookman Old Style" w:hAnsi="Bookman Old Style" w:cs="Arial"/>
          <w:b/>
          <w:bCs/>
        </w:rPr>
        <w:t>006 DE 2020</w:t>
      </w:r>
      <w:r w:rsidR="002F6989" w:rsidRPr="00F46028">
        <w:rPr>
          <w:rFonts w:ascii="Bookman Old Style" w:hAnsi="Bookman Old Style" w:cs="Arial"/>
          <w:b/>
          <w:bCs/>
        </w:rPr>
        <w:t xml:space="preserve"> CÁMARA</w:t>
      </w:r>
      <w:r w:rsidR="000522AD">
        <w:rPr>
          <w:rFonts w:ascii="Bookman Old Style" w:hAnsi="Bookman Old Style" w:cs="Arial"/>
          <w:b/>
          <w:bCs/>
        </w:rPr>
        <w:t xml:space="preserve"> </w:t>
      </w:r>
    </w:p>
    <w:p w14:paraId="21F51F44" w14:textId="77777777" w:rsidR="002F6989" w:rsidRPr="00F46028" w:rsidRDefault="002F6989" w:rsidP="002F6989">
      <w:pPr>
        <w:jc w:val="center"/>
        <w:rPr>
          <w:rFonts w:ascii="Bookman Old Style" w:hAnsi="Bookman Old Style" w:cs="Arial"/>
          <w:i/>
          <w:lang w:val="es-ES"/>
        </w:rPr>
      </w:pPr>
      <w:r w:rsidRPr="00F46028">
        <w:rPr>
          <w:rFonts w:ascii="Bookman Old Style" w:hAnsi="Bookman Old Style" w:cs="Arial"/>
          <w:b/>
          <w:bCs/>
        </w:rPr>
        <w:t xml:space="preserve"> </w:t>
      </w:r>
      <w:r w:rsidRPr="002F6989">
        <w:rPr>
          <w:rFonts w:ascii="Bookman Old Style" w:hAnsi="Bookman Old Style" w:cs="Arial"/>
          <w:bCs/>
          <w:i/>
        </w:rPr>
        <w:t>“Por medio del cual se modifica el artículo 49 de la constitución política de Colombia y se regulariza el uso recreativo del cannabis”.</w:t>
      </w:r>
    </w:p>
    <w:p w14:paraId="53BD315E" w14:textId="77777777" w:rsidR="00F36280" w:rsidRDefault="00F36280" w:rsidP="002F6989">
      <w:pPr>
        <w:jc w:val="center"/>
        <w:rPr>
          <w:rFonts w:ascii="Bookman Old Style" w:hAnsi="Bookman Old Style" w:cstheme="minorHAnsi"/>
          <w:b/>
          <w:lang w:val="es-ES"/>
        </w:rPr>
      </w:pPr>
    </w:p>
    <w:p w14:paraId="1C1BCFCC" w14:textId="77777777" w:rsidR="00207603" w:rsidRDefault="00207603" w:rsidP="002F6989">
      <w:pPr>
        <w:jc w:val="center"/>
        <w:rPr>
          <w:rFonts w:ascii="Bookman Old Style" w:hAnsi="Bookman Old Style" w:cstheme="minorHAnsi"/>
          <w:b/>
          <w:lang w:val="es-ES"/>
        </w:rPr>
      </w:pPr>
    </w:p>
    <w:p w14:paraId="71FF871E" w14:textId="17D6252A" w:rsidR="002F6989" w:rsidRPr="00F46028" w:rsidRDefault="008A3240"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Pr>
          <w:rFonts w:ascii="Bookman Old Style" w:hAnsi="Bookman Old Style" w:cs="Arial"/>
          <w:bCs/>
          <w:sz w:val="22"/>
          <w:szCs w:val="22"/>
          <w:lang w:val="es-ES_tradnl"/>
        </w:rPr>
        <w:t>Bogotá D.C., 2</w:t>
      </w:r>
      <w:r w:rsidR="00DA71D3">
        <w:rPr>
          <w:rFonts w:ascii="Bookman Old Style" w:hAnsi="Bookman Old Style" w:cs="Arial"/>
          <w:bCs/>
          <w:sz w:val="22"/>
          <w:szCs w:val="22"/>
          <w:lang w:val="es-ES_tradnl"/>
        </w:rPr>
        <w:t>2</w:t>
      </w:r>
      <w:bookmarkStart w:id="0" w:name="_GoBack"/>
      <w:bookmarkEnd w:id="0"/>
      <w:r>
        <w:rPr>
          <w:rFonts w:ascii="Bookman Old Style" w:hAnsi="Bookman Old Style" w:cs="Arial"/>
          <w:bCs/>
          <w:sz w:val="22"/>
          <w:szCs w:val="22"/>
          <w:lang w:val="es-ES_tradnl"/>
        </w:rPr>
        <w:t xml:space="preserve"> de septiembre</w:t>
      </w:r>
      <w:r w:rsidR="002F6989" w:rsidRPr="00F46028">
        <w:rPr>
          <w:rFonts w:ascii="Bookman Old Style" w:hAnsi="Bookman Old Style" w:cs="Arial"/>
          <w:bCs/>
          <w:sz w:val="22"/>
          <w:szCs w:val="22"/>
          <w:lang w:val="es-ES_tradnl"/>
        </w:rPr>
        <w:t xml:space="preserve"> de 2020</w:t>
      </w:r>
    </w:p>
    <w:p w14:paraId="72EF8B12"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6AB7376F"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1D68DF2"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Honorable Representante</w:t>
      </w:r>
    </w:p>
    <w:p w14:paraId="6F10309D"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Pr>
          <w:rFonts w:ascii="Bookman Old Style" w:hAnsi="Bookman Old Style" w:cs="Arial"/>
          <w:b/>
          <w:bCs/>
          <w:sz w:val="22"/>
          <w:szCs w:val="22"/>
          <w:lang w:val="es-ES_tradnl"/>
        </w:rPr>
        <w:t>ALFREDO RAFAEL DELUQUE ZULETA</w:t>
      </w:r>
    </w:p>
    <w:p w14:paraId="5B25DD9C"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Presidente</w:t>
      </w:r>
    </w:p>
    <w:p w14:paraId="56B39D23"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F46028">
        <w:rPr>
          <w:rFonts w:ascii="Bookman Old Style" w:hAnsi="Bookman Old Style" w:cs="Arial"/>
          <w:b/>
          <w:bCs/>
          <w:sz w:val="22"/>
          <w:szCs w:val="22"/>
          <w:lang w:val="es-ES_tradnl"/>
        </w:rPr>
        <w:t xml:space="preserve">Comisión Primera Constitucional </w:t>
      </w:r>
    </w:p>
    <w:p w14:paraId="43A01E08"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Cámara de Representantes</w:t>
      </w:r>
    </w:p>
    <w:p w14:paraId="70ACFC55"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Ciudad.</w:t>
      </w:r>
    </w:p>
    <w:p w14:paraId="37594A81" w14:textId="77777777" w:rsidR="002F6989" w:rsidRDefault="002F6989" w:rsidP="002F6989">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778C19FE" w14:textId="77777777" w:rsidR="00837AB4" w:rsidRPr="00F46028" w:rsidRDefault="00837AB4" w:rsidP="002F6989">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54CE0B06" w14:textId="77777777" w:rsidR="002F6989" w:rsidRPr="00F46028" w:rsidRDefault="002F6989" w:rsidP="002F6989">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r>
      <w:r w:rsidR="008A3240">
        <w:rPr>
          <w:rFonts w:ascii="Bookman Old Style" w:hAnsi="Bookman Old Style" w:cs="Arial"/>
          <w:b/>
          <w:bCs/>
          <w:sz w:val="22"/>
          <w:szCs w:val="22"/>
          <w:lang w:val="es-ES_tradnl"/>
        </w:rPr>
        <w:t>Informe de Ponencia para segundo debate</w:t>
      </w:r>
      <w:r>
        <w:rPr>
          <w:rFonts w:ascii="Bookman Old Style" w:hAnsi="Bookman Old Style" w:cs="Arial"/>
          <w:b/>
          <w:bCs/>
          <w:sz w:val="22"/>
          <w:szCs w:val="22"/>
          <w:lang w:val="es-ES_tradnl"/>
        </w:rPr>
        <w:t xml:space="preserve"> </w:t>
      </w:r>
      <w:r w:rsidR="008A3240">
        <w:rPr>
          <w:rFonts w:ascii="Bookman Old Style" w:hAnsi="Bookman Old Style" w:cs="Arial"/>
          <w:b/>
          <w:bCs/>
          <w:sz w:val="22"/>
          <w:szCs w:val="22"/>
          <w:lang w:val="es-ES_tradnl"/>
        </w:rPr>
        <w:t>en primera vuelta</w:t>
      </w:r>
      <w:r>
        <w:rPr>
          <w:rFonts w:ascii="Bookman Old Style" w:hAnsi="Bookman Old Style" w:cs="Arial"/>
          <w:b/>
          <w:bCs/>
          <w:sz w:val="22"/>
          <w:szCs w:val="22"/>
          <w:lang w:val="es-ES_tradnl"/>
        </w:rPr>
        <w:t xml:space="preserve"> al Proyecto de Acto Legislativo</w:t>
      </w:r>
      <w:r w:rsidRPr="00F46028">
        <w:rPr>
          <w:rFonts w:ascii="Bookman Old Style" w:hAnsi="Bookman Old Style" w:cs="Arial"/>
          <w:b/>
          <w:bCs/>
          <w:sz w:val="22"/>
          <w:szCs w:val="22"/>
          <w:lang w:val="es-ES_tradnl"/>
        </w:rPr>
        <w:t xml:space="preserve"> número </w:t>
      </w:r>
      <w:r>
        <w:rPr>
          <w:rFonts w:ascii="Bookman Old Style" w:hAnsi="Bookman Old Style" w:cs="Arial"/>
          <w:b/>
          <w:bCs/>
          <w:sz w:val="22"/>
          <w:szCs w:val="22"/>
          <w:lang w:val="es-ES_tradnl"/>
        </w:rPr>
        <w:t>006 de 2020</w:t>
      </w:r>
      <w:r w:rsidRPr="00F46028">
        <w:rPr>
          <w:rFonts w:ascii="Bookman Old Style" w:hAnsi="Bookman Old Style" w:cs="Arial"/>
          <w:b/>
          <w:bCs/>
          <w:sz w:val="22"/>
          <w:szCs w:val="22"/>
          <w:lang w:val="es-ES_tradnl"/>
        </w:rPr>
        <w:t xml:space="preserve"> Cámara.</w:t>
      </w:r>
    </w:p>
    <w:p w14:paraId="7F89D8CA"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
          <w:bCs/>
          <w:sz w:val="22"/>
          <w:szCs w:val="22"/>
        </w:rPr>
      </w:pPr>
    </w:p>
    <w:p w14:paraId="664EC800"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
          <w:bCs/>
          <w:sz w:val="22"/>
          <w:szCs w:val="22"/>
        </w:rPr>
      </w:pPr>
    </w:p>
    <w:p w14:paraId="775B8356"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Honorables Representantes:</w:t>
      </w:r>
    </w:p>
    <w:p w14:paraId="0CCA6432" w14:textId="77777777"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4B727FA5" w14:textId="77777777" w:rsidR="000630CE" w:rsidRPr="00C530CB" w:rsidRDefault="002F6989" w:rsidP="00C530CB">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 me permito rendir</w:t>
      </w:r>
      <w:r w:rsidR="00E61A85">
        <w:rPr>
          <w:rFonts w:ascii="Bookman Old Style" w:hAnsi="Bookman Old Style" w:cs="Arial"/>
          <w:bCs/>
          <w:sz w:val="22"/>
          <w:szCs w:val="22"/>
          <w:lang w:val="es-ES_tradnl"/>
        </w:rPr>
        <w:t xml:space="preserve"> Informe de Ponencia para segundo</w:t>
      </w:r>
      <w:r w:rsidRPr="00F46028">
        <w:rPr>
          <w:rFonts w:ascii="Bookman Old Style" w:hAnsi="Bookman Old Style" w:cs="Arial"/>
          <w:bCs/>
          <w:sz w:val="22"/>
          <w:szCs w:val="22"/>
          <w:lang w:val="es-ES_tradnl"/>
        </w:rPr>
        <w:t xml:space="preserve"> debate</w:t>
      </w:r>
      <w:r w:rsidR="00883B56">
        <w:rPr>
          <w:rFonts w:ascii="Bookman Old Style" w:hAnsi="Bookman Old Style" w:cs="Arial"/>
          <w:bCs/>
          <w:sz w:val="22"/>
          <w:szCs w:val="22"/>
          <w:lang w:val="es-ES_tradnl"/>
        </w:rPr>
        <w:t xml:space="preserve"> en primera vuelta</w:t>
      </w:r>
      <w:r w:rsidR="00C530CB">
        <w:rPr>
          <w:rFonts w:ascii="Bookman Old Style" w:hAnsi="Bookman Old Style" w:cs="Arial"/>
          <w:bCs/>
          <w:sz w:val="22"/>
          <w:szCs w:val="22"/>
          <w:lang w:val="es-ES_tradnl"/>
        </w:rPr>
        <w:t xml:space="preserve"> al Proyecto de Acto Legislativo</w:t>
      </w:r>
      <w:r w:rsidRPr="00F46028">
        <w:rPr>
          <w:rFonts w:ascii="Bookman Old Style" w:hAnsi="Bookman Old Style" w:cs="Arial"/>
          <w:bCs/>
          <w:sz w:val="22"/>
          <w:szCs w:val="22"/>
          <w:lang w:val="es-ES_tradnl"/>
        </w:rPr>
        <w:t xml:space="preserve"> número </w:t>
      </w:r>
      <w:r w:rsidR="00C530CB">
        <w:rPr>
          <w:rFonts w:ascii="Bookman Old Style" w:hAnsi="Bookman Old Style" w:cs="Arial"/>
          <w:bCs/>
          <w:sz w:val="22"/>
          <w:szCs w:val="22"/>
          <w:lang w:val="es-ES_tradnl"/>
        </w:rPr>
        <w:t>006 de 2020</w:t>
      </w:r>
      <w:r w:rsidRPr="00F46028">
        <w:rPr>
          <w:rFonts w:ascii="Bookman Old Style" w:hAnsi="Bookman Old Style" w:cs="Arial"/>
          <w:bCs/>
          <w:sz w:val="22"/>
          <w:szCs w:val="22"/>
          <w:lang w:val="es-ES_tradnl"/>
        </w:rPr>
        <w:t xml:space="preserve"> Cámara, </w:t>
      </w:r>
      <w:r w:rsidR="00C530CB" w:rsidRPr="00C530CB">
        <w:rPr>
          <w:rFonts w:ascii="Bookman Old Style" w:hAnsi="Bookman Old Style" w:cs="Arial"/>
          <w:bCs/>
          <w:i/>
          <w:sz w:val="22"/>
          <w:szCs w:val="22"/>
        </w:rPr>
        <w:t>“Por medio del cual se modifica el artículo 49 de la constitución política de Colombia y se regulariza</w:t>
      </w:r>
      <w:r w:rsidR="00C530CB">
        <w:rPr>
          <w:rFonts w:ascii="Bookman Old Style" w:hAnsi="Bookman Old Style" w:cs="Arial"/>
          <w:bCs/>
          <w:i/>
          <w:sz w:val="22"/>
          <w:szCs w:val="22"/>
        </w:rPr>
        <w:t xml:space="preserve"> el uso recreativo del cannabis</w:t>
      </w:r>
      <w:r w:rsidRPr="00F46028">
        <w:rPr>
          <w:rFonts w:ascii="Bookman Old Style" w:hAnsi="Bookman Old Style" w:cs="Arial"/>
          <w:i/>
          <w:iCs/>
          <w:sz w:val="22"/>
          <w:szCs w:val="22"/>
        </w:rPr>
        <w:t>”</w:t>
      </w:r>
      <w:r w:rsidRPr="00F46028">
        <w:rPr>
          <w:rFonts w:ascii="Bookman Old Style" w:hAnsi="Bookman Old Style" w:cs="Arial"/>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14:paraId="0297C09A" w14:textId="77777777" w:rsidR="007D64B5" w:rsidRDefault="007D64B5" w:rsidP="00965204">
      <w:pPr>
        <w:pBdr>
          <w:top w:val="nil"/>
          <w:left w:val="nil"/>
          <w:bottom w:val="nil"/>
          <w:right w:val="nil"/>
          <w:between w:val="nil"/>
        </w:pBdr>
        <w:ind w:right="115"/>
        <w:rPr>
          <w:rFonts w:ascii="Bookman Old Style" w:hAnsi="Bookman Old Style" w:cstheme="minorHAnsi"/>
          <w:b/>
          <w:sz w:val="28"/>
          <w:szCs w:val="28"/>
        </w:rPr>
      </w:pPr>
    </w:p>
    <w:p w14:paraId="12C47764" w14:textId="632ABB5A" w:rsidR="00F36280" w:rsidRPr="004C61B3" w:rsidRDefault="00F36280" w:rsidP="00F36280">
      <w:pPr>
        <w:pStyle w:val="NoSpacing"/>
        <w:pBdr>
          <w:bottom w:val="single" w:sz="4" w:space="1" w:color="auto"/>
        </w:pBdr>
        <w:tabs>
          <w:tab w:val="left" w:pos="8055"/>
        </w:tabs>
        <w:jc w:val="center"/>
        <w:rPr>
          <w:rFonts w:ascii="Bookman Old Style" w:hAnsi="Bookman Old Style" w:cs="Arial"/>
          <w:b/>
          <w:strike/>
        </w:rPr>
      </w:pPr>
    </w:p>
    <w:p w14:paraId="1624E796" w14:textId="77777777" w:rsidR="00F36280" w:rsidRPr="00485CC5" w:rsidRDefault="00F36280" w:rsidP="00F36280">
      <w:pPr>
        <w:pStyle w:val="NoSpacing"/>
        <w:tabs>
          <w:tab w:val="left" w:pos="8055"/>
        </w:tabs>
        <w:jc w:val="center"/>
        <w:rPr>
          <w:rFonts w:ascii="Bookman Old Style" w:hAnsi="Bookman Old Style" w:cs="Arial"/>
          <w:b/>
          <w:sz w:val="28"/>
          <w:szCs w:val="28"/>
        </w:rPr>
      </w:pPr>
    </w:p>
    <w:p w14:paraId="20D52F13" w14:textId="77777777" w:rsidR="00F36280" w:rsidRDefault="000B0FBF" w:rsidP="000B0FBF">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14:paraId="2D7BAD9E" w14:textId="77777777" w:rsidR="003624B7" w:rsidRDefault="003624B7" w:rsidP="000B0FBF">
      <w:pPr>
        <w:pBdr>
          <w:top w:val="nil"/>
          <w:left w:val="nil"/>
          <w:bottom w:val="nil"/>
          <w:right w:val="nil"/>
          <w:between w:val="nil"/>
        </w:pBdr>
        <w:ind w:right="115"/>
        <w:rPr>
          <w:rFonts w:ascii="Bookman Old Style" w:eastAsia="Calibri" w:hAnsi="Bookman Old Style" w:cs="Calibri"/>
          <w:b/>
          <w:szCs w:val="24"/>
        </w:rPr>
      </w:pPr>
    </w:p>
    <w:p w14:paraId="7CC04556" w14:textId="77777777" w:rsidR="00F17098" w:rsidRDefault="00F17098"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Trámite de la Iniciativa.</w:t>
      </w:r>
    </w:p>
    <w:p w14:paraId="7730E442" w14:textId="77777777" w:rsidR="004561C0" w:rsidRDefault="004561C0"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Antecedentes del Proyecto.</w:t>
      </w:r>
    </w:p>
    <w:p w14:paraId="29B1A719" w14:textId="77777777" w:rsidR="000B0FBF" w:rsidRPr="00647748" w:rsidRDefault="000B0FBF"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Objeto del Proyecto de Acto Legislativo.</w:t>
      </w:r>
    </w:p>
    <w:p w14:paraId="1F642BF2" w14:textId="77777777" w:rsidR="000B0FBF" w:rsidRPr="00647748" w:rsidRDefault="000B0FBF"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Problema a resolver.</w:t>
      </w:r>
    </w:p>
    <w:p w14:paraId="60F6AFCA" w14:textId="77777777" w:rsidR="000B0FBF" w:rsidRPr="00647748" w:rsidRDefault="000B0FBF"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lastRenderedPageBreak/>
        <w:t>Antecedentes</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B17CD9">
        <w:rPr>
          <w:rFonts w:ascii="Bookman Old Style" w:eastAsia="Calibri" w:hAnsi="Bookman Old Style" w:cs="Calibri"/>
          <w:bCs/>
          <w:szCs w:val="24"/>
        </w:rPr>
        <w:t>5</w:t>
      </w:r>
      <w:r w:rsidRPr="00647748">
        <w:rPr>
          <w:rFonts w:ascii="Bookman Old Style" w:eastAsia="Calibri" w:hAnsi="Bookman Old Style" w:cs="Calibri"/>
          <w:bCs/>
          <w:szCs w:val="24"/>
        </w:rPr>
        <w:t>.1 Antecedentes Jurídicos y normativos sobre la materia en Colombia</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B17CD9">
        <w:rPr>
          <w:rFonts w:ascii="Bookman Old Style" w:eastAsia="Calibri" w:hAnsi="Bookman Old Style" w:cs="Calibri"/>
          <w:bCs/>
          <w:szCs w:val="24"/>
        </w:rPr>
        <w:t>5</w:t>
      </w:r>
      <w:r w:rsidRPr="00647748">
        <w:rPr>
          <w:rFonts w:ascii="Bookman Old Style" w:eastAsia="Calibri" w:hAnsi="Bookman Old Style" w:cs="Calibri"/>
          <w:bCs/>
          <w:szCs w:val="24"/>
        </w:rPr>
        <w:t>.2 Postura actual frente al uso del cannabis a nivel internacional</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B17CD9">
        <w:rPr>
          <w:rFonts w:ascii="Bookman Old Style" w:eastAsia="Calibri" w:hAnsi="Bookman Old Style" w:cs="Calibri"/>
          <w:bCs/>
          <w:szCs w:val="24"/>
        </w:rPr>
        <w:t>5</w:t>
      </w:r>
      <w:r w:rsidRPr="00647748">
        <w:rPr>
          <w:rFonts w:ascii="Bookman Old Style" w:eastAsia="Calibri" w:hAnsi="Bookman Old Style" w:cs="Calibri"/>
          <w:bCs/>
          <w:szCs w:val="24"/>
        </w:rPr>
        <w:t>.2.1 Impacto económico de la regulación</w:t>
      </w:r>
      <w:r w:rsidR="00DB66BE">
        <w:rPr>
          <w:rFonts w:ascii="Bookman Old Style" w:eastAsia="Calibri" w:hAnsi="Bookman Old Style" w:cs="Calibri"/>
          <w:bCs/>
          <w:szCs w:val="24"/>
        </w:rPr>
        <w:t xml:space="preserve"> en el caso</w:t>
      </w:r>
      <w:r w:rsidRPr="00647748">
        <w:rPr>
          <w:rFonts w:ascii="Bookman Old Style" w:eastAsia="Calibri" w:hAnsi="Bookman Old Style" w:cs="Calibri"/>
          <w:bCs/>
          <w:szCs w:val="24"/>
        </w:rPr>
        <w:t xml:space="preserve"> internacional</w:t>
      </w:r>
      <w:r w:rsidR="00114CF9">
        <w:rPr>
          <w:rFonts w:ascii="Bookman Old Style" w:eastAsia="Calibri" w:hAnsi="Bookman Old Style" w:cs="Calibri"/>
          <w:bCs/>
          <w:szCs w:val="24"/>
        </w:rPr>
        <w:t>.</w:t>
      </w:r>
    </w:p>
    <w:p w14:paraId="72C2C028" w14:textId="77777777" w:rsidR="00B17CD9" w:rsidRDefault="00B17CD9"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Impacto Económico de la Industria del Cannabis Medicinal en Colombia.</w:t>
      </w:r>
    </w:p>
    <w:p w14:paraId="3452AE53" w14:textId="77777777" w:rsidR="000B0FBF" w:rsidRPr="00114CF9" w:rsidRDefault="000B0FBF"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sidRPr="00114CF9">
        <w:rPr>
          <w:rFonts w:ascii="Bookman Old Style" w:eastAsia="Calibri" w:hAnsi="Bookman Old Style" w:cs="Calibri"/>
          <w:bCs/>
          <w:szCs w:val="24"/>
        </w:rPr>
        <w:t>Regulación de estupefacientes en Colombia: análisis constitucional y legal</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.1 Prohibición vs. Derechos fundamentales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.1.1 Derecho al libre desarrollo de la personalidad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.1.2 Derecho a la igualdad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.1.3 Derecho a la salud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.2 Análisis constitucional de la regulación actual frente al porte y consumo de estupefacientes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.2.1 Afectación del derecho a la salud por el consumo de sustancias estupefacientes o psicotrópicas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.2.2 Regularización exclusiva del cannabis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.2.3 Juicio integrado de igualdad</w:t>
      </w:r>
      <w:r w:rsidR="00114CF9" w:rsidRPr="00114CF9">
        <w:rPr>
          <w:rFonts w:ascii="Bookman Old Style" w:eastAsia="Calibri" w:hAnsi="Bookman Old Style" w:cs="Calibri"/>
          <w:bCs/>
          <w:szCs w:val="24"/>
        </w:rPr>
        <w:t>.</w:t>
      </w:r>
    </w:p>
    <w:p w14:paraId="62F6804A" w14:textId="77777777" w:rsidR="00647748" w:rsidRPr="00647748" w:rsidRDefault="00647748"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Análisis de la afectividad de la política de criminalización del porte y consumo de drogas</w:t>
      </w:r>
      <w:r w:rsidR="005B5FC0">
        <w:rPr>
          <w:rFonts w:ascii="Bookman Old Style" w:eastAsia="Calibri" w:hAnsi="Bookman Old Style" w:cs="Calibri"/>
          <w:bCs/>
          <w:szCs w:val="24"/>
        </w:rPr>
        <w:t>.</w:t>
      </w:r>
    </w:p>
    <w:p w14:paraId="25A4846E" w14:textId="77777777" w:rsidR="00647748" w:rsidRPr="00647748" w:rsidRDefault="00647748"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Modificaciones a la Constitución</w:t>
      </w:r>
      <w:r w:rsidR="005B5FC0">
        <w:rPr>
          <w:rFonts w:ascii="Bookman Old Style" w:eastAsia="Calibri" w:hAnsi="Bookman Old Style" w:cs="Calibri"/>
          <w:bCs/>
          <w:szCs w:val="24"/>
        </w:rPr>
        <w:t>.</w:t>
      </w:r>
    </w:p>
    <w:p w14:paraId="337938DE" w14:textId="77777777" w:rsidR="00647748" w:rsidRDefault="00647748"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Conclusiones</w:t>
      </w:r>
      <w:r w:rsidR="005B5FC0">
        <w:rPr>
          <w:rFonts w:ascii="Bookman Old Style" w:eastAsia="Calibri" w:hAnsi="Bookman Old Style" w:cs="Calibri"/>
          <w:bCs/>
          <w:szCs w:val="24"/>
        </w:rPr>
        <w:t>.</w:t>
      </w:r>
    </w:p>
    <w:p w14:paraId="4C876C5F" w14:textId="77777777" w:rsidR="00F17098" w:rsidRDefault="00F17098"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14:paraId="02555C8C" w14:textId="77777777" w:rsidR="005B598C" w:rsidRDefault="005B598C"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w:t>
      </w:r>
      <w:r w:rsidR="00254DDC">
        <w:rPr>
          <w:rFonts w:ascii="Bookman Old Style" w:eastAsia="Calibri" w:hAnsi="Bookman Old Style" w:cs="Calibri"/>
          <w:bCs/>
          <w:szCs w:val="24"/>
        </w:rPr>
        <w:t>s</w:t>
      </w:r>
      <w:r>
        <w:rPr>
          <w:rFonts w:ascii="Bookman Old Style" w:eastAsia="Calibri" w:hAnsi="Bookman Old Style" w:cs="Calibri"/>
          <w:bCs/>
          <w:szCs w:val="24"/>
        </w:rPr>
        <w:t xml:space="preserve"> de Interés.</w:t>
      </w:r>
    </w:p>
    <w:p w14:paraId="1FCC06C8" w14:textId="77777777" w:rsidR="006B1030" w:rsidRDefault="006B1030"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Pliego de Modificaciones.</w:t>
      </w:r>
    </w:p>
    <w:p w14:paraId="712CE8AB" w14:textId="77777777" w:rsidR="00F17098" w:rsidRDefault="00F17098"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Proposición.</w:t>
      </w:r>
    </w:p>
    <w:p w14:paraId="62E6D9EF" w14:textId="77777777" w:rsidR="00F17098" w:rsidRPr="00647748" w:rsidRDefault="006B1030" w:rsidP="000B0FBF">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Texto propuesto para segundo</w:t>
      </w:r>
      <w:r w:rsidR="00F17098">
        <w:rPr>
          <w:rFonts w:ascii="Bookman Old Style" w:eastAsia="Calibri" w:hAnsi="Bookman Old Style" w:cs="Calibri"/>
          <w:bCs/>
          <w:szCs w:val="24"/>
        </w:rPr>
        <w:t xml:space="preserve"> debate al Proyecto de Acto Legislativo número 006 de 2020 cámara</w:t>
      </w:r>
      <w:r w:rsidR="00EB0CD0">
        <w:rPr>
          <w:rFonts w:ascii="Bookman Old Style" w:eastAsia="Calibri" w:hAnsi="Bookman Old Style" w:cs="Calibri"/>
          <w:bCs/>
          <w:szCs w:val="24"/>
        </w:rPr>
        <w:t>.</w:t>
      </w:r>
    </w:p>
    <w:p w14:paraId="4D43A2BB" w14:textId="77777777" w:rsidR="00207603" w:rsidRPr="006B1030" w:rsidRDefault="00647748" w:rsidP="00207603">
      <w:pPr>
        <w:pStyle w:val="ListParagraph"/>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sidR="005B5FC0">
        <w:rPr>
          <w:rFonts w:ascii="Bookman Old Style" w:eastAsia="Calibri" w:hAnsi="Bookman Old Style" w:cs="Calibri"/>
          <w:bCs/>
          <w:szCs w:val="24"/>
        </w:rPr>
        <w:t>.</w:t>
      </w:r>
    </w:p>
    <w:p w14:paraId="36C6B1E8" w14:textId="77777777" w:rsidR="00837AB4" w:rsidRDefault="00837AB4" w:rsidP="00207603">
      <w:pPr>
        <w:pBdr>
          <w:top w:val="nil"/>
          <w:left w:val="nil"/>
          <w:bottom w:val="nil"/>
          <w:right w:val="nil"/>
          <w:between w:val="nil"/>
        </w:pBdr>
        <w:ind w:right="115"/>
        <w:rPr>
          <w:rFonts w:ascii="Bookman Old Style" w:eastAsia="Calibri" w:hAnsi="Bookman Old Style" w:cs="Calibri"/>
          <w:bCs/>
          <w:szCs w:val="24"/>
        </w:rPr>
      </w:pPr>
    </w:p>
    <w:p w14:paraId="7FA3E02D" w14:textId="77777777" w:rsidR="00F17098" w:rsidRPr="006B7415" w:rsidRDefault="00F17098" w:rsidP="00207603">
      <w:pPr>
        <w:pStyle w:val="Heading2"/>
        <w:numPr>
          <w:ilvl w:val="0"/>
          <w:numId w:val="35"/>
        </w:numPr>
        <w:jc w:val="both"/>
        <w:rPr>
          <w:rFonts w:ascii="Bookman Old Style" w:eastAsia="Calibri" w:hAnsi="Bookman Old Style" w:cs="Calibri"/>
          <w:b w:val="0"/>
          <w:sz w:val="22"/>
          <w:szCs w:val="22"/>
        </w:rPr>
      </w:pPr>
      <w:r w:rsidRPr="006B7415">
        <w:rPr>
          <w:rFonts w:ascii="Bookman Old Style" w:eastAsia="Calibri" w:hAnsi="Bookman Old Style" w:cs="Calibri"/>
          <w:sz w:val="22"/>
          <w:szCs w:val="22"/>
        </w:rPr>
        <w:t>TRÁMITE DE LA INICIATIVA</w:t>
      </w:r>
    </w:p>
    <w:p w14:paraId="4CDC28D1" w14:textId="77777777" w:rsidR="00F17098" w:rsidRPr="006B7415" w:rsidRDefault="00F17098" w:rsidP="00F17098">
      <w:pPr>
        <w:pStyle w:val="NormalWeb"/>
        <w:shd w:val="clear" w:color="auto" w:fill="FFFFFF"/>
        <w:spacing w:before="0" w:beforeAutospacing="0" w:after="0" w:afterAutospacing="0"/>
        <w:jc w:val="both"/>
        <w:rPr>
          <w:rFonts w:ascii="Bookman Old Style" w:hAnsi="Bookman Old Style" w:cs="Arial"/>
          <w:sz w:val="22"/>
          <w:szCs w:val="22"/>
        </w:rPr>
      </w:pPr>
    </w:p>
    <w:p w14:paraId="3516A72E" w14:textId="77777777" w:rsidR="00781E51" w:rsidRDefault="00F17098" w:rsidP="00F17098">
      <w:pPr>
        <w:pStyle w:val="NormalWeb"/>
        <w:shd w:val="clear" w:color="auto" w:fill="FFFFFF"/>
        <w:spacing w:before="0" w:beforeAutospacing="0" w:after="0" w:afterAutospacing="0"/>
        <w:jc w:val="both"/>
        <w:rPr>
          <w:rFonts w:ascii="Bookman Old Style" w:hAnsi="Bookman Old Style" w:cs="Arial"/>
          <w:sz w:val="22"/>
          <w:szCs w:val="22"/>
          <w:lang w:val="es-ES"/>
        </w:rPr>
      </w:pPr>
      <w:r w:rsidRPr="006B7415">
        <w:rPr>
          <w:rFonts w:ascii="Bookman Old Style" w:hAnsi="Bookman Old Style" w:cs="Arial"/>
          <w:sz w:val="22"/>
          <w:szCs w:val="22"/>
          <w:lang w:val="es-ES"/>
        </w:rPr>
        <w:t>El Proyect</w:t>
      </w:r>
      <w:r>
        <w:rPr>
          <w:rFonts w:ascii="Bookman Old Style" w:hAnsi="Bookman Old Style" w:cs="Arial"/>
          <w:sz w:val="22"/>
          <w:szCs w:val="22"/>
          <w:lang w:val="es-ES"/>
        </w:rPr>
        <w:t>o de Acto Legislativo número de 006</w:t>
      </w:r>
      <w:r w:rsidRPr="006B7415">
        <w:rPr>
          <w:rFonts w:ascii="Bookman Old Style" w:hAnsi="Bookman Old Style" w:cs="Arial"/>
          <w:sz w:val="22"/>
          <w:szCs w:val="22"/>
          <w:lang w:val="es-ES"/>
        </w:rPr>
        <w:t xml:space="preserve"> </w:t>
      </w:r>
      <w:r>
        <w:rPr>
          <w:rFonts w:ascii="Bookman Old Style" w:hAnsi="Bookman Old Style" w:cs="Arial"/>
          <w:sz w:val="22"/>
          <w:szCs w:val="22"/>
          <w:lang w:val="es-ES"/>
        </w:rPr>
        <w:t>de 2020 Cámara, fue radicado el día 20 de julio de 2020 por los</w:t>
      </w:r>
      <w:r w:rsidRPr="006B7415">
        <w:rPr>
          <w:rFonts w:ascii="Bookman Old Style" w:hAnsi="Bookman Old Style" w:cs="Arial"/>
          <w:sz w:val="22"/>
          <w:szCs w:val="22"/>
          <w:lang w:val="es-ES"/>
        </w:rPr>
        <w:t xml:space="preserve"> H.R. Juan Carlos Lozada Vargas</w:t>
      </w:r>
      <w:r>
        <w:rPr>
          <w:rFonts w:ascii="Bookman Old Style" w:hAnsi="Bookman Old Style" w:cs="Arial"/>
          <w:sz w:val="22"/>
          <w:szCs w:val="22"/>
          <w:lang w:val="es-ES"/>
        </w:rPr>
        <w:t>, Juan Fernando Reyes Kuri,</w:t>
      </w:r>
      <w:r w:rsidRPr="00F17098">
        <w:t xml:space="preserve"> </w:t>
      </w:r>
      <w:r w:rsidRPr="00F17098">
        <w:rPr>
          <w:rFonts w:ascii="Bookman Old Style" w:hAnsi="Bookman Old Style" w:cs="Arial"/>
          <w:sz w:val="22"/>
          <w:szCs w:val="22"/>
          <w:lang w:val="es-ES"/>
        </w:rPr>
        <w:t>Al</w:t>
      </w:r>
      <w:r>
        <w:rPr>
          <w:rFonts w:ascii="Bookman Old Style" w:hAnsi="Bookman Old Style" w:cs="Arial"/>
          <w:sz w:val="22"/>
          <w:szCs w:val="22"/>
          <w:lang w:val="es-ES"/>
        </w:rPr>
        <w:t>fredo Rafael Deluque Zuleta,</w:t>
      </w:r>
      <w:r w:rsidRPr="00F17098">
        <w:rPr>
          <w:rFonts w:ascii="Bookman Old Style" w:hAnsi="Bookman Old Style" w:cs="Arial"/>
          <w:sz w:val="22"/>
          <w:szCs w:val="22"/>
          <w:lang w:val="es-ES"/>
        </w:rPr>
        <w:t xml:space="preserve"> Mauricio Andrés</w:t>
      </w:r>
      <w:r>
        <w:rPr>
          <w:rFonts w:ascii="Bookman Old Style" w:hAnsi="Bookman Old Style" w:cs="Arial"/>
          <w:sz w:val="22"/>
          <w:szCs w:val="22"/>
          <w:lang w:val="es-ES"/>
        </w:rPr>
        <w:t xml:space="preserve"> Toro Orjuela, </w:t>
      </w:r>
      <w:r w:rsidRPr="00F17098">
        <w:rPr>
          <w:rFonts w:ascii="Bookman Old Style" w:hAnsi="Bookman Old Style" w:cs="Arial"/>
          <w:sz w:val="22"/>
          <w:szCs w:val="22"/>
          <w:lang w:val="es-ES"/>
        </w:rPr>
        <w:t>Andrés</w:t>
      </w:r>
      <w:r>
        <w:rPr>
          <w:rFonts w:ascii="Bookman Old Style" w:hAnsi="Bookman Old Style" w:cs="Arial"/>
          <w:sz w:val="22"/>
          <w:szCs w:val="22"/>
          <w:lang w:val="es-ES"/>
        </w:rPr>
        <w:t xml:space="preserve"> David Calle Aguas, Alejandro Alberto Vega Pérez, Carlos Adolfo Ardila Espinosa, Alejandro Carlos Chacón Camargo, </w:t>
      </w:r>
      <w:r w:rsidR="00B17CD9" w:rsidRPr="00F17098">
        <w:rPr>
          <w:rFonts w:ascii="Bookman Old Style" w:hAnsi="Bookman Old Style" w:cs="Arial"/>
          <w:sz w:val="22"/>
          <w:szCs w:val="22"/>
          <w:lang w:val="es-ES"/>
        </w:rPr>
        <w:t>Julián</w:t>
      </w:r>
      <w:r w:rsidRPr="00F17098">
        <w:rPr>
          <w:rFonts w:ascii="Bookman Old Style" w:hAnsi="Bookman Old Style" w:cs="Arial"/>
          <w:sz w:val="22"/>
          <w:szCs w:val="22"/>
          <w:lang w:val="es-ES"/>
        </w:rPr>
        <w:t xml:space="preserve"> Peinado </w:t>
      </w:r>
      <w:r w:rsidR="00B17CD9" w:rsidRPr="00F17098">
        <w:rPr>
          <w:rFonts w:ascii="Bookman Old Style" w:hAnsi="Bookman Old Style" w:cs="Arial"/>
          <w:sz w:val="22"/>
          <w:szCs w:val="22"/>
          <w:lang w:val="es-ES"/>
        </w:rPr>
        <w:t>Ramírez</w:t>
      </w:r>
      <w:r w:rsidR="00B17CD9">
        <w:rPr>
          <w:rFonts w:ascii="Bookman Old Style" w:hAnsi="Bookman Old Style" w:cs="Arial"/>
          <w:sz w:val="22"/>
          <w:szCs w:val="22"/>
          <w:lang w:val="es-ES"/>
        </w:rPr>
        <w:t xml:space="preserve">, Harry Giovanny González García, Fabio Fernando Arroyave Rivas, </w:t>
      </w:r>
      <w:r w:rsidRPr="00F17098">
        <w:rPr>
          <w:rFonts w:ascii="Bookman Old Style" w:hAnsi="Bookman Old Style" w:cs="Arial"/>
          <w:sz w:val="22"/>
          <w:szCs w:val="22"/>
          <w:lang w:val="es-ES"/>
        </w:rPr>
        <w:t>Carlos G</w:t>
      </w:r>
      <w:r w:rsidR="00B17CD9">
        <w:rPr>
          <w:rFonts w:ascii="Bookman Old Style" w:hAnsi="Bookman Old Style" w:cs="Arial"/>
          <w:sz w:val="22"/>
          <w:szCs w:val="22"/>
          <w:lang w:val="es-ES"/>
        </w:rPr>
        <w:t xml:space="preserve">erman Navas Talero, </w:t>
      </w:r>
      <w:r w:rsidRPr="00F17098">
        <w:rPr>
          <w:rFonts w:ascii="Bookman Old Style" w:hAnsi="Bookman Old Style" w:cs="Arial"/>
          <w:sz w:val="22"/>
          <w:szCs w:val="22"/>
          <w:lang w:val="es-ES"/>
        </w:rPr>
        <w:t xml:space="preserve">Juanita </w:t>
      </w:r>
      <w:r w:rsidR="00B17CD9" w:rsidRPr="00F17098">
        <w:rPr>
          <w:rFonts w:ascii="Bookman Old Style" w:hAnsi="Bookman Old Style" w:cs="Arial"/>
          <w:sz w:val="22"/>
          <w:szCs w:val="22"/>
          <w:lang w:val="es-ES"/>
        </w:rPr>
        <w:t>María</w:t>
      </w:r>
      <w:r w:rsidR="00B17CD9">
        <w:rPr>
          <w:rFonts w:ascii="Bookman Old Style" w:hAnsi="Bookman Old Style" w:cs="Arial"/>
          <w:sz w:val="22"/>
          <w:szCs w:val="22"/>
          <w:lang w:val="es-ES"/>
        </w:rPr>
        <w:t xml:space="preserve"> Goebertus Estrada, Katherine Miranda Peña, Catalina Ortiz Lalinde, </w:t>
      </w:r>
      <w:r w:rsidR="003624B7" w:rsidRPr="00F17098">
        <w:rPr>
          <w:rFonts w:ascii="Bookman Old Style" w:hAnsi="Bookman Old Style" w:cs="Arial"/>
          <w:sz w:val="22"/>
          <w:szCs w:val="22"/>
          <w:lang w:val="es-ES"/>
        </w:rPr>
        <w:t>José</w:t>
      </w:r>
      <w:r w:rsidRPr="00F17098">
        <w:rPr>
          <w:rFonts w:ascii="Bookman Old Style" w:hAnsi="Bookman Old Style" w:cs="Arial"/>
          <w:sz w:val="22"/>
          <w:szCs w:val="22"/>
          <w:lang w:val="es-ES"/>
        </w:rPr>
        <w:t xml:space="preserve"> Daniel Lopez </w:t>
      </w:r>
      <w:r w:rsidR="00B17CD9" w:rsidRPr="00F17098">
        <w:rPr>
          <w:rFonts w:ascii="Bookman Old Style" w:hAnsi="Bookman Old Style" w:cs="Arial"/>
          <w:sz w:val="22"/>
          <w:szCs w:val="22"/>
          <w:lang w:val="es-ES"/>
        </w:rPr>
        <w:t>Jiménez</w:t>
      </w:r>
      <w:r w:rsidR="00B17CD9">
        <w:rPr>
          <w:rFonts w:ascii="Bookman Old Style" w:hAnsi="Bookman Old Style" w:cs="Arial"/>
          <w:sz w:val="22"/>
          <w:szCs w:val="22"/>
          <w:lang w:val="es-ES"/>
        </w:rPr>
        <w:t xml:space="preserve">, </w:t>
      </w:r>
      <w:r w:rsidRPr="00F17098">
        <w:rPr>
          <w:rFonts w:ascii="Bookman Old Style" w:hAnsi="Bookman Old Style" w:cs="Arial"/>
          <w:sz w:val="22"/>
          <w:szCs w:val="22"/>
          <w:lang w:val="es-ES"/>
        </w:rPr>
        <w:t>Cesar</w:t>
      </w:r>
      <w:r w:rsidR="00B17CD9">
        <w:rPr>
          <w:rFonts w:ascii="Bookman Old Style" w:hAnsi="Bookman Old Style" w:cs="Arial"/>
          <w:sz w:val="22"/>
          <w:szCs w:val="22"/>
          <w:lang w:val="es-ES"/>
        </w:rPr>
        <w:t xml:space="preserve"> Augusto Lorduy Maldonado</w:t>
      </w:r>
      <w:r>
        <w:rPr>
          <w:rFonts w:ascii="Bookman Old Style" w:hAnsi="Bookman Old Style" w:cs="Arial"/>
          <w:sz w:val="22"/>
          <w:szCs w:val="22"/>
          <w:lang w:val="es-ES"/>
        </w:rPr>
        <w:t xml:space="preserve">, Inti Raúl Asprilla Reyes, Ángel María Gaitán Pulido, </w:t>
      </w:r>
      <w:r w:rsidRPr="00F17098">
        <w:rPr>
          <w:rFonts w:ascii="Bookman Old Style" w:hAnsi="Bookman Old Style" w:cs="Arial"/>
          <w:sz w:val="22"/>
          <w:szCs w:val="22"/>
          <w:lang w:val="es-ES"/>
        </w:rPr>
        <w:t>Rodrigo Arturo Rojas Lara</w:t>
      </w:r>
      <w:r w:rsidR="00B17CD9">
        <w:rPr>
          <w:rFonts w:ascii="Bookman Old Style" w:hAnsi="Bookman Old Style" w:cs="Arial"/>
          <w:sz w:val="22"/>
          <w:szCs w:val="22"/>
          <w:lang w:val="es-ES"/>
        </w:rPr>
        <w:t xml:space="preserve"> y el</w:t>
      </w:r>
      <w:r>
        <w:rPr>
          <w:rFonts w:ascii="Bookman Old Style" w:hAnsi="Bookman Old Style" w:cs="Arial"/>
          <w:sz w:val="22"/>
          <w:szCs w:val="22"/>
          <w:lang w:val="es-ES"/>
        </w:rPr>
        <w:t xml:space="preserve"> </w:t>
      </w:r>
      <w:r w:rsidRPr="00F17098">
        <w:rPr>
          <w:rFonts w:ascii="Bookman Old Style" w:hAnsi="Bookman Old Style" w:cs="Arial"/>
          <w:sz w:val="22"/>
          <w:szCs w:val="22"/>
          <w:lang w:val="es-ES"/>
        </w:rPr>
        <w:t>H.S.</w:t>
      </w:r>
      <w:r w:rsidR="00B17CD9">
        <w:rPr>
          <w:rFonts w:ascii="Bookman Old Style" w:hAnsi="Bookman Old Style" w:cs="Arial"/>
          <w:sz w:val="22"/>
          <w:szCs w:val="22"/>
          <w:lang w:val="es-ES"/>
        </w:rPr>
        <w:t xml:space="preserve"> </w:t>
      </w:r>
      <w:r w:rsidRPr="00F17098">
        <w:rPr>
          <w:rFonts w:ascii="Bookman Old Style" w:hAnsi="Bookman Old Style" w:cs="Arial"/>
          <w:sz w:val="22"/>
          <w:szCs w:val="22"/>
          <w:lang w:val="es-ES"/>
        </w:rPr>
        <w:t>Andrés Cristo Bustos</w:t>
      </w:r>
      <w:r w:rsidR="00B17CD9">
        <w:rPr>
          <w:rFonts w:ascii="Bookman Old Style" w:hAnsi="Bookman Old Style" w:cs="Arial"/>
          <w:sz w:val="22"/>
          <w:szCs w:val="22"/>
          <w:lang w:val="es-ES"/>
        </w:rPr>
        <w:t>.</w:t>
      </w:r>
    </w:p>
    <w:p w14:paraId="41184D9A" w14:textId="77777777" w:rsidR="004B6634" w:rsidRDefault="00F17098" w:rsidP="00F17098">
      <w:pPr>
        <w:pStyle w:val="NormalWeb"/>
        <w:shd w:val="clear" w:color="auto" w:fill="FFFFFF"/>
        <w:spacing w:before="0" w:beforeAutospacing="0" w:after="0" w:afterAutospacing="0"/>
        <w:jc w:val="both"/>
        <w:rPr>
          <w:rFonts w:ascii="Bookman Old Style" w:hAnsi="Bookman Old Style"/>
          <w:sz w:val="22"/>
          <w:szCs w:val="22"/>
        </w:rPr>
      </w:pPr>
      <w:r>
        <w:rPr>
          <w:rFonts w:ascii="Bookman Old Style" w:hAnsi="Bookman Old Style"/>
          <w:sz w:val="22"/>
          <w:szCs w:val="22"/>
        </w:rPr>
        <w:t xml:space="preserve"> </w:t>
      </w:r>
    </w:p>
    <w:p w14:paraId="5C65E822" w14:textId="77777777" w:rsidR="00F17098" w:rsidRDefault="00B17CD9" w:rsidP="00F17098">
      <w:pPr>
        <w:pStyle w:val="NormalWeb"/>
        <w:shd w:val="clear" w:color="auto" w:fill="FFFFFF"/>
        <w:spacing w:before="0" w:beforeAutospacing="0" w:after="0" w:afterAutospacing="0"/>
        <w:jc w:val="both"/>
        <w:rPr>
          <w:rFonts w:ascii="Bookman Old Style" w:hAnsi="Bookman Old Style"/>
          <w:sz w:val="22"/>
          <w:szCs w:val="22"/>
        </w:rPr>
      </w:pPr>
      <w:r>
        <w:rPr>
          <w:rFonts w:ascii="Bookman Old Style" w:hAnsi="Bookman Old Style"/>
          <w:sz w:val="22"/>
          <w:szCs w:val="22"/>
        </w:rPr>
        <w:lastRenderedPageBreak/>
        <w:t>El día</w:t>
      </w:r>
      <w:r w:rsidR="00F17098">
        <w:rPr>
          <w:rFonts w:ascii="Bookman Old Style" w:hAnsi="Bookman Old Style"/>
          <w:sz w:val="22"/>
          <w:szCs w:val="22"/>
        </w:rPr>
        <w:t xml:space="preserve"> de</w:t>
      </w:r>
      <w:r>
        <w:rPr>
          <w:rFonts w:ascii="Bookman Old Style" w:hAnsi="Bookman Old Style"/>
          <w:sz w:val="22"/>
          <w:szCs w:val="22"/>
        </w:rPr>
        <w:t xml:space="preserve"> 11 agosto</w:t>
      </w:r>
      <w:r w:rsidR="00F17098">
        <w:rPr>
          <w:rFonts w:ascii="Bookman Old Style" w:hAnsi="Bookman Old Style"/>
          <w:sz w:val="22"/>
          <w:szCs w:val="22"/>
        </w:rPr>
        <w:t xml:space="preserve"> se </w:t>
      </w:r>
      <w:r>
        <w:rPr>
          <w:rFonts w:ascii="Bookman Old Style" w:hAnsi="Bookman Old Style"/>
          <w:sz w:val="22"/>
          <w:szCs w:val="22"/>
        </w:rPr>
        <w:t>designó como único ponente al H.</w:t>
      </w:r>
      <w:r w:rsidR="00F17098">
        <w:rPr>
          <w:rFonts w:ascii="Bookman Old Style" w:hAnsi="Bookman Old Style"/>
          <w:sz w:val="22"/>
          <w:szCs w:val="22"/>
        </w:rPr>
        <w:t>R. Juan Carlos Lozada Vargas.</w:t>
      </w:r>
    </w:p>
    <w:p w14:paraId="4C873C5D" w14:textId="77777777" w:rsidR="006B1030" w:rsidRDefault="006B1030" w:rsidP="00F17098">
      <w:pPr>
        <w:pStyle w:val="NormalWeb"/>
        <w:shd w:val="clear" w:color="auto" w:fill="FFFFFF"/>
        <w:spacing w:before="0" w:beforeAutospacing="0" w:after="0" w:afterAutospacing="0"/>
        <w:jc w:val="both"/>
        <w:rPr>
          <w:rFonts w:ascii="Bookman Old Style" w:hAnsi="Bookman Old Style"/>
          <w:sz w:val="22"/>
          <w:szCs w:val="22"/>
        </w:rPr>
      </w:pPr>
    </w:p>
    <w:p w14:paraId="7B2397B8" w14:textId="77777777" w:rsidR="006B1030" w:rsidRDefault="006B1030" w:rsidP="00F17098">
      <w:pPr>
        <w:pStyle w:val="NormalWeb"/>
        <w:shd w:val="clear" w:color="auto" w:fill="FFFFFF"/>
        <w:spacing w:before="0" w:beforeAutospacing="0" w:after="0" w:afterAutospacing="0"/>
        <w:jc w:val="both"/>
        <w:rPr>
          <w:rFonts w:ascii="Bookman Old Style" w:hAnsi="Bookman Old Style"/>
          <w:sz w:val="22"/>
          <w:szCs w:val="22"/>
        </w:rPr>
      </w:pPr>
      <w:r>
        <w:rPr>
          <w:rFonts w:ascii="Bookman Old Style" w:hAnsi="Bookman Old Style"/>
          <w:sz w:val="22"/>
          <w:szCs w:val="22"/>
        </w:rPr>
        <w:t xml:space="preserve">El día 12 de agosto de 2020 </w:t>
      </w:r>
      <w:r w:rsidR="00082261">
        <w:rPr>
          <w:rFonts w:ascii="Bookman Old Style" w:hAnsi="Bookman Old Style"/>
          <w:sz w:val="22"/>
          <w:szCs w:val="22"/>
        </w:rPr>
        <w:t>se presentó, ante la Comisión Primera de la Cámara de Representantes, ponencia positiva para primer debate en primera vuelta, publicada en la Gaceta del Congreso número 727 de 2020.</w:t>
      </w:r>
    </w:p>
    <w:p w14:paraId="1F80692E" w14:textId="77777777" w:rsidR="00082261" w:rsidRDefault="00082261" w:rsidP="00F17098">
      <w:pPr>
        <w:pStyle w:val="NormalWeb"/>
        <w:shd w:val="clear" w:color="auto" w:fill="FFFFFF"/>
        <w:spacing w:before="0" w:beforeAutospacing="0" w:after="0" w:afterAutospacing="0"/>
        <w:jc w:val="both"/>
        <w:rPr>
          <w:rFonts w:ascii="Bookman Old Style" w:hAnsi="Bookman Old Style"/>
          <w:sz w:val="22"/>
          <w:szCs w:val="22"/>
        </w:rPr>
      </w:pPr>
    </w:p>
    <w:p w14:paraId="1C4FBC97" w14:textId="77777777" w:rsidR="00082261" w:rsidRDefault="00082261" w:rsidP="00F17098">
      <w:pPr>
        <w:pStyle w:val="NormalWeb"/>
        <w:shd w:val="clear" w:color="auto" w:fill="FFFFFF"/>
        <w:spacing w:before="0" w:beforeAutospacing="0" w:after="0" w:afterAutospacing="0"/>
        <w:jc w:val="both"/>
        <w:rPr>
          <w:rFonts w:ascii="Bookman Old Style" w:hAnsi="Bookman Old Style"/>
          <w:sz w:val="22"/>
          <w:szCs w:val="22"/>
        </w:rPr>
      </w:pPr>
      <w:r>
        <w:rPr>
          <w:rFonts w:ascii="Bookman Old Style" w:hAnsi="Bookman Old Style"/>
          <w:sz w:val="22"/>
          <w:szCs w:val="22"/>
        </w:rPr>
        <w:t>Los días 8, 15 y 16 de septiembre de 2020 fue sometida a consideración y discusión de la Comisión Primera de la Cámara de Representantes la ponencia</w:t>
      </w:r>
      <w:r w:rsidR="00736122">
        <w:rPr>
          <w:rFonts w:ascii="Bookman Old Style" w:hAnsi="Bookman Old Style"/>
          <w:sz w:val="22"/>
          <w:szCs w:val="22"/>
        </w:rPr>
        <w:t>, así</w:t>
      </w:r>
      <w:r>
        <w:rPr>
          <w:rFonts w:ascii="Bookman Old Style" w:hAnsi="Bookman Old Style"/>
          <w:sz w:val="22"/>
          <w:szCs w:val="22"/>
        </w:rPr>
        <w:t xml:space="preserve"> como las distintas proposiciones</w:t>
      </w:r>
      <w:r w:rsidR="00736122">
        <w:rPr>
          <w:rFonts w:ascii="Bookman Old Style" w:hAnsi="Bookman Old Style"/>
          <w:sz w:val="22"/>
          <w:szCs w:val="22"/>
        </w:rPr>
        <w:t>,</w:t>
      </w:r>
      <w:r>
        <w:rPr>
          <w:rFonts w:ascii="Bookman Old Style" w:hAnsi="Bookman Old Style"/>
          <w:sz w:val="22"/>
          <w:szCs w:val="22"/>
        </w:rPr>
        <w:t xml:space="preserve"> tanto de archivo como al articulado, lo cual tuvo como resultado la aprobación de la ponencia positiva, como consta en el Acta No. 15 del 16 de septiembre de 2020.</w:t>
      </w:r>
    </w:p>
    <w:p w14:paraId="3A02AD25" w14:textId="77777777" w:rsidR="00082261" w:rsidRDefault="00082261" w:rsidP="00F17098">
      <w:pPr>
        <w:pStyle w:val="NormalWeb"/>
        <w:shd w:val="clear" w:color="auto" w:fill="FFFFFF"/>
        <w:spacing w:before="0" w:beforeAutospacing="0" w:after="0" w:afterAutospacing="0"/>
        <w:jc w:val="both"/>
        <w:rPr>
          <w:rFonts w:ascii="Bookman Old Style" w:hAnsi="Bookman Old Style"/>
          <w:sz w:val="22"/>
          <w:szCs w:val="22"/>
        </w:rPr>
      </w:pPr>
    </w:p>
    <w:p w14:paraId="13B93870" w14:textId="77777777" w:rsidR="00082261" w:rsidRDefault="00082261" w:rsidP="00F17098">
      <w:pPr>
        <w:pStyle w:val="NormalWeb"/>
        <w:shd w:val="clear" w:color="auto" w:fill="FFFFFF"/>
        <w:spacing w:before="0" w:beforeAutospacing="0" w:after="0" w:afterAutospacing="0"/>
        <w:jc w:val="both"/>
        <w:rPr>
          <w:rFonts w:ascii="Bookman Old Style" w:hAnsi="Bookman Old Style"/>
          <w:sz w:val="22"/>
          <w:szCs w:val="22"/>
        </w:rPr>
      </w:pPr>
      <w:r>
        <w:rPr>
          <w:rFonts w:ascii="Bookman Old Style" w:hAnsi="Bookman Old Style"/>
          <w:sz w:val="22"/>
          <w:szCs w:val="22"/>
        </w:rPr>
        <w:t>En el debate se presentaron varias proposiciones por parte de los distintos miembros de la Comisión Primera de la Cámara de Representantes, las cuales se relacionan a continuación:</w:t>
      </w:r>
    </w:p>
    <w:p w14:paraId="43B6EBEA" w14:textId="3F918C49" w:rsidR="00082261" w:rsidRDefault="00082261" w:rsidP="00F17098">
      <w:pPr>
        <w:pStyle w:val="NormalWeb"/>
        <w:shd w:val="clear" w:color="auto" w:fill="FFFFFF"/>
        <w:spacing w:before="0" w:beforeAutospacing="0" w:after="0" w:afterAutospacing="0"/>
        <w:jc w:val="both"/>
        <w:rPr>
          <w:rFonts w:ascii="Bookman Old Style" w:hAnsi="Bookman Old Style"/>
          <w:sz w:val="22"/>
          <w:szCs w:val="22"/>
        </w:rPr>
      </w:pPr>
    </w:p>
    <w:p w14:paraId="6273082F" w14:textId="77777777" w:rsidR="00B42E23" w:rsidRPr="005B21B3" w:rsidRDefault="00B42E23" w:rsidP="00B42E23">
      <w:pPr>
        <w:pStyle w:val="NormalWeb"/>
        <w:shd w:val="clear" w:color="auto" w:fill="FFFFFF"/>
        <w:spacing w:before="0" w:beforeAutospacing="0" w:after="0" w:afterAutospacing="0"/>
        <w:jc w:val="center"/>
        <w:rPr>
          <w:rFonts w:ascii="Bookman Old Style" w:hAnsi="Bookman Old Style" w:cs="Arial"/>
          <w:b/>
          <w:sz w:val="22"/>
          <w:szCs w:val="22"/>
          <w:lang w:val="es-ES"/>
        </w:rPr>
      </w:pPr>
      <w:r w:rsidRPr="005B21B3">
        <w:rPr>
          <w:rFonts w:ascii="Bookman Old Style" w:hAnsi="Bookman Old Style" w:cs="Arial"/>
          <w:b/>
          <w:sz w:val="22"/>
          <w:szCs w:val="22"/>
          <w:lang w:val="es-ES"/>
        </w:rPr>
        <w:t xml:space="preserve">CUADRO DE PROPOSICIONES PRESENTADAS PARA </w:t>
      </w:r>
    </w:p>
    <w:p w14:paraId="720DCF3C" w14:textId="77777777" w:rsidR="00B42E23" w:rsidRPr="005B21B3" w:rsidRDefault="00B42E23" w:rsidP="00B42E23">
      <w:pPr>
        <w:pStyle w:val="NormalWeb"/>
        <w:shd w:val="clear" w:color="auto" w:fill="FFFFFF"/>
        <w:spacing w:before="0" w:beforeAutospacing="0" w:after="0" w:afterAutospacing="0"/>
        <w:jc w:val="center"/>
        <w:rPr>
          <w:rFonts w:ascii="Bookman Old Style" w:hAnsi="Bookman Old Style" w:cs="Arial"/>
          <w:b/>
          <w:sz w:val="22"/>
          <w:szCs w:val="22"/>
          <w:lang w:val="es-ES"/>
        </w:rPr>
      </w:pPr>
      <w:r w:rsidRPr="005B21B3">
        <w:rPr>
          <w:rFonts w:ascii="Bookman Old Style" w:hAnsi="Bookman Old Style" w:cs="Arial"/>
          <w:b/>
          <w:sz w:val="22"/>
          <w:szCs w:val="22"/>
          <w:lang w:val="es-ES"/>
        </w:rPr>
        <w:t>PRIMER DEBATE EN PRIMERA VUELTA</w:t>
      </w:r>
    </w:p>
    <w:p w14:paraId="5B8557EF" w14:textId="77777777" w:rsidR="00082261" w:rsidRPr="00B42E23" w:rsidRDefault="00082261" w:rsidP="00F17098">
      <w:pPr>
        <w:pStyle w:val="NormalWeb"/>
        <w:shd w:val="clear" w:color="auto" w:fill="FFFFFF"/>
        <w:spacing w:before="0" w:beforeAutospacing="0" w:after="0" w:afterAutospacing="0"/>
        <w:jc w:val="both"/>
        <w:rPr>
          <w:rFonts w:ascii="Bookman Old Style" w:hAnsi="Bookman Old Style" w:cs="Arial"/>
          <w:sz w:val="22"/>
          <w:szCs w:val="22"/>
          <w:lang w:val="es-ES"/>
        </w:rPr>
      </w:pPr>
    </w:p>
    <w:tbl>
      <w:tblPr>
        <w:tblStyle w:val="TableGrid"/>
        <w:tblW w:w="0" w:type="auto"/>
        <w:tblLook w:val="04A0" w:firstRow="1" w:lastRow="0" w:firstColumn="1" w:lastColumn="0" w:noHBand="0" w:noVBand="1"/>
      </w:tblPr>
      <w:tblGrid>
        <w:gridCol w:w="4531"/>
        <w:gridCol w:w="2244"/>
        <w:gridCol w:w="2053"/>
      </w:tblGrid>
      <w:tr w:rsidR="00082261" w:rsidRPr="00822122" w14:paraId="569A113A" w14:textId="77777777" w:rsidTr="00386330">
        <w:tc>
          <w:tcPr>
            <w:tcW w:w="4531" w:type="dxa"/>
          </w:tcPr>
          <w:p w14:paraId="258B4331" w14:textId="77777777" w:rsidR="00082261" w:rsidRPr="00822122" w:rsidRDefault="00082261" w:rsidP="00386330">
            <w:pPr>
              <w:jc w:val="center"/>
              <w:rPr>
                <w:rFonts w:ascii="Bookman Old Style" w:hAnsi="Bookman Old Style" w:cs="Arial"/>
                <w:b/>
                <w:sz w:val="20"/>
                <w:szCs w:val="20"/>
              </w:rPr>
            </w:pPr>
            <w:r w:rsidRPr="00822122">
              <w:rPr>
                <w:rFonts w:ascii="Bookman Old Style" w:hAnsi="Bookman Old Style" w:cs="Arial"/>
                <w:b/>
                <w:sz w:val="20"/>
                <w:szCs w:val="20"/>
                <w:lang w:val="es-ES"/>
              </w:rPr>
              <w:t>PROPOSICIÓN</w:t>
            </w:r>
          </w:p>
        </w:tc>
        <w:tc>
          <w:tcPr>
            <w:tcW w:w="2244" w:type="dxa"/>
          </w:tcPr>
          <w:p w14:paraId="6A9D80B2" w14:textId="77777777" w:rsidR="00082261" w:rsidRPr="00822122" w:rsidRDefault="00082261" w:rsidP="00386330">
            <w:pPr>
              <w:jc w:val="center"/>
              <w:rPr>
                <w:rFonts w:ascii="Bookman Old Style" w:hAnsi="Bookman Old Style" w:cs="Arial"/>
                <w:b/>
                <w:sz w:val="20"/>
                <w:szCs w:val="20"/>
              </w:rPr>
            </w:pPr>
            <w:r w:rsidRPr="00822122">
              <w:rPr>
                <w:rFonts w:ascii="Bookman Old Style" w:hAnsi="Bookman Old Style" w:cs="Arial"/>
                <w:b/>
                <w:sz w:val="20"/>
                <w:szCs w:val="20"/>
                <w:lang w:val="es-ES"/>
              </w:rPr>
              <w:t>PRESENTADA POR</w:t>
            </w:r>
          </w:p>
        </w:tc>
        <w:tc>
          <w:tcPr>
            <w:tcW w:w="2053" w:type="dxa"/>
          </w:tcPr>
          <w:p w14:paraId="375F1AF6" w14:textId="77777777" w:rsidR="00082261" w:rsidRPr="00822122" w:rsidRDefault="00082261" w:rsidP="00386330">
            <w:pPr>
              <w:jc w:val="center"/>
              <w:rPr>
                <w:rFonts w:ascii="Bookman Old Style" w:hAnsi="Bookman Old Style" w:cs="Arial"/>
                <w:b/>
                <w:sz w:val="20"/>
                <w:szCs w:val="20"/>
              </w:rPr>
            </w:pPr>
            <w:r w:rsidRPr="00822122">
              <w:rPr>
                <w:rFonts w:ascii="Bookman Old Style" w:hAnsi="Bookman Old Style" w:cs="Arial"/>
                <w:b/>
                <w:sz w:val="20"/>
                <w:szCs w:val="20"/>
                <w:lang w:val="es-ES"/>
              </w:rPr>
              <w:t>OBSERVACIONES</w:t>
            </w:r>
          </w:p>
        </w:tc>
      </w:tr>
      <w:tr w:rsidR="00082261" w:rsidRPr="00822122" w14:paraId="4AD9EFC2" w14:textId="77777777" w:rsidTr="00386330">
        <w:tc>
          <w:tcPr>
            <w:tcW w:w="4531" w:type="dxa"/>
          </w:tcPr>
          <w:p w14:paraId="6F93D14F" w14:textId="77777777" w:rsidR="00082261" w:rsidRPr="00822122" w:rsidRDefault="00865A15" w:rsidP="00386330">
            <w:pPr>
              <w:jc w:val="both"/>
              <w:rPr>
                <w:rFonts w:ascii="Bookman Old Style" w:hAnsi="Bookman Old Style" w:cs="Arial"/>
                <w:b/>
                <w:sz w:val="20"/>
                <w:szCs w:val="20"/>
                <w:u w:val="single"/>
              </w:rPr>
            </w:pPr>
            <w:r>
              <w:rPr>
                <w:rFonts w:ascii="Bookman Old Style" w:hAnsi="Bookman Old Style" w:cs="Arial"/>
                <w:b/>
                <w:sz w:val="20"/>
                <w:szCs w:val="20"/>
                <w:u w:val="single"/>
              </w:rPr>
              <w:t>DE ARCHIVO AL PROYECTO</w:t>
            </w:r>
          </w:p>
        </w:tc>
        <w:tc>
          <w:tcPr>
            <w:tcW w:w="2244" w:type="dxa"/>
          </w:tcPr>
          <w:p w14:paraId="14D1AB7A" w14:textId="77777777" w:rsidR="00082261" w:rsidRPr="00822122" w:rsidRDefault="00082261" w:rsidP="00865A15">
            <w:pPr>
              <w:jc w:val="both"/>
              <w:rPr>
                <w:rFonts w:ascii="Bookman Old Style" w:hAnsi="Bookman Old Style" w:cs="Arial"/>
                <w:sz w:val="20"/>
                <w:szCs w:val="20"/>
              </w:rPr>
            </w:pPr>
            <w:r w:rsidRPr="00822122">
              <w:rPr>
                <w:rFonts w:ascii="Bookman Old Style" w:hAnsi="Bookman Old Style" w:cs="Arial"/>
                <w:sz w:val="20"/>
                <w:szCs w:val="20"/>
              </w:rPr>
              <w:t xml:space="preserve">H.R. </w:t>
            </w:r>
            <w:r w:rsidR="00865A15">
              <w:rPr>
                <w:rFonts w:ascii="Bookman Old Style" w:hAnsi="Bookman Old Style" w:cs="Arial"/>
                <w:sz w:val="20"/>
                <w:szCs w:val="20"/>
              </w:rPr>
              <w:t>Buenaventura León León</w:t>
            </w:r>
          </w:p>
        </w:tc>
        <w:tc>
          <w:tcPr>
            <w:tcW w:w="2053" w:type="dxa"/>
          </w:tcPr>
          <w:p w14:paraId="4AAC30D3" w14:textId="77777777" w:rsidR="00082261" w:rsidRPr="00822122" w:rsidRDefault="00865A15" w:rsidP="00386330">
            <w:pPr>
              <w:jc w:val="both"/>
              <w:rPr>
                <w:rFonts w:ascii="Bookman Old Style" w:hAnsi="Bookman Old Style" w:cs="Arial"/>
                <w:sz w:val="20"/>
                <w:szCs w:val="20"/>
              </w:rPr>
            </w:pPr>
            <w:r>
              <w:rPr>
                <w:rFonts w:ascii="Bookman Old Style" w:hAnsi="Bookman Old Style" w:cs="Arial"/>
                <w:sz w:val="20"/>
                <w:szCs w:val="20"/>
              </w:rPr>
              <w:t>Se acumuló con la proposición presentada por los Representantes Matiz, Padilla y Wills y fue negada por la Comisión</w:t>
            </w:r>
            <w:r w:rsidR="00082261" w:rsidRPr="00822122">
              <w:rPr>
                <w:rFonts w:ascii="Bookman Old Style" w:hAnsi="Bookman Old Style" w:cs="Arial"/>
                <w:sz w:val="20"/>
                <w:szCs w:val="20"/>
              </w:rPr>
              <w:t>.</w:t>
            </w:r>
          </w:p>
        </w:tc>
      </w:tr>
      <w:tr w:rsidR="00865A15" w:rsidRPr="00822122" w14:paraId="0A776A5C" w14:textId="77777777" w:rsidTr="00386330">
        <w:tc>
          <w:tcPr>
            <w:tcW w:w="4531" w:type="dxa"/>
          </w:tcPr>
          <w:p w14:paraId="25CFCEE7" w14:textId="77777777" w:rsidR="00865A15" w:rsidRPr="00822122" w:rsidRDefault="00865A15" w:rsidP="00386330">
            <w:pPr>
              <w:jc w:val="both"/>
              <w:rPr>
                <w:rFonts w:ascii="Bookman Old Style" w:hAnsi="Bookman Old Style" w:cs="Arial"/>
                <w:b/>
                <w:sz w:val="20"/>
                <w:szCs w:val="20"/>
                <w:u w:val="single"/>
              </w:rPr>
            </w:pPr>
            <w:r>
              <w:rPr>
                <w:rFonts w:ascii="Bookman Old Style" w:hAnsi="Bookman Old Style" w:cs="Arial"/>
                <w:b/>
                <w:sz w:val="20"/>
                <w:szCs w:val="20"/>
                <w:u w:val="single"/>
              </w:rPr>
              <w:t>DE ARCHIVO AL PROYECTO</w:t>
            </w:r>
          </w:p>
        </w:tc>
        <w:tc>
          <w:tcPr>
            <w:tcW w:w="2244" w:type="dxa"/>
          </w:tcPr>
          <w:p w14:paraId="30413D33" w14:textId="77777777" w:rsidR="00865A15" w:rsidRPr="00822122" w:rsidRDefault="00865A15" w:rsidP="00386330">
            <w:pPr>
              <w:jc w:val="both"/>
              <w:rPr>
                <w:rFonts w:ascii="Bookman Old Style" w:hAnsi="Bookman Old Style" w:cs="Arial"/>
                <w:sz w:val="20"/>
                <w:szCs w:val="20"/>
              </w:rPr>
            </w:pPr>
            <w:r>
              <w:rPr>
                <w:rFonts w:ascii="Bookman Old Style" w:hAnsi="Bookman Old Style" w:cs="Arial"/>
                <w:sz w:val="20"/>
                <w:szCs w:val="20"/>
              </w:rPr>
              <w:t>H.R. Adriana Matiz, H.R. Gustavo Padilla, H.R. Juan Carlos Wills.</w:t>
            </w:r>
          </w:p>
        </w:tc>
        <w:tc>
          <w:tcPr>
            <w:tcW w:w="2053" w:type="dxa"/>
          </w:tcPr>
          <w:p w14:paraId="51D599BB" w14:textId="77777777" w:rsidR="00865A15" w:rsidRPr="00822122" w:rsidRDefault="00865A15" w:rsidP="00386330">
            <w:pPr>
              <w:jc w:val="both"/>
              <w:rPr>
                <w:rFonts w:ascii="Bookman Old Style" w:hAnsi="Bookman Old Style" w:cs="Arial"/>
                <w:sz w:val="20"/>
                <w:szCs w:val="20"/>
              </w:rPr>
            </w:pPr>
            <w:r>
              <w:rPr>
                <w:rFonts w:ascii="Bookman Old Style" w:hAnsi="Bookman Old Style" w:cs="Arial"/>
                <w:sz w:val="20"/>
                <w:szCs w:val="20"/>
              </w:rPr>
              <w:t>Se acumuló con la proposición presentada por el Representante Buenaventura y fue negada por la Comisión</w:t>
            </w:r>
            <w:r w:rsidRPr="00822122">
              <w:rPr>
                <w:rFonts w:ascii="Bookman Old Style" w:hAnsi="Bookman Old Style" w:cs="Arial"/>
                <w:sz w:val="20"/>
                <w:szCs w:val="20"/>
              </w:rPr>
              <w:t>.</w:t>
            </w:r>
          </w:p>
        </w:tc>
      </w:tr>
      <w:tr w:rsidR="00865A15" w:rsidRPr="00822122" w14:paraId="03377ADC" w14:textId="77777777" w:rsidTr="00386330">
        <w:tc>
          <w:tcPr>
            <w:tcW w:w="4531" w:type="dxa"/>
          </w:tcPr>
          <w:p w14:paraId="22381394" w14:textId="77777777" w:rsidR="00DC5DC2" w:rsidRPr="00DC5DC2" w:rsidRDefault="00DC5DC2" w:rsidP="00DC5DC2">
            <w:pPr>
              <w:pStyle w:val="centrado"/>
              <w:tabs>
                <w:tab w:val="left" w:pos="1834"/>
              </w:tabs>
              <w:spacing w:before="0" w:beforeAutospacing="0" w:after="0" w:afterAutospacing="0"/>
              <w:jc w:val="both"/>
              <w:rPr>
                <w:rFonts w:ascii="Bookman Old Style" w:hAnsi="Bookman Old Style" w:cs="Calibri"/>
                <w:b/>
                <w:bCs/>
                <w:sz w:val="18"/>
                <w:szCs w:val="18"/>
              </w:rPr>
            </w:pPr>
            <w:r>
              <w:rPr>
                <w:rFonts w:ascii="Bookman Old Style" w:hAnsi="Bookman Old Style" w:cs="Calibri"/>
                <w:b/>
                <w:bCs/>
                <w:sz w:val="18"/>
                <w:szCs w:val="18"/>
              </w:rPr>
              <w:t>Adiciónese un inciso al artículo 1 del PROYECTO DE ACTO LEGISLATIVO 006 de 2020 “Por medio del cual se modifica el artículo 49 de la Constitución Política de Colombia y se regulariza el uso recreativo del Cannabis”. El cual quedará así</w:t>
            </w:r>
            <w:r w:rsidRPr="00DC5DC2">
              <w:rPr>
                <w:rFonts w:ascii="Bookman Old Style" w:hAnsi="Bookman Old Style" w:cs="Calibri"/>
                <w:sz w:val="18"/>
                <w:szCs w:val="18"/>
              </w:rPr>
              <w:t>:</w:t>
            </w:r>
            <w:r w:rsidRPr="00DC5DC2">
              <w:rPr>
                <w:rFonts w:ascii="Bookman Old Style" w:hAnsi="Bookman Old Style" w:cs="Calibri"/>
                <w:b/>
                <w:bCs/>
                <w:sz w:val="18"/>
                <w:szCs w:val="18"/>
              </w:rPr>
              <w:t xml:space="preserve"> </w:t>
            </w:r>
          </w:p>
          <w:p w14:paraId="5C53EB88" w14:textId="77777777" w:rsidR="00DC5DC2" w:rsidRDefault="00DC5DC2" w:rsidP="00DC5DC2">
            <w:pPr>
              <w:tabs>
                <w:tab w:val="left" w:pos="1834"/>
              </w:tabs>
              <w:jc w:val="both"/>
              <w:rPr>
                <w:rFonts w:ascii="Bookman Old Style" w:hAnsi="Bookman Old Style" w:cs="Calibri"/>
                <w:b/>
                <w:sz w:val="18"/>
                <w:szCs w:val="18"/>
              </w:rPr>
            </w:pPr>
          </w:p>
          <w:p w14:paraId="1A7FA749"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b/>
                <w:sz w:val="18"/>
                <w:szCs w:val="18"/>
              </w:rPr>
              <w:t xml:space="preserve">ARTÍCULO 49o. </w:t>
            </w:r>
            <w:r w:rsidRPr="00DC5DC2">
              <w:rPr>
                <w:rFonts w:ascii="Bookman Old Style" w:hAnsi="Bookman Old Style" w:cs="Calibri"/>
                <w:sz w:val="18"/>
                <w:szCs w:val="18"/>
              </w:rPr>
              <w:t>La atención de la salud y el saneamiento ambiental son servicios públicos a cargo del Estado. Se garantiza a todas las personas el acceso a los servicios de promoción, protección y recuperación de la salud.</w:t>
            </w:r>
          </w:p>
          <w:p w14:paraId="2E415E0F" w14:textId="77777777" w:rsidR="00DC5DC2" w:rsidRDefault="00DC5DC2" w:rsidP="00DC5DC2">
            <w:pPr>
              <w:tabs>
                <w:tab w:val="left" w:pos="1834"/>
              </w:tabs>
              <w:jc w:val="both"/>
              <w:rPr>
                <w:rFonts w:ascii="Bookman Old Style" w:hAnsi="Bookman Old Style" w:cs="Calibri"/>
                <w:sz w:val="18"/>
                <w:szCs w:val="18"/>
              </w:rPr>
            </w:pPr>
          </w:p>
          <w:p w14:paraId="1CC22451"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lastRenderedPageBreak/>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5EF7FA1C" w14:textId="77777777" w:rsidR="00DC5DC2" w:rsidRDefault="00DC5DC2" w:rsidP="00DC5DC2">
            <w:pPr>
              <w:tabs>
                <w:tab w:val="left" w:pos="1834"/>
              </w:tabs>
              <w:jc w:val="both"/>
              <w:rPr>
                <w:rFonts w:ascii="Bookman Old Style" w:hAnsi="Bookman Old Style" w:cs="Calibri"/>
                <w:sz w:val="18"/>
                <w:szCs w:val="18"/>
              </w:rPr>
            </w:pPr>
          </w:p>
          <w:p w14:paraId="6A42F756"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Los servicios de salud se organizarán en forma descentralizada, por niveles de atención y con participación de la comunidad.</w:t>
            </w:r>
          </w:p>
          <w:p w14:paraId="26177F0D" w14:textId="77777777" w:rsidR="00DC5DC2" w:rsidRDefault="00DC5DC2" w:rsidP="00DC5DC2">
            <w:pPr>
              <w:tabs>
                <w:tab w:val="left" w:pos="1834"/>
              </w:tabs>
              <w:jc w:val="both"/>
              <w:rPr>
                <w:rFonts w:ascii="Bookman Old Style" w:hAnsi="Bookman Old Style" w:cs="Calibri"/>
                <w:sz w:val="18"/>
                <w:szCs w:val="18"/>
              </w:rPr>
            </w:pPr>
          </w:p>
          <w:p w14:paraId="6E71E345"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La ley señalará los términos en los cuales la atención básica para todos los habitantes será gratuita y obligatoria.</w:t>
            </w:r>
          </w:p>
          <w:p w14:paraId="2228CE32" w14:textId="77777777" w:rsidR="00DC5DC2" w:rsidRDefault="00DC5DC2" w:rsidP="00DC5DC2">
            <w:pPr>
              <w:tabs>
                <w:tab w:val="left" w:pos="1834"/>
              </w:tabs>
              <w:jc w:val="both"/>
              <w:rPr>
                <w:rFonts w:ascii="Bookman Old Style" w:hAnsi="Bookman Old Style" w:cs="Calibri"/>
                <w:sz w:val="18"/>
                <w:szCs w:val="18"/>
              </w:rPr>
            </w:pPr>
          </w:p>
          <w:p w14:paraId="127B1F05"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Toda persona tiene el deber de procurar el cuidado integral de su salud y de su comunidad.</w:t>
            </w:r>
          </w:p>
          <w:p w14:paraId="1861C7E7" w14:textId="77777777" w:rsidR="00DC5DC2" w:rsidRDefault="00DC5DC2" w:rsidP="00DC5DC2">
            <w:pPr>
              <w:tabs>
                <w:tab w:val="left" w:pos="1834"/>
              </w:tabs>
              <w:jc w:val="both"/>
              <w:rPr>
                <w:rFonts w:ascii="Bookman Old Style" w:hAnsi="Bookman Old Style" w:cs="Calibri"/>
                <w:sz w:val="18"/>
                <w:szCs w:val="18"/>
              </w:rPr>
            </w:pPr>
          </w:p>
          <w:p w14:paraId="7A3EAE86"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51BA4111" w14:textId="77777777" w:rsidR="00DC5DC2" w:rsidRDefault="00DC5DC2" w:rsidP="00DC5DC2">
            <w:pPr>
              <w:tabs>
                <w:tab w:val="left" w:pos="1834"/>
              </w:tabs>
              <w:jc w:val="both"/>
              <w:rPr>
                <w:rFonts w:ascii="Bookman Old Style" w:hAnsi="Bookman Old Style" w:cs="Calibri"/>
                <w:b/>
                <w:sz w:val="18"/>
                <w:szCs w:val="18"/>
                <w:u w:val="single"/>
              </w:rPr>
            </w:pPr>
          </w:p>
          <w:p w14:paraId="715F02B6" w14:textId="77777777" w:rsid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La prohibición prevista en el inciso anterior no aplicará frente al cannabis y sus derivados para el uso recreativo por parte de mayores de edad y dentro de los establecimientos que disponga la ley. Tampoco aplicará para la destinación científica de estas sustancias, siempre y cuando se cuente con las licencias otorgadas por la autoridad competente. La Ley podrá restringir y sancionar el porte y consumo del cannabis y sus derivados en espacios públicos y zonas comunes.</w:t>
            </w:r>
          </w:p>
          <w:p w14:paraId="64F802A4" w14:textId="77777777" w:rsidR="00DC5DC2" w:rsidRDefault="00DC5DC2" w:rsidP="00DC5DC2">
            <w:pPr>
              <w:tabs>
                <w:tab w:val="left" w:pos="1834"/>
              </w:tabs>
              <w:jc w:val="both"/>
              <w:rPr>
                <w:rFonts w:ascii="Bookman Old Style" w:hAnsi="Bookman Old Style" w:cs="Calibri"/>
                <w:sz w:val="18"/>
                <w:szCs w:val="18"/>
              </w:rPr>
            </w:pPr>
          </w:p>
          <w:p w14:paraId="198A379B" w14:textId="77777777" w:rsidR="00DC5DC2" w:rsidRPr="00DC5DC2" w:rsidRDefault="00DC5DC2" w:rsidP="00DC5DC2">
            <w:pPr>
              <w:tabs>
                <w:tab w:val="left" w:pos="1834"/>
              </w:tabs>
              <w:jc w:val="both"/>
              <w:rPr>
                <w:rFonts w:ascii="Bookman Old Style" w:hAnsi="Bookman Old Style" w:cs="Calibri"/>
                <w:sz w:val="18"/>
                <w:szCs w:val="18"/>
              </w:rPr>
            </w:pPr>
            <w:r>
              <w:rPr>
                <w:rFonts w:ascii="Bookman Old Style" w:hAnsi="Bookman Old Style" w:cs="Calibri"/>
                <w:sz w:val="18"/>
                <w:szCs w:val="18"/>
              </w:rPr>
              <w:t>Previo al levantamiento de la prohibición para el uso del cannabis y sus derivados, será deber del Estado implementar una política pública estricta en torno a la prevención del consumo de cannabis, demostrando con datos la disminución de su consumo. Adicionalmente, se implementará una catedra sobre las consecuencias del consumo.</w:t>
            </w:r>
          </w:p>
          <w:p w14:paraId="6683E99B" w14:textId="77777777" w:rsidR="00DC5DC2" w:rsidRDefault="00DC5DC2" w:rsidP="00DC5DC2">
            <w:pPr>
              <w:jc w:val="both"/>
              <w:rPr>
                <w:rFonts w:ascii="Bookman Old Style" w:hAnsi="Bookman Old Style" w:cs="Calibri"/>
                <w:sz w:val="18"/>
                <w:szCs w:val="18"/>
              </w:rPr>
            </w:pPr>
          </w:p>
          <w:p w14:paraId="6DA5D744" w14:textId="77777777" w:rsidR="00865A15" w:rsidRPr="00822122" w:rsidRDefault="00DC5DC2" w:rsidP="00DC5DC2">
            <w:pPr>
              <w:jc w:val="both"/>
              <w:rPr>
                <w:rFonts w:ascii="Bookman Old Style" w:hAnsi="Bookman Old Style" w:cs="Arial"/>
                <w:b/>
                <w:sz w:val="20"/>
                <w:szCs w:val="20"/>
                <w:u w:val="single"/>
              </w:rPr>
            </w:pPr>
            <w:r w:rsidRPr="00DC5DC2">
              <w:rPr>
                <w:rFonts w:ascii="Bookman Old Style" w:hAnsi="Bookman Old Style" w:cs="Calibri"/>
                <w:sz w:val="18"/>
                <w:szCs w:val="18"/>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tc>
        <w:tc>
          <w:tcPr>
            <w:tcW w:w="2244" w:type="dxa"/>
          </w:tcPr>
          <w:p w14:paraId="0E40447E" w14:textId="77777777" w:rsidR="00865A15" w:rsidRDefault="00865A15" w:rsidP="00386330">
            <w:pPr>
              <w:jc w:val="both"/>
              <w:rPr>
                <w:rFonts w:ascii="Bookman Old Style" w:hAnsi="Bookman Old Style" w:cs="Arial"/>
                <w:sz w:val="20"/>
                <w:szCs w:val="20"/>
              </w:rPr>
            </w:pPr>
            <w:r>
              <w:rPr>
                <w:rFonts w:ascii="Bookman Old Style" w:hAnsi="Bookman Old Style" w:cs="Arial"/>
                <w:sz w:val="20"/>
                <w:szCs w:val="20"/>
              </w:rPr>
              <w:lastRenderedPageBreak/>
              <w:t>H.R. Erwin Arias</w:t>
            </w:r>
          </w:p>
        </w:tc>
        <w:tc>
          <w:tcPr>
            <w:tcW w:w="2053" w:type="dxa"/>
          </w:tcPr>
          <w:p w14:paraId="529041C1" w14:textId="77777777" w:rsidR="00865A15" w:rsidRPr="00822122" w:rsidRDefault="00865A15" w:rsidP="00386330">
            <w:pPr>
              <w:jc w:val="both"/>
              <w:rPr>
                <w:rFonts w:ascii="Bookman Old Style" w:hAnsi="Bookman Old Style" w:cs="Arial"/>
                <w:sz w:val="20"/>
                <w:szCs w:val="20"/>
              </w:rPr>
            </w:pPr>
            <w:r>
              <w:rPr>
                <w:rFonts w:ascii="Bookman Old Style" w:hAnsi="Bookman Old Style" w:cs="Arial"/>
                <w:sz w:val="20"/>
                <w:szCs w:val="20"/>
              </w:rPr>
              <w:t>Proposición Sustitutiva al Artículo 1 del Proyecto de Acto Legislativo. Fue negada por la Comisión.</w:t>
            </w:r>
          </w:p>
        </w:tc>
      </w:tr>
      <w:tr w:rsidR="00865A15" w:rsidRPr="00865A15" w14:paraId="1F922393" w14:textId="77777777" w:rsidTr="00386330">
        <w:tc>
          <w:tcPr>
            <w:tcW w:w="4531" w:type="dxa"/>
          </w:tcPr>
          <w:p w14:paraId="0270F310" w14:textId="77777777" w:rsidR="00DC5DC2" w:rsidRPr="00DC5DC2" w:rsidRDefault="00DC5DC2" w:rsidP="00DC5DC2">
            <w:pPr>
              <w:pStyle w:val="centrado"/>
              <w:tabs>
                <w:tab w:val="left" w:pos="1834"/>
              </w:tabs>
              <w:spacing w:before="0" w:beforeAutospacing="0" w:after="0" w:afterAutospacing="0"/>
              <w:jc w:val="both"/>
              <w:rPr>
                <w:rFonts w:ascii="Bookman Old Style" w:hAnsi="Bookman Old Style" w:cs="Calibri"/>
                <w:b/>
                <w:bCs/>
                <w:sz w:val="18"/>
                <w:szCs w:val="18"/>
              </w:rPr>
            </w:pPr>
            <w:r w:rsidRPr="00DC5DC2">
              <w:rPr>
                <w:rFonts w:ascii="Bookman Old Style" w:hAnsi="Bookman Old Style" w:cs="Calibri"/>
                <w:b/>
                <w:bCs/>
                <w:sz w:val="18"/>
                <w:szCs w:val="18"/>
              </w:rPr>
              <w:lastRenderedPageBreak/>
              <w:t xml:space="preserve">ARTÍCULO 1º. </w:t>
            </w:r>
            <w:r w:rsidRPr="00DC5DC2">
              <w:rPr>
                <w:rFonts w:ascii="Bookman Old Style" w:hAnsi="Bookman Old Style" w:cs="Calibri"/>
                <w:b/>
                <w:sz w:val="18"/>
                <w:szCs w:val="18"/>
              </w:rPr>
              <w:t>El artículo 49 de la Constitución Política quedará así</w:t>
            </w:r>
            <w:r w:rsidRPr="00DC5DC2">
              <w:rPr>
                <w:rFonts w:ascii="Bookman Old Style" w:hAnsi="Bookman Old Style" w:cs="Calibri"/>
                <w:sz w:val="18"/>
                <w:szCs w:val="18"/>
              </w:rPr>
              <w:t>:</w:t>
            </w:r>
            <w:r w:rsidRPr="00DC5DC2">
              <w:rPr>
                <w:rFonts w:ascii="Bookman Old Style" w:hAnsi="Bookman Old Style" w:cs="Calibri"/>
                <w:b/>
                <w:bCs/>
                <w:sz w:val="18"/>
                <w:szCs w:val="18"/>
              </w:rPr>
              <w:t xml:space="preserve"> </w:t>
            </w:r>
          </w:p>
          <w:p w14:paraId="42295593" w14:textId="77777777" w:rsidR="00DC5DC2" w:rsidRDefault="00DC5DC2" w:rsidP="00DC5DC2">
            <w:pPr>
              <w:tabs>
                <w:tab w:val="left" w:pos="1834"/>
              </w:tabs>
              <w:jc w:val="both"/>
              <w:rPr>
                <w:rFonts w:ascii="Bookman Old Style" w:hAnsi="Bookman Old Style" w:cs="Calibri"/>
                <w:b/>
                <w:sz w:val="18"/>
                <w:szCs w:val="18"/>
              </w:rPr>
            </w:pPr>
          </w:p>
          <w:p w14:paraId="46C4D20C"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b/>
                <w:sz w:val="18"/>
                <w:szCs w:val="18"/>
              </w:rPr>
              <w:t xml:space="preserve">ARTÍCULO 49o. </w:t>
            </w:r>
            <w:r w:rsidRPr="00DC5DC2">
              <w:rPr>
                <w:rFonts w:ascii="Bookman Old Style" w:hAnsi="Bookman Old Style" w:cs="Calibri"/>
                <w:sz w:val="18"/>
                <w:szCs w:val="18"/>
              </w:rPr>
              <w:t>La atención de la salud y el saneamiento ambiental son servicios públicos a cargo del Estado. Se garantiza a todas las personas el acceso a los servicios de promoción, protección y recuperación de la salud.</w:t>
            </w:r>
          </w:p>
          <w:p w14:paraId="07BAECE8" w14:textId="77777777" w:rsidR="00DC5DC2" w:rsidRDefault="00DC5DC2" w:rsidP="00DC5DC2">
            <w:pPr>
              <w:tabs>
                <w:tab w:val="left" w:pos="1834"/>
              </w:tabs>
              <w:jc w:val="both"/>
              <w:rPr>
                <w:rFonts w:ascii="Bookman Old Style" w:hAnsi="Bookman Old Style" w:cs="Calibri"/>
                <w:sz w:val="18"/>
                <w:szCs w:val="18"/>
              </w:rPr>
            </w:pPr>
          </w:p>
          <w:p w14:paraId="291F2BE4"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2BE398BB" w14:textId="77777777" w:rsidR="00DC5DC2" w:rsidRDefault="00DC5DC2" w:rsidP="00DC5DC2">
            <w:pPr>
              <w:tabs>
                <w:tab w:val="left" w:pos="1834"/>
              </w:tabs>
              <w:jc w:val="both"/>
              <w:rPr>
                <w:rFonts w:ascii="Bookman Old Style" w:hAnsi="Bookman Old Style" w:cs="Calibri"/>
                <w:sz w:val="18"/>
                <w:szCs w:val="18"/>
              </w:rPr>
            </w:pPr>
          </w:p>
          <w:p w14:paraId="5566FBAC"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Los servicios de salud se organizarán en forma descentralizada, por niveles de atención y con participación de la comunidad.</w:t>
            </w:r>
          </w:p>
          <w:p w14:paraId="6AD1E919" w14:textId="77777777" w:rsidR="00DC5DC2" w:rsidRDefault="00DC5DC2" w:rsidP="00DC5DC2">
            <w:pPr>
              <w:tabs>
                <w:tab w:val="left" w:pos="1834"/>
              </w:tabs>
              <w:jc w:val="both"/>
              <w:rPr>
                <w:rFonts w:ascii="Bookman Old Style" w:hAnsi="Bookman Old Style" w:cs="Calibri"/>
                <w:sz w:val="18"/>
                <w:szCs w:val="18"/>
              </w:rPr>
            </w:pPr>
          </w:p>
          <w:p w14:paraId="11E84857"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La ley señalará los términos en los cuales la atención básica para todos los habitantes será gratuita y obligatoria.</w:t>
            </w:r>
          </w:p>
          <w:p w14:paraId="172BE695" w14:textId="77777777" w:rsidR="00DC5DC2" w:rsidRDefault="00DC5DC2" w:rsidP="00DC5DC2">
            <w:pPr>
              <w:tabs>
                <w:tab w:val="left" w:pos="1834"/>
              </w:tabs>
              <w:jc w:val="both"/>
              <w:rPr>
                <w:rFonts w:ascii="Bookman Old Style" w:hAnsi="Bookman Old Style" w:cs="Calibri"/>
                <w:sz w:val="18"/>
                <w:szCs w:val="18"/>
              </w:rPr>
            </w:pPr>
          </w:p>
          <w:p w14:paraId="0A39A5B8"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Toda persona tiene el deber de procurar el cuidado integral de su salud y de su comunidad.</w:t>
            </w:r>
          </w:p>
          <w:p w14:paraId="6097312C" w14:textId="77777777" w:rsidR="00DC5DC2" w:rsidRDefault="00DC5DC2" w:rsidP="00DC5DC2">
            <w:pPr>
              <w:tabs>
                <w:tab w:val="left" w:pos="1834"/>
              </w:tabs>
              <w:jc w:val="both"/>
              <w:rPr>
                <w:rFonts w:ascii="Bookman Old Style" w:hAnsi="Bookman Old Style" w:cs="Calibri"/>
                <w:sz w:val="18"/>
                <w:szCs w:val="18"/>
              </w:rPr>
            </w:pPr>
          </w:p>
          <w:p w14:paraId="23466111"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 xml:space="preserve">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w:t>
            </w:r>
            <w:r w:rsidRPr="00DC5DC2">
              <w:rPr>
                <w:rFonts w:ascii="Bookman Old Style" w:hAnsi="Bookman Old Style" w:cs="Calibri"/>
                <w:sz w:val="18"/>
                <w:szCs w:val="18"/>
              </w:rPr>
              <w:lastRenderedPageBreak/>
              <w:t>esas medidas y tratamientos requiere el consentimiento informado del adicto.</w:t>
            </w:r>
          </w:p>
          <w:p w14:paraId="5E069B39" w14:textId="77777777" w:rsidR="00DC5DC2" w:rsidRDefault="00DC5DC2" w:rsidP="00DC5DC2">
            <w:pPr>
              <w:tabs>
                <w:tab w:val="left" w:pos="1834"/>
              </w:tabs>
              <w:jc w:val="both"/>
              <w:rPr>
                <w:rFonts w:ascii="Bookman Old Style" w:hAnsi="Bookman Old Style" w:cs="Calibri"/>
                <w:b/>
                <w:sz w:val="18"/>
                <w:szCs w:val="18"/>
                <w:u w:val="single"/>
              </w:rPr>
            </w:pPr>
          </w:p>
          <w:p w14:paraId="3E7DAF93"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 xml:space="preserve">La prohibición prevista en el inciso anterior no aplicará frente al cannabis y sus derivados para el uso recreativo por parte de mayores de edad y dentro de los establecimientos que disponga la ley. Tampoco aplicará para la destinación científica de estas sustancias, siempre y cuando se cuente con las licencias otorgadas por la autoridad competente. La Ley podrá restringir y sancionar el porte y consumo del cannabis y sus derivados en espacios públicos </w:t>
            </w:r>
            <w:r w:rsidRPr="00DC5DC2">
              <w:rPr>
                <w:rFonts w:ascii="Bookman Old Style" w:hAnsi="Bookman Old Style" w:cs="Calibri"/>
                <w:b/>
                <w:strike/>
                <w:sz w:val="18"/>
                <w:szCs w:val="18"/>
              </w:rPr>
              <w:t>y</w:t>
            </w:r>
            <w:r w:rsidRPr="00DC5DC2">
              <w:rPr>
                <w:rFonts w:ascii="Bookman Old Style" w:hAnsi="Bookman Old Style" w:cs="Calibri"/>
                <w:sz w:val="18"/>
                <w:szCs w:val="18"/>
              </w:rPr>
              <w:t xml:space="preserve"> zonas comunes</w:t>
            </w:r>
            <w:r w:rsidRPr="00DC5DC2">
              <w:rPr>
                <w:rFonts w:ascii="Bookman Old Style" w:hAnsi="Bookman Old Style" w:cs="Calibri"/>
                <w:b/>
                <w:sz w:val="18"/>
                <w:szCs w:val="18"/>
                <w:u w:val="single"/>
              </w:rPr>
              <w:t>, y entornos escolares, entre otros</w:t>
            </w:r>
            <w:r w:rsidRPr="00DC5DC2">
              <w:rPr>
                <w:rFonts w:ascii="Bookman Old Style" w:hAnsi="Bookman Old Style" w:cs="Calibri"/>
                <w:sz w:val="18"/>
                <w:szCs w:val="18"/>
              </w:rPr>
              <w:t>.</w:t>
            </w:r>
          </w:p>
          <w:p w14:paraId="76C57A62" w14:textId="77777777" w:rsidR="00DC5DC2" w:rsidRDefault="00DC5DC2" w:rsidP="00DC5DC2">
            <w:pPr>
              <w:jc w:val="both"/>
              <w:rPr>
                <w:rFonts w:ascii="Bookman Old Style" w:hAnsi="Bookman Old Style" w:cs="Calibri"/>
                <w:sz w:val="18"/>
                <w:szCs w:val="18"/>
              </w:rPr>
            </w:pPr>
          </w:p>
          <w:p w14:paraId="10F4F598" w14:textId="77777777" w:rsidR="00865A15" w:rsidRPr="00822122" w:rsidRDefault="00DC5DC2" w:rsidP="00DC5DC2">
            <w:pPr>
              <w:jc w:val="both"/>
              <w:rPr>
                <w:rFonts w:ascii="Bookman Old Style" w:hAnsi="Bookman Old Style" w:cs="Arial"/>
                <w:b/>
                <w:sz w:val="20"/>
                <w:szCs w:val="20"/>
                <w:u w:val="single"/>
              </w:rPr>
            </w:pPr>
            <w:r w:rsidRPr="00DC5DC2">
              <w:rPr>
                <w:rFonts w:ascii="Bookman Old Style" w:hAnsi="Bookman Old Style" w:cs="Calibri"/>
                <w:sz w:val="18"/>
                <w:szCs w:val="18"/>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tc>
        <w:tc>
          <w:tcPr>
            <w:tcW w:w="2244" w:type="dxa"/>
          </w:tcPr>
          <w:p w14:paraId="207E8297" w14:textId="77777777" w:rsidR="00865A15" w:rsidRPr="00865A15" w:rsidRDefault="00865A15" w:rsidP="00386330">
            <w:pPr>
              <w:jc w:val="both"/>
              <w:rPr>
                <w:rFonts w:ascii="Bookman Old Style" w:hAnsi="Bookman Old Style" w:cs="Arial"/>
                <w:sz w:val="20"/>
                <w:szCs w:val="20"/>
              </w:rPr>
            </w:pPr>
            <w:r w:rsidRPr="00865A15">
              <w:rPr>
                <w:rFonts w:ascii="Bookman Old Style" w:hAnsi="Bookman Old Style" w:cs="Arial"/>
                <w:sz w:val="20"/>
                <w:szCs w:val="20"/>
              </w:rPr>
              <w:lastRenderedPageBreak/>
              <w:t>H.R. José Daniel López</w:t>
            </w:r>
          </w:p>
        </w:tc>
        <w:tc>
          <w:tcPr>
            <w:tcW w:w="2053" w:type="dxa"/>
          </w:tcPr>
          <w:p w14:paraId="3064A170" w14:textId="77777777" w:rsidR="00865A15" w:rsidRPr="00865A15" w:rsidRDefault="00DC5DC2" w:rsidP="00386330">
            <w:pPr>
              <w:jc w:val="both"/>
              <w:rPr>
                <w:rFonts w:ascii="Bookman Old Style" w:hAnsi="Bookman Old Style" w:cs="Arial"/>
                <w:sz w:val="20"/>
                <w:szCs w:val="20"/>
              </w:rPr>
            </w:pPr>
            <w:r>
              <w:rPr>
                <w:rFonts w:ascii="Bookman Old Style" w:hAnsi="Bookman Old Style" w:cs="Arial"/>
                <w:sz w:val="20"/>
                <w:szCs w:val="20"/>
              </w:rPr>
              <w:t>Proposición avalada por el ponente y aprobada por la Comisión Primera.</w:t>
            </w:r>
          </w:p>
        </w:tc>
      </w:tr>
      <w:tr w:rsidR="00865A15" w:rsidRPr="00865A15" w14:paraId="6B1FC811" w14:textId="77777777" w:rsidTr="00386330">
        <w:tc>
          <w:tcPr>
            <w:tcW w:w="4531" w:type="dxa"/>
          </w:tcPr>
          <w:p w14:paraId="446B88BB" w14:textId="77777777" w:rsidR="00DC5DC2" w:rsidRPr="00DC5DC2" w:rsidRDefault="00DC5DC2" w:rsidP="00DC5DC2">
            <w:pPr>
              <w:pStyle w:val="centrado"/>
              <w:tabs>
                <w:tab w:val="left" w:pos="1834"/>
              </w:tabs>
              <w:spacing w:before="0" w:beforeAutospacing="0" w:after="0" w:afterAutospacing="0"/>
              <w:jc w:val="both"/>
              <w:rPr>
                <w:rFonts w:ascii="Bookman Old Style" w:hAnsi="Bookman Old Style" w:cs="Calibri"/>
                <w:b/>
                <w:bCs/>
                <w:sz w:val="18"/>
                <w:szCs w:val="18"/>
              </w:rPr>
            </w:pPr>
            <w:r w:rsidRPr="00DC5DC2">
              <w:rPr>
                <w:rFonts w:ascii="Bookman Old Style" w:hAnsi="Bookman Old Style" w:cs="Calibri"/>
                <w:b/>
                <w:bCs/>
                <w:sz w:val="18"/>
                <w:szCs w:val="18"/>
              </w:rPr>
              <w:lastRenderedPageBreak/>
              <w:t xml:space="preserve">ARTÍCULO 1º. </w:t>
            </w:r>
            <w:r w:rsidRPr="00DC5DC2">
              <w:rPr>
                <w:rFonts w:ascii="Bookman Old Style" w:hAnsi="Bookman Old Style" w:cs="Calibri"/>
                <w:b/>
                <w:sz w:val="18"/>
                <w:szCs w:val="18"/>
              </w:rPr>
              <w:t>El artículo 49 de la Constitución Política quedará así</w:t>
            </w:r>
            <w:r w:rsidRPr="00DC5DC2">
              <w:rPr>
                <w:rFonts w:ascii="Bookman Old Style" w:hAnsi="Bookman Old Style" w:cs="Calibri"/>
                <w:sz w:val="18"/>
                <w:szCs w:val="18"/>
              </w:rPr>
              <w:t>:</w:t>
            </w:r>
            <w:r w:rsidRPr="00DC5DC2">
              <w:rPr>
                <w:rFonts w:ascii="Bookman Old Style" w:hAnsi="Bookman Old Style" w:cs="Calibri"/>
                <w:b/>
                <w:bCs/>
                <w:sz w:val="18"/>
                <w:szCs w:val="18"/>
              </w:rPr>
              <w:t xml:space="preserve"> </w:t>
            </w:r>
          </w:p>
          <w:p w14:paraId="6C694EF7" w14:textId="77777777" w:rsidR="00DC5DC2" w:rsidRDefault="00DC5DC2" w:rsidP="00DC5DC2">
            <w:pPr>
              <w:tabs>
                <w:tab w:val="left" w:pos="1834"/>
              </w:tabs>
              <w:jc w:val="both"/>
              <w:rPr>
                <w:rFonts w:ascii="Bookman Old Style" w:hAnsi="Bookman Old Style" w:cs="Calibri"/>
                <w:b/>
                <w:sz w:val="18"/>
                <w:szCs w:val="18"/>
              </w:rPr>
            </w:pPr>
          </w:p>
          <w:p w14:paraId="1F073C30"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b/>
                <w:sz w:val="18"/>
                <w:szCs w:val="18"/>
              </w:rPr>
              <w:t xml:space="preserve">ARTÍCULO 49o. </w:t>
            </w:r>
            <w:r w:rsidRPr="00DC5DC2">
              <w:rPr>
                <w:rFonts w:ascii="Bookman Old Style" w:hAnsi="Bookman Old Style" w:cs="Calibri"/>
                <w:sz w:val="18"/>
                <w:szCs w:val="18"/>
              </w:rPr>
              <w:t>La atención de la salud y el saneamiento ambiental son servicios públicos a cargo del Estado. Se garantiza a todas las personas el acceso a los servicios de promoción, protección y recuperación de la salud.</w:t>
            </w:r>
          </w:p>
          <w:p w14:paraId="739CCAFC" w14:textId="77777777" w:rsidR="00DC5DC2" w:rsidRDefault="00DC5DC2" w:rsidP="00DC5DC2">
            <w:pPr>
              <w:tabs>
                <w:tab w:val="left" w:pos="1834"/>
              </w:tabs>
              <w:jc w:val="both"/>
              <w:rPr>
                <w:rFonts w:ascii="Bookman Old Style" w:hAnsi="Bookman Old Style" w:cs="Calibri"/>
                <w:sz w:val="18"/>
                <w:szCs w:val="18"/>
              </w:rPr>
            </w:pPr>
          </w:p>
          <w:p w14:paraId="612425AC"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42C628B4" w14:textId="77777777" w:rsidR="00DC5DC2" w:rsidRDefault="00DC5DC2" w:rsidP="00DC5DC2">
            <w:pPr>
              <w:tabs>
                <w:tab w:val="left" w:pos="1834"/>
              </w:tabs>
              <w:jc w:val="both"/>
              <w:rPr>
                <w:rFonts w:ascii="Bookman Old Style" w:hAnsi="Bookman Old Style" w:cs="Calibri"/>
                <w:sz w:val="18"/>
                <w:szCs w:val="18"/>
              </w:rPr>
            </w:pPr>
          </w:p>
          <w:p w14:paraId="47144679"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Los servicios de salud se organizarán en forma descentralizada, por niveles de atención y con participación de la comunidad.</w:t>
            </w:r>
          </w:p>
          <w:p w14:paraId="6FE07BED" w14:textId="77777777" w:rsidR="00DC5DC2" w:rsidRDefault="00DC5DC2" w:rsidP="00DC5DC2">
            <w:pPr>
              <w:tabs>
                <w:tab w:val="left" w:pos="1834"/>
              </w:tabs>
              <w:jc w:val="both"/>
              <w:rPr>
                <w:rFonts w:ascii="Bookman Old Style" w:hAnsi="Bookman Old Style" w:cs="Calibri"/>
                <w:sz w:val="18"/>
                <w:szCs w:val="18"/>
              </w:rPr>
            </w:pPr>
          </w:p>
          <w:p w14:paraId="11FF297D"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lastRenderedPageBreak/>
              <w:t>La ley señalará los términos en los cuales la atención básica para todos los habitantes será gratuita y obligatoria.</w:t>
            </w:r>
          </w:p>
          <w:p w14:paraId="04E75397" w14:textId="77777777" w:rsidR="00DC5DC2" w:rsidRDefault="00DC5DC2" w:rsidP="00DC5DC2">
            <w:pPr>
              <w:tabs>
                <w:tab w:val="left" w:pos="1834"/>
              </w:tabs>
              <w:jc w:val="both"/>
              <w:rPr>
                <w:rFonts w:ascii="Bookman Old Style" w:hAnsi="Bookman Old Style" w:cs="Calibri"/>
                <w:sz w:val="18"/>
                <w:szCs w:val="18"/>
              </w:rPr>
            </w:pPr>
          </w:p>
          <w:p w14:paraId="397E7DA8"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Toda persona tiene el deber de procurar el cuidado integral de su salud y de su comunidad.</w:t>
            </w:r>
          </w:p>
          <w:p w14:paraId="44A7598B" w14:textId="77777777" w:rsidR="00DC5DC2" w:rsidRDefault="00DC5DC2" w:rsidP="00DC5DC2">
            <w:pPr>
              <w:tabs>
                <w:tab w:val="left" w:pos="1834"/>
              </w:tabs>
              <w:jc w:val="both"/>
              <w:rPr>
                <w:rFonts w:ascii="Bookman Old Style" w:hAnsi="Bookman Old Style" w:cs="Calibri"/>
                <w:sz w:val="18"/>
                <w:szCs w:val="18"/>
              </w:rPr>
            </w:pPr>
          </w:p>
          <w:p w14:paraId="6322F639"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4F4CC28C" w14:textId="77777777" w:rsidR="00DC5DC2" w:rsidRDefault="00DC5DC2" w:rsidP="00DC5DC2">
            <w:pPr>
              <w:tabs>
                <w:tab w:val="left" w:pos="1834"/>
              </w:tabs>
              <w:jc w:val="both"/>
              <w:rPr>
                <w:rFonts w:ascii="Bookman Old Style" w:hAnsi="Bookman Old Style" w:cs="Calibri"/>
                <w:b/>
                <w:sz w:val="18"/>
                <w:szCs w:val="18"/>
                <w:u w:val="single"/>
              </w:rPr>
            </w:pPr>
          </w:p>
          <w:p w14:paraId="4ED04688"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 xml:space="preserve">La prohibición prevista en el inciso anterior no aplicará frente al cannabis y sus derivados para el uso recreativo por parte de mayores de edad </w:t>
            </w:r>
            <w:r w:rsidRPr="00640F49">
              <w:rPr>
                <w:rFonts w:ascii="Bookman Old Style" w:hAnsi="Bookman Old Style" w:cs="Calibri"/>
                <w:b/>
                <w:strike/>
                <w:sz w:val="18"/>
                <w:szCs w:val="18"/>
              </w:rPr>
              <w:t>y dentro de los establecimientos que disponga la ley</w:t>
            </w:r>
            <w:r w:rsidRPr="00DC5DC2">
              <w:rPr>
                <w:rFonts w:ascii="Bookman Old Style" w:hAnsi="Bookman Old Style" w:cs="Calibri"/>
                <w:sz w:val="18"/>
                <w:szCs w:val="18"/>
              </w:rPr>
              <w:t>. Tampoco aplicará para la destinación científica de estas sustancias, siempre y cuando se cuente con las licencias otorgadas por la autoridad competente. La Ley podrá restringir y sancionar el porte y consumo del cannabis y sus derivados en espacios públicos y zonas comunes.</w:t>
            </w:r>
          </w:p>
          <w:p w14:paraId="272EA8CC" w14:textId="77777777" w:rsidR="00DC5DC2" w:rsidRDefault="00DC5DC2" w:rsidP="00DC5DC2">
            <w:pPr>
              <w:jc w:val="both"/>
              <w:rPr>
                <w:rFonts w:ascii="Bookman Old Style" w:hAnsi="Bookman Old Style" w:cs="Calibri"/>
                <w:sz w:val="18"/>
                <w:szCs w:val="18"/>
              </w:rPr>
            </w:pPr>
          </w:p>
          <w:p w14:paraId="440E6856" w14:textId="77777777" w:rsidR="00865A15" w:rsidRPr="00822122" w:rsidRDefault="00DC5DC2" w:rsidP="00DC5DC2">
            <w:pPr>
              <w:jc w:val="both"/>
              <w:rPr>
                <w:rFonts w:ascii="Bookman Old Style" w:hAnsi="Bookman Old Style" w:cs="Arial"/>
                <w:b/>
                <w:sz w:val="20"/>
                <w:szCs w:val="20"/>
                <w:u w:val="single"/>
              </w:rPr>
            </w:pPr>
            <w:r w:rsidRPr="00DC5DC2">
              <w:rPr>
                <w:rFonts w:ascii="Bookman Old Style" w:hAnsi="Bookman Old Style" w:cs="Calibri"/>
                <w:sz w:val="18"/>
                <w:szCs w:val="18"/>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tc>
        <w:tc>
          <w:tcPr>
            <w:tcW w:w="2244" w:type="dxa"/>
          </w:tcPr>
          <w:p w14:paraId="77C576FE" w14:textId="77777777" w:rsidR="00865A15" w:rsidRPr="00865A15" w:rsidRDefault="00865A15" w:rsidP="00386330">
            <w:pPr>
              <w:jc w:val="both"/>
              <w:rPr>
                <w:rFonts w:ascii="Bookman Old Style" w:hAnsi="Bookman Old Style" w:cs="Arial"/>
                <w:sz w:val="20"/>
                <w:szCs w:val="20"/>
              </w:rPr>
            </w:pPr>
            <w:r w:rsidRPr="00865A15">
              <w:rPr>
                <w:rFonts w:ascii="Bookman Old Style" w:hAnsi="Bookman Old Style" w:cs="Arial"/>
                <w:sz w:val="20"/>
                <w:szCs w:val="20"/>
              </w:rPr>
              <w:lastRenderedPageBreak/>
              <w:t>H.R. José Daniel López</w:t>
            </w:r>
          </w:p>
        </w:tc>
        <w:tc>
          <w:tcPr>
            <w:tcW w:w="2053" w:type="dxa"/>
          </w:tcPr>
          <w:p w14:paraId="6D72E09D" w14:textId="77777777" w:rsidR="00865A15" w:rsidRPr="00865A15" w:rsidRDefault="00DC5DC2" w:rsidP="00386330">
            <w:pPr>
              <w:jc w:val="both"/>
              <w:rPr>
                <w:rFonts w:ascii="Bookman Old Style" w:hAnsi="Bookman Old Style" w:cs="Arial"/>
                <w:sz w:val="20"/>
                <w:szCs w:val="20"/>
              </w:rPr>
            </w:pPr>
            <w:r>
              <w:rPr>
                <w:rFonts w:ascii="Bookman Old Style" w:hAnsi="Bookman Old Style" w:cs="Arial"/>
                <w:sz w:val="20"/>
                <w:szCs w:val="20"/>
              </w:rPr>
              <w:t>Proposición avalada por el ponente y aprobada por la Comisión Primera.</w:t>
            </w:r>
          </w:p>
        </w:tc>
      </w:tr>
      <w:tr w:rsidR="00865A15" w:rsidRPr="00865A15" w14:paraId="1D8EA4E1" w14:textId="77777777" w:rsidTr="00386330">
        <w:tc>
          <w:tcPr>
            <w:tcW w:w="4531" w:type="dxa"/>
          </w:tcPr>
          <w:p w14:paraId="3D4B16B5" w14:textId="77777777" w:rsidR="00DC5DC2" w:rsidRPr="00DC5DC2" w:rsidRDefault="00DC5DC2" w:rsidP="00DC5DC2">
            <w:pPr>
              <w:pStyle w:val="centrado"/>
              <w:tabs>
                <w:tab w:val="left" w:pos="1834"/>
              </w:tabs>
              <w:spacing w:before="0" w:beforeAutospacing="0" w:after="0" w:afterAutospacing="0"/>
              <w:jc w:val="both"/>
              <w:rPr>
                <w:rFonts w:ascii="Bookman Old Style" w:hAnsi="Bookman Old Style" w:cs="Calibri"/>
                <w:b/>
                <w:bCs/>
                <w:sz w:val="18"/>
                <w:szCs w:val="18"/>
              </w:rPr>
            </w:pPr>
            <w:r w:rsidRPr="00DC5DC2">
              <w:rPr>
                <w:rFonts w:ascii="Bookman Old Style" w:hAnsi="Bookman Old Style" w:cs="Calibri"/>
                <w:b/>
                <w:bCs/>
                <w:sz w:val="18"/>
                <w:szCs w:val="18"/>
              </w:rPr>
              <w:lastRenderedPageBreak/>
              <w:t xml:space="preserve">ARTÍCULO 1º. </w:t>
            </w:r>
            <w:r w:rsidRPr="00DC5DC2">
              <w:rPr>
                <w:rFonts w:ascii="Bookman Old Style" w:hAnsi="Bookman Old Style" w:cs="Calibri"/>
                <w:b/>
                <w:sz w:val="18"/>
                <w:szCs w:val="18"/>
              </w:rPr>
              <w:t>El artículo 49 de la Constitución Política quedará así</w:t>
            </w:r>
            <w:r w:rsidRPr="00DC5DC2">
              <w:rPr>
                <w:rFonts w:ascii="Bookman Old Style" w:hAnsi="Bookman Old Style" w:cs="Calibri"/>
                <w:sz w:val="18"/>
                <w:szCs w:val="18"/>
              </w:rPr>
              <w:t>:</w:t>
            </w:r>
            <w:r w:rsidRPr="00DC5DC2">
              <w:rPr>
                <w:rFonts w:ascii="Bookman Old Style" w:hAnsi="Bookman Old Style" w:cs="Calibri"/>
                <w:b/>
                <w:bCs/>
                <w:sz w:val="18"/>
                <w:szCs w:val="18"/>
              </w:rPr>
              <w:t xml:space="preserve"> </w:t>
            </w:r>
          </w:p>
          <w:p w14:paraId="04B2F234" w14:textId="77777777" w:rsidR="00DC5DC2" w:rsidRDefault="00DC5DC2" w:rsidP="00DC5DC2">
            <w:pPr>
              <w:tabs>
                <w:tab w:val="left" w:pos="1834"/>
              </w:tabs>
              <w:jc w:val="both"/>
              <w:rPr>
                <w:rFonts w:ascii="Bookman Old Style" w:hAnsi="Bookman Old Style" w:cs="Calibri"/>
                <w:b/>
                <w:sz w:val="18"/>
                <w:szCs w:val="18"/>
              </w:rPr>
            </w:pPr>
          </w:p>
          <w:p w14:paraId="60025D33"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b/>
                <w:sz w:val="18"/>
                <w:szCs w:val="18"/>
              </w:rPr>
              <w:t xml:space="preserve">ARTÍCULO 49o. </w:t>
            </w:r>
            <w:r w:rsidRPr="00DC5DC2">
              <w:rPr>
                <w:rFonts w:ascii="Bookman Old Style" w:hAnsi="Bookman Old Style" w:cs="Calibri"/>
                <w:sz w:val="18"/>
                <w:szCs w:val="18"/>
              </w:rPr>
              <w:t>La atención de la salud y el saneamiento ambiental son servicios públicos a cargo del Estado. Se garantiza a todas las personas el acceso a los servicios de promoción, protección y recuperación de la salud.</w:t>
            </w:r>
          </w:p>
          <w:p w14:paraId="55BE6317" w14:textId="77777777" w:rsidR="00DC5DC2" w:rsidRDefault="00DC5DC2" w:rsidP="00DC5DC2">
            <w:pPr>
              <w:tabs>
                <w:tab w:val="left" w:pos="1834"/>
              </w:tabs>
              <w:jc w:val="both"/>
              <w:rPr>
                <w:rFonts w:ascii="Bookman Old Style" w:hAnsi="Bookman Old Style" w:cs="Calibri"/>
                <w:sz w:val="18"/>
                <w:szCs w:val="18"/>
              </w:rPr>
            </w:pPr>
          </w:p>
          <w:p w14:paraId="03EC42F9"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 xml:space="preserve">Corresponde al Estado organizar, dirigir y reglamentar la prestación de servicios de salud a los habitantes y de saneamiento ambiental conforme a los principios de eficiencia, universalidad y solidaridad. También, establecer </w:t>
            </w:r>
            <w:r w:rsidRPr="00DC5DC2">
              <w:rPr>
                <w:rFonts w:ascii="Bookman Old Style" w:hAnsi="Bookman Old Style" w:cs="Calibri"/>
                <w:sz w:val="18"/>
                <w:szCs w:val="18"/>
              </w:rPr>
              <w:lastRenderedPageBreak/>
              <w:t>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19D2073A" w14:textId="77777777" w:rsidR="00DC5DC2" w:rsidRDefault="00DC5DC2" w:rsidP="00DC5DC2">
            <w:pPr>
              <w:tabs>
                <w:tab w:val="left" w:pos="1834"/>
              </w:tabs>
              <w:jc w:val="both"/>
              <w:rPr>
                <w:rFonts w:ascii="Bookman Old Style" w:hAnsi="Bookman Old Style" w:cs="Calibri"/>
                <w:sz w:val="18"/>
                <w:szCs w:val="18"/>
              </w:rPr>
            </w:pPr>
          </w:p>
          <w:p w14:paraId="296BFB76"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Los servicios de salud se organizarán en forma descentralizada, por niveles de atención y con participación de la comunidad.</w:t>
            </w:r>
          </w:p>
          <w:p w14:paraId="2E9AAAF8" w14:textId="77777777" w:rsidR="00DC5DC2" w:rsidRDefault="00DC5DC2" w:rsidP="00DC5DC2">
            <w:pPr>
              <w:tabs>
                <w:tab w:val="left" w:pos="1834"/>
              </w:tabs>
              <w:jc w:val="both"/>
              <w:rPr>
                <w:rFonts w:ascii="Bookman Old Style" w:hAnsi="Bookman Old Style" w:cs="Calibri"/>
                <w:sz w:val="18"/>
                <w:szCs w:val="18"/>
              </w:rPr>
            </w:pPr>
          </w:p>
          <w:p w14:paraId="7E9DC268"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La ley señalará los términos en los cuales la atención básica para todos los habitantes será gratuita y obligatoria.</w:t>
            </w:r>
          </w:p>
          <w:p w14:paraId="05381994" w14:textId="77777777" w:rsidR="00DC5DC2" w:rsidRDefault="00DC5DC2" w:rsidP="00DC5DC2">
            <w:pPr>
              <w:tabs>
                <w:tab w:val="left" w:pos="1834"/>
              </w:tabs>
              <w:jc w:val="both"/>
              <w:rPr>
                <w:rFonts w:ascii="Bookman Old Style" w:hAnsi="Bookman Old Style" w:cs="Calibri"/>
                <w:sz w:val="18"/>
                <w:szCs w:val="18"/>
              </w:rPr>
            </w:pPr>
          </w:p>
          <w:p w14:paraId="5439F7BD"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Toda persona tiene el deber de procurar el cuidado integral de su salud y de su comunidad.</w:t>
            </w:r>
          </w:p>
          <w:p w14:paraId="4EE1F79C" w14:textId="77777777" w:rsidR="00DC5DC2" w:rsidRDefault="00DC5DC2" w:rsidP="00DC5DC2">
            <w:pPr>
              <w:tabs>
                <w:tab w:val="left" w:pos="1834"/>
              </w:tabs>
              <w:jc w:val="both"/>
              <w:rPr>
                <w:rFonts w:ascii="Bookman Old Style" w:hAnsi="Bookman Old Style" w:cs="Calibri"/>
                <w:sz w:val="18"/>
                <w:szCs w:val="18"/>
              </w:rPr>
            </w:pPr>
          </w:p>
          <w:p w14:paraId="4DE4EF5E"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62BFBEDD" w14:textId="77777777" w:rsidR="00DC5DC2" w:rsidRDefault="00DC5DC2" w:rsidP="00DC5DC2">
            <w:pPr>
              <w:tabs>
                <w:tab w:val="left" w:pos="1834"/>
              </w:tabs>
              <w:jc w:val="both"/>
              <w:rPr>
                <w:rFonts w:ascii="Bookman Old Style" w:hAnsi="Bookman Old Style" w:cs="Calibri"/>
                <w:b/>
                <w:sz w:val="18"/>
                <w:szCs w:val="18"/>
                <w:u w:val="single"/>
              </w:rPr>
            </w:pPr>
          </w:p>
          <w:p w14:paraId="710A1CB1"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La prohibición prevista en el inciso anterior no aplicará frente al cannabis y sus derivados para el uso recreativo por parte de mayores de edad y dentro de los establecimientos que disponga la ley. Tampoco aplicará para la destinación científica de estas sustancias, siempre y cuando se cuente con las licencias otorgadas por la autoridad competente. La Ley podrá restringir y sancionar el porte y consumo del cannabis y sus derivados en espacios públicos y zonas comunes.</w:t>
            </w:r>
          </w:p>
          <w:p w14:paraId="2BFBAE89" w14:textId="77777777" w:rsidR="00DC5DC2" w:rsidRDefault="00DC5DC2" w:rsidP="00DC5DC2">
            <w:pPr>
              <w:jc w:val="both"/>
              <w:rPr>
                <w:rFonts w:ascii="Bookman Old Style" w:hAnsi="Bookman Old Style" w:cs="Calibri"/>
                <w:sz w:val="18"/>
                <w:szCs w:val="18"/>
              </w:rPr>
            </w:pPr>
          </w:p>
          <w:p w14:paraId="71637789" w14:textId="77777777" w:rsidR="00865A15" w:rsidRDefault="00DC5DC2" w:rsidP="00DC5DC2">
            <w:pPr>
              <w:jc w:val="both"/>
              <w:rPr>
                <w:rFonts w:ascii="Bookman Old Style" w:hAnsi="Bookman Old Style" w:cs="Calibri"/>
                <w:sz w:val="18"/>
                <w:szCs w:val="18"/>
              </w:rPr>
            </w:pPr>
            <w:r w:rsidRPr="00DC5DC2">
              <w:rPr>
                <w:rFonts w:ascii="Bookman Old Style" w:hAnsi="Bookman Old Style" w:cs="Calibri"/>
                <w:sz w:val="18"/>
                <w:szCs w:val="18"/>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p w14:paraId="0FEDC4B3" w14:textId="77777777" w:rsidR="00640F49" w:rsidRDefault="00640F49" w:rsidP="00DC5DC2">
            <w:pPr>
              <w:jc w:val="both"/>
              <w:rPr>
                <w:rFonts w:ascii="Bookman Old Style" w:hAnsi="Bookman Old Style" w:cs="Calibri"/>
                <w:sz w:val="18"/>
                <w:szCs w:val="18"/>
              </w:rPr>
            </w:pPr>
          </w:p>
          <w:p w14:paraId="2F9FB94E" w14:textId="77777777" w:rsidR="00640F49" w:rsidRPr="00640F49" w:rsidRDefault="00640F49" w:rsidP="00DC5DC2">
            <w:pPr>
              <w:jc w:val="both"/>
              <w:rPr>
                <w:rFonts w:ascii="Bookman Old Style" w:hAnsi="Bookman Old Style" w:cs="Arial"/>
                <w:b/>
                <w:sz w:val="20"/>
                <w:szCs w:val="20"/>
                <w:u w:val="single"/>
              </w:rPr>
            </w:pPr>
            <w:r w:rsidRPr="00640F49">
              <w:rPr>
                <w:rFonts w:ascii="Bookman Old Style" w:hAnsi="Bookman Old Style" w:cs="Calibri"/>
                <w:b/>
                <w:sz w:val="18"/>
                <w:szCs w:val="18"/>
                <w:u w:val="single"/>
              </w:rPr>
              <w:lastRenderedPageBreak/>
              <w:t>Parágrafo transitorio: El Gobierno Nacional reglamentará en un plazo máximo de seis (6) meses la restricción y sanción del porte y consumo del cannabis y sus derivados en espacios públicos, espacios semipúblicos y espacios semiprivados.</w:t>
            </w:r>
          </w:p>
        </w:tc>
        <w:tc>
          <w:tcPr>
            <w:tcW w:w="2244" w:type="dxa"/>
          </w:tcPr>
          <w:p w14:paraId="1D94BA9B" w14:textId="77777777" w:rsidR="00865A15" w:rsidRPr="00865A15" w:rsidRDefault="00865A15" w:rsidP="00386330">
            <w:pPr>
              <w:jc w:val="both"/>
              <w:rPr>
                <w:rFonts w:ascii="Bookman Old Style" w:hAnsi="Bookman Old Style" w:cs="Arial"/>
                <w:sz w:val="20"/>
                <w:szCs w:val="20"/>
              </w:rPr>
            </w:pPr>
            <w:r w:rsidRPr="00865A15">
              <w:rPr>
                <w:rFonts w:ascii="Bookman Old Style" w:hAnsi="Bookman Old Style" w:cs="Arial"/>
                <w:sz w:val="20"/>
                <w:szCs w:val="20"/>
              </w:rPr>
              <w:lastRenderedPageBreak/>
              <w:t xml:space="preserve">H.R. Jorge </w:t>
            </w:r>
            <w:r w:rsidR="00640F49" w:rsidRPr="00865A15">
              <w:rPr>
                <w:rFonts w:ascii="Bookman Old Style" w:hAnsi="Bookman Old Style" w:cs="Arial"/>
                <w:sz w:val="20"/>
                <w:szCs w:val="20"/>
              </w:rPr>
              <w:t>Méndez</w:t>
            </w:r>
          </w:p>
        </w:tc>
        <w:tc>
          <w:tcPr>
            <w:tcW w:w="2053" w:type="dxa"/>
          </w:tcPr>
          <w:p w14:paraId="6DC79AE8" w14:textId="77777777" w:rsidR="00865A15" w:rsidRPr="00865A15" w:rsidRDefault="00640F49" w:rsidP="00386330">
            <w:pPr>
              <w:jc w:val="both"/>
              <w:rPr>
                <w:rFonts w:ascii="Bookman Old Style" w:hAnsi="Bookman Old Style" w:cs="Arial"/>
                <w:sz w:val="20"/>
                <w:szCs w:val="20"/>
              </w:rPr>
            </w:pPr>
            <w:r w:rsidRPr="00822122">
              <w:rPr>
                <w:rFonts w:ascii="Bookman Old Style" w:hAnsi="Bookman Old Style" w:cs="Arial"/>
                <w:sz w:val="20"/>
                <w:szCs w:val="20"/>
              </w:rPr>
              <w:t>Se deja como constancia.</w:t>
            </w:r>
          </w:p>
        </w:tc>
      </w:tr>
      <w:tr w:rsidR="00865A15" w:rsidRPr="00865A15" w14:paraId="3F164D38" w14:textId="77777777" w:rsidTr="00386330">
        <w:tc>
          <w:tcPr>
            <w:tcW w:w="4531" w:type="dxa"/>
          </w:tcPr>
          <w:p w14:paraId="0458031D" w14:textId="77777777" w:rsidR="00DC5DC2" w:rsidRPr="00DC5DC2" w:rsidRDefault="00DC5DC2" w:rsidP="00DC5DC2">
            <w:pPr>
              <w:pStyle w:val="centrado"/>
              <w:tabs>
                <w:tab w:val="left" w:pos="1834"/>
              </w:tabs>
              <w:spacing w:before="0" w:beforeAutospacing="0" w:after="0" w:afterAutospacing="0"/>
              <w:jc w:val="both"/>
              <w:rPr>
                <w:rFonts w:ascii="Bookman Old Style" w:hAnsi="Bookman Old Style" w:cs="Calibri"/>
                <w:b/>
                <w:bCs/>
                <w:sz w:val="18"/>
                <w:szCs w:val="18"/>
              </w:rPr>
            </w:pPr>
            <w:r w:rsidRPr="00DC5DC2">
              <w:rPr>
                <w:rFonts w:ascii="Bookman Old Style" w:hAnsi="Bookman Old Style" w:cs="Calibri"/>
                <w:b/>
                <w:bCs/>
                <w:sz w:val="18"/>
                <w:szCs w:val="18"/>
              </w:rPr>
              <w:lastRenderedPageBreak/>
              <w:t xml:space="preserve">ARTÍCULO 1º. </w:t>
            </w:r>
            <w:r w:rsidRPr="00DC5DC2">
              <w:rPr>
                <w:rFonts w:ascii="Bookman Old Style" w:hAnsi="Bookman Old Style" w:cs="Calibri"/>
                <w:b/>
                <w:sz w:val="18"/>
                <w:szCs w:val="18"/>
              </w:rPr>
              <w:t>El artículo 49 de la Constitución Política quedará así</w:t>
            </w:r>
            <w:r w:rsidRPr="00DC5DC2">
              <w:rPr>
                <w:rFonts w:ascii="Bookman Old Style" w:hAnsi="Bookman Old Style" w:cs="Calibri"/>
                <w:sz w:val="18"/>
                <w:szCs w:val="18"/>
              </w:rPr>
              <w:t>:</w:t>
            </w:r>
            <w:r w:rsidRPr="00DC5DC2">
              <w:rPr>
                <w:rFonts w:ascii="Bookman Old Style" w:hAnsi="Bookman Old Style" w:cs="Calibri"/>
                <w:b/>
                <w:bCs/>
                <w:sz w:val="18"/>
                <w:szCs w:val="18"/>
              </w:rPr>
              <w:t xml:space="preserve"> </w:t>
            </w:r>
          </w:p>
          <w:p w14:paraId="3F7C2BED" w14:textId="77777777" w:rsidR="00DC5DC2" w:rsidRDefault="00DC5DC2" w:rsidP="00DC5DC2">
            <w:pPr>
              <w:tabs>
                <w:tab w:val="left" w:pos="1834"/>
              </w:tabs>
              <w:jc w:val="both"/>
              <w:rPr>
                <w:rFonts w:ascii="Bookman Old Style" w:hAnsi="Bookman Old Style" w:cs="Calibri"/>
                <w:b/>
                <w:sz w:val="18"/>
                <w:szCs w:val="18"/>
              </w:rPr>
            </w:pPr>
          </w:p>
          <w:p w14:paraId="19AE0C60"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b/>
                <w:sz w:val="18"/>
                <w:szCs w:val="18"/>
              </w:rPr>
              <w:t xml:space="preserve">ARTÍCULO 49o. </w:t>
            </w:r>
            <w:r w:rsidRPr="00DC5DC2">
              <w:rPr>
                <w:rFonts w:ascii="Bookman Old Style" w:hAnsi="Bookman Old Style" w:cs="Calibri"/>
                <w:sz w:val="18"/>
                <w:szCs w:val="18"/>
              </w:rPr>
              <w:t>La atención de la salud y el saneamiento ambiental son servicios públicos a cargo del Estado. Se garantiza a todas las personas el acceso a los servicios de promoción, protección y recuperación de la salud.</w:t>
            </w:r>
          </w:p>
          <w:p w14:paraId="451D7A38" w14:textId="77777777" w:rsidR="00DC5DC2" w:rsidRDefault="00DC5DC2" w:rsidP="00DC5DC2">
            <w:pPr>
              <w:tabs>
                <w:tab w:val="left" w:pos="1834"/>
              </w:tabs>
              <w:jc w:val="both"/>
              <w:rPr>
                <w:rFonts w:ascii="Bookman Old Style" w:hAnsi="Bookman Old Style" w:cs="Calibri"/>
                <w:sz w:val="18"/>
                <w:szCs w:val="18"/>
              </w:rPr>
            </w:pPr>
          </w:p>
          <w:p w14:paraId="16E68ACA"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2567360F" w14:textId="77777777" w:rsidR="00DC5DC2" w:rsidRDefault="00DC5DC2" w:rsidP="00DC5DC2">
            <w:pPr>
              <w:tabs>
                <w:tab w:val="left" w:pos="1834"/>
              </w:tabs>
              <w:jc w:val="both"/>
              <w:rPr>
                <w:rFonts w:ascii="Bookman Old Style" w:hAnsi="Bookman Old Style" w:cs="Calibri"/>
                <w:sz w:val="18"/>
                <w:szCs w:val="18"/>
              </w:rPr>
            </w:pPr>
          </w:p>
          <w:p w14:paraId="0391ACA7"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Los servicios de salud se organizarán en forma descentralizada, por niveles de atención y con participación de la comunidad.</w:t>
            </w:r>
          </w:p>
          <w:p w14:paraId="069935EC" w14:textId="77777777" w:rsidR="00DC5DC2" w:rsidRDefault="00DC5DC2" w:rsidP="00DC5DC2">
            <w:pPr>
              <w:tabs>
                <w:tab w:val="left" w:pos="1834"/>
              </w:tabs>
              <w:jc w:val="both"/>
              <w:rPr>
                <w:rFonts w:ascii="Bookman Old Style" w:hAnsi="Bookman Old Style" w:cs="Calibri"/>
                <w:sz w:val="18"/>
                <w:szCs w:val="18"/>
              </w:rPr>
            </w:pPr>
          </w:p>
          <w:p w14:paraId="3EB65B80"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La ley señalará los términos en los cuales la atención básica para todos los habitantes será gratuita y obligatoria.</w:t>
            </w:r>
          </w:p>
          <w:p w14:paraId="74E12340" w14:textId="77777777" w:rsidR="00DC5DC2" w:rsidRDefault="00DC5DC2" w:rsidP="00DC5DC2">
            <w:pPr>
              <w:tabs>
                <w:tab w:val="left" w:pos="1834"/>
              </w:tabs>
              <w:jc w:val="both"/>
              <w:rPr>
                <w:rFonts w:ascii="Bookman Old Style" w:hAnsi="Bookman Old Style" w:cs="Calibri"/>
                <w:sz w:val="18"/>
                <w:szCs w:val="18"/>
              </w:rPr>
            </w:pPr>
          </w:p>
          <w:p w14:paraId="7C1241B6"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Toda persona tiene el deber de procurar el cuidado integral de su salud y de su comunidad.</w:t>
            </w:r>
          </w:p>
          <w:p w14:paraId="636FDFDF" w14:textId="77777777" w:rsidR="00DC5DC2" w:rsidRDefault="00DC5DC2" w:rsidP="00DC5DC2">
            <w:pPr>
              <w:tabs>
                <w:tab w:val="left" w:pos="1834"/>
              </w:tabs>
              <w:jc w:val="both"/>
              <w:rPr>
                <w:rFonts w:ascii="Bookman Old Style" w:hAnsi="Bookman Old Style" w:cs="Calibri"/>
                <w:sz w:val="18"/>
                <w:szCs w:val="18"/>
              </w:rPr>
            </w:pPr>
          </w:p>
          <w:p w14:paraId="55EC587C"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670B6B28" w14:textId="77777777" w:rsidR="00DC5DC2" w:rsidRDefault="00DC5DC2" w:rsidP="00DC5DC2">
            <w:pPr>
              <w:tabs>
                <w:tab w:val="left" w:pos="1834"/>
              </w:tabs>
              <w:jc w:val="both"/>
              <w:rPr>
                <w:rFonts w:ascii="Bookman Old Style" w:hAnsi="Bookman Old Style" w:cs="Calibri"/>
                <w:b/>
                <w:sz w:val="18"/>
                <w:szCs w:val="18"/>
                <w:u w:val="single"/>
              </w:rPr>
            </w:pPr>
          </w:p>
          <w:p w14:paraId="3C1ABCC4" w14:textId="77777777" w:rsidR="00DC5DC2" w:rsidRPr="00DC5DC2" w:rsidRDefault="00DC5DC2" w:rsidP="00DC5DC2">
            <w:pPr>
              <w:tabs>
                <w:tab w:val="left" w:pos="1834"/>
              </w:tabs>
              <w:jc w:val="both"/>
              <w:rPr>
                <w:rFonts w:ascii="Bookman Old Style" w:hAnsi="Bookman Old Style" w:cs="Calibri"/>
                <w:sz w:val="18"/>
                <w:szCs w:val="18"/>
              </w:rPr>
            </w:pPr>
            <w:r w:rsidRPr="00DC5DC2">
              <w:rPr>
                <w:rFonts w:ascii="Bookman Old Style" w:hAnsi="Bookman Old Style" w:cs="Calibri"/>
                <w:sz w:val="18"/>
                <w:szCs w:val="18"/>
              </w:rPr>
              <w:t xml:space="preserve">La prohibición prevista en el inciso anterior no aplicará frente al cannabis y sus derivados para el uso recreativo por parte de mayores de edad y dentro de los establecimientos que disponga la </w:t>
            </w:r>
            <w:r w:rsidRPr="00DC5DC2">
              <w:rPr>
                <w:rFonts w:ascii="Bookman Old Style" w:hAnsi="Bookman Old Style" w:cs="Calibri"/>
                <w:sz w:val="18"/>
                <w:szCs w:val="18"/>
              </w:rPr>
              <w:lastRenderedPageBreak/>
              <w:t>ley. Tampoco aplicará para la destinación científica de estas sustancias, siempre y cuando se cuente con las licencias otorgadas por la autoridad competente. La Ley podrá restringir y sancionar el porte y consumo del cannabis y sus derivados en espacios públicos</w:t>
            </w:r>
            <w:r w:rsidR="00640F49" w:rsidRPr="00640F49">
              <w:rPr>
                <w:rFonts w:ascii="Bookman Old Style" w:hAnsi="Bookman Old Style" w:cs="Calibri"/>
                <w:b/>
                <w:sz w:val="18"/>
                <w:szCs w:val="18"/>
                <w:u w:val="single"/>
              </w:rPr>
              <w:t>, espacios semipúblicos y espacios semiprivados</w:t>
            </w:r>
            <w:r w:rsidRPr="00DC5DC2">
              <w:rPr>
                <w:rFonts w:ascii="Bookman Old Style" w:hAnsi="Bookman Old Style" w:cs="Calibri"/>
                <w:sz w:val="18"/>
                <w:szCs w:val="18"/>
              </w:rPr>
              <w:t xml:space="preserve"> </w:t>
            </w:r>
            <w:r w:rsidRPr="00640F49">
              <w:rPr>
                <w:rFonts w:ascii="Bookman Old Style" w:hAnsi="Bookman Old Style" w:cs="Calibri"/>
                <w:b/>
                <w:strike/>
                <w:sz w:val="18"/>
                <w:szCs w:val="18"/>
              </w:rPr>
              <w:t>y zonas comunes</w:t>
            </w:r>
            <w:r w:rsidRPr="00DC5DC2">
              <w:rPr>
                <w:rFonts w:ascii="Bookman Old Style" w:hAnsi="Bookman Old Style" w:cs="Calibri"/>
                <w:sz w:val="18"/>
                <w:szCs w:val="18"/>
              </w:rPr>
              <w:t>.</w:t>
            </w:r>
          </w:p>
          <w:p w14:paraId="68C87FDF" w14:textId="77777777" w:rsidR="00DC5DC2" w:rsidRDefault="00DC5DC2" w:rsidP="00DC5DC2">
            <w:pPr>
              <w:jc w:val="both"/>
              <w:rPr>
                <w:rFonts w:ascii="Bookman Old Style" w:hAnsi="Bookman Old Style" w:cs="Calibri"/>
                <w:sz w:val="18"/>
                <w:szCs w:val="18"/>
              </w:rPr>
            </w:pPr>
          </w:p>
          <w:p w14:paraId="6EDE7197" w14:textId="77777777" w:rsidR="00865A15" w:rsidRPr="00822122" w:rsidRDefault="00DC5DC2" w:rsidP="00DC5DC2">
            <w:pPr>
              <w:jc w:val="both"/>
              <w:rPr>
                <w:rFonts w:ascii="Bookman Old Style" w:hAnsi="Bookman Old Style" w:cs="Arial"/>
                <w:b/>
                <w:sz w:val="20"/>
                <w:szCs w:val="20"/>
                <w:u w:val="single"/>
              </w:rPr>
            </w:pPr>
            <w:r w:rsidRPr="00DC5DC2">
              <w:rPr>
                <w:rFonts w:ascii="Bookman Old Style" w:hAnsi="Bookman Old Style" w:cs="Calibri"/>
                <w:sz w:val="18"/>
                <w:szCs w:val="18"/>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tc>
        <w:tc>
          <w:tcPr>
            <w:tcW w:w="2244" w:type="dxa"/>
          </w:tcPr>
          <w:p w14:paraId="66B8970E" w14:textId="77777777" w:rsidR="00865A15" w:rsidRPr="00865A15" w:rsidRDefault="00865A15" w:rsidP="00386330">
            <w:pPr>
              <w:jc w:val="both"/>
              <w:rPr>
                <w:rFonts w:ascii="Bookman Old Style" w:hAnsi="Bookman Old Style" w:cs="Arial"/>
                <w:sz w:val="20"/>
                <w:szCs w:val="20"/>
              </w:rPr>
            </w:pPr>
            <w:r w:rsidRPr="00865A15">
              <w:rPr>
                <w:rFonts w:ascii="Bookman Old Style" w:hAnsi="Bookman Old Style" w:cs="Arial"/>
                <w:sz w:val="20"/>
                <w:szCs w:val="20"/>
              </w:rPr>
              <w:lastRenderedPageBreak/>
              <w:t xml:space="preserve">H.R. Jorge </w:t>
            </w:r>
            <w:r w:rsidR="00640F49" w:rsidRPr="00865A15">
              <w:rPr>
                <w:rFonts w:ascii="Bookman Old Style" w:hAnsi="Bookman Old Style" w:cs="Arial"/>
                <w:sz w:val="20"/>
                <w:szCs w:val="20"/>
              </w:rPr>
              <w:t>Méndez</w:t>
            </w:r>
          </w:p>
        </w:tc>
        <w:tc>
          <w:tcPr>
            <w:tcW w:w="2053" w:type="dxa"/>
          </w:tcPr>
          <w:p w14:paraId="5287CED3" w14:textId="77777777" w:rsidR="00865A15" w:rsidRPr="00865A15" w:rsidRDefault="00640F49" w:rsidP="00386330">
            <w:pPr>
              <w:jc w:val="both"/>
              <w:rPr>
                <w:rFonts w:ascii="Bookman Old Style" w:hAnsi="Bookman Old Style" w:cs="Arial"/>
                <w:sz w:val="20"/>
                <w:szCs w:val="20"/>
              </w:rPr>
            </w:pPr>
            <w:r w:rsidRPr="00822122">
              <w:rPr>
                <w:rFonts w:ascii="Bookman Old Style" w:hAnsi="Bookman Old Style" w:cs="Arial"/>
                <w:sz w:val="20"/>
                <w:szCs w:val="20"/>
              </w:rPr>
              <w:t>Se deja como constancia.</w:t>
            </w:r>
          </w:p>
        </w:tc>
      </w:tr>
      <w:tr w:rsidR="00865A15" w:rsidRPr="00865A15" w14:paraId="0930C84C" w14:textId="77777777" w:rsidTr="00386330">
        <w:tc>
          <w:tcPr>
            <w:tcW w:w="4531" w:type="dxa"/>
          </w:tcPr>
          <w:p w14:paraId="559D2BA5" w14:textId="132A72A5" w:rsidR="00865A15" w:rsidRPr="00386330" w:rsidRDefault="00882E87" w:rsidP="00882E87">
            <w:pPr>
              <w:jc w:val="both"/>
              <w:rPr>
                <w:rFonts w:ascii="Bookman Old Style" w:hAnsi="Bookman Old Style" w:cs="Arial"/>
                <w:b/>
                <w:sz w:val="18"/>
                <w:szCs w:val="20"/>
                <w:u w:val="single"/>
              </w:rPr>
            </w:pPr>
            <w:r w:rsidRPr="00386330">
              <w:rPr>
                <w:rFonts w:ascii="Bookman Old Style" w:hAnsi="Bookman Old Style" w:cs="Arial"/>
                <w:b/>
                <w:sz w:val="18"/>
                <w:szCs w:val="20"/>
              </w:rPr>
              <w:lastRenderedPageBreak/>
              <w:t xml:space="preserve">Artículo Nuevo. </w:t>
            </w:r>
            <w:r w:rsidRPr="00386330">
              <w:rPr>
                <w:rFonts w:ascii="Bookman Old Style" w:hAnsi="Bookman Old Style" w:cs="Arial"/>
                <w:b/>
                <w:sz w:val="18"/>
                <w:szCs w:val="20"/>
                <w:u w:val="single"/>
              </w:rPr>
              <w:t xml:space="preserve">Se creará una </w:t>
            </w:r>
            <w:r w:rsidR="00640F49" w:rsidRPr="00386330">
              <w:rPr>
                <w:rFonts w:ascii="Bookman Old Style" w:hAnsi="Bookman Old Style" w:cs="Arial"/>
                <w:b/>
                <w:sz w:val="18"/>
                <w:szCs w:val="20"/>
                <w:u w:val="single"/>
              </w:rPr>
              <w:t xml:space="preserve">política pública estricta </w:t>
            </w:r>
            <w:r w:rsidRPr="00386330">
              <w:rPr>
                <w:rFonts w:ascii="Bookman Old Style" w:hAnsi="Bookman Old Style" w:cs="Arial"/>
                <w:b/>
                <w:sz w:val="18"/>
                <w:szCs w:val="20"/>
                <w:u w:val="single"/>
              </w:rPr>
              <w:t xml:space="preserve">para la prevención y atención del consumo del cannabis y se dictará </w:t>
            </w:r>
            <w:r w:rsidR="0047350B" w:rsidRPr="00386330">
              <w:rPr>
                <w:rFonts w:ascii="Bookman Old Style" w:hAnsi="Bookman Old Style" w:cs="Arial"/>
                <w:b/>
                <w:sz w:val="18"/>
                <w:szCs w:val="20"/>
                <w:u w:val="single"/>
              </w:rPr>
              <w:t>una catedra sobre las consecuencias del consumo.</w:t>
            </w:r>
          </w:p>
        </w:tc>
        <w:tc>
          <w:tcPr>
            <w:tcW w:w="2244" w:type="dxa"/>
          </w:tcPr>
          <w:p w14:paraId="09A02BAA" w14:textId="1538B3AD" w:rsidR="00865A15" w:rsidRPr="00865A15" w:rsidRDefault="00865A15" w:rsidP="00882E87">
            <w:pPr>
              <w:jc w:val="both"/>
              <w:rPr>
                <w:rFonts w:ascii="Bookman Old Style" w:hAnsi="Bookman Old Style" w:cs="Arial"/>
                <w:sz w:val="20"/>
                <w:szCs w:val="20"/>
              </w:rPr>
            </w:pPr>
            <w:r w:rsidRPr="00865A15">
              <w:rPr>
                <w:rFonts w:ascii="Bookman Old Style" w:hAnsi="Bookman Old Style" w:cs="Arial"/>
                <w:sz w:val="20"/>
                <w:szCs w:val="20"/>
              </w:rPr>
              <w:t xml:space="preserve">H.R. Edward Rodríguez, </w:t>
            </w:r>
            <w:r w:rsidR="00882E87">
              <w:rPr>
                <w:rFonts w:ascii="Bookman Old Style" w:hAnsi="Bookman Old Style" w:cs="Arial"/>
                <w:sz w:val="20"/>
                <w:szCs w:val="20"/>
              </w:rPr>
              <w:t xml:space="preserve">H.R. Harry González, </w:t>
            </w:r>
            <w:r w:rsidRPr="00865A15">
              <w:rPr>
                <w:rFonts w:ascii="Bookman Old Style" w:hAnsi="Bookman Old Style" w:cs="Arial"/>
                <w:sz w:val="20"/>
                <w:szCs w:val="20"/>
              </w:rPr>
              <w:t>H.R. A</w:t>
            </w:r>
            <w:r>
              <w:rPr>
                <w:rFonts w:ascii="Bookman Old Style" w:hAnsi="Bookman Old Style" w:cs="Arial"/>
                <w:sz w:val="20"/>
                <w:szCs w:val="20"/>
              </w:rPr>
              <w:t xml:space="preserve">driana Matiz, </w:t>
            </w:r>
            <w:r w:rsidR="00882E87">
              <w:rPr>
                <w:rFonts w:ascii="Bookman Old Style" w:hAnsi="Bookman Old Style" w:cs="Arial"/>
                <w:sz w:val="20"/>
                <w:szCs w:val="20"/>
              </w:rPr>
              <w:t>H.R. Juan Carlos Wills</w:t>
            </w:r>
            <w:r>
              <w:rPr>
                <w:rFonts w:ascii="Bookman Old Style" w:hAnsi="Bookman Old Style" w:cs="Arial"/>
                <w:sz w:val="20"/>
                <w:szCs w:val="20"/>
              </w:rPr>
              <w:t>.</w:t>
            </w:r>
          </w:p>
        </w:tc>
        <w:tc>
          <w:tcPr>
            <w:tcW w:w="2053" w:type="dxa"/>
          </w:tcPr>
          <w:p w14:paraId="60B7E09D" w14:textId="77777777" w:rsidR="00865A15" w:rsidRPr="00865A15" w:rsidRDefault="0047350B" w:rsidP="00386330">
            <w:pPr>
              <w:jc w:val="both"/>
              <w:rPr>
                <w:rFonts w:ascii="Bookman Old Style" w:hAnsi="Bookman Old Style" w:cs="Arial"/>
                <w:sz w:val="20"/>
                <w:szCs w:val="20"/>
              </w:rPr>
            </w:pPr>
            <w:r>
              <w:rPr>
                <w:rFonts w:ascii="Bookman Old Style" w:hAnsi="Bookman Old Style" w:cs="Arial"/>
                <w:sz w:val="20"/>
                <w:szCs w:val="20"/>
              </w:rPr>
              <w:t>Proposición avalada por el ponente y aprobada por la Comisión Primera.</w:t>
            </w:r>
          </w:p>
        </w:tc>
      </w:tr>
      <w:tr w:rsidR="00386330" w:rsidRPr="00865A15" w14:paraId="4B7E279F" w14:textId="77777777" w:rsidTr="00386330">
        <w:tc>
          <w:tcPr>
            <w:tcW w:w="4531" w:type="dxa"/>
          </w:tcPr>
          <w:p w14:paraId="18941B27" w14:textId="654DA58B" w:rsidR="00386330" w:rsidRPr="00386330" w:rsidRDefault="00386330" w:rsidP="00882E87">
            <w:pPr>
              <w:jc w:val="both"/>
              <w:rPr>
                <w:rFonts w:ascii="Bookman Old Style" w:hAnsi="Bookman Old Style" w:cs="Arial"/>
                <w:b/>
                <w:sz w:val="18"/>
                <w:szCs w:val="20"/>
              </w:rPr>
            </w:pPr>
            <w:r w:rsidRPr="00386330">
              <w:rPr>
                <w:rFonts w:ascii="Bookman Old Style" w:hAnsi="Bookman Old Style" w:cs="Arial"/>
                <w:b/>
                <w:sz w:val="18"/>
                <w:szCs w:val="20"/>
              </w:rPr>
              <w:t xml:space="preserve">Artículo Nuevo. </w:t>
            </w:r>
            <w:r w:rsidRPr="00386330">
              <w:rPr>
                <w:rFonts w:ascii="Bookman Old Style" w:hAnsi="Bookman Old Style" w:cs="Arial"/>
                <w:b/>
                <w:sz w:val="18"/>
                <w:szCs w:val="20"/>
                <w:u w:val="single"/>
              </w:rPr>
              <w:t>Previo al levantamiento de la prohibición para el uso del cannabis y sus derivados, será deber del Estado implementar una política pública estricta en torno a la prevención del consumo de cannabis. Adicional se implementará una catedra sobre las consecuencias del consumo.</w:t>
            </w:r>
          </w:p>
        </w:tc>
        <w:tc>
          <w:tcPr>
            <w:tcW w:w="2244" w:type="dxa"/>
          </w:tcPr>
          <w:p w14:paraId="04E26C55" w14:textId="49D32F0A" w:rsidR="00386330" w:rsidRPr="00865A15" w:rsidRDefault="00386330" w:rsidP="00882E87">
            <w:pPr>
              <w:jc w:val="both"/>
              <w:rPr>
                <w:rFonts w:ascii="Bookman Old Style" w:hAnsi="Bookman Old Style" w:cs="Arial"/>
                <w:sz w:val="20"/>
                <w:szCs w:val="20"/>
              </w:rPr>
            </w:pPr>
            <w:r>
              <w:rPr>
                <w:rFonts w:ascii="Bookman Old Style" w:hAnsi="Bookman Old Style" w:cs="Arial"/>
                <w:sz w:val="20"/>
                <w:szCs w:val="20"/>
              </w:rPr>
              <w:t>H.R. Adriana Matiz, H.R. Edward Rodríguez, H.R. Erwin Arias, H.R. Gabriel Vallejo, H.R. Jorge Méndez.</w:t>
            </w:r>
          </w:p>
        </w:tc>
        <w:tc>
          <w:tcPr>
            <w:tcW w:w="2053" w:type="dxa"/>
          </w:tcPr>
          <w:p w14:paraId="7D629F17" w14:textId="519EEF94" w:rsidR="00386330" w:rsidRDefault="00405117" w:rsidP="00C01DF2">
            <w:pPr>
              <w:jc w:val="both"/>
              <w:rPr>
                <w:rFonts w:ascii="Bookman Old Style" w:hAnsi="Bookman Old Style" w:cs="Arial"/>
                <w:sz w:val="20"/>
                <w:szCs w:val="20"/>
              </w:rPr>
            </w:pPr>
            <w:r>
              <w:rPr>
                <w:rFonts w:ascii="Bookman Old Style" w:hAnsi="Bookman Old Style" w:cs="Arial"/>
                <w:sz w:val="20"/>
                <w:szCs w:val="20"/>
              </w:rPr>
              <w:t>N</w:t>
            </w:r>
            <w:r w:rsidR="00C01DF2">
              <w:rPr>
                <w:rFonts w:ascii="Bookman Old Style" w:hAnsi="Bookman Old Style" w:cs="Arial"/>
                <w:sz w:val="20"/>
                <w:szCs w:val="20"/>
              </w:rPr>
              <w:t xml:space="preserve">o se pone en consideración por tratarse de una reapertura a una discusión ya dada </w:t>
            </w:r>
            <w:r w:rsidR="008C4DC9">
              <w:rPr>
                <w:rFonts w:ascii="Bookman Old Style" w:hAnsi="Bookman Old Style" w:cs="Arial"/>
                <w:sz w:val="20"/>
                <w:szCs w:val="20"/>
              </w:rPr>
              <w:t>en el trámite legislativo</w:t>
            </w:r>
            <w:r w:rsidR="0070467E">
              <w:rPr>
                <w:rFonts w:ascii="Bookman Old Style" w:hAnsi="Bookman Old Style" w:cs="Arial"/>
                <w:sz w:val="20"/>
                <w:szCs w:val="20"/>
              </w:rPr>
              <w:t>,</w:t>
            </w:r>
            <w:r w:rsidR="008C4DC9">
              <w:rPr>
                <w:rFonts w:ascii="Bookman Old Style" w:hAnsi="Bookman Old Style" w:cs="Arial"/>
                <w:sz w:val="20"/>
                <w:szCs w:val="20"/>
              </w:rPr>
              <w:t xml:space="preserve"> </w:t>
            </w:r>
            <w:r w:rsidR="00C01DF2">
              <w:rPr>
                <w:rFonts w:ascii="Bookman Old Style" w:hAnsi="Bookman Old Style" w:cs="Arial"/>
                <w:sz w:val="20"/>
                <w:szCs w:val="20"/>
              </w:rPr>
              <w:t xml:space="preserve">en la </w:t>
            </w:r>
            <w:r w:rsidR="008C4DC9">
              <w:rPr>
                <w:rFonts w:ascii="Bookman Old Style" w:hAnsi="Bookman Old Style" w:cs="Arial"/>
                <w:sz w:val="20"/>
                <w:szCs w:val="20"/>
              </w:rPr>
              <w:t xml:space="preserve">votación de la </w:t>
            </w:r>
            <w:r w:rsidR="00C01DF2">
              <w:rPr>
                <w:rFonts w:ascii="Bookman Old Style" w:hAnsi="Bookman Old Style" w:cs="Arial"/>
                <w:sz w:val="20"/>
                <w:szCs w:val="20"/>
              </w:rPr>
              <w:t>proposición sustitutiva del H.R. Erwin Arias,</w:t>
            </w:r>
            <w:r w:rsidR="0070467E">
              <w:rPr>
                <w:rFonts w:ascii="Bookman Old Style" w:hAnsi="Bookman Old Style" w:cs="Arial"/>
                <w:sz w:val="20"/>
                <w:szCs w:val="20"/>
              </w:rPr>
              <w:t xml:space="preserve"> la cual fue negada.</w:t>
            </w:r>
            <w:r w:rsidR="00C01DF2">
              <w:rPr>
                <w:rFonts w:ascii="Bookman Old Style" w:hAnsi="Bookman Old Style" w:cs="Arial"/>
                <w:sz w:val="20"/>
                <w:szCs w:val="20"/>
              </w:rPr>
              <w:t xml:space="preserve"> </w:t>
            </w:r>
            <w:r w:rsidR="0070467E">
              <w:rPr>
                <w:rFonts w:ascii="Bookman Old Style" w:hAnsi="Bookman Old Style" w:cs="Arial"/>
                <w:sz w:val="20"/>
                <w:szCs w:val="20"/>
              </w:rPr>
              <w:t>Toda</w:t>
            </w:r>
            <w:r w:rsidR="00C01DF2">
              <w:rPr>
                <w:rFonts w:ascii="Bookman Old Style" w:hAnsi="Bookman Old Style" w:cs="Arial"/>
                <w:sz w:val="20"/>
                <w:szCs w:val="20"/>
              </w:rPr>
              <w:t xml:space="preserve"> vez que existe una coincidencia de textos.</w:t>
            </w:r>
          </w:p>
        </w:tc>
      </w:tr>
    </w:tbl>
    <w:p w14:paraId="2F80B63F" w14:textId="77777777" w:rsidR="00837AB4" w:rsidRPr="00865A15" w:rsidRDefault="00837AB4" w:rsidP="00837AB4">
      <w:pPr>
        <w:rPr>
          <w:rFonts w:eastAsia="Calibri"/>
        </w:rPr>
      </w:pPr>
    </w:p>
    <w:p w14:paraId="77DC4FEC" w14:textId="77777777" w:rsidR="00837AB4" w:rsidRPr="00865A15" w:rsidRDefault="00837AB4" w:rsidP="00837AB4">
      <w:pPr>
        <w:rPr>
          <w:rFonts w:eastAsia="Calibri"/>
        </w:rPr>
      </w:pPr>
    </w:p>
    <w:p w14:paraId="59F3040C" w14:textId="77777777" w:rsidR="009B6C3A" w:rsidRDefault="009B6C3A" w:rsidP="00207603">
      <w:pPr>
        <w:pStyle w:val="Heading2"/>
        <w:numPr>
          <w:ilvl w:val="0"/>
          <w:numId w:val="35"/>
        </w:numPr>
        <w:jc w:val="both"/>
        <w:rPr>
          <w:rFonts w:ascii="Bookman Old Style" w:eastAsia="Calibri" w:hAnsi="Bookman Old Style" w:cs="Calibri"/>
          <w:sz w:val="22"/>
          <w:szCs w:val="24"/>
        </w:rPr>
      </w:pPr>
      <w:r>
        <w:rPr>
          <w:rFonts w:ascii="Bookman Old Style" w:eastAsia="Calibri" w:hAnsi="Bookman Old Style" w:cs="Calibri"/>
          <w:sz w:val="22"/>
          <w:szCs w:val="24"/>
        </w:rPr>
        <w:t>ANTECEDENTES DEL PROYECTO</w:t>
      </w:r>
    </w:p>
    <w:p w14:paraId="5AEF2F2D" w14:textId="77777777" w:rsidR="009B6C3A" w:rsidRPr="009B6C3A" w:rsidRDefault="009B6C3A" w:rsidP="009B6C3A">
      <w:pPr>
        <w:rPr>
          <w:rFonts w:eastAsia="Calibri"/>
        </w:rPr>
      </w:pPr>
    </w:p>
    <w:p w14:paraId="24F1C3FD" w14:textId="77777777" w:rsidR="009B6C3A" w:rsidRDefault="009B6C3A" w:rsidP="009B6C3A">
      <w:pPr>
        <w:jc w:val="both"/>
        <w:rPr>
          <w:rFonts w:ascii="Bookman Old Style" w:eastAsia="Calibri" w:hAnsi="Bookman Old Style" w:cs="Calibri"/>
          <w:bCs/>
          <w:i/>
          <w:iCs/>
          <w:szCs w:val="24"/>
        </w:rPr>
      </w:pPr>
      <w:r w:rsidRPr="009B6C3A">
        <w:rPr>
          <w:rFonts w:ascii="Bookman Old Style" w:eastAsia="Calibri" w:hAnsi="Bookman Old Style" w:cs="Calibri"/>
          <w:szCs w:val="24"/>
        </w:rPr>
        <w:t xml:space="preserve">El 15 de agosto de 2019 fue radicado por los H.R. Juan Carlos Lozada Vargas, H.R. Juan Fernando Reyes Kuri , H.R. César Augusto Lorduy Maldonado, H.R. Andrés David Calle Aguas , H.R. Alfredo Rafael Deluque Zuleta, H.R. Katherine Miranda Peña , H.R. Juanita María Goebertus Estrada , H.R. Alejandro Alberto Vega Pérez , H.R. Ciro Fernández Núñez , H.R. Harry Giovanny González García, H.R. David </w:t>
      </w:r>
      <w:r w:rsidRPr="009B6C3A">
        <w:rPr>
          <w:rFonts w:ascii="Bookman Old Style" w:eastAsia="Calibri" w:hAnsi="Bookman Old Style" w:cs="Calibri"/>
          <w:szCs w:val="24"/>
        </w:rPr>
        <w:lastRenderedPageBreak/>
        <w:t>Ricardo Racero Mayorca , H.R. Mauricio Andrés Toro Orjuela, H.R. Catalina Ortiz Lalinde , H.R. Jairo Humberto Cristo Correa , H.R. Fabio Fernando Arroyave Rivas, H.R. Inti Raúl Asprilla Reyes y otros el Proyecto de Acto Legislativo</w:t>
      </w:r>
      <w:r>
        <w:rPr>
          <w:rFonts w:ascii="Bookman Old Style" w:eastAsia="Calibri" w:hAnsi="Bookman Old Style" w:cs="Calibri"/>
          <w:szCs w:val="24"/>
        </w:rPr>
        <w:t xml:space="preserve"> No. 172 de 2019C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14:paraId="69F8974D" w14:textId="77777777" w:rsidR="009B6C3A" w:rsidRDefault="009B6C3A" w:rsidP="009B6C3A">
      <w:pPr>
        <w:jc w:val="both"/>
        <w:rPr>
          <w:rFonts w:ascii="Bookman Old Style" w:eastAsia="Calibri" w:hAnsi="Bookman Old Style" w:cs="Calibri"/>
          <w:bCs/>
          <w:i/>
          <w:iCs/>
          <w:szCs w:val="24"/>
        </w:rPr>
      </w:pPr>
    </w:p>
    <w:p w14:paraId="00D14F60" w14:textId="77777777" w:rsidR="009B6C3A" w:rsidRDefault="009B6C3A" w:rsidP="009B6C3A">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24 de septiembre de 2019 el proyecto fue puesto en consideración de la Comisión Primera Constitucional Permanente de la Cámara de Representantes y fue aprobado su informe de Ponencia de Primer Debate. </w:t>
      </w:r>
    </w:p>
    <w:p w14:paraId="78DEC6A6" w14:textId="77777777" w:rsidR="009B6C3A" w:rsidRDefault="009B6C3A" w:rsidP="009B6C3A">
      <w:pPr>
        <w:jc w:val="both"/>
        <w:rPr>
          <w:rFonts w:ascii="Bookman Old Style" w:eastAsia="Calibri" w:hAnsi="Bookman Old Style" w:cs="Calibri"/>
          <w:bCs/>
          <w:iCs/>
          <w:szCs w:val="24"/>
        </w:rPr>
      </w:pPr>
    </w:p>
    <w:p w14:paraId="1577D807" w14:textId="77777777" w:rsidR="009B6C3A" w:rsidRDefault="009B6C3A" w:rsidP="009B6C3A">
      <w:pPr>
        <w:jc w:val="both"/>
        <w:rPr>
          <w:rFonts w:ascii="Bookman Old Style" w:eastAsia="Calibri" w:hAnsi="Bookman Old Style" w:cs="Calibri"/>
          <w:bCs/>
          <w:iCs/>
          <w:szCs w:val="24"/>
        </w:rPr>
      </w:pPr>
      <w:r>
        <w:rPr>
          <w:rFonts w:ascii="Bookman Old Style" w:eastAsia="Calibri" w:hAnsi="Bookman Old Style" w:cs="Calibri"/>
          <w:bCs/>
          <w:iCs/>
          <w:szCs w:val="24"/>
        </w:rPr>
        <w:t>En consecuencia</w:t>
      </w:r>
      <w:r w:rsidR="00C33DA6">
        <w:rPr>
          <w:rFonts w:ascii="Bookman Old Style" w:eastAsia="Calibri" w:hAnsi="Bookman Old Style" w:cs="Calibri"/>
          <w:bCs/>
          <w:iCs/>
          <w:szCs w:val="24"/>
        </w:rPr>
        <w:t>,</w:t>
      </w:r>
      <w:r>
        <w:rPr>
          <w:rFonts w:ascii="Bookman Old Style" w:eastAsia="Calibri" w:hAnsi="Bookman Old Style" w:cs="Calibri"/>
          <w:bCs/>
          <w:iCs/>
          <w:szCs w:val="24"/>
        </w:rPr>
        <w:t xml:space="preserve"> el Proyecto de Acto Legislativo continuó su tránsito hacia la Plenaria de la Cámara de Representantes, en donde</w:t>
      </w:r>
      <w:r w:rsidR="00C33DA6">
        <w:rPr>
          <w:rFonts w:ascii="Bookman Old Style" w:eastAsia="Calibri" w:hAnsi="Bookman Old Style" w:cs="Calibri"/>
          <w:bCs/>
          <w:iCs/>
          <w:szCs w:val="24"/>
        </w:rPr>
        <w:t>,</w:t>
      </w:r>
      <w:r>
        <w:rPr>
          <w:rFonts w:ascii="Bookman Old Style" w:eastAsia="Calibri" w:hAnsi="Bookman Old Style" w:cs="Calibri"/>
          <w:bCs/>
          <w:iCs/>
          <w:szCs w:val="24"/>
        </w:rPr>
        <w:t xml:space="preserve"> si bien se radicó Ponencia Positiva para Segundo Debate, el Proyecto debió ser archivado </w:t>
      </w:r>
      <w:r w:rsidR="00DA389D">
        <w:rPr>
          <w:rFonts w:ascii="Bookman Old Style" w:eastAsia="Calibri" w:hAnsi="Bookman Old Style" w:cs="Calibri"/>
          <w:bCs/>
          <w:iCs/>
          <w:szCs w:val="24"/>
        </w:rPr>
        <w:t>en razón a que se agotaron los tiempos legislativos necesarios</w:t>
      </w:r>
      <w:r w:rsidR="00C33DA6">
        <w:rPr>
          <w:rFonts w:ascii="Bookman Old Style" w:eastAsia="Calibri" w:hAnsi="Bookman Old Style" w:cs="Calibri"/>
          <w:bCs/>
          <w:iCs/>
          <w:szCs w:val="24"/>
        </w:rPr>
        <w:t xml:space="preserve"> para continuar su trámite</w:t>
      </w:r>
      <w:r w:rsidR="00DA389D">
        <w:rPr>
          <w:rFonts w:ascii="Bookman Old Style" w:eastAsia="Calibri" w:hAnsi="Bookman Old Style" w:cs="Calibri"/>
          <w:bCs/>
          <w:iCs/>
          <w:szCs w:val="24"/>
        </w:rPr>
        <w:t>, de acuerdo a lo dispuesto en los artículo 224 y 225 de la Ley 5ta de 1992.</w:t>
      </w:r>
    </w:p>
    <w:p w14:paraId="31A73E04" w14:textId="77777777" w:rsidR="00DA389D" w:rsidRDefault="00DA389D" w:rsidP="009B6C3A">
      <w:pPr>
        <w:jc w:val="both"/>
        <w:rPr>
          <w:rFonts w:ascii="Bookman Old Style" w:eastAsia="Calibri" w:hAnsi="Bookman Old Style" w:cs="Calibri"/>
          <w:bCs/>
          <w:iCs/>
          <w:szCs w:val="24"/>
        </w:rPr>
      </w:pPr>
    </w:p>
    <w:p w14:paraId="7802DF24" w14:textId="77777777" w:rsidR="00DA389D" w:rsidRPr="009B6C3A" w:rsidRDefault="00C33DA6" w:rsidP="009B6C3A">
      <w:pPr>
        <w:jc w:val="both"/>
        <w:rPr>
          <w:rFonts w:ascii="Bookman Old Style" w:eastAsia="Calibri" w:hAnsi="Bookman Old Style" w:cs="Calibri"/>
          <w:bCs/>
          <w:iCs/>
          <w:szCs w:val="24"/>
        </w:rPr>
      </w:pPr>
      <w:r>
        <w:rPr>
          <w:rFonts w:ascii="Bookman Old Style" w:eastAsia="Calibri" w:hAnsi="Bookman Old Style" w:cs="Calibri"/>
          <w:bCs/>
          <w:iCs/>
          <w:szCs w:val="24"/>
        </w:rPr>
        <w:t>Por esta razón,</w:t>
      </w:r>
      <w:r w:rsidR="00DA389D">
        <w:rPr>
          <w:rFonts w:ascii="Bookman Old Style" w:eastAsia="Calibri" w:hAnsi="Bookman Old Style" w:cs="Calibri"/>
          <w:bCs/>
          <w:iCs/>
          <w:szCs w:val="24"/>
        </w:rPr>
        <w:t xml:space="preserve"> se pone a consideración del Honorable Congreso de la República este proyecto de Acto Legislativo</w:t>
      </w:r>
      <w:r>
        <w:rPr>
          <w:rFonts w:ascii="Bookman Old Style" w:eastAsia="Calibri" w:hAnsi="Bookman Old Style" w:cs="Calibri"/>
          <w:bCs/>
          <w:iCs/>
          <w:szCs w:val="24"/>
        </w:rPr>
        <w:t>,</w:t>
      </w:r>
      <w:r w:rsidR="00DA389D">
        <w:rPr>
          <w:rFonts w:ascii="Bookman Old Style" w:eastAsia="Calibri" w:hAnsi="Bookman Old Style" w:cs="Calibri"/>
          <w:bCs/>
          <w:iCs/>
          <w:szCs w:val="24"/>
        </w:rPr>
        <w:t xml:space="preserve"> ajustado con las modificaciones pertinentes</w:t>
      </w:r>
      <w:r>
        <w:rPr>
          <w:rFonts w:ascii="Bookman Old Style" w:eastAsia="Calibri" w:hAnsi="Bookman Old Style" w:cs="Calibri"/>
          <w:bCs/>
          <w:iCs/>
          <w:szCs w:val="24"/>
        </w:rPr>
        <w:t xml:space="preserve">, </w:t>
      </w:r>
      <w:r w:rsidR="00DA389D">
        <w:rPr>
          <w:rFonts w:ascii="Bookman Old Style" w:eastAsia="Calibri" w:hAnsi="Bookman Old Style" w:cs="Calibri"/>
          <w:bCs/>
          <w:iCs/>
          <w:szCs w:val="24"/>
        </w:rPr>
        <w:t>que surgieron durante su primera discusión.</w:t>
      </w:r>
    </w:p>
    <w:p w14:paraId="2137510E" w14:textId="77777777" w:rsidR="009B6C3A" w:rsidRPr="009B6C3A" w:rsidRDefault="009B6C3A" w:rsidP="009B6C3A">
      <w:pPr>
        <w:jc w:val="both"/>
        <w:rPr>
          <w:rFonts w:eastAsia="Calibri"/>
        </w:rPr>
      </w:pPr>
    </w:p>
    <w:p w14:paraId="622D4BFE" w14:textId="77777777" w:rsidR="00F36280" w:rsidRPr="00485CC5" w:rsidRDefault="00F36280" w:rsidP="00207603">
      <w:pPr>
        <w:pStyle w:val="Heading2"/>
        <w:numPr>
          <w:ilvl w:val="0"/>
          <w:numId w:val="35"/>
        </w:numPr>
        <w:jc w:val="both"/>
        <w:rPr>
          <w:rFonts w:ascii="Bookman Old Style" w:eastAsia="Calibri" w:hAnsi="Bookman Old Style" w:cs="Calibri"/>
          <w:sz w:val="22"/>
          <w:szCs w:val="24"/>
        </w:rPr>
      </w:pPr>
      <w:r w:rsidRPr="00485CC5">
        <w:rPr>
          <w:rFonts w:ascii="Bookman Old Style" w:eastAsia="Calibri" w:hAnsi="Bookman Old Style" w:cs="Calibri"/>
          <w:sz w:val="22"/>
          <w:szCs w:val="24"/>
        </w:rPr>
        <w:t>OBJETO DEL PROYECTO DE ACTO LEGISLATIVO</w:t>
      </w:r>
    </w:p>
    <w:p w14:paraId="7EC93B2B" w14:textId="77777777" w:rsidR="00F36280" w:rsidRPr="00485CC5" w:rsidRDefault="00F36280" w:rsidP="00F36280">
      <w:pPr>
        <w:pStyle w:val="Heading2"/>
        <w:ind w:left="0"/>
        <w:rPr>
          <w:rFonts w:ascii="Bookman Old Style" w:eastAsia="Calibri" w:hAnsi="Bookman Old Style" w:cs="Calibri"/>
          <w:b w:val="0"/>
          <w:sz w:val="22"/>
          <w:szCs w:val="24"/>
        </w:rPr>
      </w:pPr>
    </w:p>
    <w:p w14:paraId="08EFD00B" w14:textId="63E398BA" w:rsidR="00F36280" w:rsidRPr="00485CC5"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El presente Proyecto de Acto Legislativo tiene como objeto permitir la regularización del uso del cannabis por parte de mayores de edad en los establecimientos </w:t>
      </w:r>
      <w:r w:rsidR="00AD5D59">
        <w:rPr>
          <w:rFonts w:ascii="Bookman Old Style" w:eastAsia="Calibri" w:hAnsi="Bookman Old Style" w:cs="Calibri"/>
          <w:b w:val="0"/>
          <w:sz w:val="22"/>
          <w:szCs w:val="24"/>
        </w:rPr>
        <w:t>que disponga la Ley, as</w:t>
      </w:r>
      <w:r w:rsidRPr="00485CC5">
        <w:rPr>
          <w:rFonts w:ascii="Bookman Old Style" w:eastAsia="Calibri" w:hAnsi="Bookman Old Style" w:cs="Calibri"/>
          <w:b w:val="0"/>
          <w:sz w:val="22"/>
          <w:szCs w:val="24"/>
        </w:rPr>
        <w:t xml:space="preserve">í como </w:t>
      </w:r>
      <w:r w:rsidR="00AD5D59">
        <w:rPr>
          <w:rFonts w:ascii="Bookman Old Style" w:eastAsia="Calibri" w:hAnsi="Bookman Old Style" w:cs="Calibri"/>
          <w:b w:val="0"/>
          <w:sz w:val="22"/>
          <w:szCs w:val="24"/>
        </w:rPr>
        <w:t>la unificación de la normativa actual respecto a la utilización del cannabis para uso científico</w:t>
      </w:r>
      <w:r w:rsidRPr="00485CC5">
        <w:rPr>
          <w:rFonts w:ascii="Bookman Old Style" w:eastAsia="Calibri" w:hAnsi="Bookman Old Style" w:cs="Calibri"/>
          <w:b w:val="0"/>
          <w:sz w:val="22"/>
          <w:szCs w:val="24"/>
        </w:rPr>
        <w:t xml:space="preserve">, siempre y cuando se cumplan los requerimientos establecidos. Lo anterior dirigido </w:t>
      </w:r>
      <w:r w:rsidR="00AD5D59">
        <w:rPr>
          <w:rFonts w:ascii="Bookman Old Style" w:eastAsia="Calibri" w:hAnsi="Bookman Old Style" w:cs="Calibri"/>
          <w:b w:val="0"/>
          <w:sz w:val="22"/>
          <w:szCs w:val="24"/>
        </w:rPr>
        <w:t xml:space="preserve">a reconocer y garantizar los derechos fundamentales a la igualdad y al libre desarrollo de la personalidad, a </w:t>
      </w:r>
      <w:r w:rsidR="00C33DA6">
        <w:rPr>
          <w:rFonts w:ascii="Bookman Old Style" w:eastAsia="Calibri" w:hAnsi="Bookman Old Style" w:cs="Calibri"/>
          <w:b w:val="0"/>
          <w:sz w:val="22"/>
          <w:szCs w:val="24"/>
        </w:rPr>
        <w:t xml:space="preserve">unificar </w:t>
      </w:r>
      <w:r w:rsidR="00AD5D59">
        <w:rPr>
          <w:rFonts w:ascii="Bookman Old Style" w:eastAsia="Calibri" w:hAnsi="Bookman Old Style" w:cs="Calibri"/>
          <w:b w:val="0"/>
          <w:sz w:val="22"/>
          <w:szCs w:val="24"/>
        </w:rPr>
        <w:t xml:space="preserve">las referencias constitucionales, legales y jurisprudenciales sobre la materia y a </w:t>
      </w:r>
      <w:r w:rsidR="00C33DA6">
        <w:rPr>
          <w:rFonts w:ascii="Bookman Old Style" w:eastAsia="Calibri" w:hAnsi="Bookman Old Style" w:cs="Calibri"/>
          <w:b w:val="0"/>
          <w:sz w:val="22"/>
          <w:szCs w:val="24"/>
        </w:rPr>
        <w:t>plantear una estrategia distinta para</w:t>
      </w:r>
      <w:r w:rsidRPr="00485CC5">
        <w:rPr>
          <w:rFonts w:ascii="Bookman Old Style" w:eastAsia="Calibri" w:hAnsi="Bookman Old Style" w:cs="Calibri"/>
          <w:b w:val="0"/>
          <w:sz w:val="22"/>
          <w:szCs w:val="24"/>
        </w:rPr>
        <w:t xml:space="preserve"> combatir el tráfico</w:t>
      </w:r>
      <w:r w:rsidR="00AD5D59">
        <w:rPr>
          <w:rFonts w:ascii="Bookman Old Style" w:eastAsia="Calibri" w:hAnsi="Bookman Old Style" w:cs="Calibri"/>
          <w:b w:val="0"/>
          <w:sz w:val="22"/>
          <w:szCs w:val="24"/>
        </w:rPr>
        <w:t xml:space="preserve"> ilegal</w:t>
      </w:r>
      <w:r w:rsidRPr="00485CC5">
        <w:rPr>
          <w:rFonts w:ascii="Bookman Old Style" w:eastAsia="Calibri" w:hAnsi="Bookman Old Style" w:cs="Calibri"/>
          <w:b w:val="0"/>
          <w:sz w:val="22"/>
          <w:szCs w:val="24"/>
        </w:rPr>
        <w:t xml:space="preserve"> de cannabis, </w:t>
      </w:r>
      <w:r w:rsidR="00AD5D59">
        <w:rPr>
          <w:rFonts w:ascii="Bookman Old Style" w:eastAsia="Calibri" w:hAnsi="Bookman Old Style" w:cs="Calibri"/>
          <w:b w:val="0"/>
          <w:sz w:val="22"/>
          <w:szCs w:val="24"/>
        </w:rPr>
        <w:t>como estrategia para reducir la violencia en el país.</w:t>
      </w:r>
    </w:p>
    <w:p w14:paraId="730CED5E" w14:textId="77777777" w:rsidR="00F36280" w:rsidRPr="00485CC5" w:rsidRDefault="00F36280" w:rsidP="00F36280">
      <w:pPr>
        <w:rPr>
          <w:rFonts w:ascii="Bookman Old Style" w:eastAsia="Calibri" w:hAnsi="Bookman Old Style" w:cs="Calibri"/>
          <w:szCs w:val="24"/>
        </w:rPr>
      </w:pPr>
    </w:p>
    <w:p w14:paraId="51FB11E7" w14:textId="77777777" w:rsidR="00F36280" w:rsidRPr="00485CC5" w:rsidRDefault="00F36280" w:rsidP="00207603">
      <w:pPr>
        <w:pStyle w:val="Heading2"/>
        <w:numPr>
          <w:ilvl w:val="0"/>
          <w:numId w:val="35"/>
        </w:numPr>
        <w:ind w:left="0" w:firstLine="0"/>
        <w:jc w:val="both"/>
        <w:rPr>
          <w:rFonts w:ascii="Bookman Old Style" w:eastAsia="Calibri" w:hAnsi="Bookman Old Style" w:cs="Calibri"/>
          <w:sz w:val="22"/>
          <w:szCs w:val="24"/>
        </w:rPr>
      </w:pPr>
      <w:r w:rsidRPr="00485CC5">
        <w:rPr>
          <w:rFonts w:ascii="Bookman Old Style" w:eastAsia="Calibri" w:hAnsi="Bookman Old Style" w:cs="Calibri"/>
          <w:sz w:val="22"/>
          <w:szCs w:val="24"/>
        </w:rPr>
        <w:t>PROBLEMA A RESOLVER</w:t>
      </w:r>
    </w:p>
    <w:p w14:paraId="27EAB458" w14:textId="77777777" w:rsidR="00F36280" w:rsidRPr="00485CC5" w:rsidRDefault="00F36280" w:rsidP="00F36280">
      <w:pPr>
        <w:ind w:left="822"/>
        <w:rPr>
          <w:rFonts w:ascii="Bookman Old Style" w:hAnsi="Bookman Old Style" w:cs="Calibri"/>
          <w:szCs w:val="24"/>
        </w:rPr>
      </w:pPr>
    </w:p>
    <w:p w14:paraId="72155D3F" w14:textId="77777777" w:rsidR="00452196" w:rsidRPr="00510F82" w:rsidRDefault="00510F82" w:rsidP="00F36280">
      <w:pPr>
        <w:jc w:val="both"/>
        <w:rPr>
          <w:rFonts w:ascii="Bookman Old Style" w:eastAsia="Calibri" w:hAnsi="Bookman Old Style" w:cs="Calibri"/>
          <w:sz w:val="20"/>
          <w:szCs w:val="24"/>
        </w:rPr>
      </w:pPr>
      <w:r w:rsidRPr="00510F82">
        <w:rPr>
          <w:rFonts w:ascii="Bookman Old Style" w:eastAsia="Calibri" w:hAnsi="Bookman Old Style" w:cs="Arial"/>
          <w:szCs w:val="24"/>
        </w:rPr>
        <w:t>En Colombia, de acuerdo al artículo 49 Constitucional</w:t>
      </w:r>
      <w:r w:rsidR="00C33DA6">
        <w:rPr>
          <w:rFonts w:ascii="Bookman Old Style" w:eastAsia="Calibri" w:hAnsi="Bookman Old Style" w:cs="Arial"/>
          <w:szCs w:val="24"/>
        </w:rPr>
        <w:t xml:space="preserve"> el cual fue</w:t>
      </w:r>
      <w:r w:rsidRPr="00510F82">
        <w:rPr>
          <w:rFonts w:ascii="Bookman Old Style" w:eastAsia="Calibri" w:hAnsi="Bookman Old Style" w:cs="Arial"/>
          <w:szCs w:val="24"/>
        </w:rPr>
        <w:t xml:space="preserve"> modificado por el Acto Legislativo 02 de 2009</w:t>
      </w:r>
      <w:r w:rsidRPr="00510F82">
        <w:rPr>
          <w:rStyle w:val="FootnoteReference"/>
          <w:rFonts w:ascii="Bookman Old Style" w:eastAsia="Calibri" w:hAnsi="Bookman Old Style" w:cs="Arial"/>
          <w:szCs w:val="24"/>
        </w:rPr>
        <w:footnoteReference w:id="1"/>
      </w:r>
      <w:r w:rsidRPr="00510F82">
        <w:rPr>
          <w:rFonts w:ascii="Bookman Old Style" w:eastAsia="Calibri" w:hAnsi="Bookman Old Style" w:cs="Arial"/>
          <w:szCs w:val="24"/>
        </w:rPr>
        <w:t xml:space="preserve">, está prohibido el porte y consumo de cualquier tipo de sustancia estupefaciente o psicotrópica </w:t>
      </w:r>
      <w:r w:rsidRPr="00510F82">
        <w:rPr>
          <w:rFonts w:ascii="Bookman Old Style" w:eastAsia="Calibri" w:hAnsi="Bookman Old Style" w:cs="Arial"/>
          <w:i/>
          <w:szCs w:val="24"/>
        </w:rPr>
        <w:t>(</w:t>
      </w:r>
      <w:r w:rsidRPr="00510F82">
        <w:rPr>
          <w:rFonts w:ascii="Bookman Old Style" w:hAnsi="Bookman Old Style" w:cs="Arial"/>
          <w:i/>
          <w:szCs w:val="24"/>
        </w:rPr>
        <w:t xml:space="preserve">hojas de coca, cocaína, opio, dihidromorfina, heroína, metadona, morfina, </w:t>
      </w:r>
      <w:r w:rsidRPr="00510F82">
        <w:rPr>
          <w:rFonts w:ascii="Bookman Old Style" w:eastAsia="Calibri" w:hAnsi="Bookman Old Style" w:cs="Arial"/>
          <w:i/>
          <w:szCs w:val="24"/>
        </w:rPr>
        <w:t>cannabis y su resina y los extractos y tinturas de cannabis, amapola, droga sintética, nitrato de amilo popper, ketamina, GHB, entre otras)</w:t>
      </w:r>
      <w:r w:rsidRPr="00510F82">
        <w:rPr>
          <w:rFonts w:ascii="Bookman Old Style" w:eastAsia="Calibri" w:hAnsi="Bookman Old Style" w:cs="Arial"/>
          <w:szCs w:val="24"/>
        </w:rPr>
        <w:t>, salvo prescripción médica. Prohibición que fue incluida con la finalidad de proteger la salud pública de los colombianos.</w:t>
      </w:r>
    </w:p>
    <w:p w14:paraId="38A72C74" w14:textId="77777777" w:rsidR="00452196" w:rsidRDefault="00452196" w:rsidP="00F36280">
      <w:pPr>
        <w:jc w:val="both"/>
        <w:rPr>
          <w:rFonts w:ascii="Bookman Old Style" w:eastAsia="Calibri" w:hAnsi="Bookman Old Style" w:cs="Calibri"/>
          <w:szCs w:val="24"/>
        </w:rPr>
      </w:pPr>
    </w:p>
    <w:p w14:paraId="00612DA5" w14:textId="77777777" w:rsidR="00510F82" w:rsidRPr="00510F82" w:rsidRDefault="00510F82" w:rsidP="00510F82">
      <w:pPr>
        <w:jc w:val="both"/>
        <w:rPr>
          <w:rFonts w:ascii="Bookman Old Style" w:eastAsia="Calibri" w:hAnsi="Bookman Old Style" w:cs="Arial"/>
          <w:szCs w:val="24"/>
        </w:rPr>
      </w:pPr>
      <w:r w:rsidRPr="00510F82">
        <w:rPr>
          <w:rFonts w:ascii="Bookman Old Style" w:eastAsia="Calibri" w:hAnsi="Bookman Old Style" w:cs="Arial"/>
          <w:szCs w:val="24"/>
        </w:rPr>
        <w:lastRenderedPageBreak/>
        <w:t>Este listado incluye el THC CANNABIS, sustancia de reconocidos efectos terapéuticos de tipo anestésico, anticonvulsivante, anti glaucomatoso y antiasmático para uso en el tratamiento del glaucoma, del asma y de la epilepsia</w:t>
      </w:r>
      <w:r w:rsidRPr="00510F82">
        <w:rPr>
          <w:rStyle w:val="FootnoteReference"/>
          <w:rFonts w:ascii="Bookman Old Style" w:eastAsia="Calibri" w:hAnsi="Bookman Old Style" w:cs="Arial"/>
          <w:szCs w:val="24"/>
        </w:rPr>
        <w:footnoteReference w:id="2"/>
      </w:r>
      <w:r w:rsidRPr="00510F82">
        <w:rPr>
          <w:rFonts w:ascii="Bookman Old Style" w:eastAsia="Calibri" w:hAnsi="Bookman Old Style" w:cs="Arial"/>
          <w:szCs w:val="24"/>
        </w:rPr>
        <w:t>. Propiedades que llevaron a que en febrero de este año la Organización Mundial de la Salud (OMS) solicitara su eliminación de la Lista IV</w:t>
      </w:r>
      <w:r w:rsidRPr="00510F82">
        <w:rPr>
          <w:rStyle w:val="FootnoteReference"/>
          <w:rFonts w:ascii="Bookman Old Style" w:eastAsia="Calibri" w:hAnsi="Bookman Old Style" w:cs="Arial"/>
          <w:szCs w:val="24"/>
        </w:rPr>
        <w:footnoteReference w:id="3"/>
      </w:r>
      <w:r w:rsidRPr="00510F82">
        <w:rPr>
          <w:rStyle w:val="FootnoteReference"/>
          <w:rFonts w:ascii="Bookman Old Style" w:eastAsia="Calibri" w:hAnsi="Bookman Old Style" w:cs="Arial"/>
          <w:szCs w:val="24"/>
        </w:rPr>
        <w:footnoteReference w:id="4"/>
      </w:r>
      <w:r w:rsidRPr="00510F82">
        <w:rPr>
          <w:rFonts w:ascii="Bookman Old Style" w:eastAsia="Calibri" w:hAnsi="Bookman Old Style" w:cs="Arial"/>
          <w:szCs w:val="24"/>
        </w:rPr>
        <w:t xml:space="preserve"> de la Convención Única de 1961 sobre Estupefacientes.</w:t>
      </w:r>
    </w:p>
    <w:p w14:paraId="2B20BBB4" w14:textId="77777777" w:rsidR="00F36280" w:rsidRPr="00485CC5" w:rsidRDefault="00F36280" w:rsidP="00F36280">
      <w:pPr>
        <w:jc w:val="both"/>
        <w:rPr>
          <w:rFonts w:ascii="Bookman Old Style" w:eastAsia="Calibri" w:hAnsi="Bookman Old Style" w:cs="Calibri"/>
          <w:szCs w:val="24"/>
        </w:rPr>
      </w:pPr>
    </w:p>
    <w:p w14:paraId="21CDBB0A"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La Ley 1787 de 2016 “</w:t>
      </w:r>
      <w:r w:rsidRPr="00485CC5">
        <w:rPr>
          <w:rFonts w:ascii="Bookman Old Style" w:eastAsia="Calibri" w:hAnsi="Bookman Old Style" w:cs="Calibri"/>
          <w:i/>
          <w:szCs w:val="24"/>
        </w:rPr>
        <w:t>Por medio de la cual se reglamenta el Acto Legislativo 02 de 2009</w:t>
      </w:r>
      <w:r w:rsidRPr="00485CC5">
        <w:rPr>
          <w:rFonts w:ascii="Bookman Old Style" w:eastAsia="Calibri" w:hAnsi="Bookman Old Style" w:cs="Calibri"/>
          <w:szCs w:val="24"/>
        </w:rPr>
        <w:t xml:space="preserve">”, regularizó la importación, exportación, cultivo, producción, fabricación, adquisición a cualquier título, almacenamiento, transporte, comercialización, distribución, uso de las semillas de la planta de cannabis, del cannabis y de sus derivados </w:t>
      </w:r>
      <w:r w:rsidRPr="00485CC5">
        <w:rPr>
          <w:rFonts w:ascii="Bookman Old Style" w:eastAsia="Calibri" w:hAnsi="Bookman Old Style" w:cs="Calibri"/>
          <w:szCs w:val="24"/>
          <w:u w:val="single"/>
        </w:rPr>
        <w:t>siempre y cuando su finalidad sea médica o científica</w:t>
      </w:r>
      <w:r w:rsidRPr="00485CC5">
        <w:rPr>
          <w:rFonts w:ascii="Bookman Old Style" w:eastAsia="Calibri" w:hAnsi="Bookman Old Style" w:cs="Calibri"/>
          <w:szCs w:val="24"/>
        </w:rPr>
        <w:t>. En este sentido, la ley a</w:t>
      </w:r>
      <w:r w:rsidR="00452196">
        <w:rPr>
          <w:rFonts w:ascii="Bookman Old Style" w:eastAsia="Calibri" w:hAnsi="Bookman Old Style" w:cs="Calibri"/>
          <w:szCs w:val="24"/>
        </w:rPr>
        <w:t>dicionó dos causales nuevas</w:t>
      </w:r>
      <w:r w:rsidRPr="00485CC5">
        <w:rPr>
          <w:rFonts w:ascii="Bookman Old Style" w:eastAsia="Calibri" w:hAnsi="Bookman Old Style" w:cs="Calibri"/>
          <w:szCs w:val="24"/>
        </w:rPr>
        <w:t xml:space="preserve"> bajo las cuales está permitido el porte de cannabis, lo cual llevó a que hoy en día exista una incoherencia entre la disposición constitucional y el desarrollo legal sobre la materia.</w:t>
      </w:r>
    </w:p>
    <w:p w14:paraId="6C8D3DE8" w14:textId="77777777" w:rsidR="00F36280" w:rsidRPr="00485CC5" w:rsidRDefault="00F36280" w:rsidP="00F36280">
      <w:pPr>
        <w:jc w:val="both"/>
        <w:rPr>
          <w:rFonts w:ascii="Bookman Old Style" w:eastAsia="Calibri" w:hAnsi="Bookman Old Style" w:cs="Calibri"/>
          <w:szCs w:val="24"/>
        </w:rPr>
      </w:pPr>
    </w:p>
    <w:p w14:paraId="018CCDDE"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Adicional a lo anterior, el artículo 49 en su redacción es, a todas luces, contrario a lo dispuesto en las garantías constitucionales que dan contenido a los derechos fundamentales al libre desarrollo de la personalidad, la igualdad y la salud pública. Lo anterior, en tanto limita sin fundamento constitucional alguno el ejercicio de una actividad que repercute de forma exclusiva en la órbita del individuo.</w:t>
      </w:r>
    </w:p>
    <w:p w14:paraId="11C2765F" w14:textId="77777777" w:rsidR="00F36280" w:rsidRPr="00485CC5" w:rsidRDefault="00F36280" w:rsidP="00F36280">
      <w:pPr>
        <w:jc w:val="both"/>
        <w:rPr>
          <w:rFonts w:ascii="Bookman Old Style" w:eastAsia="Calibri" w:hAnsi="Bookman Old Style" w:cs="Calibri"/>
          <w:szCs w:val="24"/>
        </w:rPr>
      </w:pPr>
    </w:p>
    <w:p w14:paraId="6C43E13E" w14:textId="0A898A15"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consecuencia, es claro que se requiere de una reforma constitucional que, además del </w:t>
      </w:r>
      <w:r w:rsidR="00452196" w:rsidRPr="00485CC5">
        <w:rPr>
          <w:rFonts w:ascii="Bookman Old Style" w:eastAsia="Calibri" w:hAnsi="Bookman Old Style" w:cs="Calibri"/>
          <w:szCs w:val="24"/>
        </w:rPr>
        <w:t>uso</w:t>
      </w:r>
      <w:r w:rsidRPr="00485CC5">
        <w:rPr>
          <w:rFonts w:ascii="Bookman Old Style" w:eastAsia="Calibri" w:hAnsi="Bookman Old Style" w:cs="Calibri"/>
          <w:szCs w:val="24"/>
        </w:rPr>
        <w:t xml:space="preserve"> medicinal, permita el uso científico y </w:t>
      </w:r>
      <w:r w:rsidR="00666304">
        <w:rPr>
          <w:rFonts w:ascii="Bookman Old Style" w:eastAsia="Calibri" w:hAnsi="Bookman Old Style" w:cs="Calibri"/>
          <w:szCs w:val="24"/>
        </w:rPr>
        <w:t>adulto</w:t>
      </w:r>
      <w:r w:rsidRPr="00485CC5">
        <w:rPr>
          <w:rFonts w:ascii="Bookman Old Style" w:eastAsia="Calibri" w:hAnsi="Bookman Old Style" w:cs="Calibri"/>
          <w:szCs w:val="24"/>
        </w:rPr>
        <w:t xml:space="preserve"> del cannabis y sus derivados tomando en consideración las actuales posturas globales en el asunto, propendiendo por la despenalización y regularización del porte y consumo.</w:t>
      </w:r>
    </w:p>
    <w:p w14:paraId="0324FEDA" w14:textId="77777777" w:rsidR="00F36280" w:rsidRPr="00485CC5" w:rsidRDefault="00F36280" w:rsidP="00F36280">
      <w:pPr>
        <w:rPr>
          <w:rFonts w:ascii="Bookman Old Style" w:hAnsi="Bookman Old Style" w:cs="Calibri"/>
          <w:szCs w:val="24"/>
        </w:rPr>
      </w:pPr>
    </w:p>
    <w:p w14:paraId="3D519BAE" w14:textId="77777777" w:rsidR="00F36280" w:rsidRPr="00485CC5" w:rsidRDefault="00F36280" w:rsidP="00207603">
      <w:pPr>
        <w:pStyle w:val="ListParagraph"/>
        <w:numPr>
          <w:ilvl w:val="0"/>
          <w:numId w:val="35"/>
        </w:numPr>
        <w:spacing w:after="0" w:line="240" w:lineRule="auto"/>
        <w:jc w:val="both"/>
        <w:rPr>
          <w:rFonts w:ascii="Bookman Old Style" w:eastAsia="Calibri" w:hAnsi="Bookman Old Style" w:cs="Calibri"/>
          <w:b/>
          <w:szCs w:val="24"/>
        </w:rPr>
      </w:pPr>
      <w:r w:rsidRPr="00485CC5">
        <w:rPr>
          <w:rFonts w:ascii="Bookman Old Style" w:eastAsia="Calibri" w:hAnsi="Bookman Old Style" w:cs="Calibri"/>
          <w:b/>
          <w:szCs w:val="24"/>
        </w:rPr>
        <w:t>ANTECEDENTES</w:t>
      </w:r>
    </w:p>
    <w:p w14:paraId="7ECE3BAD" w14:textId="77777777" w:rsidR="00F36280" w:rsidRPr="00485CC5" w:rsidRDefault="00F36280" w:rsidP="00207603">
      <w:pPr>
        <w:pStyle w:val="ListParagraph"/>
        <w:spacing w:after="0" w:line="240" w:lineRule="auto"/>
        <w:ind w:left="360"/>
        <w:jc w:val="both"/>
        <w:rPr>
          <w:rFonts w:ascii="Bookman Old Style" w:eastAsia="Calibri" w:hAnsi="Bookman Old Style" w:cs="Calibri"/>
          <w:b/>
          <w:szCs w:val="24"/>
        </w:rPr>
      </w:pPr>
    </w:p>
    <w:p w14:paraId="48D4480B" w14:textId="77777777" w:rsidR="00F36280" w:rsidRPr="00485CC5" w:rsidRDefault="00EB0CD0" w:rsidP="00207603">
      <w:pPr>
        <w:pStyle w:val="Heading2"/>
        <w:ind w:left="0"/>
        <w:jc w:val="both"/>
        <w:rPr>
          <w:rFonts w:ascii="Bookman Old Style" w:eastAsia="Calibri" w:hAnsi="Bookman Old Style" w:cs="Calibri"/>
          <w:sz w:val="22"/>
          <w:szCs w:val="24"/>
        </w:rPr>
      </w:pPr>
      <w:r>
        <w:rPr>
          <w:rFonts w:ascii="Bookman Old Style" w:eastAsia="Calibri" w:hAnsi="Bookman Old Style" w:cs="Calibri"/>
          <w:sz w:val="22"/>
          <w:szCs w:val="24"/>
        </w:rPr>
        <w:t>5</w:t>
      </w:r>
      <w:r w:rsidR="00F36280" w:rsidRPr="00485CC5">
        <w:rPr>
          <w:rFonts w:ascii="Bookman Old Style" w:eastAsia="Calibri" w:hAnsi="Bookman Old Style" w:cs="Calibri"/>
          <w:sz w:val="22"/>
          <w:szCs w:val="24"/>
        </w:rPr>
        <w:t>.1 ANTECEDENTES JURÍDICOS Y NORMATIVOS SOBRE LA MATERIA EN COLOMBIA</w:t>
      </w:r>
    </w:p>
    <w:p w14:paraId="12DCB2ED" w14:textId="77777777" w:rsidR="00F36280" w:rsidRPr="00485CC5" w:rsidRDefault="00F36280" w:rsidP="00F36280">
      <w:pPr>
        <w:pStyle w:val="Heading2"/>
        <w:ind w:left="0"/>
        <w:jc w:val="both"/>
        <w:rPr>
          <w:rFonts w:ascii="Bookman Old Style" w:eastAsia="Calibri" w:hAnsi="Bookman Old Style"/>
          <w:b w:val="0"/>
          <w:sz w:val="22"/>
          <w:szCs w:val="24"/>
        </w:rPr>
      </w:pPr>
    </w:p>
    <w:p w14:paraId="37C8FB46" w14:textId="77777777" w:rsidR="00F36280" w:rsidRPr="00485CC5"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Colombia inició el camino de la regulación del consumo de estupefacientes hace más de 30 años, cuando se expidió la Ley 30 de 1986, “</w:t>
      </w:r>
      <w:r w:rsidRPr="00485CC5">
        <w:rPr>
          <w:rFonts w:ascii="Bookman Old Style" w:eastAsia="Calibri" w:hAnsi="Bookman Old Style" w:cs="Calibri"/>
          <w:b w:val="0"/>
          <w:i/>
          <w:sz w:val="22"/>
          <w:szCs w:val="24"/>
        </w:rPr>
        <w:t>Por la cual se adopta el Estatuto Nacional de Estupefacientes y se dictan otras disposiciones</w:t>
      </w:r>
      <w:r w:rsidRPr="00485CC5">
        <w:rPr>
          <w:rFonts w:ascii="Bookman Old Style" w:eastAsia="Calibri" w:hAnsi="Bookman Old Style" w:cs="Calibri"/>
          <w:b w:val="0"/>
          <w:sz w:val="22"/>
          <w:szCs w:val="24"/>
        </w:rPr>
        <w:t xml:space="preserve">.” Dicha norma, entre otras cosas, en el literal J del Artículo 2, definió las dosis para uso personal de sustancias estupefacientes, así: </w:t>
      </w:r>
    </w:p>
    <w:p w14:paraId="345C89B7" w14:textId="77777777" w:rsidR="00F36280" w:rsidRPr="00485CC5" w:rsidRDefault="00F36280" w:rsidP="00F36280">
      <w:pPr>
        <w:rPr>
          <w:rFonts w:ascii="Bookman Old Style" w:eastAsia="Calibri" w:hAnsi="Bookman Old Style"/>
          <w:szCs w:val="24"/>
        </w:rPr>
      </w:pPr>
    </w:p>
    <w:p w14:paraId="5D1C10CA" w14:textId="77777777" w:rsidR="00F36280" w:rsidRPr="00485CC5" w:rsidRDefault="00F36280" w:rsidP="00837AB4">
      <w:pPr>
        <w:ind w:left="851" w:right="900"/>
        <w:jc w:val="both"/>
        <w:rPr>
          <w:rFonts w:ascii="Bookman Old Style" w:eastAsia="Calibri" w:hAnsi="Bookman Old Style" w:cs="Calibri"/>
          <w:i/>
          <w:sz w:val="20"/>
          <w:lang w:val="es-ES_tradnl"/>
        </w:rPr>
      </w:pPr>
      <w:r w:rsidRPr="00485CC5">
        <w:rPr>
          <w:rFonts w:ascii="Bookman Old Style" w:hAnsi="Bookman Old Style"/>
          <w:i/>
          <w:sz w:val="20"/>
        </w:rPr>
        <w:t>“</w:t>
      </w:r>
      <w:r w:rsidRPr="00485CC5">
        <w:rPr>
          <w:rFonts w:ascii="Bookman Old Style" w:eastAsia="Calibri" w:hAnsi="Bookman Old Style" w:cs="Calibri"/>
          <w:i/>
          <w:sz w:val="20"/>
          <w:lang w:val="es-ES_tradnl"/>
        </w:rPr>
        <w:t>ARTICULO</w:t>
      </w:r>
      <w:r w:rsidRPr="00485CC5">
        <w:rPr>
          <w:rFonts w:ascii="Bookman Old Style" w:hAnsi="Bookman Old Style"/>
          <w:i/>
          <w:sz w:val="20"/>
        </w:rPr>
        <w:t xml:space="preserve"> </w:t>
      </w:r>
      <w:r w:rsidRPr="00485CC5">
        <w:rPr>
          <w:rFonts w:ascii="Bookman Old Style" w:eastAsia="Calibri" w:hAnsi="Bookman Old Style" w:cs="Calibri"/>
          <w:i/>
          <w:sz w:val="20"/>
          <w:lang w:val="es-ES_tradnl"/>
        </w:rPr>
        <w:t>2o. (Definiciones). Para efectos de la presente Ley se adoptarán las siguientes definiciones:</w:t>
      </w:r>
    </w:p>
    <w:p w14:paraId="18BCF106" w14:textId="77777777" w:rsidR="00F36280" w:rsidRPr="00485CC5" w:rsidRDefault="00F36280" w:rsidP="00837AB4">
      <w:pPr>
        <w:ind w:left="851"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lastRenderedPageBreak/>
        <w:t>(…)</w:t>
      </w:r>
    </w:p>
    <w:p w14:paraId="23772C47" w14:textId="77777777" w:rsidR="00F36280" w:rsidRPr="00485CC5" w:rsidRDefault="00F36280" w:rsidP="00837AB4">
      <w:pPr>
        <w:ind w:left="851" w:right="900"/>
        <w:jc w:val="both"/>
        <w:rPr>
          <w:rFonts w:ascii="Bookman Old Style" w:hAnsi="Bookman Old Style"/>
          <w:i/>
          <w:sz w:val="20"/>
        </w:rPr>
      </w:pPr>
      <w:r w:rsidRPr="00485CC5">
        <w:rPr>
          <w:rFonts w:ascii="Bookman Old Style" w:eastAsia="Calibri" w:hAnsi="Bookman Old Style" w:cs="Calibri"/>
          <w:i/>
          <w:sz w:val="20"/>
          <w:lang w:val="es-ES_tradnl"/>
        </w:rPr>
        <w:t>j) Dosis para uso personal: Es la cantidad de estupefacientes que una persona porta o conserva para su propio consumo. Es dosis para uso personal la cantidad de marihuana que no exceda de veinte (20) gramos; la de marihuana hachís</w:t>
      </w:r>
      <w:r w:rsidRPr="00485CC5">
        <w:rPr>
          <w:rFonts w:ascii="Bookman Old Style" w:hAnsi="Bookman Old Style"/>
          <w:i/>
          <w:sz w:val="20"/>
        </w:rPr>
        <w:t xml:space="preserve"> que no exceda de cinco (5) gramos; de cocaína o de cualquier sustancia a base de cocaína la que no exceda de un (1) gramo, y de metacualona la que no exceda de dos (2) gramos. </w:t>
      </w:r>
    </w:p>
    <w:p w14:paraId="2DEA6301" w14:textId="77777777" w:rsidR="00F36280" w:rsidRPr="00485CC5" w:rsidRDefault="00F36280" w:rsidP="00837AB4">
      <w:pPr>
        <w:ind w:left="851" w:right="900"/>
        <w:jc w:val="both"/>
        <w:rPr>
          <w:rFonts w:ascii="Bookman Old Style" w:hAnsi="Bookman Old Style"/>
          <w:i/>
          <w:sz w:val="20"/>
        </w:rPr>
      </w:pPr>
    </w:p>
    <w:p w14:paraId="13E4F495" w14:textId="77777777" w:rsidR="00F36280" w:rsidRPr="00485CC5" w:rsidRDefault="00F36280" w:rsidP="00837AB4">
      <w:pPr>
        <w:ind w:left="851" w:right="900"/>
        <w:jc w:val="both"/>
        <w:rPr>
          <w:rFonts w:ascii="Bookman Old Style" w:hAnsi="Bookman Old Style"/>
          <w:i/>
          <w:sz w:val="20"/>
        </w:rPr>
      </w:pPr>
      <w:r w:rsidRPr="00485CC5">
        <w:rPr>
          <w:rFonts w:ascii="Bookman Old Style" w:hAnsi="Bookman Old Style"/>
          <w:i/>
          <w:sz w:val="20"/>
        </w:rPr>
        <w:t>No es dosis para uso personal, el estupefaciente que la persona lleve consigo, cuando tenga como fin su distribución o venta, cualquiera que sea su cantidad.”</w:t>
      </w:r>
    </w:p>
    <w:p w14:paraId="5187BC17" w14:textId="77777777" w:rsidR="00F36280" w:rsidRPr="00485CC5" w:rsidRDefault="00F36280" w:rsidP="00F36280">
      <w:pPr>
        <w:rPr>
          <w:rFonts w:ascii="Bookman Old Style" w:eastAsia="Calibri" w:hAnsi="Bookman Old Style"/>
          <w:szCs w:val="24"/>
        </w:rPr>
      </w:pPr>
    </w:p>
    <w:p w14:paraId="5F478E87" w14:textId="77777777" w:rsidR="00F36280" w:rsidRPr="00485CC5"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Además, la Ley 30 de 1986, reglamentó en su Artículo 32 lo concerniente a la penalización del cultivo, conservación o financiación de plantaciones </w:t>
      </w:r>
      <w:r w:rsidRPr="00485CC5">
        <w:rPr>
          <w:rFonts w:ascii="Bookman Old Style" w:eastAsia="Calibri" w:hAnsi="Bookman Old Style" w:cs="Calibri"/>
          <w:b w:val="0"/>
          <w:i/>
          <w:sz w:val="22"/>
          <w:szCs w:val="24"/>
        </w:rPr>
        <w:t>(número superior a veinte (20) plantas)</w:t>
      </w:r>
      <w:r w:rsidRPr="00485CC5">
        <w:rPr>
          <w:rFonts w:ascii="Bookman Old Style" w:eastAsia="Calibri" w:hAnsi="Bookman Old Style" w:cs="Calibri"/>
          <w:b w:val="0"/>
          <w:sz w:val="22"/>
          <w:szCs w:val="24"/>
        </w:rPr>
        <w:t xml:space="preserve"> de marihuana o cualquier otra planta de las que pueda producirse cocaína, morfina, heroína o cualquier otra droga que produzca dependencia, permitiendo tácitamente los cultivos </w:t>
      </w:r>
      <w:r w:rsidRPr="00485CC5">
        <w:rPr>
          <w:rFonts w:ascii="Bookman Old Style" w:eastAsia="Calibri" w:hAnsi="Bookman Old Style" w:cs="Calibri"/>
          <w:b w:val="0"/>
          <w:i/>
          <w:sz w:val="22"/>
          <w:szCs w:val="24"/>
        </w:rPr>
        <w:t>(número inferior a veinte (20) plantas)</w:t>
      </w:r>
      <w:r w:rsidRPr="00485CC5">
        <w:rPr>
          <w:rFonts w:ascii="Bookman Old Style" w:eastAsia="Calibri" w:hAnsi="Bookman Old Style" w:cs="Calibri"/>
          <w:b w:val="0"/>
          <w:sz w:val="22"/>
          <w:szCs w:val="24"/>
        </w:rPr>
        <w:t xml:space="preserve"> para uso personal. </w:t>
      </w:r>
    </w:p>
    <w:p w14:paraId="5733B885" w14:textId="77777777" w:rsidR="00F36280" w:rsidRPr="00485CC5" w:rsidRDefault="00F36280" w:rsidP="00F36280">
      <w:pPr>
        <w:rPr>
          <w:rFonts w:ascii="Bookman Old Style" w:eastAsia="Calibri" w:hAnsi="Bookman Old Style"/>
          <w:szCs w:val="24"/>
        </w:rPr>
      </w:pPr>
    </w:p>
    <w:p w14:paraId="763A9A3C" w14:textId="77777777" w:rsidR="00F36280" w:rsidRPr="00485CC5"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Posteriormente la Corte Constitucional mediante sentencia C-221 de 1994, con ponencia del Magistrado Carlos Gaviria Díaz, despenalizó el porte y el consumo de la dosis personal de estupefacientes, al declarar contrario a la Constitución el Artículo 51 de la Ley 30 de 1986 </w:t>
      </w:r>
      <w:r w:rsidRPr="00485CC5">
        <w:rPr>
          <w:rFonts w:ascii="Bookman Old Style" w:eastAsia="Calibri" w:hAnsi="Bookman Old Style" w:cs="Calibri"/>
          <w:b w:val="0"/>
          <w:i/>
          <w:sz w:val="22"/>
          <w:szCs w:val="24"/>
        </w:rPr>
        <w:t>(Estatuto Nacional de Estupefacientes)</w:t>
      </w:r>
      <w:r w:rsidRPr="00485CC5">
        <w:rPr>
          <w:rFonts w:ascii="Bookman Old Style" w:eastAsia="Calibri" w:hAnsi="Bookman Old Style" w:cs="Calibri"/>
          <w:b w:val="0"/>
          <w:sz w:val="22"/>
          <w:szCs w:val="24"/>
        </w:rPr>
        <w:t>, que 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14:paraId="413BDA6C" w14:textId="77777777" w:rsidR="00F36280" w:rsidRPr="00485CC5" w:rsidRDefault="00F36280" w:rsidP="00F36280">
      <w:pPr>
        <w:pStyle w:val="Heading2"/>
        <w:ind w:left="0"/>
        <w:jc w:val="both"/>
        <w:rPr>
          <w:rFonts w:ascii="Bookman Old Style" w:eastAsia="Calibri" w:hAnsi="Bookman Old Style" w:cs="Calibri"/>
          <w:b w:val="0"/>
          <w:sz w:val="22"/>
          <w:szCs w:val="24"/>
        </w:rPr>
      </w:pPr>
    </w:p>
    <w:p w14:paraId="303726FE" w14:textId="77777777" w:rsidR="00F36280" w:rsidRPr="00485CC5"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14:paraId="4EDFBC3C" w14:textId="77777777" w:rsidR="00F36280" w:rsidRPr="00485CC5" w:rsidRDefault="00F36280" w:rsidP="00F36280">
      <w:pPr>
        <w:rPr>
          <w:rFonts w:ascii="Bookman Old Style" w:eastAsia="Calibri" w:hAnsi="Bookman Old Style"/>
          <w:szCs w:val="24"/>
        </w:rPr>
      </w:pPr>
    </w:p>
    <w:p w14:paraId="78451B17" w14:textId="133DF195" w:rsidR="00F36280" w:rsidRPr="00485CC5"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el año 2009 se realizaron en el país varios esfuerzos por</w:t>
      </w:r>
      <w:r w:rsidR="00666304">
        <w:rPr>
          <w:rFonts w:ascii="Bookman Old Style" w:eastAsia="Calibri" w:hAnsi="Bookman Old Style" w:cs="Calibri"/>
          <w:b w:val="0"/>
          <w:sz w:val="22"/>
          <w:szCs w:val="24"/>
        </w:rPr>
        <w:t xml:space="preserve"> penalizar el consumo adulto</w:t>
      </w:r>
      <w:r w:rsidRPr="00485CC5">
        <w:rPr>
          <w:rFonts w:ascii="Bookman Old Style" w:eastAsia="Calibri" w:hAnsi="Bookman Old Style" w:cs="Calibri"/>
          <w:b w:val="0"/>
          <w:sz w:val="22"/>
          <w:szCs w:val="24"/>
        </w:rPr>
        <w:t xml:space="preserve">, los cuales culminaron en la expedición del Acto Legislativo 02, a través del cual se reformó el artículo 49 superior, elevando a rango constitucional la prohibición de porte y consumo de sustancias estupefacientes o psicotrópicas, salvo en los casos de prescripción médica. </w:t>
      </w:r>
    </w:p>
    <w:p w14:paraId="0E2D44A2" w14:textId="77777777" w:rsidR="00F36280" w:rsidRPr="00485CC5" w:rsidRDefault="00F36280" w:rsidP="00F36280">
      <w:pPr>
        <w:pStyle w:val="Heading2"/>
        <w:ind w:left="0"/>
        <w:jc w:val="both"/>
        <w:rPr>
          <w:rFonts w:ascii="Bookman Old Style" w:eastAsia="Calibri" w:hAnsi="Bookman Old Style" w:cs="Calibri"/>
          <w:b w:val="0"/>
          <w:sz w:val="22"/>
          <w:szCs w:val="24"/>
        </w:rPr>
      </w:pPr>
    </w:p>
    <w:p w14:paraId="79AEB751" w14:textId="77777777" w:rsidR="00F36280" w:rsidRPr="00485CC5"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14:paraId="3EBB8EAB" w14:textId="77777777" w:rsidR="00F36280" w:rsidRPr="00485CC5" w:rsidRDefault="00F36280" w:rsidP="00F36280">
      <w:pPr>
        <w:pStyle w:val="Heading2"/>
        <w:ind w:left="0"/>
        <w:jc w:val="both"/>
        <w:rPr>
          <w:rFonts w:ascii="Bookman Old Style" w:eastAsia="Calibri" w:hAnsi="Bookman Old Style" w:cs="Calibri"/>
          <w:b w:val="0"/>
          <w:sz w:val="22"/>
          <w:szCs w:val="24"/>
        </w:rPr>
      </w:pPr>
    </w:p>
    <w:p w14:paraId="3C5D13DB" w14:textId="77777777" w:rsidR="00F36280" w:rsidRPr="00485CC5" w:rsidRDefault="00F36280" w:rsidP="00F36280">
      <w:pPr>
        <w:pStyle w:val="Heading2"/>
        <w:ind w:left="0"/>
        <w:jc w:val="both"/>
        <w:rPr>
          <w:rFonts w:ascii="Bookman Old Style" w:eastAsia="Calibri" w:hAnsi="Bookman Old Style" w:cs="Calibri"/>
          <w:b w:val="0"/>
          <w:i/>
          <w:sz w:val="22"/>
          <w:szCs w:val="24"/>
        </w:rPr>
      </w:pPr>
      <w:r w:rsidRPr="00485CC5">
        <w:rPr>
          <w:rFonts w:ascii="Bookman Old Style" w:eastAsia="Calibri" w:hAnsi="Bookman Old Style" w:cs="Calibri"/>
          <w:b w:val="0"/>
          <w:sz w:val="22"/>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14:paraId="59CF9B50" w14:textId="77777777" w:rsidR="00F36280" w:rsidRPr="00485CC5" w:rsidRDefault="00F36280" w:rsidP="00F36280">
      <w:pPr>
        <w:rPr>
          <w:rFonts w:ascii="Bookman Old Style" w:eastAsia="Calibri" w:hAnsi="Bookman Old Style"/>
          <w:b/>
          <w:szCs w:val="24"/>
        </w:rPr>
      </w:pPr>
    </w:p>
    <w:p w14:paraId="0C863557" w14:textId="77777777" w:rsidR="00F36280" w:rsidRPr="00485CC5" w:rsidRDefault="00F36280" w:rsidP="00077ACA">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aras de desarrollar la prohibición constitucional, en el año 2016 se discutió y aprobó la Ley 1787,</w:t>
      </w:r>
      <w:r w:rsidRPr="00485CC5">
        <w:rPr>
          <w:rFonts w:ascii="Bookman Old Style" w:eastAsia="Calibri" w:hAnsi="Bookman Old Style" w:cs="Calibri"/>
          <w:b w:val="0"/>
          <w:bCs/>
          <w:i/>
          <w:iCs/>
          <w:sz w:val="22"/>
          <w:szCs w:val="24"/>
        </w:rPr>
        <w:t xml:space="preserve"> “Por medio de la cual se reglamenta el Acto Legislativo 02 de 2009.”</w:t>
      </w:r>
      <w:r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i/>
          <w:sz w:val="22"/>
          <w:szCs w:val="24"/>
        </w:rPr>
        <w:t>(desarrollada mediante el Decreto 0613 de 2017)</w:t>
      </w:r>
      <w:r w:rsidRPr="00485CC5">
        <w:rPr>
          <w:rFonts w:ascii="Bookman Old Style" w:eastAsia="Calibri" w:hAnsi="Bookman Old Style" w:cs="Calibri"/>
          <w:b w:val="0"/>
          <w:sz w:val="22"/>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485CC5">
        <w:rPr>
          <w:rFonts w:ascii="Bookman Old Style" w:eastAsia="Calibri" w:hAnsi="Bookman Old Style" w:cs="Calibri"/>
          <w:b w:val="0"/>
          <w:i/>
          <w:sz w:val="22"/>
          <w:szCs w:val="24"/>
        </w:rPr>
        <w:t>“el acceso seguro e informado al uso médico y científico del cannabis y sus derivados”</w:t>
      </w:r>
      <w:r w:rsidRPr="00485CC5">
        <w:rPr>
          <w:rFonts w:ascii="Bookman Old Style" w:eastAsia="Calibri" w:hAnsi="Bookman Old Style" w:cs="Calibri"/>
          <w:b w:val="0"/>
          <w:sz w:val="22"/>
          <w:szCs w:val="24"/>
        </w:rPr>
        <w:t>, referencia que de entrada muestra una adición a lo previsto en el artículo 29 constitucional: el uso científico.</w:t>
      </w:r>
    </w:p>
    <w:p w14:paraId="13B905F4" w14:textId="77777777" w:rsidR="00F36280" w:rsidRPr="00485CC5" w:rsidRDefault="00F36280" w:rsidP="00F36280">
      <w:pPr>
        <w:pStyle w:val="Heading2"/>
        <w:jc w:val="both"/>
        <w:rPr>
          <w:rFonts w:ascii="Bookman Old Style" w:eastAsia="Calibri" w:hAnsi="Bookman Old Style" w:cs="Calibri"/>
          <w:b w:val="0"/>
          <w:sz w:val="22"/>
          <w:szCs w:val="24"/>
        </w:rPr>
      </w:pPr>
    </w:p>
    <w:p w14:paraId="3C260FB9" w14:textId="77777777" w:rsidR="00F36280" w:rsidRPr="00485CC5" w:rsidRDefault="00510F82" w:rsidP="00077ACA">
      <w:pPr>
        <w:pStyle w:val="Heading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Al revisar</w:t>
      </w:r>
      <w:r w:rsidR="00F36280" w:rsidRPr="00485CC5">
        <w:rPr>
          <w:rFonts w:ascii="Bookman Old Style" w:eastAsia="Calibri" w:hAnsi="Bookman Old Style" w:cs="Calibri"/>
          <w:b w:val="0"/>
          <w:sz w:val="22"/>
          <w:szCs w:val="24"/>
        </w:rPr>
        <w:t xml:space="preserve"> el resto d</w:t>
      </w:r>
      <w:r>
        <w:rPr>
          <w:rFonts w:ascii="Bookman Old Style" w:eastAsia="Calibri" w:hAnsi="Bookman Old Style" w:cs="Calibri"/>
          <w:b w:val="0"/>
          <w:sz w:val="22"/>
          <w:szCs w:val="24"/>
        </w:rPr>
        <w:t>e la norma se evidencia</w:t>
      </w:r>
      <w:r w:rsidR="00F36280" w:rsidRPr="00485CC5">
        <w:rPr>
          <w:rFonts w:ascii="Bookman Old Style" w:eastAsia="Calibri" w:hAnsi="Bookman Old Style" w:cs="Calibri"/>
          <w:b w:val="0"/>
          <w:sz w:val="22"/>
          <w:szCs w:val="24"/>
        </w:rPr>
        <w:t xml:space="preserve"> que se hace referencia a usos medicinales del cannabis, previsión que no necesariamente se enmarca en la referencia del artículo 49 de la Constitución que se refiere exclusivamente a la tenencia de una fórmula médica. </w:t>
      </w:r>
    </w:p>
    <w:p w14:paraId="1B35FAE2" w14:textId="77777777" w:rsidR="00F36280" w:rsidRPr="00485CC5" w:rsidRDefault="00F36280" w:rsidP="00F36280">
      <w:pPr>
        <w:pStyle w:val="Heading2"/>
        <w:jc w:val="both"/>
        <w:rPr>
          <w:rFonts w:ascii="Bookman Old Style" w:eastAsia="Calibri" w:hAnsi="Bookman Old Style" w:cs="Calibri"/>
          <w:b w:val="0"/>
          <w:sz w:val="22"/>
          <w:szCs w:val="24"/>
        </w:rPr>
      </w:pPr>
    </w:p>
    <w:p w14:paraId="00E67F4E" w14:textId="77777777" w:rsidR="00F36280" w:rsidRPr="00485CC5" w:rsidRDefault="00F36280" w:rsidP="00077ACA">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De lo anterior se colige entonces que la Ley 1787 de 2016 introdujo dos excepciones adicionales al porte de cannabis, aumentando el margen de la prohibición dispuesta por el Acto Legislativo 02 de 2009.</w:t>
      </w:r>
    </w:p>
    <w:p w14:paraId="25AE8697" w14:textId="77777777" w:rsidR="00F36280" w:rsidRPr="00485CC5" w:rsidRDefault="00F36280" w:rsidP="00F36280">
      <w:pPr>
        <w:pStyle w:val="Heading2"/>
        <w:jc w:val="both"/>
        <w:rPr>
          <w:rFonts w:ascii="Bookman Old Style" w:eastAsia="Calibri" w:hAnsi="Bookman Old Style" w:cs="Calibri"/>
          <w:b w:val="0"/>
          <w:sz w:val="22"/>
          <w:szCs w:val="24"/>
        </w:rPr>
      </w:pPr>
    </w:p>
    <w:p w14:paraId="336E0BA0" w14:textId="532B654D" w:rsidR="00F36280" w:rsidRPr="00485CC5"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l</w:t>
      </w:r>
      <w:r w:rsidR="00666304">
        <w:rPr>
          <w:rFonts w:ascii="Bookman Old Style" w:eastAsia="Calibri" w:hAnsi="Bookman Old Style" w:cs="Calibri"/>
          <w:b w:val="0"/>
          <w:sz w:val="22"/>
          <w:szCs w:val="24"/>
        </w:rPr>
        <w:t>o que respecta al uso adulto</w:t>
      </w:r>
      <w:r w:rsidRPr="00485CC5">
        <w:rPr>
          <w:rFonts w:ascii="Bookman Old Style" w:eastAsia="Calibri" w:hAnsi="Bookman Old Style" w:cs="Calibri"/>
          <w:b w:val="0"/>
          <w:sz w:val="22"/>
          <w:szCs w:val="24"/>
        </w:rPr>
        <w:t xml:space="preserve">, la Ley 1801 de 2016 </w:t>
      </w:r>
      <w:r w:rsidRPr="00485CC5">
        <w:rPr>
          <w:rFonts w:ascii="Bookman Old Style" w:eastAsia="Calibri" w:hAnsi="Bookman Old Style" w:cs="Calibri"/>
          <w:b w:val="0"/>
          <w:i/>
          <w:sz w:val="22"/>
          <w:szCs w:val="24"/>
        </w:rPr>
        <w:t>“Por la cual se expide el Código Nacional de Policía y Convivencia”</w:t>
      </w:r>
      <w:r w:rsidRPr="00485CC5">
        <w:rPr>
          <w:rFonts w:ascii="Bookman Old Style" w:eastAsia="Calibri" w:hAnsi="Bookman Old Style" w:cs="Calibri"/>
          <w:b w:val="0"/>
          <w:sz w:val="22"/>
          <w:szCs w:val="24"/>
        </w:rPr>
        <w:t>, desarrolló dispuso en su artículo 33 la prohibición al consumo de drogas de uso ilícito, en aras de preservar la tranquilidad, y las relaciones respetuosas de las personas y la comunidad.</w:t>
      </w:r>
    </w:p>
    <w:p w14:paraId="1FC0C405" w14:textId="77777777" w:rsidR="00F36280" w:rsidRPr="00485CC5" w:rsidRDefault="00F36280" w:rsidP="00F36280">
      <w:pPr>
        <w:rPr>
          <w:rFonts w:ascii="Bookman Old Style" w:eastAsia="Calibri" w:hAnsi="Bookman Old Style"/>
          <w:szCs w:val="24"/>
        </w:rPr>
      </w:pPr>
    </w:p>
    <w:p w14:paraId="412CA934" w14:textId="77777777"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Esta norma</w:t>
      </w:r>
      <w:r w:rsidR="00F36280" w:rsidRPr="00485CC5">
        <w:rPr>
          <w:rFonts w:ascii="Bookman Old Style" w:eastAsia="Calibri" w:hAnsi="Bookman Old Style" w:cs="Calibri"/>
          <w:szCs w:val="24"/>
        </w:rPr>
        <w:t xml:space="preserve"> impleme</w:t>
      </w:r>
      <w:r>
        <w:rPr>
          <w:rFonts w:ascii="Bookman Old Style" w:eastAsia="Calibri" w:hAnsi="Bookman Old Style" w:cs="Calibri"/>
          <w:szCs w:val="24"/>
        </w:rPr>
        <w:t xml:space="preserve">ntó un proceso abreviado encaminado a </w:t>
      </w:r>
      <w:r w:rsidR="00F36280" w:rsidRPr="00485CC5">
        <w:rPr>
          <w:rFonts w:ascii="Bookman Old Style" w:eastAsia="Calibri" w:hAnsi="Bookman Old Style" w:cs="Calibri"/>
          <w:szCs w:val="24"/>
        </w:rPr>
        <w:t>sancionar a l</w:t>
      </w:r>
      <w:r>
        <w:rPr>
          <w:rFonts w:ascii="Bookman Old Style" w:eastAsia="Calibri" w:hAnsi="Bookman Old Style" w:cs="Calibri"/>
          <w:szCs w:val="24"/>
        </w:rPr>
        <w:t>as personas que consumieran dichas sustancias, la</w:t>
      </w:r>
      <w:r w:rsidR="00F36280" w:rsidRPr="00485CC5">
        <w:rPr>
          <w:rFonts w:ascii="Bookman Old Style" w:eastAsia="Calibri" w:hAnsi="Bookman Old Style" w:cs="Calibri"/>
          <w:szCs w:val="24"/>
        </w:rPr>
        <w:t xml:space="preserve"> cual contraría las garantías o la imparcialidad necesaria para determinar la sanción a imponer con el agravante de que genera una serie de estigmatizaciones en contra de los consumidores.</w:t>
      </w:r>
    </w:p>
    <w:p w14:paraId="6964069E" w14:textId="77777777" w:rsidR="00F36280" w:rsidRPr="00485CC5" w:rsidRDefault="00F36280" w:rsidP="00F36280">
      <w:pPr>
        <w:rPr>
          <w:rFonts w:eastAsia="Calibri"/>
        </w:rPr>
      </w:pPr>
    </w:p>
    <w:p w14:paraId="3D5ED1EF" w14:textId="77777777" w:rsidR="00F36280" w:rsidRPr="00485CC5"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No obstante, en materia jurisprudencial se mantuvo la postura desarrollada en el año 1994, como se evidenció el 9 de marzo de 2016, cuando</w:t>
      </w:r>
      <w:r w:rsidR="00DC49AD">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la Corte Suprema de Justicia, mediante sentencia SP-2940-2016, reconoció nuevamente la posibilidad de la despenalización del consumo, afirmando que los consumidores, enfermos o adictos, podían portar una cantidad diferente a la fijada por la ley para la dosis personal (20 gramos), siempre que: 1) </w:t>
      </w:r>
      <w:r w:rsidR="001E18FE">
        <w:rPr>
          <w:rFonts w:ascii="Bookman Old Style" w:eastAsia="Calibri" w:hAnsi="Bookman Old Style" w:cs="Calibri"/>
          <w:b w:val="0"/>
          <w:sz w:val="22"/>
          <w:szCs w:val="24"/>
        </w:rPr>
        <w:t>e</w:t>
      </w:r>
      <w:r w:rsidR="001E18FE" w:rsidRPr="00485CC5">
        <w:rPr>
          <w:rFonts w:ascii="Bookman Old Style" w:eastAsia="Calibri" w:hAnsi="Bookman Old Style" w:cs="Calibri"/>
          <w:b w:val="0"/>
          <w:sz w:val="22"/>
          <w:szCs w:val="24"/>
        </w:rPr>
        <w:t>st</w:t>
      </w:r>
      <w:r w:rsidR="001E18FE">
        <w:rPr>
          <w:rFonts w:ascii="Bookman Old Style" w:eastAsia="Calibri" w:hAnsi="Bookman Old Style" w:cs="Calibri"/>
          <w:b w:val="0"/>
          <w:sz w:val="22"/>
          <w:szCs w:val="24"/>
        </w:rPr>
        <w:t>a</w:t>
      </w:r>
      <w:r w:rsidRPr="00485CC5">
        <w:rPr>
          <w:rFonts w:ascii="Bookman Old Style" w:eastAsia="Calibri" w:hAnsi="Bookman Old Style" w:cs="Calibri"/>
          <w:b w:val="0"/>
          <w:sz w:val="22"/>
          <w:szCs w:val="24"/>
        </w:rPr>
        <w:t xml:space="preserve"> fuera para su consumo personal o aprovisionamiento y 2) no existieran indicios de tráfico de sustancias de uso ilícito. </w:t>
      </w:r>
    </w:p>
    <w:p w14:paraId="79A8A54C" w14:textId="77777777" w:rsidR="00F36280" w:rsidRPr="00485CC5" w:rsidRDefault="00F36280" w:rsidP="00F36280">
      <w:pPr>
        <w:pStyle w:val="Heading2"/>
        <w:ind w:left="0"/>
        <w:jc w:val="both"/>
        <w:rPr>
          <w:rFonts w:ascii="Bookman Old Style" w:eastAsia="Calibri" w:hAnsi="Bookman Old Style" w:cs="Calibri"/>
          <w:b w:val="0"/>
          <w:sz w:val="22"/>
          <w:szCs w:val="24"/>
        </w:rPr>
      </w:pPr>
    </w:p>
    <w:p w14:paraId="55DA4EE4" w14:textId="77777777" w:rsidR="00F36280"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el año 2018 se retomó la prohibición constitucional y</w:t>
      </w:r>
      <w:r w:rsidR="00C8439A">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en desarrollo de la Ley </w:t>
      </w:r>
      <w:r w:rsidRPr="00485CC5">
        <w:rPr>
          <w:rFonts w:ascii="Bookman Old Style" w:eastAsia="Calibri" w:hAnsi="Bookman Old Style" w:cs="Calibri"/>
          <w:b w:val="0"/>
          <w:sz w:val="22"/>
          <w:szCs w:val="24"/>
        </w:rPr>
        <w:lastRenderedPageBreak/>
        <w:t>1801 de 2016, el Decreto 1844 prohibió el porte y consumo de la dosis mínima y facultó a la Policía Nacional para adelantar el decomiso de las sustancias estupefacientes, así como para</w:t>
      </w:r>
      <w:r w:rsidR="00C8439A">
        <w:rPr>
          <w:rFonts w:ascii="Bookman Old Style" w:eastAsia="Calibri" w:hAnsi="Bookman Old Style" w:cs="Calibri"/>
          <w:b w:val="0"/>
          <w:sz w:val="22"/>
          <w:szCs w:val="24"/>
        </w:rPr>
        <w:t xml:space="preserve"> la imposición de una sanción.</w:t>
      </w:r>
    </w:p>
    <w:p w14:paraId="33116B74" w14:textId="77777777" w:rsidR="00C8439A" w:rsidRPr="00C8439A" w:rsidRDefault="00C8439A" w:rsidP="00C8439A">
      <w:pPr>
        <w:rPr>
          <w:rFonts w:eastAsia="Calibri"/>
        </w:rPr>
      </w:pPr>
    </w:p>
    <w:p w14:paraId="3E5406D3" w14:textId="77777777" w:rsidR="00F36280"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Finalmente, y de forma reciente, la Corte Constitucional, en comunicado del 6 de junio de 2019, informó que a través de la sentencia C-253 de 2019, declaró inexequible las “</w:t>
      </w:r>
      <w:r w:rsidRPr="00485CC5">
        <w:rPr>
          <w:rFonts w:ascii="Bookman Old Style" w:eastAsia="Calibri" w:hAnsi="Bookman Old Style" w:cs="Calibri"/>
          <w:b w:val="0"/>
          <w:i/>
          <w:sz w:val="22"/>
          <w:szCs w:val="24"/>
        </w:rPr>
        <w:t>normas legales que establecen una prohibición genérica y amplia al consumo de bebidas alcohólicas y sustancias psicoactivas en el espacio público y en espacios privados abiertos al público o que trascienden a lo público</w:t>
      </w:r>
      <w:r w:rsidRPr="00485CC5">
        <w:rPr>
          <w:rStyle w:val="FootnoteReference"/>
          <w:rFonts w:ascii="Bookman Old Style" w:eastAsia="Calibri" w:hAnsi="Bookman Old Style" w:cs="Calibri"/>
          <w:b w:val="0"/>
          <w:i/>
          <w:sz w:val="22"/>
          <w:szCs w:val="24"/>
        </w:rPr>
        <w:footnoteReference w:id="5"/>
      </w:r>
      <w:r w:rsidRPr="00485CC5">
        <w:rPr>
          <w:rFonts w:ascii="Bookman Old Style" w:eastAsia="Calibri" w:hAnsi="Bookman Old Style" w:cs="Calibri"/>
          <w:b w:val="0"/>
          <w:i/>
          <w:sz w:val="22"/>
          <w:szCs w:val="24"/>
        </w:rPr>
        <w:t xml:space="preserve">”. </w:t>
      </w:r>
      <w:r w:rsidRPr="00485CC5">
        <w:rPr>
          <w:rFonts w:ascii="Bookman Old Style" w:eastAsia="Calibri" w:hAnsi="Bookman Old Style" w:cs="Calibri"/>
          <w:b w:val="0"/>
          <w:sz w:val="22"/>
          <w:szCs w:val="24"/>
        </w:rPr>
        <w:t xml:space="preserve">Si bien la sentencia no ha sido publicada, en el comunicado refiere la Corte que </w:t>
      </w:r>
      <w:r w:rsidRPr="00485CC5">
        <w:rPr>
          <w:rFonts w:ascii="Bookman Old Style" w:eastAsia="Calibri" w:hAnsi="Bookman Old Style" w:cs="Calibri"/>
          <w:b w:val="0"/>
          <w:i/>
          <w:sz w:val="22"/>
          <w:szCs w:val="24"/>
        </w:rPr>
        <w:t xml:space="preserve">“el texto legal de las reglas acusadas tiene unas amplias prohibiciones que impactan el ejercicio del derecho al libre desarrollo de la personalidad de forma considerable”, </w:t>
      </w:r>
      <w:r w:rsidRPr="00485CC5">
        <w:rPr>
          <w:rFonts w:ascii="Bookman Old Style" w:eastAsia="Calibri" w:hAnsi="Bookman Old Style" w:cs="Calibri"/>
          <w:b w:val="0"/>
          <w:sz w:val="22"/>
          <w:szCs w:val="24"/>
        </w:rPr>
        <w:t xml:space="preserve">afirmación que se enmarca en la ya enunciada línea jurisprudencial que identifica estos asuntos como propios de la órbita del individuo. </w:t>
      </w:r>
    </w:p>
    <w:p w14:paraId="3896A3A5" w14:textId="77777777" w:rsidR="00FE7304" w:rsidRDefault="00FE7304" w:rsidP="00FE7304">
      <w:pPr>
        <w:rPr>
          <w:rFonts w:eastAsia="Calibri"/>
        </w:rPr>
      </w:pPr>
    </w:p>
    <w:p w14:paraId="0610C65D" w14:textId="77777777" w:rsidR="00FE7304" w:rsidRPr="00FE7304" w:rsidRDefault="00FE7304" w:rsidP="00FE7304">
      <w:pPr>
        <w:jc w:val="both"/>
        <w:rPr>
          <w:rFonts w:ascii="Bookman Old Style" w:hAnsi="Bookman Old Style" w:cs="Calibri"/>
          <w:sz w:val="24"/>
        </w:rPr>
      </w:pPr>
      <w:r w:rsidRPr="00FE7304">
        <w:rPr>
          <w:rFonts w:ascii="Bookman Old Style" w:hAnsi="Bookman Old Style"/>
          <w:color w:val="222222"/>
          <w:szCs w:val="20"/>
          <w:shd w:val="clear" w:color="auto" w:fill="FFFFFF"/>
        </w:rPr>
        <w:t xml:space="preserve">Mientras que el </w:t>
      </w:r>
      <w:r>
        <w:rPr>
          <w:rFonts w:ascii="Bookman Old Style" w:hAnsi="Bookman Old Style"/>
          <w:color w:val="222222"/>
          <w:szCs w:val="20"/>
          <w:shd w:val="clear" w:color="auto" w:fill="FFFFFF"/>
        </w:rPr>
        <w:t>Consejo de Estado</w:t>
      </w:r>
      <w:r w:rsidRPr="00FE7304">
        <w:rPr>
          <w:rFonts w:ascii="Bookman Old Style" w:hAnsi="Bookman Old Style"/>
          <w:color w:val="222222"/>
          <w:szCs w:val="20"/>
          <w:shd w:val="clear" w:color="auto" w:fill="FFFFFF"/>
        </w:rPr>
        <w:t xml:space="preserve"> a través de Sentencia del 30 de abril de 2020 recalcó que la reglamentación de prohibir el porte o consumo de sustancias psicoactivas no puede perturbar el derecho al libre desarrollo de la personalidad de los consumidores que no afecten a terceros o sus bienes. El procedimiento policivo debe determinar si el porte se enmarca en las conductas de comercialización, distribución de sustancias psicoactivas o si afecta los derechos de terceros o de la colectividad, casos en que es aplicable las disposiciones normativas contenidas en el Código del Policía.</w:t>
      </w:r>
    </w:p>
    <w:p w14:paraId="4C9693F5" w14:textId="77777777" w:rsidR="00F36280" w:rsidRPr="00485CC5" w:rsidRDefault="00F36280" w:rsidP="00F36280">
      <w:pPr>
        <w:jc w:val="both"/>
        <w:rPr>
          <w:rFonts w:ascii="Bookman Old Style" w:eastAsia="Calibri" w:hAnsi="Bookman Old Style" w:cs="Calibri"/>
          <w:szCs w:val="24"/>
        </w:rPr>
      </w:pPr>
    </w:p>
    <w:p w14:paraId="47B7045B" w14:textId="77777777" w:rsidR="00C8439A"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Esto nos lleva a concluir que en Colombia han existido dos tendencias, una prohibicionista, en contraposición con una reivindicatoria de las libertades individuales. Las Cortes han abierto la posibilidad de adoptar una política de drogas más humana, garantista y eficaz al permitir la dosis mínima, la dosis de aprovisionamiento y el derecho al libre consumo, pero las políticas actuales materializadas en el Acto Legislativo 02 de 2009, el Código Nacional de Policía y el Decreto 1844 de 2018, han optado por la aplicación de medidas prohibicionistas que desconocen derechos fundamentales. </w:t>
      </w:r>
    </w:p>
    <w:p w14:paraId="532EF58B" w14:textId="77777777" w:rsidR="00484D81" w:rsidRDefault="00484D81" w:rsidP="00F36280">
      <w:pPr>
        <w:jc w:val="both"/>
        <w:rPr>
          <w:rFonts w:ascii="Bookman Old Style" w:eastAsia="Calibri" w:hAnsi="Bookman Old Style" w:cs="Calibri"/>
          <w:szCs w:val="24"/>
        </w:rPr>
      </w:pPr>
    </w:p>
    <w:p w14:paraId="4B8EB135" w14:textId="77777777"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Amén de lo anterior</w:t>
      </w:r>
      <w:r w:rsidR="00F36280" w:rsidRPr="00485CC5">
        <w:rPr>
          <w:rFonts w:ascii="Bookman Old Style" w:eastAsia="Calibri" w:hAnsi="Bookman Old Style" w:cs="Calibri"/>
          <w:szCs w:val="24"/>
        </w:rPr>
        <w:t xml:space="preserve">, existe una clara </w:t>
      </w:r>
      <w:r>
        <w:rPr>
          <w:rFonts w:ascii="Bookman Old Style" w:eastAsia="Calibri" w:hAnsi="Bookman Old Style" w:cs="Calibri"/>
          <w:szCs w:val="24"/>
        </w:rPr>
        <w:t>incoherencia</w:t>
      </w:r>
      <w:r w:rsidR="00F36280" w:rsidRPr="00485CC5">
        <w:rPr>
          <w:rFonts w:ascii="Bookman Old Style" w:eastAsia="Calibri" w:hAnsi="Bookman Old Style" w:cs="Calibri"/>
          <w:szCs w:val="24"/>
        </w:rPr>
        <w:t xml:space="preserve"> entre la Ley 1787 de 2016 y el artículo 49 de la constitución, en tanto la Ley aumentó las excepciones a la prohibición del porte de cannabis.</w:t>
      </w:r>
    </w:p>
    <w:p w14:paraId="3C3124AE" w14:textId="77777777" w:rsidR="00F36280" w:rsidRPr="00485CC5" w:rsidRDefault="00F36280" w:rsidP="00F36280">
      <w:pPr>
        <w:jc w:val="both"/>
        <w:rPr>
          <w:rFonts w:ascii="Bookman Old Style" w:eastAsia="Calibri" w:hAnsi="Bookman Old Style" w:cs="Calibri"/>
          <w:szCs w:val="24"/>
        </w:rPr>
      </w:pPr>
    </w:p>
    <w:p w14:paraId="44590CAA" w14:textId="77777777" w:rsidR="00F36280"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rPr>
        <w:t xml:space="preserve">Consecuencia de lo anterior, en la actualidad no exista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w:t>
      </w:r>
      <w:r w:rsidRPr="00485CC5">
        <w:rPr>
          <w:rFonts w:ascii="Bookman Old Style" w:eastAsia="Calibri" w:hAnsi="Bookman Old Style" w:cs="Calibri"/>
          <w:szCs w:val="24"/>
        </w:rPr>
        <w:lastRenderedPageBreak/>
        <w:t xml:space="preserve">proyecto de Acto Legislativo. </w:t>
      </w:r>
    </w:p>
    <w:p w14:paraId="2747AD5A" w14:textId="77777777" w:rsidR="00F36280" w:rsidRDefault="00F36280" w:rsidP="00F36280">
      <w:pPr>
        <w:jc w:val="both"/>
        <w:rPr>
          <w:rFonts w:ascii="Bookman Old Style" w:eastAsia="Calibri" w:hAnsi="Bookman Old Style" w:cs="Calibri"/>
          <w:b/>
          <w:szCs w:val="24"/>
        </w:rPr>
      </w:pPr>
    </w:p>
    <w:p w14:paraId="03D21623" w14:textId="77777777" w:rsidR="00F36280" w:rsidRPr="00485CC5" w:rsidRDefault="00EB0CD0" w:rsidP="00F36280">
      <w:pPr>
        <w:jc w:val="both"/>
        <w:rPr>
          <w:rFonts w:ascii="Bookman Old Style" w:eastAsia="Calibri" w:hAnsi="Bookman Old Style" w:cs="Calibri"/>
          <w:b/>
          <w:szCs w:val="24"/>
        </w:rPr>
      </w:pPr>
      <w:r>
        <w:rPr>
          <w:rFonts w:ascii="Bookman Old Style" w:eastAsia="Calibri" w:hAnsi="Bookman Old Style" w:cs="Calibri"/>
          <w:b/>
          <w:szCs w:val="24"/>
        </w:rPr>
        <w:t>5</w:t>
      </w:r>
      <w:r w:rsidR="00F36280" w:rsidRPr="00485CC5">
        <w:rPr>
          <w:rFonts w:ascii="Bookman Old Style" w:eastAsia="Calibri" w:hAnsi="Bookman Old Style" w:cs="Calibri"/>
          <w:b/>
          <w:szCs w:val="24"/>
        </w:rPr>
        <w:t>.2 POSTURA ACTUAL FRENTE AL USO DEL CANNABIS A NIVEL INTERNACIONAL</w:t>
      </w:r>
    </w:p>
    <w:p w14:paraId="2DA7F849" w14:textId="77777777" w:rsidR="00F36280" w:rsidRPr="00485CC5" w:rsidRDefault="00F36280" w:rsidP="00F36280">
      <w:pPr>
        <w:pStyle w:val="Heading2"/>
        <w:ind w:left="0"/>
        <w:jc w:val="both"/>
        <w:rPr>
          <w:rFonts w:ascii="Bookman Old Style" w:eastAsia="Calibri" w:hAnsi="Bookman Old Style" w:cs="Calibri"/>
          <w:b w:val="0"/>
          <w:sz w:val="22"/>
          <w:szCs w:val="24"/>
        </w:rPr>
      </w:pPr>
    </w:p>
    <w:p w14:paraId="1FECCB82" w14:textId="46769D8A" w:rsidR="00F36280" w:rsidRPr="00485CC5" w:rsidRDefault="00F36280" w:rsidP="00F36280">
      <w:pPr>
        <w:pStyle w:val="Heading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Son muchos los países que poco a poco han venido realizando una transición hacia la regularización del </w:t>
      </w:r>
      <w:r w:rsidR="00666304">
        <w:rPr>
          <w:rFonts w:ascii="Bookman Old Style" w:eastAsia="Calibri" w:hAnsi="Bookman Old Style" w:cs="Calibri"/>
          <w:b w:val="0"/>
          <w:sz w:val="22"/>
          <w:szCs w:val="24"/>
        </w:rPr>
        <w:t>cannabis tanto de uso adulto</w:t>
      </w:r>
      <w:r w:rsidRPr="00485CC5">
        <w:rPr>
          <w:rFonts w:ascii="Bookman Old Style" w:eastAsia="Calibri" w:hAnsi="Bookman Old Style" w:cs="Calibri"/>
          <w:b w:val="0"/>
          <w:sz w:val="22"/>
          <w:szCs w:val="24"/>
        </w:rPr>
        <w:t xml:space="preserve"> como de uso medicinal y científico. Países como Uruguay,</w:t>
      </w:r>
      <w:r w:rsidR="001E18FE">
        <w:rPr>
          <w:rFonts w:ascii="Bookman Old Style" w:eastAsia="Calibri" w:hAnsi="Bookman Old Style" w:cs="Calibri"/>
          <w:b w:val="0"/>
          <w:sz w:val="22"/>
          <w:szCs w:val="24"/>
        </w:rPr>
        <w:t xml:space="preserve"> H</w:t>
      </w:r>
      <w:r w:rsidRPr="00485CC5">
        <w:rPr>
          <w:rFonts w:ascii="Bookman Old Style" w:eastAsia="Calibri" w:hAnsi="Bookman Old Style" w:cs="Calibri"/>
          <w:b w:val="0"/>
          <w:sz w:val="22"/>
          <w:szCs w:val="24"/>
        </w:rPr>
        <w:t>olanda, Canadá</w:t>
      </w:r>
      <w:r w:rsidR="001E18FE">
        <w:rPr>
          <w:rFonts w:ascii="Bookman Old Style" w:eastAsia="Calibri" w:hAnsi="Bookman Old Style" w:cs="Calibri"/>
          <w:b w:val="0"/>
          <w:sz w:val="22"/>
          <w:szCs w:val="24"/>
        </w:rPr>
        <w:t xml:space="preserve"> y</w:t>
      </w:r>
      <w:r w:rsidRPr="00485CC5">
        <w:rPr>
          <w:rFonts w:ascii="Bookman Old Style" w:eastAsia="Calibri" w:hAnsi="Bookman Old Style" w:cs="Calibri"/>
          <w:b w:val="0"/>
          <w:sz w:val="22"/>
          <w:szCs w:val="24"/>
        </w:rPr>
        <w:t xml:space="preserve"> el estado de Colorado en Estados Unidos han enarbolado las banderas de la regularización del cannabis como pioneros</w:t>
      </w:r>
      <w:r w:rsidR="00AC1220">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en </w:t>
      </w:r>
      <w:r w:rsidR="00AC1220">
        <w:rPr>
          <w:rFonts w:ascii="Bookman Old Style" w:eastAsia="Calibri" w:hAnsi="Bookman Old Style" w:cs="Calibri"/>
          <w:b w:val="0"/>
          <w:sz w:val="22"/>
          <w:szCs w:val="24"/>
        </w:rPr>
        <w:t>donde</w:t>
      </w:r>
      <w:r w:rsidR="00AC1220"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se puede encontrar un mercado legal con controles eficaces y eficientes.</w:t>
      </w:r>
      <w:r w:rsidR="00D740BA">
        <w:rPr>
          <w:rFonts w:ascii="Bookman Old Style" w:eastAsia="Calibri" w:hAnsi="Bookman Old Style" w:cs="Calibri"/>
          <w:b w:val="0"/>
          <w:sz w:val="22"/>
          <w:szCs w:val="24"/>
        </w:rPr>
        <w:t xml:space="preserve"> </w:t>
      </w:r>
    </w:p>
    <w:p w14:paraId="5A47FC89" w14:textId="77777777" w:rsidR="00F36280" w:rsidRPr="00485CC5" w:rsidRDefault="00F36280" w:rsidP="00F36280">
      <w:pPr>
        <w:rPr>
          <w:rFonts w:ascii="Bookman Old Style" w:eastAsia="Calibri" w:hAnsi="Bookman Old Style"/>
          <w:szCs w:val="24"/>
        </w:rPr>
      </w:pPr>
    </w:p>
    <w:p w14:paraId="16B00A75" w14:textId="77777777" w:rsidR="00F36280" w:rsidRPr="00485CC5" w:rsidRDefault="00F36280" w:rsidP="00F36280">
      <w:pPr>
        <w:jc w:val="both"/>
        <w:rPr>
          <w:rFonts w:ascii="Bookman Old Style" w:eastAsia="Calibri" w:hAnsi="Bookman Old Style"/>
          <w:szCs w:val="24"/>
        </w:rPr>
      </w:pPr>
      <w:r w:rsidRPr="00485CC5">
        <w:rPr>
          <w:rFonts w:ascii="Bookman Old Style" w:eastAsia="Calibri" w:hAnsi="Bookman Old Style"/>
          <w:szCs w:val="24"/>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485CC5">
        <w:rPr>
          <w:rStyle w:val="FootnoteReference"/>
          <w:rFonts w:ascii="Bookman Old Style" w:eastAsia="Calibri" w:hAnsi="Bookman Old Style"/>
          <w:szCs w:val="24"/>
        </w:rPr>
        <w:footnoteReference w:id="6"/>
      </w:r>
      <w:r w:rsidRPr="00485CC5">
        <w:rPr>
          <w:rFonts w:ascii="Bookman Old Style" w:eastAsia="Calibri" w:hAnsi="Bookman Old Style"/>
          <w:szCs w:val="24"/>
        </w:rPr>
        <w:t>:</w:t>
      </w:r>
      <w:r w:rsidRPr="00485CC5" w:rsidDel="002E290A">
        <w:rPr>
          <w:rFonts w:ascii="Bookman Old Style" w:eastAsia="Calibri" w:hAnsi="Bookman Old Style"/>
          <w:szCs w:val="24"/>
        </w:rPr>
        <w:t xml:space="preserve"> </w:t>
      </w:r>
    </w:p>
    <w:p w14:paraId="7A8DF98D" w14:textId="77777777" w:rsidR="00F36280" w:rsidRPr="00485CC5" w:rsidRDefault="00F36280" w:rsidP="00F36280">
      <w:pPr>
        <w:jc w:val="both"/>
        <w:rPr>
          <w:rFonts w:ascii="Bookman Old Style" w:eastAsia="Calibri" w:hAnsi="Bookman Old Style"/>
          <w:szCs w:val="24"/>
        </w:rPr>
      </w:pPr>
    </w:p>
    <w:p w14:paraId="33AB8844" w14:textId="77777777" w:rsidR="00837AB4"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 xml:space="preserve">Tabla 1. </w:t>
      </w:r>
    </w:p>
    <w:p w14:paraId="56975DDC" w14:textId="77777777" w:rsidR="00F36280" w:rsidRPr="00485CC5"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 xml:space="preserve">Aspectos modificados en </w:t>
      </w:r>
    </w:p>
    <w:p w14:paraId="07F8B3DE" w14:textId="77777777" w:rsidR="00F36280" w:rsidRPr="00485CC5"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Uruguay, Colorado (Estados Unidos) y Canadá</w:t>
      </w:r>
    </w:p>
    <w:p w14:paraId="6B18F12F" w14:textId="77777777" w:rsidR="00F36280" w:rsidRPr="00485CC5" w:rsidRDefault="00F36280" w:rsidP="00F36280">
      <w:pPr>
        <w:jc w:val="center"/>
        <w:rPr>
          <w:rFonts w:ascii="Bookman Old Style" w:eastAsia="Calibri" w:hAnsi="Bookman Old Style"/>
          <w:b/>
          <w:szCs w:val="24"/>
        </w:rPr>
      </w:pPr>
    </w:p>
    <w:tbl>
      <w:tblPr>
        <w:tblStyle w:val="TableGrid"/>
        <w:tblW w:w="9876" w:type="dxa"/>
        <w:tblInd w:w="-431" w:type="dxa"/>
        <w:tblLook w:val="04A0" w:firstRow="1" w:lastRow="0" w:firstColumn="1" w:lastColumn="0" w:noHBand="0" w:noVBand="1"/>
      </w:tblPr>
      <w:tblGrid>
        <w:gridCol w:w="2978"/>
        <w:gridCol w:w="4111"/>
        <w:gridCol w:w="2787"/>
      </w:tblGrid>
      <w:tr w:rsidR="00F36280" w:rsidRPr="00485CC5" w14:paraId="4185FD31" w14:textId="77777777" w:rsidTr="005B5FC0">
        <w:trPr>
          <w:trHeight w:val="20"/>
        </w:trPr>
        <w:tc>
          <w:tcPr>
            <w:tcW w:w="2978" w:type="dxa"/>
            <w:shd w:val="clear" w:color="auto" w:fill="BFBFBF" w:themeFill="background1" w:themeFillShade="BF"/>
            <w:vAlign w:val="center"/>
          </w:tcPr>
          <w:p w14:paraId="36E9985A" w14:textId="77777777" w:rsidR="00F36280" w:rsidRPr="00485CC5" w:rsidRDefault="00F36280" w:rsidP="005B5FC0">
            <w:pPr>
              <w:jc w:val="center"/>
              <w:rPr>
                <w:rFonts w:ascii="Bookman Old Style" w:hAnsi="Bookman Old Style"/>
                <w:b/>
                <w:sz w:val="20"/>
              </w:rPr>
            </w:pPr>
            <w:r w:rsidRPr="00485CC5">
              <w:rPr>
                <w:rFonts w:ascii="Bookman Old Style" w:hAnsi="Bookman Old Style"/>
                <w:b/>
                <w:sz w:val="20"/>
              </w:rPr>
              <w:t>URUGUAY</w:t>
            </w:r>
          </w:p>
        </w:tc>
        <w:tc>
          <w:tcPr>
            <w:tcW w:w="4111" w:type="dxa"/>
            <w:shd w:val="clear" w:color="auto" w:fill="BFBFBF" w:themeFill="background1" w:themeFillShade="BF"/>
            <w:vAlign w:val="center"/>
          </w:tcPr>
          <w:p w14:paraId="3A868D56" w14:textId="77777777" w:rsidR="00F36280" w:rsidRPr="00485CC5" w:rsidRDefault="00F36280" w:rsidP="005B5FC0">
            <w:pPr>
              <w:jc w:val="center"/>
              <w:rPr>
                <w:rFonts w:ascii="Bookman Old Style" w:hAnsi="Bookman Old Style"/>
                <w:b/>
                <w:sz w:val="20"/>
              </w:rPr>
            </w:pPr>
            <w:r w:rsidRPr="00485CC5">
              <w:rPr>
                <w:rFonts w:ascii="Bookman Old Style" w:hAnsi="Bookman Old Style"/>
                <w:b/>
                <w:sz w:val="20"/>
              </w:rPr>
              <w:t xml:space="preserve">COLORADO </w:t>
            </w:r>
            <w:r>
              <w:rPr>
                <w:rFonts w:ascii="Bookman Old Style" w:hAnsi="Bookman Old Style"/>
                <w:b/>
                <w:sz w:val="20"/>
              </w:rPr>
              <w:t>–</w:t>
            </w:r>
            <w:r w:rsidRPr="00485CC5">
              <w:rPr>
                <w:rFonts w:ascii="Bookman Old Style" w:hAnsi="Bookman Old Style"/>
                <w:b/>
                <w:sz w:val="20"/>
              </w:rPr>
              <w:t xml:space="preserve"> EEUU</w:t>
            </w:r>
          </w:p>
        </w:tc>
        <w:tc>
          <w:tcPr>
            <w:tcW w:w="2787" w:type="dxa"/>
            <w:shd w:val="clear" w:color="auto" w:fill="BFBFBF" w:themeFill="background1" w:themeFillShade="BF"/>
            <w:vAlign w:val="center"/>
          </w:tcPr>
          <w:p w14:paraId="56E8F182" w14:textId="77777777" w:rsidR="00F36280" w:rsidRPr="00485CC5" w:rsidRDefault="00F36280" w:rsidP="005B5FC0">
            <w:pPr>
              <w:jc w:val="center"/>
              <w:rPr>
                <w:rFonts w:ascii="Bookman Old Style" w:hAnsi="Bookman Old Style"/>
                <w:b/>
                <w:sz w:val="20"/>
              </w:rPr>
            </w:pPr>
            <w:r w:rsidRPr="00485CC5">
              <w:rPr>
                <w:rFonts w:ascii="Bookman Old Style" w:hAnsi="Bookman Old Style"/>
                <w:b/>
                <w:sz w:val="20"/>
              </w:rPr>
              <w:t>CANADÁ</w:t>
            </w:r>
          </w:p>
        </w:tc>
      </w:tr>
      <w:tr w:rsidR="00F36280" w:rsidRPr="00485CC5" w14:paraId="0F1A55A5" w14:textId="77777777" w:rsidTr="005B5FC0">
        <w:trPr>
          <w:trHeight w:val="20"/>
        </w:trPr>
        <w:tc>
          <w:tcPr>
            <w:tcW w:w="9876" w:type="dxa"/>
            <w:gridSpan w:val="3"/>
            <w:shd w:val="clear" w:color="auto" w:fill="D9D9D9" w:themeFill="background1" w:themeFillShade="D9"/>
            <w:vAlign w:val="center"/>
          </w:tcPr>
          <w:p w14:paraId="4C4F0908" w14:textId="77777777"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Enfoque</w:t>
            </w:r>
          </w:p>
        </w:tc>
      </w:tr>
      <w:tr w:rsidR="00F36280" w:rsidRPr="00485CC5" w14:paraId="1D6FEE10" w14:textId="77777777" w:rsidTr="005B5FC0">
        <w:trPr>
          <w:trHeight w:val="20"/>
        </w:trPr>
        <w:tc>
          <w:tcPr>
            <w:tcW w:w="2978" w:type="dxa"/>
            <w:vAlign w:val="center"/>
          </w:tcPr>
          <w:p w14:paraId="00545756"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Salud pública.</w:t>
            </w:r>
          </w:p>
          <w:p w14:paraId="3EA74127"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Control estatal.</w:t>
            </w:r>
          </w:p>
          <w:p w14:paraId="317B56E1" w14:textId="77777777" w:rsidR="00F36280" w:rsidRPr="00485CC5" w:rsidRDefault="00F36280" w:rsidP="005B5FC0">
            <w:pPr>
              <w:pStyle w:val="Heading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Desmercantilización           del cannabis.</w:t>
            </w:r>
          </w:p>
        </w:tc>
        <w:tc>
          <w:tcPr>
            <w:tcW w:w="4111" w:type="dxa"/>
            <w:vAlign w:val="center"/>
          </w:tcPr>
          <w:p w14:paraId="63C0B234"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Salud y seguridad pública.</w:t>
            </w:r>
          </w:p>
          <w:p w14:paraId="72816521"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Eficiencia y libertad individual.</w:t>
            </w:r>
          </w:p>
          <w:p w14:paraId="6911A6EF"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Recaudación.</w:t>
            </w:r>
          </w:p>
          <w:p w14:paraId="653E1A14"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Libre mercado.</w:t>
            </w:r>
          </w:p>
        </w:tc>
        <w:tc>
          <w:tcPr>
            <w:tcW w:w="2787" w:type="dxa"/>
            <w:vAlign w:val="center"/>
          </w:tcPr>
          <w:p w14:paraId="1A7B69C1"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Enfoque salud pública.</w:t>
            </w:r>
          </w:p>
          <w:p w14:paraId="0B94C797"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Seguridad en la práctica.</w:t>
            </w:r>
          </w:p>
          <w:p w14:paraId="65B9A15A" w14:textId="77777777" w:rsidR="00F36280" w:rsidRPr="00485CC5" w:rsidRDefault="00F36280" w:rsidP="005B5FC0">
            <w:pPr>
              <w:pStyle w:val="Heading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Libre mercado.</w:t>
            </w:r>
          </w:p>
        </w:tc>
      </w:tr>
      <w:tr w:rsidR="00F36280" w:rsidRPr="00485CC5" w14:paraId="7F6335BB" w14:textId="77777777" w:rsidTr="005B5FC0">
        <w:trPr>
          <w:trHeight w:val="20"/>
        </w:trPr>
        <w:tc>
          <w:tcPr>
            <w:tcW w:w="9876" w:type="dxa"/>
            <w:gridSpan w:val="3"/>
            <w:shd w:val="clear" w:color="auto" w:fill="D9D9D9" w:themeFill="background1" w:themeFillShade="D9"/>
            <w:vAlign w:val="center"/>
          </w:tcPr>
          <w:p w14:paraId="6A0C92A8" w14:textId="77777777"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Objetivos</w:t>
            </w:r>
          </w:p>
        </w:tc>
      </w:tr>
      <w:tr w:rsidR="00F36280" w:rsidRPr="00485CC5" w14:paraId="6BFBBB68" w14:textId="77777777" w:rsidTr="005B5FC0">
        <w:trPr>
          <w:trHeight w:val="20"/>
        </w:trPr>
        <w:tc>
          <w:tcPr>
            <w:tcW w:w="2978" w:type="dxa"/>
            <w:vAlign w:val="center"/>
          </w:tcPr>
          <w:p w14:paraId="1C114D0F"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Proteger a los habitantes del comercio ilegal y el narcotráfico.</w:t>
            </w:r>
          </w:p>
          <w:p w14:paraId="5EC5F151"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Atacar consecuencias sanitarias, sociales y económicas del uso problemático de sustancias psicoactivas.</w:t>
            </w:r>
          </w:p>
          <w:p w14:paraId="6AC7AB75"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Reducir la incidencia del narcotráfico y del crimen organizado.</w:t>
            </w:r>
          </w:p>
        </w:tc>
        <w:tc>
          <w:tcPr>
            <w:tcW w:w="4111" w:type="dxa"/>
            <w:vAlign w:val="center"/>
          </w:tcPr>
          <w:p w14:paraId="09098B16" w14:textId="77777777" w:rsidR="00F36280" w:rsidRPr="00485CC5" w:rsidRDefault="00F36280" w:rsidP="005B5FC0">
            <w:pPr>
              <w:pStyle w:val="Heading2"/>
              <w:ind w:left="0"/>
              <w:outlineLvl w:val="1"/>
              <w:rPr>
                <w:rFonts w:ascii="Bookman Old Style" w:eastAsia="Calibri" w:hAnsi="Bookman Old Style" w:cs="Calibri"/>
                <w:b w:val="0"/>
                <w:i/>
                <w:sz w:val="20"/>
                <w:szCs w:val="22"/>
              </w:rPr>
            </w:pPr>
            <w:r w:rsidRPr="00485CC5">
              <w:rPr>
                <w:rFonts w:ascii="Bookman Old Style" w:eastAsia="Calibri" w:hAnsi="Bookman Old Style" w:cs="Calibri"/>
                <w:b w:val="0"/>
                <w:i/>
                <w:sz w:val="20"/>
                <w:szCs w:val="22"/>
              </w:rPr>
              <w:t>Enmienda 64:</w:t>
            </w:r>
          </w:p>
          <w:p w14:paraId="4E298DE7"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Uso eficiente de los recursos para la aplicación de la ley.</w:t>
            </w:r>
          </w:p>
          <w:p w14:paraId="2B35B8A0"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Aumento de ingresos para fines públicos.</w:t>
            </w:r>
          </w:p>
          <w:p w14:paraId="46F8A692"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Libertad individual.</w:t>
            </w:r>
          </w:p>
          <w:p w14:paraId="4C1AFDB7" w14:textId="77777777" w:rsidR="00F36280" w:rsidRPr="00485CC5" w:rsidRDefault="00F36280" w:rsidP="005B5FC0">
            <w:pPr>
              <w:jc w:val="center"/>
              <w:rPr>
                <w:rFonts w:ascii="Bookman Old Style" w:hAnsi="Bookman Old Style" w:cs="Calibri"/>
                <w:sz w:val="20"/>
              </w:rPr>
            </w:pPr>
          </w:p>
          <w:p w14:paraId="428424AE" w14:textId="77777777" w:rsidR="00F36280" w:rsidRPr="00207603" w:rsidRDefault="00F36280" w:rsidP="00207603">
            <w:pPr>
              <w:pStyle w:val="Heading2"/>
              <w:ind w:left="0" w:right="40"/>
              <w:jc w:val="both"/>
              <w:outlineLvl w:val="1"/>
              <w:rPr>
                <w:rFonts w:ascii="Bookman Old Style" w:eastAsia="Calibri" w:hAnsi="Bookman Old Style" w:cs="Calibri"/>
                <w:sz w:val="20"/>
                <w:szCs w:val="22"/>
              </w:rPr>
            </w:pPr>
            <w:r w:rsidRPr="00485CC5">
              <w:rPr>
                <w:rFonts w:ascii="Bookman Old Style" w:eastAsia="Calibri" w:hAnsi="Bookman Old Style" w:cs="Calibri"/>
                <w:b w:val="0"/>
                <w:i/>
                <w:sz w:val="20"/>
                <w:szCs w:val="22"/>
              </w:rPr>
              <w:t>Principio rector gobierno Colorado:</w:t>
            </w:r>
            <w:r w:rsidRPr="00485CC5">
              <w:rPr>
                <w:rFonts w:ascii="Bookman Old Style" w:eastAsia="Calibri" w:hAnsi="Bookman Old Style" w:cs="Calibri"/>
                <w:sz w:val="20"/>
                <w:szCs w:val="22"/>
              </w:rPr>
              <w:t xml:space="preserve"> </w:t>
            </w:r>
            <w:r w:rsidRPr="00485CC5">
              <w:rPr>
                <w:rFonts w:ascii="Bookman Old Style" w:eastAsia="Calibri" w:hAnsi="Bookman Old Style" w:cs="Calibri"/>
                <w:b w:val="0"/>
                <w:sz w:val="20"/>
                <w:szCs w:val="22"/>
              </w:rPr>
              <w:t>crear un entorno normativo y de aplicación de la ley robusto que proteja la seguridad pública y evite el desvío de marihuana de venta al por menor a personas menores de 21 años o de fuera del estado de Colorado</w:t>
            </w:r>
            <w:r w:rsidRPr="00485CC5">
              <w:rPr>
                <w:rFonts w:ascii="Bookman Old Style" w:eastAsia="Calibri" w:hAnsi="Bookman Old Style" w:cs="Calibri"/>
                <w:sz w:val="20"/>
                <w:szCs w:val="22"/>
              </w:rPr>
              <w:t>.</w:t>
            </w:r>
          </w:p>
        </w:tc>
        <w:tc>
          <w:tcPr>
            <w:tcW w:w="2787" w:type="dxa"/>
            <w:vAlign w:val="center"/>
          </w:tcPr>
          <w:p w14:paraId="628000D3"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Protección de la salud.</w:t>
            </w:r>
          </w:p>
          <w:p w14:paraId="63AC81C8"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Luchar contra el crimen organizado.</w:t>
            </w:r>
          </w:p>
        </w:tc>
      </w:tr>
      <w:tr w:rsidR="00F36280" w:rsidRPr="00485CC5" w14:paraId="577EDF47" w14:textId="77777777" w:rsidTr="005B5FC0">
        <w:trPr>
          <w:trHeight w:val="20"/>
        </w:trPr>
        <w:tc>
          <w:tcPr>
            <w:tcW w:w="9876" w:type="dxa"/>
            <w:gridSpan w:val="3"/>
            <w:shd w:val="clear" w:color="auto" w:fill="D9D9D9" w:themeFill="background1" w:themeFillShade="D9"/>
            <w:vAlign w:val="center"/>
          </w:tcPr>
          <w:p w14:paraId="3351783F" w14:textId="77777777" w:rsidR="00F36280" w:rsidRPr="00485CC5" w:rsidRDefault="00F36280" w:rsidP="005B5FC0">
            <w:pPr>
              <w:jc w:val="center"/>
              <w:rPr>
                <w:rFonts w:ascii="Bookman Old Style" w:hAnsi="Bookman Old Style"/>
                <w:b/>
                <w:i/>
                <w:sz w:val="20"/>
                <w:lang w:val="en-US"/>
              </w:rPr>
            </w:pPr>
            <w:r w:rsidRPr="00485CC5">
              <w:rPr>
                <w:rFonts w:ascii="Bookman Old Style" w:hAnsi="Bookman Old Style"/>
                <w:b/>
                <w:i/>
                <w:sz w:val="20"/>
                <w:lang w:val="en-US"/>
              </w:rPr>
              <w:lastRenderedPageBreak/>
              <w:t>Entidad que regula</w:t>
            </w:r>
          </w:p>
        </w:tc>
      </w:tr>
      <w:tr w:rsidR="00F36280" w:rsidRPr="00EB1D95" w14:paraId="5E606D81" w14:textId="77777777" w:rsidTr="005B5FC0">
        <w:trPr>
          <w:trHeight w:val="20"/>
        </w:trPr>
        <w:tc>
          <w:tcPr>
            <w:tcW w:w="2978" w:type="dxa"/>
            <w:vAlign w:val="center"/>
          </w:tcPr>
          <w:p w14:paraId="39489131" w14:textId="77777777"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Instituto de Regulación y Control de Cannabis (IRCCA). Ministerio de Salud Pública.</w:t>
            </w:r>
          </w:p>
        </w:tc>
        <w:tc>
          <w:tcPr>
            <w:tcW w:w="4111" w:type="dxa"/>
            <w:vAlign w:val="center"/>
          </w:tcPr>
          <w:p w14:paraId="2FF6DBF2"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Marijuana Enforcement Division/ División de Aplicación de la Ley sobre Marihuana.</w:t>
            </w:r>
          </w:p>
          <w:p w14:paraId="2C608FE8" w14:textId="77777777" w:rsidR="00F36280" w:rsidRPr="00485CC5" w:rsidRDefault="00F36280" w:rsidP="005B5FC0">
            <w:pPr>
              <w:pStyle w:val="Heading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Departamento de Hacienda.</w:t>
            </w:r>
          </w:p>
        </w:tc>
        <w:tc>
          <w:tcPr>
            <w:tcW w:w="2787" w:type="dxa"/>
            <w:vAlign w:val="center"/>
          </w:tcPr>
          <w:p w14:paraId="0F7D8B94" w14:textId="77777777" w:rsidR="00F36280" w:rsidRPr="00485CC5" w:rsidRDefault="00F36280" w:rsidP="005B5FC0">
            <w:pPr>
              <w:jc w:val="both"/>
              <w:rPr>
                <w:rFonts w:ascii="Bookman Old Style" w:hAnsi="Bookman Old Style"/>
                <w:sz w:val="20"/>
                <w:lang w:val="en-US"/>
              </w:rPr>
            </w:pPr>
            <w:r w:rsidRPr="00485CC5">
              <w:rPr>
                <w:rFonts w:ascii="Bookman Old Style" w:hAnsi="Bookman Old Style"/>
                <w:sz w:val="20"/>
                <w:lang w:val="en-US"/>
              </w:rPr>
              <w:t>Access to Cannabis for Medical Purposes Regulations (ACMPR) del Ministerio de Salud Canadiense (Health Canada).</w:t>
            </w:r>
          </w:p>
        </w:tc>
      </w:tr>
      <w:tr w:rsidR="00F36280" w:rsidRPr="00485CC5" w14:paraId="597F1A33" w14:textId="77777777" w:rsidTr="005B5FC0">
        <w:trPr>
          <w:trHeight w:val="20"/>
        </w:trPr>
        <w:tc>
          <w:tcPr>
            <w:tcW w:w="9876" w:type="dxa"/>
            <w:gridSpan w:val="3"/>
            <w:shd w:val="clear" w:color="auto" w:fill="D9D9D9" w:themeFill="background1" w:themeFillShade="D9"/>
            <w:vAlign w:val="center"/>
          </w:tcPr>
          <w:p w14:paraId="3455C54E" w14:textId="77777777" w:rsidR="00F36280" w:rsidRPr="00485CC5" w:rsidRDefault="00F36280" w:rsidP="005B5FC0">
            <w:pPr>
              <w:jc w:val="center"/>
              <w:rPr>
                <w:rFonts w:ascii="Bookman Old Style" w:hAnsi="Bookman Old Style"/>
                <w:sz w:val="20"/>
              </w:rPr>
            </w:pPr>
            <w:r w:rsidRPr="00485CC5">
              <w:rPr>
                <w:rFonts w:ascii="Bookman Old Style" w:hAnsi="Bookman Old Style"/>
                <w:b/>
                <w:i/>
                <w:sz w:val="20"/>
              </w:rPr>
              <w:t>Distribución</w:t>
            </w:r>
          </w:p>
        </w:tc>
      </w:tr>
      <w:tr w:rsidR="00F36280" w:rsidRPr="00485CC5" w14:paraId="03C2625F" w14:textId="77777777" w:rsidTr="005B5FC0">
        <w:trPr>
          <w:trHeight w:val="20"/>
        </w:trPr>
        <w:tc>
          <w:tcPr>
            <w:tcW w:w="2978" w:type="dxa"/>
            <w:vAlign w:val="center"/>
          </w:tcPr>
          <w:p w14:paraId="7C1D00B3"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Sector público y privado.</w:t>
            </w:r>
          </w:p>
          <w:p w14:paraId="7FB0BBA0"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Farmacias.</w:t>
            </w:r>
          </w:p>
          <w:p w14:paraId="3A1AD8D8" w14:textId="77777777" w:rsidR="00F36280" w:rsidRPr="00485CC5" w:rsidRDefault="00F36280" w:rsidP="005B5FC0">
            <w:pPr>
              <w:pStyle w:val="Heading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Clubes de cannabis.</w:t>
            </w:r>
          </w:p>
        </w:tc>
        <w:tc>
          <w:tcPr>
            <w:tcW w:w="4111" w:type="dxa"/>
            <w:vAlign w:val="center"/>
          </w:tcPr>
          <w:p w14:paraId="32FDA9B7"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Sector privado.</w:t>
            </w:r>
          </w:p>
          <w:p w14:paraId="4864A3C0"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Locales comerciales con licencia de dispensación de cannabis medicinal hasta jul.2014.</w:t>
            </w:r>
          </w:p>
          <w:p w14:paraId="57EAE786" w14:textId="77777777" w:rsidR="00207603" w:rsidRPr="00207603" w:rsidRDefault="00F36280" w:rsidP="00207603">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Después licencia medicinal y/o comercial.</w:t>
            </w:r>
          </w:p>
        </w:tc>
        <w:tc>
          <w:tcPr>
            <w:tcW w:w="2787" w:type="dxa"/>
            <w:vAlign w:val="center"/>
          </w:tcPr>
          <w:p w14:paraId="69C0D34C"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Sector privado.</w:t>
            </w:r>
          </w:p>
          <w:p w14:paraId="2576FFB9"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Locales comerciales con licencia.</w:t>
            </w:r>
          </w:p>
          <w:p w14:paraId="613D325F" w14:textId="77777777" w:rsidR="00F36280" w:rsidRPr="00485CC5" w:rsidRDefault="00F36280" w:rsidP="005B5FC0">
            <w:pPr>
              <w:pStyle w:val="Heading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Experimentos con clubes de cannabis.</w:t>
            </w:r>
          </w:p>
        </w:tc>
      </w:tr>
      <w:tr w:rsidR="00F36280" w:rsidRPr="00485CC5" w14:paraId="08E14FE7" w14:textId="77777777" w:rsidTr="005B5FC0">
        <w:trPr>
          <w:trHeight w:val="20"/>
        </w:trPr>
        <w:tc>
          <w:tcPr>
            <w:tcW w:w="9876" w:type="dxa"/>
            <w:gridSpan w:val="3"/>
            <w:shd w:val="clear" w:color="auto" w:fill="D9D9D9" w:themeFill="background1" w:themeFillShade="D9"/>
            <w:vAlign w:val="center"/>
          </w:tcPr>
          <w:p w14:paraId="534493A7" w14:textId="77777777"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Establecimientos de venta</w:t>
            </w:r>
          </w:p>
        </w:tc>
      </w:tr>
      <w:tr w:rsidR="00F36280" w:rsidRPr="00485CC5" w14:paraId="5E3146BD" w14:textId="77777777" w:rsidTr="005B5FC0">
        <w:trPr>
          <w:trHeight w:val="20"/>
        </w:trPr>
        <w:tc>
          <w:tcPr>
            <w:tcW w:w="2978" w:type="dxa"/>
            <w:vAlign w:val="center"/>
          </w:tcPr>
          <w:p w14:paraId="46C3096A"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Farmacias acreditadas en el registro del IRCCA.</w:t>
            </w:r>
          </w:p>
          <w:p w14:paraId="434CFFB3"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Clubes de cannabis registrados en el IRCCA.</w:t>
            </w:r>
          </w:p>
        </w:tc>
        <w:tc>
          <w:tcPr>
            <w:tcW w:w="4111" w:type="dxa"/>
            <w:vAlign w:val="center"/>
          </w:tcPr>
          <w:p w14:paraId="7BFA47D9" w14:textId="77777777" w:rsidR="00F36280" w:rsidRPr="00485CC5" w:rsidRDefault="00F36280" w:rsidP="005B5FC0">
            <w:pPr>
              <w:pStyle w:val="Heading2"/>
              <w:ind w:left="0"/>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Establecimientos con autorización</w:t>
            </w:r>
          </w:p>
        </w:tc>
        <w:tc>
          <w:tcPr>
            <w:tcW w:w="2787" w:type="dxa"/>
            <w:vAlign w:val="center"/>
          </w:tcPr>
          <w:p w14:paraId="4BA33728"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Clubes de Cannabis.</w:t>
            </w:r>
          </w:p>
          <w:p w14:paraId="4F87E5F4" w14:textId="77777777" w:rsidR="00F36280"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Establecimientos con licencias autorizadas.</w:t>
            </w:r>
          </w:p>
          <w:p w14:paraId="2B8D951D" w14:textId="77777777" w:rsidR="00207603" w:rsidRDefault="00207603" w:rsidP="00207603"/>
          <w:p w14:paraId="719E3A58" w14:textId="77777777" w:rsidR="00207603" w:rsidRPr="00207603" w:rsidRDefault="00207603" w:rsidP="00207603"/>
        </w:tc>
      </w:tr>
      <w:tr w:rsidR="00F36280" w:rsidRPr="00485CC5" w14:paraId="29F738C1" w14:textId="77777777" w:rsidTr="005B5FC0">
        <w:trPr>
          <w:trHeight w:val="20"/>
        </w:trPr>
        <w:tc>
          <w:tcPr>
            <w:tcW w:w="9876" w:type="dxa"/>
            <w:gridSpan w:val="3"/>
            <w:shd w:val="clear" w:color="auto" w:fill="D9D9D9" w:themeFill="background1" w:themeFillShade="D9"/>
            <w:vAlign w:val="center"/>
          </w:tcPr>
          <w:p w14:paraId="2373BBC5" w14:textId="77777777"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Edad permitida</w:t>
            </w:r>
          </w:p>
        </w:tc>
      </w:tr>
      <w:tr w:rsidR="00F36280" w:rsidRPr="00485CC5" w14:paraId="293407F7" w14:textId="77777777" w:rsidTr="005B5FC0">
        <w:trPr>
          <w:trHeight w:val="20"/>
        </w:trPr>
        <w:tc>
          <w:tcPr>
            <w:tcW w:w="2978" w:type="dxa"/>
            <w:vAlign w:val="center"/>
          </w:tcPr>
          <w:p w14:paraId="0C4902D5" w14:textId="77777777" w:rsidR="00F36280" w:rsidRPr="00485CC5" w:rsidRDefault="00F36280" w:rsidP="005B5FC0">
            <w:pPr>
              <w:jc w:val="center"/>
              <w:rPr>
                <w:rFonts w:ascii="Bookman Old Style" w:hAnsi="Bookman Old Style"/>
                <w:sz w:val="20"/>
              </w:rPr>
            </w:pPr>
            <w:r w:rsidRPr="00485CC5">
              <w:rPr>
                <w:rFonts w:ascii="Bookman Old Style" w:hAnsi="Bookman Old Style"/>
                <w:sz w:val="20"/>
              </w:rPr>
              <w:t>18 años</w:t>
            </w:r>
          </w:p>
        </w:tc>
        <w:tc>
          <w:tcPr>
            <w:tcW w:w="4111" w:type="dxa"/>
            <w:vAlign w:val="center"/>
          </w:tcPr>
          <w:p w14:paraId="67FE5A20" w14:textId="77777777" w:rsidR="00F36280" w:rsidRPr="00485CC5" w:rsidRDefault="00F36280" w:rsidP="005B5FC0">
            <w:pPr>
              <w:jc w:val="center"/>
              <w:rPr>
                <w:rFonts w:ascii="Bookman Old Style" w:hAnsi="Bookman Old Style"/>
                <w:sz w:val="20"/>
              </w:rPr>
            </w:pPr>
            <w:r w:rsidRPr="00485CC5">
              <w:rPr>
                <w:rFonts w:ascii="Bookman Old Style" w:hAnsi="Bookman Old Style"/>
                <w:sz w:val="20"/>
              </w:rPr>
              <w:t>21 años</w:t>
            </w:r>
          </w:p>
        </w:tc>
        <w:tc>
          <w:tcPr>
            <w:tcW w:w="2787" w:type="dxa"/>
            <w:vAlign w:val="center"/>
          </w:tcPr>
          <w:p w14:paraId="23D47909" w14:textId="77777777" w:rsidR="00F36280" w:rsidRPr="00485CC5" w:rsidRDefault="00F36280" w:rsidP="005B5FC0">
            <w:pPr>
              <w:jc w:val="center"/>
              <w:rPr>
                <w:rFonts w:ascii="Bookman Old Style" w:hAnsi="Bookman Old Style"/>
                <w:sz w:val="20"/>
              </w:rPr>
            </w:pPr>
            <w:r w:rsidRPr="00485CC5">
              <w:rPr>
                <w:rFonts w:ascii="Bookman Old Style" w:hAnsi="Bookman Old Style"/>
                <w:sz w:val="20"/>
              </w:rPr>
              <w:t>18</w:t>
            </w:r>
            <w:r w:rsidR="002566D0">
              <w:rPr>
                <w:rFonts w:ascii="Bookman Old Style" w:hAnsi="Bookman Old Style"/>
                <w:sz w:val="20"/>
              </w:rPr>
              <w:t xml:space="preserve"> a 21 </w:t>
            </w:r>
            <w:r w:rsidRPr="00485CC5">
              <w:rPr>
                <w:rFonts w:ascii="Bookman Old Style" w:hAnsi="Bookman Old Style"/>
                <w:sz w:val="20"/>
              </w:rPr>
              <w:t>años</w:t>
            </w:r>
            <w:r w:rsidR="002566D0">
              <w:rPr>
                <w:rFonts w:ascii="Bookman Old Style" w:hAnsi="Bookman Old Style"/>
                <w:sz w:val="20"/>
              </w:rPr>
              <w:t xml:space="preserve"> según la provincia</w:t>
            </w:r>
          </w:p>
        </w:tc>
      </w:tr>
      <w:tr w:rsidR="00F36280" w:rsidRPr="00485CC5" w14:paraId="5E4943C3" w14:textId="77777777" w:rsidTr="005B5FC0">
        <w:trPr>
          <w:trHeight w:val="20"/>
        </w:trPr>
        <w:tc>
          <w:tcPr>
            <w:tcW w:w="9876" w:type="dxa"/>
            <w:gridSpan w:val="3"/>
            <w:shd w:val="clear" w:color="auto" w:fill="D9D9D9" w:themeFill="background1" w:themeFillShade="D9"/>
            <w:vAlign w:val="center"/>
          </w:tcPr>
          <w:p w14:paraId="4C226353" w14:textId="77777777" w:rsidR="00F36280" w:rsidRPr="00485CC5" w:rsidRDefault="00F36280" w:rsidP="005B5FC0">
            <w:pPr>
              <w:jc w:val="center"/>
              <w:rPr>
                <w:rFonts w:ascii="Bookman Old Style" w:hAnsi="Bookman Old Style"/>
                <w:sz w:val="20"/>
              </w:rPr>
            </w:pPr>
            <w:r w:rsidRPr="00485CC5">
              <w:rPr>
                <w:rFonts w:ascii="Bookman Old Style" w:hAnsi="Bookman Old Style"/>
                <w:b/>
                <w:i/>
                <w:sz w:val="20"/>
              </w:rPr>
              <w:t>Registro</w:t>
            </w:r>
          </w:p>
        </w:tc>
      </w:tr>
      <w:tr w:rsidR="00F36280" w:rsidRPr="00485CC5" w14:paraId="5BBE86D7" w14:textId="77777777" w:rsidTr="005B5FC0">
        <w:trPr>
          <w:trHeight w:val="20"/>
        </w:trPr>
        <w:tc>
          <w:tcPr>
            <w:tcW w:w="2978" w:type="dxa"/>
            <w:vAlign w:val="center"/>
          </w:tcPr>
          <w:p w14:paraId="3BB97D29"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Registro de cultivos en el IRCCA (Datos de carácter sensible).</w:t>
            </w:r>
          </w:p>
          <w:p w14:paraId="56036842"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Registro de personas usuarias y de integrantes de clubes (Datos de carácter sensible).</w:t>
            </w:r>
          </w:p>
        </w:tc>
        <w:tc>
          <w:tcPr>
            <w:tcW w:w="4111" w:type="dxa"/>
            <w:vAlign w:val="center"/>
          </w:tcPr>
          <w:p w14:paraId="5BC38810" w14:textId="77777777"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No se permite según la ley pero están obligados a instalar cámaras que registren la identidad de vendedor y comprador.</w:t>
            </w:r>
          </w:p>
        </w:tc>
        <w:tc>
          <w:tcPr>
            <w:tcW w:w="2787" w:type="dxa"/>
            <w:vAlign w:val="center"/>
          </w:tcPr>
          <w:p w14:paraId="7747B0B7"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Registro de usuarios de clubes de cannabis.</w:t>
            </w:r>
          </w:p>
          <w:p w14:paraId="145353B2" w14:textId="77777777" w:rsidR="00F36280" w:rsidRPr="00485CC5" w:rsidRDefault="00F36280" w:rsidP="005B5FC0">
            <w:pPr>
              <w:pStyle w:val="Heading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Registro de usuarios de cannabis medicinal.</w:t>
            </w:r>
          </w:p>
        </w:tc>
      </w:tr>
      <w:tr w:rsidR="00F36280" w:rsidRPr="00485CC5" w14:paraId="56F49493" w14:textId="77777777" w:rsidTr="005B5FC0">
        <w:trPr>
          <w:trHeight w:val="20"/>
        </w:trPr>
        <w:tc>
          <w:tcPr>
            <w:tcW w:w="9876" w:type="dxa"/>
            <w:gridSpan w:val="3"/>
            <w:shd w:val="clear" w:color="auto" w:fill="D9D9D9" w:themeFill="background1" w:themeFillShade="D9"/>
            <w:vAlign w:val="center"/>
          </w:tcPr>
          <w:p w14:paraId="3747C245" w14:textId="77777777"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Publicidad</w:t>
            </w:r>
          </w:p>
        </w:tc>
      </w:tr>
      <w:tr w:rsidR="00F36280" w:rsidRPr="00485CC5" w14:paraId="689F5A16" w14:textId="77777777" w:rsidTr="005B5FC0">
        <w:trPr>
          <w:trHeight w:val="20"/>
        </w:trPr>
        <w:tc>
          <w:tcPr>
            <w:tcW w:w="2978" w:type="dxa"/>
            <w:vAlign w:val="center"/>
          </w:tcPr>
          <w:p w14:paraId="7FF4BE7D" w14:textId="77777777" w:rsidR="00F36280" w:rsidRPr="00485CC5" w:rsidRDefault="00F36280" w:rsidP="005B5FC0">
            <w:pPr>
              <w:jc w:val="center"/>
              <w:rPr>
                <w:rFonts w:ascii="Bookman Old Style" w:hAnsi="Bookman Old Style"/>
                <w:sz w:val="20"/>
              </w:rPr>
            </w:pPr>
            <w:r w:rsidRPr="00485CC5">
              <w:rPr>
                <w:rFonts w:ascii="Bookman Old Style" w:hAnsi="Bookman Old Style"/>
                <w:sz w:val="20"/>
              </w:rPr>
              <w:t>Prohibida</w:t>
            </w:r>
          </w:p>
        </w:tc>
        <w:tc>
          <w:tcPr>
            <w:tcW w:w="4111" w:type="dxa"/>
            <w:vAlign w:val="center"/>
          </w:tcPr>
          <w:p w14:paraId="6B3CC19C" w14:textId="77777777" w:rsidR="00F36280" w:rsidRPr="00485CC5" w:rsidRDefault="00F36280" w:rsidP="005B5FC0">
            <w:pPr>
              <w:jc w:val="center"/>
              <w:rPr>
                <w:rFonts w:ascii="Bookman Old Style" w:hAnsi="Bookman Old Style"/>
                <w:sz w:val="20"/>
              </w:rPr>
            </w:pPr>
            <w:r w:rsidRPr="00485CC5">
              <w:rPr>
                <w:rFonts w:ascii="Bookman Old Style" w:hAnsi="Bookman Old Style"/>
                <w:sz w:val="20"/>
              </w:rPr>
              <w:t>Regulada</w:t>
            </w:r>
          </w:p>
        </w:tc>
        <w:tc>
          <w:tcPr>
            <w:tcW w:w="2787" w:type="dxa"/>
            <w:vAlign w:val="center"/>
          </w:tcPr>
          <w:p w14:paraId="14DC75C9" w14:textId="77777777" w:rsidR="00F36280" w:rsidRPr="00485CC5" w:rsidRDefault="00F36280" w:rsidP="005B5FC0">
            <w:pPr>
              <w:jc w:val="center"/>
              <w:rPr>
                <w:rFonts w:ascii="Bookman Old Style" w:hAnsi="Bookman Old Style"/>
                <w:sz w:val="20"/>
              </w:rPr>
            </w:pPr>
            <w:r w:rsidRPr="00485CC5">
              <w:rPr>
                <w:rFonts w:ascii="Bookman Old Style" w:hAnsi="Bookman Old Style"/>
                <w:sz w:val="20"/>
              </w:rPr>
              <w:t>Prohibida</w:t>
            </w:r>
          </w:p>
        </w:tc>
      </w:tr>
      <w:tr w:rsidR="00F36280" w:rsidRPr="00485CC5" w14:paraId="4A8744F7" w14:textId="77777777" w:rsidTr="005B5FC0">
        <w:trPr>
          <w:trHeight w:val="20"/>
        </w:trPr>
        <w:tc>
          <w:tcPr>
            <w:tcW w:w="9876" w:type="dxa"/>
            <w:gridSpan w:val="3"/>
            <w:shd w:val="clear" w:color="auto" w:fill="D9D9D9" w:themeFill="background1" w:themeFillShade="D9"/>
            <w:vAlign w:val="center"/>
          </w:tcPr>
          <w:p w14:paraId="444FF56E" w14:textId="77777777"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Fiscalidad</w:t>
            </w:r>
          </w:p>
        </w:tc>
      </w:tr>
      <w:tr w:rsidR="00F36280" w:rsidRPr="00485CC5" w14:paraId="773E5517" w14:textId="77777777" w:rsidTr="005B5FC0">
        <w:trPr>
          <w:trHeight w:val="20"/>
        </w:trPr>
        <w:tc>
          <w:tcPr>
            <w:tcW w:w="2978" w:type="dxa"/>
            <w:vAlign w:val="center"/>
          </w:tcPr>
          <w:p w14:paraId="426DA6ED" w14:textId="77777777" w:rsidR="00F36280" w:rsidRPr="00485CC5" w:rsidRDefault="00F36280" w:rsidP="005B5FC0">
            <w:pPr>
              <w:pStyle w:val="Heading2"/>
              <w:ind w:left="0" w:right="200"/>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Precio de licencia + 20% IVA en suspenso (no se traslada al precio final de venta al público).</w:t>
            </w:r>
          </w:p>
        </w:tc>
        <w:tc>
          <w:tcPr>
            <w:tcW w:w="4111" w:type="dxa"/>
            <w:vAlign w:val="center"/>
          </w:tcPr>
          <w:p w14:paraId="03A99ADB"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Impuestos municipales (variables)</w:t>
            </w:r>
          </w:p>
          <w:p w14:paraId="1CA68559"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Impuestos indirectos</w:t>
            </w:r>
          </w:p>
          <w:p w14:paraId="3B566D3E"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w:t>
            </w:r>
            <w:r w:rsidRPr="00485CC5">
              <w:rPr>
                <w:rFonts w:ascii="Bookman Old Style" w:eastAsia="Calibri" w:hAnsi="Bookman Old Style" w:cs="Calibri"/>
                <w:b w:val="0"/>
                <w:i/>
                <w:sz w:val="20"/>
                <w:szCs w:val="22"/>
              </w:rPr>
              <w:t>Excise taxes):</w:t>
            </w:r>
            <w:r w:rsidRPr="00485CC5">
              <w:rPr>
                <w:rFonts w:ascii="Bookman Old Style" w:eastAsia="Calibri" w:hAnsi="Bookman Old Style" w:cs="Calibri"/>
                <w:b w:val="0"/>
                <w:sz w:val="20"/>
                <w:szCs w:val="22"/>
              </w:rPr>
              <w:t xml:space="preserve"> 15% IVA especial</w:t>
            </w:r>
          </w:p>
          <w:p w14:paraId="7DA9A90E"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i/>
                <w:sz w:val="20"/>
                <w:szCs w:val="22"/>
              </w:rPr>
              <w:t>(Sales tax):</w:t>
            </w:r>
            <w:r w:rsidRPr="00485CC5">
              <w:rPr>
                <w:rFonts w:ascii="Bookman Old Style" w:eastAsia="Calibri" w:hAnsi="Bookman Old Style" w:cs="Calibri"/>
                <w:b w:val="0"/>
                <w:sz w:val="20"/>
                <w:szCs w:val="22"/>
              </w:rPr>
              <w:t xml:space="preserve"> 10%</w:t>
            </w:r>
          </w:p>
          <w:p w14:paraId="70C76D80" w14:textId="77777777" w:rsidR="00F36280" w:rsidRPr="00485CC5" w:rsidRDefault="00F36280" w:rsidP="005B5FC0">
            <w:pPr>
              <w:pStyle w:val="Heading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IVA estatal: 2,9%</w:t>
            </w:r>
          </w:p>
        </w:tc>
        <w:tc>
          <w:tcPr>
            <w:tcW w:w="2787" w:type="dxa"/>
            <w:vAlign w:val="center"/>
          </w:tcPr>
          <w:p w14:paraId="2DC0CB9A" w14:textId="77777777" w:rsidR="00F36280" w:rsidRPr="00485CC5" w:rsidRDefault="00F36280" w:rsidP="005B5FC0">
            <w:pPr>
              <w:rPr>
                <w:rFonts w:ascii="Bookman Old Style" w:hAnsi="Bookman Old Style"/>
                <w:sz w:val="20"/>
              </w:rPr>
            </w:pPr>
            <w:r w:rsidRPr="00485CC5">
              <w:rPr>
                <w:rFonts w:ascii="Bookman Old Style" w:hAnsi="Bookman Old Style"/>
                <w:sz w:val="20"/>
              </w:rPr>
              <w:t>Existen dos tipos de impuestos:</w:t>
            </w:r>
          </w:p>
          <w:p w14:paraId="584F8F69" w14:textId="77777777" w:rsidR="00F36280" w:rsidRPr="00485CC5" w:rsidRDefault="00F36280" w:rsidP="005B5FC0">
            <w:pPr>
              <w:jc w:val="center"/>
              <w:rPr>
                <w:rFonts w:ascii="Bookman Old Style" w:hAnsi="Bookman Old Style"/>
                <w:sz w:val="20"/>
              </w:rPr>
            </w:pPr>
          </w:p>
          <w:p w14:paraId="7F3D9F62"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Nacional. Se implementa un impuesto consistente en el pago de 1 dólar canadiense por gramo o del 10% del precio de venta final, dependiendo de cuál sea el más elevado.</w:t>
            </w:r>
          </w:p>
          <w:p w14:paraId="7A18768C" w14:textId="77777777" w:rsidR="00F36280" w:rsidRPr="00485CC5" w:rsidRDefault="00F36280" w:rsidP="005B5FC0">
            <w:pPr>
              <w:jc w:val="center"/>
              <w:rPr>
                <w:rFonts w:ascii="Bookman Old Style" w:hAnsi="Bookman Old Style"/>
                <w:sz w:val="20"/>
              </w:rPr>
            </w:pPr>
          </w:p>
          <w:p w14:paraId="1788D41F" w14:textId="77777777" w:rsidR="00F36280" w:rsidRPr="00837AB4"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lastRenderedPageBreak/>
              <w:t>Provincial. Se implementa el impuesto de venta de cualquier producto que varía entre el 13 y el 15%.</w:t>
            </w:r>
          </w:p>
        </w:tc>
      </w:tr>
      <w:tr w:rsidR="00F36280" w:rsidRPr="00485CC5" w14:paraId="7237B56B" w14:textId="77777777" w:rsidTr="005B5FC0">
        <w:trPr>
          <w:trHeight w:val="20"/>
        </w:trPr>
        <w:tc>
          <w:tcPr>
            <w:tcW w:w="9876" w:type="dxa"/>
            <w:gridSpan w:val="3"/>
            <w:shd w:val="clear" w:color="auto" w:fill="D9D9D9" w:themeFill="background1" w:themeFillShade="D9"/>
            <w:vAlign w:val="center"/>
          </w:tcPr>
          <w:p w14:paraId="2D535D86" w14:textId="77777777"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lastRenderedPageBreak/>
              <w:t>Destinación de recursos recaudados</w:t>
            </w:r>
          </w:p>
        </w:tc>
      </w:tr>
      <w:tr w:rsidR="00F36280" w:rsidRPr="00485CC5" w14:paraId="2285D629" w14:textId="77777777" w:rsidTr="005B5FC0">
        <w:trPr>
          <w:trHeight w:val="20"/>
        </w:trPr>
        <w:tc>
          <w:tcPr>
            <w:tcW w:w="2978" w:type="dxa"/>
            <w:vAlign w:val="center"/>
          </w:tcPr>
          <w:p w14:paraId="5E37BE9C" w14:textId="77777777"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Sistema educativo y Sistema de salud.</w:t>
            </w:r>
          </w:p>
        </w:tc>
        <w:tc>
          <w:tcPr>
            <w:tcW w:w="4111" w:type="dxa"/>
            <w:vAlign w:val="center"/>
          </w:tcPr>
          <w:p w14:paraId="1B984083" w14:textId="77777777" w:rsidR="00F36280" w:rsidRPr="00485CC5" w:rsidRDefault="00F36280" w:rsidP="005B5FC0">
            <w:pPr>
              <w:pStyle w:val="Heading2"/>
              <w:ind w:left="0" w:right="200"/>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Impuestos indirectos.</w:t>
            </w:r>
          </w:p>
          <w:p w14:paraId="3AEFB343" w14:textId="77777777" w:rsidR="00F36280" w:rsidRPr="00485CC5" w:rsidRDefault="00F36280" w:rsidP="005B5FC0">
            <w:pPr>
              <w:pStyle w:val="Heading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Primeros 40 millones van a Fondo para la construcción de escuelas. Después de los 40 millones se destinan a Fondo de Efectivo de Marihuana (</w:t>
            </w:r>
            <w:r w:rsidRPr="00485CC5">
              <w:rPr>
                <w:rFonts w:ascii="Bookman Old Style" w:eastAsia="Calibri" w:hAnsi="Bookman Old Style" w:cs="Calibri"/>
                <w:b w:val="0"/>
                <w:i/>
                <w:sz w:val="20"/>
                <w:szCs w:val="22"/>
              </w:rPr>
              <w:t>Marihuana Cash Fund</w:t>
            </w:r>
            <w:r w:rsidRPr="00485CC5">
              <w:rPr>
                <w:rFonts w:ascii="Bookman Old Style" w:eastAsia="Calibri" w:hAnsi="Bookman Old Style" w:cs="Calibri"/>
                <w:b w:val="0"/>
                <w:sz w:val="20"/>
                <w:szCs w:val="22"/>
              </w:rPr>
              <w:t>).</w:t>
            </w:r>
          </w:p>
        </w:tc>
        <w:tc>
          <w:tcPr>
            <w:tcW w:w="2787" w:type="dxa"/>
            <w:vAlign w:val="center"/>
          </w:tcPr>
          <w:p w14:paraId="18BCEABB" w14:textId="77777777" w:rsidR="00F36280" w:rsidRPr="00485CC5" w:rsidRDefault="00F36280" w:rsidP="005B5FC0">
            <w:pPr>
              <w:jc w:val="both"/>
              <w:rPr>
                <w:rFonts w:ascii="Bookman Old Style" w:hAnsi="Bookman Old Style"/>
                <w:sz w:val="20"/>
              </w:rPr>
            </w:pPr>
            <w:r w:rsidRPr="00485CC5">
              <w:rPr>
                <w:rFonts w:ascii="Bookman Old Style" w:hAnsi="Bookman Old Style"/>
                <w:sz w:val="20"/>
              </w:rPr>
              <w:t>No se ha establecido destinación específica.</w:t>
            </w:r>
          </w:p>
        </w:tc>
      </w:tr>
      <w:tr w:rsidR="00F36280" w:rsidRPr="00485CC5" w14:paraId="54B9E248" w14:textId="77777777" w:rsidTr="005B5FC0">
        <w:trPr>
          <w:trHeight w:val="20"/>
        </w:trPr>
        <w:tc>
          <w:tcPr>
            <w:tcW w:w="9876" w:type="dxa"/>
            <w:gridSpan w:val="3"/>
            <w:shd w:val="clear" w:color="auto" w:fill="D9D9D9" w:themeFill="background1" w:themeFillShade="D9"/>
            <w:vAlign w:val="center"/>
          </w:tcPr>
          <w:p w14:paraId="0375AEA7" w14:textId="77777777"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Prevención</w:t>
            </w:r>
          </w:p>
        </w:tc>
      </w:tr>
      <w:tr w:rsidR="00F36280" w:rsidRPr="00485CC5" w14:paraId="60A49CA4" w14:textId="77777777" w:rsidTr="005B5FC0">
        <w:trPr>
          <w:trHeight w:val="20"/>
        </w:trPr>
        <w:tc>
          <w:tcPr>
            <w:tcW w:w="2978" w:type="dxa"/>
            <w:vAlign w:val="center"/>
          </w:tcPr>
          <w:p w14:paraId="7A2AC509" w14:textId="77777777"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Disciplina obligatoria en el Sistema Nacional de Educación Pública.</w:t>
            </w:r>
          </w:p>
        </w:tc>
        <w:tc>
          <w:tcPr>
            <w:tcW w:w="4111" w:type="dxa"/>
            <w:vAlign w:val="center"/>
          </w:tcPr>
          <w:p w14:paraId="55D5E527" w14:textId="77777777"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Integrada en los programas de prevención de alcohol, tabaco, drogas ilegalizadas y otras sustancias.</w:t>
            </w:r>
          </w:p>
        </w:tc>
        <w:tc>
          <w:tcPr>
            <w:tcW w:w="2787" w:type="dxa"/>
            <w:vAlign w:val="center"/>
          </w:tcPr>
          <w:p w14:paraId="09C4DED1" w14:textId="77777777" w:rsidR="00F36280" w:rsidRPr="00485CC5" w:rsidRDefault="00F36280" w:rsidP="005B5FC0">
            <w:pPr>
              <w:jc w:val="both"/>
              <w:rPr>
                <w:rFonts w:ascii="Bookman Old Style" w:hAnsi="Bookman Old Style"/>
                <w:sz w:val="20"/>
              </w:rPr>
            </w:pPr>
            <w:r w:rsidRPr="00485CC5">
              <w:rPr>
                <w:rFonts w:ascii="Bookman Old Style" w:hAnsi="Bookman Old Style"/>
                <w:sz w:val="20"/>
              </w:rPr>
              <w:t>Programas dirigidos por el Ministerio de Salud canadiense en la prevención y uso responsable de las sustancias psicoactivas.</w:t>
            </w:r>
          </w:p>
        </w:tc>
      </w:tr>
    </w:tbl>
    <w:p w14:paraId="261A1992" w14:textId="77777777" w:rsidR="00F36280" w:rsidRPr="00077ACA" w:rsidRDefault="00F36280" w:rsidP="00F36280">
      <w:pPr>
        <w:ind w:left="-426"/>
        <w:rPr>
          <w:rFonts w:ascii="Bookman Old Style" w:eastAsia="Calibri" w:hAnsi="Bookman Old Style" w:cs="Calibri"/>
          <w:sz w:val="16"/>
          <w:szCs w:val="16"/>
        </w:rPr>
      </w:pPr>
      <w:r w:rsidRPr="00077ACA">
        <w:rPr>
          <w:rFonts w:ascii="Bookman Old Style" w:eastAsia="Calibri" w:hAnsi="Bookman Old Style" w:cs="Calibri"/>
          <w:sz w:val="16"/>
          <w:szCs w:val="16"/>
        </w:rPr>
        <w:t>Fuente: UTL-Juan Fernando Reyes Kuri</w:t>
      </w:r>
    </w:p>
    <w:p w14:paraId="5253AF49" w14:textId="77777777" w:rsidR="00F36280" w:rsidRPr="00485CC5" w:rsidRDefault="00F36280" w:rsidP="00F36280">
      <w:pPr>
        <w:rPr>
          <w:rFonts w:ascii="Bookman Old Style" w:eastAsia="Calibri" w:hAnsi="Bookman Old Style"/>
          <w:szCs w:val="24"/>
        </w:rPr>
      </w:pPr>
    </w:p>
    <w:p w14:paraId="6F7854AA" w14:textId="77777777" w:rsidR="00837AB4"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 xml:space="preserve">Tabla 2. </w:t>
      </w:r>
    </w:p>
    <w:p w14:paraId="7654F318" w14:textId="77777777" w:rsidR="00F36280" w:rsidRPr="00485CC5"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Medidas implementadas</w:t>
      </w:r>
    </w:p>
    <w:tbl>
      <w:tblPr>
        <w:tblStyle w:val="TableGrid"/>
        <w:tblW w:w="9924" w:type="dxa"/>
        <w:tblInd w:w="-431" w:type="dxa"/>
        <w:tblLook w:val="04A0" w:firstRow="1" w:lastRow="0" w:firstColumn="1" w:lastColumn="0" w:noHBand="0" w:noVBand="1"/>
      </w:tblPr>
      <w:tblGrid>
        <w:gridCol w:w="5104"/>
        <w:gridCol w:w="4820"/>
      </w:tblGrid>
      <w:tr w:rsidR="00F36280" w:rsidRPr="00485CC5" w14:paraId="6456A7A7" w14:textId="77777777" w:rsidTr="005B5FC0">
        <w:trPr>
          <w:trHeight w:val="305"/>
        </w:trPr>
        <w:tc>
          <w:tcPr>
            <w:tcW w:w="5104" w:type="dxa"/>
            <w:shd w:val="clear" w:color="auto" w:fill="BFBFBF" w:themeFill="background1" w:themeFillShade="BF"/>
          </w:tcPr>
          <w:p w14:paraId="33FECAF1" w14:textId="77777777" w:rsidR="00F36280" w:rsidRPr="00485CC5" w:rsidRDefault="00F36280" w:rsidP="005B5FC0">
            <w:pPr>
              <w:jc w:val="center"/>
              <w:rPr>
                <w:rFonts w:ascii="Bookman Old Style" w:hAnsi="Bookman Old Style" w:cstheme="majorHAnsi"/>
                <w:b/>
                <w:sz w:val="20"/>
              </w:rPr>
            </w:pPr>
            <w:r w:rsidRPr="00485CC5">
              <w:rPr>
                <w:rFonts w:ascii="Bookman Old Style" w:hAnsi="Bookman Old Style" w:cstheme="majorHAnsi"/>
                <w:b/>
                <w:sz w:val="20"/>
              </w:rPr>
              <w:t>URUGUAY</w:t>
            </w:r>
          </w:p>
        </w:tc>
        <w:tc>
          <w:tcPr>
            <w:tcW w:w="4820" w:type="dxa"/>
            <w:shd w:val="clear" w:color="auto" w:fill="BFBFBF" w:themeFill="background1" w:themeFillShade="BF"/>
          </w:tcPr>
          <w:p w14:paraId="50BC56B1" w14:textId="77777777" w:rsidR="00F36280" w:rsidRPr="00485CC5" w:rsidRDefault="00F36280" w:rsidP="005B5FC0">
            <w:pPr>
              <w:jc w:val="center"/>
              <w:rPr>
                <w:rFonts w:ascii="Bookman Old Style" w:hAnsi="Bookman Old Style" w:cstheme="majorHAnsi"/>
                <w:b/>
                <w:sz w:val="20"/>
              </w:rPr>
            </w:pPr>
            <w:r w:rsidRPr="00485CC5">
              <w:rPr>
                <w:rFonts w:ascii="Bookman Old Style" w:hAnsi="Bookman Old Style" w:cstheme="majorHAnsi"/>
                <w:b/>
                <w:sz w:val="20"/>
              </w:rPr>
              <w:t>COLORADO - EEUU</w:t>
            </w:r>
          </w:p>
        </w:tc>
      </w:tr>
      <w:tr w:rsidR="00F36280" w:rsidRPr="00485CC5" w14:paraId="21F23C0F" w14:textId="77777777" w:rsidTr="005B5FC0">
        <w:trPr>
          <w:trHeight w:val="288"/>
        </w:trPr>
        <w:tc>
          <w:tcPr>
            <w:tcW w:w="5104" w:type="dxa"/>
          </w:tcPr>
          <w:p w14:paraId="6B6AAC53" w14:textId="77777777"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ley.</w:t>
            </w:r>
          </w:p>
        </w:tc>
        <w:tc>
          <w:tcPr>
            <w:tcW w:w="4820" w:type="dxa"/>
          </w:tcPr>
          <w:p w14:paraId="7661D340" w14:textId="77777777"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delitos cannabis</w:t>
            </w:r>
          </w:p>
        </w:tc>
      </w:tr>
      <w:tr w:rsidR="00F36280" w:rsidRPr="00485CC5" w14:paraId="2F0B7745" w14:textId="77777777" w:rsidTr="005B5FC0">
        <w:trPr>
          <w:trHeight w:val="305"/>
        </w:trPr>
        <w:tc>
          <w:tcPr>
            <w:tcW w:w="5104" w:type="dxa"/>
          </w:tcPr>
          <w:p w14:paraId="64F6BE06" w14:textId="77777777"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Puesta en marcha de Sistemas de monitoreo y evaluación de la implementación de la ley</w:t>
            </w:r>
          </w:p>
        </w:tc>
        <w:tc>
          <w:tcPr>
            <w:tcW w:w="4820" w:type="dxa"/>
          </w:tcPr>
          <w:p w14:paraId="68E4DD52" w14:textId="77777777"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establecimientos</w:t>
            </w:r>
          </w:p>
        </w:tc>
      </w:tr>
      <w:tr w:rsidR="00F36280" w:rsidRPr="00485CC5" w14:paraId="174B9F8A" w14:textId="77777777" w:rsidTr="005B5FC0">
        <w:trPr>
          <w:trHeight w:val="288"/>
        </w:trPr>
        <w:tc>
          <w:tcPr>
            <w:tcW w:w="5104" w:type="dxa"/>
          </w:tcPr>
          <w:p w14:paraId="65EB5BCB" w14:textId="77777777"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Formación fuerzas seguridad aduanas</w:t>
            </w:r>
          </w:p>
        </w:tc>
        <w:tc>
          <w:tcPr>
            <w:tcW w:w="4820" w:type="dxa"/>
          </w:tcPr>
          <w:p w14:paraId="112D70C3" w14:textId="77777777"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impuestos</w:t>
            </w:r>
          </w:p>
        </w:tc>
      </w:tr>
      <w:tr w:rsidR="00F36280" w:rsidRPr="00485CC5" w14:paraId="0D5B09E8" w14:textId="77777777" w:rsidTr="005B5FC0">
        <w:trPr>
          <w:trHeight w:val="305"/>
        </w:trPr>
        <w:tc>
          <w:tcPr>
            <w:tcW w:w="5104" w:type="dxa"/>
          </w:tcPr>
          <w:p w14:paraId="4B343B89" w14:textId="77777777"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Creación programa de capacitación especializada en política de drogas y carrera especializada en políticas de drogas.</w:t>
            </w:r>
          </w:p>
        </w:tc>
        <w:tc>
          <w:tcPr>
            <w:tcW w:w="4820" w:type="dxa"/>
          </w:tcPr>
          <w:p w14:paraId="2DDCDEC5" w14:textId="77777777"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penas por conducir bajo efectos cannabis</w:t>
            </w:r>
          </w:p>
        </w:tc>
      </w:tr>
      <w:tr w:rsidR="00F36280" w:rsidRPr="00485CC5" w14:paraId="4FC862DF" w14:textId="77777777" w:rsidTr="005B5FC0">
        <w:trPr>
          <w:trHeight w:val="288"/>
        </w:trPr>
        <w:tc>
          <w:tcPr>
            <w:tcW w:w="5104" w:type="dxa"/>
          </w:tcPr>
          <w:p w14:paraId="7897B0B1" w14:textId="77777777"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Ensayo clínico uso cannabis para deshabituación pasta base</w:t>
            </w:r>
          </w:p>
        </w:tc>
        <w:tc>
          <w:tcPr>
            <w:tcW w:w="4820" w:type="dxa"/>
          </w:tcPr>
          <w:p w14:paraId="6E6264F8" w14:textId="77777777"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Estudios sobre efectos cannabis en la salud y sobre acciones y gastos de represión.</w:t>
            </w:r>
          </w:p>
        </w:tc>
      </w:tr>
    </w:tbl>
    <w:p w14:paraId="5585EAB0" w14:textId="77777777" w:rsidR="00F36280" w:rsidRPr="00485CC5" w:rsidRDefault="00F36280" w:rsidP="00F36280">
      <w:pPr>
        <w:ind w:left="-426"/>
        <w:rPr>
          <w:rFonts w:ascii="Bookman Old Style" w:eastAsia="Calibri" w:hAnsi="Bookman Old Style" w:cs="Calibri"/>
          <w:sz w:val="16"/>
          <w:szCs w:val="18"/>
        </w:rPr>
      </w:pPr>
      <w:r w:rsidRPr="00485CC5">
        <w:rPr>
          <w:rFonts w:ascii="Bookman Old Style" w:eastAsia="Calibri" w:hAnsi="Bookman Old Style" w:cs="Calibri"/>
          <w:sz w:val="16"/>
          <w:szCs w:val="18"/>
        </w:rPr>
        <w:t>Fuente: UTL-Juan Fernando Reyes Kuri</w:t>
      </w:r>
    </w:p>
    <w:p w14:paraId="0D894E70" w14:textId="77777777" w:rsidR="00F36280" w:rsidRDefault="00F36280" w:rsidP="00F36280">
      <w:pPr>
        <w:ind w:left="-426"/>
        <w:rPr>
          <w:rFonts w:ascii="Bookman Old Style" w:eastAsia="Calibri" w:hAnsi="Bookman Old Style" w:cs="Calibri"/>
          <w:sz w:val="16"/>
          <w:szCs w:val="18"/>
        </w:rPr>
      </w:pPr>
    </w:p>
    <w:p w14:paraId="6792D2C3" w14:textId="77777777" w:rsidR="005A693D" w:rsidRDefault="005A693D" w:rsidP="00F36280">
      <w:pPr>
        <w:ind w:left="-426"/>
        <w:rPr>
          <w:rFonts w:ascii="Bookman Old Style" w:eastAsia="Calibri" w:hAnsi="Bookman Old Style" w:cs="Calibri"/>
          <w:sz w:val="16"/>
          <w:szCs w:val="18"/>
        </w:rPr>
      </w:pPr>
    </w:p>
    <w:p w14:paraId="06AC65E6" w14:textId="77777777" w:rsidR="00F36280" w:rsidRPr="00485CC5" w:rsidRDefault="00EB0CD0" w:rsidP="001E18FE">
      <w:pPr>
        <w:ind w:left="-426"/>
        <w:jc w:val="both"/>
        <w:rPr>
          <w:rFonts w:ascii="Bookman Old Style" w:eastAsia="Calibri" w:hAnsi="Bookman Old Style" w:cs="Calibri"/>
          <w:b/>
          <w:bCs/>
          <w:sz w:val="16"/>
          <w:szCs w:val="18"/>
        </w:rPr>
      </w:pPr>
      <w:r>
        <w:rPr>
          <w:rFonts w:ascii="Bookman Old Style" w:eastAsia="Calibri" w:hAnsi="Bookman Old Style" w:cs="Calibri"/>
          <w:b/>
          <w:bCs/>
          <w:szCs w:val="24"/>
        </w:rPr>
        <w:t>5</w:t>
      </w:r>
      <w:r w:rsidR="00F36280" w:rsidRPr="00485CC5">
        <w:rPr>
          <w:rFonts w:ascii="Bookman Old Style" w:eastAsia="Calibri" w:hAnsi="Bookman Old Style" w:cs="Calibri"/>
          <w:b/>
          <w:bCs/>
          <w:szCs w:val="24"/>
        </w:rPr>
        <w:t>.2.1 IMPACTO ECONÓMICO DE LA REGULACIÓN</w:t>
      </w:r>
      <w:r w:rsidR="00DB66BE">
        <w:rPr>
          <w:rFonts w:ascii="Bookman Old Style" w:eastAsia="Calibri" w:hAnsi="Bookman Old Style" w:cs="Calibri"/>
          <w:b/>
          <w:bCs/>
          <w:szCs w:val="24"/>
        </w:rPr>
        <w:t xml:space="preserve"> EN EL CASO</w:t>
      </w:r>
      <w:r w:rsidR="00F36280" w:rsidRPr="00485CC5">
        <w:rPr>
          <w:rFonts w:ascii="Bookman Old Style" w:eastAsia="Calibri" w:hAnsi="Bookman Old Style" w:cs="Calibri"/>
          <w:b/>
          <w:bCs/>
          <w:szCs w:val="24"/>
        </w:rPr>
        <w:t xml:space="preserve"> INTERNACIONAL</w:t>
      </w:r>
    </w:p>
    <w:p w14:paraId="1ECDE0FA" w14:textId="77777777" w:rsidR="00F36280" w:rsidRPr="00485CC5" w:rsidRDefault="00F36280" w:rsidP="00F36280"/>
    <w:p w14:paraId="5B3CA80B" w14:textId="7A689B9F"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Diferentes aspectos económicos muestran que </w:t>
      </w:r>
      <w:r w:rsidR="00666304">
        <w:rPr>
          <w:rFonts w:ascii="Bookman Old Style" w:hAnsi="Bookman Old Style" w:cs="Calibri"/>
          <w:szCs w:val="24"/>
        </w:rPr>
        <w:t>la regulación del uso adulto</w:t>
      </w:r>
      <w:r w:rsidRPr="00485CC5">
        <w:rPr>
          <w:rFonts w:ascii="Bookman Old Style" w:hAnsi="Bookman Old Style" w:cs="Calibri"/>
          <w:szCs w:val="24"/>
        </w:rPr>
        <w:t xml:space="preserve">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 Lo cual repercute favorablemente en la lucha para terminar con el mercado negro e ilegal y aliviar el sistema carcelario y judicial y, convertir este flagelo en una política encaminada al desarrollo sostenible del país.</w:t>
      </w:r>
    </w:p>
    <w:p w14:paraId="410783F0"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lastRenderedPageBreak/>
        <w:t xml:space="preserve"> </w:t>
      </w:r>
    </w:p>
    <w:p w14:paraId="585D7523" w14:textId="77777777" w:rsidR="00F36280" w:rsidRPr="00485CC5" w:rsidRDefault="00F36280" w:rsidP="00F36280">
      <w:pPr>
        <w:pStyle w:val="Heading1"/>
        <w:jc w:val="both"/>
        <w:rPr>
          <w:rFonts w:ascii="Bookman Old Style" w:hAnsi="Bookman Old Style" w:cs="Calibri"/>
          <w:b w:val="0"/>
          <w:sz w:val="22"/>
          <w:szCs w:val="24"/>
        </w:rPr>
      </w:pPr>
      <w:bookmarkStart w:id="1" w:name="_Toc5023208"/>
      <w:r w:rsidRPr="00485CC5">
        <w:rPr>
          <w:rFonts w:ascii="Bookman Old Style" w:hAnsi="Bookman Old Style" w:cs="Calibri"/>
          <w:b w:val="0"/>
          <w:sz w:val="22"/>
          <w:szCs w:val="24"/>
        </w:rPr>
        <w:t>Así como el alcohol y el tabaco están regulados y pagan impuesto, los impuestos al consumo del cannabis pueden ser una fuente de financiación para Programas Sociales, de Salud y de Prevención de Abuso de Sustancias</w:t>
      </w:r>
      <w:bookmarkEnd w:id="1"/>
      <w:r w:rsidRPr="00485CC5">
        <w:rPr>
          <w:rFonts w:ascii="Bookman Old Style" w:hAnsi="Bookman Old Style" w:cs="Calibri"/>
          <w:b w:val="0"/>
          <w:sz w:val="22"/>
          <w:szCs w:val="24"/>
        </w:rPr>
        <w:t>.</w:t>
      </w:r>
    </w:p>
    <w:p w14:paraId="1463AF96" w14:textId="77777777" w:rsidR="00F36280" w:rsidRPr="00485CC5" w:rsidRDefault="00F36280" w:rsidP="00F36280">
      <w:pPr>
        <w:pStyle w:val="Heading1"/>
        <w:jc w:val="both"/>
        <w:rPr>
          <w:rFonts w:ascii="Bookman Old Style" w:hAnsi="Bookman Old Style" w:cs="Calibri"/>
          <w:b w:val="0"/>
          <w:sz w:val="22"/>
          <w:szCs w:val="24"/>
        </w:rPr>
      </w:pPr>
    </w:p>
    <w:p w14:paraId="4F53C83C" w14:textId="77777777" w:rsidR="00F82545" w:rsidRDefault="00F82545" w:rsidP="001E18FE">
      <w:pPr>
        <w:jc w:val="both"/>
        <w:rPr>
          <w:rFonts w:ascii="Bookman Old Style" w:hAnsi="Bookman Old Style" w:cs="Calibri"/>
          <w:szCs w:val="24"/>
        </w:rPr>
      </w:pPr>
      <w:r w:rsidRPr="00F82545">
        <w:rPr>
          <w:rFonts w:ascii="Bookman Old Style" w:hAnsi="Bookman Old Style" w:cs="Calibri"/>
          <w:szCs w:val="24"/>
        </w:rPr>
        <w:t xml:space="preserve">Este mercado en el mundo sigue generando ingresos y creciendo de manera exponencial, según  </w:t>
      </w:r>
      <w:r>
        <w:rPr>
          <w:rFonts w:ascii="Bookman Old Style" w:hAnsi="Bookman Old Style" w:cs="Calibri"/>
          <w:szCs w:val="24"/>
        </w:rPr>
        <w:t>Euromonitor International</w:t>
      </w:r>
      <w:r>
        <w:rPr>
          <w:rStyle w:val="FootnoteReference"/>
          <w:rFonts w:ascii="Bookman Old Style" w:hAnsi="Bookman Old Style" w:cs="Calibri"/>
          <w:szCs w:val="24"/>
        </w:rPr>
        <w:footnoteReference w:id="7"/>
      </w:r>
      <w:r w:rsidRPr="00F82545">
        <w:rPr>
          <w:rFonts w:ascii="Bookman Old Style" w:hAnsi="Bookman Old Style" w:cs="Calibri"/>
          <w:szCs w:val="24"/>
        </w:rPr>
        <w:t xml:space="preserve"> el mercado legal de cannabis medicinal del mundo, estimado en 12.000 millones de dólares en 2018, llegará a 166.000 millones de dól</w:t>
      </w:r>
      <w:r>
        <w:rPr>
          <w:rFonts w:ascii="Bookman Old Style" w:hAnsi="Bookman Old Style" w:cs="Calibri"/>
          <w:szCs w:val="24"/>
        </w:rPr>
        <w:t>ares en 2025.</w:t>
      </w:r>
    </w:p>
    <w:p w14:paraId="5C358F38" w14:textId="77777777" w:rsidR="00F82545" w:rsidRDefault="00F82545" w:rsidP="001E18FE">
      <w:pPr>
        <w:jc w:val="both"/>
        <w:rPr>
          <w:rFonts w:ascii="Bookman Old Style" w:hAnsi="Bookman Old Style" w:cs="Calibri"/>
          <w:szCs w:val="24"/>
        </w:rPr>
      </w:pPr>
      <w:r w:rsidRPr="00F82545">
        <w:rPr>
          <w:rFonts w:ascii="Bookman Old Style" w:hAnsi="Bookman Old Style" w:cs="Calibri"/>
          <w:szCs w:val="24"/>
        </w:rPr>
        <w:cr/>
        <w:t xml:space="preserve">De otra parte, los profundos avances en la legislación de distintos </w:t>
      </w:r>
      <w:r w:rsidR="00E94848" w:rsidRPr="00F82545">
        <w:rPr>
          <w:rFonts w:ascii="Bookman Old Style" w:hAnsi="Bookman Old Style" w:cs="Calibri"/>
          <w:szCs w:val="24"/>
        </w:rPr>
        <w:t>países</w:t>
      </w:r>
      <w:r w:rsidRPr="00F82545">
        <w:rPr>
          <w:rFonts w:ascii="Bookman Old Style" w:hAnsi="Bookman Old Style" w:cs="Calibri"/>
          <w:szCs w:val="24"/>
        </w:rPr>
        <w:t xml:space="preserve"> para aprobar su uso medicinal han generado un aumento considerable, pasando de 1,4 toneladas (ton) para el año 2000 a </w:t>
      </w:r>
      <w:r w:rsidR="00E94848">
        <w:rPr>
          <w:rFonts w:ascii="Bookman Old Style" w:hAnsi="Bookman Old Style" w:cs="Calibri"/>
          <w:szCs w:val="24"/>
        </w:rPr>
        <w:t>406,1 ton en 2017 (JIFE, 2018).</w:t>
      </w:r>
      <w:r w:rsidR="00E94848">
        <w:rPr>
          <w:rStyle w:val="FootnoteReference"/>
          <w:rFonts w:ascii="Bookman Old Style" w:hAnsi="Bookman Old Style" w:cs="Calibri"/>
          <w:szCs w:val="24"/>
        </w:rPr>
        <w:footnoteReference w:id="8"/>
      </w:r>
    </w:p>
    <w:p w14:paraId="0DC446FE" w14:textId="77777777" w:rsidR="00F82545" w:rsidRDefault="00F82545" w:rsidP="001E18FE">
      <w:pPr>
        <w:jc w:val="both"/>
        <w:rPr>
          <w:rFonts w:ascii="Bookman Old Style" w:hAnsi="Bookman Old Style" w:cs="Calibri"/>
          <w:szCs w:val="24"/>
        </w:rPr>
      </w:pPr>
    </w:p>
    <w:p w14:paraId="3DE4241D" w14:textId="77777777" w:rsidR="00F36280" w:rsidRPr="00D740BA" w:rsidRDefault="00F36280" w:rsidP="001E18FE">
      <w:pPr>
        <w:jc w:val="both"/>
        <w:rPr>
          <w:rFonts w:ascii="Bookman Old Style" w:hAnsi="Bookman Old Style" w:cs="Calibri"/>
          <w:szCs w:val="24"/>
        </w:rPr>
      </w:pPr>
      <w:r w:rsidRPr="00D740BA">
        <w:rPr>
          <w:rFonts w:ascii="Bookman Old Style" w:hAnsi="Bookman Old Style" w:cs="Calibri"/>
          <w:szCs w:val="24"/>
        </w:rPr>
        <w:t>En Estados Unidos</w:t>
      </w:r>
      <w:r w:rsidR="008F6E74">
        <w:rPr>
          <w:rFonts w:ascii="Bookman Old Style" w:hAnsi="Bookman Old Style" w:cs="Calibri"/>
          <w:szCs w:val="24"/>
        </w:rPr>
        <w:t xml:space="preserve"> </w:t>
      </w:r>
      <w:r w:rsidR="00D740BA" w:rsidRPr="008F6E74">
        <w:rPr>
          <w:rFonts w:ascii="Bookman Old Style" w:hAnsi="Bookman Old Style" w:cs="Calibri"/>
          <w:szCs w:val="24"/>
        </w:rPr>
        <w:t>la marihuana es legal en los estados de Washington, Oregon, Nevada, California, Alaska, Col</w:t>
      </w:r>
      <w:r w:rsidR="00AC1220">
        <w:rPr>
          <w:rFonts w:ascii="Bookman Old Style" w:hAnsi="Bookman Old Style" w:cs="Calibri"/>
          <w:szCs w:val="24"/>
        </w:rPr>
        <w:t>orado, Illinois, Michigan, Vermont y</w:t>
      </w:r>
      <w:r w:rsidR="00D740BA" w:rsidRPr="008F6E74">
        <w:rPr>
          <w:rFonts w:ascii="Bookman Old Style" w:hAnsi="Bookman Old Style" w:cs="Calibri"/>
          <w:szCs w:val="24"/>
        </w:rPr>
        <w:t xml:space="preserve"> Maine</w:t>
      </w:r>
      <w:r w:rsidR="00D740BA" w:rsidRPr="008F6E74">
        <w:rPr>
          <w:rStyle w:val="FootnoteReference"/>
          <w:rFonts w:ascii="Bookman Old Style" w:hAnsi="Bookman Old Style" w:cs="Calibri"/>
          <w:szCs w:val="24"/>
        </w:rPr>
        <w:footnoteReference w:id="9"/>
      </w:r>
      <w:r w:rsidR="00D740BA" w:rsidRPr="008F6E74">
        <w:rPr>
          <w:rFonts w:ascii="Bookman Old Style" w:hAnsi="Bookman Old Style" w:cs="Calibri"/>
          <w:szCs w:val="24"/>
        </w:rPr>
        <w:t>.</w:t>
      </w:r>
      <w:r w:rsidRPr="00D740BA">
        <w:rPr>
          <w:rFonts w:ascii="Bookman Old Style" w:hAnsi="Bookman Old Style" w:cs="Calibri"/>
          <w:szCs w:val="24"/>
        </w:rPr>
        <w:t xml:space="preserve"> </w:t>
      </w:r>
      <w:r w:rsidR="00D740BA" w:rsidRPr="008F6E74">
        <w:rPr>
          <w:rFonts w:ascii="Bookman Old Style" w:hAnsi="Bookman Old Style" w:cs="Calibri"/>
          <w:szCs w:val="24"/>
        </w:rPr>
        <w:t xml:space="preserve">En </w:t>
      </w:r>
      <w:r w:rsidRPr="00D740BA">
        <w:rPr>
          <w:rFonts w:ascii="Bookman Old Style" w:hAnsi="Bookman Old Style" w:cs="Calibri"/>
          <w:szCs w:val="24"/>
        </w:rPr>
        <w:t>los Estados de Colorado, Washington, Oregón y Alaska, hoy los ingresos por los impuestos en este tema se encuentran por encima de los valores que habían estimado. Como lo muestra el reporte del Drug Policy Alliance (Alianza para Políticas de Drogas) de 2018</w:t>
      </w:r>
      <w:r w:rsidRPr="00D740BA">
        <w:rPr>
          <w:rStyle w:val="FootnoteReference"/>
          <w:rFonts w:ascii="Bookman Old Style" w:hAnsi="Bookman Old Style" w:cs="Calibri"/>
          <w:szCs w:val="24"/>
        </w:rPr>
        <w:footnoteReference w:id="10"/>
      </w:r>
      <w:r w:rsidRPr="00D740BA">
        <w:rPr>
          <w:rFonts w:ascii="Bookman Old Style" w:hAnsi="Bookman Old Style" w:cs="Calibri"/>
          <w:szCs w:val="24"/>
        </w:rPr>
        <w:t>, los impuestos recaudados por las ventas de marihuana:</w:t>
      </w:r>
    </w:p>
    <w:p w14:paraId="744A3BF5" w14:textId="77777777" w:rsidR="00F36280" w:rsidRPr="00485CC5" w:rsidRDefault="00F36280" w:rsidP="00F36280">
      <w:pPr>
        <w:rPr>
          <w:rFonts w:ascii="Bookman Old Style" w:hAnsi="Bookman Old Style"/>
          <w:szCs w:val="24"/>
        </w:rPr>
      </w:pPr>
    </w:p>
    <w:p w14:paraId="5EEB1486" w14:textId="77777777" w:rsidR="00F36280" w:rsidRPr="00485CC5" w:rsidRDefault="00F36280" w:rsidP="00F36280">
      <w:pPr>
        <w:pStyle w:val="ListParagraph"/>
        <w:numPr>
          <w:ilvl w:val="0"/>
          <w:numId w:val="7"/>
        </w:numPr>
        <w:spacing w:after="0" w:line="240" w:lineRule="auto"/>
        <w:jc w:val="both"/>
        <w:rPr>
          <w:rFonts w:ascii="Bookman Old Style" w:hAnsi="Bookman Old Style" w:cs="Calibri"/>
          <w:szCs w:val="24"/>
        </w:rPr>
      </w:pPr>
      <w:r w:rsidRPr="00485CC5">
        <w:rPr>
          <w:rFonts w:ascii="Bookman Old Style" w:hAnsi="Bookman Old Style" w:cs="Calibri"/>
          <w:szCs w:val="24"/>
        </w:rPr>
        <w:t>En Washington generaron ingresos por USD $315 millones en el año fiscal 2016-2017.</w:t>
      </w:r>
    </w:p>
    <w:p w14:paraId="7B7F2F85" w14:textId="77777777" w:rsidR="00F36280" w:rsidRPr="00485CC5" w:rsidRDefault="00F36280" w:rsidP="00F36280">
      <w:pPr>
        <w:pStyle w:val="ListParagraph"/>
        <w:spacing w:after="0" w:line="240" w:lineRule="auto"/>
        <w:jc w:val="both"/>
        <w:rPr>
          <w:rFonts w:ascii="Bookman Old Style" w:hAnsi="Bookman Old Style" w:cs="Calibri"/>
          <w:szCs w:val="24"/>
        </w:rPr>
      </w:pPr>
    </w:p>
    <w:p w14:paraId="594EEF29" w14:textId="77777777" w:rsidR="00F36280" w:rsidRPr="00485CC5" w:rsidRDefault="00F36280" w:rsidP="00F36280">
      <w:pPr>
        <w:pStyle w:val="ListParagraph"/>
        <w:numPr>
          <w:ilvl w:val="0"/>
          <w:numId w:val="7"/>
        </w:numPr>
        <w:spacing w:after="0" w:line="240" w:lineRule="auto"/>
        <w:jc w:val="both"/>
        <w:rPr>
          <w:rFonts w:ascii="Bookman Old Style" w:hAnsi="Bookman Old Style" w:cs="Calibri"/>
          <w:szCs w:val="24"/>
        </w:rPr>
      </w:pPr>
      <w:r w:rsidRPr="00485CC5">
        <w:rPr>
          <w:rFonts w:ascii="Bookman Old Style" w:hAnsi="Bookman Old Style" w:cs="Calibri"/>
          <w:szCs w:val="24"/>
        </w:rPr>
        <w:t>En Colorado las ventas generaron USD $600 millones desde 2014.</w:t>
      </w:r>
    </w:p>
    <w:p w14:paraId="4439DCD3" w14:textId="77777777" w:rsidR="00F36280" w:rsidRPr="00485CC5" w:rsidRDefault="00F36280" w:rsidP="00F36280">
      <w:pPr>
        <w:jc w:val="both"/>
        <w:rPr>
          <w:rFonts w:ascii="Bookman Old Style" w:hAnsi="Bookman Old Style" w:cs="Calibri"/>
          <w:szCs w:val="24"/>
        </w:rPr>
      </w:pPr>
    </w:p>
    <w:p w14:paraId="7AD957D3" w14:textId="77777777" w:rsidR="00F36280" w:rsidRPr="00485CC5" w:rsidRDefault="00F36280" w:rsidP="00F36280">
      <w:pPr>
        <w:pStyle w:val="ListParagraph"/>
        <w:numPr>
          <w:ilvl w:val="0"/>
          <w:numId w:val="7"/>
        </w:numPr>
        <w:spacing w:after="0" w:line="240" w:lineRule="auto"/>
        <w:jc w:val="both"/>
        <w:rPr>
          <w:rFonts w:ascii="Bookman Old Style" w:hAnsi="Bookman Old Style" w:cs="Calibri"/>
          <w:szCs w:val="24"/>
        </w:rPr>
      </w:pPr>
      <w:r w:rsidRPr="00485CC5">
        <w:rPr>
          <w:rFonts w:ascii="Bookman Old Style" w:hAnsi="Bookman Old Style" w:cs="Calibri"/>
          <w:szCs w:val="24"/>
        </w:rPr>
        <w:t>En Oregón, se recaudaron en el periodo fiscal 2016-2017 USD $70 millones, el doble de lo presupuestado inicialmente.</w:t>
      </w:r>
    </w:p>
    <w:p w14:paraId="7F0B3D4C" w14:textId="77777777" w:rsidR="00F36280" w:rsidRPr="00485CC5" w:rsidRDefault="00F36280" w:rsidP="00F36280">
      <w:pPr>
        <w:jc w:val="both"/>
        <w:rPr>
          <w:rFonts w:ascii="Bookman Old Style" w:hAnsi="Bookman Old Style" w:cs="Calibri"/>
          <w:szCs w:val="24"/>
        </w:rPr>
      </w:pPr>
    </w:p>
    <w:p w14:paraId="6D3B925B"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Estos nuevos ingresos han podido ser utilizados para la financiación de programas de educación y política social</w:t>
      </w:r>
      <w:r w:rsidRPr="00485CC5">
        <w:rPr>
          <w:rStyle w:val="FootnoteReference"/>
          <w:rFonts w:ascii="Bookman Old Style" w:hAnsi="Bookman Old Style" w:cs="Calibri"/>
          <w:szCs w:val="24"/>
        </w:rPr>
        <w:footnoteReference w:id="11"/>
      </w:r>
      <w:r w:rsidRPr="00485CC5">
        <w:rPr>
          <w:rFonts w:ascii="Bookman Old Style" w:hAnsi="Bookman Old Style" w:cs="Calibri"/>
          <w:szCs w:val="24"/>
        </w:rPr>
        <w:t>:</w:t>
      </w:r>
    </w:p>
    <w:p w14:paraId="216A8FBE" w14:textId="77777777" w:rsidR="00F36280" w:rsidRPr="00485CC5" w:rsidRDefault="00F36280" w:rsidP="00F36280">
      <w:pPr>
        <w:jc w:val="both"/>
        <w:rPr>
          <w:rFonts w:ascii="Bookman Old Style" w:hAnsi="Bookman Old Style" w:cs="Calibri"/>
          <w:szCs w:val="24"/>
        </w:rPr>
      </w:pPr>
    </w:p>
    <w:p w14:paraId="1019280B" w14:textId="77777777" w:rsidR="00F36280" w:rsidRPr="00485CC5" w:rsidRDefault="00F36280" w:rsidP="00F36280">
      <w:pPr>
        <w:pStyle w:val="ListParagraph"/>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Colorado distribuyó USD $230 millones al Departamento de Educación entre 2015 y 2017, para financiar la construcción de escuelas, programas de alfabetización temprana y de prevención del matoneo.</w:t>
      </w:r>
    </w:p>
    <w:p w14:paraId="3021F46E" w14:textId="77777777" w:rsidR="00F36280" w:rsidRPr="00485CC5" w:rsidRDefault="00F36280" w:rsidP="00F36280">
      <w:pPr>
        <w:pStyle w:val="ListParagraph"/>
        <w:spacing w:after="0" w:line="240" w:lineRule="auto"/>
        <w:jc w:val="both"/>
        <w:rPr>
          <w:rFonts w:ascii="Bookman Old Style" w:hAnsi="Bookman Old Style" w:cs="Calibri"/>
          <w:szCs w:val="24"/>
        </w:rPr>
      </w:pPr>
    </w:p>
    <w:p w14:paraId="21AAEFE9" w14:textId="77777777" w:rsidR="00F36280" w:rsidRPr="00485CC5" w:rsidRDefault="00F36280" w:rsidP="00F36280">
      <w:pPr>
        <w:pStyle w:val="ListParagraph"/>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lastRenderedPageBreak/>
        <w:t>Oregón destina un 40% de los ingresos por impuestos a la marihuana para financiar el Fondo Estatal para las Escuelas y un 20% al tratamiento de adicciones al alcohol y las drogas.</w:t>
      </w:r>
    </w:p>
    <w:p w14:paraId="35C29037" w14:textId="77777777" w:rsidR="00F36280" w:rsidRPr="00485CC5" w:rsidRDefault="00F36280" w:rsidP="00F36280">
      <w:pPr>
        <w:jc w:val="both"/>
        <w:rPr>
          <w:rFonts w:ascii="Bookman Old Style" w:hAnsi="Bookman Old Style" w:cs="Calibri"/>
          <w:szCs w:val="24"/>
        </w:rPr>
      </w:pPr>
    </w:p>
    <w:p w14:paraId="04236E44" w14:textId="77777777" w:rsidR="00F36280" w:rsidRPr="00485CC5" w:rsidRDefault="00F36280" w:rsidP="00F36280">
      <w:pPr>
        <w:pStyle w:val="ListParagraph"/>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Nevada proyecta invertir el 15% de su recaudo en el Fondo Estatal para las Escuelas, lo cual se espera esté alrededor de USD $56 millones para los próximos dos años.</w:t>
      </w:r>
    </w:p>
    <w:p w14:paraId="5E49E9D6" w14:textId="77777777" w:rsidR="00F36280" w:rsidRPr="00485CC5" w:rsidRDefault="00F36280" w:rsidP="00F36280">
      <w:pPr>
        <w:jc w:val="both"/>
        <w:rPr>
          <w:rFonts w:ascii="Bookman Old Style" w:hAnsi="Bookman Old Style" w:cs="Calibri"/>
          <w:szCs w:val="24"/>
        </w:rPr>
      </w:pPr>
    </w:p>
    <w:p w14:paraId="549CAD5A" w14:textId="77777777" w:rsidR="00F36280" w:rsidRPr="00485CC5" w:rsidRDefault="00F36280" w:rsidP="00F36280">
      <w:pPr>
        <w:pStyle w:val="ListParagraph"/>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Washington destina el 25% de su recaudo para programas de tratamiento de abuso de substancias, la educación sobre éstas y prevención. Otro 55% se destina a financiar planes básicos de salud.</w:t>
      </w:r>
    </w:p>
    <w:p w14:paraId="19B34424" w14:textId="77777777" w:rsidR="00F36280" w:rsidRPr="00485CC5" w:rsidRDefault="00F36280" w:rsidP="00F36280">
      <w:pPr>
        <w:jc w:val="both"/>
        <w:rPr>
          <w:rFonts w:ascii="Bookman Old Style" w:hAnsi="Bookman Old Style" w:cs="Calibri"/>
          <w:szCs w:val="24"/>
        </w:rPr>
      </w:pPr>
    </w:p>
    <w:p w14:paraId="0D49E8E1" w14:textId="77777777" w:rsidR="00F36280" w:rsidRPr="00485CC5" w:rsidRDefault="00F36280" w:rsidP="00F36280">
      <w:pPr>
        <w:pStyle w:val="ListParagraph"/>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Se espera que, Alaska recoja USD $12 millones anuales que van a ser usados para financiar programas de tratamiento de adicción a las drogas y centros comunitarios residenciales.</w:t>
      </w:r>
    </w:p>
    <w:p w14:paraId="6777C45F" w14:textId="77777777" w:rsidR="00F36280" w:rsidRPr="00485CC5" w:rsidRDefault="00F36280" w:rsidP="00F36280">
      <w:pPr>
        <w:jc w:val="both"/>
        <w:rPr>
          <w:rFonts w:ascii="Bookman Old Style" w:hAnsi="Bookman Old Style" w:cs="Calibri"/>
          <w:szCs w:val="24"/>
        </w:rPr>
      </w:pPr>
    </w:p>
    <w:p w14:paraId="78B55909" w14:textId="77777777" w:rsidR="00F36280" w:rsidRPr="00485CC5" w:rsidRDefault="00F36280" w:rsidP="00F36280">
      <w:pPr>
        <w:pStyle w:val="ListParagraph"/>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California y Massachusetts invertirán parte de su recaudo de impuestos en las comunidades más afectadas por arrestos de drogas, encarcelamiento, comunidades de bajos ingresos y para reparar el daño de la aplicación desigual de las políticas de drogas.</w:t>
      </w:r>
    </w:p>
    <w:p w14:paraId="60259705" w14:textId="77777777" w:rsidR="00F36280" w:rsidRPr="00485CC5" w:rsidRDefault="00F36280" w:rsidP="00F36280">
      <w:pPr>
        <w:jc w:val="both"/>
        <w:rPr>
          <w:rFonts w:ascii="Bookman Old Style" w:hAnsi="Bookman Old Style" w:cs="Calibri"/>
          <w:szCs w:val="24"/>
        </w:rPr>
      </w:pPr>
    </w:p>
    <w:p w14:paraId="1D1F7243" w14:textId="6C2A1BD1"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Lo anterior es importante verlo a la luz de las cifras de judicialización, el consumo de marihuana y salud en los Estados que ha</w:t>
      </w:r>
      <w:r w:rsidR="00666304">
        <w:rPr>
          <w:rFonts w:ascii="Bookman Old Style" w:hAnsi="Bookman Old Style" w:cs="Calibri"/>
          <w:szCs w:val="24"/>
        </w:rPr>
        <w:t>n regulado el consumo adulto</w:t>
      </w:r>
      <w:r w:rsidRPr="00485CC5">
        <w:rPr>
          <w:rFonts w:ascii="Bookman Old Style" w:hAnsi="Bookman Old Style" w:cs="Calibri"/>
          <w:szCs w:val="24"/>
        </w:rPr>
        <w:t>, respecto al resto de los Estados en Estados Unidos que no lo han hecho. Por ejemplo:</w:t>
      </w:r>
    </w:p>
    <w:p w14:paraId="5A6F26D7" w14:textId="77777777" w:rsidR="00F36280" w:rsidRPr="00485CC5" w:rsidRDefault="00F36280" w:rsidP="00F36280">
      <w:pPr>
        <w:jc w:val="both"/>
        <w:rPr>
          <w:rFonts w:ascii="Bookman Old Style" w:hAnsi="Bookman Old Style" w:cs="Calibri"/>
          <w:szCs w:val="24"/>
        </w:rPr>
      </w:pPr>
    </w:p>
    <w:p w14:paraId="7531F047" w14:textId="77777777" w:rsidR="00F36280" w:rsidRPr="00485CC5" w:rsidRDefault="00F36280" w:rsidP="00F36280">
      <w:pPr>
        <w:pStyle w:val="ListParagraph"/>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En los Estados donde fue regulada la marihuana bajaron significativamente los arrestos por posesión de drogas, ahorrándoles cientos de millones de dólares al Tesoro y antecedentes penales a las personas que los estigmatizarían de por vida.</w:t>
      </w:r>
      <w:r w:rsidRPr="00485CC5">
        <w:rPr>
          <w:rStyle w:val="FootnoteReference"/>
          <w:rFonts w:ascii="Bookman Old Style" w:hAnsi="Bookman Old Style" w:cs="Calibri"/>
          <w:szCs w:val="24"/>
        </w:rPr>
        <w:footnoteReference w:id="12"/>
      </w:r>
    </w:p>
    <w:p w14:paraId="17DBBC65" w14:textId="77777777" w:rsidR="00F36280" w:rsidRPr="00485CC5" w:rsidRDefault="00F36280" w:rsidP="00F36280">
      <w:pPr>
        <w:ind w:left="360"/>
        <w:jc w:val="both"/>
        <w:rPr>
          <w:rFonts w:ascii="Bookman Old Style" w:hAnsi="Bookman Old Style" w:cs="Calibri"/>
          <w:szCs w:val="24"/>
        </w:rPr>
      </w:pPr>
    </w:p>
    <w:p w14:paraId="63D7380B" w14:textId="77777777" w:rsidR="00F36280" w:rsidRPr="00485CC5" w:rsidRDefault="00F36280" w:rsidP="00F36280">
      <w:pPr>
        <w:pStyle w:val="ListParagraph"/>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El consumo de marihuana entre jóvenes se ha mantenido estable en los Estados que la han regulado. En los Estados de Washington, Colorado y Alaska, la cifra de consumo de marihuana entre estudiantes de secundaria está en línea con el promedio nacional.</w:t>
      </w:r>
      <w:r w:rsidRPr="00485CC5">
        <w:rPr>
          <w:rStyle w:val="FootnoteReference"/>
          <w:rFonts w:ascii="Bookman Old Style" w:hAnsi="Bookman Old Style" w:cs="Calibri"/>
          <w:szCs w:val="24"/>
        </w:rPr>
        <w:footnoteReference w:id="13"/>
      </w:r>
    </w:p>
    <w:p w14:paraId="528DF787" w14:textId="77777777" w:rsidR="00F36280" w:rsidRPr="00485CC5" w:rsidRDefault="00F36280" w:rsidP="00F36280">
      <w:pPr>
        <w:jc w:val="both"/>
        <w:rPr>
          <w:rFonts w:ascii="Bookman Old Style" w:hAnsi="Bookman Old Style" w:cs="Calibri"/>
          <w:szCs w:val="24"/>
        </w:rPr>
      </w:pPr>
    </w:p>
    <w:p w14:paraId="2B5DE7B6" w14:textId="77777777" w:rsidR="00F36280" w:rsidRPr="00485CC5" w:rsidRDefault="00F36280" w:rsidP="00F36280">
      <w:pPr>
        <w:pStyle w:val="ListParagraph"/>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La regulación de la marihuana está relacionada con tasas más bajas de sobredosis y muertes relacionadas a otras drogas más peligrosas como los opioides.</w:t>
      </w:r>
      <w:r w:rsidRPr="00485CC5">
        <w:rPr>
          <w:rStyle w:val="FootnoteReference"/>
          <w:rFonts w:ascii="Bookman Old Style" w:hAnsi="Bookman Old Style" w:cs="Calibri"/>
          <w:szCs w:val="24"/>
        </w:rPr>
        <w:footnoteReference w:id="14"/>
      </w:r>
    </w:p>
    <w:p w14:paraId="4C8EF9A6" w14:textId="77777777" w:rsidR="00F36280" w:rsidRPr="00485CC5" w:rsidRDefault="00F36280" w:rsidP="00F36280">
      <w:pPr>
        <w:jc w:val="both"/>
        <w:rPr>
          <w:rFonts w:ascii="Bookman Old Style" w:hAnsi="Bookman Old Style" w:cs="Calibri"/>
          <w:b/>
          <w:szCs w:val="24"/>
        </w:rPr>
      </w:pPr>
    </w:p>
    <w:p w14:paraId="240C288D" w14:textId="77777777" w:rsidR="00F36280" w:rsidRPr="00485CC5" w:rsidRDefault="00F36280" w:rsidP="00F36280">
      <w:pPr>
        <w:pStyle w:val="ListParagraph"/>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lastRenderedPageBreak/>
        <w:t>La regulación de la marihuana no ha incremento los arrestos por conducir en estado de intoxicación por alcohol o drogas en los Estados de Colorado y Washington.</w:t>
      </w:r>
      <w:r w:rsidRPr="00485CC5">
        <w:rPr>
          <w:rStyle w:val="FootnoteReference"/>
          <w:rFonts w:ascii="Bookman Old Style" w:hAnsi="Bookman Old Style" w:cs="Calibri"/>
          <w:szCs w:val="24"/>
        </w:rPr>
        <w:footnoteReference w:id="15"/>
      </w:r>
    </w:p>
    <w:p w14:paraId="017C7B80" w14:textId="77777777" w:rsidR="00F36280" w:rsidRPr="00485CC5" w:rsidRDefault="00F36280" w:rsidP="00F36280">
      <w:pPr>
        <w:jc w:val="both"/>
        <w:rPr>
          <w:rFonts w:ascii="Bookman Old Style" w:hAnsi="Bookman Old Style" w:cs="Calibri"/>
          <w:szCs w:val="24"/>
        </w:rPr>
      </w:pPr>
    </w:p>
    <w:p w14:paraId="1F9A7B8C" w14:textId="77777777" w:rsidR="00F36280" w:rsidRPr="00485CC5" w:rsidRDefault="00F36280" w:rsidP="00F36280">
      <w:pPr>
        <w:pStyle w:val="ListParagraph"/>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No hay tampoco correlación entre los accidentes de tránsito y la regulación. En Colorado y Washington, los accidentes son estadísticamente similares a aquellos sin marihuana legal.</w:t>
      </w:r>
      <w:r w:rsidRPr="00485CC5">
        <w:rPr>
          <w:rStyle w:val="FootnoteReference"/>
          <w:rFonts w:ascii="Bookman Old Style" w:hAnsi="Bookman Old Style" w:cs="Calibri"/>
          <w:szCs w:val="24"/>
        </w:rPr>
        <w:footnoteReference w:id="16"/>
      </w:r>
    </w:p>
    <w:p w14:paraId="04827D7C" w14:textId="77777777" w:rsidR="00F36280" w:rsidRPr="00485CC5" w:rsidRDefault="00F36280" w:rsidP="00F36280">
      <w:pPr>
        <w:jc w:val="both"/>
        <w:rPr>
          <w:rFonts w:ascii="Bookman Old Style" w:hAnsi="Bookman Old Style" w:cs="Calibri"/>
          <w:szCs w:val="24"/>
        </w:rPr>
      </w:pPr>
    </w:p>
    <w:p w14:paraId="1D14B1F0" w14:textId="77777777" w:rsidR="000D695E" w:rsidRPr="001E18FE" w:rsidRDefault="00A56F31" w:rsidP="00F36280">
      <w:pPr>
        <w:jc w:val="both"/>
        <w:rPr>
          <w:rFonts w:ascii="Bookman Old Style" w:hAnsi="Bookman Old Style" w:cs="Calibri"/>
          <w:szCs w:val="24"/>
          <w:lang w:val="es-ES"/>
        </w:rPr>
      </w:pPr>
      <w:r w:rsidRPr="001E18FE">
        <w:rPr>
          <w:rFonts w:ascii="Bookman Old Style" w:hAnsi="Bookman Old Style" w:cs="Calibri"/>
          <w:szCs w:val="24"/>
          <w:lang w:val="es-ES"/>
        </w:rPr>
        <w:t xml:space="preserve">Una de las principales dificultades que enfrenta el sector de la marihuana legal en Estados Unidos es la restricción federal a los bancos de recibir dineros procedentes de negocios de marihuana, así estos sean legales en algunos estados. En 2019 fue aprobada en la cámara de representantes la </w:t>
      </w:r>
      <w:r w:rsidRPr="001E18FE">
        <w:rPr>
          <w:rFonts w:ascii="Bookman Old Style" w:hAnsi="Bookman Old Style" w:cs="Calibri"/>
          <w:i/>
          <w:szCs w:val="24"/>
          <w:lang w:val="es-ES"/>
        </w:rPr>
        <w:t xml:space="preserve">SAFE Banking Act, </w:t>
      </w:r>
      <w:r w:rsidRPr="001E18FE">
        <w:rPr>
          <w:rFonts w:ascii="Bookman Old Style" w:hAnsi="Bookman Old Style" w:cs="Calibri"/>
          <w:szCs w:val="24"/>
          <w:lang w:val="es-ES"/>
        </w:rPr>
        <w:t xml:space="preserve">la </w:t>
      </w:r>
      <w:r w:rsidR="006B01C7" w:rsidRPr="001E18FE">
        <w:rPr>
          <w:rFonts w:ascii="Bookman Old Style" w:hAnsi="Bookman Old Style" w:cs="Calibri"/>
          <w:szCs w:val="24"/>
          <w:lang w:val="es-ES"/>
        </w:rPr>
        <w:t>cual</w:t>
      </w:r>
      <w:r w:rsidRPr="001E18FE">
        <w:rPr>
          <w:rFonts w:ascii="Bookman Old Style" w:hAnsi="Bookman Old Style" w:cs="Calibri"/>
          <w:szCs w:val="24"/>
          <w:lang w:val="es-ES"/>
        </w:rPr>
        <w:t xml:space="preserve"> permitiría </w:t>
      </w:r>
      <w:r w:rsidR="00AC1220" w:rsidRPr="001E18FE">
        <w:rPr>
          <w:rFonts w:ascii="Bookman Old Style" w:hAnsi="Bookman Old Style" w:cs="Calibri"/>
          <w:szCs w:val="24"/>
          <w:lang w:val="es-ES"/>
        </w:rPr>
        <w:t>que</w:t>
      </w:r>
      <w:r w:rsidRPr="001E18FE">
        <w:rPr>
          <w:rFonts w:ascii="Bookman Old Style" w:hAnsi="Bookman Old Style" w:cs="Calibri"/>
          <w:szCs w:val="24"/>
          <w:lang w:val="es-ES"/>
        </w:rPr>
        <w:t xml:space="preserve"> los bancos </w:t>
      </w:r>
      <w:r w:rsidR="00AC1220" w:rsidRPr="001E18FE">
        <w:rPr>
          <w:rFonts w:ascii="Bookman Old Style" w:hAnsi="Bookman Old Style" w:cs="Calibri"/>
          <w:szCs w:val="24"/>
          <w:lang w:val="es-ES"/>
        </w:rPr>
        <w:t>reciban</w:t>
      </w:r>
      <w:r w:rsidRPr="001E18FE">
        <w:rPr>
          <w:rFonts w:ascii="Bookman Old Style" w:hAnsi="Bookman Old Style" w:cs="Calibri"/>
          <w:szCs w:val="24"/>
          <w:lang w:val="es-ES"/>
        </w:rPr>
        <w:t xml:space="preserve"> dineros </w:t>
      </w:r>
      <w:r w:rsidR="00AC1220" w:rsidRPr="001E18FE">
        <w:rPr>
          <w:rFonts w:ascii="Bookman Old Style" w:hAnsi="Bookman Old Style" w:cs="Calibri"/>
          <w:szCs w:val="24"/>
          <w:lang w:val="es-ES"/>
        </w:rPr>
        <w:t xml:space="preserve">lícitos </w:t>
      </w:r>
      <w:r w:rsidRPr="001E18FE">
        <w:rPr>
          <w:rFonts w:ascii="Bookman Old Style" w:hAnsi="Bookman Old Style" w:cs="Calibri"/>
          <w:szCs w:val="24"/>
          <w:lang w:val="es-ES"/>
        </w:rPr>
        <w:t xml:space="preserve">de los negocios de marihuana </w:t>
      </w:r>
      <w:r w:rsidR="00AC1220" w:rsidRPr="001E18FE">
        <w:rPr>
          <w:rFonts w:ascii="Bookman Old Style" w:hAnsi="Bookman Old Style" w:cs="Calibri"/>
          <w:szCs w:val="24"/>
          <w:lang w:val="es-ES"/>
        </w:rPr>
        <w:t>en</w:t>
      </w:r>
      <w:r w:rsidRPr="001E18FE">
        <w:rPr>
          <w:rFonts w:ascii="Bookman Old Style" w:hAnsi="Bookman Old Style" w:cs="Calibri"/>
          <w:szCs w:val="24"/>
          <w:lang w:val="es-ES"/>
        </w:rPr>
        <w:t xml:space="preserve"> los estados donde </w:t>
      </w:r>
      <w:r w:rsidR="00AC1220" w:rsidRPr="001E18FE">
        <w:rPr>
          <w:rFonts w:ascii="Bookman Old Style" w:hAnsi="Bookman Old Style" w:cs="Calibri"/>
          <w:szCs w:val="24"/>
          <w:lang w:val="es-ES"/>
        </w:rPr>
        <w:t xml:space="preserve">ésta </w:t>
      </w:r>
      <w:r w:rsidRPr="001E18FE">
        <w:rPr>
          <w:rFonts w:ascii="Bookman Old Style" w:hAnsi="Bookman Old Style" w:cs="Calibri"/>
          <w:szCs w:val="24"/>
          <w:lang w:val="es-ES"/>
        </w:rPr>
        <w:t>es legal</w:t>
      </w:r>
      <w:r w:rsidR="00AC1220" w:rsidRPr="001E18FE">
        <w:rPr>
          <w:rFonts w:ascii="Bookman Old Style" w:hAnsi="Bookman Old Style" w:cs="Calibri"/>
          <w:szCs w:val="24"/>
          <w:lang w:val="es-ES"/>
        </w:rPr>
        <w:t>,</w:t>
      </w:r>
      <w:r w:rsidR="0086491B" w:rsidRPr="001E18FE">
        <w:rPr>
          <w:rFonts w:ascii="Bookman Old Style" w:hAnsi="Bookman Old Style" w:cs="Calibri"/>
          <w:szCs w:val="24"/>
          <w:lang w:val="es-ES"/>
        </w:rPr>
        <w:t xml:space="preserve"> y prestarles servicios financieros</w:t>
      </w:r>
      <w:r w:rsidR="00E13EFE" w:rsidRPr="001E18FE">
        <w:rPr>
          <w:rFonts w:ascii="Bookman Old Style" w:hAnsi="Bookman Old Style" w:cs="Calibri"/>
          <w:szCs w:val="24"/>
          <w:lang w:val="es-ES"/>
        </w:rPr>
        <w:t>.</w:t>
      </w:r>
      <w:r w:rsidRPr="001E18FE">
        <w:rPr>
          <w:rStyle w:val="FootnoteReference"/>
          <w:rFonts w:ascii="Bookman Old Style" w:hAnsi="Bookman Old Style" w:cs="Calibri"/>
          <w:szCs w:val="24"/>
          <w:lang w:val="es-ES"/>
        </w:rPr>
        <w:footnoteReference w:id="17"/>
      </w:r>
      <w:r w:rsidRPr="001E18FE">
        <w:rPr>
          <w:rFonts w:ascii="Bookman Old Style" w:hAnsi="Bookman Old Style" w:cs="Calibri"/>
          <w:szCs w:val="24"/>
          <w:lang w:val="es-ES"/>
        </w:rPr>
        <w:t xml:space="preserve"> El </w:t>
      </w:r>
      <w:r w:rsidR="0086491B" w:rsidRPr="001E18FE">
        <w:rPr>
          <w:rFonts w:ascii="Bookman Old Style" w:hAnsi="Bookman Old Style" w:cs="Calibri"/>
          <w:szCs w:val="24"/>
          <w:lang w:val="es-ES"/>
        </w:rPr>
        <w:t xml:space="preserve">proyecto de ley ahora se encuentra en </w:t>
      </w:r>
      <w:r w:rsidR="006B01C7" w:rsidRPr="001E18FE">
        <w:rPr>
          <w:rFonts w:ascii="Bookman Old Style" w:hAnsi="Bookman Old Style" w:cs="Calibri"/>
          <w:szCs w:val="24"/>
          <w:lang w:val="es-ES"/>
        </w:rPr>
        <w:t>trámite</w:t>
      </w:r>
      <w:r w:rsidR="0086491B" w:rsidRPr="001E18FE">
        <w:rPr>
          <w:rFonts w:ascii="Bookman Old Style" w:hAnsi="Bookman Old Style" w:cs="Calibri"/>
          <w:szCs w:val="24"/>
          <w:lang w:val="es-ES"/>
        </w:rPr>
        <w:t xml:space="preserve"> en el Senado, donde de ser aprobado, mejoraría significativamente las </w:t>
      </w:r>
      <w:r w:rsidR="00AC1220" w:rsidRPr="00AC1220">
        <w:rPr>
          <w:rFonts w:ascii="Bookman Old Style" w:hAnsi="Bookman Old Style" w:cs="Calibri"/>
          <w:szCs w:val="24"/>
          <w:lang w:val="es-ES"/>
        </w:rPr>
        <w:t>circunstancias</w:t>
      </w:r>
      <w:r w:rsidR="0086491B" w:rsidRPr="001E18FE">
        <w:rPr>
          <w:rFonts w:ascii="Bookman Old Style" w:hAnsi="Bookman Old Style" w:cs="Calibri"/>
          <w:szCs w:val="24"/>
          <w:lang w:val="es-ES"/>
        </w:rPr>
        <w:t xml:space="preserve"> bajo las que operan estos negocios en Estados Unidos</w:t>
      </w:r>
      <w:r w:rsidR="00E13EFE" w:rsidRPr="001E18FE">
        <w:rPr>
          <w:rFonts w:ascii="Bookman Old Style" w:hAnsi="Bookman Old Style" w:cs="Calibri"/>
          <w:szCs w:val="24"/>
          <w:lang w:val="es-ES"/>
        </w:rPr>
        <w:t>.</w:t>
      </w:r>
      <w:r w:rsidR="0086491B" w:rsidRPr="001E18FE">
        <w:rPr>
          <w:rStyle w:val="FootnoteReference"/>
          <w:rFonts w:ascii="Bookman Old Style" w:hAnsi="Bookman Old Style" w:cs="Calibri"/>
          <w:szCs w:val="24"/>
          <w:lang w:val="es-ES"/>
        </w:rPr>
        <w:footnoteReference w:id="18"/>
      </w:r>
    </w:p>
    <w:p w14:paraId="3DFB02A4" w14:textId="77777777" w:rsidR="000D695E" w:rsidRDefault="000D695E" w:rsidP="00F36280">
      <w:pPr>
        <w:jc w:val="both"/>
        <w:rPr>
          <w:rFonts w:ascii="Bookman Old Style" w:hAnsi="Bookman Old Style" w:cs="Calibri"/>
          <w:szCs w:val="24"/>
        </w:rPr>
      </w:pPr>
    </w:p>
    <w:p w14:paraId="61A1237B"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Es importante resaltar que, de acuerdo a la agencia calificadora de riesgo crediticio Moody´s, los ingresos por impuestos de la regulación de la marihuana recreativa son positivos para los Estados y ciudades de Estados Unidos que han legalizado su consumo.</w:t>
      </w:r>
      <w:r w:rsidRPr="00485CC5">
        <w:rPr>
          <w:rStyle w:val="FootnoteReference"/>
          <w:rFonts w:ascii="Bookman Old Style" w:hAnsi="Bookman Old Style" w:cs="Calibri"/>
          <w:szCs w:val="24"/>
        </w:rPr>
        <w:footnoteReference w:id="19"/>
      </w:r>
    </w:p>
    <w:p w14:paraId="7DDB1C5E" w14:textId="77777777" w:rsidR="00F36280" w:rsidRPr="00485CC5" w:rsidRDefault="00F36280" w:rsidP="00F36280">
      <w:pPr>
        <w:jc w:val="both"/>
        <w:rPr>
          <w:rFonts w:ascii="Bookman Old Style" w:hAnsi="Bookman Old Style" w:cs="Calibri"/>
          <w:szCs w:val="24"/>
        </w:rPr>
      </w:pPr>
    </w:p>
    <w:p w14:paraId="59DC378F" w14:textId="356CEB49"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Entonces, regular es una manera de impulsar la economía y generar empleos dentro del marco legal. En Estados Unidos, e</w:t>
      </w:r>
      <w:r w:rsidR="00666304">
        <w:rPr>
          <w:rFonts w:ascii="Bookman Old Style" w:hAnsi="Bookman Old Style" w:cs="Calibri"/>
          <w:szCs w:val="24"/>
        </w:rPr>
        <w:t>l consumo de cannabis adulto</w:t>
      </w:r>
      <w:r w:rsidRPr="00485CC5">
        <w:rPr>
          <w:rFonts w:ascii="Bookman Old Style" w:hAnsi="Bookman Old Style" w:cs="Calibri"/>
          <w:szCs w:val="24"/>
        </w:rPr>
        <w:t xml:space="preserve"> se ha vuelto un motor económico, según Drug Policy Alliance (2018)</w:t>
      </w:r>
      <w:r w:rsidRPr="00485CC5">
        <w:rPr>
          <w:rStyle w:val="FootnoteReference"/>
          <w:rFonts w:ascii="Bookman Old Style" w:hAnsi="Bookman Old Style" w:cs="Calibri"/>
          <w:szCs w:val="24"/>
        </w:rPr>
        <w:footnoteReference w:id="20"/>
      </w:r>
      <w:r w:rsidRPr="00485CC5">
        <w:rPr>
          <w:rFonts w:ascii="Bookman Old Style" w:hAnsi="Bookman Old Style" w:cs="Calibri"/>
          <w:szCs w:val="24"/>
        </w:rPr>
        <w:t>, la industria de la marihuana ha creado entre 165.000 y 230.000 empleos en ese país, cifra que se espera que crezca cuando más Estados legalicen la marihuana y los mercados cuenten con más actores legales.</w:t>
      </w:r>
    </w:p>
    <w:p w14:paraId="704C5B10" w14:textId="77777777" w:rsidR="00F36280" w:rsidRPr="00485CC5" w:rsidRDefault="00F36280" w:rsidP="00F36280">
      <w:pPr>
        <w:jc w:val="both"/>
        <w:rPr>
          <w:rFonts w:ascii="Bookman Old Style" w:hAnsi="Bookman Old Style" w:cs="Calibri"/>
          <w:szCs w:val="24"/>
        </w:rPr>
      </w:pPr>
    </w:p>
    <w:p w14:paraId="3C4E6727"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Además, un reporte del Congresista Norteamericano E. Blumenauer, señala cómo la industria de la marihuana se ha convertido en una de las de mayor crecimiento en Estados Unidos</w:t>
      </w:r>
      <w:r w:rsidRPr="00485CC5">
        <w:rPr>
          <w:rStyle w:val="FootnoteReference"/>
          <w:rFonts w:ascii="Bookman Old Style" w:hAnsi="Bookman Old Style" w:cs="Calibri"/>
          <w:szCs w:val="24"/>
        </w:rPr>
        <w:footnoteReference w:id="21"/>
      </w:r>
      <w:r w:rsidR="002566D0">
        <w:rPr>
          <w:rFonts w:ascii="Bookman Old Style" w:hAnsi="Bookman Old Style" w:cs="Calibri"/>
          <w:szCs w:val="24"/>
        </w:rPr>
        <w:t>.</w:t>
      </w:r>
      <w:r w:rsidRPr="00485CC5">
        <w:rPr>
          <w:rFonts w:ascii="Bookman Old Style" w:hAnsi="Bookman Old Style" w:cs="Calibri"/>
          <w:szCs w:val="24"/>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w:t>
      </w:r>
      <w:r w:rsidRPr="00485CC5">
        <w:rPr>
          <w:rFonts w:ascii="Bookman Old Style" w:hAnsi="Bookman Old Style" w:cs="Calibri"/>
          <w:szCs w:val="24"/>
        </w:rPr>
        <w:lastRenderedPageBreak/>
        <w:t xml:space="preserve">USD $24 billones. </w:t>
      </w:r>
    </w:p>
    <w:p w14:paraId="26D82434" w14:textId="77777777" w:rsidR="00F36280" w:rsidRPr="00485CC5" w:rsidRDefault="00F36280" w:rsidP="00F36280">
      <w:pPr>
        <w:jc w:val="both"/>
        <w:rPr>
          <w:rFonts w:ascii="Bookman Old Style" w:hAnsi="Bookman Old Style" w:cs="Calibri"/>
          <w:szCs w:val="24"/>
        </w:rPr>
      </w:pPr>
    </w:p>
    <w:p w14:paraId="4CF19AFC"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14:paraId="6BD382F2" w14:textId="77777777" w:rsidR="00F36280" w:rsidRPr="00485CC5" w:rsidRDefault="00F36280" w:rsidP="00F36280">
      <w:pPr>
        <w:pStyle w:val="Heading2"/>
        <w:ind w:left="0"/>
        <w:jc w:val="both"/>
        <w:rPr>
          <w:rFonts w:ascii="Bookman Old Style" w:hAnsi="Bookman Old Style" w:cs="Calibri"/>
          <w:b w:val="0"/>
          <w:sz w:val="22"/>
          <w:szCs w:val="24"/>
        </w:rPr>
      </w:pPr>
      <w:bookmarkStart w:id="2" w:name="_Toc5023212"/>
    </w:p>
    <w:p w14:paraId="2C53701B" w14:textId="77777777" w:rsidR="00F36280" w:rsidRPr="00485CC5" w:rsidRDefault="00F36280" w:rsidP="00F36280">
      <w:pPr>
        <w:pStyle w:val="Heading2"/>
        <w:ind w:left="0"/>
        <w:jc w:val="both"/>
        <w:rPr>
          <w:rFonts w:ascii="Bookman Old Style" w:hAnsi="Bookman Old Style" w:cs="Calibri"/>
          <w:b w:val="0"/>
          <w:sz w:val="22"/>
          <w:szCs w:val="24"/>
        </w:rPr>
      </w:pPr>
      <w:r w:rsidRPr="00485CC5">
        <w:rPr>
          <w:rFonts w:ascii="Bookman Old Style" w:hAnsi="Bookman Old Style" w:cs="Calibri"/>
          <w:b w:val="0"/>
          <w:sz w:val="22"/>
          <w:szCs w:val="24"/>
        </w:rPr>
        <w:t xml:space="preserve">Por tanto, es importante pensar la regulación como una herramienta para desfinanciar economías ilegales, que en Colombia por más esfuerzos que hemos hecho no se ha podido lograr. </w:t>
      </w:r>
      <w:bookmarkEnd w:id="2"/>
    </w:p>
    <w:p w14:paraId="18008EC2" w14:textId="77777777" w:rsidR="00F36280" w:rsidRPr="00485CC5" w:rsidRDefault="00F36280" w:rsidP="00F36280">
      <w:pPr>
        <w:jc w:val="both"/>
        <w:rPr>
          <w:rFonts w:ascii="Bookman Old Style" w:hAnsi="Bookman Old Style" w:cs="Calibri"/>
          <w:szCs w:val="24"/>
        </w:rPr>
      </w:pPr>
    </w:p>
    <w:p w14:paraId="68715EDF" w14:textId="77777777" w:rsidR="00EC7C59" w:rsidRDefault="00F36280" w:rsidP="00422FC6">
      <w:pPr>
        <w:jc w:val="both"/>
        <w:rPr>
          <w:rFonts w:ascii="Bookman Old Style" w:hAnsi="Bookman Old Style" w:cs="Calibri"/>
          <w:szCs w:val="24"/>
        </w:rPr>
      </w:pPr>
      <w:r w:rsidRPr="00485CC5">
        <w:rPr>
          <w:rFonts w:ascii="Bookman Old Style" w:hAnsi="Bookman Old Style" w:cs="Calibri"/>
          <w:szCs w:val="24"/>
        </w:rPr>
        <w:t>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485CC5">
        <w:rPr>
          <w:rStyle w:val="FootnoteReference"/>
          <w:rFonts w:ascii="Bookman Old Style" w:hAnsi="Bookman Old Style" w:cs="Calibri"/>
          <w:szCs w:val="24"/>
        </w:rPr>
        <w:footnoteReference w:id="22"/>
      </w:r>
      <w:r w:rsidR="007B0B54">
        <w:rPr>
          <w:rFonts w:ascii="Bookman Old Style" w:hAnsi="Bookman Old Style" w:cs="Calibri"/>
          <w:szCs w:val="24"/>
        </w:rPr>
        <w:t xml:space="preserve">. </w:t>
      </w:r>
    </w:p>
    <w:p w14:paraId="60518C44" w14:textId="77777777" w:rsidR="00207603" w:rsidRDefault="00207603" w:rsidP="00422FC6">
      <w:pPr>
        <w:jc w:val="both"/>
        <w:rPr>
          <w:rFonts w:ascii="Bookman Old Style" w:hAnsi="Bookman Old Style" w:cs="Calibri"/>
          <w:szCs w:val="24"/>
        </w:rPr>
      </w:pPr>
    </w:p>
    <w:p w14:paraId="337F0530"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Comisión Global de Políticas de Drogas</w:t>
      </w:r>
      <w:r w:rsidRPr="00485CC5">
        <w:rPr>
          <w:rStyle w:val="FootnoteReference"/>
          <w:rFonts w:ascii="Bookman Old Style" w:hAnsi="Bookman Old Style" w:cs="Calibri"/>
          <w:szCs w:val="24"/>
        </w:rPr>
        <w:footnoteReference w:id="23"/>
      </w:r>
      <w:r w:rsidRPr="00485CC5">
        <w:rPr>
          <w:rFonts w:ascii="Bookman Old Style" w:hAnsi="Bookman Old Style" w:cs="Calibri"/>
          <w:szCs w:val="24"/>
        </w:rPr>
        <w:t>, en su informe “</w:t>
      </w:r>
      <w:r w:rsidRPr="00485CC5">
        <w:rPr>
          <w:rFonts w:ascii="Bookman Old Style" w:hAnsi="Bookman Old Style" w:cs="Calibri"/>
          <w:i/>
          <w:iCs/>
          <w:szCs w:val="24"/>
        </w:rPr>
        <w:t>Regulación: El Control Responsable de las Drogas</w:t>
      </w:r>
      <w:r w:rsidRPr="00485CC5">
        <w:rPr>
          <w:rFonts w:ascii="Bookman Old Style" w:hAnsi="Bookman Old Style" w:cs="Calibri"/>
          <w:szCs w:val="24"/>
        </w:rPr>
        <w:t>”</w:t>
      </w:r>
      <w:r w:rsidRPr="00485CC5">
        <w:rPr>
          <w:rStyle w:val="FootnoteReference"/>
          <w:rFonts w:ascii="Bookman Old Style" w:hAnsi="Bookman Old Style" w:cs="Calibri"/>
          <w:szCs w:val="24"/>
        </w:rPr>
        <w:footnoteReference w:id="24"/>
      </w:r>
      <w:r w:rsidRPr="00485CC5">
        <w:rPr>
          <w:rFonts w:ascii="Bookman Old Style" w:hAnsi="Bookman Old Style" w:cs="Calibri"/>
          <w:szCs w:val="24"/>
        </w:rPr>
        <w:t xml:space="preserve">, menciona que la regulación de las drogas debe ser incremental – </w:t>
      </w:r>
      <w:r w:rsidRPr="00485CC5">
        <w:rPr>
          <w:rFonts w:ascii="Bookman Old Style" w:hAnsi="Bookman Old Style" w:cs="Calibri"/>
          <w:i/>
          <w:szCs w:val="24"/>
        </w:rPr>
        <w:t>iniciando con drogas de menor potencia</w:t>
      </w:r>
      <w:r w:rsidRPr="00485CC5">
        <w:rPr>
          <w:rFonts w:ascii="Bookman Old Style" w:hAnsi="Bookman Old Style" w:cs="Calibri"/>
          <w:szCs w:val="24"/>
        </w:rPr>
        <w:t xml:space="preserve"> – y que puede ser un camino para desempoderar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14:paraId="2AF6DF46" w14:textId="77777777" w:rsidR="00F36280" w:rsidRPr="00485CC5" w:rsidRDefault="00F36280" w:rsidP="00F36280">
      <w:pPr>
        <w:jc w:val="both"/>
        <w:rPr>
          <w:rFonts w:ascii="Bookman Old Style" w:hAnsi="Bookman Old Style" w:cs="Calibri"/>
          <w:szCs w:val="24"/>
        </w:rPr>
      </w:pPr>
    </w:p>
    <w:p w14:paraId="5BE05C4A"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Más importante aún, señala el informe, es el hecho de que los impactos que puede tener y ha tenido la lucha contra las drogas, como ha sido planteada hasta ahora, son marginales sobre los índices de consumo y comercialización, pues “</w:t>
      </w:r>
      <w:r w:rsidRPr="00485CC5">
        <w:rPr>
          <w:rFonts w:ascii="Bookman Old Style" w:hAnsi="Bookman Old Style" w:cs="Calibri"/>
          <w:i/>
          <w:iCs/>
          <w:szCs w:val="24"/>
        </w:rPr>
        <w:t>las leyes económicas de la oferta y la demanda no se rompen tan fácilmente</w:t>
      </w:r>
      <w:r w:rsidRPr="00485CC5">
        <w:rPr>
          <w:rFonts w:ascii="Bookman Old Style" w:hAnsi="Bookman Old Style" w:cs="Calibri"/>
          <w:szCs w:val="24"/>
        </w:rPr>
        <w:t>” .</w:t>
      </w:r>
      <w:r w:rsidRPr="00485CC5">
        <w:rPr>
          <w:rStyle w:val="FootnoteReference"/>
          <w:rFonts w:ascii="Bookman Old Style" w:hAnsi="Bookman Old Style" w:cs="Calibri"/>
          <w:szCs w:val="24"/>
        </w:rPr>
        <w:footnoteReference w:id="25"/>
      </w:r>
      <w:r w:rsidRPr="00485CC5">
        <w:rPr>
          <w:rFonts w:ascii="Bookman Old Style" w:hAnsi="Bookman Old Style" w:cs="Calibri"/>
          <w:szCs w:val="24"/>
        </w:rPr>
        <w:t xml:space="preserve"> Es decir que, </w:t>
      </w:r>
      <w:r w:rsidRPr="00485CC5">
        <w:rPr>
          <w:rFonts w:ascii="Bookman Old Style" w:hAnsi="Bookman Old Style" w:cs="Calibri"/>
          <w:szCs w:val="24"/>
        </w:rPr>
        <w:lastRenderedPageBreak/>
        <w:t xml:space="preserve">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14:paraId="4941773F" w14:textId="77777777" w:rsidR="00F36280" w:rsidRPr="00485CC5" w:rsidRDefault="00F36280" w:rsidP="00F36280">
      <w:pPr>
        <w:jc w:val="both"/>
        <w:rPr>
          <w:rFonts w:ascii="Bookman Old Style" w:hAnsi="Bookman Old Style" w:cs="Calibri"/>
          <w:szCs w:val="24"/>
        </w:rPr>
      </w:pPr>
    </w:p>
    <w:p w14:paraId="6F888918" w14:textId="2C0C1C9A"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w:t>
      </w:r>
      <w:r w:rsidR="00666304">
        <w:rPr>
          <w:rFonts w:ascii="Bookman Old Style" w:hAnsi="Bookman Old Style" w:cs="Calibri"/>
          <w:szCs w:val="24"/>
        </w:rPr>
        <w:t>la regulación del uso adulto</w:t>
      </w:r>
      <w:r w:rsidRPr="00485CC5">
        <w:rPr>
          <w:rFonts w:ascii="Bookman Old Style" w:hAnsi="Bookman Old Style" w:cs="Calibri"/>
          <w:szCs w:val="24"/>
        </w:rPr>
        <w:t xml:space="preserve"> de la marihuana, podría tener repercusiones importantes sobre otras actividades delictivas. De acuerdo con la OEA las actividades conexas al tráfico de drogas son: “</w:t>
      </w:r>
      <w:r w:rsidRPr="00485CC5">
        <w:rPr>
          <w:rFonts w:ascii="Bookman Old Style" w:hAnsi="Bookman Old Style" w:cs="Calibri"/>
          <w:i/>
          <w:szCs w:val="24"/>
        </w:rPr>
        <w:t>el tráfico internacional de armas, contrabando, falsificación y tráfico de personas, el control y la explotación doméstica del trabajo sexual, el robo y la venta de bienes robados, secuestro, extorsión y victimización de migrantes”</w:t>
      </w:r>
      <w:r w:rsidRPr="00485CC5">
        <w:rPr>
          <w:rFonts w:ascii="Bookman Old Style" w:hAnsi="Bookman Old Style" w:cs="Calibri"/>
          <w:szCs w:val="24"/>
        </w:rPr>
        <w:t>.</w:t>
      </w:r>
      <w:r w:rsidRPr="00485CC5">
        <w:rPr>
          <w:rStyle w:val="FootnoteReference"/>
          <w:rFonts w:ascii="Bookman Old Style" w:hAnsi="Bookman Old Style" w:cs="Calibri"/>
          <w:szCs w:val="24"/>
        </w:rPr>
        <w:footnoteReference w:id="26"/>
      </w:r>
    </w:p>
    <w:p w14:paraId="64005C6C" w14:textId="77777777" w:rsidR="00F36280" w:rsidRPr="00485CC5" w:rsidRDefault="00F36280" w:rsidP="00F36280">
      <w:pPr>
        <w:pStyle w:val="Heading2"/>
        <w:ind w:left="0"/>
        <w:jc w:val="both"/>
        <w:rPr>
          <w:rFonts w:ascii="Bookman Old Style" w:hAnsi="Bookman Old Style" w:cs="Calibri"/>
          <w:b w:val="0"/>
          <w:sz w:val="22"/>
          <w:szCs w:val="24"/>
        </w:rPr>
      </w:pPr>
      <w:bookmarkStart w:id="3" w:name="_Toc5023213"/>
    </w:p>
    <w:p w14:paraId="7CE67B10" w14:textId="77777777" w:rsidR="00422FC6" w:rsidRDefault="00422FC6" w:rsidP="00422FC6">
      <w:pPr>
        <w:jc w:val="both"/>
        <w:rPr>
          <w:rFonts w:ascii="Bookman Old Style" w:hAnsi="Bookman Old Style" w:cs="Calibri"/>
          <w:szCs w:val="24"/>
          <w:lang w:val="es-ES"/>
        </w:rPr>
      </w:pPr>
      <w:r w:rsidRPr="001E18FE">
        <w:rPr>
          <w:rFonts w:ascii="Bookman Old Style" w:hAnsi="Bookman Old Style" w:cs="Calibri"/>
          <w:szCs w:val="24"/>
          <w:lang w:val="es-ES"/>
        </w:rPr>
        <w:t>En marzo de 2020</w:t>
      </w:r>
      <w:r w:rsidR="008F0CBB" w:rsidRPr="001E18FE">
        <w:rPr>
          <w:rFonts w:ascii="Bookman Old Style" w:hAnsi="Bookman Old Style" w:cs="Calibri"/>
          <w:szCs w:val="24"/>
          <w:lang w:val="es-ES"/>
        </w:rPr>
        <w:t>,</w:t>
      </w:r>
      <w:r w:rsidRPr="001E18FE">
        <w:rPr>
          <w:rFonts w:ascii="Bookman Old Style" w:hAnsi="Bookman Old Style" w:cs="Calibri"/>
          <w:szCs w:val="24"/>
          <w:lang w:val="es-ES"/>
        </w:rPr>
        <w:t xml:space="preserve"> </w:t>
      </w:r>
      <w:r w:rsidR="008F6E74" w:rsidRPr="001E18FE">
        <w:rPr>
          <w:rFonts w:ascii="Bookman Old Style" w:hAnsi="Bookman Old Style" w:cs="Calibri"/>
          <w:szCs w:val="24"/>
          <w:lang w:val="es-ES"/>
        </w:rPr>
        <w:t xml:space="preserve">Canadá hizo un balance de su </w:t>
      </w:r>
      <w:r w:rsidR="008F0CBB" w:rsidRPr="008F0CBB">
        <w:rPr>
          <w:rFonts w:ascii="Bookman Old Style" w:hAnsi="Bookman Old Style" w:cs="Calibri"/>
          <w:szCs w:val="24"/>
          <w:lang w:val="es-ES"/>
        </w:rPr>
        <w:t>política</w:t>
      </w:r>
      <w:r w:rsidR="008F6E74" w:rsidRPr="001E18FE">
        <w:rPr>
          <w:rFonts w:ascii="Bookman Old Style" w:hAnsi="Bookman Old Style" w:cs="Calibri"/>
          <w:szCs w:val="24"/>
          <w:lang w:val="es-ES"/>
        </w:rPr>
        <w:t xml:space="preserve"> de salud pública de regulación del uso recreacional del cannabis ante</w:t>
      </w:r>
      <w:r w:rsidRPr="001E18FE">
        <w:rPr>
          <w:rFonts w:ascii="Bookman Old Style" w:hAnsi="Bookman Old Style" w:cs="Calibri"/>
          <w:szCs w:val="24"/>
          <w:lang w:val="es-ES"/>
        </w:rPr>
        <w:t xml:space="preserve"> la Comisión de Estupefacientes de las Naciones Unidas</w:t>
      </w:r>
      <w:r w:rsidR="008F6E74" w:rsidRPr="001E18FE">
        <w:rPr>
          <w:rFonts w:ascii="Bookman Old Style" w:hAnsi="Bookman Old Style" w:cs="Calibri"/>
          <w:szCs w:val="24"/>
          <w:lang w:val="es-ES"/>
        </w:rPr>
        <w:t>.</w:t>
      </w:r>
      <w:r w:rsidRPr="001E18FE">
        <w:rPr>
          <w:rStyle w:val="FootnoteReference"/>
          <w:rFonts w:ascii="Bookman Old Style" w:hAnsi="Bookman Old Style" w:cs="Calibri"/>
          <w:szCs w:val="24"/>
          <w:lang w:val="es-ES"/>
        </w:rPr>
        <w:footnoteReference w:id="27"/>
      </w:r>
      <w:r w:rsidRPr="001E18FE">
        <w:rPr>
          <w:rFonts w:ascii="Bookman Old Style" w:hAnsi="Bookman Old Style" w:cs="Calibri"/>
          <w:szCs w:val="24"/>
          <w:lang w:val="es-ES"/>
        </w:rPr>
        <w:t xml:space="preserve"> Casi un año </w:t>
      </w:r>
      <w:r w:rsidR="008F0CBB" w:rsidRPr="008F0CBB">
        <w:rPr>
          <w:rFonts w:ascii="Bookman Old Style" w:hAnsi="Bookman Old Style" w:cs="Calibri"/>
          <w:szCs w:val="24"/>
          <w:lang w:val="es-ES"/>
        </w:rPr>
        <w:t>después</w:t>
      </w:r>
      <w:r w:rsidRPr="001E18FE">
        <w:rPr>
          <w:rFonts w:ascii="Bookman Old Style" w:hAnsi="Bookman Old Style" w:cs="Calibri"/>
          <w:szCs w:val="24"/>
          <w:lang w:val="es-ES"/>
        </w:rPr>
        <w:t xml:space="preserve"> de la implementación de la medida, se tienen los siguientes resultados</w:t>
      </w:r>
      <w:r w:rsidR="008F6E74" w:rsidRPr="001E18FE">
        <w:rPr>
          <w:rFonts w:ascii="Bookman Old Style" w:hAnsi="Bookman Old Style" w:cs="Calibri"/>
          <w:szCs w:val="24"/>
          <w:lang w:val="es-ES"/>
        </w:rPr>
        <w:t xml:space="preserve"> alentadores</w:t>
      </w:r>
      <w:r w:rsidRPr="001E18FE">
        <w:rPr>
          <w:rFonts w:ascii="Bookman Old Style" w:hAnsi="Bookman Old Style" w:cs="Calibri"/>
          <w:szCs w:val="24"/>
          <w:lang w:val="es-ES"/>
        </w:rPr>
        <w:t xml:space="preserve">: </w:t>
      </w:r>
    </w:p>
    <w:p w14:paraId="310C213B" w14:textId="77777777" w:rsidR="00536FF5" w:rsidRPr="001E18FE" w:rsidRDefault="00536FF5" w:rsidP="00422FC6">
      <w:pPr>
        <w:jc w:val="both"/>
        <w:rPr>
          <w:rFonts w:ascii="Bookman Old Style" w:hAnsi="Bookman Old Style" w:cs="Calibri"/>
          <w:szCs w:val="24"/>
          <w:lang w:val="es-ES"/>
        </w:rPr>
      </w:pPr>
    </w:p>
    <w:p w14:paraId="39639732" w14:textId="77777777" w:rsidR="00422FC6" w:rsidRDefault="00422FC6" w:rsidP="00422FC6">
      <w:pPr>
        <w:pStyle w:val="ListParagraph"/>
        <w:numPr>
          <w:ilvl w:val="0"/>
          <w:numId w:val="36"/>
        </w:numPr>
        <w:jc w:val="both"/>
        <w:rPr>
          <w:rFonts w:ascii="Bookman Old Style" w:hAnsi="Bookman Old Style" w:cs="Calibri"/>
          <w:szCs w:val="24"/>
          <w:lang w:val="es-ES"/>
        </w:rPr>
      </w:pPr>
      <w:r w:rsidRPr="001E18FE">
        <w:rPr>
          <w:rFonts w:ascii="Bookman Old Style" w:hAnsi="Bookman Old Style" w:cs="Calibri"/>
          <w:szCs w:val="24"/>
          <w:lang w:val="es-ES"/>
        </w:rPr>
        <w:t xml:space="preserve">El mercado ilegal ya ha perdido </w:t>
      </w:r>
      <w:r w:rsidR="008F0CBB" w:rsidRPr="001E18FE">
        <w:rPr>
          <w:rFonts w:ascii="Bookman Old Style" w:hAnsi="Bookman Old Style" w:cs="Calibri"/>
          <w:szCs w:val="24"/>
          <w:lang w:val="es-ES"/>
        </w:rPr>
        <w:t xml:space="preserve">un </w:t>
      </w:r>
      <w:r w:rsidRPr="001E18FE">
        <w:rPr>
          <w:rFonts w:ascii="Bookman Old Style" w:hAnsi="Bookman Old Style" w:cs="Calibri"/>
          <w:szCs w:val="24"/>
          <w:lang w:val="es-ES"/>
        </w:rPr>
        <w:t xml:space="preserve">30% de su participación y no se ha visto un incremento del mercado total del cannabis. Esto representa alrededor de USD 2$ billones en ventas que no pasaron por organizaciones </w:t>
      </w:r>
      <w:r w:rsidR="008F0CBB" w:rsidRPr="008F0CBB">
        <w:rPr>
          <w:rFonts w:ascii="Bookman Old Style" w:hAnsi="Bookman Old Style" w:cs="Calibri"/>
          <w:szCs w:val="24"/>
          <w:lang w:val="es-ES"/>
        </w:rPr>
        <w:t>criminales</w:t>
      </w:r>
      <w:r w:rsidRPr="001E18FE">
        <w:rPr>
          <w:rFonts w:ascii="Bookman Old Style" w:hAnsi="Bookman Old Style" w:cs="Calibri"/>
          <w:szCs w:val="24"/>
          <w:lang w:val="es-ES"/>
        </w:rPr>
        <w:t>.</w:t>
      </w:r>
    </w:p>
    <w:p w14:paraId="3CAC2CEF" w14:textId="77777777" w:rsidR="00837AB4" w:rsidRPr="001E18FE" w:rsidRDefault="00837AB4" w:rsidP="00837AB4">
      <w:pPr>
        <w:pStyle w:val="ListParagraph"/>
        <w:jc w:val="both"/>
        <w:rPr>
          <w:rFonts w:ascii="Bookman Old Style" w:hAnsi="Bookman Old Style" w:cs="Calibri"/>
          <w:szCs w:val="24"/>
          <w:lang w:val="es-ES"/>
        </w:rPr>
      </w:pPr>
    </w:p>
    <w:p w14:paraId="3444A983" w14:textId="77777777" w:rsidR="00422FC6" w:rsidRDefault="00422FC6" w:rsidP="00422FC6">
      <w:pPr>
        <w:pStyle w:val="ListParagraph"/>
        <w:numPr>
          <w:ilvl w:val="0"/>
          <w:numId w:val="36"/>
        </w:numPr>
        <w:jc w:val="both"/>
        <w:rPr>
          <w:rFonts w:ascii="Bookman Old Style" w:hAnsi="Bookman Old Style" w:cs="Calibri"/>
          <w:szCs w:val="24"/>
          <w:lang w:val="es-ES"/>
        </w:rPr>
      </w:pPr>
      <w:r w:rsidRPr="001E18FE">
        <w:rPr>
          <w:rFonts w:ascii="Bookman Old Style" w:hAnsi="Bookman Old Style" w:cs="Calibri"/>
          <w:szCs w:val="24"/>
          <w:lang w:val="es-ES"/>
        </w:rPr>
        <w:t>Los datos preliminares no muestran un incremento en el uso del cannabis por parte de los jóvenes y adultos jóvenes.</w:t>
      </w:r>
    </w:p>
    <w:p w14:paraId="4927D484" w14:textId="77777777" w:rsidR="00837AB4" w:rsidRPr="00837AB4" w:rsidRDefault="00837AB4" w:rsidP="00837AB4">
      <w:pPr>
        <w:jc w:val="both"/>
        <w:rPr>
          <w:rFonts w:ascii="Bookman Old Style" w:hAnsi="Bookman Old Style" w:cs="Calibri"/>
          <w:szCs w:val="24"/>
          <w:lang w:val="es-ES"/>
        </w:rPr>
      </w:pPr>
    </w:p>
    <w:p w14:paraId="1810A233" w14:textId="77777777" w:rsidR="00422FC6" w:rsidRPr="001E18FE" w:rsidRDefault="00422FC6" w:rsidP="00422FC6">
      <w:pPr>
        <w:pStyle w:val="ListParagraph"/>
        <w:numPr>
          <w:ilvl w:val="0"/>
          <w:numId w:val="36"/>
        </w:numPr>
        <w:jc w:val="both"/>
        <w:rPr>
          <w:rFonts w:ascii="Bookman Old Style" w:hAnsi="Bookman Old Style" w:cs="Calibri"/>
          <w:szCs w:val="24"/>
          <w:lang w:val="es-ES"/>
        </w:rPr>
      </w:pPr>
      <w:r w:rsidRPr="001E18FE">
        <w:rPr>
          <w:rFonts w:ascii="Bookman Old Style" w:hAnsi="Bookman Old Style" w:cs="Calibri"/>
          <w:szCs w:val="24"/>
          <w:lang w:val="es-ES"/>
        </w:rPr>
        <w:t xml:space="preserve">No se ha </w:t>
      </w:r>
      <w:r w:rsidR="008F0CBB" w:rsidRPr="008F0CBB">
        <w:rPr>
          <w:rFonts w:ascii="Bookman Old Style" w:hAnsi="Bookman Old Style" w:cs="Calibri"/>
          <w:szCs w:val="24"/>
          <w:lang w:val="es-ES"/>
        </w:rPr>
        <w:t>observado</w:t>
      </w:r>
      <w:r w:rsidRPr="001E18FE">
        <w:rPr>
          <w:rFonts w:ascii="Bookman Old Style" w:hAnsi="Bookman Old Style" w:cs="Calibri"/>
          <w:szCs w:val="24"/>
          <w:lang w:val="es-ES"/>
        </w:rPr>
        <w:t xml:space="preserve"> un incremento en el tráfico ilegal de cannabis a través de las fronteras internacionales. </w:t>
      </w:r>
    </w:p>
    <w:p w14:paraId="512B34A0" w14:textId="41E1DDA7" w:rsidR="00F36280" w:rsidRPr="00485CC5" w:rsidRDefault="00F36280" w:rsidP="00F36280">
      <w:pPr>
        <w:pStyle w:val="Heading2"/>
        <w:ind w:left="0"/>
        <w:jc w:val="both"/>
        <w:rPr>
          <w:rFonts w:ascii="Bookman Old Style" w:hAnsi="Bookman Old Style" w:cs="Calibri"/>
          <w:b w:val="0"/>
          <w:sz w:val="22"/>
          <w:szCs w:val="24"/>
        </w:rPr>
      </w:pPr>
      <w:r w:rsidRPr="00485CC5">
        <w:rPr>
          <w:rFonts w:ascii="Bookman Old Style" w:hAnsi="Bookman Old Style" w:cs="Calibri"/>
          <w:b w:val="0"/>
          <w:sz w:val="22"/>
          <w:szCs w:val="24"/>
        </w:rPr>
        <w:t>Por otro lado, en Latinoamérica la experiencia de Uruguay es destacable pues ha tenido una lucha con el mercado negro a través de precios del mercado.</w:t>
      </w:r>
      <w:bookmarkEnd w:id="3"/>
      <w:r w:rsidRPr="00485CC5">
        <w:rPr>
          <w:rFonts w:ascii="Bookman Old Style" w:hAnsi="Bookman Old Style" w:cs="Calibri"/>
          <w:b w:val="0"/>
          <w:sz w:val="22"/>
          <w:szCs w:val="24"/>
        </w:rPr>
        <w:t xml:space="preserve"> Con </w:t>
      </w:r>
      <w:r w:rsidR="00666304">
        <w:rPr>
          <w:rFonts w:ascii="Bookman Old Style" w:hAnsi="Bookman Old Style" w:cs="Calibri"/>
          <w:b w:val="0"/>
          <w:sz w:val="22"/>
          <w:szCs w:val="24"/>
        </w:rPr>
        <w:t>la regulación del uso adulto</w:t>
      </w:r>
      <w:r w:rsidRPr="00485CC5">
        <w:rPr>
          <w:rFonts w:ascii="Bookman Old Style" w:hAnsi="Bookman Old Style" w:cs="Calibri"/>
          <w:b w:val="0"/>
          <w:sz w:val="22"/>
          <w:szCs w:val="24"/>
        </w:rPr>
        <w:t xml:space="preserve">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w:t>
      </w:r>
      <w:r w:rsidRPr="00485CC5">
        <w:rPr>
          <w:rFonts w:ascii="Bookman Old Style" w:hAnsi="Bookman Old Style" w:cs="Calibri"/>
          <w:b w:val="0"/>
          <w:sz w:val="22"/>
          <w:szCs w:val="24"/>
        </w:rPr>
        <w:lastRenderedPageBreak/>
        <w:t xml:space="preserve">clubes de marihuana, los cuales tienen permitido cultivar hasta 480g al año por persona. </w:t>
      </w:r>
    </w:p>
    <w:p w14:paraId="018EBD83" w14:textId="77777777" w:rsidR="00F36280" w:rsidRPr="00485CC5" w:rsidRDefault="00F36280" w:rsidP="00F36280">
      <w:pPr>
        <w:pStyle w:val="Heading2"/>
        <w:ind w:left="0"/>
        <w:jc w:val="both"/>
        <w:rPr>
          <w:rFonts w:ascii="Bookman Old Style" w:hAnsi="Bookman Old Style" w:cs="Calibri"/>
          <w:b w:val="0"/>
          <w:sz w:val="22"/>
          <w:szCs w:val="24"/>
        </w:rPr>
      </w:pPr>
    </w:p>
    <w:p w14:paraId="5C0906D5" w14:textId="77777777" w:rsidR="00837AB4" w:rsidRPr="00781E51" w:rsidRDefault="00F36280" w:rsidP="00781E51">
      <w:pPr>
        <w:pStyle w:val="Heading2"/>
        <w:ind w:left="0"/>
        <w:jc w:val="both"/>
        <w:rPr>
          <w:rFonts w:ascii="Bookman Old Style" w:hAnsi="Bookman Old Style" w:cs="Calibri"/>
          <w:b w:val="0"/>
          <w:sz w:val="22"/>
          <w:szCs w:val="24"/>
        </w:rPr>
      </w:pPr>
      <w:r w:rsidRPr="00485CC5">
        <w:rPr>
          <w:rFonts w:ascii="Bookman Old Style" w:hAnsi="Bookman Old Style" w:cs="Calibri"/>
          <w:b w:val="0"/>
          <w:sz w:val="22"/>
          <w:szCs w:val="24"/>
        </w:rPr>
        <w:t>Dichas opciones de compra y producción legales han representado un fuerte golpe a las economías al margen de la ley. El Instituto de Regulación y Control del Cannabis de Uruguay (IRCCA)</w:t>
      </w:r>
      <w:r w:rsidR="00283F81">
        <w:rPr>
          <w:rFonts w:ascii="Bookman Old Style" w:hAnsi="Bookman Old Style" w:cs="Calibri"/>
          <w:b w:val="0"/>
          <w:sz w:val="22"/>
          <w:szCs w:val="24"/>
        </w:rPr>
        <w:t xml:space="preserve"> en su reporte</w:t>
      </w:r>
      <w:r w:rsidR="00283F81">
        <w:rPr>
          <w:rStyle w:val="FootnoteReference"/>
          <w:rFonts w:ascii="Bookman Old Style" w:hAnsi="Bookman Old Style" w:cs="Calibri"/>
          <w:b w:val="0"/>
          <w:sz w:val="22"/>
          <w:szCs w:val="24"/>
        </w:rPr>
        <w:footnoteReference w:id="28"/>
      </w:r>
      <w:r w:rsidR="00283F81">
        <w:rPr>
          <w:rFonts w:ascii="Bookman Old Style" w:hAnsi="Bookman Old Style" w:cs="Calibri"/>
          <w:b w:val="0"/>
          <w:sz w:val="22"/>
          <w:szCs w:val="24"/>
        </w:rPr>
        <w:t xml:space="preserve"> para abril de 2020 indica</w:t>
      </w:r>
      <w:r w:rsidRPr="00485CC5">
        <w:rPr>
          <w:rFonts w:ascii="Bookman Old Style" w:hAnsi="Bookman Old Style" w:cs="Calibri"/>
          <w:b w:val="0"/>
          <w:sz w:val="22"/>
          <w:szCs w:val="24"/>
        </w:rPr>
        <w:t xml:space="preserve"> que alrededor del </w:t>
      </w:r>
      <w:r w:rsidR="00283F81">
        <w:rPr>
          <w:rFonts w:ascii="Bookman Old Style" w:hAnsi="Bookman Old Style" w:cs="Calibri"/>
          <w:b w:val="0"/>
          <w:sz w:val="22"/>
          <w:szCs w:val="24"/>
        </w:rPr>
        <w:t>22</w:t>
      </w:r>
      <w:r w:rsidRPr="00485CC5">
        <w:rPr>
          <w:rFonts w:ascii="Bookman Old Style" w:hAnsi="Bookman Old Style" w:cs="Calibri"/>
          <w:b w:val="0"/>
          <w:sz w:val="22"/>
          <w:szCs w:val="24"/>
        </w:rPr>
        <w:t xml:space="preserve">% de los usuarios de marihuana participan en el mercado regulado. </w:t>
      </w:r>
      <w:r w:rsidR="00283F81">
        <w:rPr>
          <w:rFonts w:ascii="Bookman Old Style" w:hAnsi="Bookman Old Style" w:cs="Calibri"/>
          <w:b w:val="0"/>
          <w:sz w:val="22"/>
          <w:szCs w:val="24"/>
        </w:rPr>
        <w:t>Según el reporte del IRCCA, el número de p</w:t>
      </w:r>
      <w:r w:rsidR="00283F81" w:rsidRPr="00A04304">
        <w:rPr>
          <w:rFonts w:ascii="Bookman Old Style" w:hAnsi="Bookman Old Style" w:cs="Calibri"/>
          <w:b w:val="0"/>
          <w:sz w:val="22"/>
          <w:szCs w:val="24"/>
        </w:rPr>
        <w:t xml:space="preserve">ersonas en el mercado regulado </w:t>
      </w:r>
      <w:r w:rsidR="00283F81">
        <w:rPr>
          <w:rFonts w:ascii="Bookman Old Style" w:hAnsi="Bookman Old Style" w:cs="Calibri"/>
          <w:b w:val="0"/>
          <w:sz w:val="22"/>
          <w:szCs w:val="24"/>
        </w:rPr>
        <w:t>(ver Gráfico 1) muestra una tendencia ascendente, lo que indica que el mercado legal gana cada vez más espacio.</w:t>
      </w:r>
      <w:r w:rsidR="00283F81" w:rsidRPr="00273E46">
        <w:rPr>
          <w:rStyle w:val="FootnoteReference"/>
          <w:rFonts w:ascii="Bookman Old Style" w:hAnsi="Bookman Old Style" w:cs="Calibri"/>
          <w:b w:val="0"/>
          <w:sz w:val="22"/>
          <w:szCs w:val="24"/>
        </w:rPr>
        <w:t xml:space="preserve"> </w:t>
      </w:r>
      <w:r w:rsidRPr="00485CC5">
        <w:rPr>
          <w:rFonts w:ascii="Bookman Old Style" w:hAnsi="Bookman Old Style" w:cs="Calibri"/>
          <w:b w:val="0"/>
          <w:sz w:val="22"/>
          <w:szCs w:val="24"/>
        </w:rPr>
        <w:t xml:space="preserve">Lo anterior es de gran importancia, pues las estructuras ilegales de comercio de marihuana se están viendo directamente afectadas a través de la pérdida de clientes que deciden participar en los canales legales. </w:t>
      </w:r>
      <w:r w:rsidR="00273E46">
        <w:rPr>
          <w:rFonts w:ascii="Bookman Old Style" w:hAnsi="Bookman Old Style" w:cs="Calibri"/>
          <w:b w:val="0"/>
          <w:sz w:val="22"/>
          <w:szCs w:val="24"/>
        </w:rPr>
        <w:t>La compra promedio en los últimos 4 meses se encontraba según dicho reporte entre 15 y 16 gramos, muy por debajo del máximo permitido de 40 gramos.</w:t>
      </w:r>
      <w:r w:rsidR="00273E46">
        <w:rPr>
          <w:rStyle w:val="FootnoteReference"/>
          <w:rFonts w:ascii="Bookman Old Style" w:hAnsi="Bookman Old Style" w:cs="Calibri"/>
          <w:b w:val="0"/>
          <w:sz w:val="22"/>
          <w:szCs w:val="24"/>
        </w:rPr>
        <w:footnoteReference w:id="29"/>
      </w:r>
      <w:r w:rsidR="00273E46">
        <w:rPr>
          <w:rFonts w:ascii="Bookman Old Style" w:hAnsi="Bookman Old Style" w:cs="Calibri"/>
          <w:b w:val="0"/>
          <w:sz w:val="22"/>
          <w:szCs w:val="24"/>
        </w:rPr>
        <w:t xml:space="preserve"> Se registra que el principal problema ha sido la oferta, que no logra suplir toda </w:t>
      </w:r>
      <w:r w:rsidR="00440DC4">
        <w:rPr>
          <w:rFonts w:ascii="Bookman Old Style" w:hAnsi="Bookman Old Style" w:cs="Calibri"/>
          <w:b w:val="0"/>
          <w:sz w:val="22"/>
          <w:szCs w:val="24"/>
        </w:rPr>
        <w:t xml:space="preserve">la </w:t>
      </w:r>
      <w:r w:rsidR="00273E46">
        <w:rPr>
          <w:rFonts w:ascii="Bookman Old Style" w:hAnsi="Bookman Old Style" w:cs="Calibri"/>
          <w:b w:val="0"/>
          <w:sz w:val="22"/>
          <w:szCs w:val="24"/>
        </w:rPr>
        <w:t xml:space="preserve">demanda, lo que se espera solucionar con las nuevas licencias otorgadas. </w:t>
      </w:r>
      <w:r w:rsidR="00440DC4">
        <w:rPr>
          <w:rFonts w:ascii="Bookman Old Style" w:hAnsi="Bookman Old Style" w:cs="Calibri"/>
          <w:b w:val="0"/>
          <w:sz w:val="22"/>
          <w:szCs w:val="24"/>
        </w:rPr>
        <w:t>Se</w:t>
      </w:r>
      <w:r w:rsidR="00273E46">
        <w:rPr>
          <w:rFonts w:ascii="Bookman Old Style" w:hAnsi="Bookman Old Style" w:cs="Calibri"/>
          <w:b w:val="0"/>
          <w:sz w:val="22"/>
          <w:szCs w:val="24"/>
        </w:rPr>
        <w:t xml:space="preserve"> espera que </w:t>
      </w:r>
      <w:r w:rsidR="00440DC4">
        <w:rPr>
          <w:rFonts w:ascii="Bookman Old Style" w:hAnsi="Bookman Old Style" w:cs="Calibri"/>
          <w:b w:val="0"/>
          <w:sz w:val="22"/>
          <w:szCs w:val="24"/>
        </w:rPr>
        <w:t xml:space="preserve">el mayor número de licencia </w:t>
      </w:r>
      <w:r w:rsidR="00273E46">
        <w:rPr>
          <w:rFonts w:ascii="Bookman Old Style" w:hAnsi="Bookman Old Style" w:cs="Calibri"/>
          <w:b w:val="0"/>
          <w:sz w:val="22"/>
          <w:szCs w:val="24"/>
        </w:rPr>
        <w:t xml:space="preserve">logre aumentar </w:t>
      </w:r>
      <w:r w:rsidR="00283F81">
        <w:rPr>
          <w:rFonts w:ascii="Bookman Old Style" w:hAnsi="Bookman Old Style" w:cs="Calibri"/>
          <w:b w:val="0"/>
          <w:sz w:val="22"/>
          <w:szCs w:val="24"/>
        </w:rPr>
        <w:t>la participación del mercado legal de marihuana en el país.</w:t>
      </w:r>
      <w:r w:rsidR="00273E46">
        <w:rPr>
          <w:rFonts w:ascii="Bookman Old Style" w:hAnsi="Bookman Old Style" w:cs="Calibri"/>
          <w:b w:val="0"/>
          <w:sz w:val="22"/>
          <w:szCs w:val="24"/>
        </w:rPr>
        <w:t xml:space="preserve"> </w:t>
      </w:r>
    </w:p>
    <w:p w14:paraId="6157F4B7" w14:textId="77777777" w:rsidR="00837AB4" w:rsidRDefault="00837AB4" w:rsidP="001E18FE"/>
    <w:p w14:paraId="065405E6" w14:textId="77777777" w:rsidR="00207603" w:rsidRDefault="00A04304" w:rsidP="001E18FE">
      <w:pPr>
        <w:jc w:val="center"/>
        <w:rPr>
          <w:rFonts w:ascii="Bookman Old Style" w:hAnsi="Bookman Old Style"/>
        </w:rPr>
      </w:pPr>
      <w:r w:rsidRPr="001E18FE">
        <w:rPr>
          <w:rFonts w:ascii="Bookman Old Style" w:hAnsi="Bookman Old Style"/>
          <w:b/>
        </w:rPr>
        <w:t>Gráfico 1.</w:t>
      </w:r>
      <w:r w:rsidRPr="00A04304">
        <w:rPr>
          <w:rFonts w:ascii="Bookman Old Style" w:hAnsi="Bookman Old Style"/>
        </w:rPr>
        <w:t xml:space="preserve"> </w:t>
      </w:r>
    </w:p>
    <w:p w14:paraId="6072EDDE" w14:textId="77777777" w:rsidR="00207603" w:rsidRPr="00207603" w:rsidRDefault="00A04304" w:rsidP="001E18FE">
      <w:pPr>
        <w:jc w:val="center"/>
        <w:rPr>
          <w:rFonts w:ascii="Bookman Old Style" w:hAnsi="Bookman Old Style"/>
          <w:b/>
        </w:rPr>
      </w:pPr>
      <w:r w:rsidRPr="00207603">
        <w:rPr>
          <w:rFonts w:ascii="Bookman Old Style" w:hAnsi="Bookman Old Style"/>
          <w:b/>
        </w:rPr>
        <w:t xml:space="preserve">Evolución de los registros totales en el mercado regulado </w:t>
      </w:r>
    </w:p>
    <w:p w14:paraId="341C4906" w14:textId="77777777" w:rsidR="00A04304" w:rsidRPr="00207603" w:rsidRDefault="00A04304" w:rsidP="001E18FE">
      <w:pPr>
        <w:jc w:val="center"/>
        <w:rPr>
          <w:rFonts w:ascii="Bookman Old Style" w:hAnsi="Bookman Old Style"/>
          <w:b/>
        </w:rPr>
      </w:pPr>
      <w:r w:rsidRPr="00207603">
        <w:rPr>
          <w:rFonts w:ascii="Bookman Old Style" w:hAnsi="Bookman Old Style"/>
          <w:b/>
        </w:rPr>
        <w:t>según fecha de informes realizados.</w:t>
      </w:r>
    </w:p>
    <w:p w14:paraId="3C2A29D2" w14:textId="77777777" w:rsidR="00A04304" w:rsidRDefault="00A04304" w:rsidP="00F36280">
      <w:pPr>
        <w:pStyle w:val="Heading2"/>
        <w:ind w:left="0"/>
        <w:jc w:val="both"/>
        <w:rPr>
          <w:rFonts w:ascii="Bookman Old Style" w:hAnsi="Bookman Old Style" w:cs="Calibri"/>
          <w:b w:val="0"/>
          <w:sz w:val="22"/>
          <w:szCs w:val="24"/>
        </w:rPr>
      </w:pPr>
    </w:p>
    <w:p w14:paraId="3893316F" w14:textId="77777777" w:rsidR="00A04304" w:rsidRDefault="00A04304" w:rsidP="001E18FE">
      <w:r w:rsidRPr="008F6E74">
        <w:rPr>
          <w:noProof/>
          <w:lang w:val="en-US" w:eastAsia="en-US"/>
        </w:rPr>
        <w:drawing>
          <wp:inline distT="0" distB="0" distL="0" distR="0" wp14:anchorId="597ED9F0" wp14:editId="727BABCB">
            <wp:extent cx="5593623" cy="2457450"/>
            <wp:effectExtent l="19050" t="0" r="7077" b="0"/>
            <wp:docPr id="2" name="Picture 2" descr="../Desktop/Screen%20Shot%202020-07-09%20at%2019.4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09%20at%2019.48.4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3875" cy="2461954"/>
                    </a:xfrm>
                    <a:prstGeom prst="rect">
                      <a:avLst/>
                    </a:prstGeom>
                    <a:noFill/>
                    <a:ln>
                      <a:noFill/>
                    </a:ln>
                  </pic:spPr>
                </pic:pic>
              </a:graphicData>
            </a:graphic>
          </wp:inline>
        </w:drawing>
      </w:r>
    </w:p>
    <w:p w14:paraId="01DC487E" w14:textId="77777777" w:rsidR="00A04304" w:rsidRPr="001E18FE" w:rsidRDefault="00A04304" w:rsidP="001E18FE">
      <w:pPr>
        <w:rPr>
          <w:b/>
        </w:rPr>
      </w:pPr>
    </w:p>
    <w:p w14:paraId="7AD5C317" w14:textId="77777777" w:rsidR="00F36280" w:rsidRPr="00485CC5" w:rsidRDefault="00F36280" w:rsidP="00F36280">
      <w:pPr>
        <w:pStyle w:val="Heading2"/>
        <w:ind w:left="0"/>
        <w:jc w:val="both"/>
        <w:rPr>
          <w:rFonts w:ascii="Bookman Old Style" w:hAnsi="Bookman Old Style" w:cs="Calibri"/>
          <w:b w:val="0"/>
          <w:sz w:val="22"/>
          <w:szCs w:val="24"/>
        </w:rPr>
      </w:pPr>
      <w:r w:rsidRPr="00485CC5">
        <w:rPr>
          <w:rFonts w:ascii="Bookman Old Style" w:hAnsi="Bookman Old Style" w:cs="Calibri"/>
          <w:b w:val="0"/>
          <w:sz w:val="22"/>
          <w:szCs w:val="24"/>
        </w:rPr>
        <w:t xml:space="preserve">Lo anterior, se ha logrado dado que el Gobierno fija el precio de la marihuana legal y lo fija en línea al del mercado negro, por lo que no existen grandes incentivos para que dicho mercado prospere. Actualmente el precio de 1 gramo de marihuana </w:t>
      </w:r>
      <w:r w:rsidRPr="00485CC5">
        <w:rPr>
          <w:rFonts w:ascii="Bookman Old Style" w:hAnsi="Bookman Old Style" w:cs="Calibri"/>
          <w:b w:val="0"/>
          <w:sz w:val="22"/>
          <w:szCs w:val="24"/>
        </w:rPr>
        <w:lastRenderedPageBreak/>
        <w:t>se encuentra en $</w:t>
      </w:r>
      <w:r w:rsidR="00F61263">
        <w:rPr>
          <w:rFonts w:ascii="Bookman Old Style" w:hAnsi="Bookman Old Style" w:cs="Calibri"/>
          <w:b w:val="0"/>
          <w:sz w:val="22"/>
          <w:szCs w:val="24"/>
        </w:rPr>
        <w:t>53</w:t>
      </w:r>
      <w:r w:rsidR="00F61263" w:rsidRPr="00485CC5">
        <w:rPr>
          <w:rFonts w:ascii="Bookman Old Style" w:hAnsi="Bookman Old Style" w:cs="Calibri"/>
          <w:b w:val="0"/>
          <w:sz w:val="22"/>
          <w:szCs w:val="24"/>
        </w:rPr>
        <w:t xml:space="preserve"> </w:t>
      </w:r>
      <w:r w:rsidRPr="00485CC5">
        <w:rPr>
          <w:rFonts w:ascii="Bookman Old Style" w:hAnsi="Bookman Old Style" w:cs="Calibri"/>
          <w:b w:val="0"/>
          <w:sz w:val="22"/>
          <w:szCs w:val="24"/>
        </w:rPr>
        <w:t>Pesos uruguayos, es decir alrededor de USD $1.2.</w:t>
      </w:r>
      <w:r w:rsidRPr="00485CC5">
        <w:rPr>
          <w:rStyle w:val="FootnoteReference"/>
          <w:rFonts w:ascii="Bookman Old Style" w:hAnsi="Bookman Old Style" w:cs="Calibri"/>
          <w:b w:val="0"/>
          <w:sz w:val="22"/>
          <w:szCs w:val="24"/>
        </w:rPr>
        <w:footnoteReference w:id="30"/>
      </w:r>
      <w:r w:rsidR="00FF2ED8">
        <w:rPr>
          <w:rFonts w:ascii="Bookman Old Style" w:hAnsi="Bookman Old Style" w:cs="Calibri"/>
          <w:b w:val="0"/>
          <w:sz w:val="22"/>
          <w:szCs w:val="24"/>
        </w:rPr>
        <w:t xml:space="preserve"> </w:t>
      </w:r>
    </w:p>
    <w:p w14:paraId="75AA47D5" w14:textId="77777777" w:rsidR="00F36280" w:rsidRPr="00485CC5" w:rsidRDefault="00F36280" w:rsidP="00F36280">
      <w:pPr>
        <w:jc w:val="both"/>
        <w:rPr>
          <w:rFonts w:ascii="Bookman Old Style" w:hAnsi="Bookman Old Style" w:cs="Calibri"/>
          <w:b/>
          <w:szCs w:val="24"/>
        </w:rPr>
      </w:pPr>
    </w:p>
    <w:p w14:paraId="2092BEAD" w14:textId="14FBDAA3"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Otro punto importante es que la regulación de </w:t>
      </w:r>
      <w:r w:rsidR="00666304">
        <w:rPr>
          <w:rFonts w:ascii="Bookman Old Style" w:hAnsi="Bookman Old Style" w:cs="Calibri"/>
          <w:szCs w:val="24"/>
        </w:rPr>
        <w:t>la marihuana para uso adulto</w:t>
      </w:r>
      <w:r w:rsidRPr="00485CC5">
        <w:rPr>
          <w:rFonts w:ascii="Bookman Old Style" w:hAnsi="Bookman Old Style" w:cs="Calibri"/>
          <w:szCs w:val="24"/>
        </w:rPr>
        <w:t xml:space="preserve"> puede llevar a que los países ahorren importantes recursos en políticas punitivas y sobrepoblación carcelaria.</w:t>
      </w:r>
      <w:r w:rsidRPr="00485CC5">
        <w:rPr>
          <w:rStyle w:val="FootnoteReference"/>
          <w:rFonts w:ascii="Bookman Old Style" w:hAnsi="Bookman Old Style" w:cs="Calibri"/>
          <w:szCs w:val="24"/>
        </w:rPr>
        <w:footnoteReference w:id="31"/>
      </w:r>
      <w:r w:rsidRPr="00485CC5">
        <w:rPr>
          <w:rFonts w:ascii="Bookman Old Style" w:hAnsi="Bookman Old Style" w:cs="Calibri"/>
          <w:szCs w:val="24"/>
        </w:rPr>
        <w:t xml:space="preserve"> Estados Unidos, por ejemplo, lo ha logrado pues cuando se dio la regulación, disminuyeron significativamente los arrestos por posesión de drogas.</w:t>
      </w:r>
      <w:r w:rsidRPr="00485CC5">
        <w:rPr>
          <w:rStyle w:val="FootnoteReference"/>
          <w:rFonts w:ascii="Bookman Old Style" w:hAnsi="Bookman Old Style" w:cs="Calibri"/>
          <w:szCs w:val="24"/>
        </w:rPr>
        <w:footnoteReference w:id="32"/>
      </w:r>
      <w:r w:rsidRPr="00485CC5">
        <w:rPr>
          <w:rFonts w:ascii="Bookman Old Style" w:hAnsi="Bookman Old Style" w:cs="Calibri"/>
          <w:szCs w:val="24"/>
        </w:rPr>
        <w:t xml:space="preserve"> Los expedientes judiciales para los Estados de Washington y Colorado entre 2011 y 2015 bajaron respectivamente 98% y 81%. Y los arrestos por posesión de marihuana han disminuido significativamente de la siguiente manera:</w:t>
      </w:r>
      <w:r w:rsidRPr="00485CC5">
        <w:rPr>
          <w:rStyle w:val="FootnoteReference"/>
          <w:rFonts w:ascii="Bookman Old Style" w:hAnsi="Bookman Old Style" w:cs="Calibri"/>
          <w:szCs w:val="24"/>
        </w:rPr>
        <w:footnoteReference w:id="33"/>
      </w:r>
    </w:p>
    <w:p w14:paraId="38A9B5E9" w14:textId="77777777" w:rsidR="00F36280" w:rsidRPr="00485CC5" w:rsidRDefault="00F36280" w:rsidP="00F36280">
      <w:pPr>
        <w:jc w:val="both"/>
        <w:rPr>
          <w:rFonts w:ascii="Bookman Old Style" w:hAnsi="Bookman Old Style" w:cs="Calibri"/>
          <w:szCs w:val="24"/>
        </w:rPr>
      </w:pPr>
    </w:p>
    <w:p w14:paraId="61B474EC" w14:textId="77777777" w:rsidR="00F36280" w:rsidRPr="00485CC5" w:rsidRDefault="00F36280" w:rsidP="00F36280">
      <w:pPr>
        <w:pStyle w:val="ListParagraph"/>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Colorado: 88% (2012-2015).</w:t>
      </w:r>
    </w:p>
    <w:p w14:paraId="62F6744C" w14:textId="77777777" w:rsidR="00F36280" w:rsidRPr="00485CC5" w:rsidRDefault="00F36280" w:rsidP="00F36280">
      <w:pPr>
        <w:pStyle w:val="ListParagraph"/>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Washington D.C.: 98.6% (2013-2016).</w:t>
      </w:r>
    </w:p>
    <w:p w14:paraId="23D87D66" w14:textId="77777777" w:rsidR="00F36280" w:rsidRPr="00485CC5" w:rsidRDefault="00F36280" w:rsidP="00F36280">
      <w:pPr>
        <w:pStyle w:val="ListParagraph"/>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Oregón: 96% (2013-2016).</w:t>
      </w:r>
    </w:p>
    <w:p w14:paraId="434F7A36" w14:textId="77777777" w:rsidR="00F36280" w:rsidRPr="00485CC5" w:rsidRDefault="00F36280" w:rsidP="00F36280">
      <w:pPr>
        <w:pStyle w:val="ListParagraph"/>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Alaska: 93% (2013-2015).</w:t>
      </w:r>
    </w:p>
    <w:p w14:paraId="5B104062" w14:textId="77777777" w:rsidR="00F36280" w:rsidRDefault="00F36280" w:rsidP="00F36280">
      <w:pPr>
        <w:pStyle w:val="Heading2"/>
        <w:ind w:left="0"/>
        <w:jc w:val="both"/>
        <w:rPr>
          <w:rFonts w:ascii="Bookman Old Style" w:hAnsi="Bookman Old Style" w:cs="Calibri"/>
          <w:b w:val="0"/>
          <w:sz w:val="22"/>
          <w:szCs w:val="24"/>
        </w:rPr>
      </w:pPr>
      <w:bookmarkStart w:id="4" w:name="_Toc5023216"/>
    </w:p>
    <w:p w14:paraId="1982D67B" w14:textId="77777777" w:rsidR="00207603" w:rsidRPr="00207603" w:rsidRDefault="00207603" w:rsidP="00207603"/>
    <w:p w14:paraId="52B900FD" w14:textId="1C3587FA" w:rsidR="003D02C8" w:rsidRDefault="00F36280" w:rsidP="003D02C8">
      <w:pPr>
        <w:pStyle w:val="Heading2"/>
        <w:ind w:left="0"/>
        <w:jc w:val="both"/>
        <w:rPr>
          <w:rFonts w:ascii="Bookman Old Style" w:hAnsi="Bookman Old Style" w:cs="Calibri"/>
          <w:b w:val="0"/>
          <w:sz w:val="22"/>
          <w:szCs w:val="24"/>
        </w:rPr>
      </w:pPr>
      <w:r w:rsidRPr="00485CC5">
        <w:rPr>
          <w:rFonts w:ascii="Bookman Old Style" w:hAnsi="Bookman Old Style" w:cs="Calibri"/>
          <w:b w:val="0"/>
          <w:sz w:val="22"/>
          <w:szCs w:val="24"/>
        </w:rPr>
        <w:t>Emprender la r</w:t>
      </w:r>
      <w:r w:rsidR="00666304">
        <w:rPr>
          <w:rFonts w:ascii="Bookman Old Style" w:hAnsi="Bookman Old Style" w:cs="Calibri"/>
          <w:b w:val="0"/>
          <w:sz w:val="22"/>
          <w:szCs w:val="24"/>
        </w:rPr>
        <w:t>egularización del uso adulto</w:t>
      </w:r>
      <w:r w:rsidRPr="00485CC5">
        <w:rPr>
          <w:rFonts w:ascii="Bookman Old Style" w:hAnsi="Bookman Old Style" w:cs="Calibri"/>
          <w:b w:val="0"/>
          <w:sz w:val="22"/>
          <w:szCs w:val="24"/>
        </w:rPr>
        <w:t xml:space="preserve"> y científico del cannabis en Colombia, representa una oportunidad para fortalecer la economía del país, reducir el crimen y los mercados ilegales, y además aliviar el sistema carcelario y judicial </w:t>
      </w:r>
      <w:bookmarkEnd w:id="4"/>
      <w:r w:rsidRPr="00485CC5">
        <w:rPr>
          <w:rFonts w:ascii="Bookman Old Style" w:hAnsi="Bookman Old Style" w:cs="Calibri"/>
          <w:b w:val="0"/>
          <w:sz w:val="22"/>
          <w:szCs w:val="24"/>
        </w:rPr>
        <w:t>nacional.</w:t>
      </w:r>
      <w:r w:rsidR="003D02C8">
        <w:rPr>
          <w:rFonts w:ascii="Bookman Old Style" w:hAnsi="Bookman Old Style" w:cs="Calibri"/>
          <w:b w:val="0"/>
          <w:sz w:val="22"/>
          <w:szCs w:val="24"/>
        </w:rPr>
        <w:t xml:space="preserve"> Respecto a este aspecto, según un estudio de Econcept</w:t>
      </w:r>
      <w:r w:rsidR="003D02C8">
        <w:rPr>
          <w:rStyle w:val="FootnoteReference"/>
          <w:rFonts w:ascii="Bookman Old Style" w:hAnsi="Bookman Old Style" w:cs="Calibri"/>
          <w:b w:val="0"/>
          <w:sz w:val="22"/>
          <w:szCs w:val="24"/>
        </w:rPr>
        <w:footnoteReference w:id="34"/>
      </w:r>
      <w:r w:rsidR="003D02C8">
        <w:rPr>
          <w:rFonts w:ascii="Bookman Old Style" w:hAnsi="Bookman Old Style" w:cs="Calibri"/>
          <w:b w:val="0"/>
          <w:sz w:val="22"/>
          <w:szCs w:val="24"/>
        </w:rPr>
        <w:t>, la firma liderada por el ex ministro de Hacienda Juan Carlos Echeverry, las estimaciones de exportaciones de cannabis podrían ascender entre los 2,300 y 17,</w:t>
      </w:r>
      <w:r w:rsidR="003D02C8" w:rsidRPr="003D02C8">
        <w:rPr>
          <w:rFonts w:ascii="Bookman Old Style" w:hAnsi="Bookman Old Style" w:cs="Calibri"/>
          <w:b w:val="0"/>
          <w:sz w:val="22"/>
          <w:szCs w:val="24"/>
        </w:rPr>
        <w:t>700 millones de dólares</w:t>
      </w:r>
      <w:r w:rsidR="003D02C8">
        <w:rPr>
          <w:rFonts w:ascii="Bookman Old Style" w:hAnsi="Bookman Old Style" w:cs="Calibri"/>
          <w:b w:val="0"/>
          <w:sz w:val="22"/>
          <w:szCs w:val="24"/>
        </w:rPr>
        <w:t>, con un recaudo de impuesto a la renta entre 1.2 y 3.5 billones de pesos.</w:t>
      </w:r>
    </w:p>
    <w:p w14:paraId="79CD6A32" w14:textId="77777777" w:rsidR="003D02C8" w:rsidRPr="003D02C8" w:rsidRDefault="003D02C8" w:rsidP="003D02C8"/>
    <w:p w14:paraId="60681C92" w14:textId="77777777" w:rsidR="00F36280" w:rsidRPr="00485CC5" w:rsidRDefault="00F36280" w:rsidP="00F36280">
      <w:pPr>
        <w:rPr>
          <w:rFonts w:ascii="Bookman Old Style" w:hAnsi="Bookman Old Style"/>
          <w:szCs w:val="24"/>
        </w:rPr>
      </w:pPr>
    </w:p>
    <w:p w14:paraId="151CF617" w14:textId="77777777" w:rsidR="00EB0CD0" w:rsidRDefault="00EB0CD0" w:rsidP="00207603">
      <w:pPr>
        <w:pStyle w:val="Heading2"/>
        <w:numPr>
          <w:ilvl w:val="0"/>
          <w:numId w:val="35"/>
        </w:numPr>
        <w:jc w:val="both"/>
        <w:rPr>
          <w:rFonts w:ascii="Bookman Old Style" w:eastAsia="Calibri" w:hAnsi="Bookman Old Style" w:cs="Calibri"/>
          <w:sz w:val="22"/>
          <w:szCs w:val="24"/>
        </w:rPr>
      </w:pPr>
      <w:r>
        <w:rPr>
          <w:rFonts w:ascii="Bookman Old Style" w:eastAsia="Calibri" w:hAnsi="Bookman Old Style" w:cs="Calibri"/>
          <w:sz w:val="22"/>
          <w:szCs w:val="24"/>
        </w:rPr>
        <w:t>IMPACTO ECON</w:t>
      </w:r>
      <w:r w:rsidR="00E17BE0">
        <w:rPr>
          <w:rFonts w:ascii="Bookman Old Style" w:eastAsia="Calibri" w:hAnsi="Bookman Old Style" w:cs="Calibri"/>
          <w:sz w:val="22"/>
          <w:szCs w:val="24"/>
        </w:rPr>
        <w:t>ÓMICO DE LA INDUSTRIA DEL CANNABIS MEDICINAL EN COLOMBIA</w:t>
      </w:r>
      <w:r>
        <w:rPr>
          <w:rFonts w:ascii="Bookman Old Style" w:eastAsia="Calibri" w:hAnsi="Bookman Old Style" w:cs="Calibri"/>
          <w:sz w:val="22"/>
          <w:szCs w:val="24"/>
        </w:rPr>
        <w:t>.</w:t>
      </w:r>
    </w:p>
    <w:p w14:paraId="13199D29" w14:textId="77777777" w:rsidR="00E453A8" w:rsidRPr="00E453A8" w:rsidRDefault="00E453A8" w:rsidP="00E453A8">
      <w:pPr>
        <w:tabs>
          <w:tab w:val="left" w:pos="3088"/>
        </w:tabs>
        <w:rPr>
          <w:rFonts w:ascii="Bookman Old Style" w:eastAsia="Calibri" w:hAnsi="Bookman Old Style"/>
        </w:rPr>
      </w:pPr>
      <w:r>
        <w:rPr>
          <w:rFonts w:ascii="Bookman Old Style" w:eastAsia="Calibri" w:hAnsi="Bookman Old Style"/>
        </w:rPr>
        <w:tab/>
      </w:r>
    </w:p>
    <w:p w14:paraId="58AEE856" w14:textId="77777777" w:rsidR="007635AD" w:rsidRDefault="00E453A8" w:rsidP="007635AD">
      <w:pPr>
        <w:pStyle w:val="Heading2"/>
        <w:ind w:left="0"/>
        <w:jc w:val="both"/>
        <w:rPr>
          <w:rFonts w:ascii="Bookman Old Style" w:eastAsia="Calibri" w:hAnsi="Bookman Old Style" w:cs="Calibri"/>
          <w:b w:val="0"/>
          <w:sz w:val="22"/>
          <w:szCs w:val="24"/>
        </w:rPr>
      </w:pPr>
      <w:r w:rsidRPr="00E17BE0">
        <w:rPr>
          <w:rFonts w:ascii="Bookman Old Style" w:eastAsia="Calibri" w:hAnsi="Bookman Old Style" w:cs="Calibri"/>
          <w:b w:val="0"/>
          <w:sz w:val="22"/>
          <w:szCs w:val="24"/>
        </w:rPr>
        <w:t>Como ya se mencionó anteriormente, en el año 2016 se discutió y aprobó la Ley 1787,</w:t>
      </w:r>
      <w:r w:rsidRPr="00E17BE0">
        <w:rPr>
          <w:rFonts w:ascii="Bookman Old Style" w:eastAsia="Calibri" w:hAnsi="Bookman Old Style" w:cs="Calibri"/>
          <w:b w:val="0"/>
          <w:bCs/>
          <w:i/>
          <w:iCs/>
          <w:sz w:val="22"/>
          <w:szCs w:val="24"/>
        </w:rPr>
        <w:t xml:space="preserve"> “Por medio de la cual se reglamenta el Acto Legislativo 02 de 2009.”</w:t>
      </w:r>
      <w:r w:rsidRPr="00E17BE0">
        <w:rPr>
          <w:rFonts w:ascii="Bookman Old Style" w:eastAsia="Calibri" w:hAnsi="Bookman Old Style" w:cs="Calibri"/>
          <w:b w:val="0"/>
          <w:sz w:val="22"/>
          <w:szCs w:val="24"/>
        </w:rPr>
        <w:t xml:space="preserve">, </w:t>
      </w:r>
      <w:r w:rsidRPr="00E17BE0">
        <w:rPr>
          <w:rFonts w:ascii="Bookman Old Style" w:eastAsia="Calibri" w:hAnsi="Bookman Old Style" w:cs="Calibri"/>
          <w:b w:val="0"/>
          <w:i/>
          <w:sz w:val="22"/>
          <w:szCs w:val="24"/>
        </w:rPr>
        <w:t>(desarrollada mediante el Decreto 0613 de 2017)</w:t>
      </w:r>
      <w:r w:rsidRPr="00E17BE0">
        <w:rPr>
          <w:rFonts w:ascii="Bookman Old Style" w:eastAsia="Calibri" w:hAnsi="Bookman Old Style" w:cs="Calibri"/>
          <w:b w:val="0"/>
          <w:sz w:val="22"/>
          <w:szCs w:val="24"/>
        </w:rPr>
        <w:t>.</w:t>
      </w:r>
      <w:r w:rsidRPr="00E17BE0">
        <w:rPr>
          <w:rFonts w:ascii="Bookman Old Style" w:eastAsia="Calibri" w:hAnsi="Bookman Old Style" w:cs="Calibri"/>
          <w:b w:val="0"/>
          <w:i/>
          <w:sz w:val="22"/>
          <w:szCs w:val="24"/>
        </w:rPr>
        <w:t xml:space="preserve"> </w:t>
      </w:r>
      <w:r w:rsidRPr="00E17BE0">
        <w:rPr>
          <w:rFonts w:ascii="Bookman Old Style" w:eastAsia="Calibri" w:hAnsi="Bookman Old Style" w:cs="Calibri"/>
          <w:b w:val="0"/>
          <w:sz w:val="22"/>
          <w:szCs w:val="24"/>
        </w:rPr>
        <w:t xml:space="preserve">Dicha Ley definió los criterios generales para permitir la expedición de licencias de </w:t>
      </w:r>
      <w:r w:rsidR="00E17BE0">
        <w:rPr>
          <w:rFonts w:ascii="Bookman Old Style" w:eastAsia="Calibri" w:hAnsi="Bookman Old Style" w:cs="Calibri"/>
          <w:b w:val="0"/>
          <w:sz w:val="22"/>
          <w:szCs w:val="24"/>
        </w:rPr>
        <w:t>uso de semillas, cultivo de plantas y fabricación de derivados del cannabis, bajo unos criterios estrictos y unos requisitos sine qua non</w:t>
      </w:r>
      <w:r w:rsidRPr="00E17BE0">
        <w:rPr>
          <w:rFonts w:ascii="Bookman Old Style" w:eastAsia="Calibri" w:hAnsi="Bookman Old Style" w:cs="Calibri"/>
          <w:b w:val="0"/>
          <w:sz w:val="22"/>
          <w:szCs w:val="24"/>
        </w:rPr>
        <w:t>.</w:t>
      </w:r>
    </w:p>
    <w:p w14:paraId="49141F28" w14:textId="77777777" w:rsidR="007635AD" w:rsidRDefault="007635AD" w:rsidP="007635AD">
      <w:pPr>
        <w:pStyle w:val="Heading2"/>
        <w:ind w:left="0"/>
        <w:jc w:val="both"/>
        <w:rPr>
          <w:rFonts w:ascii="Bookman Old Style" w:eastAsia="Calibri" w:hAnsi="Bookman Old Style" w:cs="Calibri"/>
          <w:b w:val="0"/>
          <w:sz w:val="22"/>
          <w:szCs w:val="24"/>
        </w:rPr>
      </w:pPr>
    </w:p>
    <w:p w14:paraId="23FC1B4C" w14:textId="77777777" w:rsidR="007635AD" w:rsidRDefault="00E17BE0" w:rsidP="007635AD">
      <w:pPr>
        <w:pStyle w:val="Heading2"/>
        <w:ind w:left="0"/>
        <w:jc w:val="both"/>
        <w:rPr>
          <w:rFonts w:ascii="Bookman Old Style" w:eastAsia="Calibri" w:hAnsi="Bookman Old Style"/>
          <w:b w:val="0"/>
          <w:sz w:val="22"/>
        </w:rPr>
      </w:pPr>
      <w:r w:rsidRPr="007635AD">
        <w:rPr>
          <w:rFonts w:ascii="Bookman Old Style" w:eastAsia="Calibri" w:hAnsi="Bookman Old Style"/>
          <w:b w:val="0"/>
          <w:sz w:val="22"/>
        </w:rPr>
        <w:t xml:space="preserve">La industria del Cannabis medicinal le ha traído al país </w:t>
      </w:r>
      <w:r w:rsidR="003D540B">
        <w:rPr>
          <w:rFonts w:ascii="Bookman Old Style" w:eastAsia="Calibri" w:hAnsi="Bookman Old Style"/>
          <w:b w:val="0"/>
          <w:sz w:val="22"/>
        </w:rPr>
        <w:t xml:space="preserve">diversos </w:t>
      </w:r>
      <w:r w:rsidRPr="007635AD">
        <w:rPr>
          <w:rFonts w:ascii="Bookman Old Style" w:eastAsia="Calibri" w:hAnsi="Bookman Old Style"/>
          <w:b w:val="0"/>
          <w:sz w:val="22"/>
        </w:rPr>
        <w:t>be</w:t>
      </w:r>
      <w:r w:rsidR="003D540B">
        <w:rPr>
          <w:rFonts w:ascii="Bookman Old Style" w:eastAsia="Calibri" w:hAnsi="Bookman Old Style"/>
          <w:b w:val="0"/>
          <w:sz w:val="22"/>
        </w:rPr>
        <w:t>neficios</w:t>
      </w:r>
      <w:r w:rsidRPr="007635AD">
        <w:rPr>
          <w:rFonts w:ascii="Bookman Old Style" w:eastAsia="Calibri" w:hAnsi="Bookman Old Style"/>
          <w:b w:val="0"/>
          <w:sz w:val="22"/>
        </w:rPr>
        <w:t xml:space="preserve"> teniendo en consideración que el solo tramité y expedición de las licencias tienen unos costos que oscilan entre los cuatro y los cinco millones</w:t>
      </w:r>
      <w:r w:rsidR="007635AD">
        <w:rPr>
          <w:rFonts w:ascii="Bookman Old Style" w:eastAsia="Calibri" w:hAnsi="Bookman Old Style"/>
          <w:b w:val="0"/>
          <w:sz w:val="22"/>
        </w:rPr>
        <w:t>.</w:t>
      </w:r>
    </w:p>
    <w:p w14:paraId="19AFFD51" w14:textId="77777777" w:rsidR="003D540B" w:rsidRPr="00DB15D7" w:rsidRDefault="00DB15D7" w:rsidP="00DB15D7">
      <w:pPr>
        <w:pStyle w:val="ListParagraph"/>
        <w:numPr>
          <w:ilvl w:val="0"/>
          <w:numId w:val="46"/>
        </w:numPr>
        <w:pBdr>
          <w:top w:val="nil"/>
          <w:left w:val="nil"/>
          <w:bottom w:val="nil"/>
          <w:right w:val="nil"/>
          <w:between w:val="nil"/>
        </w:pBdr>
        <w:spacing w:before="280" w:line="240" w:lineRule="auto"/>
        <w:jc w:val="both"/>
        <w:rPr>
          <w:rFonts w:ascii="Bookman Old Style" w:eastAsia="Calibri" w:hAnsi="Bookman Old Style" w:cs="Arial"/>
          <w:i/>
          <w:color w:val="000000"/>
          <w:lang w:val="es-ES_tradnl"/>
        </w:rPr>
      </w:pPr>
      <w:r w:rsidRPr="00DB15D7">
        <w:rPr>
          <w:rFonts w:ascii="Bookman Old Style" w:eastAsia="Calibri" w:hAnsi="Bookman Old Style"/>
        </w:rPr>
        <w:lastRenderedPageBreak/>
        <w:t xml:space="preserve">De acuerdo con </w:t>
      </w:r>
      <w:r w:rsidR="003D540B" w:rsidRPr="00DB15D7">
        <w:rPr>
          <w:rFonts w:ascii="Bookman Old Style" w:eastAsia="Calibri" w:hAnsi="Bookman Old Style" w:cs="Arial"/>
          <w:color w:val="000000"/>
          <w:lang w:val="es-ES_tradnl"/>
        </w:rPr>
        <w:t>F</w:t>
      </w:r>
      <w:r>
        <w:rPr>
          <w:rFonts w:ascii="Bookman Old Style" w:eastAsia="Calibri" w:hAnsi="Bookman Old Style" w:cs="Arial"/>
          <w:color w:val="000000"/>
          <w:lang w:val="es-ES_tradnl"/>
        </w:rPr>
        <w:t>EDESARROLLO</w:t>
      </w:r>
      <w:r w:rsidR="003D540B" w:rsidRPr="00DB15D7">
        <w:rPr>
          <w:rFonts w:ascii="Bookman Old Style" w:eastAsia="Calibri" w:hAnsi="Bookman Old Style" w:cs="Arial"/>
          <w:color w:val="000000"/>
          <w:lang w:val="es-ES_tradnl"/>
        </w:rPr>
        <w:t>, la industria del cannabis genera alrededor de 17,3 empleos formales por cada hectárea sembrada. Esto muestra que, en comparación con la industria de flores del país, el número de empleos que deja la marih</w:t>
      </w:r>
      <w:r>
        <w:rPr>
          <w:rFonts w:ascii="Bookman Old Style" w:eastAsia="Calibri" w:hAnsi="Bookman Old Style" w:cs="Arial"/>
          <w:color w:val="000000"/>
          <w:lang w:val="es-ES_tradnl"/>
        </w:rPr>
        <w:t>uana medicinal es igual al de dicho sector</w:t>
      </w:r>
      <w:r w:rsidR="008F1C10">
        <w:rPr>
          <w:rFonts w:ascii="Bookman Old Style" w:eastAsia="Calibri" w:hAnsi="Bookman Old Style" w:cs="Arial"/>
          <w:i/>
          <w:color w:val="000000"/>
          <w:lang w:val="es-ES_tradnl"/>
        </w:rPr>
        <w:t>.</w:t>
      </w:r>
      <w:r w:rsidR="008F1C10">
        <w:rPr>
          <w:rStyle w:val="FootnoteReference"/>
          <w:rFonts w:ascii="Bookman Old Style" w:eastAsia="Calibri" w:hAnsi="Bookman Old Style" w:cs="Arial"/>
          <w:i/>
          <w:color w:val="000000"/>
          <w:lang w:val="es-ES_tradnl"/>
        </w:rPr>
        <w:footnoteReference w:id="35"/>
      </w:r>
    </w:p>
    <w:p w14:paraId="0F95C394" w14:textId="77777777" w:rsidR="003D540B" w:rsidRDefault="00DB15D7" w:rsidP="00DB15D7">
      <w:pPr>
        <w:widowControl/>
        <w:numPr>
          <w:ilvl w:val="0"/>
          <w:numId w:val="45"/>
        </w:numPr>
        <w:pBdr>
          <w:top w:val="nil"/>
          <w:left w:val="nil"/>
          <w:bottom w:val="nil"/>
          <w:right w:val="nil"/>
          <w:between w:val="nil"/>
        </w:pBdr>
        <w:jc w:val="both"/>
        <w:rPr>
          <w:rFonts w:ascii="Bookman Old Style" w:eastAsia="Calibri" w:hAnsi="Bookman Old Style" w:cs="Arial"/>
          <w:color w:val="000000"/>
          <w:lang w:val="es-ES_tradnl"/>
        </w:rPr>
      </w:pPr>
      <w:r>
        <w:rPr>
          <w:rFonts w:ascii="Bookman Old Style" w:eastAsia="Calibri" w:hAnsi="Bookman Old Style" w:cs="Arial"/>
          <w:color w:val="000000"/>
          <w:lang w:val="es-ES_tradnl"/>
        </w:rPr>
        <w:t>A 2019 había</w:t>
      </w:r>
      <w:r w:rsidR="003D540B" w:rsidRPr="00DB15D7">
        <w:rPr>
          <w:rFonts w:ascii="Bookman Old Style" w:eastAsia="Calibri" w:hAnsi="Bookman Old Style" w:cs="Arial"/>
          <w:color w:val="000000"/>
          <w:lang w:val="es-ES_tradnl"/>
        </w:rPr>
        <w:t xml:space="preserve"> en C</w:t>
      </w:r>
      <w:r>
        <w:rPr>
          <w:rFonts w:ascii="Bookman Old Style" w:eastAsia="Calibri" w:hAnsi="Bookman Old Style" w:cs="Arial"/>
          <w:color w:val="000000"/>
          <w:lang w:val="es-ES_tradnl"/>
        </w:rPr>
        <w:t>olombia 56 hectáreas cultivadas</w:t>
      </w:r>
      <w:r w:rsidR="003D540B" w:rsidRPr="00DB15D7">
        <w:rPr>
          <w:rFonts w:ascii="Bookman Old Style" w:eastAsia="Calibri" w:hAnsi="Bookman Old Style" w:cs="Arial"/>
          <w:color w:val="000000"/>
          <w:lang w:val="es-ES_tradnl"/>
        </w:rPr>
        <w:t xml:space="preserve"> responsables por la generación de 975 empleos y de US$99 mi</w:t>
      </w:r>
      <w:r>
        <w:rPr>
          <w:rFonts w:ascii="Bookman Old Style" w:eastAsia="Calibri" w:hAnsi="Bookman Old Style" w:cs="Arial"/>
          <w:color w:val="000000"/>
          <w:lang w:val="es-ES_tradnl"/>
        </w:rPr>
        <w:t>llones en ingresos. FEDESARROLLO</w:t>
      </w:r>
      <w:r w:rsidR="003D540B" w:rsidRPr="00DB15D7">
        <w:rPr>
          <w:rFonts w:ascii="Bookman Old Style" w:eastAsia="Calibri" w:hAnsi="Bookman Old Style" w:cs="Arial"/>
          <w:color w:val="000000"/>
          <w:lang w:val="es-ES_tradnl"/>
        </w:rPr>
        <w:t xml:space="preserve"> estima que para 2025, con un crecimiento tendencial de cerca de 10% del área cultivada, se podría llegar a 450 hectáreas, </w:t>
      </w:r>
      <w:r>
        <w:rPr>
          <w:rFonts w:ascii="Bookman Old Style" w:eastAsia="Calibri" w:hAnsi="Bookman Old Style" w:cs="Arial"/>
          <w:color w:val="000000"/>
          <w:lang w:val="es-ES_tradnl"/>
        </w:rPr>
        <w:t xml:space="preserve">es decir, </w:t>
      </w:r>
      <w:r w:rsidR="003D540B" w:rsidRPr="00DB15D7">
        <w:rPr>
          <w:rFonts w:ascii="Bookman Old Style" w:eastAsia="Calibri" w:hAnsi="Bookman Old Style" w:cs="Arial"/>
          <w:color w:val="000000"/>
          <w:lang w:val="es-ES_tradnl"/>
        </w:rPr>
        <w:t>más de 7.700 empleos e ingresos cercanos a los US$790 millones.</w:t>
      </w:r>
      <w:r w:rsidR="008F1C10">
        <w:rPr>
          <w:rStyle w:val="FootnoteReference"/>
          <w:rFonts w:ascii="Bookman Old Style" w:eastAsia="Calibri" w:hAnsi="Bookman Old Style" w:cs="Arial"/>
          <w:color w:val="000000"/>
          <w:lang w:val="es-ES_tradnl"/>
        </w:rPr>
        <w:footnoteReference w:id="36"/>
      </w:r>
    </w:p>
    <w:p w14:paraId="7F7CAC40" w14:textId="77777777" w:rsidR="00DB15D7" w:rsidRPr="00DB15D7" w:rsidRDefault="00DB15D7" w:rsidP="00DB15D7">
      <w:pPr>
        <w:widowControl/>
        <w:pBdr>
          <w:top w:val="nil"/>
          <w:left w:val="nil"/>
          <w:bottom w:val="nil"/>
          <w:right w:val="nil"/>
          <w:between w:val="nil"/>
        </w:pBdr>
        <w:ind w:left="720"/>
        <w:jc w:val="both"/>
        <w:rPr>
          <w:rFonts w:ascii="Bookman Old Style" w:eastAsia="Calibri" w:hAnsi="Bookman Old Style" w:cs="Arial"/>
          <w:color w:val="000000"/>
          <w:lang w:val="es-ES_tradnl"/>
        </w:rPr>
      </w:pPr>
    </w:p>
    <w:p w14:paraId="6CE908E3" w14:textId="77777777" w:rsidR="00DB15D7" w:rsidRDefault="00DB15D7" w:rsidP="00DB15D7">
      <w:pPr>
        <w:widowControl/>
        <w:numPr>
          <w:ilvl w:val="0"/>
          <w:numId w:val="45"/>
        </w:numPr>
        <w:jc w:val="both"/>
        <w:rPr>
          <w:rFonts w:ascii="Bookman Old Style" w:eastAsia="Calibri" w:hAnsi="Bookman Old Style" w:cs="Arial"/>
          <w:highlight w:val="white"/>
          <w:lang w:val="es-ES_tradnl"/>
        </w:rPr>
      </w:pPr>
      <w:r>
        <w:rPr>
          <w:rFonts w:ascii="Bookman Old Style" w:eastAsia="Calibri" w:hAnsi="Bookman Old Style" w:cs="Arial"/>
          <w:highlight w:val="white"/>
          <w:lang w:val="es-ES_tradnl"/>
        </w:rPr>
        <w:t>Según FEDESARROLLO, co</w:t>
      </w:r>
      <w:r w:rsidR="003D540B" w:rsidRPr="00DB15D7">
        <w:rPr>
          <w:rFonts w:ascii="Bookman Old Style" w:eastAsia="Calibri" w:hAnsi="Bookman Old Style" w:cs="Arial"/>
          <w:highlight w:val="white"/>
          <w:lang w:val="es-ES_tradnl"/>
        </w:rPr>
        <w:t>n la producción obtenida a partir de las hectáreas ya cultivadas de cannabis medicinal o científico</w:t>
      </w:r>
      <w:r>
        <w:rPr>
          <w:rFonts w:ascii="Bookman Old Style" w:eastAsia="Calibri" w:hAnsi="Bookman Old Style" w:cs="Arial"/>
          <w:highlight w:val="white"/>
          <w:lang w:val="es-ES_tradnl"/>
        </w:rPr>
        <w:t xml:space="preserve"> se generarían para el año 2020</w:t>
      </w:r>
      <w:r w:rsidR="003D540B" w:rsidRPr="00DB15D7">
        <w:rPr>
          <w:rFonts w:ascii="Bookman Old Style" w:eastAsia="Calibri" w:hAnsi="Bookman Old Style" w:cs="Arial"/>
          <w:highlight w:val="white"/>
          <w:lang w:val="es-ES_tradnl"/>
        </w:rPr>
        <w:t xml:space="preserve"> </w:t>
      </w:r>
      <w:r>
        <w:rPr>
          <w:rFonts w:ascii="Bookman Old Style" w:eastAsia="Calibri" w:hAnsi="Bookman Old Style" w:cs="Arial"/>
          <w:highlight w:val="white"/>
          <w:lang w:val="es-ES_tradnl"/>
        </w:rPr>
        <w:t xml:space="preserve">una cifra de </w:t>
      </w:r>
      <w:r w:rsidR="003D540B" w:rsidRPr="00DB15D7">
        <w:rPr>
          <w:rFonts w:ascii="Bookman Old Style" w:eastAsia="Calibri" w:hAnsi="Bookman Old Style" w:cs="Arial"/>
          <w:highlight w:val="white"/>
          <w:lang w:val="es-ES_tradnl"/>
        </w:rPr>
        <w:t xml:space="preserve">109 millones de dólares de exportaciones y 1.214 empleos. </w:t>
      </w:r>
    </w:p>
    <w:p w14:paraId="4306CD33" w14:textId="77777777" w:rsidR="00DB15D7" w:rsidRDefault="00DB15D7" w:rsidP="00DB15D7">
      <w:pPr>
        <w:widowControl/>
        <w:ind w:left="1440"/>
        <w:jc w:val="both"/>
        <w:rPr>
          <w:rFonts w:ascii="Bookman Old Style" w:eastAsia="Calibri" w:hAnsi="Bookman Old Style" w:cs="Arial"/>
          <w:highlight w:val="white"/>
          <w:lang w:val="es-ES_tradnl"/>
        </w:rPr>
      </w:pPr>
    </w:p>
    <w:p w14:paraId="76FAE42F" w14:textId="77777777" w:rsidR="003D540B" w:rsidRPr="00DB15D7" w:rsidRDefault="003D540B" w:rsidP="00DB15D7">
      <w:pPr>
        <w:widowControl/>
        <w:numPr>
          <w:ilvl w:val="1"/>
          <w:numId w:val="45"/>
        </w:numPr>
        <w:jc w:val="both"/>
        <w:rPr>
          <w:rFonts w:ascii="Bookman Old Style" w:eastAsia="Calibri" w:hAnsi="Bookman Old Style" w:cs="Arial"/>
          <w:highlight w:val="white"/>
          <w:lang w:val="es-ES_tradnl"/>
        </w:rPr>
      </w:pPr>
      <w:r w:rsidRPr="00DB15D7">
        <w:rPr>
          <w:rFonts w:ascii="Bookman Old Style" w:eastAsia="Calibri" w:hAnsi="Bookman Old Style" w:cs="Arial"/>
          <w:highlight w:val="white"/>
          <w:lang w:val="es-ES_tradnl"/>
        </w:rPr>
        <w:t>Con 1,558 H cultivadas en 2030 se podrían alcanzar ingresos entre USD 1.532 millones (escenario 2 caen los precios al 75%) y USD 3.065 millones (escenario 1- caen los precio</w:t>
      </w:r>
      <w:r w:rsidR="00DB15D7">
        <w:rPr>
          <w:rFonts w:ascii="Bookman Old Style" w:eastAsia="Calibri" w:hAnsi="Bookman Old Style" w:cs="Arial"/>
          <w:highlight w:val="white"/>
          <w:lang w:val="es-ES_tradnl"/>
        </w:rPr>
        <w:t>s al 50%)</w:t>
      </w:r>
      <w:r w:rsidRPr="00DB15D7">
        <w:rPr>
          <w:rFonts w:ascii="Bookman Old Style" w:eastAsia="Calibri" w:hAnsi="Bookman Old Style" w:cs="Arial"/>
          <w:highlight w:val="white"/>
          <w:lang w:val="es-ES_tradnl"/>
        </w:rPr>
        <w:t>. El empleo generado, llegaría a representar 41.748 empleos en 2030, incluyendo 26.968 empleos agrícolas.</w:t>
      </w:r>
      <w:r w:rsidR="008F1C10">
        <w:rPr>
          <w:rStyle w:val="FootnoteReference"/>
          <w:rFonts w:ascii="Bookman Old Style" w:eastAsia="Calibri" w:hAnsi="Bookman Old Style" w:cs="Arial"/>
          <w:highlight w:val="white"/>
          <w:lang w:val="es-ES_tradnl"/>
        </w:rPr>
        <w:footnoteReference w:id="37"/>
      </w:r>
    </w:p>
    <w:p w14:paraId="1210C3EE" w14:textId="77777777" w:rsidR="00DB15D7" w:rsidRPr="00DB15D7" w:rsidRDefault="00DB15D7" w:rsidP="00DB15D7">
      <w:pPr>
        <w:pStyle w:val="ListParagraph"/>
        <w:spacing w:after="0" w:line="240" w:lineRule="auto"/>
        <w:ind w:left="993"/>
        <w:jc w:val="both"/>
        <w:rPr>
          <w:rFonts w:ascii="Bookman Old Style" w:eastAsia="Calibri" w:hAnsi="Bookman Old Style" w:cs="Arial"/>
          <w:highlight w:val="white"/>
          <w:lang w:val="es-ES_tradnl"/>
        </w:rPr>
      </w:pPr>
    </w:p>
    <w:p w14:paraId="283947D2" w14:textId="77777777" w:rsidR="003D540B" w:rsidRPr="00DB15D7" w:rsidRDefault="003D540B" w:rsidP="00DB15D7">
      <w:pPr>
        <w:widowControl/>
        <w:numPr>
          <w:ilvl w:val="0"/>
          <w:numId w:val="45"/>
        </w:numPr>
        <w:pBdr>
          <w:top w:val="nil"/>
          <w:left w:val="nil"/>
          <w:bottom w:val="nil"/>
          <w:right w:val="nil"/>
          <w:between w:val="nil"/>
        </w:pBdr>
        <w:jc w:val="both"/>
        <w:rPr>
          <w:rFonts w:ascii="Bookman Old Style" w:eastAsia="Calibri" w:hAnsi="Bookman Old Style" w:cs="Arial"/>
          <w:color w:val="000000"/>
          <w:lang w:val="es-ES_tradnl"/>
        </w:rPr>
      </w:pPr>
      <w:r w:rsidRPr="00DB15D7">
        <w:rPr>
          <w:rFonts w:ascii="Bookman Old Style" w:eastAsia="Calibri" w:hAnsi="Bookman Old Style" w:cs="Arial"/>
          <w:color w:val="000000"/>
          <w:highlight w:val="white"/>
          <w:lang w:val="es-ES_tradnl"/>
        </w:rPr>
        <w:t>Durante los últimos cuatro años de legalización, los emprendedores colombianos han atraído más de US$500 mi</w:t>
      </w:r>
      <w:r w:rsidR="004C1A3C">
        <w:rPr>
          <w:rFonts w:ascii="Bookman Old Style" w:eastAsia="Calibri" w:hAnsi="Bookman Old Style" w:cs="Arial"/>
          <w:color w:val="000000"/>
          <w:highlight w:val="white"/>
          <w:lang w:val="es-ES_tradnl"/>
        </w:rPr>
        <w:t>llones en inversión extranjera.</w:t>
      </w:r>
      <w:r w:rsidR="004C1A3C">
        <w:rPr>
          <w:rStyle w:val="FootnoteReference"/>
          <w:rFonts w:ascii="Bookman Old Style" w:eastAsia="Calibri" w:hAnsi="Bookman Old Style" w:cs="Arial"/>
          <w:color w:val="000000"/>
          <w:highlight w:val="white"/>
          <w:lang w:val="es-ES_tradnl"/>
        </w:rPr>
        <w:footnoteReference w:id="38"/>
      </w:r>
    </w:p>
    <w:p w14:paraId="38850C45" w14:textId="77777777" w:rsidR="007635AD" w:rsidRDefault="007635AD" w:rsidP="007635AD">
      <w:pPr>
        <w:pStyle w:val="Heading2"/>
        <w:ind w:left="0"/>
        <w:jc w:val="both"/>
        <w:rPr>
          <w:rFonts w:ascii="Bookman Old Style" w:eastAsia="Calibri" w:hAnsi="Bookman Old Style"/>
          <w:b w:val="0"/>
          <w:sz w:val="22"/>
        </w:rPr>
      </w:pPr>
    </w:p>
    <w:p w14:paraId="633489C2" w14:textId="77777777" w:rsidR="00042545" w:rsidRDefault="007635AD" w:rsidP="00042545">
      <w:pPr>
        <w:pStyle w:val="Heading2"/>
        <w:ind w:left="0"/>
        <w:jc w:val="both"/>
        <w:rPr>
          <w:rFonts w:ascii="Bookman Old Style" w:eastAsia="Calibri" w:hAnsi="Bookman Old Style"/>
          <w:b w:val="0"/>
          <w:sz w:val="22"/>
        </w:rPr>
      </w:pPr>
      <w:r w:rsidRPr="007635AD">
        <w:rPr>
          <w:rFonts w:ascii="Bookman Old Style" w:eastAsia="Calibri" w:hAnsi="Bookman Old Style"/>
          <w:b w:val="0"/>
          <w:sz w:val="22"/>
        </w:rPr>
        <w:t>Es así como, de acuerdo a la información suministrada por el Ministerio de Justicia y del Derecho y el INVIMA</w:t>
      </w:r>
      <w:r w:rsidR="00871176">
        <w:rPr>
          <w:rFonts w:ascii="Bookman Old Style" w:eastAsia="Calibri" w:hAnsi="Bookman Old Style"/>
          <w:b w:val="0"/>
          <w:sz w:val="22"/>
        </w:rPr>
        <w:t>,</w:t>
      </w:r>
      <w:r w:rsidRPr="007635AD">
        <w:rPr>
          <w:rFonts w:ascii="Bookman Old Style" w:eastAsia="Calibri" w:hAnsi="Bookman Old Style"/>
          <w:b w:val="0"/>
          <w:sz w:val="22"/>
        </w:rPr>
        <w:t xml:space="preserve"> se tiene que</w:t>
      </w:r>
      <w:r w:rsidR="00042545">
        <w:rPr>
          <w:rFonts w:ascii="Bookman Old Style" w:eastAsia="Calibri" w:hAnsi="Bookman Old Style"/>
          <w:b w:val="0"/>
          <w:sz w:val="22"/>
        </w:rPr>
        <w:t>,</w:t>
      </w:r>
      <w:r w:rsidRPr="007635AD">
        <w:rPr>
          <w:rFonts w:ascii="Bookman Old Style" w:eastAsia="Calibri" w:hAnsi="Bookman Old Style"/>
          <w:b w:val="0"/>
          <w:sz w:val="22"/>
        </w:rPr>
        <w:t xml:space="preserve"> desde e</w:t>
      </w:r>
      <w:r>
        <w:rPr>
          <w:rFonts w:ascii="Bookman Old Style" w:eastAsia="Calibri" w:hAnsi="Bookman Old Style"/>
          <w:b w:val="0"/>
          <w:sz w:val="22"/>
        </w:rPr>
        <w:t>l año 2017 hasta la fecha se ha</w:t>
      </w:r>
      <w:r w:rsidRPr="007635AD">
        <w:rPr>
          <w:rFonts w:ascii="Bookman Old Style" w:eastAsia="Calibri" w:hAnsi="Bookman Old Style"/>
          <w:b w:val="0"/>
          <w:sz w:val="22"/>
        </w:rPr>
        <w:t xml:space="preserve"> podido</w:t>
      </w:r>
      <w:r>
        <w:rPr>
          <w:rFonts w:ascii="Bookman Old Style" w:eastAsia="Calibri" w:hAnsi="Bookman Old Style"/>
          <w:b w:val="0"/>
          <w:sz w:val="22"/>
        </w:rPr>
        <w:t xml:space="preserve"> recaudar por concepto de licencias algo más de veinte mil millones de pesos. Dinero que</w:t>
      </w:r>
      <w:r w:rsidR="00042545">
        <w:rPr>
          <w:rFonts w:ascii="Bookman Old Style" w:eastAsia="Calibri" w:hAnsi="Bookman Old Style"/>
          <w:b w:val="0"/>
          <w:sz w:val="22"/>
        </w:rPr>
        <w:t>, gracias a un sector</w:t>
      </w:r>
      <w:r>
        <w:rPr>
          <w:rFonts w:ascii="Bookman Old Style" w:eastAsia="Calibri" w:hAnsi="Bookman Old Style"/>
          <w:b w:val="0"/>
          <w:sz w:val="22"/>
        </w:rPr>
        <w:t xml:space="preserve"> legal y controlado</w:t>
      </w:r>
      <w:r w:rsidR="00042545">
        <w:rPr>
          <w:rFonts w:ascii="Bookman Old Style" w:eastAsia="Calibri" w:hAnsi="Bookman Old Style"/>
          <w:b w:val="0"/>
          <w:sz w:val="22"/>
        </w:rPr>
        <w:t>,</w:t>
      </w:r>
      <w:r>
        <w:rPr>
          <w:rFonts w:ascii="Bookman Old Style" w:eastAsia="Calibri" w:hAnsi="Bookman Old Style"/>
          <w:b w:val="0"/>
          <w:sz w:val="22"/>
        </w:rPr>
        <w:t xml:space="preserve"> entra al erario y no al mercado ilegal, como era lo usual en el panorama anterior al</w:t>
      </w:r>
      <w:r w:rsidR="003D540B">
        <w:rPr>
          <w:rFonts w:ascii="Bookman Old Style" w:eastAsia="Calibri" w:hAnsi="Bookman Old Style"/>
          <w:b w:val="0"/>
          <w:sz w:val="22"/>
        </w:rPr>
        <w:t xml:space="preserve"> año 2016, según se relaciona en la siguiente tabla:</w:t>
      </w:r>
    </w:p>
    <w:p w14:paraId="7195B762" w14:textId="77777777" w:rsidR="00042545" w:rsidRDefault="00042545" w:rsidP="00042545">
      <w:pPr>
        <w:pStyle w:val="Heading2"/>
        <w:ind w:left="0"/>
        <w:jc w:val="both"/>
        <w:rPr>
          <w:rFonts w:ascii="Bookman Old Style" w:eastAsia="Calibri" w:hAnsi="Bookman Old Style"/>
          <w:b w:val="0"/>
          <w:sz w:val="22"/>
        </w:rPr>
      </w:pPr>
    </w:p>
    <w:tbl>
      <w:tblPr>
        <w:tblStyle w:val="TableGrid"/>
        <w:tblW w:w="9876" w:type="dxa"/>
        <w:tblInd w:w="-431" w:type="dxa"/>
        <w:tblLook w:val="04A0" w:firstRow="1" w:lastRow="0" w:firstColumn="1" w:lastColumn="0" w:noHBand="0" w:noVBand="1"/>
      </w:tblPr>
      <w:tblGrid>
        <w:gridCol w:w="1419"/>
        <w:gridCol w:w="2976"/>
        <w:gridCol w:w="3119"/>
        <w:gridCol w:w="2362"/>
      </w:tblGrid>
      <w:tr w:rsidR="00536FF5" w:rsidRPr="00207603" w14:paraId="74DE14B0" w14:textId="77777777" w:rsidTr="00652DA0">
        <w:trPr>
          <w:trHeight w:val="20"/>
        </w:trPr>
        <w:tc>
          <w:tcPr>
            <w:tcW w:w="1419" w:type="dxa"/>
            <w:shd w:val="clear" w:color="auto" w:fill="BFBFBF" w:themeFill="background1" w:themeFillShade="BF"/>
            <w:vAlign w:val="center"/>
          </w:tcPr>
          <w:p w14:paraId="17A917A0" w14:textId="77777777" w:rsidR="00536FF5" w:rsidRPr="00207603" w:rsidRDefault="007635AD" w:rsidP="00207603">
            <w:pPr>
              <w:jc w:val="center"/>
              <w:rPr>
                <w:rFonts w:ascii="Bookman Old Style" w:hAnsi="Bookman Old Style"/>
                <w:b/>
                <w:sz w:val="18"/>
                <w:szCs w:val="18"/>
              </w:rPr>
            </w:pPr>
            <w:r w:rsidRPr="00207603">
              <w:rPr>
                <w:rFonts w:ascii="Bookman Old Style" w:eastAsia="Calibri" w:hAnsi="Bookman Old Style"/>
                <w:sz w:val="18"/>
                <w:szCs w:val="18"/>
              </w:rPr>
              <w:t xml:space="preserve">  </w:t>
            </w:r>
          </w:p>
        </w:tc>
        <w:tc>
          <w:tcPr>
            <w:tcW w:w="2976" w:type="dxa"/>
            <w:shd w:val="clear" w:color="auto" w:fill="BFBFBF" w:themeFill="background1" w:themeFillShade="BF"/>
            <w:vAlign w:val="center"/>
          </w:tcPr>
          <w:p w14:paraId="4CFC13B1" w14:textId="77777777" w:rsidR="00536FF5" w:rsidRPr="00207603" w:rsidRDefault="00652DA0" w:rsidP="00207603">
            <w:pPr>
              <w:jc w:val="center"/>
              <w:rPr>
                <w:rFonts w:ascii="Bookman Old Style" w:hAnsi="Bookman Old Style"/>
                <w:b/>
                <w:sz w:val="18"/>
                <w:szCs w:val="18"/>
                <w:highlight w:val="lightGray"/>
              </w:rPr>
            </w:pPr>
            <w:r w:rsidRPr="00207603">
              <w:rPr>
                <w:rFonts w:ascii="Bookman Old Style" w:hAnsi="Bookman Old Style"/>
                <w:b/>
                <w:sz w:val="18"/>
                <w:szCs w:val="18"/>
                <w:highlight w:val="lightGray"/>
                <w:shd w:val="clear" w:color="auto" w:fill="FFFFFF"/>
              </w:rPr>
              <w:t>Uso de semillas</w:t>
            </w:r>
          </w:p>
        </w:tc>
        <w:tc>
          <w:tcPr>
            <w:tcW w:w="3119" w:type="dxa"/>
            <w:shd w:val="clear" w:color="auto" w:fill="BFBFBF" w:themeFill="background1" w:themeFillShade="BF"/>
            <w:vAlign w:val="center"/>
          </w:tcPr>
          <w:p w14:paraId="7D8C3A79" w14:textId="77777777" w:rsidR="00536FF5" w:rsidRPr="00207603" w:rsidRDefault="00652DA0" w:rsidP="00207603">
            <w:pPr>
              <w:jc w:val="center"/>
              <w:rPr>
                <w:rFonts w:ascii="Bookman Old Style" w:hAnsi="Bookman Old Style"/>
                <w:b/>
                <w:sz w:val="18"/>
                <w:szCs w:val="18"/>
                <w:highlight w:val="lightGray"/>
              </w:rPr>
            </w:pPr>
            <w:r w:rsidRPr="00207603">
              <w:rPr>
                <w:rFonts w:ascii="Bookman Old Style" w:hAnsi="Bookman Old Style"/>
                <w:b/>
                <w:sz w:val="18"/>
                <w:szCs w:val="18"/>
                <w:highlight w:val="lightGray"/>
                <w:shd w:val="clear" w:color="auto" w:fill="FFFFFF"/>
              </w:rPr>
              <w:t>Cultivo de plantas</w:t>
            </w:r>
          </w:p>
        </w:tc>
        <w:tc>
          <w:tcPr>
            <w:tcW w:w="2362" w:type="dxa"/>
            <w:shd w:val="clear" w:color="auto" w:fill="BFBFBF" w:themeFill="background1" w:themeFillShade="BF"/>
            <w:vAlign w:val="center"/>
          </w:tcPr>
          <w:p w14:paraId="07AC379C" w14:textId="77777777" w:rsidR="00536FF5" w:rsidRPr="00207603" w:rsidRDefault="00652DA0" w:rsidP="00207603">
            <w:pPr>
              <w:jc w:val="center"/>
              <w:rPr>
                <w:rFonts w:ascii="Bookman Old Style" w:hAnsi="Bookman Old Style"/>
                <w:b/>
                <w:sz w:val="18"/>
                <w:szCs w:val="18"/>
                <w:highlight w:val="lightGray"/>
              </w:rPr>
            </w:pPr>
            <w:r w:rsidRPr="00207603">
              <w:rPr>
                <w:rFonts w:ascii="Bookman Old Style" w:hAnsi="Bookman Old Style"/>
                <w:b/>
                <w:sz w:val="18"/>
                <w:szCs w:val="18"/>
                <w:highlight w:val="lightGray"/>
                <w:shd w:val="clear" w:color="auto" w:fill="FFFFFF"/>
              </w:rPr>
              <w:t>Licencia fabricación derivados del cannabis</w:t>
            </w:r>
          </w:p>
        </w:tc>
      </w:tr>
      <w:tr w:rsidR="00FE7304" w:rsidRPr="00207603" w14:paraId="639DEBAF" w14:textId="77777777" w:rsidTr="00652DA0">
        <w:trPr>
          <w:trHeight w:val="20"/>
        </w:trPr>
        <w:tc>
          <w:tcPr>
            <w:tcW w:w="1419" w:type="dxa"/>
            <w:shd w:val="clear" w:color="auto" w:fill="D9D9D9" w:themeFill="background1" w:themeFillShade="D9"/>
          </w:tcPr>
          <w:p w14:paraId="06CCACE9" w14:textId="77777777" w:rsidR="00652DA0" w:rsidRPr="00207603" w:rsidRDefault="00652DA0" w:rsidP="00FE7304">
            <w:pPr>
              <w:jc w:val="both"/>
              <w:rPr>
                <w:rFonts w:ascii="Bookman Old Style" w:hAnsi="Bookman Old Style"/>
                <w:b/>
                <w:sz w:val="18"/>
                <w:szCs w:val="18"/>
              </w:rPr>
            </w:pPr>
          </w:p>
          <w:p w14:paraId="75121B9E" w14:textId="77777777" w:rsidR="00652DA0" w:rsidRPr="00207603" w:rsidRDefault="00652DA0" w:rsidP="00FE7304">
            <w:pPr>
              <w:jc w:val="both"/>
              <w:rPr>
                <w:rFonts w:ascii="Bookman Old Style" w:hAnsi="Bookman Old Style"/>
                <w:b/>
                <w:sz w:val="18"/>
                <w:szCs w:val="18"/>
              </w:rPr>
            </w:pPr>
          </w:p>
          <w:p w14:paraId="52BA6659" w14:textId="77777777" w:rsidR="00652DA0" w:rsidRPr="00207603" w:rsidRDefault="00652DA0" w:rsidP="00FE7304">
            <w:pPr>
              <w:jc w:val="both"/>
              <w:rPr>
                <w:rFonts w:ascii="Bookman Old Style" w:hAnsi="Bookman Old Style"/>
                <w:b/>
                <w:sz w:val="18"/>
                <w:szCs w:val="18"/>
              </w:rPr>
            </w:pPr>
          </w:p>
          <w:p w14:paraId="53F5382D" w14:textId="77777777" w:rsidR="00FE7304" w:rsidRPr="00207603" w:rsidRDefault="00652DA0" w:rsidP="00FE7304">
            <w:pPr>
              <w:jc w:val="both"/>
              <w:rPr>
                <w:rFonts w:ascii="Bookman Old Style" w:hAnsi="Bookman Old Style"/>
                <w:b/>
                <w:sz w:val="18"/>
                <w:szCs w:val="18"/>
                <w:highlight w:val="lightGray"/>
                <w:shd w:val="clear" w:color="auto" w:fill="FFFFFF"/>
              </w:rPr>
            </w:pPr>
            <w:r w:rsidRPr="00207603">
              <w:rPr>
                <w:rFonts w:ascii="Bookman Old Style" w:hAnsi="Bookman Old Style"/>
                <w:b/>
                <w:sz w:val="18"/>
                <w:szCs w:val="18"/>
              </w:rPr>
              <w:t>Solicitudes recibidas</w:t>
            </w:r>
          </w:p>
        </w:tc>
        <w:tc>
          <w:tcPr>
            <w:tcW w:w="2976" w:type="dxa"/>
            <w:shd w:val="clear" w:color="auto" w:fill="auto"/>
          </w:tcPr>
          <w:p w14:paraId="0178FA02"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Comercialización o entrega: 292</w:t>
            </w:r>
          </w:p>
          <w:p w14:paraId="191BC22C" w14:textId="77777777" w:rsidR="00FE7304" w:rsidRPr="00207603" w:rsidRDefault="00FE7304" w:rsidP="00FE7304">
            <w:pPr>
              <w:jc w:val="both"/>
              <w:rPr>
                <w:rFonts w:ascii="Bookman Old Style" w:hAnsi="Bookman Old Style"/>
                <w:sz w:val="18"/>
                <w:szCs w:val="18"/>
              </w:rPr>
            </w:pPr>
          </w:p>
          <w:p w14:paraId="58F4C23D"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Científicos: 84</w:t>
            </w:r>
          </w:p>
          <w:p w14:paraId="40CC829A" w14:textId="77777777" w:rsidR="00FE7304" w:rsidRPr="00207603" w:rsidRDefault="00FE7304" w:rsidP="00FE7304">
            <w:pPr>
              <w:jc w:val="both"/>
              <w:rPr>
                <w:rFonts w:ascii="Bookman Old Style" w:hAnsi="Bookman Old Style"/>
                <w:sz w:val="18"/>
                <w:szCs w:val="18"/>
              </w:rPr>
            </w:pPr>
          </w:p>
          <w:p w14:paraId="00BB276A" w14:textId="77777777" w:rsidR="00FE7304" w:rsidRPr="00207603" w:rsidRDefault="00FE7304" w:rsidP="00FE7304">
            <w:pPr>
              <w:jc w:val="center"/>
              <w:rPr>
                <w:rFonts w:ascii="Bookman Old Style" w:hAnsi="Bookman Old Style"/>
                <w:b/>
                <w:sz w:val="18"/>
                <w:szCs w:val="18"/>
              </w:rPr>
            </w:pPr>
            <w:r w:rsidRPr="00207603">
              <w:rPr>
                <w:rFonts w:ascii="Bookman Old Style" w:hAnsi="Bookman Old Style"/>
                <w:b/>
                <w:sz w:val="18"/>
                <w:szCs w:val="18"/>
              </w:rPr>
              <w:t>Total: 376</w:t>
            </w:r>
          </w:p>
        </w:tc>
        <w:tc>
          <w:tcPr>
            <w:tcW w:w="3119" w:type="dxa"/>
            <w:shd w:val="clear" w:color="auto" w:fill="auto"/>
          </w:tcPr>
          <w:p w14:paraId="26E3BC57"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Producción semillas: 611</w:t>
            </w:r>
          </w:p>
          <w:p w14:paraId="09BD1D3E"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Producción grano: 468</w:t>
            </w:r>
          </w:p>
          <w:p w14:paraId="37178504"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Fabricación derivados: 791</w:t>
            </w:r>
          </w:p>
          <w:p w14:paraId="1C56B01A"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industriales: 21</w:t>
            </w:r>
          </w:p>
          <w:p w14:paraId="44AE95BC"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Científicos: 292</w:t>
            </w:r>
          </w:p>
          <w:p w14:paraId="78B3214A"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Almacenamiento: 196</w:t>
            </w:r>
          </w:p>
          <w:p w14:paraId="0B11057A"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Deposito Final: 177</w:t>
            </w:r>
          </w:p>
          <w:p w14:paraId="270BDAE2" w14:textId="77777777" w:rsidR="00FE7304" w:rsidRPr="00207603" w:rsidRDefault="00FE7304" w:rsidP="00FE7304">
            <w:pPr>
              <w:rPr>
                <w:rFonts w:ascii="Bookman Old Style" w:hAnsi="Bookman Old Style"/>
                <w:b/>
                <w:sz w:val="18"/>
                <w:szCs w:val="18"/>
              </w:rPr>
            </w:pPr>
          </w:p>
          <w:p w14:paraId="0CD8E779" w14:textId="77777777" w:rsidR="00FE7304" w:rsidRPr="00207603" w:rsidRDefault="00FE7304" w:rsidP="00FE7304">
            <w:pPr>
              <w:jc w:val="center"/>
              <w:rPr>
                <w:rFonts w:ascii="Bookman Old Style" w:hAnsi="Bookman Old Style"/>
                <w:sz w:val="18"/>
                <w:szCs w:val="18"/>
              </w:rPr>
            </w:pPr>
            <w:r w:rsidRPr="00207603">
              <w:rPr>
                <w:rFonts w:ascii="Bookman Old Style" w:hAnsi="Bookman Old Style"/>
                <w:b/>
                <w:sz w:val="18"/>
                <w:szCs w:val="18"/>
              </w:rPr>
              <w:t>Total: 2.556</w:t>
            </w:r>
          </w:p>
        </w:tc>
        <w:tc>
          <w:tcPr>
            <w:tcW w:w="2362" w:type="dxa"/>
            <w:shd w:val="clear" w:color="auto" w:fill="auto"/>
          </w:tcPr>
          <w:p w14:paraId="7834B87D" w14:textId="77777777" w:rsidR="00652DA0" w:rsidRPr="00207603" w:rsidRDefault="00652DA0" w:rsidP="00652DA0">
            <w:pPr>
              <w:jc w:val="center"/>
              <w:rPr>
                <w:rFonts w:ascii="Bookman Old Style" w:hAnsi="Bookman Old Style"/>
                <w:b/>
                <w:sz w:val="18"/>
                <w:szCs w:val="18"/>
                <w:shd w:val="clear" w:color="auto" w:fill="FFFFFF"/>
              </w:rPr>
            </w:pPr>
          </w:p>
          <w:p w14:paraId="199681B5" w14:textId="77777777" w:rsidR="00652DA0" w:rsidRPr="00207603" w:rsidRDefault="00652DA0" w:rsidP="00652DA0">
            <w:pPr>
              <w:jc w:val="center"/>
              <w:rPr>
                <w:rFonts w:ascii="Bookman Old Style" w:hAnsi="Bookman Old Style"/>
                <w:b/>
                <w:sz w:val="18"/>
                <w:szCs w:val="18"/>
                <w:shd w:val="clear" w:color="auto" w:fill="FFFFFF"/>
              </w:rPr>
            </w:pPr>
          </w:p>
          <w:p w14:paraId="3DFABE9E" w14:textId="77777777" w:rsidR="00652DA0" w:rsidRPr="00207603" w:rsidRDefault="00652DA0" w:rsidP="00652DA0">
            <w:pPr>
              <w:jc w:val="center"/>
              <w:rPr>
                <w:rFonts w:ascii="Bookman Old Style" w:hAnsi="Bookman Old Style"/>
                <w:b/>
                <w:sz w:val="18"/>
                <w:szCs w:val="18"/>
                <w:shd w:val="clear" w:color="auto" w:fill="FFFFFF"/>
              </w:rPr>
            </w:pPr>
          </w:p>
          <w:p w14:paraId="576F8046" w14:textId="77777777" w:rsidR="00652DA0" w:rsidRPr="00207603" w:rsidRDefault="00652DA0" w:rsidP="00652DA0">
            <w:pPr>
              <w:jc w:val="center"/>
              <w:rPr>
                <w:rFonts w:ascii="Bookman Old Style" w:hAnsi="Bookman Old Style"/>
                <w:b/>
                <w:sz w:val="18"/>
                <w:szCs w:val="18"/>
                <w:shd w:val="clear" w:color="auto" w:fill="FFFFFF"/>
              </w:rPr>
            </w:pPr>
          </w:p>
          <w:p w14:paraId="6B98E534" w14:textId="77777777" w:rsidR="00FE7304" w:rsidRPr="00207603" w:rsidRDefault="00FE7304" w:rsidP="00652DA0">
            <w:pPr>
              <w:jc w:val="center"/>
              <w:rPr>
                <w:rFonts w:ascii="Bookman Old Style" w:hAnsi="Bookman Old Style"/>
                <w:b/>
                <w:sz w:val="18"/>
                <w:szCs w:val="18"/>
                <w:shd w:val="clear" w:color="auto" w:fill="FFFFFF"/>
              </w:rPr>
            </w:pPr>
            <w:r w:rsidRPr="00207603">
              <w:rPr>
                <w:rFonts w:ascii="Bookman Old Style" w:hAnsi="Bookman Old Style"/>
                <w:b/>
                <w:sz w:val="18"/>
                <w:szCs w:val="18"/>
                <w:shd w:val="clear" w:color="auto" w:fill="FFFFFF"/>
              </w:rPr>
              <w:t>Total: 22</w:t>
            </w:r>
          </w:p>
        </w:tc>
      </w:tr>
      <w:tr w:rsidR="00FE7304" w:rsidRPr="00207603" w14:paraId="52B271BC" w14:textId="77777777" w:rsidTr="00652DA0">
        <w:trPr>
          <w:trHeight w:val="20"/>
        </w:trPr>
        <w:tc>
          <w:tcPr>
            <w:tcW w:w="1419" w:type="dxa"/>
            <w:shd w:val="clear" w:color="auto" w:fill="D9D9D9" w:themeFill="background1" w:themeFillShade="D9"/>
          </w:tcPr>
          <w:p w14:paraId="3C6772B7" w14:textId="77777777" w:rsidR="00652DA0" w:rsidRPr="00207603" w:rsidRDefault="00652DA0" w:rsidP="00FE7304">
            <w:pPr>
              <w:jc w:val="both"/>
              <w:rPr>
                <w:rFonts w:ascii="Bookman Old Style" w:hAnsi="Bookman Old Style"/>
                <w:b/>
                <w:sz w:val="18"/>
                <w:szCs w:val="18"/>
              </w:rPr>
            </w:pPr>
          </w:p>
          <w:p w14:paraId="67A89DA9" w14:textId="77777777" w:rsidR="00652DA0" w:rsidRPr="00207603" w:rsidRDefault="00652DA0" w:rsidP="00FE7304">
            <w:pPr>
              <w:jc w:val="both"/>
              <w:rPr>
                <w:rFonts w:ascii="Bookman Old Style" w:hAnsi="Bookman Old Style"/>
                <w:b/>
                <w:sz w:val="18"/>
                <w:szCs w:val="18"/>
              </w:rPr>
            </w:pPr>
          </w:p>
          <w:p w14:paraId="4AB54BAA" w14:textId="77777777" w:rsidR="00FE7304" w:rsidRPr="00207603" w:rsidRDefault="00652DA0" w:rsidP="00FE7304">
            <w:pPr>
              <w:jc w:val="both"/>
              <w:rPr>
                <w:rFonts w:ascii="Bookman Old Style" w:hAnsi="Bookman Old Style"/>
                <w:b/>
                <w:sz w:val="18"/>
                <w:szCs w:val="18"/>
                <w:highlight w:val="lightGray"/>
                <w:shd w:val="clear" w:color="auto" w:fill="FFFFFF"/>
              </w:rPr>
            </w:pPr>
            <w:r w:rsidRPr="00207603">
              <w:rPr>
                <w:rFonts w:ascii="Bookman Old Style" w:hAnsi="Bookman Old Style"/>
                <w:b/>
                <w:sz w:val="18"/>
                <w:szCs w:val="18"/>
              </w:rPr>
              <w:t>Licencias otorgadas</w:t>
            </w:r>
          </w:p>
        </w:tc>
        <w:tc>
          <w:tcPr>
            <w:tcW w:w="2976" w:type="dxa"/>
            <w:shd w:val="clear" w:color="auto" w:fill="auto"/>
          </w:tcPr>
          <w:p w14:paraId="2824887C"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Comercialización o entrega: 129</w:t>
            </w:r>
          </w:p>
          <w:p w14:paraId="1C94BAB7" w14:textId="77777777" w:rsidR="00FE7304" w:rsidRPr="00207603" w:rsidRDefault="00FE7304" w:rsidP="00FE7304">
            <w:pPr>
              <w:jc w:val="both"/>
              <w:rPr>
                <w:rFonts w:ascii="Bookman Old Style" w:hAnsi="Bookman Old Style"/>
                <w:sz w:val="18"/>
                <w:szCs w:val="18"/>
              </w:rPr>
            </w:pPr>
          </w:p>
          <w:p w14:paraId="10CBC4C4" w14:textId="77777777"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Científicos: 35</w:t>
            </w:r>
          </w:p>
          <w:p w14:paraId="74485536" w14:textId="77777777" w:rsidR="00FE7304" w:rsidRPr="00207603" w:rsidRDefault="00FE7304" w:rsidP="00FE7304">
            <w:pPr>
              <w:jc w:val="both"/>
              <w:rPr>
                <w:rFonts w:ascii="Bookman Old Style" w:hAnsi="Bookman Old Style"/>
                <w:sz w:val="18"/>
                <w:szCs w:val="18"/>
              </w:rPr>
            </w:pPr>
          </w:p>
          <w:p w14:paraId="15F9F9CC" w14:textId="77777777" w:rsidR="00FE7304" w:rsidRPr="00207603" w:rsidRDefault="00FE7304" w:rsidP="00FE7304">
            <w:pPr>
              <w:jc w:val="center"/>
              <w:rPr>
                <w:rFonts w:ascii="Bookman Old Style" w:hAnsi="Bookman Old Style"/>
                <w:b/>
                <w:sz w:val="18"/>
                <w:szCs w:val="18"/>
              </w:rPr>
            </w:pPr>
            <w:r w:rsidRPr="00207603">
              <w:rPr>
                <w:rFonts w:ascii="Bookman Old Style" w:hAnsi="Bookman Old Style"/>
                <w:b/>
                <w:sz w:val="18"/>
                <w:szCs w:val="18"/>
              </w:rPr>
              <w:t>Total: 164</w:t>
            </w:r>
          </w:p>
        </w:tc>
        <w:tc>
          <w:tcPr>
            <w:tcW w:w="3119" w:type="dxa"/>
            <w:shd w:val="clear" w:color="auto" w:fill="auto"/>
          </w:tcPr>
          <w:p w14:paraId="31F0C048" w14:textId="77777777"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Producción semillas: 210</w:t>
            </w:r>
          </w:p>
          <w:p w14:paraId="7C0D5455" w14:textId="77777777"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Producción grano: 110</w:t>
            </w:r>
          </w:p>
          <w:p w14:paraId="26693A57" w14:textId="77777777"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Fabricación derivados: 224</w:t>
            </w:r>
          </w:p>
          <w:p w14:paraId="2DEFE004" w14:textId="77777777"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industriales: 3</w:t>
            </w:r>
          </w:p>
          <w:p w14:paraId="6671CD12" w14:textId="77777777"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Científicos: 101</w:t>
            </w:r>
          </w:p>
          <w:p w14:paraId="36D520A7" w14:textId="77777777"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Almacenamiento: 6</w:t>
            </w:r>
          </w:p>
          <w:p w14:paraId="29527CD6" w14:textId="77777777"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Deposito Final: 6</w:t>
            </w:r>
          </w:p>
          <w:p w14:paraId="5C8BF33C" w14:textId="77777777" w:rsidR="00FE7304" w:rsidRPr="00207603" w:rsidRDefault="00FE7304" w:rsidP="00FE7304">
            <w:pPr>
              <w:jc w:val="center"/>
              <w:rPr>
                <w:rFonts w:ascii="Bookman Old Style" w:hAnsi="Bookman Old Style"/>
                <w:b/>
                <w:sz w:val="18"/>
                <w:szCs w:val="18"/>
                <w:shd w:val="clear" w:color="auto" w:fill="FFFFFF"/>
              </w:rPr>
            </w:pPr>
          </w:p>
          <w:p w14:paraId="7FFF284C" w14:textId="77777777" w:rsidR="00FE7304" w:rsidRPr="00207603" w:rsidRDefault="00FE7304" w:rsidP="00FE7304">
            <w:pPr>
              <w:jc w:val="center"/>
              <w:rPr>
                <w:rFonts w:ascii="Bookman Old Style" w:hAnsi="Bookman Old Style"/>
                <w:b/>
                <w:sz w:val="18"/>
                <w:szCs w:val="18"/>
                <w:shd w:val="clear" w:color="auto" w:fill="FFFFFF"/>
              </w:rPr>
            </w:pPr>
            <w:r w:rsidRPr="00207603">
              <w:rPr>
                <w:rFonts w:ascii="Bookman Old Style" w:hAnsi="Bookman Old Style"/>
                <w:b/>
                <w:sz w:val="18"/>
                <w:szCs w:val="18"/>
                <w:shd w:val="clear" w:color="auto" w:fill="FFFFFF"/>
              </w:rPr>
              <w:t xml:space="preserve">Total: </w:t>
            </w:r>
            <w:r w:rsidRPr="00207603">
              <w:rPr>
                <w:rFonts w:ascii="Bookman Old Style" w:hAnsi="Bookman Old Style"/>
                <w:b/>
                <w:sz w:val="18"/>
                <w:szCs w:val="18"/>
              </w:rPr>
              <w:t>660</w:t>
            </w:r>
          </w:p>
        </w:tc>
        <w:tc>
          <w:tcPr>
            <w:tcW w:w="2362" w:type="dxa"/>
            <w:shd w:val="clear" w:color="auto" w:fill="auto"/>
          </w:tcPr>
          <w:p w14:paraId="7AB9F433" w14:textId="77777777" w:rsidR="00652DA0" w:rsidRPr="00207603" w:rsidRDefault="00652DA0" w:rsidP="00652DA0">
            <w:pPr>
              <w:jc w:val="center"/>
              <w:rPr>
                <w:rFonts w:ascii="Bookman Old Style" w:hAnsi="Bookman Old Style"/>
                <w:b/>
                <w:sz w:val="18"/>
                <w:szCs w:val="18"/>
                <w:shd w:val="clear" w:color="auto" w:fill="FFFFFF"/>
              </w:rPr>
            </w:pPr>
          </w:p>
          <w:p w14:paraId="4ADA4DD3" w14:textId="77777777" w:rsidR="00652DA0" w:rsidRPr="00207603" w:rsidRDefault="00652DA0" w:rsidP="00652DA0">
            <w:pPr>
              <w:jc w:val="center"/>
              <w:rPr>
                <w:rFonts w:ascii="Bookman Old Style" w:hAnsi="Bookman Old Style"/>
                <w:b/>
                <w:sz w:val="18"/>
                <w:szCs w:val="18"/>
                <w:shd w:val="clear" w:color="auto" w:fill="FFFFFF"/>
              </w:rPr>
            </w:pPr>
          </w:p>
          <w:p w14:paraId="33E876E3" w14:textId="77777777" w:rsidR="00652DA0" w:rsidRPr="00207603" w:rsidRDefault="00652DA0" w:rsidP="00652DA0">
            <w:pPr>
              <w:jc w:val="center"/>
              <w:rPr>
                <w:rFonts w:ascii="Bookman Old Style" w:hAnsi="Bookman Old Style"/>
                <w:b/>
                <w:sz w:val="18"/>
                <w:szCs w:val="18"/>
                <w:shd w:val="clear" w:color="auto" w:fill="FFFFFF"/>
              </w:rPr>
            </w:pPr>
          </w:p>
          <w:p w14:paraId="7825B721" w14:textId="77777777" w:rsidR="00652DA0" w:rsidRPr="00207603" w:rsidRDefault="00652DA0" w:rsidP="00652DA0">
            <w:pPr>
              <w:jc w:val="center"/>
              <w:rPr>
                <w:rFonts w:ascii="Bookman Old Style" w:hAnsi="Bookman Old Style"/>
                <w:b/>
                <w:sz w:val="18"/>
                <w:szCs w:val="18"/>
                <w:shd w:val="clear" w:color="auto" w:fill="FFFFFF"/>
              </w:rPr>
            </w:pPr>
          </w:p>
          <w:p w14:paraId="59EF76EE" w14:textId="77777777" w:rsidR="00FE7304" w:rsidRPr="00207603" w:rsidRDefault="00FE7304" w:rsidP="00652DA0">
            <w:pPr>
              <w:jc w:val="center"/>
              <w:rPr>
                <w:rFonts w:ascii="Bookman Old Style" w:hAnsi="Bookman Old Style"/>
                <w:b/>
                <w:sz w:val="18"/>
                <w:szCs w:val="18"/>
                <w:shd w:val="clear" w:color="auto" w:fill="FFFFFF"/>
              </w:rPr>
            </w:pPr>
            <w:r w:rsidRPr="00207603">
              <w:rPr>
                <w:rFonts w:ascii="Bookman Old Style" w:hAnsi="Bookman Old Style"/>
                <w:b/>
                <w:sz w:val="18"/>
                <w:szCs w:val="18"/>
                <w:shd w:val="clear" w:color="auto" w:fill="FFFFFF"/>
              </w:rPr>
              <w:t>Total: 3</w:t>
            </w:r>
          </w:p>
        </w:tc>
      </w:tr>
      <w:tr w:rsidR="00FE7304" w:rsidRPr="00207603" w14:paraId="32D64709" w14:textId="77777777" w:rsidTr="00652DA0">
        <w:trPr>
          <w:trHeight w:val="20"/>
        </w:trPr>
        <w:tc>
          <w:tcPr>
            <w:tcW w:w="1419" w:type="dxa"/>
            <w:shd w:val="clear" w:color="auto" w:fill="D9D9D9" w:themeFill="background1" w:themeFillShade="D9"/>
          </w:tcPr>
          <w:p w14:paraId="22C21B01" w14:textId="77777777" w:rsidR="00652DA0" w:rsidRPr="00207603" w:rsidRDefault="00652DA0" w:rsidP="00652DA0">
            <w:pPr>
              <w:jc w:val="center"/>
              <w:rPr>
                <w:rFonts w:ascii="Bookman Old Style" w:hAnsi="Bookman Old Style"/>
                <w:b/>
                <w:sz w:val="18"/>
                <w:szCs w:val="18"/>
                <w:highlight w:val="lightGray"/>
                <w:shd w:val="clear" w:color="auto" w:fill="FFFFFF"/>
              </w:rPr>
            </w:pPr>
          </w:p>
          <w:p w14:paraId="0B92C9D0" w14:textId="77777777" w:rsidR="00652DA0" w:rsidRPr="00207603" w:rsidRDefault="00652DA0" w:rsidP="00652DA0">
            <w:pPr>
              <w:jc w:val="center"/>
              <w:rPr>
                <w:rFonts w:ascii="Bookman Old Style" w:hAnsi="Bookman Old Style"/>
                <w:b/>
                <w:sz w:val="18"/>
                <w:szCs w:val="18"/>
                <w:highlight w:val="lightGray"/>
                <w:shd w:val="clear" w:color="auto" w:fill="FFFFFF"/>
              </w:rPr>
            </w:pPr>
          </w:p>
          <w:p w14:paraId="1954D8E0" w14:textId="77777777" w:rsidR="00652DA0" w:rsidRPr="00207603" w:rsidRDefault="00652DA0" w:rsidP="00652DA0">
            <w:pPr>
              <w:jc w:val="center"/>
              <w:rPr>
                <w:rFonts w:ascii="Bookman Old Style" w:hAnsi="Bookman Old Style"/>
                <w:b/>
                <w:sz w:val="18"/>
                <w:szCs w:val="18"/>
                <w:highlight w:val="lightGray"/>
                <w:shd w:val="clear" w:color="auto" w:fill="FFFFFF"/>
              </w:rPr>
            </w:pPr>
          </w:p>
          <w:p w14:paraId="6710D892" w14:textId="77777777" w:rsidR="00652DA0" w:rsidRPr="00207603" w:rsidRDefault="00652DA0" w:rsidP="00652DA0">
            <w:pPr>
              <w:jc w:val="center"/>
              <w:rPr>
                <w:rFonts w:ascii="Bookman Old Style" w:hAnsi="Bookman Old Style"/>
                <w:b/>
                <w:sz w:val="18"/>
                <w:szCs w:val="18"/>
                <w:highlight w:val="lightGray"/>
                <w:shd w:val="clear" w:color="auto" w:fill="FFFFFF"/>
              </w:rPr>
            </w:pPr>
          </w:p>
          <w:p w14:paraId="0C515905" w14:textId="77777777" w:rsidR="00FE7304" w:rsidRPr="00207603" w:rsidRDefault="00652DA0" w:rsidP="00652DA0">
            <w:pPr>
              <w:jc w:val="center"/>
              <w:rPr>
                <w:rFonts w:ascii="Bookman Old Style" w:hAnsi="Bookman Old Style"/>
                <w:b/>
                <w:sz w:val="18"/>
                <w:szCs w:val="18"/>
                <w:highlight w:val="lightGray"/>
                <w:shd w:val="clear" w:color="auto" w:fill="FFFFFF"/>
              </w:rPr>
            </w:pPr>
            <w:r w:rsidRPr="00207603">
              <w:rPr>
                <w:rFonts w:ascii="Bookman Old Style" w:hAnsi="Bookman Old Style"/>
                <w:b/>
                <w:sz w:val="18"/>
                <w:szCs w:val="18"/>
              </w:rPr>
              <w:t>Recaudo</w:t>
            </w:r>
          </w:p>
        </w:tc>
        <w:tc>
          <w:tcPr>
            <w:tcW w:w="2976" w:type="dxa"/>
            <w:shd w:val="clear" w:color="auto" w:fill="auto"/>
          </w:tcPr>
          <w:p w14:paraId="27D0D196" w14:textId="77777777" w:rsidR="00FE7304" w:rsidRPr="00207603" w:rsidRDefault="00FE7304" w:rsidP="005C3D07">
            <w:pPr>
              <w:pStyle w:val="ListParagraph"/>
              <w:numPr>
                <w:ilvl w:val="0"/>
                <w:numId w:val="42"/>
              </w:numPr>
              <w:spacing w:after="0" w:line="240" w:lineRule="auto"/>
              <w:ind w:left="600" w:hanging="240"/>
              <w:rPr>
                <w:rFonts w:ascii="Bookman Old Style" w:hAnsi="Bookman Old Style"/>
                <w:b/>
                <w:sz w:val="18"/>
                <w:szCs w:val="18"/>
              </w:rPr>
            </w:pPr>
            <w:r w:rsidRPr="00207603">
              <w:rPr>
                <w:rFonts w:ascii="Bookman Old Style" w:hAnsi="Bookman Old Style"/>
                <w:b/>
                <w:sz w:val="18"/>
                <w:szCs w:val="18"/>
              </w:rPr>
              <w:t xml:space="preserve">2017: </w:t>
            </w:r>
            <w:r w:rsidRPr="00207603">
              <w:rPr>
                <w:rFonts w:ascii="Bookman Old Style" w:hAnsi="Bookman Old Style"/>
                <w:sz w:val="18"/>
                <w:szCs w:val="18"/>
              </w:rPr>
              <w:t>32´885.967</w:t>
            </w:r>
          </w:p>
          <w:p w14:paraId="110526E2" w14:textId="77777777" w:rsidR="00FE7304" w:rsidRPr="00207603" w:rsidRDefault="00FE7304" w:rsidP="005C3D07">
            <w:pPr>
              <w:pStyle w:val="ListParagraph"/>
              <w:numPr>
                <w:ilvl w:val="0"/>
                <w:numId w:val="42"/>
              </w:numPr>
              <w:spacing w:after="0" w:line="240" w:lineRule="auto"/>
              <w:ind w:left="600" w:hanging="240"/>
              <w:rPr>
                <w:rFonts w:ascii="Bookman Old Style" w:hAnsi="Bookman Old Style"/>
                <w:b/>
                <w:sz w:val="18"/>
                <w:szCs w:val="18"/>
              </w:rPr>
            </w:pPr>
            <w:r w:rsidRPr="00207603">
              <w:rPr>
                <w:rFonts w:ascii="Bookman Old Style" w:hAnsi="Bookman Old Style"/>
                <w:b/>
                <w:sz w:val="18"/>
                <w:szCs w:val="18"/>
              </w:rPr>
              <w:t xml:space="preserve">2018: </w:t>
            </w:r>
            <w:r w:rsidRPr="00207603">
              <w:rPr>
                <w:rFonts w:ascii="Bookman Old Style" w:hAnsi="Bookman Old Style"/>
                <w:sz w:val="18"/>
                <w:szCs w:val="18"/>
              </w:rPr>
              <w:t>1.164´699.549</w:t>
            </w:r>
          </w:p>
          <w:p w14:paraId="0DB17935" w14:textId="77777777" w:rsidR="00FE7304" w:rsidRPr="00207603" w:rsidRDefault="00FE7304" w:rsidP="005C3D07">
            <w:pPr>
              <w:pStyle w:val="ListParagraph"/>
              <w:numPr>
                <w:ilvl w:val="0"/>
                <w:numId w:val="42"/>
              </w:numPr>
              <w:spacing w:after="0" w:line="240" w:lineRule="auto"/>
              <w:ind w:left="600" w:hanging="240"/>
              <w:rPr>
                <w:rFonts w:ascii="Bookman Old Style" w:hAnsi="Bookman Old Style"/>
                <w:b/>
                <w:sz w:val="18"/>
                <w:szCs w:val="18"/>
              </w:rPr>
            </w:pPr>
            <w:r w:rsidRPr="00207603">
              <w:rPr>
                <w:rFonts w:ascii="Bookman Old Style" w:hAnsi="Bookman Old Style"/>
                <w:b/>
                <w:sz w:val="18"/>
                <w:szCs w:val="18"/>
              </w:rPr>
              <w:t xml:space="preserve">2019: </w:t>
            </w:r>
            <w:r w:rsidRPr="00207603">
              <w:rPr>
                <w:rFonts w:ascii="Bookman Old Style" w:hAnsi="Bookman Old Style"/>
                <w:sz w:val="18"/>
                <w:szCs w:val="18"/>
              </w:rPr>
              <w:t>650´770.772</w:t>
            </w:r>
          </w:p>
          <w:p w14:paraId="6C839635" w14:textId="77777777" w:rsidR="00FE7304" w:rsidRPr="00207603" w:rsidRDefault="00FE7304" w:rsidP="005C3D07">
            <w:pPr>
              <w:pStyle w:val="ListParagraph"/>
              <w:numPr>
                <w:ilvl w:val="0"/>
                <w:numId w:val="42"/>
              </w:numPr>
              <w:spacing w:after="0" w:line="240" w:lineRule="auto"/>
              <w:ind w:left="600" w:hanging="240"/>
              <w:rPr>
                <w:rFonts w:ascii="Bookman Old Style" w:hAnsi="Bookman Old Style"/>
                <w:b/>
                <w:sz w:val="18"/>
                <w:szCs w:val="18"/>
              </w:rPr>
            </w:pPr>
            <w:r w:rsidRPr="00207603">
              <w:rPr>
                <w:rFonts w:ascii="Bookman Old Style" w:hAnsi="Bookman Old Style"/>
                <w:b/>
                <w:sz w:val="18"/>
                <w:szCs w:val="18"/>
              </w:rPr>
              <w:t xml:space="preserve">2020: </w:t>
            </w:r>
            <w:r w:rsidRPr="00207603">
              <w:rPr>
                <w:rFonts w:ascii="Bookman Old Style" w:hAnsi="Bookman Old Style"/>
                <w:sz w:val="18"/>
                <w:szCs w:val="18"/>
              </w:rPr>
              <w:t>113´268.358</w:t>
            </w:r>
          </w:p>
          <w:p w14:paraId="0F2652B0" w14:textId="77777777" w:rsidR="00FE7304" w:rsidRPr="00207603" w:rsidRDefault="00FE7304" w:rsidP="00FE7304">
            <w:pPr>
              <w:rPr>
                <w:rFonts w:ascii="Bookman Old Style" w:hAnsi="Bookman Old Style"/>
                <w:b/>
                <w:sz w:val="18"/>
                <w:szCs w:val="18"/>
              </w:rPr>
            </w:pPr>
          </w:p>
          <w:p w14:paraId="4C3EDEE9" w14:textId="77777777" w:rsidR="00FE7304" w:rsidRPr="00207603" w:rsidRDefault="00FE7304" w:rsidP="00FE7304">
            <w:pPr>
              <w:jc w:val="center"/>
              <w:rPr>
                <w:rFonts w:ascii="Bookman Old Style" w:hAnsi="Bookman Old Style"/>
                <w:b/>
                <w:sz w:val="18"/>
                <w:szCs w:val="18"/>
              </w:rPr>
            </w:pPr>
            <w:r w:rsidRPr="00207603">
              <w:rPr>
                <w:rFonts w:ascii="Bookman Old Style" w:hAnsi="Bookman Old Style"/>
                <w:b/>
                <w:sz w:val="18"/>
                <w:szCs w:val="18"/>
              </w:rPr>
              <w:t>Total: 1.961´624.647</w:t>
            </w:r>
          </w:p>
        </w:tc>
        <w:tc>
          <w:tcPr>
            <w:tcW w:w="3119" w:type="dxa"/>
            <w:shd w:val="clear" w:color="auto" w:fill="auto"/>
          </w:tcPr>
          <w:p w14:paraId="22FA7A98" w14:textId="77777777" w:rsidR="00FE7304" w:rsidRPr="00207603" w:rsidRDefault="00FE7304" w:rsidP="005C3D07">
            <w:pPr>
              <w:pStyle w:val="ListParagraph"/>
              <w:numPr>
                <w:ilvl w:val="0"/>
                <w:numId w:val="41"/>
              </w:numPr>
              <w:spacing w:after="0" w:line="240" w:lineRule="auto"/>
              <w:ind w:left="601" w:hanging="241"/>
              <w:rPr>
                <w:rFonts w:ascii="Bookman Old Style" w:hAnsi="Bookman Old Style"/>
                <w:b/>
                <w:sz w:val="18"/>
                <w:szCs w:val="18"/>
              </w:rPr>
            </w:pPr>
            <w:r w:rsidRPr="00207603">
              <w:rPr>
                <w:rFonts w:ascii="Bookman Old Style" w:hAnsi="Bookman Old Style"/>
                <w:b/>
                <w:sz w:val="18"/>
                <w:szCs w:val="18"/>
              </w:rPr>
              <w:t xml:space="preserve">2017: </w:t>
            </w:r>
            <w:r w:rsidRPr="00207603">
              <w:rPr>
                <w:rFonts w:ascii="Bookman Old Style" w:hAnsi="Bookman Old Style"/>
                <w:sz w:val="18"/>
                <w:szCs w:val="18"/>
              </w:rPr>
              <w:t>669´371.933</w:t>
            </w:r>
          </w:p>
          <w:p w14:paraId="7E3DECE9" w14:textId="77777777" w:rsidR="00FE7304" w:rsidRPr="00207603" w:rsidRDefault="00FE7304" w:rsidP="005C3D07">
            <w:pPr>
              <w:pStyle w:val="ListParagraph"/>
              <w:numPr>
                <w:ilvl w:val="0"/>
                <w:numId w:val="41"/>
              </w:numPr>
              <w:spacing w:after="0" w:line="240" w:lineRule="auto"/>
              <w:ind w:left="601" w:hanging="241"/>
              <w:rPr>
                <w:rFonts w:ascii="Bookman Old Style" w:hAnsi="Bookman Old Style"/>
                <w:b/>
                <w:sz w:val="18"/>
                <w:szCs w:val="18"/>
              </w:rPr>
            </w:pPr>
            <w:r w:rsidRPr="00207603">
              <w:rPr>
                <w:rFonts w:ascii="Bookman Old Style" w:hAnsi="Bookman Old Style"/>
                <w:b/>
                <w:sz w:val="18"/>
                <w:szCs w:val="18"/>
              </w:rPr>
              <w:t xml:space="preserve">2018: </w:t>
            </w:r>
            <w:r w:rsidRPr="00207603">
              <w:rPr>
                <w:rFonts w:ascii="Bookman Old Style" w:hAnsi="Bookman Old Style"/>
                <w:sz w:val="18"/>
                <w:szCs w:val="18"/>
              </w:rPr>
              <w:t>7.170´036.312</w:t>
            </w:r>
          </w:p>
          <w:p w14:paraId="28B6A2BA" w14:textId="77777777" w:rsidR="00FE7304" w:rsidRPr="00207603" w:rsidRDefault="00FE7304" w:rsidP="005C3D07">
            <w:pPr>
              <w:pStyle w:val="ListParagraph"/>
              <w:numPr>
                <w:ilvl w:val="0"/>
                <w:numId w:val="41"/>
              </w:numPr>
              <w:spacing w:after="0" w:line="240" w:lineRule="auto"/>
              <w:ind w:left="601" w:hanging="241"/>
              <w:rPr>
                <w:rFonts w:ascii="Bookman Old Style" w:hAnsi="Bookman Old Style"/>
                <w:b/>
                <w:sz w:val="18"/>
                <w:szCs w:val="18"/>
              </w:rPr>
            </w:pPr>
            <w:r w:rsidRPr="00207603">
              <w:rPr>
                <w:rFonts w:ascii="Bookman Old Style" w:hAnsi="Bookman Old Style"/>
                <w:b/>
                <w:sz w:val="18"/>
                <w:szCs w:val="18"/>
              </w:rPr>
              <w:t xml:space="preserve">2019: </w:t>
            </w:r>
            <w:r w:rsidRPr="00207603">
              <w:rPr>
                <w:rFonts w:ascii="Bookman Old Style" w:hAnsi="Bookman Old Style"/>
                <w:sz w:val="18"/>
                <w:szCs w:val="18"/>
              </w:rPr>
              <w:t>8.327´384.407</w:t>
            </w:r>
          </w:p>
          <w:p w14:paraId="018D8B9F" w14:textId="77777777" w:rsidR="00FE7304" w:rsidRPr="00207603" w:rsidRDefault="00FE7304" w:rsidP="005C3D07">
            <w:pPr>
              <w:pStyle w:val="ListParagraph"/>
              <w:numPr>
                <w:ilvl w:val="0"/>
                <w:numId w:val="41"/>
              </w:numPr>
              <w:spacing w:after="0" w:line="240" w:lineRule="auto"/>
              <w:ind w:left="601" w:hanging="241"/>
              <w:rPr>
                <w:rFonts w:ascii="Bookman Old Style" w:hAnsi="Bookman Old Style"/>
                <w:sz w:val="18"/>
                <w:szCs w:val="18"/>
              </w:rPr>
            </w:pPr>
            <w:r w:rsidRPr="00207603">
              <w:rPr>
                <w:rFonts w:ascii="Bookman Old Style" w:hAnsi="Bookman Old Style"/>
                <w:b/>
                <w:sz w:val="18"/>
                <w:szCs w:val="18"/>
              </w:rPr>
              <w:t xml:space="preserve">2020: </w:t>
            </w:r>
            <w:r w:rsidRPr="00207603">
              <w:rPr>
                <w:rFonts w:ascii="Bookman Old Style" w:hAnsi="Bookman Old Style"/>
                <w:sz w:val="18"/>
                <w:szCs w:val="18"/>
              </w:rPr>
              <w:t>1.891´713.215</w:t>
            </w:r>
          </w:p>
          <w:p w14:paraId="2E320245" w14:textId="77777777" w:rsidR="00FE7304" w:rsidRPr="00207603" w:rsidRDefault="00FE7304" w:rsidP="00FE7304">
            <w:pPr>
              <w:rPr>
                <w:rFonts w:ascii="Bookman Old Style" w:hAnsi="Bookman Old Style"/>
                <w:b/>
                <w:sz w:val="18"/>
                <w:szCs w:val="18"/>
              </w:rPr>
            </w:pPr>
          </w:p>
          <w:p w14:paraId="4F8DCAB0" w14:textId="77777777" w:rsidR="00FE7304" w:rsidRPr="00207603" w:rsidRDefault="00FE7304" w:rsidP="00FE7304">
            <w:pPr>
              <w:jc w:val="center"/>
              <w:rPr>
                <w:rFonts w:ascii="Bookman Old Style" w:hAnsi="Bookman Old Style"/>
                <w:b/>
                <w:sz w:val="18"/>
                <w:szCs w:val="18"/>
              </w:rPr>
            </w:pPr>
            <w:r w:rsidRPr="00207603">
              <w:rPr>
                <w:rFonts w:ascii="Bookman Old Style" w:hAnsi="Bookman Old Style"/>
                <w:b/>
                <w:sz w:val="18"/>
                <w:szCs w:val="18"/>
              </w:rPr>
              <w:t>Total 18.058´505.869</w:t>
            </w:r>
          </w:p>
        </w:tc>
        <w:tc>
          <w:tcPr>
            <w:tcW w:w="2362" w:type="dxa"/>
            <w:shd w:val="clear" w:color="auto" w:fill="auto"/>
          </w:tcPr>
          <w:p w14:paraId="0DA59B11" w14:textId="77777777" w:rsidR="00FE7304" w:rsidRPr="00207603" w:rsidRDefault="00FE7304" w:rsidP="00FE7304">
            <w:pPr>
              <w:rPr>
                <w:rFonts w:ascii="Bookman Old Style" w:hAnsi="Bookman Old Style"/>
                <w:sz w:val="18"/>
                <w:szCs w:val="18"/>
              </w:rPr>
            </w:pPr>
          </w:p>
          <w:p w14:paraId="253AA428" w14:textId="77777777" w:rsidR="005C3D07" w:rsidRPr="00207603" w:rsidRDefault="005C3D07" w:rsidP="00FE7304">
            <w:pPr>
              <w:rPr>
                <w:rFonts w:ascii="Bookman Old Style" w:hAnsi="Bookman Old Style"/>
                <w:sz w:val="18"/>
                <w:szCs w:val="18"/>
              </w:rPr>
            </w:pPr>
          </w:p>
          <w:p w14:paraId="55B86939" w14:textId="77777777" w:rsidR="005C3D07" w:rsidRPr="00207603" w:rsidRDefault="005C3D07" w:rsidP="00FE7304">
            <w:pPr>
              <w:rPr>
                <w:rFonts w:ascii="Bookman Old Style" w:hAnsi="Bookman Old Style"/>
                <w:sz w:val="18"/>
                <w:szCs w:val="18"/>
              </w:rPr>
            </w:pPr>
          </w:p>
          <w:p w14:paraId="1EA98F9E" w14:textId="77777777" w:rsidR="00FE7304" w:rsidRPr="00207603" w:rsidRDefault="00FE7304" w:rsidP="005C3D07">
            <w:pPr>
              <w:pStyle w:val="ListParagraph"/>
              <w:numPr>
                <w:ilvl w:val="0"/>
                <w:numId w:val="40"/>
              </w:numPr>
              <w:spacing w:after="0" w:line="240" w:lineRule="auto"/>
              <w:ind w:left="175" w:hanging="141"/>
              <w:rPr>
                <w:rFonts w:ascii="Bookman Old Style" w:hAnsi="Bookman Old Style"/>
                <w:sz w:val="18"/>
                <w:szCs w:val="18"/>
              </w:rPr>
            </w:pPr>
            <w:r w:rsidRPr="00207603">
              <w:rPr>
                <w:rFonts w:ascii="Bookman Old Style" w:hAnsi="Bookman Old Style"/>
                <w:b/>
                <w:sz w:val="18"/>
                <w:szCs w:val="18"/>
              </w:rPr>
              <w:t>2019</w:t>
            </w:r>
            <w:r w:rsidRPr="00207603">
              <w:rPr>
                <w:rFonts w:ascii="Bookman Old Style" w:hAnsi="Bookman Old Style"/>
                <w:sz w:val="18"/>
                <w:szCs w:val="18"/>
              </w:rPr>
              <w:t>: 39´630.880</w:t>
            </w:r>
          </w:p>
          <w:p w14:paraId="69F7670E" w14:textId="77777777" w:rsidR="00FE7304" w:rsidRPr="00207603" w:rsidRDefault="00FE7304" w:rsidP="005C3D07">
            <w:pPr>
              <w:pStyle w:val="ListParagraph"/>
              <w:numPr>
                <w:ilvl w:val="0"/>
                <w:numId w:val="40"/>
              </w:numPr>
              <w:spacing w:after="0" w:line="240" w:lineRule="auto"/>
              <w:ind w:left="175" w:hanging="141"/>
              <w:rPr>
                <w:rFonts w:ascii="Bookman Old Style" w:hAnsi="Bookman Old Style"/>
                <w:sz w:val="18"/>
                <w:szCs w:val="18"/>
              </w:rPr>
            </w:pPr>
            <w:r w:rsidRPr="00207603">
              <w:rPr>
                <w:rFonts w:ascii="Bookman Old Style" w:hAnsi="Bookman Old Style"/>
                <w:b/>
                <w:sz w:val="18"/>
                <w:szCs w:val="18"/>
              </w:rPr>
              <w:t>2020</w:t>
            </w:r>
            <w:r w:rsidRPr="00207603">
              <w:rPr>
                <w:rFonts w:ascii="Bookman Old Style" w:hAnsi="Bookman Old Style"/>
                <w:sz w:val="18"/>
                <w:szCs w:val="18"/>
              </w:rPr>
              <w:t>: 193´601.099</w:t>
            </w:r>
          </w:p>
          <w:p w14:paraId="533968F0" w14:textId="77777777" w:rsidR="00FE7304" w:rsidRPr="00207603" w:rsidRDefault="00FE7304" w:rsidP="00FE7304">
            <w:pPr>
              <w:jc w:val="center"/>
              <w:rPr>
                <w:rFonts w:ascii="Bookman Old Style" w:hAnsi="Bookman Old Style"/>
                <w:b/>
                <w:sz w:val="18"/>
                <w:szCs w:val="18"/>
              </w:rPr>
            </w:pPr>
          </w:p>
          <w:p w14:paraId="5C7BABC2" w14:textId="77777777" w:rsidR="00FE7304" w:rsidRDefault="00FE7304" w:rsidP="00FE7304">
            <w:pPr>
              <w:jc w:val="center"/>
              <w:rPr>
                <w:rFonts w:ascii="Bookman Old Style" w:hAnsi="Bookman Old Style"/>
                <w:b/>
                <w:sz w:val="18"/>
                <w:szCs w:val="18"/>
              </w:rPr>
            </w:pPr>
            <w:r w:rsidRPr="00207603">
              <w:rPr>
                <w:rFonts w:ascii="Bookman Old Style" w:hAnsi="Bookman Old Style"/>
                <w:b/>
                <w:sz w:val="18"/>
                <w:szCs w:val="18"/>
              </w:rPr>
              <w:t>Total: 233´231.979</w:t>
            </w:r>
          </w:p>
          <w:p w14:paraId="0F7912E3" w14:textId="77777777" w:rsidR="00837AB4" w:rsidRPr="00207603" w:rsidRDefault="00837AB4" w:rsidP="00FE7304">
            <w:pPr>
              <w:jc w:val="center"/>
              <w:rPr>
                <w:rFonts w:ascii="Bookman Old Style" w:hAnsi="Bookman Old Style"/>
                <w:b/>
                <w:sz w:val="18"/>
                <w:szCs w:val="18"/>
                <w:shd w:val="clear" w:color="auto" w:fill="FFFFFF"/>
              </w:rPr>
            </w:pPr>
          </w:p>
        </w:tc>
      </w:tr>
      <w:tr w:rsidR="00FE7304" w:rsidRPr="00207603" w14:paraId="42E39F3E" w14:textId="77777777" w:rsidTr="00652DA0">
        <w:trPr>
          <w:trHeight w:val="20"/>
        </w:trPr>
        <w:tc>
          <w:tcPr>
            <w:tcW w:w="4395" w:type="dxa"/>
            <w:gridSpan w:val="2"/>
            <w:shd w:val="clear" w:color="auto" w:fill="D9D9D9" w:themeFill="background1" w:themeFillShade="D9"/>
            <w:vAlign w:val="center"/>
          </w:tcPr>
          <w:p w14:paraId="6170036D" w14:textId="77777777" w:rsidR="00FE7304" w:rsidRPr="00207603" w:rsidRDefault="00FE7304" w:rsidP="00FE7304">
            <w:pPr>
              <w:jc w:val="center"/>
              <w:rPr>
                <w:rFonts w:ascii="Bookman Old Style" w:hAnsi="Bookman Old Style"/>
                <w:b/>
                <w:i/>
                <w:sz w:val="18"/>
                <w:szCs w:val="18"/>
              </w:rPr>
            </w:pPr>
            <w:r w:rsidRPr="00207603">
              <w:rPr>
                <w:rFonts w:ascii="Bookman Old Style" w:hAnsi="Bookman Old Style"/>
                <w:b/>
                <w:sz w:val="18"/>
                <w:szCs w:val="18"/>
              </w:rPr>
              <w:t>TOTAL RECAUDADO</w:t>
            </w:r>
          </w:p>
        </w:tc>
        <w:tc>
          <w:tcPr>
            <w:tcW w:w="3119" w:type="dxa"/>
            <w:shd w:val="clear" w:color="auto" w:fill="auto"/>
          </w:tcPr>
          <w:p w14:paraId="214060AA" w14:textId="77777777" w:rsidR="00FE7304" w:rsidRPr="00207603" w:rsidRDefault="00FE7304" w:rsidP="00FE7304">
            <w:pPr>
              <w:pStyle w:val="ListParagraph"/>
              <w:rPr>
                <w:rFonts w:ascii="Bookman Old Style" w:hAnsi="Bookman Old Style"/>
                <w:b/>
                <w:sz w:val="18"/>
                <w:szCs w:val="18"/>
              </w:rPr>
            </w:pPr>
          </w:p>
          <w:p w14:paraId="3DC91B19" w14:textId="77777777" w:rsidR="00FE7304" w:rsidRPr="00207603" w:rsidRDefault="00FE7304" w:rsidP="00FE7304">
            <w:pPr>
              <w:pStyle w:val="ListParagraph"/>
              <w:rPr>
                <w:rFonts w:ascii="Bookman Old Style" w:hAnsi="Bookman Old Style"/>
                <w:b/>
                <w:sz w:val="18"/>
                <w:szCs w:val="18"/>
              </w:rPr>
            </w:pPr>
            <w:r w:rsidRPr="00207603">
              <w:rPr>
                <w:rFonts w:ascii="Bookman Old Style" w:hAnsi="Bookman Old Style"/>
                <w:b/>
                <w:sz w:val="18"/>
                <w:szCs w:val="18"/>
              </w:rPr>
              <w:t>20.253´362.495</w:t>
            </w:r>
          </w:p>
        </w:tc>
        <w:tc>
          <w:tcPr>
            <w:tcW w:w="2362" w:type="dxa"/>
            <w:shd w:val="clear" w:color="auto" w:fill="auto"/>
          </w:tcPr>
          <w:p w14:paraId="6721508B" w14:textId="77777777" w:rsidR="00207603" w:rsidRDefault="007D41DB" w:rsidP="005C3D07">
            <w:pPr>
              <w:jc w:val="center"/>
              <w:rPr>
                <w:rFonts w:ascii="Bookman Old Style" w:hAnsi="Bookman Old Style"/>
                <w:b/>
                <w:sz w:val="18"/>
                <w:szCs w:val="18"/>
              </w:rPr>
            </w:pPr>
            <w:r w:rsidRPr="00207603">
              <w:rPr>
                <w:rFonts w:ascii="Bookman Old Style" w:hAnsi="Bookman Old Style"/>
                <w:b/>
                <w:sz w:val="18"/>
                <w:szCs w:val="18"/>
              </w:rPr>
              <w:t xml:space="preserve">Más de </w:t>
            </w:r>
          </w:p>
          <w:p w14:paraId="041BC2C3" w14:textId="77777777" w:rsidR="00207603" w:rsidRDefault="00207603" w:rsidP="005C3D07">
            <w:pPr>
              <w:jc w:val="center"/>
              <w:rPr>
                <w:rFonts w:ascii="Bookman Old Style" w:hAnsi="Bookman Old Style"/>
                <w:b/>
                <w:sz w:val="18"/>
                <w:szCs w:val="18"/>
              </w:rPr>
            </w:pPr>
            <w:r>
              <w:rPr>
                <w:rFonts w:ascii="Bookman Old Style" w:hAnsi="Bookman Old Style"/>
                <w:b/>
                <w:sz w:val="18"/>
                <w:szCs w:val="18"/>
              </w:rPr>
              <w:t>VEINTE</w:t>
            </w:r>
          </w:p>
          <w:p w14:paraId="380B5349" w14:textId="77777777" w:rsidR="00FE7304" w:rsidRPr="00207603" w:rsidRDefault="00FE7304" w:rsidP="005C3D07">
            <w:pPr>
              <w:jc w:val="center"/>
              <w:rPr>
                <w:rFonts w:ascii="Bookman Old Style" w:hAnsi="Bookman Old Style"/>
                <w:b/>
                <w:sz w:val="18"/>
                <w:szCs w:val="18"/>
              </w:rPr>
            </w:pPr>
            <w:r w:rsidRPr="00207603">
              <w:rPr>
                <w:rFonts w:ascii="Bookman Old Style" w:hAnsi="Bookman Old Style"/>
                <w:b/>
                <w:sz w:val="18"/>
                <w:szCs w:val="18"/>
              </w:rPr>
              <w:t xml:space="preserve"> MIL MILLONES</w:t>
            </w:r>
          </w:p>
          <w:p w14:paraId="2586E3F3" w14:textId="77777777" w:rsidR="00FE7304" w:rsidRPr="00207603" w:rsidRDefault="00FE7304" w:rsidP="00FE7304">
            <w:pPr>
              <w:jc w:val="center"/>
              <w:rPr>
                <w:rFonts w:ascii="Bookman Old Style" w:hAnsi="Bookman Old Style"/>
                <w:b/>
                <w:sz w:val="18"/>
                <w:szCs w:val="18"/>
              </w:rPr>
            </w:pPr>
            <w:r w:rsidRPr="00207603">
              <w:rPr>
                <w:rFonts w:ascii="Bookman Old Style" w:hAnsi="Bookman Old Style"/>
                <w:b/>
                <w:sz w:val="18"/>
                <w:szCs w:val="18"/>
              </w:rPr>
              <w:t>Desde el año 2017 hasta la fecha.</w:t>
            </w:r>
          </w:p>
        </w:tc>
      </w:tr>
    </w:tbl>
    <w:p w14:paraId="3160EFAE" w14:textId="77777777" w:rsidR="00536FF5" w:rsidRDefault="00536FF5" w:rsidP="00536FF5">
      <w:pPr>
        <w:rPr>
          <w:rFonts w:eastAsia="Calibri"/>
        </w:rPr>
      </w:pPr>
    </w:p>
    <w:p w14:paraId="6ED7BE19" w14:textId="77777777" w:rsidR="00837AB4" w:rsidRPr="00536FF5" w:rsidRDefault="00837AB4" w:rsidP="00536FF5">
      <w:pPr>
        <w:rPr>
          <w:rFonts w:eastAsia="Calibri"/>
        </w:rPr>
      </w:pPr>
    </w:p>
    <w:p w14:paraId="65A4C7C1" w14:textId="77777777" w:rsidR="00871176" w:rsidRDefault="00871176" w:rsidP="00871176">
      <w:pPr>
        <w:widowControl/>
        <w:pBdr>
          <w:top w:val="nil"/>
          <w:left w:val="nil"/>
          <w:bottom w:val="nil"/>
          <w:right w:val="nil"/>
          <w:between w:val="nil"/>
        </w:pBdr>
        <w:jc w:val="both"/>
        <w:rPr>
          <w:rFonts w:ascii="Bookman Old Style" w:eastAsia="Calibri" w:hAnsi="Bookman Old Style" w:cs="Arial"/>
          <w:color w:val="000000"/>
          <w:lang w:val="es-ES_tradnl"/>
        </w:rPr>
      </w:pPr>
      <w:r>
        <w:rPr>
          <w:rFonts w:ascii="Bookman Old Style" w:eastAsia="Calibri" w:hAnsi="Bookman Old Style" w:cs="Arial"/>
          <w:color w:val="000000"/>
        </w:rPr>
        <w:t xml:space="preserve">Bajo esta misma línea, </w:t>
      </w:r>
      <w:r w:rsidRPr="00DB15D7">
        <w:rPr>
          <w:rFonts w:ascii="Bookman Old Style" w:eastAsia="Calibri" w:hAnsi="Bookman Old Style" w:cs="Arial"/>
          <w:color w:val="000000"/>
          <w:lang w:val="es-ES_tradnl"/>
        </w:rPr>
        <w:t xml:space="preserve"> el </w:t>
      </w:r>
      <w:r>
        <w:rPr>
          <w:rFonts w:ascii="Bookman Old Style" w:eastAsia="Calibri" w:hAnsi="Bookman Old Style" w:cs="Arial"/>
          <w:color w:val="000000"/>
          <w:lang w:val="es-ES_tradnl"/>
        </w:rPr>
        <w:t>ex</w:t>
      </w:r>
      <w:r w:rsidRPr="00DB15D7">
        <w:rPr>
          <w:rFonts w:ascii="Bookman Old Style" w:eastAsia="Calibri" w:hAnsi="Bookman Old Style" w:cs="Arial"/>
          <w:color w:val="000000"/>
          <w:lang w:val="es-ES_tradnl"/>
        </w:rPr>
        <w:t>ministro Juan Carlos Echeverry, el recaudo generado por esta industria podría evitarle al país una reforma tributaria, ya que el recaudo por concepto de impuesto de renta se podría ubicar entre 1,2 y 3,5 billones de pesos</w:t>
      </w:r>
      <w:r>
        <w:rPr>
          <w:rFonts w:ascii="Bookman Old Style" w:eastAsia="Calibri" w:hAnsi="Bookman Old Style" w:cs="Arial"/>
          <w:i/>
          <w:lang w:val="es-ES_tradnl"/>
        </w:rPr>
        <w:t>.</w:t>
      </w:r>
      <w:r w:rsidR="008F1C10">
        <w:rPr>
          <w:rStyle w:val="FootnoteReference"/>
          <w:rFonts w:ascii="Bookman Old Style" w:eastAsia="Calibri" w:hAnsi="Bookman Old Style" w:cs="Arial"/>
          <w:i/>
          <w:lang w:val="es-ES_tradnl"/>
        </w:rPr>
        <w:footnoteReference w:id="39"/>
      </w:r>
    </w:p>
    <w:p w14:paraId="7D902EEC" w14:textId="77777777" w:rsidR="00871176" w:rsidRDefault="00871176" w:rsidP="00871176">
      <w:pPr>
        <w:widowControl/>
        <w:pBdr>
          <w:top w:val="nil"/>
          <w:left w:val="nil"/>
          <w:bottom w:val="nil"/>
          <w:right w:val="nil"/>
          <w:between w:val="nil"/>
        </w:pBdr>
        <w:jc w:val="both"/>
        <w:rPr>
          <w:rFonts w:ascii="Bookman Old Style" w:eastAsia="Calibri" w:hAnsi="Bookman Old Style" w:cs="Arial"/>
          <w:color w:val="000000"/>
          <w:lang w:val="es-ES_tradnl"/>
        </w:rPr>
      </w:pPr>
    </w:p>
    <w:p w14:paraId="1F64FE96" w14:textId="77777777" w:rsidR="00871176" w:rsidRPr="00871176" w:rsidRDefault="00871176" w:rsidP="00871176">
      <w:pPr>
        <w:widowControl/>
        <w:pBdr>
          <w:top w:val="nil"/>
          <w:left w:val="nil"/>
          <w:bottom w:val="nil"/>
          <w:right w:val="nil"/>
          <w:between w:val="nil"/>
        </w:pBdr>
        <w:jc w:val="both"/>
        <w:rPr>
          <w:rFonts w:ascii="Bookman Old Style" w:eastAsia="Calibri" w:hAnsi="Bookman Old Style" w:cs="Arial"/>
          <w:color w:val="000000"/>
          <w:lang w:val="es-ES_tradnl"/>
        </w:rPr>
      </w:pPr>
      <w:r w:rsidRPr="00DB15D7">
        <w:rPr>
          <w:rFonts w:ascii="Bookman Old Style" w:eastAsia="Calibri" w:hAnsi="Bookman Old Style" w:cs="Arial"/>
          <w:color w:val="000000"/>
          <w:lang w:val="es-ES_tradnl"/>
        </w:rPr>
        <w:t>El hecho de que la industria de cannabis medicinal pueda alcanzar ingresos superiores a 100 millones de dólares a corto plazo es un hecho muy significativo, si se tiene en cuenta que las exportaciones de flores se demoraron diez años en superar los US$100 millones y casi 25 años en llegar a US$ 500 millones.</w:t>
      </w:r>
      <w:r w:rsidR="008F1C10">
        <w:rPr>
          <w:rStyle w:val="FootnoteReference"/>
          <w:rFonts w:ascii="Bookman Old Style" w:eastAsia="Calibri" w:hAnsi="Bookman Old Style" w:cs="Arial"/>
          <w:color w:val="000000"/>
          <w:lang w:val="es-ES_tradnl"/>
        </w:rPr>
        <w:footnoteReference w:id="40"/>
      </w:r>
      <w:r w:rsidRPr="00DB15D7">
        <w:rPr>
          <w:rFonts w:ascii="Bookman Old Style" w:eastAsia="Calibri" w:hAnsi="Bookman Old Style" w:cs="Arial"/>
          <w:color w:val="000000"/>
          <w:lang w:val="es-ES_tradnl"/>
        </w:rPr>
        <w:t xml:space="preserve"> </w:t>
      </w:r>
    </w:p>
    <w:p w14:paraId="008774DF" w14:textId="77777777" w:rsidR="00871176" w:rsidRPr="00871176" w:rsidRDefault="00871176" w:rsidP="003D540B">
      <w:pPr>
        <w:pStyle w:val="Heading2"/>
        <w:ind w:left="0"/>
        <w:jc w:val="both"/>
        <w:rPr>
          <w:rFonts w:ascii="Bookman Old Style" w:eastAsia="Calibri" w:hAnsi="Bookman Old Style"/>
          <w:b w:val="0"/>
          <w:sz w:val="22"/>
          <w:lang w:val="es-ES_tradnl"/>
        </w:rPr>
      </w:pPr>
    </w:p>
    <w:p w14:paraId="679B4136" w14:textId="77777777" w:rsidR="00E453A8" w:rsidRPr="00871176" w:rsidRDefault="003D540B" w:rsidP="00871176">
      <w:pPr>
        <w:pStyle w:val="Heading2"/>
        <w:ind w:left="0"/>
        <w:jc w:val="both"/>
        <w:rPr>
          <w:rFonts w:ascii="Bookman Old Style" w:eastAsia="Calibri" w:hAnsi="Bookman Old Style"/>
          <w:b w:val="0"/>
          <w:sz w:val="22"/>
        </w:rPr>
      </w:pPr>
      <w:r>
        <w:rPr>
          <w:rFonts w:ascii="Bookman Old Style" w:eastAsia="Calibri" w:hAnsi="Bookman Old Style"/>
          <w:b w:val="0"/>
          <w:sz w:val="22"/>
        </w:rPr>
        <w:t xml:space="preserve">Aunado a que las cifras pueden continuar en aumento teniendo en consideración </w:t>
      </w:r>
      <w:r w:rsidR="00871176">
        <w:rPr>
          <w:rFonts w:ascii="Bookman Old Style" w:eastAsia="Calibri" w:hAnsi="Bookman Old Style"/>
          <w:b w:val="0"/>
          <w:sz w:val="22"/>
        </w:rPr>
        <w:t xml:space="preserve">1) </w:t>
      </w:r>
      <w:r>
        <w:rPr>
          <w:rFonts w:ascii="Bookman Old Style" w:eastAsia="Calibri" w:hAnsi="Bookman Old Style"/>
          <w:b w:val="0"/>
          <w:sz w:val="22"/>
        </w:rPr>
        <w:t>que dicho mercado deja de ser estigmatizado</w:t>
      </w:r>
      <w:r w:rsidR="00871176">
        <w:rPr>
          <w:rFonts w:ascii="Bookman Old Style" w:eastAsia="Calibri" w:hAnsi="Bookman Old Style"/>
          <w:b w:val="0"/>
          <w:sz w:val="22"/>
        </w:rPr>
        <w:t>; 2)</w:t>
      </w:r>
      <w:r>
        <w:rPr>
          <w:rFonts w:ascii="Bookman Old Style" w:eastAsia="Calibri" w:hAnsi="Bookman Old Style"/>
          <w:b w:val="0"/>
          <w:sz w:val="22"/>
        </w:rPr>
        <w:t xml:space="preserve"> cada vez hay más cupos otorgados</w:t>
      </w:r>
      <w:r w:rsidR="00871176">
        <w:rPr>
          <w:rFonts w:ascii="Bookman Old Style" w:eastAsia="Calibri" w:hAnsi="Bookman Old Style"/>
          <w:b w:val="0"/>
          <w:sz w:val="22"/>
        </w:rPr>
        <w:t>;</w:t>
      </w:r>
      <w:r>
        <w:rPr>
          <w:rFonts w:ascii="Bookman Old Style" w:eastAsia="Calibri" w:hAnsi="Bookman Old Style"/>
          <w:b w:val="0"/>
          <w:sz w:val="22"/>
        </w:rPr>
        <w:t xml:space="preserve"> </w:t>
      </w:r>
      <w:r w:rsidR="00871176">
        <w:rPr>
          <w:rFonts w:ascii="Bookman Old Style" w:eastAsia="Calibri" w:hAnsi="Bookman Old Style"/>
          <w:b w:val="0"/>
          <w:sz w:val="22"/>
        </w:rPr>
        <w:t xml:space="preserve">3) hay un aumento exponencial de </w:t>
      </w:r>
      <w:r>
        <w:rPr>
          <w:rFonts w:ascii="Bookman Old Style" w:eastAsia="Calibri" w:hAnsi="Bookman Old Style"/>
          <w:b w:val="0"/>
          <w:sz w:val="22"/>
        </w:rPr>
        <w:t>solicitudes de licencias para el uso de semillas, el cultivo de plantas y la fabricación de derivados</w:t>
      </w:r>
      <w:r w:rsidR="00871176">
        <w:rPr>
          <w:rFonts w:ascii="Bookman Old Style" w:eastAsia="Calibri" w:hAnsi="Bookman Old Style"/>
          <w:b w:val="0"/>
          <w:sz w:val="22"/>
        </w:rPr>
        <w:t>; y 4) Aumenta la cifra de países que se abren a este nuevo mercado.</w:t>
      </w:r>
    </w:p>
    <w:p w14:paraId="4A21A948" w14:textId="77777777" w:rsidR="00EB0CD0" w:rsidRPr="00EB0CD0" w:rsidRDefault="00EB0CD0" w:rsidP="00EB0CD0">
      <w:pPr>
        <w:rPr>
          <w:rFonts w:eastAsia="Calibri"/>
        </w:rPr>
      </w:pPr>
    </w:p>
    <w:p w14:paraId="08680D58" w14:textId="77777777" w:rsidR="00F36280" w:rsidRPr="00485CC5" w:rsidRDefault="00F36280" w:rsidP="00207603">
      <w:pPr>
        <w:pStyle w:val="Heading2"/>
        <w:numPr>
          <w:ilvl w:val="0"/>
          <w:numId w:val="35"/>
        </w:numPr>
        <w:jc w:val="both"/>
        <w:rPr>
          <w:rFonts w:ascii="Bookman Old Style" w:eastAsia="Calibri" w:hAnsi="Bookman Old Style" w:cs="Calibri"/>
          <w:sz w:val="22"/>
          <w:szCs w:val="24"/>
        </w:rPr>
      </w:pPr>
      <w:r w:rsidRPr="00485CC5">
        <w:rPr>
          <w:rFonts w:ascii="Bookman Old Style" w:eastAsia="Calibri" w:hAnsi="Bookman Old Style" w:cs="Calibri"/>
          <w:sz w:val="22"/>
          <w:szCs w:val="24"/>
        </w:rPr>
        <w:t>REGULACIÓN DE ESTUPEFACIENTES EN COLOMBIA: ANÁLISIS CONSTITUCIONAL Y LEGAL.</w:t>
      </w:r>
    </w:p>
    <w:p w14:paraId="1AD4A8CF" w14:textId="77777777" w:rsidR="00F36280" w:rsidRPr="00485CC5" w:rsidRDefault="00F36280" w:rsidP="00F36280">
      <w:pPr>
        <w:rPr>
          <w:rFonts w:ascii="Bookman Old Style" w:eastAsia="Calibri" w:hAnsi="Bookman Old Style"/>
          <w:szCs w:val="24"/>
        </w:rPr>
      </w:pPr>
    </w:p>
    <w:p w14:paraId="6B5CDDBF"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La Corte Constitucional en </w:t>
      </w:r>
      <w:r w:rsidRPr="00485CC5">
        <w:rPr>
          <w:rFonts w:ascii="Bookman Old Style" w:eastAsia="Calibri" w:hAnsi="Bookman Old Style" w:cs="Calibri"/>
          <w:bCs/>
          <w:szCs w:val="24"/>
        </w:rPr>
        <w:t>Sentencia T-388 de 2013</w:t>
      </w:r>
      <w:r w:rsidRPr="00485CC5">
        <w:rPr>
          <w:rFonts w:ascii="Bookman Old Style" w:eastAsia="Calibri" w:hAnsi="Bookman Old Style" w:cs="Calibri"/>
          <w:szCs w:val="24"/>
        </w:rPr>
        <w:t> determinó que la política 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14:paraId="64B3CC57" w14:textId="77777777" w:rsidR="00F36280" w:rsidRPr="00485CC5" w:rsidRDefault="00F36280" w:rsidP="00F36280">
      <w:pPr>
        <w:jc w:val="both"/>
        <w:rPr>
          <w:rFonts w:ascii="Bookman Old Style" w:eastAsia="Calibri" w:hAnsi="Bookman Old Style" w:cs="Calibri"/>
          <w:szCs w:val="24"/>
        </w:rPr>
      </w:pPr>
    </w:p>
    <w:p w14:paraId="60B30B6E" w14:textId="77777777" w:rsidR="008C1E9F"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Bajo esta directriz, </w:t>
      </w:r>
      <w:r w:rsidRPr="00485CC5">
        <w:rPr>
          <w:rFonts w:ascii="Bookman Old Style" w:eastAsia="Calibri" w:hAnsi="Bookman Old Style" w:cs="Calibri"/>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14:paraId="4FCA7565" w14:textId="77777777" w:rsidR="008C1E9F" w:rsidRPr="00485CC5" w:rsidRDefault="008C1E9F" w:rsidP="00F36280">
      <w:pPr>
        <w:jc w:val="both"/>
        <w:rPr>
          <w:rFonts w:ascii="Bookman Old Style" w:eastAsia="Calibri" w:hAnsi="Bookman Old Style" w:cs="Calibri"/>
          <w:szCs w:val="24"/>
          <w:lang w:val="es-ES_tradnl"/>
        </w:rPr>
      </w:pPr>
    </w:p>
    <w:p w14:paraId="250675E4"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Las políticas prohibicionistas, además de ser infructuosas van en detrimento de los derechos fundamentales al libre desarrollo de la personalidad, igualdad y salud pública.</w:t>
      </w:r>
    </w:p>
    <w:p w14:paraId="03E56946" w14:textId="77777777" w:rsidR="00F36280" w:rsidRPr="00485CC5" w:rsidRDefault="00F36280" w:rsidP="00F36280">
      <w:pPr>
        <w:jc w:val="both"/>
        <w:rPr>
          <w:rFonts w:ascii="Bookman Old Style" w:eastAsia="Calibri" w:hAnsi="Bookman Old Style" w:cs="Calibri"/>
          <w:szCs w:val="24"/>
          <w:lang w:val="es-ES_tradnl"/>
        </w:rPr>
      </w:pPr>
    </w:p>
    <w:p w14:paraId="130453CF" w14:textId="77777777" w:rsidR="00F36280" w:rsidRPr="00485CC5" w:rsidRDefault="00F36280" w:rsidP="00F36280">
      <w:pPr>
        <w:jc w:val="both"/>
        <w:rPr>
          <w:rFonts w:ascii="Bookman Old Style" w:eastAsia="Calibri" w:hAnsi="Bookman Old Style" w:cs="Calibri"/>
          <w:bCs/>
          <w:i/>
          <w:iCs/>
          <w:szCs w:val="24"/>
          <w:lang w:val="es-ES_tradnl"/>
        </w:rPr>
      </w:pPr>
      <w:r w:rsidRPr="00485CC5">
        <w:rPr>
          <w:rFonts w:ascii="Bookman Old Style" w:eastAsia="Calibri" w:hAnsi="Bookman Old Style" w:cs="Calibri"/>
          <w:bCs/>
          <w:iCs/>
          <w:szCs w:val="24"/>
          <w:lang w:val="es-ES_tradnl"/>
        </w:rPr>
        <w:t>La penalización del cannabis no impide que las personas accedan a ella, pero las obliga a consumirla en condiciones de ilegalidad y bajo constante amenaza policial.</w:t>
      </w:r>
      <w:r w:rsidRPr="00485CC5">
        <w:rPr>
          <w:rStyle w:val="FootnoteReference"/>
          <w:rFonts w:ascii="Bookman Old Style" w:eastAsia="Calibri" w:hAnsi="Bookman Old Style" w:cs="Calibri"/>
          <w:bCs/>
          <w:iCs/>
          <w:szCs w:val="24"/>
          <w:lang w:val="es-ES_tradnl"/>
        </w:rPr>
        <w:footnoteReference w:id="41"/>
      </w:r>
      <w:r w:rsidRPr="00485CC5">
        <w:rPr>
          <w:rFonts w:ascii="Bookman Old Style" w:eastAsia="Calibri" w:hAnsi="Bookman Old Style" w:cs="Calibri"/>
          <w:bCs/>
          <w:i/>
          <w:iCs/>
          <w:szCs w:val="24"/>
          <w:lang w:val="es-ES_tradnl"/>
        </w:rPr>
        <w:t xml:space="preserve"> </w:t>
      </w:r>
    </w:p>
    <w:p w14:paraId="280FFA93" w14:textId="77777777" w:rsidR="00F36280" w:rsidRPr="00485CC5" w:rsidRDefault="00F36280" w:rsidP="00F36280">
      <w:pPr>
        <w:jc w:val="both"/>
        <w:rPr>
          <w:rFonts w:ascii="Bookman Old Style" w:eastAsia="Calibri" w:hAnsi="Bookman Old Style" w:cs="Calibri"/>
          <w:bCs/>
          <w:i/>
          <w:iCs/>
          <w:szCs w:val="24"/>
          <w:lang w:val="es-ES_tradnl"/>
        </w:rPr>
      </w:pPr>
    </w:p>
    <w:p w14:paraId="080CB318" w14:textId="77777777" w:rsidR="00251DA4" w:rsidRPr="00485CC5" w:rsidRDefault="00F36280" w:rsidP="00F36280">
      <w:pPr>
        <w:jc w:val="both"/>
        <w:rPr>
          <w:rFonts w:ascii="Bookman Old Style" w:eastAsia="Calibri" w:hAnsi="Bookman Old Style" w:cs="Calibri"/>
          <w:bCs/>
          <w:iCs/>
          <w:szCs w:val="24"/>
          <w:lang w:val="es-ES_tradnl"/>
        </w:rPr>
      </w:pPr>
      <w:r w:rsidRPr="00485CC5">
        <w:rPr>
          <w:rFonts w:ascii="Bookman Old Style" w:eastAsia="Calibri" w:hAnsi="Bookman Old Style" w:cs="Calibri"/>
          <w:bCs/>
          <w:iCs/>
          <w:szCs w:val="24"/>
          <w:lang w:val="es-ES_tradnl"/>
        </w:rPr>
        <w:t>A continuación, analizaremos las políticas actuales a la luz del derecho constitucional colombiano, así como de la política criminal vigente. Esto con el fin de evidenciar que es momento de cambiar la regulación vigente en aras de fortalecer un sistema jurídico coherente y de lograr resultados más efectivos en lo relativo al control del porte y consumo del cannabis.</w:t>
      </w:r>
    </w:p>
    <w:p w14:paraId="6A3F6374" w14:textId="77777777" w:rsidR="00F36280" w:rsidRPr="00E453A8" w:rsidRDefault="00F36280" w:rsidP="00F36280">
      <w:pPr>
        <w:pStyle w:val="Heading2"/>
        <w:ind w:left="0"/>
        <w:rPr>
          <w:rFonts w:ascii="Bookman Old Style" w:eastAsia="Calibri" w:hAnsi="Bookman Old Style" w:cs="Calibri"/>
          <w:sz w:val="22"/>
          <w:szCs w:val="24"/>
          <w:lang w:val="es-ES_tradnl"/>
        </w:rPr>
      </w:pPr>
    </w:p>
    <w:p w14:paraId="1CD73AC6" w14:textId="77777777" w:rsidR="00F36280" w:rsidRPr="00485CC5" w:rsidRDefault="00E453A8" w:rsidP="00F36280">
      <w:pPr>
        <w:pStyle w:val="Heading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 PROHIBICIÓN VS. DERECHOS FUNDAMENTALES</w:t>
      </w:r>
    </w:p>
    <w:p w14:paraId="07F68B69" w14:textId="77777777" w:rsidR="00F36280" w:rsidRPr="00485CC5" w:rsidRDefault="00F36280" w:rsidP="00F36280">
      <w:pPr>
        <w:jc w:val="both"/>
        <w:rPr>
          <w:rFonts w:ascii="Bookman Old Style" w:eastAsia="Calibri" w:hAnsi="Bookman Old Style" w:cs="Calibri"/>
          <w:szCs w:val="24"/>
        </w:rPr>
      </w:pPr>
    </w:p>
    <w:p w14:paraId="184EE794"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Como fue referido al inicio de este documento, el consumo de sustancias estupefacientes está relacionado con tres derechos fundamentales: </w:t>
      </w:r>
      <w:r w:rsidR="00750120">
        <w:rPr>
          <w:rFonts w:ascii="Bookman Old Style" w:eastAsia="Calibri" w:hAnsi="Bookman Old Style" w:cs="Calibri"/>
          <w:szCs w:val="24"/>
        </w:rPr>
        <w:t>el derecho al libre desarrollo de la personalidad, el derecho a la igualdad y</w:t>
      </w:r>
      <w:r w:rsidRPr="00485CC5">
        <w:rPr>
          <w:rFonts w:ascii="Bookman Old Style" w:eastAsia="Calibri" w:hAnsi="Bookman Old Style" w:cs="Calibri"/>
          <w:szCs w:val="24"/>
        </w:rPr>
        <w:t xml:space="preserve"> </w:t>
      </w:r>
      <w:r w:rsidR="00750120">
        <w:rPr>
          <w:rFonts w:ascii="Bookman Old Style" w:eastAsia="Calibri" w:hAnsi="Bookman Old Style" w:cs="Calibri"/>
          <w:szCs w:val="24"/>
        </w:rPr>
        <w:t xml:space="preserve">el derecho a </w:t>
      </w:r>
      <w:r w:rsidRPr="00485CC5">
        <w:rPr>
          <w:rFonts w:ascii="Bookman Old Style" w:eastAsia="Calibri" w:hAnsi="Bookman Old Style" w:cs="Calibri"/>
          <w:szCs w:val="24"/>
        </w:rPr>
        <w:t xml:space="preserve">la salud. </w:t>
      </w:r>
    </w:p>
    <w:p w14:paraId="2616E798" w14:textId="77777777" w:rsidR="00F36280" w:rsidRPr="00485CC5" w:rsidRDefault="00F36280" w:rsidP="00F36280">
      <w:pPr>
        <w:pStyle w:val="Heading2"/>
        <w:ind w:left="0"/>
        <w:rPr>
          <w:rFonts w:ascii="Bookman Old Style" w:eastAsia="Calibri" w:hAnsi="Bookman Old Style" w:cs="Calibri"/>
          <w:sz w:val="22"/>
          <w:szCs w:val="24"/>
        </w:rPr>
      </w:pPr>
    </w:p>
    <w:p w14:paraId="57BF68FD" w14:textId="77777777" w:rsidR="00F36280" w:rsidRPr="00485CC5" w:rsidRDefault="00E453A8" w:rsidP="00F36280">
      <w:pPr>
        <w:pStyle w:val="Heading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.1.1. DERECHO AL LIBRE DESARROLLO DE LA PERSONALIDAD</w:t>
      </w:r>
    </w:p>
    <w:p w14:paraId="652BA9A5" w14:textId="77777777" w:rsidR="00F36280" w:rsidRPr="00485CC5" w:rsidRDefault="00F36280" w:rsidP="00F36280">
      <w:pPr>
        <w:jc w:val="both"/>
        <w:rPr>
          <w:rFonts w:ascii="Bookman Old Style" w:eastAsia="Calibri" w:hAnsi="Bookman Old Style" w:cs="Calibri"/>
          <w:szCs w:val="24"/>
        </w:rPr>
      </w:pPr>
    </w:p>
    <w:p w14:paraId="571802D2"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lastRenderedPageBreak/>
        <w:t xml:space="preserve">El derecho al libre desarrollo de la personalidad, manifestación de la </w:t>
      </w:r>
      <w:r w:rsidRPr="00485CC5">
        <w:rPr>
          <w:rFonts w:ascii="Bookman Old Style" w:eastAsia="Calibri" w:hAnsi="Bookman Old Style" w:cs="Calibri"/>
          <w:szCs w:val="24"/>
          <w:lang w:val="es-ES_tradnl"/>
        </w:rPr>
        <w:t>libertad como un fin esencial del Estado Social de Derecho</w:t>
      </w:r>
      <w:r w:rsidRPr="00485CC5">
        <w:rPr>
          <w:rStyle w:val="FootnoteReference"/>
          <w:rFonts w:ascii="Bookman Old Style" w:eastAsia="Calibri" w:hAnsi="Bookman Old Style" w:cs="Calibri"/>
          <w:szCs w:val="24"/>
          <w:lang w:val="es-ES_tradnl"/>
        </w:rPr>
        <w:footnoteReference w:id="42"/>
      </w:r>
      <w:r w:rsidRPr="00485CC5">
        <w:rPr>
          <w:rFonts w:ascii="Bookman Old Style" w:eastAsia="Calibri" w:hAnsi="Bookman Old Style" w:cs="Calibri"/>
          <w:szCs w:val="24"/>
          <w:lang w:val="es-ES_tradnl"/>
        </w:rPr>
        <w:t xml:space="preserve">, se deriva del reconocimiento expreso realizado por el Constituyente en el artículo 16 de la Carta Política, en virtud del cual </w:t>
      </w:r>
      <w:r w:rsidRPr="00485CC5">
        <w:rPr>
          <w:rFonts w:ascii="Bookman Old Style" w:eastAsia="Calibri" w:hAnsi="Bookman Old Style" w:cs="Calibri"/>
          <w:i/>
          <w:szCs w:val="24"/>
          <w:lang w:val="es-ES_tradnl"/>
        </w:rPr>
        <w:t>“todas las personas tienen derecho al libre desarrollo de su personalidad sin más limitaciones que las que imponen los derechos de los demás y el orden jurídico.”</w:t>
      </w:r>
      <w:r w:rsidRPr="00485CC5">
        <w:rPr>
          <w:rFonts w:ascii="Bookman Old Style" w:eastAsia="Calibri" w:hAnsi="Bookman Old Style" w:cs="Calibri"/>
          <w:szCs w:val="24"/>
          <w:lang w:val="es-ES_tradnl"/>
        </w:rPr>
        <w:t xml:space="preserve"> </w:t>
      </w:r>
    </w:p>
    <w:p w14:paraId="4F3110FF" w14:textId="77777777" w:rsidR="00F36280" w:rsidRPr="00485CC5" w:rsidRDefault="00F36280" w:rsidP="00F36280">
      <w:pPr>
        <w:jc w:val="both"/>
        <w:rPr>
          <w:rFonts w:ascii="Bookman Old Style" w:eastAsia="Calibri" w:hAnsi="Bookman Old Style" w:cs="Calibri"/>
          <w:szCs w:val="24"/>
          <w:lang w:val="es-ES_tradnl"/>
        </w:rPr>
      </w:pPr>
    </w:p>
    <w:p w14:paraId="2865F741"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Este derecho, de naturaleza fundamental, </w:t>
      </w:r>
      <w:r w:rsidRPr="00485CC5">
        <w:rPr>
          <w:rFonts w:ascii="Bookman Old Style" w:eastAsia="Calibri" w:hAnsi="Bookman Old Style" w:cs="Calibri"/>
          <w:szCs w:val="24"/>
        </w:rPr>
        <w:t>ostenta un vínculo innegable con el derecho a la dignidad humana y “</w:t>
      </w:r>
      <w:r w:rsidRPr="00485CC5">
        <w:rPr>
          <w:rFonts w:ascii="Bookman Old Style" w:eastAsia="Calibri" w:hAnsi="Bookman Old Style" w:cs="Calibri"/>
          <w:i/>
          <w:szCs w:val="24"/>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Pr="00485CC5">
        <w:rPr>
          <w:rFonts w:ascii="Bookman Old Style" w:eastAsia="Calibri" w:hAnsi="Bookman Old Style" w:cs="Calibri"/>
          <w:szCs w:val="24"/>
        </w:rPr>
        <w:t>”.</w:t>
      </w:r>
      <w:r w:rsidRPr="00485CC5">
        <w:rPr>
          <w:rStyle w:val="FootnoteReference"/>
          <w:rFonts w:ascii="Bookman Old Style" w:eastAsia="Calibri" w:hAnsi="Bookman Old Style" w:cs="Calibri"/>
          <w:szCs w:val="24"/>
        </w:rPr>
        <w:footnoteReference w:id="43"/>
      </w:r>
    </w:p>
    <w:p w14:paraId="6ACB52AD" w14:textId="77777777" w:rsidR="00F36280" w:rsidRPr="00485CC5" w:rsidRDefault="00F36280" w:rsidP="00F36280">
      <w:pPr>
        <w:jc w:val="both"/>
        <w:rPr>
          <w:rFonts w:ascii="Bookman Old Style" w:eastAsia="Calibri" w:hAnsi="Bookman Old Style" w:cs="Calibri"/>
          <w:szCs w:val="24"/>
          <w:lang w:val="es-ES_tradnl"/>
        </w:rPr>
      </w:pPr>
    </w:p>
    <w:p w14:paraId="152F9D6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reiterados pronunciamientos, la jurisprudencia de la Corte Constitucional ha sido enfática en que todas las limitaciones al derecho al libre desarrollo de la personalidad deben contar con un fundamento jurídico constitucional.</w:t>
      </w:r>
      <w:r w:rsidRPr="00485CC5">
        <w:rPr>
          <w:rStyle w:val="FootnoteReference"/>
          <w:rFonts w:ascii="Bookman Old Style" w:eastAsia="Calibri" w:hAnsi="Bookman Old Style" w:cs="Calibri"/>
          <w:szCs w:val="24"/>
          <w:lang w:val="es-ES_tradnl"/>
        </w:rPr>
        <w:footnoteReference w:id="44"/>
      </w:r>
      <w:r w:rsidRPr="00485CC5">
        <w:rPr>
          <w:rFonts w:ascii="Bookman Old Style" w:eastAsia="Calibri" w:hAnsi="Bookman Old Style" w:cs="Calibri"/>
          <w:szCs w:val="24"/>
          <w:lang w:val="es-ES_tradnl"/>
        </w:rPr>
        <w:t xml:space="preserve"> Lo anterior implica que la libertad de configuración legislativa se encuentra especialmente restringida y que, en cualquier caso, es necesario realizar un juicio de ponderación para garantizar que no se vea afectada la autonomía de cada ser humano para  alcanzar su realización personal.</w:t>
      </w:r>
      <w:r w:rsidRPr="00485CC5">
        <w:rPr>
          <w:rStyle w:val="FootnoteReference"/>
          <w:rFonts w:ascii="Bookman Old Style" w:eastAsia="Calibri" w:hAnsi="Bookman Old Style" w:cs="Calibri"/>
          <w:szCs w:val="24"/>
          <w:lang w:val="es-ES_tradnl"/>
        </w:rPr>
        <w:footnoteReference w:id="45"/>
      </w:r>
    </w:p>
    <w:p w14:paraId="5EB72BB3" w14:textId="77777777" w:rsidR="00F36280" w:rsidRPr="00485CC5" w:rsidRDefault="00F36280" w:rsidP="00F36280">
      <w:pPr>
        <w:tabs>
          <w:tab w:val="center" w:pos="4419"/>
        </w:tabs>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b/>
      </w:r>
    </w:p>
    <w:p w14:paraId="34144859"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Bajo esta línea jurisprudencial, la Corte ha reconocido, desde el año 1991, un extenso catálogo de derechos que habían sido limitados por iniciativa legislativa y que hacían referencia a aspectos íntimos de los ciudadanos, entre los que se resaltan aquellos relacionados con la orientación sexual o el consumo de sustancias psicoactivas.</w:t>
      </w:r>
    </w:p>
    <w:p w14:paraId="09283B67" w14:textId="77777777" w:rsidR="00F36280" w:rsidRPr="00485CC5" w:rsidRDefault="00F36280" w:rsidP="00F36280">
      <w:pPr>
        <w:jc w:val="both"/>
        <w:rPr>
          <w:rFonts w:ascii="Bookman Old Style" w:eastAsia="Calibri" w:hAnsi="Bookman Old Style" w:cs="Calibri"/>
          <w:szCs w:val="24"/>
          <w:lang w:val="es-ES_tradnl"/>
        </w:rPr>
      </w:pPr>
    </w:p>
    <w:p w14:paraId="677B9351"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Fue precisamente este último tema, la penalización del consumo de drogas, el que motivó en el año 1994 un análisis sobre el derecho al libre desarrollo de la personalidad y a los límites del legislador en esa materia. </w:t>
      </w:r>
    </w:p>
    <w:p w14:paraId="0ACF6D69" w14:textId="77777777" w:rsidR="00F36280" w:rsidRPr="00485CC5" w:rsidRDefault="00F36280" w:rsidP="00F36280">
      <w:pPr>
        <w:jc w:val="both"/>
        <w:rPr>
          <w:rFonts w:ascii="Bookman Old Style" w:eastAsia="Calibri" w:hAnsi="Bookman Old Style" w:cs="Calibri"/>
          <w:szCs w:val="24"/>
          <w:lang w:val="es-ES_tradnl"/>
        </w:rPr>
      </w:pPr>
    </w:p>
    <w:p w14:paraId="52A50699"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Dentro del análisis realizado por la Corte en la sentencia referida, afirmó el Alto Tribunal que el “</w:t>
      </w:r>
      <w:r w:rsidRPr="00485CC5">
        <w:rPr>
          <w:rFonts w:ascii="Bookman Old Style" w:eastAsia="Calibri" w:hAnsi="Bookman Old Style" w:cs="Calibri"/>
          <w:i/>
          <w:szCs w:val="24"/>
          <w:lang w:val="es-ES_tradnl"/>
        </w:rPr>
        <w:t>legislador puede prescribirme la forma en que debo comportarme con otros, pero no la forma en que debo comportarme conmigo mismo, en la medida en que mi conducta no interfiere con la órbita de acción de nadie.  Si de hecho lo hace, su prescripción sólo puede interpretarse de una de estas tres maneras: 1) expresa un deseo sin connotaciones normativas; 2) se asume dueño absoluto de la conducta de cada persona, aún en los aspectos que nada tienen que ver con la conducta ajena; 3) toma en cuenta la situación de otras personas a quienes la conducta del sujeto destinatario puede afectar.”</w:t>
      </w:r>
    </w:p>
    <w:p w14:paraId="1FFAF0ED" w14:textId="77777777" w:rsidR="00F36280" w:rsidRPr="00485CC5" w:rsidRDefault="00F36280" w:rsidP="00F36280">
      <w:pPr>
        <w:jc w:val="both"/>
        <w:rPr>
          <w:rFonts w:ascii="Bookman Old Style" w:eastAsia="Calibri" w:hAnsi="Bookman Old Style" w:cs="Calibri"/>
          <w:szCs w:val="24"/>
          <w:lang w:val="es-ES_tradnl"/>
        </w:rPr>
      </w:pPr>
    </w:p>
    <w:p w14:paraId="78F989AA"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De lo anterior se desprende entonces que el Estado no está facultado para imponer, ni siquiera por la vía legislativa, unos límites al accionar de cada individuo en aquellas actividades que repercutan únicamente en su </w:t>
      </w:r>
      <w:r w:rsidR="00DC49AD" w:rsidRPr="00485CC5">
        <w:rPr>
          <w:rFonts w:ascii="Bookman Old Style" w:eastAsia="Calibri" w:hAnsi="Bookman Old Style" w:cs="Calibri"/>
          <w:szCs w:val="24"/>
          <w:lang w:val="es-ES_tradnl"/>
        </w:rPr>
        <w:t>autodeterminación,</w:t>
      </w:r>
      <w:r w:rsidRPr="00485CC5">
        <w:rPr>
          <w:rFonts w:ascii="Bookman Old Style" w:eastAsia="Calibri" w:hAnsi="Bookman Old Style" w:cs="Calibri"/>
          <w:szCs w:val="24"/>
          <w:lang w:val="es-ES_tradnl"/>
        </w:rPr>
        <w:t xml:space="preserve"> menos aun cuando estos límites tengan como único fundamento la imposición de una visión particular sobre lo que le conviene o no realizar al ser humano.</w:t>
      </w:r>
      <w:r w:rsidRPr="00485CC5">
        <w:rPr>
          <w:rStyle w:val="FootnoteReference"/>
          <w:rFonts w:ascii="Bookman Old Style" w:eastAsia="Calibri" w:hAnsi="Bookman Old Style" w:cs="Calibri"/>
          <w:szCs w:val="24"/>
          <w:lang w:val="es-ES_tradnl"/>
        </w:rPr>
        <w:footnoteReference w:id="46"/>
      </w:r>
    </w:p>
    <w:p w14:paraId="1823293C" w14:textId="77777777" w:rsidR="00F36280" w:rsidRPr="00485CC5" w:rsidRDefault="00F36280" w:rsidP="00F36280">
      <w:pPr>
        <w:jc w:val="both"/>
        <w:rPr>
          <w:rFonts w:ascii="Bookman Old Style" w:eastAsia="Calibri" w:hAnsi="Bookman Old Style" w:cs="Calibri"/>
          <w:szCs w:val="24"/>
          <w:lang w:val="es-ES_tradnl"/>
        </w:rPr>
      </w:pPr>
    </w:p>
    <w:p w14:paraId="17F19A9F"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Este análisis llevó a la Corte Constitucional, en aquella oportunidad, a declarar la inexequibilidad de los artículos 51 y 87 de la Ley 30 de 1986 que sancionaban el porte de dosis personal de cocaína, marihuana o cualquier otra droga que produjera dependencia, pues contrariaban abiertamente los postulados del derecho al libre desarrollo de la personalidad.</w:t>
      </w:r>
    </w:p>
    <w:p w14:paraId="2AC5859A" w14:textId="77777777" w:rsidR="00F36280" w:rsidRPr="00485CC5" w:rsidRDefault="00F36280" w:rsidP="00F36280">
      <w:pPr>
        <w:jc w:val="both"/>
        <w:rPr>
          <w:rFonts w:ascii="Bookman Old Style" w:eastAsia="Calibri" w:hAnsi="Bookman Old Style" w:cs="Calibri"/>
          <w:szCs w:val="24"/>
          <w:lang w:val="es-ES_tradnl"/>
        </w:rPr>
      </w:pPr>
    </w:p>
    <w:p w14:paraId="76A3357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el particular, refirió la Corte que el consumo de este tipo de sustancias es un asunto que no escapa de la órbita del ser humano y, en consecuencia, no es un tema que pueda ser regulado por el Legislador, menos a través de la imposición de una prohibición absoluta. </w:t>
      </w:r>
    </w:p>
    <w:p w14:paraId="6E4806BA" w14:textId="77777777" w:rsidR="00F36280" w:rsidRPr="00485CC5" w:rsidRDefault="00F36280" w:rsidP="00F36280">
      <w:pPr>
        <w:jc w:val="both"/>
        <w:rPr>
          <w:rFonts w:ascii="Bookman Old Style" w:eastAsia="Calibri" w:hAnsi="Bookman Old Style" w:cs="Calibri"/>
          <w:szCs w:val="24"/>
          <w:lang w:val="es-ES_tradnl"/>
        </w:rPr>
      </w:pPr>
    </w:p>
    <w:p w14:paraId="5C36F36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esa medida, a partir de la fecha, las personas quedaron facultadas para el porte y consumo de la dosis mínima. Lo cual fijó un claro límite entre la política criminal del Estado en materia de estupefacientes y la facultad individual para consumir estas sustancias, como expresión del derecho fundamental al libre desarrollo de la personalidad. </w:t>
      </w:r>
    </w:p>
    <w:p w14:paraId="43246433" w14:textId="77777777" w:rsidR="00F36280" w:rsidRDefault="00F36280" w:rsidP="00F36280">
      <w:pPr>
        <w:rPr>
          <w:rFonts w:ascii="Bookman Old Style" w:eastAsia="Calibri" w:hAnsi="Bookman Old Style"/>
          <w:szCs w:val="24"/>
          <w:lang w:val="es-ES_tradnl"/>
        </w:rPr>
      </w:pPr>
    </w:p>
    <w:p w14:paraId="75419437" w14:textId="77777777" w:rsidR="00447002" w:rsidRPr="00485CC5" w:rsidRDefault="00447002" w:rsidP="00F36280">
      <w:pPr>
        <w:rPr>
          <w:rFonts w:ascii="Bookman Old Style" w:eastAsia="Calibri" w:hAnsi="Bookman Old Style"/>
          <w:szCs w:val="24"/>
          <w:lang w:val="es-ES_tradnl"/>
        </w:rPr>
      </w:pPr>
    </w:p>
    <w:p w14:paraId="6624D1B1" w14:textId="77777777" w:rsidR="00F36280" w:rsidRPr="00485CC5" w:rsidRDefault="00E453A8" w:rsidP="00F36280">
      <w:pPr>
        <w:pStyle w:val="Heading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.1.2. DERECHO A LA IGUALDAD</w:t>
      </w:r>
    </w:p>
    <w:p w14:paraId="2D8D52FC" w14:textId="77777777" w:rsidR="00F36280" w:rsidRPr="00485CC5" w:rsidRDefault="00F36280" w:rsidP="00F36280">
      <w:pPr>
        <w:jc w:val="both"/>
        <w:rPr>
          <w:rFonts w:ascii="Bookman Old Style" w:eastAsia="Calibri" w:hAnsi="Bookman Old Style" w:cs="Calibri"/>
          <w:szCs w:val="24"/>
          <w:lang w:val="es-ES_tradnl"/>
        </w:rPr>
      </w:pPr>
    </w:p>
    <w:p w14:paraId="21B565AA"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derecho a la igualdad, consagrado en el artículo 13 de la Constitución Política</w:t>
      </w:r>
      <w:r w:rsidRPr="00485CC5">
        <w:rPr>
          <w:rStyle w:val="FootnoteReference"/>
          <w:rFonts w:ascii="Bookman Old Style" w:eastAsia="Calibri" w:hAnsi="Bookman Old Style" w:cs="Calibri"/>
          <w:szCs w:val="24"/>
          <w:lang w:val="es-ES_tradnl"/>
        </w:rPr>
        <w:footnoteReference w:id="47"/>
      </w:r>
      <w:r w:rsidRPr="00485CC5">
        <w:rPr>
          <w:rFonts w:ascii="Bookman Old Style" w:eastAsia="Calibri" w:hAnsi="Bookman Old Style" w:cs="Calibri"/>
          <w:szCs w:val="24"/>
          <w:lang w:val="es-ES_tradnl"/>
        </w:rPr>
        <w:t>, ha sido ampliamente desarrollado por la jurisprudencia constitucional que le ha reconocido una estructura compleja, compuesta por varias facetas</w:t>
      </w:r>
      <w:r w:rsidRPr="00485CC5">
        <w:rPr>
          <w:rStyle w:val="FootnoteReference"/>
          <w:rFonts w:ascii="Bookman Old Style" w:eastAsia="Calibri" w:hAnsi="Bookman Old Style" w:cs="Calibri"/>
          <w:szCs w:val="24"/>
          <w:lang w:val="es-ES_tradnl"/>
        </w:rPr>
        <w:footnoteReference w:id="48"/>
      </w:r>
      <w:r w:rsidRPr="00485CC5">
        <w:rPr>
          <w:rFonts w:ascii="Bookman Old Style" w:eastAsia="Calibri" w:hAnsi="Bookman Old Style" w:cs="Calibri"/>
          <w:szCs w:val="24"/>
          <w:lang w:val="es-ES_tradnl"/>
        </w:rPr>
        <w:t xml:space="preserve">: la igualdad como valor, como principio y como derecho. </w:t>
      </w:r>
    </w:p>
    <w:p w14:paraId="4709F59C" w14:textId="77777777" w:rsidR="00F36280" w:rsidRPr="00485CC5" w:rsidRDefault="00F36280" w:rsidP="00F36280">
      <w:pPr>
        <w:jc w:val="both"/>
        <w:rPr>
          <w:rFonts w:ascii="Bookman Old Style" w:eastAsia="Calibri" w:hAnsi="Bookman Old Style" w:cs="Calibri"/>
          <w:szCs w:val="24"/>
          <w:lang w:val="es-ES_tradnl"/>
        </w:rPr>
      </w:pPr>
    </w:p>
    <w:p w14:paraId="64204D1E" w14:textId="77777777" w:rsidR="00F36280" w:rsidRPr="00485CC5" w:rsidRDefault="00F36280" w:rsidP="00207603">
      <w:pPr>
        <w:ind w:left="851"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tanto valor, la igualdad es una norma que establece fines o propósitos, cuya realización es exigible a todas las autoridades públicas y en especial al legislador, en el desarrollo de su labor de concreción de los textos constitucionales. </w:t>
      </w:r>
    </w:p>
    <w:p w14:paraId="463B63DF" w14:textId="77777777" w:rsidR="00F36280" w:rsidRPr="00485CC5" w:rsidRDefault="00F36280" w:rsidP="00207603">
      <w:pPr>
        <w:ind w:left="851" w:right="900"/>
        <w:jc w:val="both"/>
        <w:rPr>
          <w:rFonts w:ascii="Bookman Old Style" w:eastAsia="Calibri" w:hAnsi="Bookman Old Style" w:cs="Calibri"/>
          <w:i/>
          <w:sz w:val="20"/>
          <w:lang w:val="es-ES_tradnl"/>
        </w:rPr>
      </w:pPr>
    </w:p>
    <w:p w14:paraId="6F733208" w14:textId="77777777" w:rsidR="00F36280" w:rsidRPr="00485CC5" w:rsidRDefault="00F36280" w:rsidP="00207603">
      <w:pPr>
        <w:ind w:left="851"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su rol de principio, se ha considerado como un mandato de optimización que establece un deber ser específico, que admite su incorporación en reglas concretas derivadas del ejercicio de la función legislativa o que </w:t>
      </w:r>
      <w:r w:rsidRPr="00485CC5">
        <w:rPr>
          <w:rFonts w:ascii="Bookman Old Style" w:eastAsia="Calibri" w:hAnsi="Bookman Old Style" w:cs="Calibri"/>
          <w:i/>
          <w:sz w:val="20"/>
          <w:lang w:val="es-ES_tradnl"/>
        </w:rPr>
        <w:lastRenderedPageBreak/>
        <w:t xml:space="preserve">habilita su uso como herramienta general en la resolución de controversias sometidas a la decisión de los jueces. </w:t>
      </w:r>
    </w:p>
    <w:p w14:paraId="31535CCF" w14:textId="77777777" w:rsidR="00F36280" w:rsidRPr="00485CC5" w:rsidRDefault="00F36280" w:rsidP="00207603">
      <w:pPr>
        <w:ind w:left="851" w:right="900"/>
        <w:jc w:val="both"/>
        <w:rPr>
          <w:rFonts w:ascii="Bookman Old Style" w:eastAsia="Calibri" w:hAnsi="Bookman Old Style" w:cs="Calibri"/>
          <w:i/>
          <w:sz w:val="20"/>
          <w:lang w:val="es-ES_tradnl"/>
        </w:rPr>
      </w:pPr>
    </w:p>
    <w:p w14:paraId="661C4D6F" w14:textId="77777777" w:rsidR="00F36280" w:rsidRPr="00DC49AD" w:rsidRDefault="00F36280" w:rsidP="00207603">
      <w:pPr>
        <w:ind w:left="851"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Finalmente, en tanto derecho, la igualdad se manifiesta en una potestad o facultad subjetiva que impone deberes de abstención como la prohibición de la discriminación, al mismo tiempo que exige obligaciones puntuales de acción, como ocurre con la consagración de tratos favorables para grupos puestos en situación de debilidad manifiesta.”</w:t>
      </w:r>
      <w:r w:rsidRPr="00485CC5">
        <w:rPr>
          <w:rStyle w:val="FootnoteReference"/>
          <w:rFonts w:ascii="Bookman Old Style" w:eastAsia="Calibri" w:hAnsi="Bookman Old Style" w:cs="Calibri"/>
          <w:i/>
          <w:sz w:val="20"/>
          <w:lang w:val="es-ES_tradnl"/>
        </w:rPr>
        <w:footnoteReference w:id="49"/>
      </w:r>
    </w:p>
    <w:p w14:paraId="66D38C2A" w14:textId="77777777" w:rsidR="00F36280" w:rsidRPr="00485CC5" w:rsidRDefault="00F36280" w:rsidP="00F36280">
      <w:pPr>
        <w:jc w:val="both"/>
        <w:rPr>
          <w:rFonts w:ascii="Bookman Old Style" w:eastAsia="Calibri" w:hAnsi="Bookman Old Style" w:cs="Calibri"/>
          <w:i/>
          <w:szCs w:val="24"/>
          <w:lang w:val="es-ES_tradnl"/>
        </w:rPr>
      </w:pPr>
    </w:p>
    <w:p w14:paraId="5CB5163A"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principio impone al Estado entonces el deber de tratar a todos sus ciudadanos, de tal modo que las cargas y las ventajas sociales se distribuyan equitativamente entre ellos. Este deber, a su vez implica la implementación de cuatro mandatos:</w:t>
      </w:r>
    </w:p>
    <w:p w14:paraId="2A228949" w14:textId="77777777" w:rsidR="00F36280" w:rsidRPr="00485CC5" w:rsidRDefault="00F36280" w:rsidP="00F36280">
      <w:pPr>
        <w:ind w:left="851" w:hanging="283"/>
        <w:jc w:val="both"/>
        <w:rPr>
          <w:rFonts w:ascii="Bookman Old Style" w:eastAsia="Calibri" w:hAnsi="Bookman Old Style" w:cs="Calibri"/>
          <w:szCs w:val="24"/>
          <w:lang w:val="es-ES_tradnl"/>
        </w:rPr>
      </w:pPr>
    </w:p>
    <w:p w14:paraId="09F983AC" w14:textId="77777777" w:rsidR="00F36280" w:rsidRPr="00621929" w:rsidRDefault="00F36280" w:rsidP="00621929">
      <w:pPr>
        <w:pStyle w:val="ListParagraph"/>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idéntico a quienes se encuentren en circunstancias idénticas.</w:t>
      </w:r>
    </w:p>
    <w:p w14:paraId="443D2245" w14:textId="77777777" w:rsidR="00F36280" w:rsidRPr="00485CC5" w:rsidRDefault="00F36280" w:rsidP="00621929">
      <w:pPr>
        <w:jc w:val="both"/>
        <w:rPr>
          <w:rFonts w:ascii="Bookman Old Style" w:hAnsi="Bookman Old Style" w:cs="Calibri"/>
          <w:szCs w:val="24"/>
          <w:lang w:val="es-ES_tradnl"/>
        </w:rPr>
      </w:pPr>
    </w:p>
    <w:p w14:paraId="78588129" w14:textId="77777777" w:rsidR="00F36280" w:rsidRPr="00621929" w:rsidRDefault="00F36280" w:rsidP="00621929">
      <w:pPr>
        <w:pStyle w:val="ListParagraph"/>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enteramente diferenciado a quienes no compartan con otros, ningún elemento en común.</w:t>
      </w:r>
    </w:p>
    <w:p w14:paraId="766008C3" w14:textId="77777777" w:rsidR="00F36280" w:rsidRPr="00485CC5" w:rsidRDefault="00F36280" w:rsidP="00F36280">
      <w:pPr>
        <w:ind w:left="568"/>
        <w:jc w:val="both"/>
        <w:rPr>
          <w:rFonts w:ascii="Bookman Old Style" w:hAnsi="Bookman Old Style" w:cs="Calibri"/>
          <w:szCs w:val="24"/>
          <w:lang w:val="es-ES_tradnl"/>
        </w:rPr>
      </w:pPr>
    </w:p>
    <w:p w14:paraId="5D3D1F3E" w14:textId="77777777" w:rsidR="00F36280" w:rsidRPr="00621929" w:rsidRDefault="00F36280" w:rsidP="00621929">
      <w:pPr>
        <w:pStyle w:val="ListParagraph"/>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paritario a quienes se encuentren en una posición similar y diversa, pero las similitudes sean más relevantes que las diferencias (trato igual a pesar de las diferencias).</w:t>
      </w:r>
    </w:p>
    <w:p w14:paraId="0CE477DA" w14:textId="77777777" w:rsidR="00F36280" w:rsidRPr="00485CC5" w:rsidRDefault="00F36280" w:rsidP="00F36280">
      <w:pPr>
        <w:ind w:left="568"/>
        <w:jc w:val="both"/>
        <w:rPr>
          <w:rFonts w:ascii="Bookman Old Style" w:hAnsi="Bookman Old Style" w:cs="Calibri"/>
          <w:szCs w:val="24"/>
          <w:lang w:val="es-ES_tradnl"/>
        </w:rPr>
      </w:pPr>
    </w:p>
    <w:p w14:paraId="33D69002" w14:textId="77777777" w:rsidR="00F36280" w:rsidRPr="00621929" w:rsidRDefault="00F36280" w:rsidP="00621929">
      <w:pPr>
        <w:pStyle w:val="ListParagraph"/>
        <w:numPr>
          <w:ilvl w:val="0"/>
          <w:numId w:val="37"/>
        </w:numPr>
        <w:jc w:val="both"/>
        <w:rPr>
          <w:rFonts w:ascii="Bookman Old Style" w:hAnsi="Bookman Old Style" w:cs="Calibri"/>
          <w:szCs w:val="24"/>
          <w:lang w:val="es-ES_tradnl"/>
        </w:rPr>
      </w:pPr>
      <w:r w:rsidRPr="00621929">
        <w:rPr>
          <w:rFonts w:ascii="Bookman Old Style" w:eastAsia="Calibri" w:hAnsi="Bookman Old Style" w:cs="Calibri"/>
          <w:szCs w:val="24"/>
          <w:lang w:val="es-ES_tradnl"/>
        </w:rPr>
        <w:t>Trato diferenciado a destinatarios a quienes se encuentren en una posición en parte similar y en parte diversa, pero que las diferencias sean más relevantes que las similitudes.</w:t>
      </w:r>
      <w:r w:rsidRPr="00485CC5">
        <w:rPr>
          <w:rStyle w:val="FootnoteReference"/>
          <w:rFonts w:ascii="Bookman Old Style" w:eastAsia="Calibri" w:hAnsi="Bookman Old Style" w:cs="Calibri"/>
          <w:szCs w:val="24"/>
          <w:lang w:val="es-ES_tradnl"/>
        </w:rPr>
        <w:footnoteReference w:id="50"/>
      </w:r>
    </w:p>
    <w:p w14:paraId="495F5DD7" w14:textId="77777777" w:rsidR="00F36280" w:rsidRPr="00485CC5" w:rsidRDefault="00F36280" w:rsidP="00F36280">
      <w:pPr>
        <w:jc w:val="both"/>
        <w:rPr>
          <w:rFonts w:ascii="Bookman Old Style" w:eastAsia="Calibri" w:hAnsi="Bookman Old Style" w:cs="Calibri"/>
          <w:b/>
          <w:i/>
          <w:szCs w:val="24"/>
          <w:lang w:val="es-ES_tradnl"/>
        </w:rPr>
      </w:pPr>
      <w:r w:rsidRPr="00485CC5">
        <w:rPr>
          <w:rFonts w:ascii="Bookman Old Style" w:eastAsia="Calibri" w:hAnsi="Bookman Old Style" w:cs="Calibri"/>
          <w:szCs w:val="24"/>
          <w:lang w:val="es-ES_tradnl"/>
        </w:rPr>
        <w:t xml:space="preserve">Lo anterior es consecuente con el pronunciamiento de la Corte Constitucional, en la Sentencia C-221 de 1994 en la que una de las circunstancias que motivó la inexequibilidad de las disposiciones que penalizaban la dosis personal fue que esta medida implicaba un trato discriminatorio hacia los consumidores. Esto, en tanto no se demostró que existiera un fundamento constitucional para soportar esta prohibición que únicamente traía como efecto la limitación de los derechos de un grupo poblacional. </w:t>
      </w:r>
    </w:p>
    <w:p w14:paraId="6A9FD506" w14:textId="77777777" w:rsidR="00F36280" w:rsidRDefault="00F36280" w:rsidP="00F36280">
      <w:pPr>
        <w:jc w:val="both"/>
        <w:rPr>
          <w:rFonts w:ascii="Bookman Old Style" w:eastAsia="Calibri" w:hAnsi="Bookman Old Style" w:cs="Calibri"/>
          <w:b/>
          <w:i/>
          <w:szCs w:val="24"/>
          <w:lang w:val="es-ES_tradnl"/>
        </w:rPr>
      </w:pPr>
    </w:p>
    <w:p w14:paraId="335AA887" w14:textId="77777777" w:rsidR="00447002" w:rsidRPr="00485CC5" w:rsidRDefault="00447002" w:rsidP="00F36280">
      <w:pPr>
        <w:jc w:val="both"/>
        <w:rPr>
          <w:rFonts w:ascii="Bookman Old Style" w:eastAsia="Calibri" w:hAnsi="Bookman Old Style" w:cs="Calibri"/>
          <w:b/>
          <w:i/>
          <w:szCs w:val="24"/>
          <w:lang w:val="es-ES_tradnl"/>
        </w:rPr>
      </w:pPr>
    </w:p>
    <w:p w14:paraId="10BC31CE" w14:textId="77777777" w:rsidR="00F36280" w:rsidRPr="00485CC5" w:rsidRDefault="00E453A8"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485CC5">
        <w:rPr>
          <w:rFonts w:ascii="Bookman Old Style" w:eastAsia="Calibri" w:hAnsi="Bookman Old Style" w:cs="Calibri"/>
          <w:b/>
          <w:szCs w:val="24"/>
          <w:lang w:val="es-ES_tradnl"/>
        </w:rPr>
        <w:t>.1.3. DERECHO A LA SALUD.</w:t>
      </w:r>
    </w:p>
    <w:p w14:paraId="1ECF7186" w14:textId="77777777" w:rsidR="00F36280" w:rsidRPr="00485CC5" w:rsidRDefault="00F36280" w:rsidP="00F36280">
      <w:pPr>
        <w:jc w:val="both"/>
        <w:rPr>
          <w:rFonts w:ascii="Bookman Old Style" w:eastAsia="Calibri" w:hAnsi="Bookman Old Style" w:cs="Calibri"/>
          <w:b/>
          <w:szCs w:val="24"/>
          <w:lang w:val="es-ES_tradnl"/>
        </w:rPr>
      </w:pPr>
    </w:p>
    <w:p w14:paraId="1742D250"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bien, como fue advertido al inicio de esta exposición de motivos, a pesar del pronunciamiento de la Corte Constitucional y del reconocimiento, realizado vía jurisprudencial, de los derechos al libre desarrollo de la personalidad y la igualdad de los consumidores, desde el año 1994 iniciaron las iniciativas de reforma </w:t>
      </w:r>
      <w:r w:rsidRPr="00485CC5">
        <w:rPr>
          <w:rFonts w:ascii="Bookman Old Style" w:eastAsia="Calibri" w:hAnsi="Bookman Old Style" w:cs="Calibri"/>
          <w:szCs w:val="24"/>
          <w:lang w:val="es-ES_tradnl"/>
        </w:rPr>
        <w:lastRenderedPageBreak/>
        <w:t xml:space="preserve">constitucional para prohibir el porte y consumo de estupefacientes. </w:t>
      </w:r>
    </w:p>
    <w:p w14:paraId="798AF61D" w14:textId="77777777" w:rsidR="00F36280" w:rsidRPr="00485CC5" w:rsidRDefault="00F36280" w:rsidP="00F36280">
      <w:pPr>
        <w:jc w:val="both"/>
        <w:rPr>
          <w:rFonts w:ascii="Bookman Old Style" w:eastAsia="Calibri" w:hAnsi="Bookman Old Style" w:cs="Calibri"/>
          <w:szCs w:val="24"/>
          <w:lang w:val="es-ES_tradnl"/>
        </w:rPr>
      </w:pPr>
    </w:p>
    <w:p w14:paraId="6310B96F"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la sentencia C-574 de 2011, a través de la cual la Corte Constitucional estudió la demanda del Acto Legislativo 02 de 2009, se relataron todos los intentos de modificación del artículo 16 de la Constitución Política que finalmente se concretaron en el 2009 con un enfoque distinto: la protección al derecho a la salud. </w:t>
      </w:r>
    </w:p>
    <w:p w14:paraId="13A6BDC1" w14:textId="77777777" w:rsidR="00F36280" w:rsidRPr="00485CC5" w:rsidRDefault="00F36280" w:rsidP="00F36280">
      <w:pPr>
        <w:jc w:val="both"/>
        <w:rPr>
          <w:rFonts w:ascii="Bookman Old Style" w:eastAsia="Calibri" w:hAnsi="Bookman Old Style" w:cs="Calibri"/>
          <w:szCs w:val="24"/>
          <w:lang w:val="es-ES_tradnl"/>
        </w:rPr>
      </w:pPr>
    </w:p>
    <w:p w14:paraId="7ECA5433"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artículo 49 de la Carta Política consagra la salud como un servicio público a cargo del Estado, entendido como el conjunto de políticas que buscan garantizar integralmente la salud de la población, por medio de acciones de salubridad colectiva e individual, y sus resultados se constituyen en indicadores de las condiciones de vida, bienestar y desarrollo del país.</w:t>
      </w:r>
    </w:p>
    <w:p w14:paraId="330D267C" w14:textId="77777777" w:rsidR="00F36280" w:rsidRPr="00485CC5" w:rsidRDefault="00F36280" w:rsidP="00F36280">
      <w:pPr>
        <w:jc w:val="both"/>
        <w:rPr>
          <w:rFonts w:ascii="Bookman Old Style" w:eastAsia="Calibri" w:hAnsi="Bookman Old Style" w:cs="Calibri"/>
          <w:szCs w:val="24"/>
          <w:lang w:val="es-ES_tradnl"/>
        </w:rPr>
      </w:pPr>
    </w:p>
    <w:p w14:paraId="1A8A2390"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No obstante, a través de amplia jurisprudencia, la Corte Constitucional consolidó un proceso de reconocimiento de la Salud como un derecho fundamental que culminó con la expedición de la Ley 1751 de 2015.</w:t>
      </w:r>
      <w:r w:rsidRPr="00485CC5">
        <w:rPr>
          <w:rStyle w:val="FootnoteReference"/>
          <w:rFonts w:ascii="Bookman Old Style" w:eastAsia="Calibri" w:hAnsi="Bookman Old Style" w:cs="Calibri"/>
          <w:szCs w:val="24"/>
          <w:lang w:val="es-ES_tradnl"/>
        </w:rPr>
        <w:footnoteReference w:id="51"/>
      </w:r>
    </w:p>
    <w:p w14:paraId="40830DD9" w14:textId="77777777" w:rsidR="00F36280" w:rsidRPr="00485CC5" w:rsidRDefault="00F36280" w:rsidP="00F36280">
      <w:pPr>
        <w:jc w:val="both"/>
        <w:rPr>
          <w:rFonts w:ascii="Bookman Old Style" w:eastAsia="Calibri" w:hAnsi="Bookman Old Style" w:cs="Calibri"/>
          <w:szCs w:val="24"/>
          <w:lang w:val="es-ES_tradnl"/>
        </w:rPr>
      </w:pPr>
    </w:p>
    <w:p w14:paraId="7EB7230F"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Teniendo en cuenta que el consumo de estupefacientes había sido tratado también por la jurisprudencia constitucional desde el enfoque de los sujetos farmacodependientes, en el año 2009 se impulsó el Acto Legislativo que incluyó la prohibición del porte y consumo de estas sustancias, desde el artículo 49 constitucional.</w:t>
      </w:r>
    </w:p>
    <w:p w14:paraId="52C8DF7F" w14:textId="77777777" w:rsidR="00F36280" w:rsidRPr="00485CC5" w:rsidRDefault="00F36280" w:rsidP="00F36280">
      <w:pPr>
        <w:jc w:val="both"/>
        <w:rPr>
          <w:rFonts w:ascii="Bookman Old Style" w:eastAsia="Calibri" w:hAnsi="Bookman Old Style" w:cs="Calibri"/>
          <w:szCs w:val="24"/>
          <w:lang w:val="es-ES_tradnl"/>
        </w:rPr>
      </w:pPr>
    </w:p>
    <w:p w14:paraId="7F32FE73"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esta materia, la Corte había venido reconociendo que es </w:t>
      </w:r>
      <w:r w:rsidRPr="00485CC5">
        <w:rPr>
          <w:rFonts w:ascii="Bookman Old Style" w:eastAsia="Calibri" w:hAnsi="Bookman Old Style" w:cs="Calibri"/>
          <w:i/>
          <w:szCs w:val="24"/>
          <w:lang w:val="es-ES_tradnl"/>
        </w:rPr>
        <w:t>“deber del Estado de brindar a las personas farmacodependiente el tratamiento necesario para superar el estado de alteración al que se encuentra sometido, resaltando que para la prestación de este servicio se debe tener en cuenta aspectos como el tiempo de consumo, la sustancia ingerida y los problemas personales que del consumo se han derivado”.</w:t>
      </w:r>
      <w:r w:rsidRPr="00485CC5">
        <w:rPr>
          <w:rStyle w:val="FootnoteReference"/>
          <w:rFonts w:ascii="Bookman Old Style" w:eastAsia="Calibri" w:hAnsi="Bookman Old Style" w:cs="Calibri"/>
          <w:i/>
          <w:szCs w:val="24"/>
          <w:lang w:val="es-ES_tradnl"/>
        </w:rPr>
        <w:footnoteReference w:id="52"/>
      </w:r>
    </w:p>
    <w:p w14:paraId="62587085" w14:textId="77777777" w:rsidR="00F36280" w:rsidRPr="00485CC5" w:rsidRDefault="00F36280" w:rsidP="00F36280">
      <w:pPr>
        <w:jc w:val="both"/>
        <w:rPr>
          <w:rFonts w:ascii="Bookman Old Style" w:eastAsia="Calibri" w:hAnsi="Bookman Old Style" w:cs="Calibri"/>
          <w:b/>
          <w:i/>
          <w:szCs w:val="24"/>
          <w:lang w:val="es-ES_tradnl"/>
        </w:rPr>
      </w:pPr>
    </w:p>
    <w:p w14:paraId="75E18A23"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Así las cosas, partiendo de la posible afectación que el consumo podría generar en los individuos y en la protección al derecho a la salud de los colombianos, en el 2009 se incluyeron las siguientes modificaciones al artículo 49 C.P:</w:t>
      </w:r>
    </w:p>
    <w:p w14:paraId="687D492A" w14:textId="77777777" w:rsidR="00F36280" w:rsidRPr="00485CC5" w:rsidRDefault="00F36280" w:rsidP="00F36280">
      <w:pPr>
        <w:jc w:val="both"/>
        <w:rPr>
          <w:rFonts w:ascii="Bookman Old Style" w:eastAsia="Calibri" w:hAnsi="Bookman Old Style" w:cs="Calibri"/>
          <w:szCs w:val="24"/>
          <w:lang w:val="es-ES_tradnl"/>
        </w:rPr>
      </w:pPr>
    </w:p>
    <w:p w14:paraId="296CB231" w14:textId="77777777" w:rsidR="00F36280" w:rsidRPr="00207603" w:rsidRDefault="00F36280" w:rsidP="00207603">
      <w:pPr>
        <w:ind w:left="851" w:right="900"/>
        <w:jc w:val="both"/>
        <w:rPr>
          <w:rFonts w:ascii="Bookman Old Style" w:eastAsia="Calibri" w:hAnsi="Bookman Old Style" w:cs="Calibri"/>
          <w:bCs/>
          <w:i/>
          <w:sz w:val="20"/>
          <w:lang w:val="es-ES_tradnl"/>
        </w:rPr>
      </w:pPr>
      <w:r w:rsidRPr="00207603">
        <w:rPr>
          <w:rFonts w:ascii="Bookman Old Style" w:eastAsia="Calibri" w:hAnsi="Bookman Old Style" w:cs="Calibri"/>
          <w:bCs/>
          <w:i/>
          <w:sz w:val="20"/>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49FCC4C9" w14:textId="77777777" w:rsidR="00F36280" w:rsidRPr="00207603" w:rsidRDefault="00F36280" w:rsidP="00207603">
      <w:pPr>
        <w:ind w:left="851" w:right="900"/>
        <w:jc w:val="both"/>
        <w:rPr>
          <w:rFonts w:ascii="Bookman Old Style" w:eastAsia="Calibri" w:hAnsi="Bookman Old Style" w:cs="Calibri"/>
          <w:bCs/>
          <w:i/>
          <w:sz w:val="20"/>
          <w:lang w:val="es-ES_tradnl"/>
        </w:rPr>
      </w:pPr>
    </w:p>
    <w:p w14:paraId="01163BB3" w14:textId="77777777" w:rsidR="00F36280" w:rsidRPr="00207603" w:rsidRDefault="00F36280" w:rsidP="00207603">
      <w:pPr>
        <w:ind w:left="851" w:right="900"/>
        <w:jc w:val="both"/>
        <w:rPr>
          <w:rFonts w:ascii="Bookman Old Style" w:eastAsia="Calibri" w:hAnsi="Bookman Old Style" w:cs="Calibri"/>
          <w:i/>
          <w:sz w:val="20"/>
          <w:lang w:val="es-ES_tradnl"/>
        </w:rPr>
      </w:pPr>
      <w:r w:rsidRPr="00207603">
        <w:rPr>
          <w:rFonts w:ascii="Bookman Old Style" w:eastAsia="Calibri" w:hAnsi="Bookman Old Style" w:cs="Calibri"/>
          <w:bCs/>
          <w:i/>
          <w:sz w:val="20"/>
          <w:lang w:val="es-ES_tradnl"/>
        </w:rPr>
        <w:t xml:space="preserve">Así mismo el Estado dedicará especial atención al enfermo dependiente o adicto y a su familia para fortalecerla en valores y principios que </w:t>
      </w:r>
      <w:r w:rsidRPr="00207603">
        <w:rPr>
          <w:rFonts w:ascii="Bookman Old Style" w:eastAsia="Calibri" w:hAnsi="Bookman Old Style" w:cs="Calibri"/>
          <w:bCs/>
          <w:i/>
          <w:sz w:val="20"/>
          <w:lang w:val="es-ES_tradnl"/>
        </w:rPr>
        <w:lastRenderedPageBreak/>
        <w:t>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14:paraId="4CFCEBFD" w14:textId="77777777" w:rsidR="00F36280" w:rsidRPr="00485CC5" w:rsidRDefault="00F36280" w:rsidP="00F36280">
      <w:pPr>
        <w:ind w:left="720" w:right="900"/>
        <w:jc w:val="both"/>
        <w:rPr>
          <w:rFonts w:ascii="Bookman Old Style" w:eastAsia="Calibri" w:hAnsi="Bookman Old Style" w:cs="Calibri"/>
          <w:i/>
          <w:sz w:val="20"/>
          <w:lang w:val="es-ES_tradnl"/>
        </w:rPr>
      </w:pPr>
    </w:p>
    <w:p w14:paraId="1DF617F7"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De lo anterior se desprende que hoy en día está consagrada una prohibición de orden constitucional frente al consumo de sustancias estupefacientes o psicotrópicas, salvo prescripción médica, en contraposición a una prohibición de orden legal donde se exceptúan los fines medicinales y científicos, como lo dispuso la Ley 1787 de 2016. Lo anterior, como parte de la protección y reconocimiento del derecho a la salud.</w:t>
      </w:r>
    </w:p>
    <w:p w14:paraId="05020F83" w14:textId="77777777" w:rsidR="00F36280" w:rsidRDefault="00F36280" w:rsidP="00F36280">
      <w:pPr>
        <w:jc w:val="both"/>
        <w:rPr>
          <w:rFonts w:ascii="Bookman Old Style" w:eastAsia="Calibri" w:hAnsi="Bookman Old Style" w:cs="Calibri"/>
          <w:szCs w:val="24"/>
        </w:rPr>
      </w:pPr>
    </w:p>
    <w:p w14:paraId="297973C2" w14:textId="77777777" w:rsidR="00447002" w:rsidRPr="00485CC5" w:rsidRDefault="00447002" w:rsidP="00F36280">
      <w:pPr>
        <w:jc w:val="both"/>
        <w:rPr>
          <w:rFonts w:ascii="Bookman Old Style" w:eastAsia="Calibri" w:hAnsi="Bookman Old Style" w:cs="Calibri"/>
          <w:szCs w:val="24"/>
        </w:rPr>
      </w:pPr>
    </w:p>
    <w:p w14:paraId="3B19D195" w14:textId="77777777" w:rsidR="00F36280" w:rsidRPr="00485CC5" w:rsidRDefault="00E453A8" w:rsidP="00F36280">
      <w:pPr>
        <w:jc w:val="both"/>
        <w:rPr>
          <w:rFonts w:ascii="Bookman Old Style" w:eastAsia="Calibri" w:hAnsi="Bookman Old Style" w:cs="Calibri"/>
          <w:b/>
          <w:szCs w:val="24"/>
        </w:rPr>
      </w:pPr>
      <w:r>
        <w:rPr>
          <w:rFonts w:ascii="Bookman Old Style" w:eastAsia="Calibri" w:hAnsi="Bookman Old Style" w:cs="Calibri"/>
          <w:b/>
          <w:szCs w:val="24"/>
        </w:rPr>
        <w:t>7</w:t>
      </w:r>
      <w:r w:rsidR="00F36280" w:rsidRPr="00485CC5">
        <w:rPr>
          <w:rFonts w:ascii="Bookman Old Style" w:eastAsia="Calibri" w:hAnsi="Bookman Old Style" w:cs="Calibri"/>
          <w:b/>
          <w:szCs w:val="24"/>
        </w:rPr>
        <w:t>.</w:t>
      </w:r>
      <w:r w:rsidR="00DC49AD">
        <w:rPr>
          <w:rFonts w:ascii="Bookman Old Style" w:eastAsia="Calibri" w:hAnsi="Bookman Old Style" w:cs="Calibri"/>
          <w:b/>
          <w:szCs w:val="24"/>
        </w:rPr>
        <w:t>2</w:t>
      </w:r>
      <w:r w:rsidR="00F36280" w:rsidRPr="00485CC5">
        <w:rPr>
          <w:rFonts w:ascii="Bookman Old Style" w:eastAsia="Calibri" w:hAnsi="Bookman Old Style" w:cs="Calibri"/>
          <w:b/>
          <w:szCs w:val="24"/>
        </w:rPr>
        <w:t>. ANÁLISIS CONSTITUCIONAL DE LA REGULACIÓN ACTUAL FRENTE AL PORTE Y CONSUMO DE ESTUPEFACIENTES.</w:t>
      </w:r>
    </w:p>
    <w:p w14:paraId="688A156C" w14:textId="77777777" w:rsidR="00F36280" w:rsidRPr="00485CC5" w:rsidRDefault="00F36280" w:rsidP="00F36280">
      <w:pPr>
        <w:jc w:val="both"/>
        <w:rPr>
          <w:rFonts w:ascii="Bookman Old Style" w:eastAsia="Calibri" w:hAnsi="Bookman Old Style" w:cs="Calibri"/>
          <w:b/>
          <w:szCs w:val="24"/>
        </w:rPr>
      </w:pPr>
    </w:p>
    <w:p w14:paraId="1464B75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Es menester analizar los efectos de la política actual frente al consumo y porte de estupefacientes. Preliminarmente, es pertinente hacer referencia a un pronunciamiento de la Corte Constitucional realizado en el 2002 </w:t>
      </w:r>
      <w:r w:rsidRPr="00485CC5">
        <w:rPr>
          <w:rFonts w:ascii="Bookman Old Style" w:eastAsia="Calibri" w:hAnsi="Bookman Old Style" w:cs="Calibri"/>
          <w:szCs w:val="24"/>
          <w:lang w:val="es-ES_tradnl"/>
        </w:rPr>
        <w:t>con ocasión de una demanda de inconstitucionalidad presentada contra todas las normas que tipificaban los delitos de tráfico de estupefacientes.</w:t>
      </w:r>
    </w:p>
    <w:p w14:paraId="76DA35AE" w14:textId="77777777" w:rsidR="00F36280" w:rsidRPr="00485CC5" w:rsidRDefault="00F36280" w:rsidP="00F36280">
      <w:pPr>
        <w:jc w:val="both"/>
        <w:rPr>
          <w:rFonts w:ascii="Bookman Old Style" w:eastAsia="Calibri" w:hAnsi="Bookman Old Style" w:cs="Calibri"/>
          <w:szCs w:val="24"/>
          <w:lang w:val="es-ES_tradnl"/>
        </w:rPr>
      </w:pPr>
    </w:p>
    <w:p w14:paraId="2C4A5371"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esa oportunidad la Corte Constitucional entró a analizar si el criterio político-criminal del legislador, que le condujo a tipificar el tráfico de estupefacientes, es susceptible de control constitucional.</w:t>
      </w:r>
      <w:r w:rsidR="009718AC">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Sobre el particular, reconoció la Corte que </w:t>
      </w:r>
      <w:r w:rsidRPr="00485CC5">
        <w:rPr>
          <w:rFonts w:ascii="Bookman Old Style" w:eastAsia="Calibri" w:hAnsi="Bookman Old Style" w:cs="Calibri"/>
          <w:i/>
          <w:szCs w:val="24"/>
          <w:lang w:val="es-ES_tradnl"/>
        </w:rPr>
        <w:t>“(…) si bien es cierto que el parlamento no es, ni mucho menos, la única instancia del poder público en la que se pueden diseñar estrategias de política criminal, no puede desconocerse que su decisión de acudir a la penalización de comportamientos no sólo es legítima frente a la Carta por tratarse del ejercicio de una facultad de la que es titular sino también porque ella cuenta con el respaldo que le transmite el principio democrático”.</w:t>
      </w:r>
      <w:r w:rsidRPr="00485CC5">
        <w:rPr>
          <w:rStyle w:val="FootnoteReference"/>
          <w:rFonts w:ascii="Bookman Old Style" w:eastAsia="Calibri" w:hAnsi="Bookman Old Style" w:cs="Calibri"/>
          <w:i/>
          <w:szCs w:val="24"/>
          <w:lang w:val="es-ES_tradnl"/>
        </w:rPr>
        <w:footnoteReference w:id="53"/>
      </w:r>
    </w:p>
    <w:p w14:paraId="3A6FDA03" w14:textId="77777777" w:rsidR="00F36280" w:rsidRPr="00485CC5" w:rsidRDefault="00F36280" w:rsidP="00F36280">
      <w:pPr>
        <w:jc w:val="both"/>
        <w:rPr>
          <w:rFonts w:ascii="Bookman Old Style" w:eastAsia="Calibri" w:hAnsi="Bookman Old Style" w:cs="Calibri"/>
          <w:szCs w:val="24"/>
          <w:lang w:val="es-ES_tradnl"/>
        </w:rPr>
      </w:pPr>
    </w:p>
    <w:p w14:paraId="700B7543" w14:textId="77777777" w:rsidR="00F36280" w:rsidRPr="00485CC5"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lang w:val="es-ES_tradnl"/>
        </w:rPr>
        <w:t>No obstante reconoció, como ya lo había hecho en oportunidades anteriores, que el margen de libertad legislativa se encuentra enmarcado por los valores superiores del ordenamiento jurídico, los principios constitucionales y los derechos fundamentales.</w:t>
      </w:r>
      <w:r w:rsidRPr="00485CC5">
        <w:rPr>
          <w:rStyle w:val="FootnoteReference"/>
          <w:rFonts w:ascii="Bookman Old Style" w:eastAsia="Calibri" w:hAnsi="Bookman Old Style" w:cs="Calibri"/>
          <w:szCs w:val="24"/>
          <w:lang w:val="es-ES_tradnl"/>
        </w:rPr>
        <w:footnoteReference w:id="54"/>
      </w:r>
      <w:r w:rsidRPr="00485CC5">
        <w:rPr>
          <w:rFonts w:ascii="Bookman Old Style" w:eastAsia="Calibri" w:hAnsi="Bookman Old Style" w:cs="Calibri"/>
          <w:szCs w:val="24"/>
          <w:lang w:val="es-ES_tradnl"/>
        </w:rPr>
        <w:t xml:space="preserve"> En esa medida concluyó, en lo respectivo al caso concreto que </w:t>
      </w:r>
      <w:r w:rsidRPr="00485CC5">
        <w:rPr>
          <w:rFonts w:ascii="Bookman Old Style" w:eastAsia="Calibri" w:hAnsi="Bookman Old Style" w:cs="Calibri"/>
          <w:i/>
          <w:szCs w:val="24"/>
          <w:lang w:val="es-ES_tradnl"/>
        </w:rPr>
        <w:t>“De allí que el cuestionamiento de la constitucionalidad de las normas que tipifican el tráfico de estupefacientes no deba hacerse genéricamente cuestionando una política criminal que se estima equivocada sino específicamente, esto es, considerando cada una de las reglas de derecho contenidas en esas disposiciones y confrontándolas con el Texto Superior para evidenciar su incompatibilidad”.</w:t>
      </w:r>
      <w:r w:rsidRPr="00485CC5">
        <w:rPr>
          <w:rFonts w:ascii="Bookman Old Style" w:eastAsia="Calibri" w:hAnsi="Bookman Old Style" w:cs="Calibri"/>
          <w:szCs w:val="24"/>
          <w:lang w:val="es-ES_tradnl"/>
        </w:rPr>
        <w:t xml:space="preserve"> </w:t>
      </w:r>
    </w:p>
    <w:p w14:paraId="029E72D2" w14:textId="77777777" w:rsidR="00F36280" w:rsidRPr="00485CC5" w:rsidRDefault="00F36280" w:rsidP="00F36280">
      <w:pPr>
        <w:jc w:val="both"/>
        <w:rPr>
          <w:rFonts w:ascii="Bookman Old Style" w:eastAsia="Calibri" w:hAnsi="Bookman Old Style" w:cs="Calibri"/>
          <w:szCs w:val="24"/>
        </w:rPr>
      </w:pPr>
    </w:p>
    <w:p w14:paraId="13A78FEC"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lastRenderedPageBreak/>
        <w:t xml:space="preserve">En esa oportunidad la Corte se declaró inhibida por ineptitud de la demanda, no obstante, es claro que en esta materia era plenamente aplicable lo que ya había sido dispuesto en la sentencia C-221 de 1994, en la medida en que el legislador no podía tipificar como delito una conducta que repercutía exclusivamente en la esfera del individuo. </w:t>
      </w:r>
    </w:p>
    <w:p w14:paraId="1E491BF8" w14:textId="77777777" w:rsidR="00F36280" w:rsidRPr="00485CC5" w:rsidRDefault="00F36280" w:rsidP="00F36280">
      <w:pPr>
        <w:jc w:val="both"/>
        <w:rPr>
          <w:rFonts w:ascii="Bookman Old Style" w:eastAsia="Calibri" w:hAnsi="Bookman Old Style" w:cs="Calibri"/>
          <w:szCs w:val="24"/>
        </w:rPr>
      </w:pPr>
    </w:p>
    <w:p w14:paraId="75C2AB4B" w14:textId="77777777" w:rsidR="00BB5B9A"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consecuencia, es posible diferenciar lo que compete a la política criminal, en tanto se trata de la tipificación de conductas que repercuten en el orden jurídico, que afectan bienes jurídicos y derechos de otros individuos de aquellas conductas que únicamente trascienden en el ámbito personal y que, en consecuencia, no deberían ser objeto de prohibición. </w:t>
      </w:r>
    </w:p>
    <w:p w14:paraId="483250E9" w14:textId="77777777" w:rsidR="00F36280" w:rsidRDefault="00F36280" w:rsidP="00F36280">
      <w:pPr>
        <w:jc w:val="both"/>
        <w:rPr>
          <w:rFonts w:ascii="Bookman Old Style" w:eastAsia="Calibri" w:hAnsi="Bookman Old Style" w:cs="Calibri"/>
          <w:szCs w:val="24"/>
        </w:rPr>
      </w:pPr>
    </w:p>
    <w:p w14:paraId="389E3C3B" w14:textId="77777777" w:rsidR="00447002" w:rsidRPr="00485CC5" w:rsidRDefault="00447002" w:rsidP="00F36280">
      <w:pPr>
        <w:jc w:val="both"/>
        <w:rPr>
          <w:rFonts w:ascii="Bookman Old Style" w:eastAsia="Calibri" w:hAnsi="Bookman Old Style" w:cs="Calibri"/>
          <w:szCs w:val="24"/>
        </w:rPr>
      </w:pPr>
    </w:p>
    <w:p w14:paraId="4D56CD71" w14:textId="77777777" w:rsidR="00F36280" w:rsidRPr="00485CC5" w:rsidRDefault="00E453A8" w:rsidP="00F36280">
      <w:pPr>
        <w:jc w:val="both"/>
        <w:rPr>
          <w:rFonts w:ascii="Bookman Old Style" w:eastAsia="Calibri" w:hAnsi="Bookman Old Style" w:cs="Calibri"/>
          <w:b/>
          <w:szCs w:val="24"/>
        </w:rPr>
      </w:pPr>
      <w:r>
        <w:rPr>
          <w:rFonts w:ascii="Bookman Old Style" w:eastAsia="Calibri" w:hAnsi="Bookman Old Style" w:cs="Calibri"/>
          <w:b/>
          <w:szCs w:val="24"/>
        </w:rPr>
        <w:t>7</w:t>
      </w:r>
      <w:r w:rsidR="00F36280" w:rsidRPr="00485CC5">
        <w:rPr>
          <w:rFonts w:ascii="Bookman Old Style" w:eastAsia="Calibri" w:hAnsi="Bookman Old Style" w:cs="Calibri"/>
          <w:b/>
          <w:szCs w:val="24"/>
        </w:rPr>
        <w:t>.</w:t>
      </w:r>
      <w:r w:rsidR="00F36280" w:rsidRPr="00C30DB4">
        <w:rPr>
          <w:rFonts w:ascii="Bookman Old Style" w:eastAsia="Calibri" w:hAnsi="Bookman Old Style" w:cs="Calibri"/>
          <w:b/>
          <w:szCs w:val="24"/>
        </w:rPr>
        <w:t>2.</w:t>
      </w:r>
      <w:r w:rsidR="00CD271D">
        <w:rPr>
          <w:rFonts w:ascii="Bookman Old Style" w:eastAsia="Calibri" w:hAnsi="Bookman Old Style" w:cs="Calibri"/>
          <w:b/>
          <w:szCs w:val="24"/>
        </w:rPr>
        <w:t>1</w:t>
      </w:r>
      <w:r w:rsidR="00F36280" w:rsidRPr="00485CC5">
        <w:rPr>
          <w:rFonts w:ascii="Bookman Old Style" w:eastAsia="Calibri" w:hAnsi="Bookman Old Style" w:cs="Calibri"/>
          <w:szCs w:val="24"/>
        </w:rPr>
        <w:t xml:space="preserve"> </w:t>
      </w:r>
      <w:r w:rsidR="00F36280" w:rsidRPr="00485CC5">
        <w:rPr>
          <w:rFonts w:ascii="Bookman Old Style" w:eastAsia="Calibri" w:hAnsi="Bookman Old Style" w:cs="Calibri"/>
          <w:b/>
          <w:szCs w:val="24"/>
        </w:rPr>
        <w:t xml:space="preserve">AFECTACIÓN DEL DERECHO A LA SALUD POR EL CONSUMO DE SUSTANCIAS ESTUPEFACIENTES O PSICOTRÓPICAS. </w:t>
      </w:r>
    </w:p>
    <w:p w14:paraId="161436E1" w14:textId="77777777" w:rsidR="00F36280" w:rsidRPr="00485CC5" w:rsidRDefault="00F36280" w:rsidP="00F36280">
      <w:pPr>
        <w:jc w:val="both"/>
        <w:rPr>
          <w:rFonts w:ascii="Bookman Old Style" w:eastAsia="Calibri" w:hAnsi="Bookman Old Style" w:cs="Calibri"/>
          <w:szCs w:val="24"/>
          <w:lang w:val="es-ES_tradnl"/>
        </w:rPr>
      </w:pPr>
    </w:p>
    <w:p w14:paraId="208A0C83"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Vale la pena preguntarse si el fundamento del Acto Legislativo 02 de 2009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 </w:t>
      </w:r>
    </w:p>
    <w:p w14:paraId="6B0ECEF6" w14:textId="77777777" w:rsidR="00F36280" w:rsidRPr="00485CC5" w:rsidRDefault="00F36280" w:rsidP="00F36280">
      <w:pPr>
        <w:jc w:val="both"/>
        <w:rPr>
          <w:rFonts w:ascii="Bookman Old Style" w:eastAsia="Calibri" w:hAnsi="Bookman Old Style" w:cs="Calibri"/>
          <w:szCs w:val="24"/>
          <w:lang w:val="es-ES_tradnl"/>
        </w:rPr>
      </w:pPr>
    </w:p>
    <w:p w14:paraId="3226973F"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eastAsia="Calibri" w:hAnsi="Bookman Old Style" w:cs="Calibri"/>
          <w:szCs w:val="24"/>
          <w:lang w:val="es-ES_tradnl"/>
        </w:rPr>
        <w:t xml:space="preserve">Sobre este particular, vale la pena traer a colación </w:t>
      </w:r>
      <w:hyperlink r:id="rId9" w:tgtFrame="_blank" w:history="1">
        <w:r w:rsidRPr="00485CC5">
          <w:rPr>
            <w:rFonts w:ascii="Bookman Old Style" w:hAnsi="Bookman Old Style"/>
            <w:szCs w:val="24"/>
            <w:lang w:val="es-ES_tradnl"/>
          </w:rPr>
          <w:t>el artículo “Drug harms in the UK: a multicriteria decision analysis”</w:t>
        </w:r>
        <w:r w:rsidRPr="00485CC5">
          <w:rPr>
            <w:rStyle w:val="FootnoteReference"/>
            <w:rFonts w:ascii="Bookman Old Style" w:hAnsi="Bookman Old Style"/>
            <w:szCs w:val="24"/>
            <w:lang w:val="es-ES_tradnl"/>
          </w:rPr>
          <w:footnoteReference w:id="55"/>
        </w:r>
        <w:r w:rsidRPr="00485CC5">
          <w:rPr>
            <w:rFonts w:ascii="Bookman Old Style" w:hAnsi="Bookman Old Style"/>
            <w:szCs w:val="24"/>
            <w:lang w:val="es-ES_tradnl"/>
          </w:rPr>
          <w:t xml:space="preserve"> publicado en 2010 en el diario médico The Lancet</w:t>
        </w:r>
      </w:hyperlink>
      <w:r w:rsidRPr="00485CC5">
        <w:rPr>
          <w:rFonts w:ascii="Bookman Old Style" w:hAnsi="Bookman Old Style"/>
          <w:szCs w:val="24"/>
          <w:lang w:val="es-ES_tradnl"/>
        </w:rPr>
        <w:t xml:space="preserve">, que evaluó los impactos que las drogas —tanto legales como ilegales— tenían en las personas que las consumían, considerando además el contexto en el cual estas vivían. </w:t>
      </w:r>
    </w:p>
    <w:p w14:paraId="0D852AAD" w14:textId="77777777" w:rsidR="00F36280" w:rsidRPr="00485CC5" w:rsidRDefault="00F36280" w:rsidP="00F36280">
      <w:pPr>
        <w:widowControl/>
        <w:shd w:val="clear" w:color="auto" w:fill="FFFFFF"/>
        <w:jc w:val="both"/>
        <w:rPr>
          <w:rFonts w:ascii="Bookman Old Style" w:hAnsi="Bookman Old Style"/>
          <w:szCs w:val="24"/>
          <w:lang w:val="es-ES_tradnl"/>
        </w:rPr>
      </w:pPr>
    </w:p>
    <w:p w14:paraId="48C2D9B5"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14:paraId="38000EB9" w14:textId="77777777" w:rsidR="00447002" w:rsidRDefault="00447002" w:rsidP="00F36280">
      <w:pPr>
        <w:widowControl/>
        <w:shd w:val="clear" w:color="auto" w:fill="FFFFFF"/>
        <w:jc w:val="both"/>
        <w:rPr>
          <w:rFonts w:ascii="Bookman Old Style" w:hAnsi="Bookman Old Style"/>
          <w:szCs w:val="24"/>
          <w:lang w:val="es-ES_tradnl"/>
        </w:rPr>
      </w:pPr>
    </w:p>
    <w:p w14:paraId="493AF59E" w14:textId="77777777" w:rsidR="00207603" w:rsidRDefault="00207603" w:rsidP="00F36280">
      <w:pPr>
        <w:widowControl/>
        <w:shd w:val="clear" w:color="auto" w:fill="FFFFFF"/>
        <w:jc w:val="center"/>
        <w:rPr>
          <w:rFonts w:ascii="Bookman Old Style" w:hAnsi="Bookman Old Style"/>
          <w:b/>
          <w:szCs w:val="24"/>
          <w:lang w:val="es-ES_tradnl"/>
        </w:rPr>
      </w:pPr>
      <w:r>
        <w:rPr>
          <w:rFonts w:ascii="Bookman Old Style" w:hAnsi="Bookman Old Style"/>
          <w:b/>
          <w:szCs w:val="24"/>
          <w:lang w:val="es-ES_tradnl"/>
        </w:rPr>
        <w:t>Gráfica 2</w:t>
      </w:r>
      <w:r w:rsidR="00F36280" w:rsidRPr="00485CC5">
        <w:rPr>
          <w:rFonts w:ascii="Bookman Old Style" w:hAnsi="Bookman Old Style"/>
          <w:b/>
          <w:szCs w:val="24"/>
          <w:lang w:val="es-ES_tradnl"/>
        </w:rPr>
        <w:t xml:space="preserve">. </w:t>
      </w:r>
    </w:p>
    <w:p w14:paraId="75ED780D" w14:textId="77777777" w:rsidR="00207603"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 xml:space="preserve">Drogas por su nivel de daño, mostrando las contribuciones por tipo </w:t>
      </w:r>
    </w:p>
    <w:p w14:paraId="322379C4" w14:textId="77777777" w:rsidR="00F36280"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(daño al consumidor y daño hacia otros) al puntaje total.</w:t>
      </w:r>
    </w:p>
    <w:p w14:paraId="1603358A" w14:textId="77777777" w:rsidR="00207603" w:rsidRPr="00485CC5" w:rsidRDefault="00207603" w:rsidP="00F36280">
      <w:pPr>
        <w:widowControl/>
        <w:shd w:val="clear" w:color="auto" w:fill="FFFFFF"/>
        <w:jc w:val="center"/>
        <w:rPr>
          <w:rFonts w:ascii="Bookman Old Style" w:hAnsi="Bookman Old Style"/>
          <w:b/>
          <w:szCs w:val="24"/>
          <w:lang w:val="es-ES_tradnl"/>
        </w:rPr>
      </w:pPr>
    </w:p>
    <w:p w14:paraId="1429A0BD" w14:textId="77777777" w:rsidR="00F36280" w:rsidRPr="00485CC5" w:rsidRDefault="00F36280" w:rsidP="00F36280">
      <w:pPr>
        <w:widowControl/>
        <w:shd w:val="clear" w:color="auto" w:fill="FFFFFF"/>
        <w:jc w:val="center"/>
        <w:rPr>
          <w:rFonts w:ascii="Bookman Old Style" w:hAnsi="Bookman Old Style"/>
          <w:szCs w:val="24"/>
          <w:lang w:val="es-ES_tradnl"/>
        </w:rPr>
      </w:pPr>
      <w:r w:rsidRPr="00485CC5">
        <w:rPr>
          <w:rFonts w:ascii="Bookman Old Style" w:hAnsi="Bookman Old Style"/>
          <w:noProof/>
          <w:szCs w:val="24"/>
          <w:lang w:val="en-US" w:eastAsia="en-US"/>
        </w:rPr>
        <w:lastRenderedPageBreak/>
        <w:drawing>
          <wp:inline distT="0" distB="0" distL="0" distR="0" wp14:anchorId="0D7A8243" wp14:editId="07EA28A2">
            <wp:extent cx="5810250" cy="3525716"/>
            <wp:effectExtent l="19050" t="0" r="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0" cy="3525716"/>
                    </a:xfrm>
                    <a:prstGeom prst="rect">
                      <a:avLst/>
                    </a:prstGeom>
                    <a:noFill/>
                    <a:ln>
                      <a:noFill/>
                    </a:ln>
                  </pic:spPr>
                </pic:pic>
              </a:graphicData>
            </a:graphic>
          </wp:inline>
        </w:drawing>
      </w:r>
    </w:p>
    <w:p w14:paraId="1C082F94" w14:textId="77777777" w:rsidR="00F36280" w:rsidRPr="00485CC5" w:rsidRDefault="00F36280" w:rsidP="008C1E9F">
      <w:pPr>
        <w:widowControl/>
        <w:shd w:val="clear" w:color="auto" w:fill="FFFFFF"/>
        <w:jc w:val="center"/>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14:paraId="01160E19" w14:textId="77777777" w:rsidR="00F36280" w:rsidRPr="00485CC5" w:rsidRDefault="00F36280" w:rsidP="00F36280">
      <w:pPr>
        <w:widowControl/>
        <w:shd w:val="clear" w:color="auto" w:fill="FFFFFF"/>
        <w:rPr>
          <w:rFonts w:ascii="Bookman Old Style" w:hAnsi="Bookman Old Style"/>
          <w:i/>
          <w:sz w:val="20"/>
          <w:szCs w:val="24"/>
        </w:rPr>
      </w:pPr>
    </w:p>
    <w:p w14:paraId="46277394"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De lo anterior se desprende que en la actualidad existen sustancias, incluso más perjudiciales para la salud, cuyo consumo se encuentra permitido y que no han sido objeto de ningún intento de restricción vía legal o constitucional, como se adelantó en el año 2009 frente a todas las sustancias estupefacientes o psicotrópicas.</w:t>
      </w:r>
    </w:p>
    <w:p w14:paraId="7289CBD5" w14:textId="77777777" w:rsidR="00F36280" w:rsidRPr="00485CC5" w:rsidRDefault="00F36280" w:rsidP="00F36280">
      <w:pPr>
        <w:widowControl/>
        <w:shd w:val="clear" w:color="auto" w:fill="FFFFFF"/>
        <w:jc w:val="both"/>
        <w:rPr>
          <w:rFonts w:ascii="Bookman Old Style" w:hAnsi="Bookman Old Style"/>
          <w:szCs w:val="24"/>
          <w:lang w:val="es-ES_tradnl"/>
        </w:rPr>
      </w:pPr>
    </w:p>
    <w:p w14:paraId="2B5D923B" w14:textId="77777777" w:rsidR="00F36280" w:rsidRPr="00485CC5" w:rsidRDefault="00F36280" w:rsidP="00F36280">
      <w:pPr>
        <w:jc w:val="both"/>
        <w:rPr>
          <w:rFonts w:ascii="Bookman Old Style" w:eastAsia="Calibri" w:hAnsi="Bookman Old Style" w:cs="Calibri"/>
          <w:i/>
          <w:szCs w:val="24"/>
          <w:lang w:val="es-ES_tradnl"/>
        </w:rPr>
      </w:pPr>
      <w:r w:rsidRPr="00485CC5">
        <w:rPr>
          <w:rFonts w:ascii="Bookman Old Style" w:hAnsi="Bookman Old Style"/>
          <w:szCs w:val="24"/>
          <w:lang w:val="es-ES_tradnl"/>
        </w:rPr>
        <w:t xml:space="preserve">Se puede concluir entonces que es necesario </w:t>
      </w:r>
      <w:r w:rsidRPr="00485CC5">
        <w:rPr>
          <w:rFonts w:ascii="Bookman Old Style" w:eastAsia="Calibri" w:hAnsi="Bookman Old Style" w:cs="Calibri"/>
          <w:szCs w:val="24"/>
          <w:lang w:val="es-ES_tradnl"/>
        </w:rPr>
        <w:t xml:space="preserve">que los Estados diseñen respuestas diferenciadas para cada tipo de población y de sustancia ya que, como ya lo había advertido la Corte Constitucional en el año 1994 </w:t>
      </w:r>
      <w:r w:rsidRPr="00485CC5">
        <w:rPr>
          <w:rFonts w:ascii="Bookman Old Style" w:eastAsia="Calibri" w:hAnsi="Bookman Old Style" w:cs="Calibri"/>
          <w:i/>
          <w:szCs w:val="24"/>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485CC5">
        <w:rPr>
          <w:rStyle w:val="FootnoteReference"/>
          <w:rFonts w:ascii="Bookman Old Style" w:eastAsia="Calibri" w:hAnsi="Bookman Old Style" w:cs="Calibri"/>
          <w:i/>
          <w:szCs w:val="24"/>
          <w:lang w:val="es-ES_tradnl"/>
        </w:rPr>
        <w:footnoteReference w:id="56"/>
      </w:r>
    </w:p>
    <w:p w14:paraId="3FBFB1FB" w14:textId="77777777" w:rsidR="00F36280" w:rsidRPr="00485CC5" w:rsidRDefault="00F36280" w:rsidP="00F36280">
      <w:pPr>
        <w:widowControl/>
        <w:shd w:val="clear" w:color="auto" w:fill="FFFFFF"/>
        <w:jc w:val="both"/>
        <w:rPr>
          <w:rFonts w:ascii="Bookman Old Style" w:hAnsi="Bookman Old Style"/>
          <w:szCs w:val="24"/>
          <w:lang w:val="es-ES_tradnl"/>
        </w:rPr>
      </w:pPr>
    </w:p>
    <w:p w14:paraId="381BCE24"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Ahora bien, el mismo artículo citado con anterioridad, realizó un análisis sobre las drogas que causan daño al consumidor y las drogas que causan daño a otros. A continuación, se presenta el resultado.</w:t>
      </w:r>
    </w:p>
    <w:p w14:paraId="1DBFFA65" w14:textId="77777777" w:rsidR="00F36280" w:rsidRDefault="00F36280" w:rsidP="00F36280">
      <w:pPr>
        <w:widowControl/>
        <w:shd w:val="clear" w:color="auto" w:fill="FFFFFF"/>
        <w:rPr>
          <w:rFonts w:ascii="Bookman Old Style" w:hAnsi="Bookman Old Style"/>
          <w:i/>
          <w:sz w:val="20"/>
          <w:szCs w:val="24"/>
        </w:rPr>
      </w:pPr>
    </w:p>
    <w:p w14:paraId="68F5BAD2" w14:textId="77777777" w:rsidR="00207603" w:rsidRDefault="00207603" w:rsidP="00F36280">
      <w:pPr>
        <w:widowControl/>
        <w:shd w:val="clear" w:color="auto" w:fill="FFFFFF"/>
        <w:jc w:val="center"/>
        <w:rPr>
          <w:rFonts w:ascii="Bookman Old Style" w:hAnsi="Bookman Old Style"/>
          <w:b/>
          <w:szCs w:val="24"/>
          <w:lang w:val="es-ES_tradnl"/>
        </w:rPr>
      </w:pPr>
      <w:r>
        <w:rPr>
          <w:rFonts w:ascii="Bookman Old Style" w:hAnsi="Bookman Old Style"/>
          <w:b/>
          <w:szCs w:val="24"/>
        </w:rPr>
        <w:lastRenderedPageBreak/>
        <w:t>Gráfica 3</w:t>
      </w:r>
      <w:r w:rsidR="00F36280" w:rsidRPr="00485CC5">
        <w:rPr>
          <w:rFonts w:ascii="Bookman Old Style" w:hAnsi="Bookman Old Style"/>
          <w:b/>
          <w:szCs w:val="24"/>
        </w:rPr>
        <w:t>.</w:t>
      </w:r>
      <w:r w:rsidR="00F36280" w:rsidRPr="00485CC5">
        <w:rPr>
          <w:rFonts w:ascii="Bookman Old Style" w:hAnsi="Bookman Old Style"/>
          <w:b/>
          <w:szCs w:val="24"/>
          <w:lang w:val="es-ES_tradnl"/>
        </w:rPr>
        <w:t xml:space="preserve"> </w:t>
      </w:r>
    </w:p>
    <w:p w14:paraId="360D0B17" w14:textId="77777777" w:rsidR="00F36280"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Drogas mostradas por su daño al consumidor y daño hacia otros.</w:t>
      </w:r>
    </w:p>
    <w:p w14:paraId="2D6F546A" w14:textId="77777777" w:rsidR="00F36280" w:rsidRPr="00485CC5" w:rsidRDefault="00F36280" w:rsidP="00F36280">
      <w:pPr>
        <w:widowControl/>
        <w:shd w:val="clear" w:color="auto" w:fill="FFFFFF"/>
        <w:jc w:val="both"/>
        <w:rPr>
          <w:rFonts w:ascii="Bookman Old Style" w:hAnsi="Bookman Old Style"/>
          <w:szCs w:val="24"/>
          <w:lang w:val="en-US"/>
        </w:rPr>
      </w:pPr>
      <w:r w:rsidRPr="00485CC5">
        <w:rPr>
          <w:rFonts w:ascii="Bookman Old Style" w:hAnsi="Bookman Old Style"/>
          <w:noProof/>
          <w:szCs w:val="24"/>
          <w:lang w:val="en-US" w:eastAsia="en-US"/>
        </w:rPr>
        <w:drawing>
          <wp:inline distT="0" distB="0" distL="0" distR="0" wp14:anchorId="5608F138" wp14:editId="301ADCB8">
            <wp:extent cx="5612130" cy="3095625"/>
            <wp:effectExtent l="1905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12130" cy="3095625"/>
                    </a:xfrm>
                    <a:prstGeom prst="rect">
                      <a:avLst/>
                    </a:prstGeom>
                  </pic:spPr>
                </pic:pic>
              </a:graphicData>
            </a:graphic>
          </wp:inline>
        </w:drawing>
      </w:r>
    </w:p>
    <w:p w14:paraId="23061EEE" w14:textId="77777777" w:rsidR="00F36280" w:rsidRPr="00485CC5" w:rsidRDefault="00F36280" w:rsidP="00F36280">
      <w:pPr>
        <w:widowControl/>
        <w:shd w:val="clear" w:color="auto" w:fill="FFFFFF"/>
        <w:jc w:val="both"/>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14:paraId="3CDD61AF" w14:textId="77777777" w:rsidR="00F36280" w:rsidRPr="00485CC5" w:rsidRDefault="00F36280" w:rsidP="00F36280">
      <w:pPr>
        <w:jc w:val="both"/>
        <w:rPr>
          <w:rFonts w:ascii="Bookman Old Style" w:eastAsia="Calibri" w:hAnsi="Bookman Old Style" w:cs="Calibri"/>
          <w:szCs w:val="24"/>
          <w:lang w:val="es-ES_tradnl"/>
        </w:rPr>
      </w:pPr>
    </w:p>
    <w:p w14:paraId="13F94C85"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Como se observa, son pocas las drogas que realmente tienen afectación frente a los demás y aún más pocas las que causan un efecto grave, alcanzando el nivel más alto de afectación el consumo de alcohol, práctica que es plenamente legal en nuestro país. </w:t>
      </w:r>
    </w:p>
    <w:p w14:paraId="5DF94AE7" w14:textId="77777777" w:rsidR="00F36280" w:rsidRPr="00485CC5" w:rsidRDefault="00F36280" w:rsidP="00F36280">
      <w:pPr>
        <w:widowControl/>
        <w:shd w:val="clear" w:color="auto" w:fill="FFFFFF"/>
        <w:jc w:val="both"/>
        <w:rPr>
          <w:rFonts w:ascii="Bookman Old Style" w:hAnsi="Bookman Old Style"/>
          <w:szCs w:val="24"/>
          <w:lang w:val="es-ES_tradnl"/>
        </w:rPr>
      </w:pPr>
    </w:p>
    <w:p w14:paraId="3FBB6FC9" w14:textId="42895823"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Adicionalmente, es importante </w:t>
      </w:r>
      <w:r w:rsidRPr="00485CC5">
        <w:rPr>
          <w:rFonts w:ascii="Bookman Old Style" w:eastAsia="Calibri" w:hAnsi="Bookman Old Style" w:cs="Calibri"/>
          <w:szCs w:val="24"/>
          <w:lang w:val="es-ES_tradnl"/>
        </w:rPr>
        <w:t>diferenciar el consumo problemático, de</w:t>
      </w:r>
      <w:r w:rsidR="00666304">
        <w:rPr>
          <w:rFonts w:ascii="Bookman Old Style" w:eastAsia="Calibri" w:hAnsi="Bookman Old Style" w:cs="Calibri"/>
          <w:szCs w:val="24"/>
          <w:lang w:val="es-ES_tradnl"/>
        </w:rPr>
        <w:t>l consumo ocasional o adulto</w:t>
      </w:r>
      <w:r w:rsidRPr="00485CC5">
        <w:rPr>
          <w:rFonts w:ascii="Bookman Old Style" w:eastAsia="Calibri" w:hAnsi="Bookman Old Style" w:cs="Calibri"/>
          <w:szCs w:val="24"/>
          <w:lang w:val="es-ES_tradnl"/>
        </w:rPr>
        <w:t xml:space="preserve">, siendo este segundo un tipo de consumo que no necesariamente tiene afectación sobre la salud pública, ni sobre los derechos de los demás. </w:t>
      </w:r>
    </w:p>
    <w:p w14:paraId="14BC5321" w14:textId="77777777" w:rsidR="00F36280" w:rsidRPr="00485CC5" w:rsidRDefault="00F36280" w:rsidP="00F36280">
      <w:pPr>
        <w:widowControl/>
        <w:shd w:val="clear" w:color="auto" w:fill="FFFFFF"/>
        <w:jc w:val="both"/>
        <w:rPr>
          <w:rFonts w:ascii="Bookman Old Style" w:hAnsi="Bookman Old Style"/>
          <w:szCs w:val="24"/>
          <w:lang w:val="es-ES_tradnl"/>
        </w:rPr>
      </w:pPr>
    </w:p>
    <w:p w14:paraId="17CDDC0D"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UNGASS (2016); y 3) la propia legislación colombiana a través de la Ley 1566 de 2012</w:t>
      </w:r>
      <w:r w:rsidRPr="00485CC5">
        <w:rPr>
          <w:rStyle w:val="FootnoteReference"/>
          <w:rFonts w:ascii="Bookman Old Style" w:hAnsi="Bookman Old Style"/>
          <w:szCs w:val="24"/>
          <w:lang w:val="es-ES_tradnl"/>
        </w:rPr>
        <w:footnoteReference w:id="57"/>
      </w:r>
      <w:r w:rsidRPr="00485CC5">
        <w:rPr>
          <w:rFonts w:ascii="Bookman Old Style" w:hAnsi="Bookman Old Style"/>
          <w:szCs w:val="24"/>
          <w:lang w:val="es-ES_tradnl"/>
        </w:rPr>
        <w:t>.</w:t>
      </w:r>
    </w:p>
    <w:p w14:paraId="4F7FA800" w14:textId="77777777" w:rsidR="00F36280" w:rsidRPr="00485CC5" w:rsidRDefault="00F36280" w:rsidP="00F36280">
      <w:pPr>
        <w:widowControl/>
        <w:shd w:val="clear" w:color="auto" w:fill="FFFFFF"/>
        <w:jc w:val="both"/>
        <w:rPr>
          <w:rFonts w:ascii="Bookman Old Style" w:hAnsi="Bookman Old Style"/>
          <w:szCs w:val="24"/>
          <w:lang w:val="es-ES_tradnl"/>
        </w:rPr>
      </w:pPr>
    </w:p>
    <w:p w14:paraId="6F5CFA90" w14:textId="77777777" w:rsidR="00F36280" w:rsidRPr="00485CC5" w:rsidRDefault="00F36280" w:rsidP="00F36280">
      <w:pPr>
        <w:widowControl/>
        <w:shd w:val="clear" w:color="auto" w:fill="FFFFFF"/>
        <w:jc w:val="both"/>
        <w:rPr>
          <w:rFonts w:ascii="Bookman Old Style" w:eastAsia="Calibri" w:hAnsi="Bookman Old Style" w:cs="Calibri"/>
          <w:szCs w:val="24"/>
          <w:lang w:val="es-ES_tradnl"/>
        </w:rPr>
      </w:pPr>
      <w:r w:rsidRPr="00485CC5">
        <w:rPr>
          <w:rFonts w:ascii="Bookman Old Style" w:hAnsi="Bookman Old Style"/>
          <w:szCs w:val="24"/>
          <w:lang w:val="es-ES_tradnl"/>
        </w:rPr>
        <w:lastRenderedPageBreak/>
        <w:t xml:space="preserve">Si lo que se pretendió con el Acto Legislativo 02 de 2009 fue entonces proteger el derecho a la salud, </w:t>
      </w:r>
      <w:r w:rsidRPr="00485CC5">
        <w:rPr>
          <w:rFonts w:ascii="Bookman Old Style" w:eastAsia="Calibri" w:hAnsi="Bookman Old Style" w:cs="Calibri"/>
          <w:szCs w:val="24"/>
          <w:lang w:val="es-ES_tradnl"/>
        </w:rPr>
        <w:t>es necesario que el Estado colombiano adopte las medidas correspondientes para aplicar los principios de la salud pública, en vez de promover una política de naturaleza prohibitiva y penal.</w:t>
      </w:r>
      <w:r w:rsidRPr="00485CC5">
        <w:rPr>
          <w:rStyle w:val="FootnoteReference"/>
          <w:rFonts w:ascii="Bookman Old Style" w:eastAsia="Calibri" w:hAnsi="Bookman Old Style" w:cs="Calibri"/>
          <w:szCs w:val="24"/>
          <w:lang w:val="es-ES_tradnl"/>
        </w:rPr>
        <w:footnoteReference w:id="58"/>
      </w:r>
    </w:p>
    <w:p w14:paraId="5D055C19" w14:textId="77777777" w:rsidR="00F36280" w:rsidRPr="00485CC5" w:rsidRDefault="00F36280" w:rsidP="00F36280">
      <w:pPr>
        <w:widowControl/>
        <w:shd w:val="clear" w:color="auto" w:fill="FFFFFF"/>
        <w:jc w:val="both"/>
        <w:rPr>
          <w:rFonts w:ascii="Bookman Old Style" w:eastAsia="Calibri" w:hAnsi="Bookman Old Style" w:cs="Calibri"/>
          <w:szCs w:val="24"/>
          <w:lang w:val="es-ES_tradnl"/>
        </w:rPr>
      </w:pPr>
    </w:p>
    <w:p w14:paraId="31AB199A"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este escenario, es imperativo fortalecer el enfoque de salud pública el cual permitirá definir estrategias y herramientas para abordar la problemática de las drogas, no solo desde la visión del individuo sino también de lo colectivo, teniendo en cuenta el medio ambiente, la comunidad, la familia y el ámbito económico, pues su abandono puede exacerbar factores de riesgo que contribuyen al consumo ilícito de drogas.</w:t>
      </w:r>
    </w:p>
    <w:p w14:paraId="0C01FFB7" w14:textId="77777777" w:rsidR="00F36280" w:rsidRPr="00485CC5" w:rsidRDefault="00F36280" w:rsidP="00F36280">
      <w:pPr>
        <w:jc w:val="both"/>
        <w:rPr>
          <w:rFonts w:ascii="Bookman Old Style" w:eastAsia="Calibri" w:hAnsi="Bookman Old Style" w:cs="Calibri"/>
          <w:szCs w:val="24"/>
          <w:lang w:val="es-ES_tradnl"/>
        </w:rPr>
      </w:pPr>
    </w:p>
    <w:p w14:paraId="43BBCFFE"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485CC5">
        <w:rPr>
          <w:rStyle w:val="FootnoteReference"/>
          <w:rFonts w:ascii="Bookman Old Style" w:eastAsia="Calibri" w:hAnsi="Bookman Old Style" w:cs="Calibri"/>
          <w:szCs w:val="24"/>
          <w:lang w:val="es-ES_tradnl"/>
        </w:rPr>
        <w:footnoteReference w:id="59"/>
      </w:r>
    </w:p>
    <w:p w14:paraId="17272C2D" w14:textId="77777777" w:rsidR="00F36280" w:rsidRDefault="00F36280" w:rsidP="00F36280">
      <w:pPr>
        <w:jc w:val="both"/>
        <w:rPr>
          <w:rFonts w:ascii="Bookman Old Style" w:eastAsia="Calibri" w:hAnsi="Bookman Old Style" w:cs="Calibri"/>
          <w:szCs w:val="24"/>
          <w:lang w:val="es-ES_tradnl"/>
        </w:rPr>
      </w:pPr>
    </w:p>
    <w:p w14:paraId="54D67936" w14:textId="77777777" w:rsidR="008C1E9F" w:rsidRPr="00485CC5" w:rsidRDefault="008C1E9F" w:rsidP="00F36280">
      <w:pPr>
        <w:jc w:val="both"/>
        <w:rPr>
          <w:rFonts w:ascii="Bookman Old Style" w:eastAsia="Calibri" w:hAnsi="Bookman Old Style" w:cs="Calibri"/>
          <w:szCs w:val="24"/>
          <w:lang w:val="es-ES_tradnl"/>
        </w:rPr>
      </w:pPr>
    </w:p>
    <w:p w14:paraId="42F4F5AB" w14:textId="6A2FFEFB"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w:t>
      </w:r>
      <w:r w:rsidR="00666304">
        <w:rPr>
          <w:rFonts w:ascii="Bookman Old Style" w:eastAsia="Calibri" w:hAnsi="Bookman Old Style" w:cs="Calibri"/>
          <w:szCs w:val="24"/>
          <w:lang w:val="es-ES_tradnl"/>
        </w:rPr>
        <w:t>mo separar el consumo adulto</w:t>
      </w:r>
      <w:r w:rsidRPr="00485CC5">
        <w:rPr>
          <w:rFonts w:ascii="Bookman Old Style" w:eastAsia="Calibri" w:hAnsi="Bookman Old Style" w:cs="Calibri"/>
          <w:szCs w:val="24"/>
          <w:lang w:val="es-ES_tradnl"/>
        </w:rPr>
        <w:t xml:space="preserve">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485CC5">
        <w:rPr>
          <w:rStyle w:val="FootnoteReference"/>
          <w:rFonts w:ascii="Bookman Old Style" w:eastAsia="Calibri" w:hAnsi="Bookman Old Style" w:cs="Calibri"/>
          <w:szCs w:val="24"/>
          <w:lang w:val="es-ES_tradnl"/>
        </w:rPr>
        <w:footnoteReference w:id="60"/>
      </w:r>
    </w:p>
    <w:p w14:paraId="4A816DEC" w14:textId="77777777" w:rsidR="00F36280" w:rsidRPr="00485CC5" w:rsidRDefault="00F36280" w:rsidP="00F36280">
      <w:pPr>
        <w:jc w:val="both"/>
        <w:rPr>
          <w:rFonts w:ascii="Bookman Old Style" w:eastAsia="Calibri" w:hAnsi="Bookman Old Style" w:cs="Calibri"/>
          <w:szCs w:val="24"/>
          <w:lang w:val="es-ES_tradnl"/>
        </w:rPr>
      </w:pPr>
    </w:p>
    <w:p w14:paraId="6262D78A" w14:textId="77777777" w:rsidR="00F36280" w:rsidRPr="00485CC5" w:rsidRDefault="00F36280" w:rsidP="00F36280">
      <w:pPr>
        <w:jc w:val="both"/>
        <w:rPr>
          <w:rFonts w:ascii="Bookman Old Style" w:hAnsi="Bookman Old Style"/>
          <w:i/>
          <w:szCs w:val="24"/>
          <w:lang w:val="es-ES_tradnl"/>
        </w:rPr>
      </w:pPr>
      <w:r w:rsidRPr="00485CC5">
        <w:rPr>
          <w:rFonts w:ascii="Bookman Old Style" w:eastAsia="Calibri" w:hAnsi="Bookman Old Style" w:cs="Calibri"/>
          <w:szCs w:val="24"/>
          <w:lang w:val="es-ES_tradnl"/>
        </w:rPr>
        <w:t xml:space="preserve">Durante los últimos 25 años luego de que la Honorable Corte Constitucional profiriera </w:t>
      </w:r>
      <w:r w:rsidRPr="00485CC5">
        <w:rPr>
          <w:rFonts w:ascii="Bookman Old Style" w:hAnsi="Bookman Old Style"/>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485CC5">
        <w:rPr>
          <w:rFonts w:ascii="Bookman Old Style" w:hAnsi="Bookman Old Style"/>
          <w:i/>
          <w:szCs w:val="24"/>
          <w:lang w:val="es-ES_tradnl"/>
        </w:rPr>
        <w:t>la penalización del consumo de drogas, que se hace en nombre de la salud, es desastrosa para la salud pública y para los propios consumidores.</w:t>
      </w:r>
    </w:p>
    <w:p w14:paraId="04F3BD0D" w14:textId="77777777" w:rsidR="00F36280" w:rsidRPr="00485CC5" w:rsidRDefault="00F36280" w:rsidP="00F36280">
      <w:pPr>
        <w:jc w:val="both"/>
        <w:rPr>
          <w:rFonts w:ascii="Bookman Old Style" w:eastAsia="Calibri" w:hAnsi="Bookman Old Style" w:cs="Calibri"/>
          <w:szCs w:val="24"/>
          <w:lang w:val="es-ES_tradnl"/>
        </w:rPr>
      </w:pPr>
    </w:p>
    <w:p w14:paraId="15A84F20"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Por la razón que aquí ya se ha expresado, la penalización no impide que las </w:t>
      </w:r>
      <w:r w:rsidRPr="00485CC5">
        <w:rPr>
          <w:rFonts w:ascii="Bookman Old Style" w:eastAsia="Calibri" w:hAnsi="Bookman Old Style" w:cs="Calibri"/>
          <w:szCs w:val="24"/>
          <w:lang w:val="es-ES_tradnl"/>
        </w:rPr>
        <w:lastRenderedPageBreak/>
        <w:t xml:space="preserve">personas accedan a las drogas, pero si las obliga a consumirlas en el mundo de la ilegalidad y en condiciones que amenazan su seguridad y su salud. </w:t>
      </w:r>
      <w:r w:rsidRPr="00485CC5">
        <w:rPr>
          <w:rFonts w:ascii="Bookman Old Style" w:hAnsi="Bookman Old Style"/>
          <w:szCs w:val="24"/>
          <w:lang w:val="es-ES_tradnl"/>
        </w:rPr>
        <w:t>Esto no solo incrementa los riesgos sanitarios para los consumidores, sino que además evita que aquellos con problemas de dependencia busquen ayuda, pues temen la sanción y es profundamente discriminatorio.</w:t>
      </w:r>
      <w:r w:rsidRPr="00485CC5">
        <w:rPr>
          <w:rStyle w:val="FootnoteReference"/>
          <w:rFonts w:ascii="Bookman Old Style" w:hAnsi="Bookman Old Style"/>
          <w:szCs w:val="24"/>
          <w:lang w:val="es-ES_tradnl"/>
        </w:rPr>
        <w:footnoteReference w:id="61"/>
      </w:r>
    </w:p>
    <w:p w14:paraId="74F04953" w14:textId="77777777" w:rsidR="00F36280" w:rsidRPr="00485CC5" w:rsidRDefault="00F36280" w:rsidP="00F36280">
      <w:pPr>
        <w:jc w:val="both"/>
        <w:rPr>
          <w:rFonts w:ascii="Bookman Old Style" w:eastAsia="Calibri" w:hAnsi="Bookman Old Style" w:cs="Calibri"/>
          <w:szCs w:val="24"/>
          <w:lang w:val="es-ES_tradnl"/>
        </w:rPr>
      </w:pPr>
    </w:p>
    <w:p w14:paraId="4139F907" w14:textId="77777777" w:rsidR="00F36280" w:rsidRPr="001B4F33" w:rsidRDefault="00E453A8"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1B4F33">
        <w:rPr>
          <w:rFonts w:ascii="Bookman Old Style" w:eastAsia="Calibri" w:hAnsi="Bookman Old Style" w:cs="Calibri"/>
          <w:b/>
          <w:szCs w:val="24"/>
          <w:lang w:val="es-ES_tradnl"/>
        </w:rPr>
        <w:t>.</w:t>
      </w:r>
      <w:r w:rsidR="00CD271D" w:rsidRPr="001B4F33">
        <w:rPr>
          <w:rFonts w:ascii="Bookman Old Style" w:eastAsia="Calibri" w:hAnsi="Bookman Old Style" w:cs="Calibri"/>
          <w:b/>
          <w:szCs w:val="24"/>
          <w:lang w:val="es-ES_tradnl"/>
        </w:rPr>
        <w:t>2.2</w:t>
      </w:r>
      <w:r w:rsidR="00F36280" w:rsidRPr="001B4F33">
        <w:rPr>
          <w:rFonts w:ascii="Bookman Old Style" w:eastAsia="Calibri" w:hAnsi="Bookman Old Style" w:cs="Calibri"/>
          <w:b/>
          <w:szCs w:val="24"/>
          <w:lang w:val="es-ES_tradnl"/>
        </w:rPr>
        <w:t xml:space="preserve"> REGULARIZACIÓN EXCLUSIVA DEL CANNABIS.</w:t>
      </w:r>
    </w:p>
    <w:p w14:paraId="68134F64" w14:textId="77777777" w:rsidR="00F36280" w:rsidRPr="00C30DB4" w:rsidRDefault="00F36280" w:rsidP="00F36280">
      <w:pPr>
        <w:jc w:val="both"/>
        <w:rPr>
          <w:rFonts w:ascii="Bookman Old Style" w:eastAsia="Calibri" w:hAnsi="Bookman Old Style" w:cs="Calibri"/>
          <w:b/>
          <w:szCs w:val="24"/>
          <w:highlight w:val="yellow"/>
          <w:lang w:val="es-ES_tradnl"/>
        </w:rPr>
      </w:pPr>
    </w:p>
    <w:p w14:paraId="47D9A4F7" w14:textId="77777777" w:rsidR="001B4F33" w:rsidRDefault="001B4F33" w:rsidP="001B4F33">
      <w:pPr>
        <w:jc w:val="both"/>
        <w:rPr>
          <w:rFonts w:ascii="Bookman Old Style" w:eastAsia="Calibri" w:hAnsi="Bookman Old Style" w:cs="Calibri"/>
          <w:szCs w:val="24"/>
        </w:rPr>
      </w:pPr>
      <w:r w:rsidRPr="00AE7B15">
        <w:rPr>
          <w:rFonts w:ascii="Bookman Old Style" w:eastAsia="Calibri" w:hAnsi="Bookman Old Style" w:cs="Calibri"/>
          <w:szCs w:val="24"/>
          <w:lang w:val="es-ES_tradnl"/>
        </w:rPr>
        <w:t xml:space="preserve">Las sustancias estupefacientes y psicotrópicas, en general, tienen un potencial de adicción, entendido como la capacidad de desarrollar </w:t>
      </w:r>
      <w:r w:rsidRPr="00AE7B15">
        <w:rPr>
          <w:rFonts w:ascii="Bookman Old Style" w:eastAsia="Calibri" w:hAnsi="Bookman Old Style" w:cs="Calibri"/>
          <w:szCs w:val="24"/>
        </w:rPr>
        <w:t>hábitos de consumo ligadas a una depend</w:t>
      </w:r>
      <w:r>
        <w:rPr>
          <w:rFonts w:ascii="Bookman Old Style" w:eastAsia="Calibri" w:hAnsi="Bookman Old Style" w:cs="Calibri"/>
          <w:szCs w:val="24"/>
        </w:rPr>
        <w:t>encia psicológica o fisiológica, así como generan un síndrome de abstinencia, entendido como las</w:t>
      </w:r>
      <w:r w:rsidRPr="00AE7B15">
        <w:rPr>
          <w:rFonts w:ascii="Bookman Old Style" w:eastAsia="Calibri" w:hAnsi="Bookman Old Style" w:cs="Calibri"/>
          <w:szCs w:val="24"/>
        </w:rPr>
        <w:t xml:space="preserve"> alteraciones físicas y psíquicas que aparecen en una persona cuando deja bruscamente de tomar una sustancia a la cual está habituada o es</w:t>
      </w:r>
      <w:r>
        <w:rPr>
          <w:rFonts w:ascii="Bookman Old Style" w:eastAsia="Calibri" w:hAnsi="Bookman Old Style" w:cs="Calibri"/>
          <w:szCs w:val="24"/>
        </w:rPr>
        <w:t xml:space="preserve"> adicta</w:t>
      </w:r>
      <w:r w:rsidRPr="00AE7B15">
        <w:rPr>
          <w:rFonts w:ascii="Bookman Old Style" w:eastAsia="Calibri" w:hAnsi="Bookman Old Style" w:cs="Calibri"/>
          <w:szCs w:val="24"/>
        </w:rPr>
        <w:t xml:space="preserve">. </w:t>
      </w:r>
    </w:p>
    <w:p w14:paraId="039A7851" w14:textId="77777777" w:rsidR="001B4F33" w:rsidRDefault="001B4F33" w:rsidP="001B4F33">
      <w:pPr>
        <w:jc w:val="both"/>
        <w:rPr>
          <w:rFonts w:ascii="Bookman Old Style" w:eastAsia="Calibri" w:hAnsi="Bookman Old Style" w:cs="Calibri"/>
          <w:szCs w:val="24"/>
        </w:rPr>
      </w:pPr>
    </w:p>
    <w:p w14:paraId="58067412" w14:textId="77777777" w:rsidR="001B4F33" w:rsidRDefault="001B4F33" w:rsidP="001B4F33">
      <w:pPr>
        <w:jc w:val="both"/>
        <w:rPr>
          <w:rFonts w:ascii="Bookman Old Style" w:eastAsia="Calibri" w:hAnsi="Bookman Old Style" w:cs="Calibri"/>
          <w:szCs w:val="24"/>
        </w:rPr>
      </w:pPr>
      <w:r>
        <w:rPr>
          <w:rFonts w:ascii="Bookman Old Style" w:eastAsia="Calibri" w:hAnsi="Bookman Old Style" w:cs="Calibri"/>
          <w:szCs w:val="24"/>
        </w:rPr>
        <w:t xml:space="preserve">De acuerdo al estudio realizado por el </w:t>
      </w:r>
      <w:r w:rsidRPr="00AE7B15">
        <w:rPr>
          <w:rFonts w:ascii="Bookman Old Style" w:eastAsia="Calibri" w:hAnsi="Bookman Old Style" w:cs="Calibri"/>
          <w:szCs w:val="24"/>
        </w:rPr>
        <w:t>profesor de Psicofarmacología en la Uni</w:t>
      </w:r>
      <w:r>
        <w:rPr>
          <w:rFonts w:ascii="Bookman Old Style" w:eastAsia="Calibri" w:hAnsi="Bookman Old Style" w:cs="Calibri"/>
          <w:szCs w:val="24"/>
        </w:rPr>
        <w:t>versidad de Bristol, David Nutt, s</w:t>
      </w:r>
      <w:r w:rsidRPr="00AE7B15">
        <w:rPr>
          <w:rFonts w:ascii="Bookman Old Style" w:eastAsia="Calibri" w:hAnsi="Bookman Old Style" w:cs="Calibri"/>
          <w:szCs w:val="24"/>
        </w:rPr>
        <w:t xml:space="preserve">ustancias prohibidas </w:t>
      </w:r>
      <w:r>
        <w:rPr>
          <w:rFonts w:ascii="Bookman Old Style" w:eastAsia="Calibri" w:hAnsi="Bookman Old Style" w:cs="Calibri"/>
          <w:szCs w:val="24"/>
        </w:rPr>
        <w:t xml:space="preserve">y no prohibidas </w:t>
      </w:r>
      <w:r w:rsidRPr="00AE7B15">
        <w:rPr>
          <w:rFonts w:ascii="Bookman Old Style" w:eastAsia="Calibri" w:hAnsi="Bookman Old Style" w:cs="Calibri"/>
          <w:szCs w:val="24"/>
        </w:rPr>
        <w:t xml:space="preserve">como </w:t>
      </w:r>
      <w:r>
        <w:rPr>
          <w:rFonts w:ascii="Bookman Old Style" w:eastAsia="Calibri" w:hAnsi="Bookman Old Style" w:cs="Calibri"/>
          <w:szCs w:val="24"/>
        </w:rPr>
        <w:t>la heroína (</w:t>
      </w:r>
      <w:r w:rsidRPr="002F0E6C">
        <w:rPr>
          <w:rFonts w:ascii="Bookman Old Style" w:eastAsia="Calibri" w:hAnsi="Bookman Old Style" w:cs="Calibri"/>
          <w:szCs w:val="24"/>
        </w:rPr>
        <w:t>peligrosa por su alta mortalidad</w:t>
      </w:r>
      <w:r>
        <w:rPr>
          <w:rFonts w:ascii="Bookman Old Style" w:eastAsia="Calibri" w:hAnsi="Bookman Old Style" w:cs="Calibri"/>
          <w:szCs w:val="24"/>
        </w:rPr>
        <w:t>)</w:t>
      </w:r>
      <w:r>
        <w:rPr>
          <w:rStyle w:val="FootnoteReference"/>
          <w:rFonts w:ascii="Bookman Old Style" w:eastAsia="Calibri" w:hAnsi="Bookman Old Style" w:cs="Calibri"/>
          <w:szCs w:val="24"/>
        </w:rPr>
        <w:footnoteReference w:id="62"/>
      </w:r>
      <w:r>
        <w:rPr>
          <w:rFonts w:ascii="Bookman Old Style" w:eastAsia="Calibri" w:hAnsi="Bookman Old Style" w:cs="Calibri"/>
          <w:szCs w:val="24"/>
        </w:rPr>
        <w:t>, la cocaína (que cuando decanta en muerte por sobredosis muestra edema cerebral y pulmonar)</w:t>
      </w:r>
      <w:r>
        <w:rPr>
          <w:rStyle w:val="FootnoteReference"/>
          <w:rFonts w:ascii="Bookman Old Style" w:eastAsia="Calibri" w:hAnsi="Bookman Old Style" w:cs="Calibri"/>
          <w:szCs w:val="24"/>
        </w:rPr>
        <w:footnoteReference w:id="63"/>
      </w:r>
      <w:r>
        <w:rPr>
          <w:rFonts w:ascii="Bookman Old Style" w:eastAsia="Calibri" w:hAnsi="Bookman Old Style" w:cs="Calibri"/>
          <w:szCs w:val="24"/>
        </w:rPr>
        <w:t>, la metanfetamina, el crack o el alcohol (el cual es uno de los causantes de la cirrosis) son las sustancias que más afectación al consumidor pueden generar.</w:t>
      </w:r>
      <w:r>
        <w:rPr>
          <w:rStyle w:val="FootnoteReference"/>
          <w:rFonts w:ascii="Bookman Old Style" w:eastAsia="Calibri" w:hAnsi="Bookman Old Style" w:cs="Calibri"/>
          <w:szCs w:val="24"/>
        </w:rPr>
        <w:footnoteReference w:id="64"/>
      </w:r>
    </w:p>
    <w:p w14:paraId="0A9FBCAB" w14:textId="77777777" w:rsidR="001B4F33" w:rsidRDefault="001B4F33" w:rsidP="001B4F33">
      <w:pPr>
        <w:jc w:val="both"/>
        <w:rPr>
          <w:rFonts w:ascii="Bookman Old Style" w:eastAsia="Calibri" w:hAnsi="Bookman Old Style" w:cs="Calibri"/>
          <w:szCs w:val="24"/>
        </w:rPr>
      </w:pPr>
    </w:p>
    <w:p w14:paraId="2D15B5B4" w14:textId="77777777" w:rsidR="001B4F33" w:rsidRDefault="001B4F33" w:rsidP="001B4F33">
      <w:pPr>
        <w:jc w:val="both"/>
        <w:rPr>
          <w:rFonts w:ascii="Bookman Old Style" w:eastAsia="Calibri" w:hAnsi="Bookman Old Style" w:cs="Calibri"/>
          <w:szCs w:val="24"/>
        </w:rPr>
      </w:pPr>
      <w:r>
        <w:rPr>
          <w:rFonts w:ascii="Bookman Old Style" w:eastAsia="Calibri" w:hAnsi="Bookman Old Style" w:cs="Calibri"/>
          <w:szCs w:val="24"/>
        </w:rPr>
        <w:t>El alcohol como primera ejemplo, genera tolerancia, acostumbramiento y dependencia. Dicha sustancia ante su abuso presenta como consecuencia efectos negativos acentuados que tienen tendencia a decantar en una embriaguez patológica.</w:t>
      </w:r>
      <w:r>
        <w:rPr>
          <w:rStyle w:val="FootnoteReference"/>
          <w:rFonts w:ascii="Bookman Old Style" w:eastAsia="Calibri" w:hAnsi="Bookman Old Style" w:cs="Calibri"/>
          <w:szCs w:val="24"/>
        </w:rPr>
        <w:footnoteReference w:id="65"/>
      </w:r>
      <w:r>
        <w:rPr>
          <w:rFonts w:ascii="Bookman Old Style" w:eastAsia="Calibri" w:hAnsi="Bookman Old Style" w:cs="Calibri"/>
          <w:szCs w:val="24"/>
        </w:rPr>
        <w:t xml:space="preserve"> Para 2014 se estimaba que en Colombia ocho millones trescientas treinta y nueve mil seiscientas cincuenta y nueve (8´339.659) personas entre los 12 y los 65 años consumían alcohol regularmente, de las cuales cerca de los dos millones seiscientos presentaban un uso riesgoso o perjudicial.</w:t>
      </w:r>
      <w:r>
        <w:rPr>
          <w:rStyle w:val="FootnoteReference"/>
          <w:rFonts w:ascii="Bookman Old Style" w:eastAsia="Calibri" w:hAnsi="Bookman Old Style" w:cs="Calibri"/>
          <w:szCs w:val="24"/>
        </w:rPr>
        <w:footnoteReference w:id="66"/>
      </w:r>
    </w:p>
    <w:p w14:paraId="34E87C1B" w14:textId="77777777" w:rsidR="001B4F33" w:rsidRDefault="001B4F33" w:rsidP="001B4F33">
      <w:pPr>
        <w:jc w:val="both"/>
        <w:rPr>
          <w:rFonts w:ascii="Bookman Old Style" w:eastAsia="Calibri" w:hAnsi="Bookman Old Style" w:cs="Calibri"/>
          <w:szCs w:val="24"/>
        </w:rPr>
      </w:pPr>
    </w:p>
    <w:p w14:paraId="55EDD6BF" w14:textId="77777777" w:rsidR="001B4F33" w:rsidRDefault="001B4F33" w:rsidP="001B4F33">
      <w:pPr>
        <w:jc w:val="both"/>
        <w:rPr>
          <w:rFonts w:ascii="Bookman Old Style" w:eastAsia="Calibri" w:hAnsi="Bookman Old Style" w:cs="Calibri"/>
          <w:szCs w:val="24"/>
        </w:rPr>
      </w:pPr>
      <w:r>
        <w:rPr>
          <w:rFonts w:ascii="Bookman Old Style" w:eastAsia="Calibri" w:hAnsi="Bookman Old Style" w:cs="Calibri"/>
          <w:szCs w:val="24"/>
        </w:rPr>
        <w:t>La nicotina por su parte, es una sustancia que genera dependencia, tolerancia y síndrome de abstinencia ante su interrupción. Mientras que los Opiáceos presentan facilidad para inducir farmacodependencia, lo que obliga a los médicos que los recetan, sean extremadamente cuidadosos, y no generosos en su prescripción.</w:t>
      </w:r>
      <w:r>
        <w:rPr>
          <w:rStyle w:val="FootnoteReference"/>
          <w:rFonts w:ascii="Bookman Old Style" w:eastAsia="Calibri" w:hAnsi="Bookman Old Style" w:cs="Calibri"/>
          <w:szCs w:val="24"/>
        </w:rPr>
        <w:footnoteReference w:id="67"/>
      </w:r>
    </w:p>
    <w:p w14:paraId="20544D68" w14:textId="77777777" w:rsidR="001B4F33" w:rsidRDefault="001B4F33" w:rsidP="001B4F33">
      <w:pPr>
        <w:jc w:val="both"/>
        <w:rPr>
          <w:rFonts w:ascii="Bookman Old Style" w:eastAsia="Calibri" w:hAnsi="Bookman Old Style" w:cs="Calibri"/>
          <w:szCs w:val="24"/>
        </w:rPr>
      </w:pPr>
    </w:p>
    <w:p w14:paraId="5D2A5776" w14:textId="77777777" w:rsidR="001B4F33" w:rsidRDefault="001B4F33" w:rsidP="001B4F33">
      <w:pPr>
        <w:jc w:val="both"/>
        <w:rPr>
          <w:rFonts w:ascii="Bookman Old Style" w:eastAsia="Calibri" w:hAnsi="Bookman Old Style" w:cs="Calibri"/>
          <w:szCs w:val="24"/>
          <w:lang w:val="es-ES_tradnl"/>
        </w:rPr>
      </w:pPr>
      <w:r>
        <w:rPr>
          <w:rFonts w:ascii="Bookman Old Style" w:eastAsia="Calibri" w:hAnsi="Bookman Old Style" w:cs="Calibri"/>
          <w:szCs w:val="24"/>
        </w:rPr>
        <w:t>En lo que respecta al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 xml:space="preserve">varios autores como Roberto Solórzano Niño o Cesar Augusto Giraldo han afirmado en sus obras que su uso no lleva síndrome de </w:t>
      </w:r>
      <w:r>
        <w:rPr>
          <w:rFonts w:ascii="Bookman Old Style" w:eastAsia="Calibri" w:hAnsi="Bookman Old Style" w:cs="Calibri"/>
          <w:szCs w:val="24"/>
          <w:lang w:val="es-ES_tradnl"/>
        </w:rPr>
        <w:lastRenderedPageBreak/>
        <w:t>abstinencia</w:t>
      </w:r>
      <w:r>
        <w:rPr>
          <w:rStyle w:val="FootnoteReference"/>
          <w:rFonts w:ascii="Bookman Old Style" w:eastAsia="Calibri" w:hAnsi="Bookman Old Style" w:cs="Calibri"/>
          <w:szCs w:val="24"/>
          <w:lang w:val="es-ES_tradnl"/>
        </w:rPr>
        <w:footnoteReference w:id="68"/>
      </w:r>
      <w:r>
        <w:rPr>
          <w:rFonts w:ascii="Bookman Old Style" w:eastAsia="Calibri" w:hAnsi="Bookman Old Style" w:cs="Calibri"/>
          <w:szCs w:val="24"/>
          <w:lang w:val="es-ES_tradnl"/>
        </w:rPr>
        <w:t>, no suele inducir tolerancia,</w:t>
      </w:r>
      <w:r>
        <w:rPr>
          <w:rStyle w:val="FootnoteReference"/>
          <w:rFonts w:ascii="Bookman Old Style" w:eastAsia="Calibri" w:hAnsi="Bookman Old Style" w:cs="Calibri"/>
          <w:szCs w:val="24"/>
          <w:lang w:val="es-ES_tradnl"/>
        </w:rPr>
        <w:footnoteReference w:id="69"/>
      </w:r>
      <w:r>
        <w:rPr>
          <w:rFonts w:ascii="Bookman Old Style" w:eastAsia="Calibri" w:hAnsi="Bookman Old Style" w:cs="Calibri"/>
          <w:szCs w:val="24"/>
          <w:lang w:val="es-ES_tradnl"/>
        </w:rPr>
        <w:t xml:space="preserve"> decantar en muerte por sobredosis o ser un factor de enfermedades degenerativas. E</w:t>
      </w:r>
      <w:r w:rsidRPr="00AE7B15">
        <w:rPr>
          <w:rFonts w:ascii="Bookman Old Style" w:eastAsia="Calibri" w:hAnsi="Bookman Old Style" w:cs="Calibri"/>
          <w:szCs w:val="24"/>
          <w:lang w:val="es-ES_tradnl"/>
        </w:rPr>
        <w:t>n contra posición con los ejemplos tanto lícitos como ilícitos ya citados. Lo anterior aunado a sus aplicaciones en temas de salud y calidad de vida (cuidados paliativos) que hoy son una realidad.</w:t>
      </w:r>
    </w:p>
    <w:p w14:paraId="3C6A2B0D" w14:textId="77777777" w:rsidR="001B4F33" w:rsidRDefault="001B4F33" w:rsidP="001B4F33">
      <w:pPr>
        <w:jc w:val="both"/>
        <w:rPr>
          <w:rFonts w:ascii="Bookman Old Style" w:eastAsia="Calibri" w:hAnsi="Bookman Old Style" w:cs="Calibri"/>
          <w:szCs w:val="24"/>
          <w:lang w:val="es-ES_tradnl"/>
        </w:rPr>
      </w:pPr>
    </w:p>
    <w:p w14:paraId="50025BC0" w14:textId="77777777" w:rsidR="001B4F33" w:rsidRDefault="001B4F33" w:rsidP="001B4F33">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Se evidencia entonces que los efectos del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no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 xml:space="preserve">son </w:t>
      </w:r>
      <w:r w:rsidRPr="00AE7B15">
        <w:rPr>
          <w:rFonts w:ascii="Bookman Old Style" w:eastAsia="Calibri" w:hAnsi="Bookman Old Style" w:cs="Calibri"/>
          <w:szCs w:val="24"/>
          <w:lang w:val="es-ES_tradnl"/>
        </w:rPr>
        <w:t>más nocivos que los efectos de</w:t>
      </w:r>
      <w:r>
        <w:rPr>
          <w:rFonts w:ascii="Bookman Old Style" w:eastAsia="Calibri" w:hAnsi="Bookman Old Style" w:cs="Calibri"/>
          <w:szCs w:val="24"/>
          <w:lang w:val="es-ES_tradnl"/>
        </w:rPr>
        <w:t>l</w:t>
      </w:r>
      <w:r w:rsidRPr="00AE7B15">
        <w:rPr>
          <w:rFonts w:ascii="Bookman Old Style" w:eastAsia="Calibri" w:hAnsi="Bookman Old Style" w:cs="Calibri"/>
          <w:szCs w:val="24"/>
          <w:lang w:val="es-ES_tradnl"/>
        </w:rPr>
        <w:t xml:space="preserve"> alcohol o </w:t>
      </w:r>
      <w:r>
        <w:rPr>
          <w:rFonts w:ascii="Bookman Old Style" w:eastAsia="Calibri" w:hAnsi="Bookman Old Style" w:cs="Calibri"/>
          <w:szCs w:val="24"/>
          <w:lang w:val="es-ES_tradnl"/>
        </w:rPr>
        <w:t>del cigarrillo.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Por el contrario,</w:t>
      </w:r>
      <w:r w:rsidRPr="00AE7B15">
        <w:rPr>
          <w:rFonts w:ascii="Bookman Old Style" w:eastAsia="Calibri" w:hAnsi="Bookman Old Style" w:cs="Calibri"/>
          <w:szCs w:val="24"/>
          <w:lang w:val="es-ES_tradnl"/>
        </w:rPr>
        <w:t xml:space="preserve"> el cannabis genera un daño</w:t>
      </w:r>
      <w:r>
        <w:rPr>
          <w:rFonts w:ascii="Bookman Old Style" w:eastAsia="Calibri" w:hAnsi="Bookman Old Style" w:cs="Calibri"/>
          <w:szCs w:val="24"/>
          <w:lang w:val="es-ES_tradnl"/>
        </w:rPr>
        <w:t xml:space="preserve"> mínimo al consumidor y hacia otros, de acuerdo a </w:t>
      </w:r>
      <w:r w:rsidRPr="00AE7B15">
        <w:rPr>
          <w:rFonts w:ascii="Bookman Old Style" w:eastAsia="Calibri" w:hAnsi="Bookman Old Style" w:cs="Calibri"/>
          <w:szCs w:val="24"/>
          <w:lang w:val="es-ES_tradnl"/>
        </w:rPr>
        <w:t>las</w:t>
      </w:r>
      <w:r w:rsidRPr="00AE7B15">
        <w:rPr>
          <w:rFonts w:ascii="Bookman Old Style" w:eastAsia="Calibri" w:hAnsi="Bookman Old Style" w:cs="Calibri"/>
          <w:i/>
          <w:szCs w:val="24"/>
          <w:lang w:val="es-ES_tradnl"/>
        </w:rPr>
        <w:t xml:space="preserve"> </w:t>
      </w:r>
      <w:r w:rsidRPr="00AE7B15">
        <w:rPr>
          <w:rFonts w:ascii="Bookman Old Style" w:eastAsia="Calibri" w:hAnsi="Bookman Old Style" w:cs="Calibri"/>
          <w:szCs w:val="24"/>
          <w:lang w:val="es-ES_tradnl"/>
        </w:rPr>
        <w:t xml:space="preserve">gráficas 1 </w:t>
      </w:r>
      <w:r>
        <w:rPr>
          <w:rFonts w:ascii="Bookman Old Style" w:eastAsia="Calibri" w:hAnsi="Bookman Old Style" w:cs="Calibri"/>
          <w:szCs w:val="24"/>
          <w:lang w:val="es-ES_tradnl"/>
        </w:rPr>
        <w:t>y 2 relacionadas en las págs. 22 y 23.</w:t>
      </w:r>
    </w:p>
    <w:p w14:paraId="0586C047" w14:textId="77777777" w:rsidR="001B4F33" w:rsidRPr="00AE7B15" w:rsidRDefault="001B4F33" w:rsidP="001B4F33">
      <w:pPr>
        <w:jc w:val="both"/>
        <w:rPr>
          <w:rFonts w:ascii="Bookman Old Style" w:eastAsia="Calibri" w:hAnsi="Bookman Old Style" w:cs="Calibri"/>
          <w:szCs w:val="24"/>
          <w:lang w:val="es-ES_tradnl"/>
        </w:rPr>
      </w:pPr>
    </w:p>
    <w:p w14:paraId="1D8B0A02" w14:textId="5034DC4F" w:rsidR="001B4F33" w:rsidRPr="00AE7B15" w:rsidRDefault="001B4F33" w:rsidP="001B4F33">
      <w:pPr>
        <w:jc w:val="both"/>
        <w:rPr>
          <w:rFonts w:ascii="Bookman Old Style" w:eastAsia="Calibri" w:hAnsi="Bookman Old Style" w:cs="Calibri"/>
          <w:bCs/>
          <w:i/>
          <w:iCs/>
          <w:szCs w:val="24"/>
          <w:lang w:val="es-ES_tradnl"/>
        </w:rPr>
      </w:pPr>
      <w:r w:rsidRPr="00AE7B15">
        <w:rPr>
          <w:rFonts w:ascii="Bookman Old Style" w:eastAsia="Calibri" w:hAnsi="Bookman Old Style" w:cs="Calibri"/>
          <w:szCs w:val="24"/>
          <w:lang w:val="es-ES_tradnl"/>
        </w:rPr>
        <w:t>De acuerdo a lo expuesto es necesario ser claros respecto a que el presente Proyecto de Acto Legislativo exclusivamente busca la r</w:t>
      </w:r>
      <w:r w:rsidR="00666304">
        <w:rPr>
          <w:rFonts w:ascii="Bookman Old Style" w:eastAsia="Calibri" w:hAnsi="Bookman Old Style" w:cs="Calibri"/>
          <w:szCs w:val="24"/>
          <w:lang w:val="es-ES_tradnl"/>
        </w:rPr>
        <w:t>egularización del uso adulto</w:t>
      </w:r>
      <w:r w:rsidRPr="00AE7B15">
        <w:rPr>
          <w:rFonts w:ascii="Bookman Old Style" w:eastAsia="Calibri" w:hAnsi="Bookman Old Style" w:cs="Calibri"/>
          <w:szCs w:val="24"/>
          <w:lang w:val="es-ES_tradnl"/>
        </w:rPr>
        <w:t xml:space="preserve"> del cannabis. Sustancias como la cocaína, el </w:t>
      </w:r>
      <w:r w:rsidRPr="00AE7B15">
        <w:rPr>
          <w:rFonts w:ascii="Bookman Old Style" w:eastAsia="Calibri" w:hAnsi="Bookman Old Style" w:cs="Calibri"/>
          <w:szCs w:val="24"/>
        </w:rPr>
        <w:t>hachís, los derivados de la amapola y la droga sintética deben continuar bajo la normativa actual.</w:t>
      </w:r>
    </w:p>
    <w:p w14:paraId="7A0BBAA0" w14:textId="77777777" w:rsidR="001B4F33" w:rsidRPr="00AE7B15" w:rsidRDefault="001B4F33" w:rsidP="001B4F33">
      <w:pPr>
        <w:jc w:val="both"/>
        <w:rPr>
          <w:rFonts w:ascii="Bookman Old Style" w:eastAsia="Calibri" w:hAnsi="Bookman Old Style" w:cs="Calibri"/>
          <w:szCs w:val="24"/>
          <w:lang w:val="es-ES_tradnl"/>
        </w:rPr>
      </w:pPr>
    </w:p>
    <w:p w14:paraId="2F038C67"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consecuencia, y considerando además que: </w:t>
      </w:r>
    </w:p>
    <w:p w14:paraId="362E240F" w14:textId="77777777" w:rsidR="001B4F33" w:rsidRPr="00AE7B15" w:rsidRDefault="001B4F33" w:rsidP="001B4F33">
      <w:pPr>
        <w:jc w:val="both"/>
        <w:rPr>
          <w:rFonts w:ascii="Bookman Old Style" w:eastAsia="Calibri" w:hAnsi="Bookman Old Style" w:cs="Calibri"/>
          <w:szCs w:val="24"/>
          <w:lang w:val="es-ES_tradnl"/>
        </w:rPr>
      </w:pPr>
    </w:p>
    <w:p w14:paraId="232A28B8" w14:textId="4176A82F" w:rsidR="009718AC" w:rsidRDefault="001B4F33" w:rsidP="001B4F33">
      <w:pPr>
        <w:pStyle w:val="ListParagraph"/>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Colombia cuenta con una legislación vigente que reglamenta de forma idónea y eficaz el cultivo, la transformación, la comercialización y exportación del cannabis de uso medicinal que bien</w:t>
      </w:r>
      <w:r w:rsidR="00666304">
        <w:rPr>
          <w:rFonts w:ascii="Bookman Old Style" w:eastAsia="Calibri" w:hAnsi="Bookman Old Style" w:cs="Calibri"/>
          <w:szCs w:val="24"/>
          <w:lang w:val="es-ES_tradnl"/>
        </w:rPr>
        <w:t xml:space="preserve"> podría extenderse al adulto</w:t>
      </w:r>
      <w:r w:rsidRPr="00AE7B15">
        <w:rPr>
          <w:rFonts w:ascii="Bookman Old Style" w:eastAsia="Calibri" w:hAnsi="Bookman Old Style" w:cs="Calibri"/>
          <w:szCs w:val="24"/>
          <w:lang w:val="es-ES_tradnl"/>
        </w:rPr>
        <w:t xml:space="preserve"> sin inconvenientes</w:t>
      </w:r>
      <w:r w:rsidR="009718AC">
        <w:rPr>
          <w:rFonts w:ascii="Bookman Old Style" w:eastAsia="Calibri" w:hAnsi="Bookman Old Style" w:cs="Calibri"/>
          <w:szCs w:val="24"/>
          <w:lang w:val="es-ES_tradnl"/>
        </w:rPr>
        <w:t>;</w:t>
      </w:r>
    </w:p>
    <w:p w14:paraId="2368E972" w14:textId="77777777" w:rsidR="001B4F33" w:rsidRPr="00AE7B15" w:rsidRDefault="001B4F33" w:rsidP="00621929">
      <w:pPr>
        <w:pStyle w:val="ListParagraph"/>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 </w:t>
      </w:r>
    </w:p>
    <w:p w14:paraId="0AD082A6" w14:textId="3D56DFF9" w:rsidR="009718AC" w:rsidRDefault="001B4F33" w:rsidP="001B4F33">
      <w:pPr>
        <w:pStyle w:val="ListParagraph"/>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Existe una tendencia creciente en el ámbito internacional de reglamen</w:t>
      </w:r>
      <w:r w:rsidR="00666304">
        <w:rPr>
          <w:rFonts w:ascii="Bookman Old Style" w:eastAsia="Calibri" w:hAnsi="Bookman Old Style" w:cs="Calibri"/>
          <w:szCs w:val="24"/>
          <w:lang w:val="es-ES_tradnl"/>
        </w:rPr>
        <w:t>tar y permitir el uso adulto</w:t>
      </w:r>
      <w:r w:rsidRPr="00AE7B15">
        <w:rPr>
          <w:rFonts w:ascii="Bookman Old Style" w:eastAsia="Calibri" w:hAnsi="Bookman Old Style" w:cs="Calibri"/>
          <w:szCs w:val="24"/>
          <w:lang w:val="es-ES_tradnl"/>
        </w:rPr>
        <w:t xml:space="preserve"> del cannabis</w:t>
      </w:r>
      <w:r w:rsidR="009718AC">
        <w:rPr>
          <w:rFonts w:ascii="Bookman Old Style" w:eastAsia="Calibri" w:hAnsi="Bookman Old Style" w:cs="Calibri"/>
          <w:szCs w:val="24"/>
          <w:lang w:val="es-ES_tradnl"/>
        </w:rPr>
        <w:t>;</w:t>
      </w:r>
    </w:p>
    <w:p w14:paraId="7C30D1AC" w14:textId="77777777" w:rsidR="001B4F33" w:rsidRPr="00AE7B15" w:rsidRDefault="001B4F33" w:rsidP="00621929">
      <w:pPr>
        <w:pStyle w:val="ListParagraph"/>
        <w:jc w:val="both"/>
        <w:rPr>
          <w:rFonts w:ascii="Bookman Old Style" w:eastAsia="Calibri" w:hAnsi="Bookman Old Style" w:cs="Calibri"/>
          <w:szCs w:val="24"/>
          <w:lang w:val="es-ES_tradnl"/>
        </w:rPr>
      </w:pPr>
    </w:p>
    <w:p w14:paraId="77E8BC9A" w14:textId="77777777" w:rsidR="001B4F33" w:rsidRPr="00AE7B15" w:rsidRDefault="001B4F33" w:rsidP="001B4F33">
      <w:pPr>
        <w:pStyle w:val="ListParagraph"/>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Se está consolidando un nuevo mercado a nivel mundial que está generando ganancias.</w:t>
      </w:r>
    </w:p>
    <w:p w14:paraId="3698495F" w14:textId="1BC19888" w:rsidR="009718AC" w:rsidRDefault="009718AC" w:rsidP="001B4F33">
      <w:pPr>
        <w:jc w:val="both"/>
        <w:rPr>
          <w:rFonts w:ascii="Bookman Old Style" w:eastAsia="Calibri" w:hAnsi="Bookman Old Style" w:cs="Calibri"/>
          <w:szCs w:val="24"/>
          <w:lang w:val="es-ES_tradnl"/>
        </w:rPr>
      </w:pPr>
      <w:r w:rsidRPr="009718AC">
        <w:rPr>
          <w:rFonts w:ascii="Bookman Old Style" w:eastAsia="Calibri" w:hAnsi="Bookman Old Style" w:cs="Calibri"/>
          <w:szCs w:val="24"/>
          <w:lang w:val="es-ES_tradnl"/>
        </w:rPr>
        <w:t>Se puede afirmar entonces que es viable y positivo regularizar el</w:t>
      </w:r>
      <w:r w:rsidR="00666304">
        <w:rPr>
          <w:rFonts w:ascii="Bookman Old Style" w:eastAsia="Calibri" w:hAnsi="Bookman Old Style" w:cs="Calibri"/>
          <w:szCs w:val="24"/>
          <w:lang w:val="es-ES_tradnl"/>
        </w:rPr>
        <w:t xml:space="preserve"> cannabis para su uso adulto</w:t>
      </w:r>
      <w:r w:rsidRPr="009718AC">
        <w:rPr>
          <w:rFonts w:ascii="Bookman Old Style" w:eastAsia="Calibri" w:hAnsi="Bookman Old Style" w:cs="Calibri"/>
          <w:szCs w:val="24"/>
          <w:lang w:val="es-ES_tradnl"/>
        </w:rPr>
        <w:t>.</w:t>
      </w:r>
    </w:p>
    <w:p w14:paraId="0B438ADF" w14:textId="77777777" w:rsidR="009718AC" w:rsidRDefault="009718AC" w:rsidP="001B4F33">
      <w:pPr>
        <w:jc w:val="both"/>
        <w:rPr>
          <w:rFonts w:ascii="Bookman Old Style" w:eastAsia="Calibri" w:hAnsi="Bookman Old Style" w:cs="Calibri"/>
          <w:szCs w:val="24"/>
          <w:lang w:val="es-ES_tradnl"/>
        </w:rPr>
      </w:pPr>
    </w:p>
    <w:p w14:paraId="393339D2" w14:textId="609A9838"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Sobre este asunto es pertinente traer a colación los estudios realizados por Dejusticia, que señalan que existen </w:t>
      </w:r>
      <w:r w:rsidR="00666304">
        <w:rPr>
          <w:rFonts w:ascii="Bookman Old Style" w:eastAsia="Calibri" w:hAnsi="Bookman Old Style" w:cs="Calibri"/>
          <w:szCs w:val="24"/>
          <w:lang w:val="es-ES_tradnl"/>
        </w:rPr>
        <w:t>tres tipos de consumo adulto</w:t>
      </w:r>
      <w:r w:rsidRPr="00AE7B15">
        <w:rPr>
          <w:rFonts w:ascii="Bookman Old Style" w:eastAsia="Calibri" w:hAnsi="Bookman Old Style" w:cs="Calibri"/>
          <w:szCs w:val="24"/>
          <w:lang w:val="es-ES_tradnl"/>
        </w:rPr>
        <w:t>, a saber: 1) cotidiano, 2) habitual y 3) problemático. Según las experiencias de Uruguay, Canadá y Estados Unidos, países en los que se reguló la producción y la comercialización d</w:t>
      </w:r>
      <w:r w:rsidR="00666304">
        <w:rPr>
          <w:rFonts w:ascii="Bookman Old Style" w:eastAsia="Calibri" w:hAnsi="Bookman Old Style" w:cs="Calibri"/>
          <w:szCs w:val="24"/>
          <w:lang w:val="es-ES_tradnl"/>
        </w:rPr>
        <w:t>e cannabis con fines adultos</w:t>
      </w:r>
      <w:r w:rsidRPr="00AE7B15">
        <w:rPr>
          <w:rFonts w:ascii="Bookman Old Style" w:eastAsia="Calibri" w:hAnsi="Bookman Old Style" w:cs="Calibri"/>
          <w:szCs w:val="24"/>
          <w:lang w:val="es-ES_tradnl"/>
        </w:rPr>
        <w:t xml:space="preserve">, de los distintos tipos de consumo, solo el problemático requiere un tratamiento. </w:t>
      </w:r>
    </w:p>
    <w:p w14:paraId="7D3DF897" w14:textId="77777777" w:rsidR="001B4F33" w:rsidRPr="00AE7B15" w:rsidRDefault="001B4F33" w:rsidP="001B4F33">
      <w:pPr>
        <w:jc w:val="both"/>
        <w:rPr>
          <w:rFonts w:ascii="Bookman Old Style" w:eastAsia="Calibri" w:hAnsi="Bookman Old Style" w:cs="Calibri"/>
          <w:szCs w:val="24"/>
          <w:lang w:val="es-ES_tradnl"/>
        </w:rPr>
      </w:pPr>
    </w:p>
    <w:p w14:paraId="4D76A7C0"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14:paraId="5C0E43FE" w14:textId="77777777" w:rsidR="001B4F33" w:rsidRPr="00AE7B15" w:rsidRDefault="001B4F33" w:rsidP="001B4F33">
      <w:pPr>
        <w:jc w:val="both"/>
        <w:rPr>
          <w:rFonts w:ascii="Bookman Old Style" w:eastAsia="Calibri" w:hAnsi="Bookman Old Style" w:cs="Calibri"/>
          <w:szCs w:val="24"/>
          <w:lang w:val="es-ES_tradnl"/>
        </w:rPr>
      </w:pPr>
    </w:p>
    <w:p w14:paraId="2A535FE9"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lastRenderedPageBreak/>
        <w:t>En el mismo sentido, Dejusticia trae a colación las cifras reportadas por la DEA que demuestran la cantidad de muertes directas por el consumo de drogas en Estados Unidos.</w:t>
      </w:r>
      <w:r w:rsidRPr="00AE7B15">
        <w:rPr>
          <w:rStyle w:val="FootnoteReference"/>
          <w:rFonts w:ascii="Bookman Old Style" w:eastAsia="Calibri" w:hAnsi="Bookman Old Style" w:cs="Calibri"/>
          <w:szCs w:val="24"/>
          <w:lang w:val="es-ES_tradnl"/>
        </w:rPr>
        <w:footnoteReference w:id="70"/>
      </w:r>
      <w:r w:rsidRPr="00AE7B15">
        <w:rPr>
          <w:rFonts w:ascii="Bookman Old Style" w:eastAsia="Calibri" w:hAnsi="Bookman Old Style" w:cs="Calibri"/>
          <w:szCs w:val="24"/>
          <w:lang w:val="es-ES_tradnl"/>
        </w:rPr>
        <w:t xml:space="preserve"> Su principal conclusión es que la droga más mortal, es el tabaco. Así como no se reporta ninguna muerte por el consumo de cannabis.</w:t>
      </w:r>
    </w:p>
    <w:p w14:paraId="5B93320D" w14:textId="77777777" w:rsidR="001B4F33" w:rsidRPr="00AE7B15" w:rsidRDefault="001B4F33" w:rsidP="001B4F33">
      <w:pPr>
        <w:jc w:val="both"/>
        <w:rPr>
          <w:rFonts w:ascii="Bookman Old Style" w:eastAsia="Calibri" w:hAnsi="Bookman Old Style" w:cs="Calibri"/>
          <w:bCs/>
          <w:szCs w:val="24"/>
          <w:lang w:val="es-ES_tradnl"/>
        </w:rPr>
      </w:pPr>
    </w:p>
    <w:p w14:paraId="38F416B5" w14:textId="77777777" w:rsidR="00F36280" w:rsidRPr="00485CC5" w:rsidRDefault="001B4F33" w:rsidP="00F36280">
      <w:pPr>
        <w:jc w:val="both"/>
        <w:rPr>
          <w:rFonts w:ascii="Bookman Old Style" w:eastAsia="Calibri" w:hAnsi="Bookman Old Style" w:cs="Calibri"/>
          <w:szCs w:val="24"/>
          <w:lang w:val="es-ES_tradnl"/>
        </w:rPr>
      </w:pPr>
      <w:r w:rsidRPr="00AE7B15">
        <w:rPr>
          <w:rFonts w:ascii="Bookman Old Style" w:eastAsia="Calibri" w:hAnsi="Bookman Old Style" w:cs="Calibri"/>
          <w:bCs/>
          <w:szCs w:val="24"/>
          <w:lang w:val="es-ES_tradnl"/>
        </w:rPr>
        <w:t xml:space="preserve">Lo anterior no implica que no vayan a ser penalizadas las conductas delictivas cometidas por los consumidores de cannabis, </w:t>
      </w:r>
      <w:r w:rsidRPr="00AE7B15">
        <w:rPr>
          <w:rFonts w:ascii="Bookman Old Style" w:eastAsia="Calibri" w:hAnsi="Bookman Old Style" w:cs="Calibri"/>
          <w:szCs w:val="24"/>
          <w:lang w:val="es-ES_tradnl"/>
        </w:rPr>
        <w:t>como conducir bajo los efectos de la marihuana o del alcohol, se les penalizará por las conductas que realicen que atenten contra bienes jurídicos, y no por el hecho de ser consumidores.</w:t>
      </w:r>
    </w:p>
    <w:p w14:paraId="0717EC82" w14:textId="77777777" w:rsidR="00F36280" w:rsidRPr="00485CC5" w:rsidRDefault="00F36280" w:rsidP="00F36280">
      <w:pPr>
        <w:jc w:val="both"/>
        <w:rPr>
          <w:rFonts w:ascii="Bookman Old Style" w:eastAsia="Calibri" w:hAnsi="Bookman Old Style" w:cs="Calibri"/>
          <w:szCs w:val="24"/>
          <w:lang w:val="es-ES_tradnl"/>
        </w:rPr>
      </w:pPr>
    </w:p>
    <w:p w14:paraId="3BD8E708" w14:textId="77777777" w:rsidR="00F36280" w:rsidRPr="00485CC5" w:rsidRDefault="00E453A8"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485CC5">
        <w:rPr>
          <w:rFonts w:ascii="Bookman Old Style" w:eastAsia="Calibri" w:hAnsi="Bookman Old Style" w:cs="Calibri"/>
          <w:b/>
          <w:szCs w:val="24"/>
          <w:lang w:val="es-ES_tradnl"/>
        </w:rPr>
        <w:t>.</w:t>
      </w:r>
      <w:r w:rsidR="00CD271D">
        <w:rPr>
          <w:rFonts w:ascii="Bookman Old Style" w:eastAsia="Calibri" w:hAnsi="Bookman Old Style" w:cs="Calibri"/>
          <w:b/>
          <w:szCs w:val="24"/>
          <w:lang w:val="es-ES_tradnl"/>
        </w:rPr>
        <w:t>2</w:t>
      </w:r>
      <w:r w:rsidR="00F36280" w:rsidRPr="00485CC5">
        <w:rPr>
          <w:rFonts w:ascii="Bookman Old Style" w:eastAsia="Calibri" w:hAnsi="Bookman Old Style" w:cs="Calibri"/>
          <w:b/>
          <w:szCs w:val="24"/>
          <w:lang w:val="es-ES_tradnl"/>
        </w:rPr>
        <w:t>.3 JUICIO INTEGRADO DE IGUALDAD</w:t>
      </w:r>
    </w:p>
    <w:p w14:paraId="0B23F367" w14:textId="77777777" w:rsidR="00F36280" w:rsidRPr="00485CC5" w:rsidRDefault="00F36280" w:rsidP="00F36280">
      <w:pPr>
        <w:jc w:val="both"/>
        <w:rPr>
          <w:rFonts w:ascii="Bookman Old Style" w:eastAsia="Calibri" w:hAnsi="Bookman Old Style" w:cs="Calibri"/>
          <w:szCs w:val="24"/>
          <w:lang w:val="es-ES_tradnl"/>
        </w:rPr>
      </w:pPr>
    </w:p>
    <w:p w14:paraId="7D3D738E"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Es posible concluir entonces que, en el caso del cannabis, la prohibición actual es desproporcionada y deriva necesariamente en una afectación a derechos constitucionales que no se encuentra soportada por la protección a otro interés constitucional, como la salud pública. </w:t>
      </w:r>
    </w:p>
    <w:p w14:paraId="3987172E" w14:textId="77777777" w:rsidR="00F36280" w:rsidRPr="00485CC5" w:rsidRDefault="00F36280" w:rsidP="00F36280">
      <w:pPr>
        <w:jc w:val="both"/>
        <w:rPr>
          <w:rFonts w:ascii="Bookman Old Style" w:eastAsia="Calibri" w:hAnsi="Bookman Old Style" w:cs="Calibri"/>
          <w:szCs w:val="24"/>
          <w:lang w:val="es-ES_tradnl"/>
        </w:rPr>
      </w:pPr>
    </w:p>
    <w:p w14:paraId="0E911EA6"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Para demostrarlo, vale la pena realizar un juicio integrado de igualdad, en los términos fijados por la Corte Constitucional, en amplia línea jurisprudencial entre la que se resalta la sentencia C- 093 de 2001. Este análisis parte de la combinación del modelo europeo con el modelo norteamericano</w:t>
      </w:r>
      <w:r w:rsidRPr="00485CC5">
        <w:rPr>
          <w:rStyle w:val="FootnoteReference"/>
          <w:rFonts w:ascii="Bookman Old Style" w:eastAsia="Calibri" w:hAnsi="Bookman Old Style" w:cs="Calibri"/>
          <w:szCs w:val="24"/>
          <w:lang w:val="es-ES_tradnl"/>
        </w:rPr>
        <w:footnoteReference w:id="71"/>
      </w:r>
      <w:r w:rsidRPr="00485CC5">
        <w:rPr>
          <w:rFonts w:ascii="Bookman Old Style" w:eastAsia="Calibri" w:hAnsi="Bookman Old Style" w:cs="Calibri"/>
          <w:szCs w:val="24"/>
          <w:lang w:val="es-ES_tradnl"/>
        </w:rPr>
        <w:t xml:space="preserve"> que permite realizar el estudio de adecuación, idoneidad y proporcionalidad de la medida, utilizado además los criterios brindados por el test de igualdad estadounidense, con el fin de realizar un análisis de igualdad de diferente intensidad, dependiendo de si se está ante el caso de un test estricto, intermedio o flexible.</w:t>
      </w:r>
      <w:r w:rsidRPr="00485CC5">
        <w:rPr>
          <w:rStyle w:val="FootnoteReference"/>
          <w:rFonts w:ascii="Bookman Old Style" w:eastAsia="Calibri" w:hAnsi="Bookman Old Style" w:cs="Calibri"/>
          <w:szCs w:val="24"/>
          <w:lang w:val="es-ES_tradnl"/>
        </w:rPr>
        <w:footnoteReference w:id="72"/>
      </w:r>
    </w:p>
    <w:p w14:paraId="70517F19" w14:textId="77777777" w:rsidR="00F36280" w:rsidRPr="00485CC5" w:rsidRDefault="00F36280" w:rsidP="00F36280">
      <w:pPr>
        <w:jc w:val="both"/>
        <w:rPr>
          <w:rFonts w:ascii="Bookman Old Style" w:eastAsia="Calibri" w:hAnsi="Bookman Old Style" w:cs="Calibri"/>
          <w:szCs w:val="24"/>
          <w:lang w:val="es-ES_tradnl"/>
        </w:rPr>
      </w:pPr>
    </w:p>
    <w:p w14:paraId="0185D626"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 realizaci</w:t>
      </w:r>
      <w:r w:rsidR="002801C2">
        <w:rPr>
          <w:rFonts w:ascii="Bookman Old Style" w:eastAsia="Calibri" w:hAnsi="Bookman Old Style" w:cs="Calibri"/>
          <w:szCs w:val="24"/>
          <w:lang w:val="es-ES_tradnl"/>
        </w:rPr>
        <w:t xml:space="preserve">ón del test permitirá verificar: </w:t>
      </w:r>
      <w:r w:rsidRPr="00485CC5">
        <w:rPr>
          <w:rFonts w:ascii="Bookman Old Style" w:eastAsia="Calibri" w:hAnsi="Bookman Old Style" w:cs="Calibri"/>
          <w:i/>
          <w:szCs w:val="24"/>
          <w:lang w:val="es-ES_tradnl"/>
        </w:rPr>
        <w:t>“(i)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w:t>
      </w:r>
      <w:r w:rsidRPr="00485CC5">
        <w:rPr>
          <w:rStyle w:val="FootnoteReference"/>
          <w:rFonts w:ascii="Bookman Old Style" w:eastAsia="Calibri" w:hAnsi="Bookman Old Style" w:cs="Calibri"/>
          <w:i/>
          <w:szCs w:val="24"/>
          <w:lang w:val="es-ES_tradnl"/>
        </w:rPr>
        <w:footnoteReference w:id="73"/>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Todo esto con el fin de verificar si la medida implementada afecta, o no, en forma desmedida o excesiva, derechos o intereses jurídicos de alta envergadura.</w:t>
      </w:r>
      <w:r w:rsidRPr="00485CC5">
        <w:rPr>
          <w:rStyle w:val="FootnoteReference"/>
          <w:rFonts w:ascii="Bookman Old Style" w:eastAsia="Calibri" w:hAnsi="Bookman Old Style" w:cs="Calibri"/>
          <w:szCs w:val="24"/>
          <w:lang w:val="es-ES_tradnl"/>
        </w:rPr>
        <w:footnoteReference w:id="74"/>
      </w:r>
    </w:p>
    <w:p w14:paraId="06753139" w14:textId="77777777" w:rsidR="00F36280" w:rsidRPr="00485CC5" w:rsidRDefault="00F36280" w:rsidP="00F36280">
      <w:pPr>
        <w:jc w:val="both"/>
        <w:rPr>
          <w:rFonts w:ascii="Bookman Old Style" w:eastAsia="Calibri" w:hAnsi="Bookman Old Style" w:cs="Calibri"/>
          <w:szCs w:val="24"/>
          <w:lang w:val="es-ES_tradnl"/>
        </w:rPr>
      </w:pPr>
    </w:p>
    <w:p w14:paraId="58EDFAC6"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El primer elemento que debe ser tenido en cuenta para la realización del Juicio integrado de igualdad es determinar </w:t>
      </w:r>
      <w:r w:rsidRPr="00485CC5">
        <w:rPr>
          <w:rFonts w:ascii="Bookman Old Style" w:eastAsia="Calibri" w:hAnsi="Bookman Old Style" w:cs="Calibri"/>
          <w:i/>
          <w:szCs w:val="24"/>
          <w:lang w:val="es-ES_tradnl"/>
        </w:rPr>
        <w:t>“si los supuestos de hecho son susceptibles de compararse y si se confrontan sujetos o situaciones de la misma naturaleza”.</w:t>
      </w:r>
      <w:r w:rsidRPr="00485CC5">
        <w:rPr>
          <w:rStyle w:val="FootnoteReference"/>
          <w:rFonts w:ascii="Bookman Old Style" w:eastAsia="Calibri" w:hAnsi="Bookman Old Style" w:cs="Calibri"/>
          <w:i/>
          <w:szCs w:val="24"/>
          <w:lang w:val="es-ES_tradnl"/>
        </w:rPr>
        <w:footnoteReference w:id="75"/>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 xml:space="preserve">Sobre el particular se considera como supuesto de comparación la habilitación legal a un </w:t>
      </w:r>
      <w:r w:rsidRPr="00485CC5">
        <w:rPr>
          <w:rFonts w:ascii="Bookman Old Style" w:eastAsia="Calibri" w:hAnsi="Bookman Old Style" w:cs="Calibri"/>
          <w:szCs w:val="24"/>
          <w:lang w:val="es-ES_tradnl"/>
        </w:rPr>
        <w:lastRenderedPageBreak/>
        <w:t xml:space="preserve">individuo para el consumo personal de sustancias que generen algún tipo de alteración psíquica, comportamental o que puedan tener injerencia en su salud. </w:t>
      </w:r>
    </w:p>
    <w:p w14:paraId="3CBA6391" w14:textId="77777777" w:rsidR="00F36280" w:rsidRPr="00485CC5" w:rsidRDefault="00F36280" w:rsidP="00F36280">
      <w:pPr>
        <w:jc w:val="both"/>
        <w:rPr>
          <w:rFonts w:ascii="Bookman Old Style" w:eastAsia="Calibri" w:hAnsi="Bookman Old Style" w:cs="Calibri"/>
          <w:szCs w:val="24"/>
          <w:lang w:val="es-ES_tradnl"/>
        </w:rPr>
      </w:pPr>
    </w:p>
    <w:p w14:paraId="558A7FE6"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segunda medida, procede establecer si </w:t>
      </w:r>
      <w:r w:rsidRPr="00485CC5">
        <w:rPr>
          <w:rFonts w:ascii="Bookman Old Style" w:eastAsia="Calibri" w:hAnsi="Bookman Old Style" w:cs="Calibri"/>
          <w:i/>
          <w:szCs w:val="24"/>
          <w:lang w:val="es-ES_tradnl"/>
        </w:rPr>
        <w:t>“en el plano fáctico y en el plano jurídico existe un trato desigual entre iguales o igual entre desiguales</w:t>
      </w:r>
      <w:r w:rsidRPr="00485CC5">
        <w:rPr>
          <w:rFonts w:ascii="Bookman Old Style" w:eastAsia="Calibri" w:hAnsi="Bookman Old Style" w:cs="Calibri"/>
          <w:szCs w:val="24"/>
          <w:lang w:val="es-ES_tradnl"/>
        </w:rPr>
        <w:t>”.</w:t>
      </w:r>
      <w:r w:rsidRPr="00485CC5">
        <w:rPr>
          <w:rStyle w:val="FootnoteReference"/>
          <w:rFonts w:ascii="Bookman Old Style" w:eastAsia="Calibri" w:hAnsi="Bookman Old Style" w:cs="Calibri"/>
          <w:szCs w:val="24"/>
          <w:lang w:val="es-ES_tradnl"/>
        </w:rPr>
        <w:footnoteReference w:id="76"/>
      </w:r>
      <w:r w:rsidRPr="00485CC5">
        <w:rPr>
          <w:rFonts w:ascii="Bookman Old Style" w:eastAsia="Calibri" w:hAnsi="Bookman Old Style" w:cs="Calibri"/>
          <w:szCs w:val="24"/>
          <w:lang w:val="es-ES_tradnl"/>
        </w:rPr>
        <w:t xml:space="preserve"> Sobre este punto, es claro que, tanto en el plano fáctico, como en el plano jurídico existe un trato desigual, en tanto en la actualidad un particular puede consumir de forma legal sustancias tales como el alcohol y el tabaco, pero, por el contrario, le sea vedado el acceso a sustancias como el cannabis.</w:t>
      </w:r>
    </w:p>
    <w:p w14:paraId="3D598CAC" w14:textId="77777777" w:rsidR="00F36280" w:rsidRPr="00485CC5" w:rsidRDefault="00F36280" w:rsidP="00F36280">
      <w:pPr>
        <w:jc w:val="both"/>
        <w:rPr>
          <w:rFonts w:ascii="Bookman Old Style" w:eastAsia="Calibri" w:hAnsi="Bookman Old Style" w:cs="Calibri"/>
          <w:szCs w:val="24"/>
          <w:lang w:val="es-ES_tradnl"/>
        </w:rPr>
      </w:pPr>
    </w:p>
    <w:p w14:paraId="2F766E7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¿esta diferencia encuentra una justificación constitucional? Este punto plantea una dificultad en tanto en este caso se está estudiando una prohibición que fue incluida a través de un acto legislativo a la Constitución. No obstante, para efectos de continuar el ejercicio, vale la pena analizar la prohibición a la luz de los derechos fundamentales a la igualdad, al libre desarrollo de la personalidad y a la salud. </w:t>
      </w:r>
    </w:p>
    <w:p w14:paraId="6D7885BF" w14:textId="77777777" w:rsidR="00F36280" w:rsidRPr="00485CC5" w:rsidRDefault="00F36280" w:rsidP="00F36280">
      <w:pPr>
        <w:jc w:val="both"/>
        <w:rPr>
          <w:rFonts w:ascii="Bookman Old Style" w:eastAsia="Calibri" w:hAnsi="Bookman Old Style" w:cs="Calibri"/>
          <w:szCs w:val="24"/>
          <w:lang w:val="es-ES_tradnl"/>
        </w:rPr>
      </w:pPr>
    </w:p>
    <w:p w14:paraId="43AFEB45" w14:textId="6FC3CB82"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Sobre este asunto, es claro que la actual normativa excluye un universo de personas a los que se les ha limitado su libre desarrollo de la personalidad, a sab</w:t>
      </w:r>
      <w:r w:rsidR="00666304">
        <w:rPr>
          <w:rFonts w:ascii="Bookman Old Style" w:eastAsia="Calibri" w:hAnsi="Bookman Old Style" w:cs="Calibri"/>
          <w:szCs w:val="24"/>
          <w:lang w:val="es-ES_tradnl"/>
        </w:rPr>
        <w:t>er, los consumidores</w:t>
      </w:r>
      <w:r w:rsidRPr="00485CC5">
        <w:rPr>
          <w:rFonts w:ascii="Bookman Old Style" w:eastAsia="Calibri" w:hAnsi="Bookman Old Style" w:cs="Calibri"/>
          <w:szCs w:val="24"/>
          <w:lang w:val="es-ES_tradnl"/>
        </w:rPr>
        <w:t xml:space="preserve"> de cannabis</w:t>
      </w:r>
      <w:r w:rsidR="00666304">
        <w:rPr>
          <w:rFonts w:ascii="Bookman Old Style" w:eastAsia="Calibri" w:hAnsi="Bookman Old Style" w:cs="Calibri"/>
          <w:szCs w:val="24"/>
          <w:lang w:val="es-ES_tradnl"/>
        </w:rPr>
        <w:t xml:space="preserve"> de uso adulto</w:t>
      </w:r>
      <w:r w:rsidRPr="00485CC5">
        <w:rPr>
          <w:rFonts w:ascii="Bookman Old Style" w:eastAsia="Calibri" w:hAnsi="Bookman Old Style" w:cs="Calibri"/>
          <w:szCs w:val="24"/>
          <w:lang w:val="es-ES_tradnl"/>
        </w:rPr>
        <w:t xml:space="preserve"> y aquellos que buscan un desarrollo investigativo y científico. Esta disposición no logra diferenciar entre el consumo problemático que la inspira y el cons</w:t>
      </w:r>
      <w:r w:rsidR="00666304">
        <w:rPr>
          <w:rFonts w:ascii="Bookman Old Style" w:eastAsia="Calibri" w:hAnsi="Bookman Old Style" w:cs="Calibri"/>
          <w:szCs w:val="24"/>
          <w:lang w:val="es-ES_tradnl"/>
        </w:rPr>
        <w:t>umidor adulto</w:t>
      </w:r>
      <w:r w:rsidRPr="00485CC5">
        <w:rPr>
          <w:rFonts w:ascii="Bookman Old Style" w:eastAsia="Calibri" w:hAnsi="Bookman Old Style" w:cs="Calibri"/>
          <w:szCs w:val="24"/>
          <w:lang w:val="es-ES_tradnl"/>
        </w:rPr>
        <w:t xml:space="preserve"> que se ve reprimido por una intromisión indebida del poder público dentro de su esfera de decisión.</w:t>
      </w:r>
    </w:p>
    <w:p w14:paraId="4EE18BB5" w14:textId="77777777" w:rsidR="00F36280" w:rsidRPr="00485CC5" w:rsidRDefault="00F36280" w:rsidP="00F36280">
      <w:pPr>
        <w:jc w:val="both"/>
        <w:rPr>
          <w:rFonts w:ascii="Bookman Old Style" w:eastAsia="Calibri" w:hAnsi="Bookman Old Style" w:cs="Calibri"/>
          <w:szCs w:val="24"/>
          <w:lang w:val="es-ES_tradnl"/>
        </w:rPr>
      </w:pPr>
    </w:p>
    <w:p w14:paraId="3DB99032"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 relevante recordar lo dispuesto por Corte Constitucional, a través de la Sentencia C-221 de 1994, en virtud de la cual se estableció que:</w:t>
      </w:r>
    </w:p>
    <w:p w14:paraId="12DDA828" w14:textId="77777777" w:rsidR="00F36280" w:rsidRPr="00485CC5" w:rsidRDefault="00F36280" w:rsidP="00F36280">
      <w:pPr>
        <w:jc w:val="both"/>
        <w:rPr>
          <w:rFonts w:ascii="Bookman Old Style" w:eastAsia="Calibri" w:hAnsi="Bookman Old Style" w:cs="Calibri"/>
          <w:szCs w:val="24"/>
          <w:lang w:val="es-ES_tradnl"/>
        </w:rPr>
      </w:pPr>
    </w:p>
    <w:p w14:paraId="5C88BFC6" w14:textId="77777777" w:rsidR="00F36280" w:rsidRPr="00485CC5" w:rsidRDefault="00F36280" w:rsidP="00207603">
      <w:pPr>
        <w:ind w:left="851"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“La primera consecuencia que se deriva de la autonomía, consiste en que es la propia persona (y no nadie por ella) quien debe darle sentido a su existencia y, en armonía con él, un rumbo.  Si a la persona se le reconoce esa autonomía, no puede limitársela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w:t>
      </w:r>
      <w:r w:rsidRPr="00485CC5">
        <w:rPr>
          <w:rStyle w:val="FootnoteReference"/>
          <w:rFonts w:ascii="Bookman Old Style" w:eastAsia="Calibri" w:hAnsi="Bookman Old Style" w:cs="Calibri"/>
          <w:i/>
          <w:sz w:val="20"/>
          <w:lang w:val="es-ES_tradnl"/>
        </w:rPr>
        <w:footnoteReference w:id="77"/>
      </w:r>
    </w:p>
    <w:p w14:paraId="05320672" w14:textId="77777777" w:rsidR="00F36280" w:rsidRPr="00485CC5" w:rsidRDefault="00F36280" w:rsidP="00F36280">
      <w:pPr>
        <w:jc w:val="both"/>
        <w:rPr>
          <w:rFonts w:ascii="Bookman Old Style" w:eastAsia="Calibri" w:hAnsi="Bookman Old Style" w:cs="Calibri"/>
          <w:szCs w:val="24"/>
          <w:lang w:val="es-ES_tradnl"/>
        </w:rPr>
      </w:pPr>
    </w:p>
    <w:p w14:paraId="6B2DEC06"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en lo que respecta a la salud pública valdría la pena preguntarse si la razón del trato diferencial se origina en que el cannabis, a diferencia de sustancias legales como el alcohol y el tabaco, genera mayores afectaciones a la salud o si su consumo tiene injerencia negativa frente a los derechos de los demás y el bien común. Sobre </w:t>
      </w:r>
      <w:r w:rsidRPr="00485CC5">
        <w:rPr>
          <w:rFonts w:ascii="Bookman Old Style" w:eastAsia="Calibri" w:hAnsi="Bookman Old Style" w:cs="Calibri"/>
          <w:szCs w:val="24"/>
          <w:lang w:val="es-ES_tradnl"/>
        </w:rPr>
        <w:lastRenderedPageBreak/>
        <w:t>este punto, vale la pena resaltar lo ya expuesto en los numerales 4.2.</w:t>
      </w:r>
      <w:r w:rsidR="002801C2">
        <w:rPr>
          <w:rFonts w:ascii="Bookman Old Style" w:eastAsia="Calibri" w:hAnsi="Bookman Old Style" w:cs="Calibri"/>
          <w:szCs w:val="24"/>
          <w:lang w:val="es-ES_tradnl"/>
        </w:rPr>
        <w:t>1 y 4.2</w:t>
      </w:r>
      <w:r w:rsidRPr="00485CC5">
        <w:rPr>
          <w:rFonts w:ascii="Bookman Old Style" w:eastAsia="Calibri" w:hAnsi="Bookman Old Style" w:cs="Calibri"/>
          <w:szCs w:val="24"/>
          <w:lang w:val="es-ES_tradnl"/>
        </w:rPr>
        <w:t>.</w:t>
      </w:r>
      <w:r w:rsidR="002801C2">
        <w:rPr>
          <w:rFonts w:ascii="Bookman Old Style" w:eastAsia="Calibri" w:hAnsi="Bookman Old Style" w:cs="Calibri"/>
          <w:szCs w:val="24"/>
          <w:lang w:val="es-ES_tradnl"/>
        </w:rPr>
        <w:t>2</w:t>
      </w:r>
      <w:r w:rsidRPr="00485CC5">
        <w:rPr>
          <w:rFonts w:ascii="Bookman Old Style" w:eastAsia="Calibri" w:hAnsi="Bookman Old Style" w:cs="Calibri"/>
          <w:szCs w:val="24"/>
          <w:lang w:val="es-ES_tradnl"/>
        </w:rPr>
        <w:t xml:space="preserve"> de este documento, en los que se evidenció que, por el contrario, el cannabis produce menos afectaciones a la salud del que lo consume y que genera una menor afectación al entorno social del consumidor que sustancias como, por ejemplo, el alcohol. </w:t>
      </w:r>
    </w:p>
    <w:p w14:paraId="5BC48D40" w14:textId="77777777" w:rsidR="00F36280" w:rsidRPr="00485CC5" w:rsidRDefault="00F36280" w:rsidP="00F36280">
      <w:pPr>
        <w:jc w:val="both"/>
        <w:rPr>
          <w:rFonts w:ascii="Bookman Old Style" w:eastAsia="Calibri" w:hAnsi="Bookman Old Style" w:cs="Calibri"/>
          <w:szCs w:val="24"/>
          <w:lang w:val="es-ES_tradnl"/>
        </w:rPr>
      </w:pPr>
    </w:p>
    <w:p w14:paraId="1E6BBFD2"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consecuencia, no se evidencia que exista un fin constitucional que justifique la prohibición del consumo de cannabis y que, por el contrario, se están afectando derechos fundamentales relativos a la libertad, la autonomía y autodeterminación de los individuos. Adicionalmente se encuentra que con la prohibición el Estado está desconociendo uno de sus deberes, también de rango constitucional, consistente en la promoción e implementación de servicios de salud efectivos. </w:t>
      </w:r>
    </w:p>
    <w:p w14:paraId="26AAA086" w14:textId="77777777" w:rsidR="00F36280" w:rsidRPr="00485CC5" w:rsidRDefault="00F36280" w:rsidP="00F36280">
      <w:pPr>
        <w:jc w:val="both"/>
        <w:rPr>
          <w:rFonts w:ascii="Bookman Old Style" w:eastAsia="Calibri" w:hAnsi="Bookman Old Style" w:cs="Calibri"/>
          <w:szCs w:val="24"/>
          <w:lang w:val="es-ES_tradnl"/>
        </w:rPr>
      </w:pPr>
    </w:p>
    <w:p w14:paraId="7ADD0839" w14:textId="6BD1A2C8"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Lo anterior deriva en que, en lo que respecta al caso concreto sea procedente exigirle al Estado la igualdad frente a las cargas públicas, razón por la cual el Legislador debe garantizar la aplicación del principio de igualdad levantando la prohibición en lo respectivo al consumo de cannabis. Esto con el fin de hacer cesar los actos discriminatorios y desproporcionados frente a las cargas que deben soportar los con</w:t>
      </w:r>
      <w:r w:rsidR="003160C3">
        <w:rPr>
          <w:rFonts w:ascii="Bookman Old Style" w:eastAsia="Calibri" w:hAnsi="Bookman Old Style" w:cs="Calibri"/>
          <w:szCs w:val="24"/>
          <w:lang w:val="es-ES_tradnl"/>
        </w:rPr>
        <w:t>sumidores de uso adulto</w:t>
      </w:r>
      <w:r w:rsidRPr="00485CC5">
        <w:rPr>
          <w:rFonts w:ascii="Bookman Old Style" w:eastAsia="Calibri" w:hAnsi="Bookman Old Style" w:cs="Calibri"/>
          <w:szCs w:val="24"/>
          <w:lang w:val="es-ES_tradnl"/>
        </w:rPr>
        <w:t xml:space="preserve"> de esta sustancia en relación a quienes consumen otro tipo de sustancias legalmente permitidas. </w:t>
      </w:r>
    </w:p>
    <w:p w14:paraId="0C9160DB" w14:textId="77777777" w:rsidR="00F36280" w:rsidRPr="00485CC5" w:rsidRDefault="00F36280" w:rsidP="00F36280">
      <w:pPr>
        <w:jc w:val="both"/>
        <w:rPr>
          <w:rFonts w:ascii="Bookman Old Style" w:eastAsia="Calibri" w:hAnsi="Bookman Old Style" w:cs="Calibri"/>
          <w:szCs w:val="24"/>
          <w:lang w:val="es-ES_tradnl"/>
        </w:rPr>
      </w:pPr>
    </w:p>
    <w:p w14:paraId="403D65A2" w14:textId="77777777" w:rsidR="00F36280" w:rsidRPr="00485CC5" w:rsidRDefault="00F36280" w:rsidP="00207603">
      <w:pPr>
        <w:pStyle w:val="Heading2"/>
        <w:numPr>
          <w:ilvl w:val="0"/>
          <w:numId w:val="35"/>
        </w:numPr>
        <w:jc w:val="both"/>
        <w:rPr>
          <w:rFonts w:ascii="Bookman Old Style" w:eastAsia="Calibri" w:hAnsi="Bookman Old Style" w:cs="Calibri"/>
          <w:sz w:val="22"/>
          <w:szCs w:val="24"/>
        </w:rPr>
      </w:pPr>
      <w:r w:rsidRPr="00485CC5">
        <w:rPr>
          <w:rFonts w:ascii="Bookman Old Style" w:eastAsia="Calibri" w:hAnsi="Bookman Old Style" w:cs="Calibri"/>
          <w:sz w:val="22"/>
          <w:szCs w:val="24"/>
        </w:rPr>
        <w:t>ANÁLISIS DE LA EFECTIVIDAD DE LA POLÍTICA DE CRIMINALIZACIÓN DEL PORTE Y CONSUMO DE DROGAS</w:t>
      </w:r>
    </w:p>
    <w:p w14:paraId="0E70DAE9" w14:textId="77777777" w:rsidR="00F36280" w:rsidRPr="00485CC5" w:rsidRDefault="00F36280" w:rsidP="00F36280">
      <w:pPr>
        <w:rPr>
          <w:rFonts w:ascii="Bookman Old Style" w:eastAsia="Calibri" w:hAnsi="Bookman Old Style"/>
          <w:szCs w:val="24"/>
        </w:rPr>
      </w:pPr>
    </w:p>
    <w:p w14:paraId="1A8AD511"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Habiendo culminado el análisis constitucional, vale la pena analizar la efectividad de la política de criminalización del porte y consumo de drogas en el país.</w:t>
      </w:r>
    </w:p>
    <w:p w14:paraId="5B1CBE66" w14:textId="77777777" w:rsidR="00F36280" w:rsidRPr="00485CC5" w:rsidRDefault="00F36280" w:rsidP="00F36280">
      <w:pPr>
        <w:jc w:val="both"/>
        <w:rPr>
          <w:rFonts w:ascii="Bookman Old Style" w:hAnsi="Bookman Old Style" w:cs="Calibri"/>
          <w:szCs w:val="24"/>
        </w:rPr>
      </w:pPr>
    </w:p>
    <w:p w14:paraId="78C124FF"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política de drogas en Colombia se ha enfocado en: “</w:t>
      </w:r>
      <w:r w:rsidRPr="00485CC5">
        <w:rPr>
          <w:rFonts w:ascii="Bookman Old Style" w:hAnsi="Bookman Old Style" w:cs="Calibri"/>
          <w:i/>
          <w:iCs/>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485CC5">
        <w:rPr>
          <w:rFonts w:ascii="Bookman Old Style" w:hAnsi="Bookman Old Style" w:cs="Calibri"/>
          <w:szCs w:val="24"/>
        </w:rPr>
        <w:t>”.</w:t>
      </w:r>
      <w:r w:rsidRPr="00485CC5">
        <w:rPr>
          <w:rStyle w:val="FootnoteReference"/>
          <w:rFonts w:ascii="Bookman Old Style" w:hAnsi="Bookman Old Style" w:cs="Calibri"/>
          <w:szCs w:val="24"/>
        </w:rPr>
        <w:footnoteReference w:id="78"/>
      </w:r>
      <w:r w:rsidRPr="00485CC5">
        <w:rPr>
          <w:rFonts w:ascii="Bookman Old Style" w:hAnsi="Bookman Old Style" w:cs="Calibri"/>
          <w:szCs w:val="24"/>
        </w:rPr>
        <w:t xml:space="preserve"> Por tanto, Dejusticia para el 2017, en “</w:t>
      </w:r>
      <w:r w:rsidRPr="00485CC5">
        <w:rPr>
          <w:rFonts w:ascii="Bookman Old Style" w:hAnsi="Bookman Old Style" w:cs="Calibri"/>
          <w:i/>
          <w:iCs/>
          <w:szCs w:val="24"/>
        </w:rPr>
        <w:t>Sobredosis Carcelaria y Política de Drogas en América Latina</w:t>
      </w:r>
      <w:r w:rsidRPr="00485CC5">
        <w:rPr>
          <w:rFonts w:ascii="Bookman Old Style" w:hAnsi="Bookman Old Style" w:cs="Calibri"/>
          <w:szCs w:val="24"/>
        </w:rPr>
        <w:t>”, ha señalado que el sistema carcelario en Colombia ha acarreado un costo muy alto por el prohibicionismo de las drogas.</w:t>
      </w:r>
      <w:r w:rsidRPr="00485CC5">
        <w:rPr>
          <w:rStyle w:val="FootnoteReference"/>
          <w:rFonts w:ascii="Bookman Old Style" w:hAnsi="Bookman Old Style" w:cs="Calibri"/>
          <w:szCs w:val="24"/>
        </w:rPr>
        <w:footnoteReference w:id="79"/>
      </w:r>
      <w:r w:rsidRPr="00485CC5">
        <w:rPr>
          <w:rFonts w:ascii="Bookman Old Style" w:hAnsi="Bookman Old Style" w:cs="Calibri"/>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485CC5">
        <w:rPr>
          <w:rStyle w:val="FootnoteReference"/>
          <w:rFonts w:ascii="Bookman Old Style" w:hAnsi="Bookman Old Style" w:cs="Calibri"/>
          <w:szCs w:val="24"/>
        </w:rPr>
        <w:footnoteReference w:id="80"/>
      </w:r>
    </w:p>
    <w:p w14:paraId="24B53197" w14:textId="77777777" w:rsidR="00F36280" w:rsidRPr="00485CC5" w:rsidRDefault="00F36280" w:rsidP="00F36280">
      <w:pPr>
        <w:jc w:val="both"/>
        <w:rPr>
          <w:rFonts w:ascii="Bookman Old Style" w:hAnsi="Bookman Old Style" w:cs="Calibri"/>
          <w:szCs w:val="24"/>
        </w:rPr>
      </w:pPr>
    </w:p>
    <w:p w14:paraId="563C3782"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 otras palabras, en Colombia la política de drogas se ha concentrado en la acción punitiva, generando los siguientes efectos indeseados, de acuerdo a Dejusticia 2017</w:t>
      </w:r>
      <w:r w:rsidRPr="00485CC5">
        <w:rPr>
          <w:rStyle w:val="FootnoteReference"/>
          <w:rFonts w:ascii="Bookman Old Style" w:hAnsi="Bookman Old Style" w:cs="Calibri"/>
          <w:szCs w:val="24"/>
        </w:rPr>
        <w:footnoteReference w:id="81"/>
      </w:r>
      <w:r w:rsidRPr="00485CC5">
        <w:rPr>
          <w:rFonts w:ascii="Bookman Old Style" w:hAnsi="Bookman Old Style" w:cs="Calibri"/>
          <w:szCs w:val="24"/>
        </w:rPr>
        <w:t>:</w:t>
      </w:r>
    </w:p>
    <w:p w14:paraId="5F2A6545" w14:textId="77777777" w:rsidR="00F36280" w:rsidRPr="00485CC5" w:rsidRDefault="00F36280" w:rsidP="00F36280">
      <w:pPr>
        <w:jc w:val="both"/>
        <w:rPr>
          <w:rFonts w:ascii="Bookman Old Style" w:hAnsi="Bookman Old Style" w:cs="Calibri"/>
          <w:szCs w:val="24"/>
        </w:rPr>
      </w:pPr>
    </w:p>
    <w:p w14:paraId="787BE93F" w14:textId="77777777" w:rsidR="00F36280" w:rsidRPr="00485CC5" w:rsidRDefault="00F36280" w:rsidP="00621929">
      <w:pPr>
        <w:pStyle w:val="ListParagraph"/>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Primero, 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14:paraId="44B00647" w14:textId="77777777" w:rsidR="00F36280" w:rsidRPr="00485CC5" w:rsidRDefault="00F36280" w:rsidP="00F36280">
      <w:pPr>
        <w:pStyle w:val="ListParagraph"/>
        <w:spacing w:after="0" w:line="240" w:lineRule="auto"/>
        <w:ind w:right="758"/>
        <w:jc w:val="both"/>
        <w:rPr>
          <w:rFonts w:ascii="Bookman Old Style" w:hAnsi="Bookman Old Style" w:cs="Calibri"/>
          <w:szCs w:val="24"/>
        </w:rPr>
      </w:pPr>
    </w:p>
    <w:p w14:paraId="2FEDBD51" w14:textId="77777777" w:rsidR="00F36280" w:rsidRPr="00485CC5" w:rsidRDefault="00F36280" w:rsidP="00621929">
      <w:pPr>
        <w:pStyle w:val="ListParagraph"/>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Segundo, 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14:paraId="4E849900" w14:textId="77777777" w:rsidR="00F36280" w:rsidRPr="00485CC5" w:rsidRDefault="00F36280" w:rsidP="00F36280">
      <w:pPr>
        <w:pStyle w:val="ListParagraph"/>
        <w:spacing w:after="0" w:line="240" w:lineRule="auto"/>
        <w:ind w:right="758"/>
        <w:jc w:val="both"/>
        <w:rPr>
          <w:rFonts w:ascii="Bookman Old Style" w:hAnsi="Bookman Old Style" w:cs="Calibri"/>
          <w:szCs w:val="24"/>
        </w:rPr>
      </w:pPr>
    </w:p>
    <w:p w14:paraId="4FEE8744" w14:textId="77777777" w:rsidR="00F36280" w:rsidRPr="00485CC5" w:rsidRDefault="00F36280" w:rsidP="00621929">
      <w:pPr>
        <w:pStyle w:val="ListParagraph"/>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Tercero, 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14:paraId="0CC8159F" w14:textId="77777777" w:rsidR="00F36280" w:rsidRPr="00485CC5" w:rsidRDefault="00F36280" w:rsidP="00F36280">
      <w:pPr>
        <w:pStyle w:val="ListParagraph"/>
        <w:spacing w:after="0" w:line="240" w:lineRule="auto"/>
        <w:ind w:right="758"/>
        <w:jc w:val="both"/>
        <w:rPr>
          <w:rFonts w:ascii="Bookman Old Style" w:hAnsi="Bookman Old Style" w:cs="Calibri"/>
          <w:szCs w:val="24"/>
        </w:rPr>
      </w:pPr>
    </w:p>
    <w:p w14:paraId="72F22709"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Es importante ver estas políticas punitivas a la luz de las actuales cifras de las prisiones en Colombia. Siguiendo la línea del informe de Dejusticia (2017) y actualizando las cifras para 2019, según los datos del International Center for Prison Studies (Centro Internacional de Estudios sobre Prisiones)</w:t>
      </w:r>
      <w:r w:rsidRPr="00485CC5">
        <w:rPr>
          <w:rStyle w:val="FootnoteReference"/>
          <w:rFonts w:ascii="Bookman Old Style" w:hAnsi="Bookman Old Style" w:cs="Calibri"/>
          <w:szCs w:val="24"/>
        </w:rPr>
        <w:footnoteReference w:id="82"/>
      </w:r>
      <w:r w:rsidRPr="00485CC5">
        <w:rPr>
          <w:rFonts w:ascii="Bookman Old Style" w:hAnsi="Bookman Old Style" w:cs="Calibri"/>
          <w:szCs w:val="24"/>
        </w:rPr>
        <w:t>:</w:t>
      </w:r>
    </w:p>
    <w:p w14:paraId="4ED07FE7" w14:textId="77777777" w:rsidR="00F36280" w:rsidRPr="00485CC5" w:rsidRDefault="00F36280" w:rsidP="00F36280">
      <w:pPr>
        <w:jc w:val="both"/>
        <w:rPr>
          <w:rFonts w:ascii="Bookman Old Style" w:hAnsi="Bookman Old Style" w:cs="Calibri"/>
          <w:szCs w:val="24"/>
        </w:rPr>
      </w:pPr>
    </w:p>
    <w:p w14:paraId="2FC78FAB" w14:textId="77777777" w:rsidR="00F36280" w:rsidRPr="00485CC5" w:rsidRDefault="00F36280" w:rsidP="00F36280">
      <w:pPr>
        <w:pStyle w:val="ListParagraph"/>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número 14 en términos de población privada de la libertad, con 119.896 personas en sus cárceles a 2018, población que en Latinoamérica solamente es superada por Brasil (719.998).</w:t>
      </w:r>
    </w:p>
    <w:p w14:paraId="15DF694B" w14:textId="77777777" w:rsidR="00F36280" w:rsidRPr="00485CC5" w:rsidRDefault="00F36280" w:rsidP="00F36280">
      <w:pPr>
        <w:pStyle w:val="ListParagraph"/>
        <w:spacing w:after="0" w:line="240" w:lineRule="auto"/>
        <w:jc w:val="both"/>
        <w:rPr>
          <w:rFonts w:ascii="Bookman Old Style" w:hAnsi="Bookman Old Style" w:cs="Calibri"/>
          <w:szCs w:val="24"/>
        </w:rPr>
      </w:pPr>
    </w:p>
    <w:p w14:paraId="36D71160" w14:textId="77777777" w:rsidR="00F36280" w:rsidRPr="00485CC5" w:rsidRDefault="00F36280" w:rsidP="00F36280">
      <w:pPr>
        <w:pStyle w:val="ListParagraph"/>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Ha habido un crecimiento acelerado de dicha población, creciendo un 133% desde el año 2000, superando el crecimiento porcentual de la </w:t>
      </w:r>
      <w:r w:rsidRPr="00485CC5">
        <w:rPr>
          <w:rFonts w:ascii="Bookman Old Style" w:hAnsi="Bookman Old Style" w:cs="Calibri"/>
          <w:szCs w:val="24"/>
        </w:rPr>
        <w:lastRenderedPageBreak/>
        <w:t>población en Colombia para el mismo periodo 5.3 veces según las cifras del DANE.</w:t>
      </w:r>
      <w:r w:rsidRPr="00485CC5">
        <w:rPr>
          <w:rStyle w:val="FootnoteReference"/>
          <w:rFonts w:ascii="Bookman Old Style" w:hAnsi="Bookman Old Style" w:cs="Calibri"/>
          <w:szCs w:val="24"/>
        </w:rPr>
        <w:footnoteReference w:id="83"/>
      </w:r>
    </w:p>
    <w:p w14:paraId="73C27360" w14:textId="77777777" w:rsidR="00F36280" w:rsidRPr="00485CC5" w:rsidRDefault="00F36280" w:rsidP="00F36280">
      <w:pPr>
        <w:jc w:val="both"/>
        <w:rPr>
          <w:rFonts w:ascii="Bookman Old Style" w:hAnsi="Bookman Old Style" w:cs="Calibri"/>
          <w:szCs w:val="24"/>
        </w:rPr>
      </w:pPr>
    </w:p>
    <w:p w14:paraId="05D13279" w14:textId="77777777" w:rsidR="00F36280" w:rsidRPr="00485CC5" w:rsidRDefault="00F36280" w:rsidP="00F36280">
      <w:pPr>
        <w:pStyle w:val="ListParagraph"/>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Colombia ocupa el puesto 48 en términos de países con mayores tasas de encarcelamiento, con 241 por cada 100.000 habitantes privados de la libertad. </w:t>
      </w:r>
    </w:p>
    <w:p w14:paraId="458A0487" w14:textId="77777777" w:rsidR="00F36280" w:rsidRPr="00485CC5" w:rsidRDefault="00F36280" w:rsidP="00F36280">
      <w:pPr>
        <w:pStyle w:val="ListParagraph"/>
        <w:spacing w:after="0" w:line="240" w:lineRule="auto"/>
        <w:jc w:val="both"/>
        <w:rPr>
          <w:rFonts w:ascii="Bookman Old Style" w:hAnsi="Bookman Old Style" w:cs="Calibri"/>
          <w:szCs w:val="24"/>
        </w:rPr>
      </w:pPr>
    </w:p>
    <w:p w14:paraId="5ADC8E33" w14:textId="77777777" w:rsidR="00F36280" w:rsidRPr="00485CC5" w:rsidRDefault="00F36280" w:rsidP="00F36280">
      <w:pPr>
        <w:pStyle w:val="ListParagraph"/>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Esta cifra está muy por encima del promedio mundial reportado por el Centro Internacional de Estudios sobre Prisiones para 2018, que fue de 145 por cada 100.000 habitantes.</w:t>
      </w:r>
    </w:p>
    <w:p w14:paraId="5A482E97" w14:textId="77777777" w:rsidR="00F36280" w:rsidRPr="00485CC5" w:rsidRDefault="00F36280" w:rsidP="00F36280">
      <w:pPr>
        <w:pStyle w:val="ListParagraph"/>
        <w:spacing w:after="0" w:line="240" w:lineRule="auto"/>
        <w:ind w:left="1440"/>
        <w:jc w:val="both"/>
        <w:rPr>
          <w:rFonts w:ascii="Bookman Old Style" w:hAnsi="Bookman Old Style" w:cs="Calibri"/>
          <w:szCs w:val="24"/>
        </w:rPr>
      </w:pPr>
    </w:p>
    <w:p w14:paraId="1E303E8F" w14:textId="77777777" w:rsidR="00F36280" w:rsidRPr="00485CC5" w:rsidRDefault="00F36280" w:rsidP="00F36280">
      <w:pPr>
        <w:pStyle w:val="ListParagraph"/>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También, resulta preocupante el crecimiento de esta cifra que aumentó en un 17% desde el año 2000 (128 por cada 100.000 habitantes).</w:t>
      </w:r>
    </w:p>
    <w:p w14:paraId="3BDCB669" w14:textId="77777777" w:rsidR="00F36280" w:rsidRPr="00485CC5" w:rsidRDefault="00F36280" w:rsidP="00F36280">
      <w:pPr>
        <w:pStyle w:val="ListParagraph"/>
        <w:spacing w:after="0" w:line="240" w:lineRule="auto"/>
        <w:ind w:left="1440"/>
        <w:jc w:val="both"/>
        <w:rPr>
          <w:rFonts w:ascii="Bookman Old Style" w:hAnsi="Bookman Old Style" w:cs="Calibri"/>
          <w:szCs w:val="24"/>
        </w:rPr>
      </w:pPr>
    </w:p>
    <w:p w14:paraId="1D4EB868" w14:textId="77777777" w:rsidR="00F36280" w:rsidRPr="00485CC5" w:rsidRDefault="00F36280" w:rsidP="00F36280">
      <w:pPr>
        <w:pStyle w:val="ListParagraph"/>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51 en términos de países con mayor tasa de encarcelamiento femenino. Las mujeres representan el 6.9% de la población privada de la libertad en Colombia.</w:t>
      </w:r>
    </w:p>
    <w:p w14:paraId="70053496" w14:textId="77777777" w:rsidR="00F36280" w:rsidRPr="00485CC5" w:rsidRDefault="00F36280" w:rsidP="00F36280">
      <w:pPr>
        <w:pStyle w:val="ListParagraph"/>
        <w:spacing w:after="0" w:line="240" w:lineRule="auto"/>
        <w:jc w:val="both"/>
        <w:rPr>
          <w:rFonts w:ascii="Bookman Old Style" w:hAnsi="Bookman Old Style" w:cs="Calibri"/>
          <w:szCs w:val="24"/>
        </w:rPr>
      </w:pPr>
    </w:p>
    <w:p w14:paraId="12BF5149" w14:textId="77777777" w:rsidR="00F36280" w:rsidRPr="00485CC5" w:rsidRDefault="00F36280" w:rsidP="00F36280">
      <w:pPr>
        <w:pStyle w:val="ListParagraph"/>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14:paraId="509E1B7C" w14:textId="77777777" w:rsidR="00F36280" w:rsidRPr="00485CC5" w:rsidRDefault="00F36280" w:rsidP="00F36280">
      <w:pPr>
        <w:pStyle w:val="ListParagraph"/>
        <w:spacing w:after="0" w:line="240" w:lineRule="auto"/>
        <w:ind w:left="1440"/>
        <w:jc w:val="both"/>
        <w:rPr>
          <w:rFonts w:ascii="Bookman Old Style" w:hAnsi="Bookman Old Style" w:cs="Calibri"/>
          <w:szCs w:val="24"/>
        </w:rPr>
      </w:pPr>
    </w:p>
    <w:p w14:paraId="5C914634" w14:textId="77777777" w:rsidR="00F36280" w:rsidRDefault="00F36280" w:rsidP="00F36280">
      <w:pPr>
        <w:pStyle w:val="ListParagraph"/>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53 en términos de países con mayor hacinamiento carcelario, 149.4%.</w:t>
      </w:r>
    </w:p>
    <w:p w14:paraId="4C3F10C8" w14:textId="77777777" w:rsidR="00CC3BBE" w:rsidRPr="00CC3BBE" w:rsidRDefault="00CC3BBE" w:rsidP="00CC3BBE">
      <w:pPr>
        <w:pStyle w:val="ListParagraph"/>
        <w:pBdr>
          <w:top w:val="nil"/>
          <w:left w:val="nil"/>
          <w:bottom w:val="nil"/>
          <w:right w:val="nil"/>
          <w:between w:val="nil"/>
        </w:pBdr>
        <w:spacing w:after="0" w:line="276" w:lineRule="auto"/>
        <w:jc w:val="both"/>
        <w:rPr>
          <w:rFonts w:ascii="Arial" w:eastAsia="Calibri" w:hAnsi="Arial" w:cs="Arial"/>
          <w:b/>
          <w:bCs/>
          <w:color w:val="000000"/>
          <w:lang w:val="es-ES_tradnl"/>
        </w:rPr>
      </w:pPr>
    </w:p>
    <w:p w14:paraId="2A73A4F8" w14:textId="77777777" w:rsidR="00CC3BBE" w:rsidRPr="00CC3BBE" w:rsidRDefault="00CC3BBE" w:rsidP="00CC3BBE">
      <w:pPr>
        <w:pStyle w:val="ListParagraph"/>
        <w:numPr>
          <w:ilvl w:val="0"/>
          <w:numId w:val="11"/>
        </w:numPr>
        <w:pBdr>
          <w:top w:val="nil"/>
          <w:left w:val="nil"/>
          <w:bottom w:val="nil"/>
          <w:right w:val="nil"/>
          <w:between w:val="nil"/>
        </w:pBdr>
        <w:spacing w:after="0" w:line="276" w:lineRule="auto"/>
        <w:jc w:val="both"/>
        <w:rPr>
          <w:rFonts w:ascii="Bookman Old Style" w:eastAsia="Calibri" w:hAnsi="Bookman Old Style" w:cs="Arial"/>
          <w:b/>
          <w:bCs/>
          <w:color w:val="000000"/>
          <w:lang w:val="es-ES_tradnl"/>
        </w:rPr>
      </w:pPr>
      <w:r>
        <w:rPr>
          <w:rFonts w:ascii="Bookman Old Style" w:eastAsia="Calibri" w:hAnsi="Bookman Old Style" w:cs="Arial"/>
          <w:color w:val="000000"/>
          <w:lang w:val="es-ES_tradnl"/>
        </w:rPr>
        <w:t>De acuerdo a información suministrada por</w:t>
      </w:r>
      <w:r w:rsidRPr="00CC3BBE">
        <w:rPr>
          <w:rFonts w:ascii="Bookman Old Style" w:eastAsia="Calibri" w:hAnsi="Bookman Old Style" w:cs="Arial"/>
          <w:color w:val="000000"/>
          <w:lang w:val="es-ES_tradnl"/>
        </w:rPr>
        <w:t xml:space="preserve"> el Ministerio de Justicia el hacinamiento en Colombia a julio de 2020 es de: 32,48, con un población total de 107.197, de las cuales están recluidas por delito de estupefacientes un total de: 21.981 personas, esto quiere decir que el 20,51% de la población carcelaria es producto del tráfico, porte o consumo de estupefacientes. </w:t>
      </w:r>
    </w:p>
    <w:p w14:paraId="318C8F8B" w14:textId="77777777" w:rsidR="00CC3BBE" w:rsidRPr="00CC3BBE" w:rsidRDefault="00CC3BBE" w:rsidP="00CC3BBE">
      <w:pPr>
        <w:pStyle w:val="ListParagraph"/>
        <w:pBdr>
          <w:top w:val="nil"/>
          <w:left w:val="nil"/>
          <w:bottom w:val="nil"/>
          <w:right w:val="nil"/>
          <w:between w:val="nil"/>
        </w:pBdr>
        <w:spacing w:after="0" w:line="276" w:lineRule="auto"/>
        <w:jc w:val="both"/>
        <w:rPr>
          <w:rFonts w:ascii="Bookman Old Style" w:eastAsia="Calibri" w:hAnsi="Bookman Old Style" w:cs="Arial"/>
          <w:b/>
          <w:bCs/>
          <w:color w:val="000000"/>
          <w:lang w:val="es-ES_tradnl"/>
        </w:rPr>
      </w:pPr>
    </w:p>
    <w:p w14:paraId="786B8BFA" w14:textId="77777777" w:rsidR="00CC3BBE" w:rsidRPr="00CC3BBE" w:rsidRDefault="00CC3BBE" w:rsidP="00CC3BBE">
      <w:pPr>
        <w:pStyle w:val="ListParagraph"/>
        <w:numPr>
          <w:ilvl w:val="0"/>
          <w:numId w:val="11"/>
        </w:numPr>
        <w:pBdr>
          <w:top w:val="nil"/>
          <w:left w:val="nil"/>
          <w:bottom w:val="nil"/>
          <w:right w:val="nil"/>
          <w:between w:val="nil"/>
        </w:pBdr>
        <w:spacing w:after="0" w:line="276" w:lineRule="auto"/>
        <w:jc w:val="both"/>
        <w:rPr>
          <w:rFonts w:ascii="Bookman Old Style" w:eastAsia="Calibri" w:hAnsi="Bookman Old Style" w:cs="Arial"/>
          <w:b/>
          <w:bCs/>
          <w:color w:val="000000"/>
          <w:lang w:val="es-ES_tradnl"/>
        </w:rPr>
      </w:pPr>
      <w:r w:rsidRPr="00CC3BBE">
        <w:rPr>
          <w:rFonts w:ascii="Bookman Old Style" w:eastAsia="Calibri" w:hAnsi="Bookman Old Style" w:cs="Arial"/>
          <w:color w:val="000000"/>
          <w:lang w:val="es-ES_tradnl"/>
        </w:rPr>
        <w:t>La población carcelaria se redujo en un total de 7.000 reclusos producto de las medidas adoptadas por el COVID-19.</w:t>
      </w:r>
    </w:p>
    <w:p w14:paraId="50E5F6C5" w14:textId="77777777" w:rsidR="00F36280" w:rsidRPr="00485CC5" w:rsidRDefault="00F36280" w:rsidP="00F36280">
      <w:pPr>
        <w:pStyle w:val="ListParagraph"/>
        <w:spacing w:after="0" w:line="240" w:lineRule="auto"/>
        <w:jc w:val="both"/>
        <w:rPr>
          <w:rFonts w:ascii="Bookman Old Style" w:hAnsi="Bookman Old Style" w:cs="Calibri"/>
          <w:szCs w:val="24"/>
        </w:rPr>
      </w:pPr>
    </w:p>
    <w:p w14:paraId="2138D4A3"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En este sentido, es importante ver estas cifras de privación de la libertad en Colombia a la luz de las capturas por delitos por drogas, pues estas representan una gran parte de las capturas que se dan en el país. De las 2.479.630 capturas </w:t>
      </w:r>
      <w:r w:rsidRPr="00485CC5">
        <w:rPr>
          <w:rFonts w:ascii="Bookman Old Style" w:hAnsi="Bookman Old Style" w:cs="Calibri"/>
          <w:szCs w:val="24"/>
        </w:rPr>
        <w:lastRenderedPageBreak/>
        <w:t>realizadas por la Policía Nacional por presunta conducta delictiva en el periodo 2005-2014, “</w:t>
      </w:r>
      <w:r w:rsidRPr="00485CC5">
        <w:rPr>
          <w:rFonts w:ascii="Bookman Old Style" w:hAnsi="Bookman Old Style" w:cs="Calibri"/>
          <w:i/>
          <w:iCs/>
          <w:szCs w:val="24"/>
        </w:rPr>
        <w:t>727.091 (el 29,3 %) han sido por presunto porte, tráfico o fabricación de drogas</w:t>
      </w:r>
      <w:r w:rsidRPr="00485CC5">
        <w:rPr>
          <w:rFonts w:ascii="Bookman Old Style" w:hAnsi="Bookman Old Style" w:cs="Calibri"/>
          <w:szCs w:val="24"/>
        </w:rPr>
        <w:t>” (Dejusticia, 2017, pp. 30). Para el 2014, 1 de cada 3 capturas de la policía estuvo relacionada con drogas, capturas que son principalmente de jóvenes y menores de edad.</w:t>
      </w:r>
      <w:r w:rsidRPr="00485CC5">
        <w:rPr>
          <w:rStyle w:val="FootnoteReference"/>
          <w:rFonts w:ascii="Bookman Old Style" w:hAnsi="Bookman Old Style" w:cs="Calibri"/>
          <w:szCs w:val="24"/>
        </w:rPr>
        <w:footnoteReference w:id="84"/>
      </w:r>
    </w:p>
    <w:p w14:paraId="1C42285D" w14:textId="77777777" w:rsidR="00F36280" w:rsidRPr="00485CC5" w:rsidRDefault="00F36280" w:rsidP="00F36280">
      <w:pPr>
        <w:jc w:val="both"/>
        <w:rPr>
          <w:rFonts w:ascii="Bookman Old Style" w:hAnsi="Bookman Old Style" w:cs="Calibri"/>
          <w:szCs w:val="24"/>
        </w:rPr>
      </w:pPr>
    </w:p>
    <w:p w14:paraId="311345A3"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485CC5">
        <w:rPr>
          <w:rStyle w:val="FootnoteReference"/>
          <w:rFonts w:ascii="Bookman Old Style" w:hAnsi="Bookman Old Style" w:cs="Calibri"/>
          <w:szCs w:val="24"/>
        </w:rPr>
        <w:footnoteReference w:id="85"/>
      </w:r>
    </w:p>
    <w:p w14:paraId="4B634D7D" w14:textId="77777777" w:rsidR="00F36280" w:rsidRPr="00485CC5" w:rsidRDefault="00F36280" w:rsidP="00F36280">
      <w:pPr>
        <w:jc w:val="both"/>
        <w:rPr>
          <w:rFonts w:ascii="Bookman Old Style" w:hAnsi="Bookman Old Style" w:cs="Calibri"/>
          <w:szCs w:val="24"/>
        </w:rPr>
      </w:pPr>
    </w:p>
    <w:p w14:paraId="3BA094FE"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El 52% de las personas capturadas por delitos de tráfico, porte o fabricación de estupefacientes, son menores de 25 años.</w:t>
      </w:r>
      <w:r w:rsidRPr="00485CC5">
        <w:rPr>
          <w:rStyle w:val="FootnoteReference"/>
          <w:rFonts w:ascii="Bookman Old Style" w:hAnsi="Bookman Old Style" w:cs="Calibri"/>
          <w:szCs w:val="24"/>
        </w:rPr>
        <w:footnoteReference w:id="86"/>
      </w:r>
      <w:r w:rsidRPr="00485CC5">
        <w:rPr>
          <w:rFonts w:ascii="Bookman Old Style" w:hAnsi="Bookman Old Style" w:cs="Calibri"/>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485CC5">
        <w:rPr>
          <w:rStyle w:val="FootnoteReference"/>
          <w:rFonts w:ascii="Bookman Old Style" w:hAnsi="Bookman Old Style" w:cs="Calibri"/>
          <w:szCs w:val="24"/>
        </w:rPr>
        <w:footnoteReference w:id="87"/>
      </w:r>
      <w:r w:rsidRPr="00485CC5">
        <w:rPr>
          <w:rFonts w:ascii="Bookman Old Style" w:hAnsi="Bookman Old Style" w:cs="Calibri"/>
          <w:szCs w:val="24"/>
        </w:rPr>
        <w:t>, porcentaje que solamente es superado por los casos de hurto, que representan el 39%.</w:t>
      </w:r>
    </w:p>
    <w:p w14:paraId="1A80B349" w14:textId="77777777" w:rsidR="00F36280" w:rsidRPr="00485CC5" w:rsidRDefault="00F36280" w:rsidP="00F36280">
      <w:pPr>
        <w:jc w:val="both"/>
        <w:rPr>
          <w:rFonts w:ascii="Bookman Old Style" w:hAnsi="Bookman Old Style" w:cs="Calibri"/>
          <w:szCs w:val="24"/>
        </w:rPr>
      </w:pPr>
    </w:p>
    <w:p w14:paraId="566AB748"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Dejusticia sobre personas condenadas por tráfico, porte o fabricación de estupefacientes para el periodo 2010 – 2014</w:t>
      </w:r>
      <w:r w:rsidRPr="00485CC5">
        <w:rPr>
          <w:rStyle w:val="FootnoteReference"/>
          <w:rFonts w:ascii="Bookman Old Style" w:hAnsi="Bookman Old Style" w:cs="Calibri"/>
          <w:szCs w:val="24"/>
        </w:rPr>
        <w:footnoteReference w:id="88"/>
      </w:r>
      <w:r w:rsidRPr="00485CC5">
        <w:rPr>
          <w:rFonts w:ascii="Bookman Old Style" w:hAnsi="Bookman Old Style" w:cs="Calibri"/>
          <w:szCs w:val="24"/>
        </w:rPr>
        <w:t>, en donde el 19.4% de las personas condenadas se encontraban desempleadas o se ocupaban en la economía informal, y solamente 4.41% se dedicaba a un oficio profesional.</w:t>
      </w:r>
    </w:p>
    <w:p w14:paraId="57063519" w14:textId="77777777" w:rsidR="00F36280" w:rsidRPr="00485CC5" w:rsidRDefault="00F36280" w:rsidP="00F36280">
      <w:pPr>
        <w:jc w:val="both"/>
        <w:rPr>
          <w:rFonts w:ascii="Bookman Old Style" w:hAnsi="Bookman Old Style" w:cs="Calibri"/>
          <w:szCs w:val="24"/>
        </w:rPr>
      </w:pPr>
    </w:p>
    <w:p w14:paraId="242FE829"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La situación de hacinamiento es crítica en las cárceles colombianas, debido en parte, al gran número de personas privadas de libertad por delitos en conexión con drogas y el acelerado crecimiento de estas cifras. Al punto que, de acuerdo a Dejusticia, si se hubieran implementado alternativas que permitieran la salida de la cárcel de las personas recluidas por delitos de drogas, el hacinamiento se </w:t>
      </w:r>
      <w:r w:rsidRPr="00485CC5">
        <w:rPr>
          <w:rFonts w:ascii="Bookman Old Style" w:hAnsi="Bookman Old Style" w:cs="Calibri"/>
          <w:szCs w:val="24"/>
        </w:rPr>
        <w:lastRenderedPageBreak/>
        <w:t>reduciría en un promedio del 33.38% al 9.48% para el periodo.</w:t>
      </w:r>
      <w:r w:rsidRPr="00485CC5">
        <w:rPr>
          <w:rStyle w:val="FootnoteReference"/>
          <w:rFonts w:ascii="Bookman Old Style" w:hAnsi="Bookman Old Style" w:cs="Calibri"/>
          <w:szCs w:val="24"/>
        </w:rPr>
        <w:footnoteReference w:id="89"/>
      </w:r>
    </w:p>
    <w:p w14:paraId="5CEA2BD5" w14:textId="77777777" w:rsidR="00F36280" w:rsidRPr="00485CC5" w:rsidRDefault="00F36280" w:rsidP="00F36280">
      <w:pPr>
        <w:jc w:val="both"/>
        <w:rPr>
          <w:rFonts w:ascii="Bookman Old Style" w:hAnsi="Bookman Old Style" w:cs="Calibri"/>
          <w:szCs w:val="24"/>
        </w:rPr>
      </w:pPr>
    </w:p>
    <w:p w14:paraId="1EA07A66"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14:paraId="0D8463BD" w14:textId="77777777" w:rsidR="00F36280" w:rsidRPr="00485CC5" w:rsidRDefault="00F36280" w:rsidP="00F36280">
      <w:pPr>
        <w:jc w:val="both"/>
        <w:rPr>
          <w:rFonts w:ascii="Bookman Old Style" w:hAnsi="Bookman Old Style" w:cs="Calibri"/>
          <w:szCs w:val="24"/>
        </w:rPr>
      </w:pPr>
    </w:p>
    <w:p w14:paraId="2AF3047B" w14:textId="77777777" w:rsidR="00F36280" w:rsidRPr="00485CC5" w:rsidRDefault="00F36280" w:rsidP="00F36280">
      <w:pPr>
        <w:pStyle w:val="Heading1"/>
        <w:jc w:val="both"/>
        <w:rPr>
          <w:rFonts w:ascii="Bookman Old Style" w:hAnsi="Bookman Old Style" w:cs="Calibri"/>
          <w:b w:val="0"/>
          <w:sz w:val="22"/>
          <w:szCs w:val="24"/>
        </w:rPr>
      </w:pPr>
      <w:bookmarkStart w:id="5" w:name="_Toc5023217"/>
      <w:r w:rsidRPr="00485CC5">
        <w:rPr>
          <w:rFonts w:ascii="Bookman Old Style" w:hAnsi="Bookman Old Style" w:cs="Calibri"/>
          <w:b w:val="0"/>
          <w:sz w:val="22"/>
          <w:szCs w:val="24"/>
        </w:rPr>
        <w:t>Finalmente, tenemos que tener en cuenta que las Políticas de Drogas están encaminadas a los Objetivos de Desarrollo Sostenible</w:t>
      </w:r>
      <w:bookmarkEnd w:id="5"/>
      <w:r w:rsidRPr="00485CC5">
        <w:rPr>
          <w:rFonts w:ascii="Bookman Old Style" w:hAnsi="Bookman Old Style" w:cs="Calibri"/>
          <w:b w:val="0"/>
          <w:sz w:val="22"/>
          <w:szCs w:val="24"/>
        </w:rPr>
        <w:t>. En el reporte de 2018 titulado “</w:t>
      </w:r>
      <w:r w:rsidRPr="00485CC5">
        <w:rPr>
          <w:rFonts w:ascii="Bookman Old Style" w:hAnsi="Bookman Old Style" w:cs="Calibri"/>
          <w:b w:val="0"/>
          <w:i/>
          <w:iCs/>
          <w:sz w:val="22"/>
          <w:szCs w:val="24"/>
        </w:rPr>
        <w:t>Políticas de Drogas y la Agenda para el Desarrollo Sostenible</w:t>
      </w:r>
      <w:r w:rsidRPr="00485CC5">
        <w:rPr>
          <w:rFonts w:ascii="Bookman Old Style" w:hAnsi="Bookman Old Style" w:cs="Calibri"/>
          <w:b w:val="0"/>
          <w:sz w:val="22"/>
          <w:szCs w:val="24"/>
        </w:rPr>
        <w:t>”</w:t>
      </w:r>
      <w:r w:rsidRPr="00485CC5">
        <w:rPr>
          <w:rStyle w:val="FootnoteReference"/>
          <w:rFonts w:ascii="Bookman Old Style" w:hAnsi="Bookman Old Style" w:cs="Calibri"/>
          <w:b w:val="0"/>
          <w:sz w:val="22"/>
          <w:szCs w:val="24"/>
        </w:rPr>
        <w:footnoteReference w:id="90"/>
      </w:r>
      <w:r w:rsidRPr="00485CC5">
        <w:rPr>
          <w:rFonts w:ascii="Bookman Old Style" w:hAnsi="Bookman Old Style" w:cs="Calibri"/>
          <w:b w:val="0"/>
          <w:sz w:val="22"/>
          <w:szCs w:val="24"/>
        </w:rPr>
        <w:t>, la Comisión Global de Políticas de Drogas</w:t>
      </w:r>
      <w:r w:rsidRPr="00485CC5">
        <w:rPr>
          <w:rStyle w:val="FootnoteReference"/>
          <w:rFonts w:ascii="Bookman Old Style" w:hAnsi="Bookman Old Style" w:cs="Calibri"/>
          <w:b w:val="0"/>
          <w:sz w:val="22"/>
          <w:szCs w:val="24"/>
        </w:rPr>
        <w:t xml:space="preserve"> </w:t>
      </w:r>
      <w:r w:rsidRPr="00485CC5">
        <w:rPr>
          <w:rFonts w:ascii="Bookman Old Style" w:hAnsi="Bookman Old Style" w:cs="Calibri"/>
          <w:b w:val="0"/>
          <w:sz w:val="22"/>
          <w:szCs w:val="24"/>
        </w:rPr>
        <w:t>señala cómo el lanzamiento de los Objetivos de Desarrollo Sostenible permite dirigir “</w:t>
      </w:r>
      <w:r w:rsidRPr="00485CC5">
        <w:rPr>
          <w:rFonts w:ascii="Bookman Old Style" w:hAnsi="Bookman Old Style" w:cs="Calibri"/>
          <w:b w:val="0"/>
          <w:i/>
          <w:iCs/>
          <w:sz w:val="22"/>
          <w:szCs w:val="24"/>
        </w:rPr>
        <w:t>las políticas de drogas para enfocarse en aquellos que están amenazados, en lugar de las amenazas que pueden representar las drogas mismas</w:t>
      </w:r>
      <w:r w:rsidRPr="00485CC5">
        <w:rPr>
          <w:rFonts w:ascii="Bookman Old Style" w:hAnsi="Bookman Old Style" w:cs="Calibri"/>
          <w:b w:val="0"/>
          <w:sz w:val="22"/>
          <w:szCs w:val="24"/>
        </w:rPr>
        <w:t>”</w:t>
      </w:r>
      <w:r w:rsidRPr="00485CC5">
        <w:rPr>
          <w:rStyle w:val="FootnoteReference"/>
          <w:rFonts w:ascii="Bookman Old Style" w:hAnsi="Bookman Old Style" w:cs="Calibri"/>
          <w:b w:val="0"/>
          <w:sz w:val="22"/>
          <w:szCs w:val="24"/>
        </w:rPr>
        <w:t xml:space="preserve"> </w:t>
      </w:r>
      <w:r w:rsidRPr="00485CC5">
        <w:rPr>
          <w:rStyle w:val="FootnoteReference"/>
          <w:rFonts w:ascii="Bookman Old Style" w:hAnsi="Bookman Old Style" w:cs="Calibri"/>
          <w:b w:val="0"/>
          <w:sz w:val="22"/>
          <w:szCs w:val="24"/>
        </w:rPr>
        <w:footnoteReference w:id="91"/>
      </w:r>
      <w:r w:rsidRPr="00485CC5">
        <w:rPr>
          <w:rFonts w:ascii="Bookman Old Style" w:hAnsi="Bookman Old Style" w:cs="Calibri"/>
          <w:b w:val="0"/>
          <w:sz w:val="22"/>
          <w:szCs w:val="24"/>
        </w:rPr>
        <w:t>.</w:t>
      </w:r>
    </w:p>
    <w:p w14:paraId="47FFACB6" w14:textId="77777777" w:rsidR="00F36280" w:rsidRPr="00485CC5" w:rsidRDefault="00F36280" w:rsidP="00F36280">
      <w:pPr>
        <w:rPr>
          <w:rFonts w:ascii="Bookman Old Style" w:hAnsi="Bookman Old Style"/>
          <w:szCs w:val="24"/>
        </w:rPr>
      </w:pPr>
    </w:p>
    <w:p w14:paraId="3691ADA4" w14:textId="77777777" w:rsidR="00F36280" w:rsidRPr="00485CC5" w:rsidRDefault="00F36280" w:rsidP="00F36280">
      <w:pPr>
        <w:pStyle w:val="Heading1"/>
        <w:jc w:val="both"/>
        <w:rPr>
          <w:rFonts w:ascii="Bookman Old Style" w:hAnsi="Bookman Old Style" w:cs="Calibri"/>
          <w:b w:val="0"/>
          <w:sz w:val="22"/>
          <w:szCs w:val="24"/>
        </w:rPr>
      </w:pPr>
      <w:r w:rsidRPr="00485CC5">
        <w:rPr>
          <w:rFonts w:ascii="Bookman Old Style" w:hAnsi="Bookman Old Style" w:cs="Calibri"/>
          <w:b w:val="0"/>
          <w:sz w:val="22"/>
          <w:szCs w:val="24"/>
        </w:rPr>
        <w:t>La política de drogas de regulación, y no de persecución, se puede enmarcar dentro de los diferentes ODS y, pueden generar oportunidades para la prevención y asistencia de los grupos más vulnerables. La lucha actual contra las drogas, dentro de las cuales se incluye la marihuana, afecta el alcance de los Objetivos de Desarrollo Sostenible, así:</w:t>
      </w:r>
    </w:p>
    <w:p w14:paraId="0DBF3929" w14:textId="77777777" w:rsidR="00F36280" w:rsidRPr="00485CC5" w:rsidRDefault="00F36280" w:rsidP="00F36280">
      <w:pPr>
        <w:rPr>
          <w:rFonts w:ascii="Bookman Old Style" w:hAnsi="Bookman Old Style"/>
          <w:szCs w:val="24"/>
        </w:rPr>
      </w:pPr>
    </w:p>
    <w:p w14:paraId="7C007F6E" w14:textId="77777777" w:rsidR="00F36280" w:rsidRPr="00485CC5" w:rsidRDefault="00F36280" w:rsidP="00F36280">
      <w:pPr>
        <w:pStyle w:val="ListParagraph"/>
        <w:numPr>
          <w:ilvl w:val="0"/>
          <w:numId w:val="5"/>
        </w:numPr>
        <w:spacing w:after="0" w:line="240" w:lineRule="auto"/>
        <w:jc w:val="both"/>
        <w:rPr>
          <w:rFonts w:ascii="Bookman Old Style" w:hAnsi="Bookman Old Style" w:cs="Calibri"/>
          <w:szCs w:val="24"/>
        </w:rPr>
      </w:pPr>
      <w:r w:rsidRPr="00207603">
        <w:rPr>
          <w:rFonts w:ascii="Bookman Old Style" w:hAnsi="Bookman Old Style" w:cs="Calibri"/>
          <w:b/>
          <w:szCs w:val="24"/>
        </w:rPr>
        <w:t>ODS 1 (fin de la pobreza):</w:t>
      </w:r>
      <w:r w:rsidRPr="00485CC5">
        <w:rPr>
          <w:rFonts w:ascii="Bookman Old Style" w:hAnsi="Bookman Old Style" w:cs="Calibri"/>
          <w:szCs w:val="24"/>
        </w:rPr>
        <w:t xml:space="preserve"> las políticas de control de drogas han exacerbado la pobreza sin enfrentar las causas que llevan a las personas a participar en el mercado de las drogas.</w:t>
      </w:r>
      <w:r w:rsidRPr="00485CC5">
        <w:rPr>
          <w:rStyle w:val="FootnoteReference"/>
          <w:rFonts w:ascii="Bookman Old Style" w:hAnsi="Bookman Old Style" w:cs="Calibri"/>
          <w:szCs w:val="24"/>
        </w:rPr>
        <w:footnoteReference w:id="92"/>
      </w:r>
      <w:r w:rsidRPr="00485CC5">
        <w:rPr>
          <w:rFonts w:ascii="Bookman Old Style" w:hAnsi="Bookman Old Style" w:cs="Calibri"/>
          <w:szCs w:val="24"/>
        </w:rPr>
        <w:t xml:space="preserve"> En el mercado ilícito de las drogas participan personas vulnerables y las políticas represivas han sido contraproducentes, afectando principalmente a las personas más vulnerables, grupos étnicos y comunidades marginalizadas. Muchos de los cultivos de drogas ilícitas se dan en regiones donde el Estado no llega y hay desigualdad en el acceso a la tierra. Las políticas de erradicación forzosa sin ofrecer alternativas de subsistencia, así como la persecución de los eslabones más débiles en las cadenas de producción, exacerban la pobreza en las poblaciones vulnerables.</w:t>
      </w:r>
      <w:r w:rsidRPr="00485CC5">
        <w:rPr>
          <w:rStyle w:val="FootnoteReference"/>
          <w:rFonts w:ascii="Bookman Old Style" w:hAnsi="Bookman Old Style" w:cs="Calibri"/>
          <w:szCs w:val="24"/>
        </w:rPr>
        <w:footnoteReference w:id="93"/>
      </w:r>
      <w:r w:rsidRPr="00485CC5">
        <w:rPr>
          <w:rFonts w:ascii="Bookman Old Style" w:hAnsi="Bookman Old Style" w:cs="Calibri"/>
          <w:szCs w:val="24"/>
        </w:rPr>
        <w:t xml:space="preserve"> Además, en diferentes regiones de conflicto es común que los agricultores de subsistencia se vean atrapados en disputas entre grupos armados, como ha sido el caso en Colombia.</w:t>
      </w:r>
    </w:p>
    <w:p w14:paraId="3A259F3D" w14:textId="77777777" w:rsidR="00F36280" w:rsidRPr="00485CC5" w:rsidRDefault="00F36280" w:rsidP="00F36280">
      <w:pPr>
        <w:pStyle w:val="ListParagraph"/>
        <w:spacing w:after="0" w:line="240" w:lineRule="auto"/>
        <w:jc w:val="both"/>
        <w:rPr>
          <w:rFonts w:ascii="Bookman Old Style" w:hAnsi="Bookman Old Style" w:cs="Calibri"/>
          <w:szCs w:val="24"/>
        </w:rPr>
      </w:pPr>
    </w:p>
    <w:p w14:paraId="505ABFCD" w14:textId="77777777" w:rsidR="00F36280" w:rsidRPr="00485CC5" w:rsidRDefault="00F36280" w:rsidP="00F36280">
      <w:pPr>
        <w:pStyle w:val="ListParagraph"/>
        <w:numPr>
          <w:ilvl w:val="0"/>
          <w:numId w:val="5"/>
        </w:numPr>
        <w:spacing w:after="0" w:line="240" w:lineRule="auto"/>
        <w:jc w:val="both"/>
        <w:rPr>
          <w:rFonts w:ascii="Bookman Old Style" w:hAnsi="Bookman Old Style" w:cs="Calibri"/>
          <w:szCs w:val="24"/>
        </w:rPr>
      </w:pPr>
      <w:r w:rsidRPr="00207603">
        <w:rPr>
          <w:rFonts w:ascii="Bookman Old Style" w:hAnsi="Bookman Old Style" w:cs="Calibri"/>
          <w:b/>
          <w:szCs w:val="24"/>
        </w:rPr>
        <w:lastRenderedPageBreak/>
        <w:t>ODS 3 (salud y bienestar):</w:t>
      </w:r>
      <w:r w:rsidRPr="00485CC5">
        <w:rPr>
          <w:rFonts w:ascii="Bookman Old Style" w:hAnsi="Bookman Old Style" w:cs="Calibri"/>
          <w:szCs w:val="24"/>
        </w:rPr>
        <w:t xml:space="preserve"> si bien el consumo de drogas permea todos los grupos sociales, las políticas represivas y “</w:t>
      </w:r>
      <w:r w:rsidRPr="00485CC5">
        <w:rPr>
          <w:rFonts w:ascii="Bookman Old Style" w:hAnsi="Bookman Old Style" w:cs="Calibri"/>
          <w:i/>
          <w:iCs/>
          <w:szCs w:val="24"/>
        </w:rPr>
        <w:t>falta de acceso sociales y de salud (que incluyen la reducción y el tratamiento del daño, pero también la atención médica general) suelen afectar a los segmentos más pobres y marginados de la sociedad</w:t>
      </w:r>
      <w:r w:rsidRPr="00485CC5">
        <w:rPr>
          <w:rFonts w:ascii="Bookman Old Style" w:hAnsi="Bookman Old Style" w:cs="Calibri"/>
          <w:szCs w:val="24"/>
        </w:rPr>
        <w:t>”.</w:t>
      </w:r>
      <w:r w:rsidRPr="00485CC5">
        <w:rPr>
          <w:rStyle w:val="FootnoteReference"/>
          <w:rFonts w:ascii="Bookman Old Style" w:hAnsi="Bookman Old Style" w:cs="Calibri"/>
          <w:szCs w:val="24"/>
        </w:rPr>
        <w:footnoteReference w:id="94"/>
      </w:r>
      <w:r w:rsidRPr="00485CC5">
        <w:rPr>
          <w:rFonts w:ascii="Bookman Old Style" w:hAnsi="Bookman Old Style" w:cs="Calibri"/>
          <w:szCs w:val="24"/>
        </w:rPr>
        <w:t xml:space="preserve"> Criminalizar a las personas que consumen drogas solamente aumenta más su exclusión del empleo, salud y servicios sociales.</w:t>
      </w:r>
    </w:p>
    <w:p w14:paraId="447CF0BE" w14:textId="77777777" w:rsidR="00F36280" w:rsidRPr="00485CC5" w:rsidRDefault="00F36280" w:rsidP="00F36280">
      <w:pPr>
        <w:pStyle w:val="ListParagraph"/>
        <w:spacing w:after="0" w:line="240" w:lineRule="auto"/>
        <w:jc w:val="both"/>
        <w:rPr>
          <w:rFonts w:ascii="Bookman Old Style" w:hAnsi="Bookman Old Style" w:cs="Calibri"/>
          <w:szCs w:val="24"/>
        </w:rPr>
      </w:pPr>
    </w:p>
    <w:p w14:paraId="082C77A0" w14:textId="77777777" w:rsidR="00F36280" w:rsidRPr="00485CC5" w:rsidRDefault="00F36280" w:rsidP="00F36280">
      <w:pPr>
        <w:pStyle w:val="ListParagraph"/>
        <w:numPr>
          <w:ilvl w:val="0"/>
          <w:numId w:val="5"/>
        </w:numPr>
        <w:spacing w:after="0" w:line="240" w:lineRule="auto"/>
        <w:jc w:val="both"/>
        <w:rPr>
          <w:rFonts w:ascii="Bookman Old Style" w:hAnsi="Bookman Old Style" w:cs="Calibri"/>
          <w:szCs w:val="24"/>
        </w:rPr>
      </w:pPr>
      <w:r w:rsidRPr="00207603">
        <w:rPr>
          <w:rFonts w:ascii="Bookman Old Style" w:hAnsi="Bookman Old Style" w:cs="Calibri"/>
          <w:b/>
          <w:szCs w:val="24"/>
        </w:rPr>
        <w:t>ODS 5 (Igualdad de género):</w:t>
      </w:r>
      <w:r w:rsidRPr="00485CC5">
        <w:rPr>
          <w:rFonts w:ascii="Bookman Old Style" w:hAnsi="Bookman Old Style" w:cs="Calibri"/>
          <w:szCs w:val="24"/>
        </w:rPr>
        <w:t xml:space="preserve"> las personas atrapadas en el tráfico de drogas son especialmente vulnerables y las acciones represivas por parte del Estado pueden llevar a un aumento de la corrupción, hacinamiento en las cárceles y agravamiento de la pobreza.</w:t>
      </w:r>
      <w:r w:rsidRPr="00485CC5">
        <w:rPr>
          <w:rStyle w:val="FootnoteReference"/>
          <w:rFonts w:ascii="Bookman Old Style" w:hAnsi="Bookman Old Style" w:cs="Calibri"/>
          <w:szCs w:val="24"/>
        </w:rPr>
        <w:footnoteReference w:id="95"/>
      </w:r>
      <w:r w:rsidRPr="00485CC5">
        <w:rPr>
          <w:rFonts w:ascii="Bookman Old Style" w:hAnsi="Bookman Old Style" w:cs="Calibri"/>
          <w:szCs w:val="24"/>
        </w:rPr>
        <w:t xml:space="preserve"> Las mujeres son más propensas a participar en el tráfico de drogas ilegales, debido a que las desigualdades de género “</w:t>
      </w:r>
      <w:r w:rsidRPr="00485CC5">
        <w:rPr>
          <w:rFonts w:ascii="Bookman Old Style" w:hAnsi="Bookman Old Style" w:cs="Calibri"/>
          <w:i/>
          <w:iCs/>
          <w:szCs w:val="24"/>
        </w:rPr>
        <w:t>obstaculizan su acceso a la educación y al empleo</w:t>
      </w:r>
      <w:r w:rsidRPr="00485CC5">
        <w:rPr>
          <w:rFonts w:ascii="Bookman Old Style" w:hAnsi="Bookman Old Style" w:cs="Calibri"/>
          <w:szCs w:val="24"/>
        </w:rPr>
        <w:t>”.</w:t>
      </w:r>
      <w:r w:rsidRPr="00485CC5">
        <w:rPr>
          <w:rStyle w:val="FootnoteReference"/>
          <w:rFonts w:ascii="Bookman Old Style" w:hAnsi="Bookman Old Style" w:cs="Calibri"/>
          <w:szCs w:val="24"/>
        </w:rPr>
        <w:footnoteReference w:id="96"/>
      </w:r>
      <w:r w:rsidRPr="00485CC5">
        <w:rPr>
          <w:rFonts w:ascii="Bookman Old Style" w:hAnsi="Bookman Old Style" w:cs="Calibri"/>
          <w:szCs w:val="24"/>
        </w:rPr>
        <w:t xml:space="preserve"> En América Latina la gran mayoría de las mujeres que participan en actividades de drogas ilícitas son madres solteras en condiciones de vulnerabilidad y sin formación formal, con pocas oportunidades en el mercado laboral.</w:t>
      </w:r>
      <w:r w:rsidRPr="00485CC5">
        <w:rPr>
          <w:rStyle w:val="FootnoteReference"/>
          <w:rFonts w:ascii="Bookman Old Style" w:hAnsi="Bookman Old Style" w:cs="Calibri"/>
          <w:szCs w:val="24"/>
        </w:rPr>
        <w:footnoteReference w:id="97"/>
      </w:r>
      <w:r w:rsidRPr="00485CC5">
        <w:rPr>
          <w:rFonts w:ascii="Bookman Old Style" w:hAnsi="Bookman Old Style" w:cs="Calibri"/>
          <w:szCs w:val="24"/>
        </w:rPr>
        <w:t xml:space="preserve"> Más allá, su encarcelamiento exacerba su problemática, afectando directamente a sus hijos y creando ciclos de pobreza y delincuencia. Lo anterior está ligado con el ODS 8 (trabajo decente y crecimiento económico) y la problemática que encuentran las personas al dejar los centros de reclusión para encontrar trabajo.</w:t>
      </w:r>
      <w:r w:rsidRPr="00485CC5">
        <w:rPr>
          <w:rStyle w:val="FootnoteReference"/>
          <w:rFonts w:ascii="Bookman Old Style" w:hAnsi="Bookman Old Style" w:cs="Calibri"/>
          <w:szCs w:val="24"/>
        </w:rPr>
        <w:footnoteReference w:id="98"/>
      </w:r>
    </w:p>
    <w:p w14:paraId="2CF5FD5B" w14:textId="77777777" w:rsidR="00F36280" w:rsidRPr="00485CC5" w:rsidRDefault="00F36280" w:rsidP="00F36280">
      <w:pPr>
        <w:pStyle w:val="ListParagraph"/>
        <w:spacing w:after="0" w:line="240" w:lineRule="auto"/>
        <w:jc w:val="both"/>
        <w:rPr>
          <w:rFonts w:ascii="Bookman Old Style" w:hAnsi="Bookman Old Style" w:cs="Calibri"/>
          <w:szCs w:val="24"/>
        </w:rPr>
      </w:pPr>
    </w:p>
    <w:p w14:paraId="740569CB" w14:textId="77777777" w:rsidR="00F36280" w:rsidRPr="00485CC5" w:rsidRDefault="00F36280" w:rsidP="00F36280">
      <w:pPr>
        <w:pStyle w:val="ListParagraph"/>
        <w:numPr>
          <w:ilvl w:val="0"/>
          <w:numId w:val="5"/>
        </w:numPr>
        <w:spacing w:after="0" w:line="240" w:lineRule="auto"/>
        <w:jc w:val="both"/>
        <w:rPr>
          <w:rFonts w:ascii="Bookman Old Style" w:hAnsi="Bookman Old Style" w:cs="Calibri"/>
          <w:szCs w:val="24"/>
        </w:rPr>
      </w:pPr>
      <w:r w:rsidRPr="00207603">
        <w:rPr>
          <w:rFonts w:ascii="Bookman Old Style" w:hAnsi="Bookman Old Style" w:cs="Calibri"/>
          <w:b/>
          <w:szCs w:val="24"/>
        </w:rPr>
        <w:t>ODS 16 (paz, justicia e instituciones sólidas):</w:t>
      </w:r>
      <w:r w:rsidRPr="00485CC5">
        <w:rPr>
          <w:rFonts w:ascii="Bookman Old Style" w:hAnsi="Bookman Old Style" w:cs="Calibri"/>
          <w:szCs w:val="24"/>
        </w:rPr>
        <w:t xml:space="preserve"> Las políticas punitivas y la guerra dura contra las drogas como ha sido planteada hasta ahora no ha logrado reducir significativamente el mercado, de acuerdo a las Naciones Unidas y la literatura científica.</w:t>
      </w:r>
      <w:r w:rsidRPr="00485CC5">
        <w:rPr>
          <w:rStyle w:val="FootnoteReference"/>
          <w:rFonts w:ascii="Bookman Old Style" w:hAnsi="Bookman Old Style" w:cs="Calibri"/>
          <w:szCs w:val="24"/>
        </w:rPr>
        <w:footnoteReference w:id="99"/>
      </w:r>
      <w:r w:rsidRPr="00485CC5">
        <w:rPr>
          <w:rFonts w:ascii="Bookman Old Style" w:hAnsi="Bookman Old Style" w:cs="Calibri"/>
          <w:szCs w:val="24"/>
        </w:rPr>
        <w:t xml:space="preserve"> Los sistemas de justicia y penales se han visto inundados de casos relacionados con delincuentes menores, agotando recursos ya escasos para atender a la justicia y no enfocándose en los verdaderos actores violentos.</w:t>
      </w:r>
      <w:r w:rsidRPr="00485CC5">
        <w:rPr>
          <w:rStyle w:val="FootnoteReference"/>
          <w:rFonts w:ascii="Bookman Old Style" w:hAnsi="Bookman Old Style" w:cs="Calibri"/>
          <w:szCs w:val="24"/>
        </w:rPr>
        <w:footnoteReference w:id="100"/>
      </w:r>
      <w:r w:rsidRPr="00485CC5">
        <w:rPr>
          <w:rFonts w:ascii="Bookman Old Style" w:hAnsi="Bookman Old Style" w:cs="Calibri"/>
          <w:szCs w:val="24"/>
        </w:rPr>
        <w:t xml:space="preserve"> Adicionalmente, las políticas represivas han llevado a encarcelamientos masivos y problemas de hacinamiento.</w:t>
      </w:r>
      <w:r w:rsidRPr="00485CC5">
        <w:rPr>
          <w:rStyle w:val="FootnoteReference"/>
          <w:rFonts w:ascii="Bookman Old Style" w:hAnsi="Bookman Old Style" w:cs="Calibri"/>
          <w:szCs w:val="24"/>
        </w:rPr>
        <w:footnoteReference w:id="101"/>
      </w:r>
    </w:p>
    <w:p w14:paraId="0EB87381" w14:textId="77777777" w:rsidR="00F36280" w:rsidRPr="00485CC5" w:rsidRDefault="00F36280" w:rsidP="00F36280">
      <w:pPr>
        <w:pStyle w:val="ListParagraph"/>
        <w:spacing w:after="0" w:line="240" w:lineRule="auto"/>
        <w:rPr>
          <w:rFonts w:ascii="Bookman Old Style" w:hAnsi="Bookman Old Style" w:cs="Calibri"/>
          <w:szCs w:val="24"/>
        </w:rPr>
      </w:pPr>
    </w:p>
    <w:p w14:paraId="5533DEEC" w14:textId="77777777" w:rsidR="00F36280" w:rsidRPr="00485CC5" w:rsidRDefault="00F36280" w:rsidP="00F36280">
      <w:pPr>
        <w:pStyle w:val="ListParagraph"/>
        <w:spacing w:after="0" w:line="240" w:lineRule="auto"/>
        <w:jc w:val="both"/>
        <w:rPr>
          <w:rFonts w:ascii="Bookman Old Style" w:hAnsi="Bookman Old Style" w:cs="Calibri"/>
          <w:szCs w:val="24"/>
        </w:rPr>
      </w:pPr>
      <w:r w:rsidRPr="00485CC5">
        <w:rPr>
          <w:rFonts w:ascii="Bookman Old Style" w:hAnsi="Bookman Old Style" w:cs="Calibri"/>
          <w:szCs w:val="24"/>
        </w:rPr>
        <w:t xml:space="preserve">Las mujeres en América Latina, son la población carcelaria de mayor crecimiento, lo cual va en contravía del ODS 10 (reducción de las desigualdades) pues las leyes antidrogas son especialmente aplicadas a grupos minoritarios. Así mismo, el tamaño del mercado ilegal de las drogas </w:t>
      </w:r>
      <w:r w:rsidRPr="00485CC5">
        <w:rPr>
          <w:rFonts w:ascii="Bookman Old Style" w:hAnsi="Bookman Old Style" w:cs="Calibri"/>
          <w:szCs w:val="24"/>
        </w:rPr>
        <w:lastRenderedPageBreak/>
        <w:t>ha generado incentivos para que haya corrupción y las instituciones del Estado sean cooptadas.</w:t>
      </w:r>
      <w:r w:rsidRPr="00485CC5">
        <w:rPr>
          <w:rStyle w:val="FootnoteReference"/>
          <w:rFonts w:ascii="Bookman Old Style" w:hAnsi="Bookman Old Style" w:cs="Calibri"/>
          <w:szCs w:val="24"/>
        </w:rPr>
        <w:footnoteReference w:id="102"/>
      </w:r>
    </w:p>
    <w:p w14:paraId="41FBF361" w14:textId="77777777" w:rsidR="00F36280" w:rsidRPr="00485CC5" w:rsidRDefault="00F36280" w:rsidP="00F36280">
      <w:pPr>
        <w:jc w:val="both"/>
        <w:rPr>
          <w:rFonts w:ascii="Bookman Old Style" w:hAnsi="Bookman Old Style" w:cs="Calibri"/>
          <w:szCs w:val="24"/>
        </w:rPr>
      </w:pPr>
    </w:p>
    <w:p w14:paraId="79B49C70"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Por otra parte, también la Comisión replantea la manera de medir indicadores de control de drogas a partir indicadores de los ODS. Algunas de las propuestas son</w:t>
      </w:r>
      <w:r w:rsidRPr="00485CC5">
        <w:rPr>
          <w:rStyle w:val="FootnoteReference"/>
          <w:rFonts w:ascii="Bookman Old Style" w:hAnsi="Bookman Old Style" w:cs="Calibri"/>
          <w:szCs w:val="24"/>
        </w:rPr>
        <w:footnoteReference w:id="103"/>
      </w:r>
      <w:r w:rsidRPr="00485CC5">
        <w:rPr>
          <w:rFonts w:ascii="Bookman Old Style" w:hAnsi="Bookman Old Style" w:cs="Calibri"/>
          <w:szCs w:val="24"/>
        </w:rPr>
        <w:t>:</w:t>
      </w:r>
    </w:p>
    <w:p w14:paraId="20E26A7A" w14:textId="77777777" w:rsidR="00F36280" w:rsidRPr="00485CC5" w:rsidRDefault="00F36280" w:rsidP="00F36280">
      <w:pPr>
        <w:jc w:val="both"/>
        <w:rPr>
          <w:rFonts w:ascii="Bookman Old Style" w:hAnsi="Bookman Old Style" w:cs="Calibri"/>
          <w:szCs w:val="24"/>
        </w:rPr>
      </w:pPr>
    </w:p>
    <w:p w14:paraId="291B927A" w14:textId="77777777" w:rsidR="009718AC" w:rsidRDefault="00F36280" w:rsidP="00F36280">
      <w:pPr>
        <w:pStyle w:val="ListParagraph"/>
        <w:numPr>
          <w:ilvl w:val="0"/>
          <w:numId w:val="6"/>
        </w:numPr>
        <w:spacing w:after="0" w:line="240" w:lineRule="auto"/>
        <w:jc w:val="both"/>
        <w:rPr>
          <w:rFonts w:ascii="Bookman Old Style" w:hAnsi="Bookman Old Style" w:cs="Calibri"/>
          <w:szCs w:val="24"/>
        </w:rPr>
      </w:pPr>
      <w:r w:rsidRPr="00207603">
        <w:rPr>
          <w:rFonts w:ascii="Bookman Old Style" w:hAnsi="Bookman Old Style" w:cs="Calibri"/>
          <w:b/>
          <w:szCs w:val="24"/>
        </w:rPr>
        <w:t>ODS 1:</w:t>
      </w:r>
      <w:r w:rsidRPr="00485CC5">
        <w:rPr>
          <w:rFonts w:ascii="Bookman Old Style" w:hAnsi="Bookman Old Style" w:cs="Calibri"/>
          <w:szCs w:val="24"/>
        </w:rPr>
        <w:t xml:space="preserve"> Hectáreas de cultivos erradicados vs. Pobreza en las familias donde los cultivos ilícitos son predominante fuente de ingreso.</w:t>
      </w:r>
    </w:p>
    <w:p w14:paraId="21CF2917" w14:textId="77777777" w:rsidR="00F36280" w:rsidRPr="00485CC5" w:rsidRDefault="00F36280" w:rsidP="00621929">
      <w:pPr>
        <w:pStyle w:val="ListParagraph"/>
        <w:spacing w:after="0" w:line="240" w:lineRule="auto"/>
        <w:jc w:val="both"/>
        <w:rPr>
          <w:rFonts w:ascii="Bookman Old Style" w:hAnsi="Bookman Old Style" w:cs="Calibri"/>
          <w:szCs w:val="24"/>
        </w:rPr>
      </w:pPr>
    </w:p>
    <w:p w14:paraId="236817DF" w14:textId="77777777" w:rsidR="009718AC" w:rsidRDefault="00F36280">
      <w:pPr>
        <w:pStyle w:val="ListParagraph"/>
        <w:numPr>
          <w:ilvl w:val="0"/>
          <w:numId w:val="6"/>
        </w:numPr>
        <w:spacing w:after="0" w:line="240" w:lineRule="auto"/>
        <w:jc w:val="both"/>
        <w:rPr>
          <w:rFonts w:ascii="Bookman Old Style" w:hAnsi="Bookman Old Style" w:cs="Calibri"/>
          <w:szCs w:val="24"/>
        </w:rPr>
      </w:pPr>
      <w:r w:rsidRPr="00207603">
        <w:rPr>
          <w:rFonts w:ascii="Bookman Old Style" w:hAnsi="Bookman Old Style" w:cs="Calibri"/>
          <w:b/>
          <w:szCs w:val="24"/>
        </w:rPr>
        <w:t>ODS 5</w:t>
      </w:r>
      <w:r w:rsidRPr="00485CC5">
        <w:rPr>
          <w:rFonts w:ascii="Bookman Old Style" w:hAnsi="Bookman Old Style" w:cs="Calibri"/>
          <w:szCs w:val="24"/>
        </w:rPr>
        <w:t>: número de Micro traficantes encarcelados vs. número de mujeres encarceladas por primera vez por delitos menores relacionados con drogas.</w:t>
      </w:r>
    </w:p>
    <w:p w14:paraId="6B68888C" w14:textId="77777777" w:rsidR="00145FCB" w:rsidRPr="00621929" w:rsidRDefault="00145FCB" w:rsidP="00621929">
      <w:pPr>
        <w:pStyle w:val="ListParagraph"/>
        <w:rPr>
          <w:rFonts w:ascii="Bookman Old Style" w:hAnsi="Bookman Old Style" w:cs="Calibri"/>
          <w:szCs w:val="24"/>
        </w:rPr>
      </w:pPr>
    </w:p>
    <w:p w14:paraId="244B4817" w14:textId="77777777" w:rsidR="00145FCB" w:rsidRDefault="00145FCB">
      <w:pPr>
        <w:pStyle w:val="ListParagraph"/>
        <w:numPr>
          <w:ilvl w:val="0"/>
          <w:numId w:val="6"/>
        </w:numPr>
        <w:spacing w:after="0" w:line="240" w:lineRule="auto"/>
        <w:jc w:val="both"/>
        <w:rPr>
          <w:rFonts w:ascii="Bookman Old Style" w:hAnsi="Bookman Old Style" w:cs="Calibri"/>
          <w:szCs w:val="24"/>
        </w:rPr>
      </w:pPr>
      <w:r w:rsidRPr="00207603">
        <w:rPr>
          <w:rFonts w:ascii="Bookman Old Style" w:hAnsi="Bookman Old Style" w:cs="Calibri"/>
          <w:b/>
          <w:szCs w:val="24"/>
        </w:rPr>
        <w:t>ODS 16:</w:t>
      </w:r>
      <w:r w:rsidRPr="0049598F">
        <w:rPr>
          <w:rFonts w:ascii="Bookman Old Style" w:hAnsi="Bookman Old Style" w:cs="Calibri"/>
          <w:szCs w:val="24"/>
        </w:rPr>
        <w:t xml:space="preserve"> número de personas procesadas en el sistema penal por delitos relacionados con drogas vs. número de personas acusadas de delitos no violentos relacionados con drogas que se han visto beneficiados de alternativas de encarcelamiento.</w:t>
      </w:r>
    </w:p>
    <w:p w14:paraId="77195D1D" w14:textId="77777777" w:rsidR="00F36280" w:rsidRPr="00485CC5" w:rsidRDefault="00F36280" w:rsidP="00621929"/>
    <w:p w14:paraId="23161BAC" w14:textId="70B47AB0"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485CC5">
        <w:rPr>
          <w:rFonts w:ascii="Bookman Old Style" w:hAnsi="Bookman Old Style" w:cs="Calibri"/>
          <w:i/>
          <w:iCs/>
          <w:szCs w:val="24"/>
        </w:rPr>
        <w:t>daños graves en los sectores de la sociedad, la educación y la economía</w:t>
      </w:r>
      <w:r w:rsidRPr="00485CC5">
        <w:rPr>
          <w:rFonts w:ascii="Bookman Old Style" w:hAnsi="Bookman Old Style" w:cs="Calibri"/>
          <w:szCs w:val="24"/>
        </w:rPr>
        <w:t>”.</w:t>
      </w:r>
      <w:r w:rsidRPr="00485CC5">
        <w:rPr>
          <w:rStyle w:val="FootnoteReference"/>
          <w:rFonts w:ascii="Bookman Old Style" w:hAnsi="Bookman Old Style" w:cs="Calibri"/>
          <w:szCs w:val="24"/>
        </w:rPr>
        <w:footnoteReference w:id="104"/>
      </w:r>
      <w:r w:rsidRPr="00485CC5">
        <w:rPr>
          <w:rFonts w:ascii="Bookman Old Style" w:hAnsi="Bookman Old Style" w:cs="Calibri"/>
          <w:szCs w:val="24"/>
        </w:rPr>
        <w:t xml:space="preserve"> Además, señala que “</w:t>
      </w:r>
      <w:r w:rsidRPr="00485CC5">
        <w:rPr>
          <w:rFonts w:ascii="Bookman Old Style" w:hAnsi="Bookman Old Style" w:cs="Calibri"/>
          <w:i/>
          <w:iCs/>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485CC5">
        <w:rPr>
          <w:rFonts w:ascii="Bookman Old Style" w:hAnsi="Bookman Old Style" w:cs="Calibri"/>
          <w:szCs w:val="24"/>
        </w:rPr>
        <w:t>”.</w:t>
      </w:r>
      <w:r w:rsidRPr="00485CC5">
        <w:rPr>
          <w:rStyle w:val="FootnoteReference"/>
          <w:rFonts w:ascii="Bookman Old Style" w:hAnsi="Bookman Old Style" w:cs="Calibri"/>
          <w:szCs w:val="24"/>
        </w:rPr>
        <w:footnoteReference w:id="105"/>
      </w:r>
    </w:p>
    <w:p w14:paraId="22304BF6" w14:textId="77777777" w:rsidR="00F36280" w:rsidRPr="00485CC5" w:rsidRDefault="00F36280" w:rsidP="00F36280">
      <w:pPr>
        <w:pStyle w:val="NormalWeb"/>
        <w:spacing w:before="0" w:beforeAutospacing="0" w:after="0" w:afterAutospacing="0"/>
        <w:ind w:right="115"/>
        <w:jc w:val="both"/>
        <w:rPr>
          <w:rFonts w:ascii="Bookman Old Style" w:hAnsi="Bookman Old Style" w:cs="Calibri"/>
          <w:color w:val="000000"/>
          <w:sz w:val="22"/>
        </w:rPr>
      </w:pPr>
    </w:p>
    <w:p w14:paraId="31DED1DE" w14:textId="2E63EF41" w:rsidR="00F36280" w:rsidRPr="00B1212C" w:rsidRDefault="00F36280" w:rsidP="00207603">
      <w:pPr>
        <w:pStyle w:val="Heading2"/>
        <w:numPr>
          <w:ilvl w:val="0"/>
          <w:numId w:val="35"/>
        </w:numPr>
        <w:ind w:left="0" w:firstLine="0"/>
        <w:jc w:val="both"/>
        <w:rPr>
          <w:rFonts w:ascii="Bookman Old Style" w:eastAsia="Calibri" w:hAnsi="Bookman Old Style" w:cs="Calibri"/>
          <w:sz w:val="22"/>
          <w:szCs w:val="24"/>
        </w:rPr>
      </w:pPr>
      <w:r w:rsidRPr="00B1212C">
        <w:rPr>
          <w:rFonts w:ascii="Bookman Old Style" w:eastAsia="Calibri" w:hAnsi="Bookman Old Style" w:cs="Calibri"/>
          <w:sz w:val="22"/>
          <w:szCs w:val="24"/>
        </w:rPr>
        <w:t>MODIFICACIONES A LA CONSTITUCIÓN</w:t>
      </w:r>
    </w:p>
    <w:p w14:paraId="4C25FFA6" w14:textId="77777777" w:rsidR="00F36280" w:rsidRPr="00B1212C" w:rsidRDefault="00F36280" w:rsidP="00F36280">
      <w:pPr>
        <w:rPr>
          <w:rFonts w:ascii="Bookman Old Style" w:hAnsi="Bookman Old Style" w:cs="Calibri"/>
          <w:szCs w:val="24"/>
        </w:rPr>
      </w:pPr>
    </w:p>
    <w:tbl>
      <w:tblPr>
        <w:tblStyle w:val="TableGrid"/>
        <w:tblW w:w="9072" w:type="dxa"/>
        <w:tblInd w:w="-5" w:type="dxa"/>
        <w:tblLook w:val="04A0" w:firstRow="1" w:lastRow="0" w:firstColumn="1" w:lastColumn="0" w:noHBand="0" w:noVBand="1"/>
      </w:tblPr>
      <w:tblGrid>
        <w:gridCol w:w="4536"/>
        <w:gridCol w:w="4536"/>
      </w:tblGrid>
      <w:tr w:rsidR="00F36280" w:rsidRPr="00B1212C" w14:paraId="56D29D01" w14:textId="77777777" w:rsidTr="005B5FC0">
        <w:tc>
          <w:tcPr>
            <w:tcW w:w="4536" w:type="dxa"/>
          </w:tcPr>
          <w:p w14:paraId="3531737B" w14:textId="77777777" w:rsidR="00F36280" w:rsidRPr="00B1212C" w:rsidRDefault="00F36280" w:rsidP="00447002">
            <w:pPr>
              <w:jc w:val="center"/>
              <w:rPr>
                <w:rFonts w:ascii="Bookman Old Style" w:hAnsi="Bookman Old Style" w:cs="Calibri"/>
                <w:b/>
                <w:szCs w:val="24"/>
              </w:rPr>
            </w:pPr>
            <w:bookmarkStart w:id="6" w:name="Nivel078"/>
            <w:r w:rsidRPr="00B1212C">
              <w:rPr>
                <w:rFonts w:ascii="Bookman Old Style" w:hAnsi="Bookman Old Style" w:cs="Calibri"/>
                <w:b/>
                <w:szCs w:val="24"/>
              </w:rPr>
              <w:t>TEXTO LEGAL VIGENTE</w:t>
            </w:r>
          </w:p>
          <w:p w14:paraId="68CD6083" w14:textId="0D2111D5" w:rsidR="005C327C" w:rsidRPr="00B1212C" w:rsidRDefault="005C327C" w:rsidP="005C327C">
            <w:pPr>
              <w:ind w:right="616"/>
              <w:jc w:val="center"/>
              <w:rPr>
                <w:rFonts w:ascii="Bookman Old Style" w:hAnsi="Bookman Old Style" w:cs="Calibri"/>
                <w:b/>
                <w:szCs w:val="24"/>
              </w:rPr>
            </w:pPr>
          </w:p>
        </w:tc>
        <w:tc>
          <w:tcPr>
            <w:tcW w:w="4536" w:type="dxa"/>
          </w:tcPr>
          <w:p w14:paraId="29FC804C" w14:textId="2D9A993C" w:rsidR="00F36280" w:rsidRPr="00B1212C" w:rsidRDefault="00F36280" w:rsidP="00447002">
            <w:pPr>
              <w:jc w:val="center"/>
              <w:rPr>
                <w:rFonts w:ascii="Bookman Old Style" w:hAnsi="Bookman Old Style" w:cs="Calibri"/>
                <w:b/>
                <w:szCs w:val="24"/>
              </w:rPr>
            </w:pPr>
            <w:r w:rsidRPr="00B1212C">
              <w:rPr>
                <w:rFonts w:ascii="Bookman Old Style" w:hAnsi="Bookman Old Style" w:cs="Calibri"/>
                <w:b/>
                <w:szCs w:val="24"/>
              </w:rPr>
              <w:t>TEXTO PROPUESTO</w:t>
            </w:r>
            <w:r w:rsidR="005C327C" w:rsidRPr="00B1212C">
              <w:rPr>
                <w:rFonts w:ascii="Bookman Old Style" w:hAnsi="Bookman Old Style" w:cs="Calibri"/>
                <w:b/>
                <w:szCs w:val="24"/>
              </w:rPr>
              <w:t xml:space="preserve"> </w:t>
            </w:r>
            <w:r w:rsidR="005C327C" w:rsidRPr="001B7ADC">
              <w:rPr>
                <w:rFonts w:ascii="Bookman Old Style" w:hAnsi="Bookman Old Style" w:cs="Calibri"/>
                <w:b/>
                <w:szCs w:val="24"/>
              </w:rPr>
              <w:t>PA</w:t>
            </w:r>
            <w:r w:rsidR="001B7ADC" w:rsidRPr="001B7ADC">
              <w:rPr>
                <w:rFonts w:ascii="Bookman Old Style" w:hAnsi="Bookman Old Style" w:cs="Calibri"/>
                <w:b/>
                <w:szCs w:val="24"/>
              </w:rPr>
              <w:t>RA SEGUNDO</w:t>
            </w:r>
            <w:r w:rsidR="00B1212C" w:rsidRPr="001B7ADC">
              <w:rPr>
                <w:rFonts w:ascii="Bookman Old Style" w:hAnsi="Bookman Old Style" w:cs="Calibri"/>
                <w:b/>
                <w:szCs w:val="24"/>
              </w:rPr>
              <w:t xml:space="preserve"> DEBATE</w:t>
            </w:r>
            <w:r w:rsidR="005C327C" w:rsidRPr="001B7ADC">
              <w:rPr>
                <w:rFonts w:ascii="Bookman Old Style" w:hAnsi="Bookman Old Style" w:cs="Calibri"/>
                <w:b/>
                <w:szCs w:val="24"/>
              </w:rPr>
              <w:t xml:space="preserve"> EN PRIMERA VUELTA</w:t>
            </w:r>
          </w:p>
        </w:tc>
      </w:tr>
      <w:tr w:rsidR="00F36280" w:rsidRPr="00485CC5" w14:paraId="47F56883" w14:textId="77777777" w:rsidTr="005B5FC0">
        <w:tc>
          <w:tcPr>
            <w:tcW w:w="4536" w:type="dxa"/>
          </w:tcPr>
          <w:p w14:paraId="68DE0E72" w14:textId="77777777" w:rsidR="00AD15E4" w:rsidRDefault="00AD15E4" w:rsidP="005B5FC0">
            <w:pPr>
              <w:ind w:left="29"/>
              <w:jc w:val="center"/>
              <w:rPr>
                <w:rFonts w:ascii="Bookman Old Style" w:hAnsi="Bookman Old Style" w:cs="Calibri"/>
                <w:b/>
                <w:szCs w:val="24"/>
                <w:lang w:val="es-ES_tradnl"/>
              </w:rPr>
            </w:pPr>
          </w:p>
          <w:p w14:paraId="29DD1883" w14:textId="77777777" w:rsidR="00F36280" w:rsidRPr="00485CC5" w:rsidRDefault="00F36280" w:rsidP="005B5FC0">
            <w:pPr>
              <w:ind w:left="29"/>
              <w:jc w:val="center"/>
              <w:rPr>
                <w:rFonts w:ascii="Bookman Old Style" w:hAnsi="Bookman Old Style" w:cs="Calibri"/>
                <w:b/>
                <w:szCs w:val="24"/>
                <w:lang w:val="es-ES_tradnl"/>
              </w:rPr>
            </w:pPr>
            <w:r w:rsidRPr="00485CC5">
              <w:rPr>
                <w:rFonts w:ascii="Bookman Old Style" w:hAnsi="Bookman Old Style" w:cs="Calibri"/>
                <w:b/>
                <w:szCs w:val="24"/>
                <w:lang w:val="es-ES_tradnl"/>
              </w:rPr>
              <w:t>Constitución Política de Colombia</w:t>
            </w:r>
          </w:p>
          <w:p w14:paraId="22021F0D" w14:textId="77777777" w:rsidR="00F36280" w:rsidRPr="00485CC5" w:rsidRDefault="00F36280" w:rsidP="005B5FC0">
            <w:pPr>
              <w:ind w:left="29"/>
              <w:jc w:val="both"/>
              <w:rPr>
                <w:rFonts w:ascii="Bookman Old Style" w:hAnsi="Bookman Old Style" w:cs="Calibri"/>
                <w:b/>
                <w:szCs w:val="24"/>
                <w:lang w:val="es-ES_tradnl"/>
              </w:rPr>
            </w:pPr>
          </w:p>
          <w:p w14:paraId="466DF7CF"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b/>
                <w:szCs w:val="24"/>
                <w:lang w:val="es-ES_tradnl"/>
              </w:rPr>
              <w:t>ARTICULO 49.</w:t>
            </w:r>
            <w:r w:rsidRPr="00485CC5">
              <w:rPr>
                <w:rFonts w:ascii="Bookman Old Style" w:hAnsi="Bookman Old Style" w:cs="Calibri"/>
                <w:szCs w:val="24"/>
                <w:lang w:val="es-ES_tradnl"/>
              </w:rPr>
              <w:t xml:space="preserve"> La atención de la salud y el saneamiento ambiental son </w:t>
            </w:r>
            <w:r w:rsidRPr="00485CC5">
              <w:rPr>
                <w:rFonts w:ascii="Bookman Old Style" w:hAnsi="Bookman Old Style" w:cs="Calibri"/>
                <w:szCs w:val="24"/>
                <w:lang w:val="es-ES_tradnl"/>
              </w:rPr>
              <w:lastRenderedPageBreak/>
              <w:t>servicios públicos a cargo del Estado. Se garantiza a todas las personas el acceso a los servicios de promoción, protección y recuperación de la salud.</w:t>
            </w:r>
          </w:p>
          <w:p w14:paraId="03C8A1FC" w14:textId="77777777" w:rsidR="00F36280" w:rsidRPr="00485CC5" w:rsidRDefault="00F36280" w:rsidP="005B5FC0">
            <w:pPr>
              <w:ind w:left="29"/>
              <w:jc w:val="both"/>
              <w:rPr>
                <w:rFonts w:ascii="Bookman Old Style" w:hAnsi="Bookman Old Style" w:cs="Calibri"/>
                <w:szCs w:val="24"/>
                <w:lang w:val="es-ES_tradnl"/>
              </w:rPr>
            </w:pPr>
          </w:p>
          <w:p w14:paraId="42FAF599"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30ACB923" w14:textId="77777777" w:rsidR="00F36280" w:rsidRPr="00485CC5" w:rsidRDefault="00F36280" w:rsidP="005B5FC0">
            <w:pPr>
              <w:ind w:left="29"/>
              <w:jc w:val="both"/>
              <w:rPr>
                <w:rFonts w:ascii="Bookman Old Style" w:hAnsi="Bookman Old Style" w:cs="Calibri"/>
                <w:szCs w:val="24"/>
                <w:lang w:val="es-ES_tradnl"/>
              </w:rPr>
            </w:pPr>
          </w:p>
          <w:p w14:paraId="6D474349"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14:paraId="66559C6B" w14:textId="77777777" w:rsidR="00207603" w:rsidRPr="00485CC5" w:rsidRDefault="00207603" w:rsidP="001B7ADC">
            <w:pPr>
              <w:jc w:val="both"/>
              <w:rPr>
                <w:rFonts w:ascii="Bookman Old Style" w:hAnsi="Bookman Old Style" w:cs="Calibri"/>
                <w:szCs w:val="24"/>
                <w:lang w:val="es-ES_tradnl"/>
              </w:rPr>
            </w:pPr>
          </w:p>
          <w:p w14:paraId="7D5EA376"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14:paraId="32B1E9F8" w14:textId="77777777" w:rsidR="00F36280" w:rsidRPr="00485CC5" w:rsidRDefault="00F36280" w:rsidP="005B5FC0">
            <w:pPr>
              <w:ind w:left="29"/>
              <w:jc w:val="both"/>
              <w:rPr>
                <w:rFonts w:ascii="Bookman Old Style" w:hAnsi="Bookman Old Style" w:cs="Calibri"/>
                <w:szCs w:val="24"/>
                <w:lang w:val="es-ES_tradnl"/>
              </w:rPr>
            </w:pPr>
          </w:p>
          <w:p w14:paraId="6E698B8F"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621BDD31" w14:textId="77777777" w:rsidR="00F36280" w:rsidRPr="00485CC5" w:rsidRDefault="00F36280" w:rsidP="005B5FC0">
            <w:pPr>
              <w:ind w:left="29"/>
              <w:jc w:val="both"/>
              <w:rPr>
                <w:rFonts w:ascii="Bookman Old Style" w:hAnsi="Bookman Old Style" w:cs="Calibri"/>
                <w:szCs w:val="24"/>
                <w:lang w:val="es-ES_tradnl"/>
              </w:rPr>
            </w:pPr>
          </w:p>
          <w:p w14:paraId="62017E89"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6E603086" w14:textId="77777777" w:rsidR="00F36280" w:rsidRPr="00485CC5" w:rsidRDefault="00F36280" w:rsidP="005B5FC0">
            <w:pPr>
              <w:ind w:left="29"/>
              <w:jc w:val="both"/>
              <w:rPr>
                <w:rFonts w:ascii="Bookman Old Style" w:hAnsi="Bookman Old Style" w:cs="Calibri"/>
                <w:szCs w:val="24"/>
                <w:lang w:val="es-ES_tradnl"/>
              </w:rPr>
            </w:pPr>
          </w:p>
          <w:p w14:paraId="7B326DF3" w14:textId="77777777" w:rsidR="00F36280" w:rsidRPr="00485CC5" w:rsidRDefault="00F36280" w:rsidP="005B5FC0">
            <w:pPr>
              <w:ind w:left="29"/>
              <w:jc w:val="both"/>
              <w:rPr>
                <w:rFonts w:ascii="Bookman Old Style" w:hAnsi="Bookman Old Style" w:cs="Calibri"/>
                <w:szCs w:val="24"/>
                <w:lang w:val="es-ES_tradnl"/>
              </w:rPr>
            </w:pPr>
          </w:p>
          <w:p w14:paraId="58B10B6C" w14:textId="77777777" w:rsidR="00F36280" w:rsidRPr="00485CC5" w:rsidRDefault="00F36280" w:rsidP="005B5FC0">
            <w:pPr>
              <w:ind w:left="29"/>
              <w:jc w:val="both"/>
              <w:rPr>
                <w:rFonts w:ascii="Bookman Old Style" w:hAnsi="Bookman Old Style" w:cs="Calibri"/>
                <w:szCs w:val="24"/>
                <w:lang w:val="es-ES_tradnl"/>
              </w:rPr>
            </w:pPr>
          </w:p>
          <w:p w14:paraId="1B1009B9" w14:textId="77777777" w:rsidR="00F36280" w:rsidRPr="00485CC5" w:rsidRDefault="00F36280" w:rsidP="005B5FC0">
            <w:pPr>
              <w:ind w:left="29"/>
              <w:jc w:val="both"/>
              <w:rPr>
                <w:rFonts w:ascii="Bookman Old Style" w:hAnsi="Bookman Old Style" w:cs="Calibri"/>
                <w:szCs w:val="24"/>
                <w:lang w:val="es-ES_tradnl"/>
              </w:rPr>
            </w:pPr>
          </w:p>
          <w:p w14:paraId="5151CFBA" w14:textId="77777777" w:rsidR="00F36280" w:rsidRPr="00485CC5" w:rsidRDefault="00F36280" w:rsidP="005B5FC0">
            <w:pPr>
              <w:ind w:left="29"/>
              <w:jc w:val="both"/>
              <w:rPr>
                <w:rFonts w:ascii="Bookman Old Style" w:hAnsi="Bookman Old Style" w:cs="Calibri"/>
                <w:szCs w:val="24"/>
                <w:lang w:val="es-ES_tradnl"/>
              </w:rPr>
            </w:pPr>
          </w:p>
          <w:p w14:paraId="4A9B0463" w14:textId="77777777" w:rsidR="00F36280" w:rsidRPr="00485CC5" w:rsidRDefault="00F36280" w:rsidP="005B5FC0">
            <w:pPr>
              <w:ind w:left="29"/>
              <w:jc w:val="both"/>
              <w:rPr>
                <w:rFonts w:ascii="Bookman Old Style" w:hAnsi="Bookman Old Style" w:cs="Calibri"/>
                <w:szCs w:val="24"/>
                <w:lang w:val="es-ES_tradnl"/>
              </w:rPr>
            </w:pPr>
          </w:p>
          <w:p w14:paraId="3804206F" w14:textId="77777777" w:rsidR="00F36280" w:rsidRPr="00485CC5" w:rsidRDefault="00F36280" w:rsidP="005B5FC0">
            <w:pPr>
              <w:ind w:left="29"/>
              <w:jc w:val="both"/>
              <w:rPr>
                <w:rFonts w:ascii="Bookman Old Style" w:hAnsi="Bookman Old Style" w:cs="Calibri"/>
                <w:szCs w:val="24"/>
                <w:lang w:val="es-ES_tradnl"/>
              </w:rPr>
            </w:pPr>
          </w:p>
          <w:p w14:paraId="115D0D55" w14:textId="77777777" w:rsidR="00F36280" w:rsidRPr="00485CC5" w:rsidRDefault="00F36280" w:rsidP="005B5FC0">
            <w:pPr>
              <w:ind w:left="29"/>
              <w:jc w:val="both"/>
              <w:rPr>
                <w:rFonts w:ascii="Bookman Old Style" w:hAnsi="Bookman Old Style" w:cs="Calibri"/>
                <w:szCs w:val="24"/>
                <w:lang w:val="es-ES_tradnl"/>
              </w:rPr>
            </w:pPr>
          </w:p>
          <w:p w14:paraId="39D52289" w14:textId="77777777" w:rsidR="00F36280" w:rsidRPr="00485CC5" w:rsidRDefault="00F36280" w:rsidP="005B5FC0">
            <w:pPr>
              <w:ind w:left="29"/>
              <w:jc w:val="both"/>
              <w:rPr>
                <w:rFonts w:ascii="Bookman Old Style" w:hAnsi="Bookman Old Style" w:cs="Calibri"/>
                <w:szCs w:val="24"/>
                <w:lang w:val="es-ES_tradnl"/>
              </w:rPr>
            </w:pPr>
          </w:p>
          <w:p w14:paraId="409AC580" w14:textId="77777777" w:rsidR="00F36280" w:rsidRPr="00485CC5" w:rsidRDefault="00F36280" w:rsidP="005B5FC0">
            <w:pPr>
              <w:ind w:left="29"/>
              <w:jc w:val="both"/>
              <w:rPr>
                <w:rFonts w:ascii="Bookman Old Style" w:hAnsi="Bookman Old Style" w:cs="Calibri"/>
                <w:szCs w:val="24"/>
                <w:lang w:val="es-ES_tradnl"/>
              </w:rPr>
            </w:pPr>
          </w:p>
          <w:p w14:paraId="0C979047" w14:textId="77777777" w:rsidR="00F36280" w:rsidRPr="00485CC5" w:rsidRDefault="00F36280" w:rsidP="005B5FC0">
            <w:pPr>
              <w:ind w:left="29"/>
              <w:jc w:val="both"/>
              <w:rPr>
                <w:rFonts w:ascii="Bookman Old Style" w:hAnsi="Bookman Old Style" w:cs="Calibri"/>
                <w:szCs w:val="24"/>
                <w:lang w:val="es-ES_tradnl"/>
              </w:rPr>
            </w:pPr>
          </w:p>
          <w:p w14:paraId="2D869FED" w14:textId="77777777" w:rsidR="00F36280" w:rsidRPr="00485CC5" w:rsidRDefault="00F36280" w:rsidP="005B5FC0">
            <w:pPr>
              <w:ind w:left="29"/>
              <w:jc w:val="both"/>
              <w:rPr>
                <w:rFonts w:ascii="Bookman Old Style" w:hAnsi="Bookman Old Style" w:cs="Calibri"/>
                <w:szCs w:val="24"/>
                <w:lang w:val="es-ES_tradnl"/>
              </w:rPr>
            </w:pPr>
          </w:p>
          <w:p w14:paraId="20B2206A" w14:textId="77777777" w:rsidR="00F36280" w:rsidRPr="00485CC5" w:rsidRDefault="00F36280" w:rsidP="005B5FC0">
            <w:pPr>
              <w:ind w:left="29"/>
              <w:jc w:val="both"/>
              <w:rPr>
                <w:rFonts w:ascii="Bookman Old Style" w:hAnsi="Bookman Old Style" w:cs="Calibri"/>
                <w:szCs w:val="24"/>
                <w:lang w:val="es-ES_tradnl"/>
              </w:rPr>
            </w:pPr>
          </w:p>
          <w:p w14:paraId="6C9249C3" w14:textId="77777777" w:rsidR="000046EF" w:rsidRDefault="000046EF" w:rsidP="005B5FC0">
            <w:pPr>
              <w:ind w:left="29"/>
              <w:jc w:val="both"/>
              <w:rPr>
                <w:rFonts w:ascii="Bookman Old Style" w:hAnsi="Bookman Old Style" w:cs="Calibri"/>
                <w:szCs w:val="24"/>
                <w:lang w:val="es-ES_tradnl"/>
              </w:rPr>
            </w:pPr>
          </w:p>
          <w:p w14:paraId="721D2F04" w14:textId="77777777" w:rsidR="00781E51" w:rsidRDefault="00781E51" w:rsidP="00706B77">
            <w:pPr>
              <w:jc w:val="both"/>
              <w:rPr>
                <w:rFonts w:ascii="Bookman Old Style" w:hAnsi="Bookman Old Style" w:cs="Calibri"/>
                <w:szCs w:val="24"/>
                <w:lang w:val="es-ES_tradnl"/>
              </w:rPr>
            </w:pPr>
          </w:p>
          <w:p w14:paraId="64A19ECB" w14:textId="77777777" w:rsidR="00F36280" w:rsidRPr="00706B77" w:rsidRDefault="00F36280" w:rsidP="00706B77">
            <w:pPr>
              <w:jc w:val="both"/>
              <w:rPr>
                <w:rFonts w:ascii="Bookman Old Style" w:hAnsi="Bookman Old Style" w:cs="Calibri"/>
                <w:szCs w:val="24"/>
                <w:lang w:val="es-ES_tradnl"/>
              </w:rPr>
            </w:pPr>
            <w:r w:rsidRPr="00485CC5">
              <w:rPr>
                <w:rFonts w:ascii="Bookman Old Style" w:hAnsi="Bookman Old Style" w:cs="Calibri"/>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tc>
        <w:tc>
          <w:tcPr>
            <w:tcW w:w="4536" w:type="dxa"/>
          </w:tcPr>
          <w:p w14:paraId="2755B2C8" w14:textId="77777777" w:rsidR="00AD15E4" w:rsidRDefault="00AD15E4" w:rsidP="005B5FC0">
            <w:pPr>
              <w:ind w:left="29"/>
              <w:jc w:val="center"/>
              <w:rPr>
                <w:rFonts w:ascii="Bookman Old Style" w:hAnsi="Bookman Old Style" w:cs="Calibri"/>
                <w:b/>
                <w:szCs w:val="24"/>
              </w:rPr>
            </w:pPr>
          </w:p>
          <w:p w14:paraId="1DB85EC0" w14:textId="77777777" w:rsidR="00F36280" w:rsidRPr="00485CC5" w:rsidRDefault="00F36280" w:rsidP="005B5FC0">
            <w:pPr>
              <w:ind w:left="29"/>
              <w:jc w:val="center"/>
              <w:rPr>
                <w:rFonts w:ascii="Bookman Old Style" w:hAnsi="Bookman Old Style" w:cs="Calibri"/>
                <w:b/>
                <w:szCs w:val="24"/>
              </w:rPr>
            </w:pPr>
            <w:r w:rsidRPr="00485CC5">
              <w:rPr>
                <w:rFonts w:ascii="Bookman Old Style" w:hAnsi="Bookman Old Style" w:cs="Calibri"/>
                <w:b/>
                <w:szCs w:val="24"/>
              </w:rPr>
              <w:t>Constitución Política de Colombia</w:t>
            </w:r>
          </w:p>
          <w:p w14:paraId="4517B927" w14:textId="77777777" w:rsidR="00F36280" w:rsidRPr="00485CC5" w:rsidRDefault="00F36280" w:rsidP="005B5FC0">
            <w:pPr>
              <w:ind w:left="29"/>
              <w:jc w:val="center"/>
              <w:rPr>
                <w:rFonts w:ascii="Bookman Old Style" w:hAnsi="Bookman Old Style" w:cs="Calibri"/>
                <w:b/>
                <w:szCs w:val="24"/>
              </w:rPr>
            </w:pPr>
          </w:p>
          <w:p w14:paraId="3A26D8FF"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b/>
                <w:szCs w:val="24"/>
              </w:rPr>
              <w:t xml:space="preserve">ARTÍCULO 49. </w:t>
            </w:r>
            <w:r w:rsidRPr="00485CC5">
              <w:rPr>
                <w:rFonts w:ascii="Bookman Old Style" w:eastAsia="Times New Roman" w:hAnsi="Bookman Old Style" w:cs="Calibri"/>
                <w:szCs w:val="24"/>
                <w:lang w:eastAsia="es-CO"/>
              </w:rPr>
              <w:t xml:space="preserve">La atención de la salud y el saneamiento ambiental son </w:t>
            </w:r>
            <w:r w:rsidRPr="00485CC5">
              <w:rPr>
                <w:rFonts w:ascii="Bookman Old Style" w:eastAsia="Times New Roman" w:hAnsi="Bookman Old Style" w:cs="Calibri"/>
                <w:szCs w:val="24"/>
                <w:lang w:eastAsia="es-CO"/>
              </w:rPr>
              <w:lastRenderedPageBreak/>
              <w:t>servicios públicos a cargo del Estado. Se garantiza a todas las personas el acceso a los servicios de   promoción, protección y recuperación de la salud.</w:t>
            </w:r>
            <w:r w:rsidRPr="00485CC5">
              <w:rPr>
                <w:rFonts w:ascii="Bookman Old Style" w:eastAsia="Times New Roman" w:hAnsi="Bookman Old Style" w:cs="Calibri"/>
                <w:szCs w:val="24"/>
                <w:lang w:eastAsia="es-CO"/>
              </w:rPr>
              <w:br/>
            </w:r>
            <w:r w:rsidRPr="00485CC5">
              <w:rPr>
                <w:rFonts w:ascii="Bookman Old Style" w:eastAsia="Times New Roman" w:hAnsi="Bookman Old Style" w:cs="Calibri"/>
                <w:szCs w:val="24"/>
                <w:lang w:eastAsia="es-CO"/>
              </w:rPr>
              <w:br/>
            </w: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7F5F8194" w14:textId="77777777" w:rsidR="00F36280" w:rsidRPr="00485CC5" w:rsidRDefault="00F36280" w:rsidP="005B5FC0">
            <w:pPr>
              <w:ind w:left="29"/>
              <w:jc w:val="both"/>
              <w:rPr>
                <w:rFonts w:ascii="Bookman Old Style" w:hAnsi="Bookman Old Style" w:cs="Calibri"/>
                <w:szCs w:val="24"/>
                <w:lang w:val="es-ES_tradnl"/>
              </w:rPr>
            </w:pPr>
          </w:p>
          <w:p w14:paraId="0DFB0DE5"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14:paraId="7AD12311" w14:textId="77777777" w:rsidR="00207603" w:rsidRPr="00485CC5" w:rsidRDefault="00207603" w:rsidP="001B7ADC">
            <w:pPr>
              <w:jc w:val="both"/>
              <w:rPr>
                <w:rFonts w:ascii="Bookman Old Style" w:hAnsi="Bookman Old Style" w:cs="Calibri"/>
                <w:szCs w:val="24"/>
                <w:lang w:val="es-ES_tradnl"/>
              </w:rPr>
            </w:pPr>
          </w:p>
          <w:p w14:paraId="443B3E48"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14:paraId="2FD13AC8" w14:textId="77777777" w:rsidR="00F36280" w:rsidRPr="00485CC5" w:rsidRDefault="00F36280" w:rsidP="005B5FC0">
            <w:pPr>
              <w:ind w:left="29"/>
              <w:jc w:val="both"/>
              <w:rPr>
                <w:rFonts w:ascii="Bookman Old Style" w:hAnsi="Bookman Old Style" w:cs="Calibri"/>
                <w:szCs w:val="24"/>
                <w:lang w:val="es-ES_tradnl"/>
              </w:rPr>
            </w:pPr>
          </w:p>
          <w:p w14:paraId="08C8D058"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1AED709A"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eastAsia="Times New Roman" w:hAnsi="Bookman Old Style" w:cs="Calibri"/>
                <w:b/>
                <w:strike/>
                <w:szCs w:val="24"/>
                <w:lang w:eastAsia="es-CO"/>
              </w:rPr>
              <w:t xml:space="preserve"> </w:t>
            </w:r>
          </w:p>
          <w:p w14:paraId="22057301"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4619A389" w14:textId="77777777" w:rsidR="00F36280" w:rsidRPr="00485CC5" w:rsidRDefault="00F36280" w:rsidP="005B5FC0">
            <w:pPr>
              <w:ind w:left="29"/>
              <w:jc w:val="both"/>
              <w:rPr>
                <w:rFonts w:ascii="Bookman Old Style" w:hAnsi="Bookman Old Style" w:cs="Calibri"/>
                <w:szCs w:val="24"/>
                <w:lang w:val="es-ES_tradnl"/>
              </w:rPr>
            </w:pPr>
          </w:p>
          <w:p w14:paraId="60A3A51F" w14:textId="6D44FDD1" w:rsidR="00F36280" w:rsidRPr="00485CC5" w:rsidRDefault="00F36280" w:rsidP="005B5FC0">
            <w:pPr>
              <w:ind w:left="29"/>
              <w:jc w:val="both"/>
              <w:rPr>
                <w:rFonts w:ascii="Bookman Old Style" w:hAnsi="Bookman Old Style" w:cs="Calibri"/>
                <w:b/>
                <w:szCs w:val="24"/>
                <w:u w:val="single"/>
              </w:rPr>
            </w:pPr>
            <w:r w:rsidRPr="00485CC5">
              <w:rPr>
                <w:rFonts w:ascii="Bookman Old Style" w:hAnsi="Bookman Old Style" w:cs="Calibri"/>
                <w:b/>
                <w:szCs w:val="24"/>
                <w:u w:val="single"/>
              </w:rPr>
              <w:t xml:space="preserve">La prohibición prevista en el inciso anterior no aplicará frente al cannabis y sus </w:t>
            </w:r>
            <w:r w:rsidR="003160C3">
              <w:rPr>
                <w:rFonts w:ascii="Bookman Old Style" w:hAnsi="Bookman Old Style" w:cs="Calibri"/>
                <w:b/>
                <w:szCs w:val="24"/>
                <w:u w:val="single"/>
              </w:rPr>
              <w:t xml:space="preserve">derivados para el uso </w:t>
            </w:r>
            <w:r w:rsidRPr="00485CC5">
              <w:rPr>
                <w:rFonts w:ascii="Bookman Old Style" w:hAnsi="Bookman Old Style" w:cs="Calibri"/>
                <w:b/>
                <w:szCs w:val="24"/>
                <w:u w:val="single"/>
              </w:rPr>
              <w:t xml:space="preserve">por parte de mayores de edad. </w:t>
            </w:r>
            <w:r w:rsidR="009621D5" w:rsidRPr="00485CC5">
              <w:rPr>
                <w:rFonts w:ascii="Bookman Old Style" w:hAnsi="Bookman Old Style" w:cs="Calibri"/>
                <w:b/>
                <w:szCs w:val="24"/>
                <w:u w:val="single"/>
              </w:rPr>
              <w:t xml:space="preserve">Tampoco </w:t>
            </w:r>
            <w:r w:rsidR="009621D5">
              <w:rPr>
                <w:rFonts w:ascii="Bookman Old Style" w:hAnsi="Bookman Old Style" w:cs="Calibri"/>
                <w:b/>
                <w:szCs w:val="24"/>
                <w:u w:val="single"/>
              </w:rPr>
              <w:t>aplicará para la</w:t>
            </w:r>
            <w:r w:rsidR="009621D5" w:rsidRPr="00485CC5">
              <w:rPr>
                <w:rFonts w:ascii="Bookman Old Style" w:hAnsi="Bookman Old Style" w:cs="Calibri"/>
                <w:b/>
                <w:szCs w:val="24"/>
                <w:u w:val="single"/>
              </w:rPr>
              <w:t xml:space="preserve"> destinación científica</w:t>
            </w:r>
            <w:r w:rsidR="009621D5">
              <w:rPr>
                <w:rFonts w:ascii="Bookman Old Style" w:hAnsi="Bookman Old Style" w:cs="Calibri"/>
                <w:b/>
                <w:szCs w:val="24"/>
                <w:u w:val="single"/>
              </w:rPr>
              <w:t xml:space="preserve"> de estas sustancias</w:t>
            </w:r>
            <w:r w:rsidR="009621D5" w:rsidRPr="00485CC5">
              <w:rPr>
                <w:rFonts w:ascii="Bookman Old Style" w:hAnsi="Bookman Old Style" w:cs="Calibri"/>
                <w:b/>
                <w:szCs w:val="24"/>
                <w:u w:val="single"/>
              </w:rPr>
              <w:t>, siempre</w:t>
            </w:r>
            <w:r w:rsidRPr="00485CC5">
              <w:rPr>
                <w:rFonts w:ascii="Bookman Old Style" w:hAnsi="Bookman Old Style" w:cs="Calibri"/>
                <w:b/>
                <w:szCs w:val="24"/>
                <w:u w:val="single"/>
              </w:rPr>
              <w:t xml:space="preserve"> y cuando se cuente con las licencias otorgadas por la autoridad competente.</w:t>
            </w:r>
            <w:r w:rsidR="000046EF">
              <w:rPr>
                <w:rFonts w:ascii="Bookman Old Style" w:hAnsi="Bookman Old Style" w:cs="Calibri"/>
                <w:b/>
                <w:szCs w:val="24"/>
                <w:u w:val="single"/>
              </w:rPr>
              <w:t xml:space="preserve"> La Ley podrá restringir y sancionar el porte y consumo del cannabis y sus </w:t>
            </w:r>
            <w:r w:rsidR="00781E51">
              <w:rPr>
                <w:rFonts w:ascii="Bookman Old Style" w:hAnsi="Bookman Old Style" w:cs="Calibri"/>
                <w:b/>
                <w:szCs w:val="24"/>
                <w:u w:val="single"/>
              </w:rPr>
              <w:t>derivados en espacios públicos, zonas comunes y entornos escolares, entre otros.</w:t>
            </w:r>
          </w:p>
          <w:p w14:paraId="010274C0" w14:textId="77777777" w:rsidR="00F36280" w:rsidRPr="00485CC5" w:rsidRDefault="00F36280" w:rsidP="005B5FC0">
            <w:pPr>
              <w:ind w:left="29"/>
              <w:jc w:val="both"/>
              <w:rPr>
                <w:rFonts w:ascii="Bookman Old Style" w:hAnsi="Bookman Old Style" w:cs="Calibri"/>
                <w:b/>
                <w:szCs w:val="24"/>
                <w:u w:val="single"/>
              </w:rPr>
            </w:pPr>
          </w:p>
          <w:p w14:paraId="56459F19" w14:textId="77777777" w:rsidR="00F36280" w:rsidRPr="00706B77" w:rsidRDefault="00F36280" w:rsidP="00706B77">
            <w:pPr>
              <w:ind w:left="29"/>
              <w:jc w:val="both"/>
              <w:rPr>
                <w:rFonts w:ascii="Bookman Old Style" w:hAnsi="Bookman Old Style" w:cs="Calibri"/>
                <w:b/>
                <w:szCs w:val="24"/>
                <w:u w:val="single"/>
                <w:lang w:val="es-ES_tradnl"/>
              </w:rPr>
            </w:pPr>
            <w:r w:rsidRPr="00485CC5">
              <w:rPr>
                <w:rFonts w:ascii="Bookman Old Style" w:hAnsi="Bookman Old Style" w:cs="Calibri"/>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tc>
      </w:tr>
      <w:bookmarkEnd w:id="6"/>
    </w:tbl>
    <w:p w14:paraId="2CB73425" w14:textId="77777777" w:rsidR="00F36280" w:rsidRPr="00485CC5" w:rsidRDefault="00F36280" w:rsidP="00F36280">
      <w:pPr>
        <w:pStyle w:val="NormalWeb"/>
        <w:spacing w:before="0" w:beforeAutospacing="0" w:after="0" w:afterAutospacing="0"/>
        <w:ind w:right="115"/>
        <w:jc w:val="both"/>
        <w:rPr>
          <w:rFonts w:ascii="Bookman Old Style" w:hAnsi="Bookman Old Style" w:cs="Calibri"/>
          <w:sz w:val="22"/>
        </w:rPr>
      </w:pPr>
    </w:p>
    <w:p w14:paraId="0B583F05" w14:textId="77777777" w:rsidR="00F36280" w:rsidRPr="00485CC5" w:rsidRDefault="00F36280" w:rsidP="00207603">
      <w:pPr>
        <w:pStyle w:val="Heading2"/>
        <w:numPr>
          <w:ilvl w:val="0"/>
          <w:numId w:val="35"/>
        </w:numPr>
        <w:jc w:val="both"/>
        <w:rPr>
          <w:rFonts w:ascii="Bookman Old Style" w:eastAsia="Calibri" w:hAnsi="Bookman Old Style" w:cs="Calibri"/>
          <w:sz w:val="22"/>
          <w:szCs w:val="24"/>
        </w:rPr>
      </w:pPr>
      <w:r w:rsidRPr="00485CC5">
        <w:rPr>
          <w:rFonts w:ascii="Bookman Old Style" w:eastAsia="Calibri" w:hAnsi="Bookman Old Style" w:cs="Calibri"/>
          <w:sz w:val="22"/>
          <w:szCs w:val="24"/>
        </w:rPr>
        <w:t>CONCLUSIONES</w:t>
      </w:r>
    </w:p>
    <w:p w14:paraId="5376528B" w14:textId="77777777" w:rsidR="00F36280" w:rsidRPr="00485CC5" w:rsidRDefault="00F36280" w:rsidP="00F36280">
      <w:pPr>
        <w:pBdr>
          <w:top w:val="nil"/>
          <w:left w:val="nil"/>
          <w:bottom w:val="nil"/>
          <w:right w:val="nil"/>
          <w:between w:val="nil"/>
        </w:pBdr>
        <w:rPr>
          <w:rFonts w:ascii="Bookman Old Style" w:eastAsia="Calibri" w:hAnsi="Bookman Old Style" w:cs="Calibri"/>
          <w:szCs w:val="24"/>
        </w:rPr>
      </w:pPr>
    </w:p>
    <w:p w14:paraId="7D499361" w14:textId="77777777"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rPr>
        <w:t xml:space="preserve">Según lo expuesto podemos afirmar que el presente </w:t>
      </w:r>
      <w:r w:rsidRPr="00485CC5">
        <w:rPr>
          <w:rFonts w:ascii="Bookman Old Style" w:eastAsia="Calibri" w:hAnsi="Bookman Old Style" w:cs="Calibri"/>
          <w:sz w:val="22"/>
          <w:szCs w:val="28"/>
          <w:lang w:val="es-ES_tradnl"/>
        </w:rPr>
        <w:t xml:space="preserve">Proyecto de Acto Legislativo es necesario, en razón a que: </w:t>
      </w:r>
    </w:p>
    <w:p w14:paraId="0AA7FE3B" w14:textId="77777777"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69D0D900" w14:textId="77777777"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Corrige la contradicción constitución/ley que se encuentra vigente frente al uso científico del cannabis.</w:t>
      </w:r>
    </w:p>
    <w:p w14:paraId="0C21BE5A" w14:textId="77777777" w:rsidR="00837AB4" w:rsidRPr="005C5218" w:rsidRDefault="00837AB4" w:rsidP="00837AB4">
      <w:pPr>
        <w:pStyle w:val="NormalWeb"/>
        <w:spacing w:before="0" w:beforeAutospacing="0" w:after="0" w:afterAutospacing="0"/>
        <w:ind w:left="720" w:right="115"/>
        <w:jc w:val="both"/>
        <w:rPr>
          <w:rFonts w:ascii="Bookman Old Style" w:eastAsia="Calibri" w:hAnsi="Bookman Old Style" w:cs="Calibri"/>
          <w:sz w:val="22"/>
          <w:szCs w:val="28"/>
          <w:lang w:val="es-ES_tradnl"/>
        </w:rPr>
      </w:pPr>
    </w:p>
    <w:p w14:paraId="05904503" w14:textId="77777777"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 xml:space="preserve">Evita la intromisión del Estado frente al derecho del libre desarrollo de la personalidad, permitiendo que los ciudadanos puedan decidir sobre el consumo del cannabis en un marco legal regulado. </w:t>
      </w:r>
    </w:p>
    <w:p w14:paraId="0AB42E0E" w14:textId="77777777"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3D5777C6" w14:textId="77777777"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Evita tratos discriminatorios o desiguales arbitrarios frente a la población que consume.</w:t>
      </w:r>
    </w:p>
    <w:p w14:paraId="5F9AB29B" w14:textId="77777777"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4CC2CFAE" w14:textId="77777777"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lastRenderedPageBreak/>
        <w:t>Fortalece el enfoque de política pública en salud en el que se considera al adicto como una persona que merece un tratamiento y no como un criminal.</w:t>
      </w:r>
    </w:p>
    <w:p w14:paraId="68A62B36" w14:textId="77777777"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49D4B120" w14:textId="77777777"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Ofrece la oportunidad de dar apertura a un mercado legal nuevo y prometedor con resultados positivos demostrables en el ámbito internacional.</w:t>
      </w:r>
    </w:p>
    <w:p w14:paraId="7F9BF1C9" w14:textId="77777777"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1C97B212" w14:textId="77777777"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Genera externalidades positivas en el ámbito fiscal, por un lado, implica un mayor recaudo y con ello mayor inversión social, por el otro crea empleo.</w:t>
      </w:r>
    </w:p>
    <w:p w14:paraId="02970E5F" w14:textId="77777777"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780EFDF8" w14:textId="77777777"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Desestimula los mercados ilegales de narcotráfico y su implementación gradual podría conducir a reducir el índice de otros delitos relacionados.</w:t>
      </w:r>
    </w:p>
    <w:p w14:paraId="7231FA6B" w14:textId="77777777"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0260DE39" w14:textId="77777777" w:rsidR="00F36280" w:rsidRDefault="00F36280" w:rsidP="00F36280">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Aliviaría las cargas y sobrepoblación del sistema penitenciario.</w:t>
      </w:r>
    </w:p>
    <w:p w14:paraId="5939F437" w14:textId="77777777" w:rsidR="00837AB4" w:rsidRDefault="00837AB4" w:rsidP="00837AB4">
      <w:pPr>
        <w:pStyle w:val="ListParagraph"/>
        <w:rPr>
          <w:rFonts w:ascii="Bookman Old Style" w:eastAsia="Calibri" w:hAnsi="Bookman Old Style" w:cs="Calibri"/>
          <w:szCs w:val="28"/>
          <w:lang w:val="es-ES_tradnl"/>
        </w:rPr>
      </w:pPr>
    </w:p>
    <w:p w14:paraId="1F5AD513" w14:textId="77777777" w:rsidR="00F709EB" w:rsidRPr="001E18FE" w:rsidRDefault="00F709EB" w:rsidP="00E44C45">
      <w:pPr>
        <w:pStyle w:val="NormalWeb"/>
        <w:spacing w:before="0" w:beforeAutospacing="0" w:after="0" w:afterAutospacing="0"/>
        <w:ind w:right="115"/>
        <w:jc w:val="both"/>
        <w:rPr>
          <w:rFonts w:ascii="Bookman Old Style" w:eastAsia="Calibri" w:hAnsi="Bookman Old Style" w:cs="Calibri"/>
          <w:b/>
          <w:sz w:val="22"/>
          <w:lang w:val="es-ES_tradnl"/>
        </w:rPr>
      </w:pPr>
    </w:p>
    <w:p w14:paraId="7AAD0461" w14:textId="77777777" w:rsidR="00E453A8" w:rsidRDefault="00E453A8" w:rsidP="00207603">
      <w:pPr>
        <w:pStyle w:val="Heading2"/>
        <w:numPr>
          <w:ilvl w:val="0"/>
          <w:numId w:val="35"/>
        </w:numPr>
        <w:jc w:val="both"/>
        <w:rPr>
          <w:rFonts w:ascii="Bookman Old Style" w:eastAsia="Calibri" w:hAnsi="Bookman Old Style" w:cs="Calibri"/>
          <w:sz w:val="22"/>
          <w:szCs w:val="22"/>
        </w:rPr>
      </w:pPr>
      <w:r>
        <w:rPr>
          <w:rFonts w:ascii="Bookman Old Style" w:eastAsia="Calibri" w:hAnsi="Bookman Old Style" w:cs="Calibri"/>
          <w:sz w:val="22"/>
          <w:szCs w:val="22"/>
        </w:rPr>
        <w:t>COMPETENCIA DEL CONGRESO.</w:t>
      </w:r>
    </w:p>
    <w:p w14:paraId="5A8DEC35" w14:textId="77777777" w:rsidR="00E453A8" w:rsidRDefault="00E453A8" w:rsidP="00E453A8">
      <w:pPr>
        <w:jc w:val="both"/>
        <w:rPr>
          <w:rFonts w:ascii="Bookman Old Style" w:hAnsi="Bookman Old Style"/>
          <w:b/>
          <w:color w:val="000000" w:themeColor="text1"/>
        </w:rPr>
      </w:pPr>
    </w:p>
    <w:p w14:paraId="11AB878C" w14:textId="77777777" w:rsidR="00E453A8" w:rsidRPr="00253221" w:rsidRDefault="00E453A8" w:rsidP="00E453A8">
      <w:pPr>
        <w:jc w:val="both"/>
        <w:rPr>
          <w:rFonts w:ascii="Bookman Old Style" w:hAnsi="Bookman Old Style"/>
          <w:b/>
          <w:color w:val="000000" w:themeColor="text1"/>
        </w:rPr>
      </w:pPr>
      <w:r>
        <w:rPr>
          <w:rFonts w:ascii="Bookman Old Style" w:hAnsi="Bookman Old Style"/>
          <w:b/>
          <w:color w:val="000000" w:themeColor="text1"/>
        </w:rPr>
        <w:t>11</w:t>
      </w:r>
      <w:r w:rsidRPr="00253221">
        <w:rPr>
          <w:rFonts w:ascii="Bookman Old Style" w:hAnsi="Bookman Old Style"/>
          <w:b/>
          <w:color w:val="000000" w:themeColor="text1"/>
        </w:rPr>
        <w:t>.1 CONSTITUCIONAL:</w:t>
      </w:r>
    </w:p>
    <w:p w14:paraId="7C7BB49C" w14:textId="77777777" w:rsidR="00E453A8" w:rsidRDefault="00E453A8" w:rsidP="00E453A8">
      <w:pPr>
        <w:contextualSpacing/>
        <w:jc w:val="both"/>
        <w:rPr>
          <w:rFonts w:ascii="Bookman Old Style" w:hAnsi="Bookman Old Style"/>
          <w:b/>
          <w:color w:val="000000" w:themeColor="text1"/>
        </w:rPr>
      </w:pPr>
    </w:p>
    <w:p w14:paraId="30CCD210" w14:textId="77777777" w:rsidR="00E453A8" w:rsidRPr="00F46028" w:rsidRDefault="00E453A8" w:rsidP="00837AB4">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14:paraId="3CA3805C" w14:textId="77777777" w:rsidR="00E453A8" w:rsidRDefault="00E453A8" w:rsidP="00837AB4">
      <w:pPr>
        <w:ind w:left="851"/>
        <w:contextualSpacing/>
        <w:jc w:val="both"/>
        <w:rPr>
          <w:rFonts w:ascii="Bookman Old Style" w:hAnsi="Bookman Old Style"/>
          <w:color w:val="000000" w:themeColor="text1"/>
        </w:rPr>
      </w:pPr>
    </w:p>
    <w:p w14:paraId="67802D60" w14:textId="77777777" w:rsidR="00E453A8" w:rsidRPr="00F46028" w:rsidRDefault="00E453A8" w:rsidP="00837AB4">
      <w:pPr>
        <w:ind w:left="851"/>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14:paraId="3B59A18E" w14:textId="77777777" w:rsidR="00E453A8" w:rsidRDefault="00E453A8" w:rsidP="00837AB4">
      <w:pPr>
        <w:ind w:left="851"/>
        <w:contextualSpacing/>
        <w:jc w:val="both"/>
        <w:rPr>
          <w:rFonts w:ascii="Bookman Old Style" w:hAnsi="Bookman Old Style"/>
          <w:color w:val="000000" w:themeColor="text1"/>
        </w:rPr>
      </w:pPr>
    </w:p>
    <w:p w14:paraId="78978AB7" w14:textId="77777777" w:rsidR="00E453A8" w:rsidRPr="00F46028" w:rsidRDefault="00E453A8" w:rsidP="00837AB4">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14:paraId="68B18F48" w14:textId="77777777" w:rsidR="00E453A8" w:rsidRPr="00F46028" w:rsidRDefault="00E453A8" w:rsidP="00837AB4">
      <w:pPr>
        <w:ind w:left="851"/>
        <w:contextualSpacing/>
        <w:jc w:val="both"/>
        <w:rPr>
          <w:rFonts w:ascii="Bookman Old Style" w:hAnsi="Bookman Old Style"/>
          <w:color w:val="000000" w:themeColor="text1"/>
        </w:rPr>
      </w:pPr>
    </w:p>
    <w:p w14:paraId="7ED2A048" w14:textId="77777777" w:rsidR="00E453A8" w:rsidRPr="00F46028" w:rsidRDefault="00E453A8" w:rsidP="00837AB4">
      <w:pPr>
        <w:pStyle w:val="ListParagraph"/>
        <w:numPr>
          <w:ilvl w:val="0"/>
          <w:numId w:val="39"/>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14:paraId="715BF645" w14:textId="77777777" w:rsidR="00E453A8" w:rsidRPr="00F46028" w:rsidRDefault="00E453A8" w:rsidP="00837AB4">
      <w:pPr>
        <w:pStyle w:val="ListParagraph"/>
        <w:ind w:left="851" w:hanging="283"/>
        <w:jc w:val="both"/>
        <w:rPr>
          <w:rFonts w:ascii="Bookman Old Style" w:hAnsi="Bookman Old Style"/>
          <w:color w:val="000000" w:themeColor="text1"/>
        </w:rPr>
      </w:pPr>
    </w:p>
    <w:p w14:paraId="7003A8AE" w14:textId="77777777" w:rsidR="00E453A8" w:rsidRPr="00F46028" w:rsidRDefault="00E453A8" w:rsidP="00837AB4">
      <w:pPr>
        <w:pStyle w:val="ListParagraph"/>
        <w:numPr>
          <w:ilvl w:val="0"/>
          <w:numId w:val="39"/>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Expedir códigos en todos los ramos de la legislación y reformar sus disposiciones.</w:t>
      </w:r>
    </w:p>
    <w:p w14:paraId="576AFF8A" w14:textId="77777777" w:rsidR="00E453A8" w:rsidRPr="00F46028" w:rsidRDefault="00E453A8" w:rsidP="00837AB4">
      <w:pPr>
        <w:pStyle w:val="ListParagraph"/>
        <w:ind w:left="851" w:hanging="283"/>
        <w:jc w:val="both"/>
        <w:rPr>
          <w:rFonts w:ascii="Bookman Old Style" w:hAnsi="Bookman Old Style"/>
          <w:color w:val="000000" w:themeColor="text1"/>
        </w:rPr>
      </w:pPr>
    </w:p>
    <w:p w14:paraId="3EDA335D" w14:textId="77777777" w:rsidR="00E453A8" w:rsidRPr="00F46028" w:rsidRDefault="00E453A8" w:rsidP="00837AB4">
      <w:pPr>
        <w:pStyle w:val="ListParagraph"/>
        <w:numPr>
          <w:ilvl w:val="0"/>
          <w:numId w:val="39"/>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53F155A5" w14:textId="77777777" w:rsidR="00E453A8" w:rsidRPr="00F46028" w:rsidRDefault="00E453A8" w:rsidP="00837AB4">
      <w:pPr>
        <w:pStyle w:val="ListParagraph"/>
        <w:ind w:left="851" w:hanging="283"/>
        <w:jc w:val="both"/>
        <w:rPr>
          <w:rFonts w:ascii="Bookman Old Style" w:hAnsi="Bookman Old Style"/>
          <w:color w:val="000000" w:themeColor="text1"/>
        </w:rPr>
      </w:pPr>
    </w:p>
    <w:p w14:paraId="6C6F7321" w14:textId="77777777" w:rsidR="00E453A8" w:rsidRPr="00F46028" w:rsidRDefault="00E453A8" w:rsidP="00837AB4">
      <w:pPr>
        <w:pStyle w:val="ListParagraph"/>
        <w:numPr>
          <w:ilvl w:val="0"/>
          <w:numId w:val="39"/>
        </w:numPr>
        <w:spacing w:after="0" w:line="240" w:lineRule="auto"/>
        <w:ind w:left="851" w:hanging="283"/>
        <w:jc w:val="both"/>
        <w:rPr>
          <w:rFonts w:ascii="Bookman Old Style" w:hAnsi="Bookman Old Style"/>
          <w:color w:val="000000" w:themeColor="text1"/>
        </w:rPr>
      </w:pPr>
      <w:r w:rsidRPr="00F46028">
        <w:rPr>
          <w:rFonts w:ascii="Bookman Old Style" w:hAnsi="Bookman Old Style"/>
          <w:color w:val="000000" w:themeColor="text1"/>
        </w:rPr>
        <w:lastRenderedPageBreak/>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14:paraId="0AA0B12D" w14:textId="77777777" w:rsidR="00E453A8" w:rsidRDefault="00E453A8" w:rsidP="00E453A8">
      <w:pPr>
        <w:jc w:val="both"/>
        <w:rPr>
          <w:rFonts w:ascii="Bookman Old Style" w:hAnsi="Bookman Old Style"/>
          <w:b/>
          <w:color w:val="000000" w:themeColor="text1"/>
        </w:rPr>
      </w:pPr>
    </w:p>
    <w:p w14:paraId="51B9CC4F" w14:textId="77777777" w:rsidR="00837AB4" w:rsidRPr="00F46028" w:rsidRDefault="00837AB4" w:rsidP="00E453A8">
      <w:pPr>
        <w:jc w:val="both"/>
        <w:rPr>
          <w:rFonts w:ascii="Bookman Old Style" w:hAnsi="Bookman Old Style"/>
          <w:b/>
          <w:color w:val="000000" w:themeColor="text1"/>
        </w:rPr>
      </w:pPr>
    </w:p>
    <w:p w14:paraId="5FDFDF0B" w14:textId="77777777" w:rsidR="00E453A8" w:rsidRPr="00253221" w:rsidRDefault="00E453A8" w:rsidP="00E453A8">
      <w:pPr>
        <w:jc w:val="both"/>
        <w:rPr>
          <w:rFonts w:ascii="Bookman Old Style" w:hAnsi="Bookman Old Style"/>
          <w:b/>
          <w:color w:val="000000" w:themeColor="text1"/>
          <w:u w:val="single"/>
        </w:rPr>
      </w:pPr>
      <w:r>
        <w:rPr>
          <w:rFonts w:ascii="Bookman Old Style" w:hAnsi="Bookman Old Style"/>
          <w:b/>
          <w:color w:val="000000" w:themeColor="text1"/>
        </w:rPr>
        <w:t xml:space="preserve">7.2 </w:t>
      </w:r>
      <w:r w:rsidRPr="00253221">
        <w:rPr>
          <w:rFonts w:ascii="Bookman Old Style" w:hAnsi="Bookman Old Style"/>
          <w:b/>
          <w:color w:val="000000" w:themeColor="text1"/>
        </w:rPr>
        <w:t>LEGAL:</w:t>
      </w:r>
      <w:r w:rsidRPr="00253221">
        <w:rPr>
          <w:rFonts w:ascii="Bookman Old Style" w:hAnsi="Bookman Old Style"/>
          <w:b/>
          <w:color w:val="000000" w:themeColor="text1"/>
          <w:u w:val="single"/>
        </w:rPr>
        <w:t xml:space="preserve"> </w:t>
      </w:r>
    </w:p>
    <w:p w14:paraId="2A7C9BDD" w14:textId="77777777" w:rsidR="00E453A8" w:rsidRPr="00A22CFE" w:rsidRDefault="00E453A8" w:rsidP="00A22CFE">
      <w:pPr>
        <w:jc w:val="both"/>
        <w:rPr>
          <w:rFonts w:ascii="Bookman Old Style" w:hAnsi="Bookman Old Style"/>
          <w:b/>
          <w:color w:val="000000" w:themeColor="text1"/>
          <w:u w:val="single"/>
        </w:rPr>
      </w:pPr>
    </w:p>
    <w:p w14:paraId="09743239" w14:textId="77777777" w:rsidR="00E453A8" w:rsidRPr="00F46028" w:rsidRDefault="00E453A8" w:rsidP="00837AB4">
      <w:pPr>
        <w:ind w:left="851"/>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COMISIONES DEL CONGRESO DE COLOMBIA Y SE DICTAN OTRAS DISPOSICIONES.</w:t>
      </w:r>
    </w:p>
    <w:p w14:paraId="49B76C61" w14:textId="77777777" w:rsidR="00E453A8" w:rsidRPr="00F46028" w:rsidRDefault="00E453A8" w:rsidP="00837AB4">
      <w:pPr>
        <w:ind w:left="851"/>
        <w:jc w:val="both"/>
        <w:rPr>
          <w:rFonts w:ascii="Bookman Old Style" w:hAnsi="Bookman Old Style"/>
          <w:b/>
          <w:color w:val="000000" w:themeColor="text1"/>
        </w:rPr>
      </w:pPr>
    </w:p>
    <w:p w14:paraId="1CC59D82" w14:textId="77777777" w:rsidR="00E453A8" w:rsidRPr="00F46028" w:rsidRDefault="00E453A8" w:rsidP="00837AB4">
      <w:pPr>
        <w:ind w:left="851"/>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643836A7" w14:textId="77777777" w:rsidR="00E453A8" w:rsidRPr="00F46028" w:rsidRDefault="00E453A8" w:rsidP="00837AB4">
      <w:pPr>
        <w:ind w:left="851"/>
        <w:jc w:val="both"/>
        <w:rPr>
          <w:rFonts w:ascii="Bookman Old Style" w:hAnsi="Bookman Old Style"/>
          <w:i/>
          <w:color w:val="000000" w:themeColor="text1"/>
        </w:rPr>
      </w:pPr>
    </w:p>
    <w:p w14:paraId="5B9587DF" w14:textId="77777777" w:rsidR="00E453A8" w:rsidRPr="00F46028" w:rsidRDefault="00E453A8" w:rsidP="00837AB4">
      <w:pPr>
        <w:ind w:left="851"/>
        <w:jc w:val="both"/>
        <w:rPr>
          <w:rFonts w:ascii="Bookman Old Style" w:hAnsi="Bookman Old Style"/>
          <w:i/>
          <w:color w:val="000000" w:themeColor="text1"/>
        </w:rPr>
      </w:pPr>
      <w:r w:rsidRPr="00F46028">
        <w:rPr>
          <w:rFonts w:ascii="Bookman Old Style" w:hAnsi="Bookman Old Style"/>
          <w:i/>
          <w:color w:val="000000" w:themeColor="text1"/>
        </w:rPr>
        <w:t>Las Comisiones Constitucionales Permanentes en cada una de las Cámaras serán siete (7) a saber:</w:t>
      </w:r>
    </w:p>
    <w:p w14:paraId="128A62BC" w14:textId="77777777" w:rsidR="00E453A8" w:rsidRPr="00F46028" w:rsidRDefault="00E453A8" w:rsidP="00837AB4">
      <w:pPr>
        <w:ind w:left="851"/>
        <w:jc w:val="both"/>
        <w:rPr>
          <w:rFonts w:ascii="Bookman Old Style" w:hAnsi="Bookman Old Style"/>
          <w:i/>
          <w:color w:val="000000" w:themeColor="text1"/>
        </w:rPr>
      </w:pPr>
    </w:p>
    <w:p w14:paraId="61FA8F46" w14:textId="77777777" w:rsidR="00E453A8" w:rsidRPr="00F46028" w:rsidRDefault="00E453A8" w:rsidP="00837AB4">
      <w:pPr>
        <w:ind w:left="851"/>
        <w:jc w:val="both"/>
        <w:rPr>
          <w:rFonts w:ascii="Bookman Old Style" w:hAnsi="Bookman Old Style"/>
          <w:i/>
          <w:color w:val="000000" w:themeColor="text1"/>
        </w:rPr>
      </w:pPr>
      <w:r w:rsidRPr="00F46028">
        <w:rPr>
          <w:rFonts w:ascii="Bookman Old Style" w:hAnsi="Bookman Old Style"/>
          <w:i/>
          <w:color w:val="000000" w:themeColor="text1"/>
        </w:rPr>
        <w:t>Comisión Primera.</w:t>
      </w:r>
    </w:p>
    <w:p w14:paraId="64576D7C" w14:textId="77777777" w:rsidR="00E453A8" w:rsidRPr="00F46028" w:rsidRDefault="00E453A8" w:rsidP="00837AB4">
      <w:pPr>
        <w:ind w:left="851"/>
        <w:jc w:val="both"/>
        <w:rPr>
          <w:rFonts w:ascii="Bookman Old Style" w:hAnsi="Bookman Old Style"/>
          <w:i/>
          <w:color w:val="000000" w:themeColor="text1"/>
        </w:rPr>
      </w:pPr>
    </w:p>
    <w:p w14:paraId="09100DF5" w14:textId="77777777" w:rsidR="00E453A8" w:rsidRPr="00A22CFE" w:rsidRDefault="00E453A8" w:rsidP="00837AB4">
      <w:pPr>
        <w:ind w:left="851"/>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14:paraId="47F436A9" w14:textId="77777777" w:rsidR="00E453A8" w:rsidRDefault="00E453A8" w:rsidP="00E453A8">
      <w:pPr>
        <w:rPr>
          <w:rFonts w:eastAsia="Calibri"/>
        </w:rPr>
      </w:pPr>
    </w:p>
    <w:p w14:paraId="0154927A" w14:textId="77777777" w:rsidR="00892A0A" w:rsidRDefault="00892A0A" w:rsidP="00E453A8">
      <w:pPr>
        <w:rPr>
          <w:rFonts w:eastAsia="Calibri"/>
        </w:rPr>
      </w:pPr>
    </w:p>
    <w:p w14:paraId="7EE1D63F" w14:textId="77777777" w:rsidR="00A22CFE" w:rsidRDefault="00A22CFE" w:rsidP="00207603">
      <w:pPr>
        <w:pStyle w:val="Heading2"/>
        <w:numPr>
          <w:ilvl w:val="0"/>
          <w:numId w:val="35"/>
        </w:numPr>
        <w:jc w:val="both"/>
        <w:rPr>
          <w:rFonts w:ascii="Bookman Old Style" w:eastAsia="Calibri" w:hAnsi="Bookman Old Style" w:cs="Calibri"/>
          <w:sz w:val="22"/>
          <w:szCs w:val="22"/>
        </w:rPr>
      </w:pPr>
      <w:r>
        <w:rPr>
          <w:rFonts w:ascii="Bookman Old Style" w:eastAsia="Calibri" w:hAnsi="Bookman Old Style" w:cs="Calibri"/>
          <w:sz w:val="22"/>
          <w:szCs w:val="22"/>
        </w:rPr>
        <w:t>CONFLICTOS DE INTERÉS</w:t>
      </w:r>
    </w:p>
    <w:p w14:paraId="38E51B75" w14:textId="77777777" w:rsidR="00A22CFE" w:rsidRDefault="00A22CFE" w:rsidP="00A22CFE">
      <w:pPr>
        <w:rPr>
          <w:rFonts w:eastAsia="Calibri"/>
        </w:rPr>
      </w:pPr>
    </w:p>
    <w:p w14:paraId="485B38FC" w14:textId="77777777" w:rsidR="00A22CFE" w:rsidRPr="001E18FE" w:rsidRDefault="00A22CFE" w:rsidP="00A22CFE">
      <w:pPr>
        <w:pStyle w:val="Heading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Dando cumplimiento  a lo establecido en el artículo 3 de la Ley 2003 del 19 de noviembre de 2019, por la cual se modifica parcialmente la Ley 5 de 1992, se hacen las siguientes consideraciones: </w:t>
      </w:r>
    </w:p>
    <w:p w14:paraId="6EA60172" w14:textId="77777777" w:rsidR="00A22CFE" w:rsidRDefault="00A22CFE" w:rsidP="00A22CFE">
      <w:pPr>
        <w:pStyle w:val="Heading2"/>
        <w:ind w:left="0"/>
        <w:rPr>
          <w:rFonts w:ascii="Bookman Old Style" w:eastAsia="Calibri" w:hAnsi="Bookman Old Style" w:cs="Calibri"/>
          <w:b w:val="0"/>
          <w:sz w:val="22"/>
          <w:szCs w:val="22"/>
        </w:rPr>
      </w:pPr>
    </w:p>
    <w:p w14:paraId="719273D0" w14:textId="77777777" w:rsidR="00A22CFE" w:rsidRDefault="00A22CFE" w:rsidP="00A22CFE">
      <w:pPr>
        <w:pStyle w:val="Heading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estima que la discusión y aprobación del presente Proyecto de Acto Legislativo podría generar conflictos de interés en razón de beneficios particulares, actuales y directos a los congresistas conforme a lo dispuesto en la ley, que cuenten con cultivos de cannabis y sus derivados para el uso medicinal o científico</w:t>
      </w:r>
      <w:r>
        <w:rPr>
          <w:rFonts w:ascii="Bookman Old Style" w:eastAsia="Calibri" w:hAnsi="Bookman Old Style" w:cs="Calibri"/>
          <w:b w:val="0"/>
          <w:sz w:val="22"/>
          <w:szCs w:val="22"/>
        </w:rPr>
        <w:t>, o participación en empresas</w:t>
      </w:r>
      <w:r w:rsidRPr="001E18FE">
        <w:rPr>
          <w:rFonts w:ascii="Bookman Old Style" w:eastAsia="Calibri" w:hAnsi="Bookman Old Style" w:cs="Calibri"/>
          <w:b w:val="0"/>
          <w:sz w:val="22"/>
          <w:szCs w:val="22"/>
        </w:rPr>
        <w:t xml:space="preserve"> </w:t>
      </w:r>
      <w:r>
        <w:rPr>
          <w:rFonts w:ascii="Bookman Old Style" w:eastAsia="Calibri" w:hAnsi="Bookman Old Style" w:cs="Calibri"/>
          <w:b w:val="0"/>
          <w:sz w:val="22"/>
          <w:szCs w:val="22"/>
        </w:rPr>
        <w:t xml:space="preserve">que se encarguen de su producción y comercialización </w:t>
      </w:r>
      <w:r w:rsidRPr="001E18FE">
        <w:rPr>
          <w:rFonts w:ascii="Bookman Old Style" w:eastAsia="Calibri" w:hAnsi="Bookman Old Style" w:cs="Calibri"/>
          <w:b w:val="0"/>
          <w:sz w:val="22"/>
          <w:szCs w:val="22"/>
        </w:rPr>
        <w:t>que puedan beneficiarse con el proyecto en mención.</w:t>
      </w:r>
    </w:p>
    <w:p w14:paraId="1A71E714" w14:textId="77777777" w:rsidR="00A22CFE" w:rsidRDefault="00A22CFE" w:rsidP="00A22CFE">
      <w:pPr>
        <w:pStyle w:val="Heading2"/>
        <w:ind w:left="0"/>
        <w:jc w:val="both"/>
        <w:rPr>
          <w:rFonts w:ascii="Bookman Old Style" w:eastAsia="Calibri" w:hAnsi="Bookman Old Style" w:cs="Calibri"/>
          <w:b w:val="0"/>
          <w:sz w:val="22"/>
          <w:szCs w:val="22"/>
        </w:rPr>
      </w:pPr>
    </w:p>
    <w:p w14:paraId="1EBAAF21" w14:textId="77777777" w:rsidR="00A22CFE" w:rsidRPr="001E18FE" w:rsidRDefault="00A22CFE" w:rsidP="00A22CFE">
      <w:pPr>
        <w:pStyle w:val="Heading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lastRenderedPageBreak/>
        <w:t>Sobre este asunto ha señalado el Consejo de Estado (2019):</w:t>
      </w:r>
    </w:p>
    <w:p w14:paraId="7ADD35B0" w14:textId="77777777" w:rsidR="00A22CFE" w:rsidRDefault="00A22CFE" w:rsidP="00A22CFE">
      <w:pPr>
        <w:pStyle w:val="Heading2"/>
        <w:ind w:left="0"/>
        <w:rPr>
          <w:rFonts w:ascii="Bookman Old Style" w:eastAsia="Calibri" w:hAnsi="Bookman Old Style" w:cs="Calibri"/>
          <w:b w:val="0"/>
          <w:sz w:val="22"/>
          <w:szCs w:val="22"/>
        </w:rPr>
      </w:pPr>
    </w:p>
    <w:p w14:paraId="1361A3B1" w14:textId="77777777" w:rsidR="00A22CFE" w:rsidRDefault="00A22CFE" w:rsidP="00A22CFE">
      <w:pPr>
        <w:pStyle w:val="Heading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23D16F6E" w14:textId="77777777" w:rsidR="00A22CFE" w:rsidRPr="001E18FE" w:rsidRDefault="00A22CFE" w:rsidP="00A22CFE">
      <w:pPr>
        <w:rPr>
          <w:rFonts w:eastAsia="Calibri"/>
        </w:rPr>
      </w:pPr>
    </w:p>
    <w:p w14:paraId="34AC964B" w14:textId="77777777" w:rsidR="00A22CFE" w:rsidRPr="001E18FE" w:rsidRDefault="00A22CFE" w:rsidP="00A22CFE">
      <w:pPr>
        <w:pStyle w:val="Heading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De igual forma, es pertinente señalar lo que la Ley 5 de 1992 dispone sobre la materia en el artículo 286, modificado por el artículo 1 de la Ley 2003 de 2019:</w:t>
      </w:r>
    </w:p>
    <w:p w14:paraId="5C0E9216" w14:textId="77777777" w:rsidR="00A22CFE" w:rsidRDefault="00A22CFE" w:rsidP="00A22CFE">
      <w:pPr>
        <w:pStyle w:val="Heading2"/>
        <w:ind w:left="0"/>
        <w:rPr>
          <w:rFonts w:ascii="Bookman Old Style" w:eastAsia="Calibri" w:hAnsi="Bookman Old Style" w:cs="Calibri"/>
          <w:b w:val="0"/>
          <w:sz w:val="22"/>
          <w:szCs w:val="22"/>
        </w:rPr>
      </w:pPr>
    </w:p>
    <w:p w14:paraId="360743D7" w14:textId="77777777" w:rsidR="00A22CFE" w:rsidRPr="001E18FE" w:rsidRDefault="00A22CFE" w:rsidP="00A22CFE">
      <w:pPr>
        <w:pStyle w:val="Heading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“Se entiende como conflicto de interés una situación donde la discusión o votación de un proyecto de ley o acto legislativo o artículo, pueda resultar en un beneficio particular, actual y directo a favor del congresista.</w:t>
      </w:r>
    </w:p>
    <w:p w14:paraId="4FC24D85" w14:textId="77777777" w:rsidR="00A22CFE" w:rsidRPr="001E18FE" w:rsidRDefault="00A22CFE" w:rsidP="00A22CFE">
      <w:pPr>
        <w:ind w:left="851" w:right="900"/>
        <w:rPr>
          <w:rFonts w:eastAsia="Calibri"/>
          <w:i/>
        </w:rPr>
      </w:pPr>
    </w:p>
    <w:p w14:paraId="6C24CCEB" w14:textId="77777777" w:rsidR="00A22CFE" w:rsidRPr="001E18FE" w:rsidRDefault="00A22CFE" w:rsidP="00A22CFE">
      <w:pPr>
        <w:pStyle w:val="Heading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AD638E6" w14:textId="77777777" w:rsidR="00A22CFE" w:rsidRPr="001E18FE" w:rsidRDefault="00A22CFE" w:rsidP="00A22CFE">
      <w:pPr>
        <w:pStyle w:val="Heading2"/>
        <w:ind w:left="851" w:right="900"/>
        <w:jc w:val="both"/>
        <w:rPr>
          <w:rFonts w:ascii="Bookman Old Style" w:eastAsia="Calibri" w:hAnsi="Bookman Old Style" w:cs="Calibri"/>
          <w:b w:val="0"/>
          <w:i/>
          <w:sz w:val="22"/>
          <w:szCs w:val="22"/>
        </w:rPr>
      </w:pPr>
    </w:p>
    <w:p w14:paraId="6751AE30" w14:textId="77777777" w:rsidR="00A22CFE" w:rsidRPr="001E18FE" w:rsidRDefault="00A22CFE" w:rsidP="00A22CFE">
      <w:pPr>
        <w:pStyle w:val="Heading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b) Beneficio actual: aquel que efectivamente se configura en las circunstancias presentes y existentes al momento en el que el congresista participa de la decisión. </w:t>
      </w:r>
    </w:p>
    <w:p w14:paraId="43945116" w14:textId="77777777" w:rsidR="00A22CFE" w:rsidRPr="001E18FE" w:rsidRDefault="00A22CFE" w:rsidP="00A22CFE">
      <w:pPr>
        <w:pStyle w:val="Heading2"/>
        <w:ind w:left="851" w:right="900"/>
        <w:jc w:val="both"/>
        <w:rPr>
          <w:rFonts w:ascii="Bookman Old Style" w:eastAsia="Calibri" w:hAnsi="Bookman Old Style" w:cs="Calibri"/>
          <w:b w:val="0"/>
          <w:i/>
          <w:sz w:val="22"/>
          <w:szCs w:val="22"/>
        </w:rPr>
      </w:pPr>
    </w:p>
    <w:p w14:paraId="2BF7972E" w14:textId="77777777" w:rsidR="00A22CFE" w:rsidRPr="001E18FE" w:rsidRDefault="00A22CFE" w:rsidP="00A22CFE">
      <w:pPr>
        <w:pStyle w:val="Heading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546F7F8D" w14:textId="77777777" w:rsidR="00837AB4" w:rsidRPr="00837AB4" w:rsidRDefault="00837AB4" w:rsidP="00837AB4">
      <w:pPr>
        <w:rPr>
          <w:rFonts w:eastAsia="Calibri"/>
        </w:rPr>
      </w:pPr>
    </w:p>
    <w:p w14:paraId="547D14C5" w14:textId="77777777" w:rsidR="00A22CFE" w:rsidRDefault="00A22CFE" w:rsidP="00A22CFE">
      <w:pPr>
        <w:pStyle w:val="Heading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5D92AD85" w14:textId="77777777" w:rsidR="00A22CFE" w:rsidRDefault="00A22CFE" w:rsidP="00A22CFE">
      <w:pPr>
        <w:rPr>
          <w:rFonts w:eastAsia="Calibri"/>
        </w:rPr>
      </w:pPr>
    </w:p>
    <w:p w14:paraId="5F17ACFE" w14:textId="77777777" w:rsidR="00736122" w:rsidRDefault="00736122" w:rsidP="00207603">
      <w:pPr>
        <w:pStyle w:val="Heading2"/>
        <w:numPr>
          <w:ilvl w:val="0"/>
          <w:numId w:val="35"/>
        </w:numPr>
        <w:jc w:val="both"/>
        <w:rPr>
          <w:rFonts w:ascii="Bookman Old Style" w:eastAsia="Calibri" w:hAnsi="Bookman Old Style" w:cs="Calibri"/>
          <w:sz w:val="22"/>
          <w:szCs w:val="22"/>
        </w:rPr>
      </w:pPr>
      <w:r>
        <w:rPr>
          <w:rFonts w:ascii="Bookman Old Style" w:eastAsia="Calibri" w:hAnsi="Bookman Old Style" w:cs="Calibri"/>
          <w:sz w:val="22"/>
          <w:szCs w:val="22"/>
        </w:rPr>
        <w:t>PLIEGO DE MODIFICACIONES</w:t>
      </w:r>
    </w:p>
    <w:p w14:paraId="2A5478C5" w14:textId="77777777" w:rsidR="00736122" w:rsidRDefault="00736122" w:rsidP="00736122">
      <w:pPr>
        <w:rPr>
          <w:rFonts w:eastAsia="Calibri"/>
        </w:rPr>
      </w:pPr>
    </w:p>
    <w:tbl>
      <w:tblPr>
        <w:tblStyle w:val="TableGrid"/>
        <w:tblW w:w="0" w:type="auto"/>
        <w:tblLook w:val="04A0" w:firstRow="1" w:lastRow="0" w:firstColumn="1" w:lastColumn="0" w:noHBand="0" w:noVBand="1"/>
      </w:tblPr>
      <w:tblGrid>
        <w:gridCol w:w="4414"/>
        <w:gridCol w:w="4414"/>
      </w:tblGrid>
      <w:tr w:rsidR="00736122" w:rsidRPr="007A0AF8" w14:paraId="54BAE4A8" w14:textId="77777777" w:rsidTr="007A7C84">
        <w:tc>
          <w:tcPr>
            <w:tcW w:w="4414" w:type="dxa"/>
            <w:shd w:val="clear" w:color="auto" w:fill="D9D9D9" w:themeFill="background1" w:themeFillShade="D9"/>
          </w:tcPr>
          <w:p w14:paraId="05A9F802" w14:textId="77777777" w:rsidR="00736122" w:rsidRPr="007A0AF8" w:rsidRDefault="00736122" w:rsidP="00736122">
            <w:pPr>
              <w:jc w:val="center"/>
              <w:rPr>
                <w:rFonts w:ascii="Bookman Old Style" w:eastAsia="Calibri" w:hAnsi="Bookman Old Style"/>
                <w:b/>
                <w:sz w:val="20"/>
              </w:rPr>
            </w:pPr>
            <w:r w:rsidRPr="007A0AF8">
              <w:rPr>
                <w:rFonts w:ascii="Bookman Old Style" w:eastAsia="Calibri" w:hAnsi="Bookman Old Style"/>
                <w:b/>
                <w:sz w:val="20"/>
              </w:rPr>
              <w:t>TEXTO APROBADO EN PRIMER DEBATE EN PRIMERA VUELTA</w:t>
            </w:r>
          </w:p>
        </w:tc>
        <w:tc>
          <w:tcPr>
            <w:tcW w:w="4414" w:type="dxa"/>
            <w:shd w:val="clear" w:color="auto" w:fill="D9D9D9" w:themeFill="background1" w:themeFillShade="D9"/>
          </w:tcPr>
          <w:p w14:paraId="649C216B" w14:textId="77777777" w:rsidR="00736122" w:rsidRPr="007A0AF8" w:rsidRDefault="00736122" w:rsidP="00736122">
            <w:pPr>
              <w:jc w:val="center"/>
              <w:rPr>
                <w:rFonts w:ascii="Bookman Old Style" w:eastAsia="Calibri" w:hAnsi="Bookman Old Style"/>
                <w:b/>
                <w:sz w:val="20"/>
              </w:rPr>
            </w:pPr>
            <w:r w:rsidRPr="007A0AF8">
              <w:rPr>
                <w:rFonts w:ascii="Bookman Old Style" w:eastAsia="Calibri" w:hAnsi="Bookman Old Style"/>
                <w:b/>
                <w:sz w:val="20"/>
              </w:rPr>
              <w:t>TEXTO PROPUESTO PARA SEGUNDO DEBATE EN PRIMERA VUELTA</w:t>
            </w:r>
          </w:p>
        </w:tc>
      </w:tr>
      <w:tr w:rsidR="00EB1D95" w:rsidRPr="007A0AF8" w14:paraId="4A4857EC" w14:textId="77777777" w:rsidTr="007A7C84">
        <w:tc>
          <w:tcPr>
            <w:tcW w:w="4414" w:type="dxa"/>
          </w:tcPr>
          <w:p w14:paraId="710918C3" w14:textId="77777777" w:rsidR="00EB1D95" w:rsidRDefault="00EB1D95" w:rsidP="00EB1D95">
            <w:pPr>
              <w:jc w:val="center"/>
              <w:rPr>
                <w:rFonts w:ascii="Bookman Old Style" w:eastAsia="Calibri" w:hAnsi="Bookman Old Style"/>
                <w:b/>
                <w:sz w:val="20"/>
              </w:rPr>
            </w:pPr>
            <w:r>
              <w:rPr>
                <w:rFonts w:ascii="Bookman Old Style" w:eastAsia="Calibri" w:hAnsi="Bookman Old Style"/>
                <w:b/>
                <w:sz w:val="20"/>
              </w:rPr>
              <w:t>TÍTULO</w:t>
            </w:r>
          </w:p>
          <w:p w14:paraId="43B01576" w14:textId="72358AEB" w:rsidR="00EB1D95" w:rsidRPr="007A7C84" w:rsidRDefault="00B25D49" w:rsidP="00EB1D95">
            <w:pPr>
              <w:jc w:val="center"/>
              <w:rPr>
                <w:rFonts w:ascii="Bookman Old Style" w:eastAsia="Calibri" w:hAnsi="Bookman Old Style"/>
                <w:b/>
                <w:sz w:val="20"/>
              </w:rPr>
            </w:pPr>
            <w:r w:rsidRPr="00B25D49">
              <w:rPr>
                <w:rFonts w:ascii="Bookman Old Style" w:eastAsia="Calibri" w:hAnsi="Bookman Old Style"/>
                <w:b/>
                <w:sz w:val="20"/>
              </w:rPr>
              <w:t xml:space="preserve">“Por medio del cual se modifica el artículo 49 de la Constitución Política de Colombia y se regulariza </w:t>
            </w:r>
            <w:r>
              <w:rPr>
                <w:rFonts w:ascii="Bookman Old Style" w:eastAsia="Calibri" w:hAnsi="Bookman Old Style"/>
                <w:b/>
                <w:sz w:val="20"/>
              </w:rPr>
              <w:t>el uso recreativo del Cannabis”</w:t>
            </w:r>
          </w:p>
        </w:tc>
        <w:tc>
          <w:tcPr>
            <w:tcW w:w="4414" w:type="dxa"/>
          </w:tcPr>
          <w:p w14:paraId="0507EF53" w14:textId="77777777" w:rsidR="00EB1D95" w:rsidRDefault="00EB1D95" w:rsidP="00EB1D95">
            <w:pPr>
              <w:jc w:val="center"/>
              <w:rPr>
                <w:rFonts w:ascii="Bookman Old Style" w:eastAsia="Calibri" w:hAnsi="Bookman Old Style"/>
                <w:b/>
                <w:sz w:val="20"/>
              </w:rPr>
            </w:pPr>
            <w:r>
              <w:rPr>
                <w:rFonts w:ascii="Bookman Old Style" w:eastAsia="Calibri" w:hAnsi="Bookman Old Style"/>
                <w:b/>
                <w:sz w:val="20"/>
              </w:rPr>
              <w:t>TÍTULO</w:t>
            </w:r>
          </w:p>
          <w:p w14:paraId="5534164C" w14:textId="00B583CA" w:rsidR="00EB1D95" w:rsidRPr="007A7C84" w:rsidRDefault="00B25D49" w:rsidP="00EB1D95">
            <w:pPr>
              <w:jc w:val="center"/>
              <w:rPr>
                <w:rFonts w:ascii="Bookman Old Style" w:eastAsia="Calibri" w:hAnsi="Bookman Old Style"/>
                <w:b/>
                <w:sz w:val="20"/>
              </w:rPr>
            </w:pPr>
            <w:r w:rsidRPr="00B25D49">
              <w:rPr>
                <w:rFonts w:ascii="Bookman Old Style" w:eastAsia="Calibri" w:hAnsi="Bookman Old Style"/>
                <w:b/>
                <w:sz w:val="20"/>
              </w:rPr>
              <w:t>“Por medio del cual se modifica el artículo 49 de la Constitución Política de Colombia y se regulariza</w:t>
            </w:r>
            <w:r>
              <w:rPr>
                <w:rFonts w:ascii="Bookman Old Style" w:eastAsia="Calibri" w:hAnsi="Bookman Old Style"/>
                <w:b/>
                <w:sz w:val="20"/>
              </w:rPr>
              <w:t xml:space="preserve"> el </w:t>
            </w:r>
            <w:r w:rsidRPr="00B25D49">
              <w:rPr>
                <w:rFonts w:ascii="Bookman Old Style" w:eastAsia="Calibri" w:hAnsi="Bookman Old Style"/>
                <w:b/>
                <w:strike/>
                <w:sz w:val="20"/>
              </w:rPr>
              <w:t>uso recreativo del</w:t>
            </w:r>
            <w:r w:rsidRPr="00B25D49">
              <w:rPr>
                <w:rFonts w:ascii="Bookman Old Style" w:eastAsia="Calibri" w:hAnsi="Bookman Old Style"/>
                <w:sz w:val="20"/>
              </w:rPr>
              <w:t xml:space="preserve"> </w:t>
            </w:r>
            <w:r>
              <w:rPr>
                <w:rFonts w:ascii="Bookman Old Style" w:eastAsia="Calibri" w:hAnsi="Bookman Old Style"/>
                <w:b/>
                <w:sz w:val="20"/>
              </w:rPr>
              <w:t xml:space="preserve">Cannabis </w:t>
            </w:r>
            <w:r w:rsidRPr="00B25D49">
              <w:rPr>
                <w:rFonts w:ascii="Bookman Old Style" w:eastAsia="Calibri" w:hAnsi="Bookman Old Style"/>
                <w:b/>
                <w:sz w:val="20"/>
                <w:u w:val="single"/>
              </w:rPr>
              <w:t>de uso adulto</w:t>
            </w:r>
            <w:r>
              <w:rPr>
                <w:rFonts w:ascii="Bookman Old Style" w:eastAsia="Calibri" w:hAnsi="Bookman Old Style"/>
                <w:b/>
                <w:sz w:val="20"/>
              </w:rPr>
              <w:t>”</w:t>
            </w:r>
          </w:p>
        </w:tc>
      </w:tr>
      <w:tr w:rsidR="00736122" w:rsidRPr="007A0AF8" w14:paraId="2DA6B63A" w14:textId="77777777" w:rsidTr="007A7C84">
        <w:tc>
          <w:tcPr>
            <w:tcW w:w="4414" w:type="dxa"/>
          </w:tcPr>
          <w:p w14:paraId="20E2D241" w14:textId="77777777" w:rsidR="007A7C84" w:rsidRDefault="007A0AF8" w:rsidP="007A7C84">
            <w:pPr>
              <w:jc w:val="both"/>
              <w:rPr>
                <w:rFonts w:ascii="Bookman Old Style" w:eastAsia="Calibri" w:hAnsi="Bookman Old Style"/>
                <w:sz w:val="20"/>
              </w:rPr>
            </w:pPr>
            <w:r w:rsidRPr="007A7C84">
              <w:rPr>
                <w:rFonts w:ascii="Bookman Old Style" w:eastAsia="Calibri" w:hAnsi="Bookman Old Style"/>
                <w:b/>
                <w:sz w:val="20"/>
              </w:rPr>
              <w:t>ARTÍCULO 1º.</w:t>
            </w:r>
            <w:r w:rsidRPr="007A0AF8">
              <w:rPr>
                <w:rFonts w:ascii="Bookman Old Style" w:eastAsia="Calibri" w:hAnsi="Bookman Old Style"/>
                <w:sz w:val="20"/>
              </w:rPr>
              <w:t xml:space="preserve"> El artículo 49 de la Constitución Política quedará así:</w:t>
            </w:r>
          </w:p>
          <w:p w14:paraId="38A8DD8F" w14:textId="77777777" w:rsidR="007A0AF8" w:rsidRPr="007A0AF8" w:rsidRDefault="007A0AF8" w:rsidP="007A7C84">
            <w:pPr>
              <w:jc w:val="both"/>
              <w:rPr>
                <w:rFonts w:ascii="Bookman Old Style" w:eastAsia="Calibri" w:hAnsi="Bookman Old Style"/>
                <w:sz w:val="20"/>
              </w:rPr>
            </w:pPr>
            <w:r w:rsidRPr="007A0AF8">
              <w:rPr>
                <w:rFonts w:ascii="Bookman Old Style" w:eastAsia="Calibri" w:hAnsi="Bookman Old Style"/>
                <w:sz w:val="20"/>
              </w:rPr>
              <w:t xml:space="preserve"> </w:t>
            </w:r>
          </w:p>
          <w:p w14:paraId="4148778A" w14:textId="77777777" w:rsidR="007A0AF8" w:rsidRDefault="007A0AF8" w:rsidP="007A7C84">
            <w:pPr>
              <w:jc w:val="both"/>
              <w:rPr>
                <w:rFonts w:ascii="Bookman Old Style" w:eastAsia="Calibri" w:hAnsi="Bookman Old Style"/>
                <w:sz w:val="20"/>
              </w:rPr>
            </w:pPr>
            <w:r w:rsidRPr="007A7C84">
              <w:rPr>
                <w:rFonts w:ascii="Bookman Old Style" w:eastAsia="Calibri" w:hAnsi="Bookman Old Style"/>
                <w:b/>
                <w:sz w:val="20"/>
              </w:rPr>
              <w:t>ARTÍCULO 49o.</w:t>
            </w:r>
            <w:r w:rsidRPr="007A0AF8">
              <w:rPr>
                <w:rFonts w:ascii="Bookman Old Style" w:eastAsia="Calibri" w:hAnsi="Bookman Old Style"/>
                <w:sz w:val="20"/>
              </w:rPr>
              <w:t xml:space="preserve"> La atención de la salud y el saneamiento ambiental son servicios públicos a cargo del Estado. Se garantiza a todas las personas el acceso a los servicios de promoción, protección y recuperación de la salud.</w:t>
            </w:r>
          </w:p>
          <w:p w14:paraId="141EB2A4" w14:textId="77777777" w:rsidR="007A7C84" w:rsidRPr="007A0AF8" w:rsidRDefault="007A7C84" w:rsidP="007A7C84">
            <w:pPr>
              <w:jc w:val="both"/>
              <w:rPr>
                <w:rFonts w:ascii="Bookman Old Style" w:eastAsia="Calibri" w:hAnsi="Bookman Old Style"/>
                <w:sz w:val="20"/>
              </w:rPr>
            </w:pPr>
          </w:p>
          <w:p w14:paraId="78B7F852" w14:textId="77777777" w:rsidR="007A0AF8" w:rsidRPr="007A0AF8" w:rsidRDefault="007A0AF8" w:rsidP="007A7C84">
            <w:pPr>
              <w:jc w:val="both"/>
              <w:rPr>
                <w:rFonts w:ascii="Bookman Old Style" w:eastAsia="Calibri" w:hAnsi="Bookman Old Style"/>
                <w:sz w:val="20"/>
              </w:rPr>
            </w:pPr>
            <w:r w:rsidRPr="007A0AF8">
              <w:rPr>
                <w:rFonts w:ascii="Bookman Old Style" w:eastAsia="Calibri" w:hAnsi="Bookman Old Style"/>
                <w:sz w:val="20"/>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44BE4B37" w14:textId="77777777" w:rsidR="007A7C84" w:rsidRDefault="007A7C84" w:rsidP="007A7C84">
            <w:pPr>
              <w:jc w:val="both"/>
              <w:rPr>
                <w:rFonts w:ascii="Bookman Old Style" w:eastAsia="Calibri" w:hAnsi="Bookman Old Style"/>
                <w:sz w:val="20"/>
              </w:rPr>
            </w:pPr>
          </w:p>
          <w:p w14:paraId="53584656" w14:textId="77777777" w:rsidR="007A0AF8" w:rsidRPr="007A0AF8" w:rsidRDefault="007A0AF8" w:rsidP="007A7C84">
            <w:pPr>
              <w:jc w:val="both"/>
              <w:rPr>
                <w:rFonts w:ascii="Bookman Old Style" w:eastAsia="Calibri" w:hAnsi="Bookman Old Style"/>
                <w:sz w:val="20"/>
              </w:rPr>
            </w:pPr>
            <w:r w:rsidRPr="007A0AF8">
              <w:rPr>
                <w:rFonts w:ascii="Bookman Old Style" w:eastAsia="Calibri" w:hAnsi="Bookman Old Style"/>
                <w:sz w:val="20"/>
              </w:rPr>
              <w:t>Los servicios de salud se organizarán en forma descentralizada, por niveles de atención y con participación de la comunidad.</w:t>
            </w:r>
          </w:p>
          <w:p w14:paraId="7C8F2469" w14:textId="77777777" w:rsidR="007A7C84" w:rsidRDefault="007A7C84" w:rsidP="007A7C84">
            <w:pPr>
              <w:jc w:val="both"/>
              <w:rPr>
                <w:rFonts w:ascii="Bookman Old Style" w:eastAsia="Calibri" w:hAnsi="Bookman Old Style"/>
                <w:sz w:val="20"/>
              </w:rPr>
            </w:pPr>
          </w:p>
          <w:p w14:paraId="1A74C1D0" w14:textId="77777777" w:rsidR="007A0AF8" w:rsidRPr="007A0AF8" w:rsidRDefault="007A0AF8" w:rsidP="007A7C84">
            <w:pPr>
              <w:jc w:val="both"/>
              <w:rPr>
                <w:rFonts w:ascii="Bookman Old Style" w:eastAsia="Calibri" w:hAnsi="Bookman Old Style"/>
                <w:sz w:val="20"/>
              </w:rPr>
            </w:pPr>
            <w:r w:rsidRPr="007A0AF8">
              <w:rPr>
                <w:rFonts w:ascii="Bookman Old Style" w:eastAsia="Calibri" w:hAnsi="Bookman Old Style"/>
                <w:sz w:val="20"/>
              </w:rPr>
              <w:t>La ley señalará los términos en los cuales la atención básica para todos los habitantes será gratuita y obligatoria.</w:t>
            </w:r>
          </w:p>
          <w:p w14:paraId="0C3C112C" w14:textId="77777777" w:rsidR="007A7C84" w:rsidRDefault="007A7C84" w:rsidP="007A7C84">
            <w:pPr>
              <w:jc w:val="both"/>
              <w:rPr>
                <w:rFonts w:ascii="Bookman Old Style" w:eastAsia="Calibri" w:hAnsi="Bookman Old Style"/>
                <w:sz w:val="20"/>
              </w:rPr>
            </w:pPr>
          </w:p>
          <w:p w14:paraId="776B78D5" w14:textId="77777777" w:rsidR="007A0AF8" w:rsidRPr="007A0AF8" w:rsidRDefault="007A0AF8" w:rsidP="007A7C84">
            <w:pPr>
              <w:jc w:val="both"/>
              <w:rPr>
                <w:rFonts w:ascii="Bookman Old Style" w:eastAsia="Calibri" w:hAnsi="Bookman Old Style"/>
                <w:sz w:val="20"/>
              </w:rPr>
            </w:pPr>
            <w:r w:rsidRPr="007A0AF8">
              <w:rPr>
                <w:rFonts w:ascii="Bookman Old Style" w:eastAsia="Calibri" w:hAnsi="Bookman Old Style"/>
                <w:sz w:val="20"/>
              </w:rPr>
              <w:t>Toda persona tiene el deber de procurar el cuidado integral de su salud y de su comunidad.</w:t>
            </w:r>
          </w:p>
          <w:p w14:paraId="710777E4" w14:textId="77777777" w:rsidR="007A7C84" w:rsidRDefault="007A7C84" w:rsidP="007A7C84">
            <w:pPr>
              <w:jc w:val="both"/>
              <w:rPr>
                <w:rFonts w:ascii="Bookman Old Style" w:eastAsia="Calibri" w:hAnsi="Bookman Old Style"/>
                <w:sz w:val="20"/>
              </w:rPr>
            </w:pPr>
          </w:p>
          <w:p w14:paraId="468F510D" w14:textId="77777777" w:rsidR="007A0AF8" w:rsidRPr="007A0AF8" w:rsidRDefault="007A0AF8" w:rsidP="007A7C84">
            <w:pPr>
              <w:jc w:val="both"/>
              <w:rPr>
                <w:rFonts w:ascii="Bookman Old Style" w:eastAsia="Calibri" w:hAnsi="Bookman Old Style"/>
                <w:sz w:val="20"/>
              </w:rPr>
            </w:pPr>
            <w:r w:rsidRPr="007A0AF8">
              <w:rPr>
                <w:rFonts w:ascii="Bookman Old Style" w:eastAsia="Calibri" w:hAnsi="Bookman Old Style"/>
                <w:sz w:val="20"/>
              </w:rPr>
              <w:t xml:space="preserve">El porte y el consumo de sustancias estupefacientes o psicotrópicas está prohibido, salvo prescripción médica. Con </w:t>
            </w:r>
            <w:r w:rsidRPr="007A0AF8">
              <w:rPr>
                <w:rFonts w:ascii="Bookman Old Style" w:eastAsia="Calibri" w:hAnsi="Bookman Old Style"/>
                <w:sz w:val="20"/>
              </w:rPr>
              <w:lastRenderedPageBreak/>
              <w:t>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032536DE" w14:textId="77777777" w:rsidR="007A7C84" w:rsidRDefault="007A7C84" w:rsidP="007A7C84">
            <w:pPr>
              <w:jc w:val="both"/>
              <w:rPr>
                <w:rFonts w:ascii="Bookman Old Style" w:eastAsia="Calibri" w:hAnsi="Bookman Old Style"/>
                <w:sz w:val="20"/>
              </w:rPr>
            </w:pPr>
          </w:p>
          <w:p w14:paraId="45B69FA4" w14:textId="77777777" w:rsidR="007A0AF8" w:rsidRPr="007A0AF8" w:rsidRDefault="007A0AF8" w:rsidP="007A7C84">
            <w:pPr>
              <w:jc w:val="both"/>
              <w:rPr>
                <w:rFonts w:ascii="Bookman Old Style" w:eastAsia="Calibri" w:hAnsi="Bookman Old Style"/>
                <w:sz w:val="20"/>
              </w:rPr>
            </w:pPr>
            <w:r w:rsidRPr="007A0AF8">
              <w:rPr>
                <w:rFonts w:ascii="Bookman Old Style" w:eastAsia="Calibri" w:hAnsi="Bookman Old Style"/>
                <w:sz w:val="20"/>
              </w:rPr>
              <w:t>La prohibición prevista en el inciso anterior no aplicará frente al cannabis y sus derivados para el uso recreativo por parte de mayores de edad. Tampoco aplicará para la destinación científica de estas sustancias, siempre y cuando se cuente con las licencias otorgadas por la autoridad competente. La Ley podrá restringir y sancionar el porte y consumo del cannabis y sus</w:t>
            </w:r>
            <w:r w:rsidR="00131D78">
              <w:rPr>
                <w:rFonts w:ascii="Bookman Old Style" w:eastAsia="Calibri" w:hAnsi="Bookman Old Style"/>
                <w:sz w:val="20"/>
              </w:rPr>
              <w:t xml:space="preserve"> derivados en espacios públicos</w:t>
            </w:r>
            <w:r w:rsidRPr="007A0AF8">
              <w:rPr>
                <w:rFonts w:ascii="Bookman Old Style" w:eastAsia="Calibri" w:hAnsi="Bookman Old Style"/>
                <w:sz w:val="20"/>
              </w:rPr>
              <w:t xml:space="preserve"> zonas comunes, y entornos escolares, entre otros.</w:t>
            </w:r>
          </w:p>
          <w:p w14:paraId="0A172AE1" w14:textId="77777777" w:rsidR="007A7C84" w:rsidRDefault="007A7C84" w:rsidP="007A7C84">
            <w:pPr>
              <w:jc w:val="both"/>
              <w:rPr>
                <w:rFonts w:ascii="Bookman Old Style" w:eastAsia="Calibri" w:hAnsi="Bookman Old Style"/>
                <w:sz w:val="20"/>
              </w:rPr>
            </w:pPr>
          </w:p>
          <w:p w14:paraId="35D4AB1E" w14:textId="77777777" w:rsidR="00736122" w:rsidRPr="007A0AF8" w:rsidRDefault="007A0AF8" w:rsidP="007A7C84">
            <w:pPr>
              <w:jc w:val="both"/>
              <w:rPr>
                <w:rFonts w:ascii="Bookman Old Style" w:eastAsia="Calibri" w:hAnsi="Bookman Old Style"/>
                <w:sz w:val="20"/>
              </w:rPr>
            </w:pPr>
            <w:r w:rsidRPr="007A0AF8">
              <w:rPr>
                <w:rFonts w:ascii="Bookman Old Style" w:eastAsia="Calibri" w:hAnsi="Bookman Old Style"/>
                <w:sz w:val="20"/>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tc>
        <w:tc>
          <w:tcPr>
            <w:tcW w:w="4414" w:type="dxa"/>
          </w:tcPr>
          <w:p w14:paraId="3AB56C46" w14:textId="77777777" w:rsidR="00131D78" w:rsidRDefault="00131D78" w:rsidP="00131D78">
            <w:pPr>
              <w:jc w:val="both"/>
              <w:rPr>
                <w:rFonts w:ascii="Bookman Old Style" w:eastAsia="Calibri" w:hAnsi="Bookman Old Style"/>
                <w:sz w:val="20"/>
              </w:rPr>
            </w:pPr>
            <w:r w:rsidRPr="007A7C84">
              <w:rPr>
                <w:rFonts w:ascii="Bookman Old Style" w:eastAsia="Calibri" w:hAnsi="Bookman Old Style"/>
                <w:b/>
                <w:sz w:val="20"/>
              </w:rPr>
              <w:lastRenderedPageBreak/>
              <w:t>ARTÍCULO 1º.</w:t>
            </w:r>
            <w:r w:rsidRPr="007A0AF8">
              <w:rPr>
                <w:rFonts w:ascii="Bookman Old Style" w:eastAsia="Calibri" w:hAnsi="Bookman Old Style"/>
                <w:sz w:val="20"/>
              </w:rPr>
              <w:t xml:space="preserve"> El artículo 49 de la Constitución Política quedará así:</w:t>
            </w:r>
          </w:p>
          <w:p w14:paraId="5D07931E" w14:textId="77777777" w:rsidR="00131D78" w:rsidRPr="007A0AF8" w:rsidRDefault="00131D78" w:rsidP="00131D78">
            <w:pPr>
              <w:jc w:val="both"/>
              <w:rPr>
                <w:rFonts w:ascii="Bookman Old Style" w:eastAsia="Calibri" w:hAnsi="Bookman Old Style"/>
                <w:sz w:val="20"/>
              </w:rPr>
            </w:pPr>
            <w:r w:rsidRPr="007A0AF8">
              <w:rPr>
                <w:rFonts w:ascii="Bookman Old Style" w:eastAsia="Calibri" w:hAnsi="Bookman Old Style"/>
                <w:sz w:val="20"/>
              </w:rPr>
              <w:t xml:space="preserve"> </w:t>
            </w:r>
          </w:p>
          <w:p w14:paraId="06A3D000" w14:textId="77777777" w:rsidR="00131D78" w:rsidRDefault="00131D78" w:rsidP="00131D78">
            <w:pPr>
              <w:jc w:val="both"/>
              <w:rPr>
                <w:rFonts w:ascii="Bookman Old Style" w:eastAsia="Calibri" w:hAnsi="Bookman Old Style"/>
                <w:sz w:val="20"/>
              </w:rPr>
            </w:pPr>
            <w:r w:rsidRPr="007A7C84">
              <w:rPr>
                <w:rFonts w:ascii="Bookman Old Style" w:eastAsia="Calibri" w:hAnsi="Bookman Old Style"/>
                <w:b/>
                <w:sz w:val="20"/>
              </w:rPr>
              <w:t>ARTÍCULO 49o.</w:t>
            </w:r>
            <w:r w:rsidRPr="007A0AF8">
              <w:rPr>
                <w:rFonts w:ascii="Bookman Old Style" w:eastAsia="Calibri" w:hAnsi="Bookman Old Style"/>
                <w:sz w:val="20"/>
              </w:rPr>
              <w:t xml:space="preserve"> La atención de la salud y el saneamiento ambiental son servicios públicos a cargo del Estado. Se garantiza a todas las personas el acceso a los servicios de promoción, protección y recuperación de la salud.</w:t>
            </w:r>
          </w:p>
          <w:p w14:paraId="556F4B44" w14:textId="77777777" w:rsidR="00131D78" w:rsidRPr="007A0AF8" w:rsidRDefault="00131D78" w:rsidP="00131D78">
            <w:pPr>
              <w:jc w:val="both"/>
              <w:rPr>
                <w:rFonts w:ascii="Bookman Old Style" w:eastAsia="Calibri" w:hAnsi="Bookman Old Style"/>
                <w:sz w:val="20"/>
              </w:rPr>
            </w:pPr>
          </w:p>
          <w:p w14:paraId="29A7638B" w14:textId="77777777" w:rsidR="00131D78" w:rsidRPr="007A0AF8" w:rsidRDefault="00131D78" w:rsidP="00131D78">
            <w:pPr>
              <w:jc w:val="both"/>
              <w:rPr>
                <w:rFonts w:ascii="Bookman Old Style" w:eastAsia="Calibri" w:hAnsi="Bookman Old Style"/>
                <w:sz w:val="20"/>
              </w:rPr>
            </w:pPr>
            <w:r w:rsidRPr="007A0AF8">
              <w:rPr>
                <w:rFonts w:ascii="Bookman Old Style" w:eastAsia="Calibri" w:hAnsi="Bookman Old Style"/>
                <w:sz w:val="20"/>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15A29E4B" w14:textId="77777777" w:rsidR="00131D78" w:rsidRDefault="00131D78" w:rsidP="00131D78">
            <w:pPr>
              <w:jc w:val="both"/>
              <w:rPr>
                <w:rFonts w:ascii="Bookman Old Style" w:eastAsia="Calibri" w:hAnsi="Bookman Old Style"/>
                <w:sz w:val="20"/>
              </w:rPr>
            </w:pPr>
          </w:p>
          <w:p w14:paraId="1A9F7213" w14:textId="77777777" w:rsidR="00131D78" w:rsidRPr="007A0AF8" w:rsidRDefault="00131D78" w:rsidP="00131D78">
            <w:pPr>
              <w:jc w:val="both"/>
              <w:rPr>
                <w:rFonts w:ascii="Bookman Old Style" w:eastAsia="Calibri" w:hAnsi="Bookman Old Style"/>
                <w:sz w:val="20"/>
              </w:rPr>
            </w:pPr>
            <w:r w:rsidRPr="007A0AF8">
              <w:rPr>
                <w:rFonts w:ascii="Bookman Old Style" w:eastAsia="Calibri" w:hAnsi="Bookman Old Style"/>
                <w:sz w:val="20"/>
              </w:rPr>
              <w:t>Los servicios de salud se organizarán en forma descentralizada, por niveles de atención y con participación de la comunidad.</w:t>
            </w:r>
          </w:p>
          <w:p w14:paraId="71E7F9AC" w14:textId="77777777" w:rsidR="00131D78" w:rsidRDefault="00131D78" w:rsidP="00131D78">
            <w:pPr>
              <w:jc w:val="both"/>
              <w:rPr>
                <w:rFonts w:ascii="Bookman Old Style" w:eastAsia="Calibri" w:hAnsi="Bookman Old Style"/>
                <w:sz w:val="20"/>
              </w:rPr>
            </w:pPr>
          </w:p>
          <w:p w14:paraId="6B623338" w14:textId="77777777" w:rsidR="00131D78" w:rsidRPr="007A0AF8" w:rsidRDefault="00131D78" w:rsidP="00131D78">
            <w:pPr>
              <w:jc w:val="both"/>
              <w:rPr>
                <w:rFonts w:ascii="Bookman Old Style" w:eastAsia="Calibri" w:hAnsi="Bookman Old Style"/>
                <w:sz w:val="20"/>
              </w:rPr>
            </w:pPr>
            <w:r w:rsidRPr="007A0AF8">
              <w:rPr>
                <w:rFonts w:ascii="Bookman Old Style" w:eastAsia="Calibri" w:hAnsi="Bookman Old Style"/>
                <w:sz w:val="20"/>
              </w:rPr>
              <w:t>La ley señalará los términos en los cuales la atención básica para todos los habitantes será gratuita y obligatoria.</w:t>
            </w:r>
          </w:p>
          <w:p w14:paraId="3153CF60" w14:textId="77777777" w:rsidR="00131D78" w:rsidRDefault="00131D78" w:rsidP="00131D78">
            <w:pPr>
              <w:jc w:val="both"/>
              <w:rPr>
                <w:rFonts w:ascii="Bookman Old Style" w:eastAsia="Calibri" w:hAnsi="Bookman Old Style"/>
                <w:sz w:val="20"/>
              </w:rPr>
            </w:pPr>
          </w:p>
          <w:p w14:paraId="77475C3B" w14:textId="77777777" w:rsidR="00131D78" w:rsidRPr="007A0AF8" w:rsidRDefault="00131D78" w:rsidP="00131D78">
            <w:pPr>
              <w:jc w:val="both"/>
              <w:rPr>
                <w:rFonts w:ascii="Bookman Old Style" w:eastAsia="Calibri" w:hAnsi="Bookman Old Style"/>
                <w:sz w:val="20"/>
              </w:rPr>
            </w:pPr>
            <w:r w:rsidRPr="007A0AF8">
              <w:rPr>
                <w:rFonts w:ascii="Bookman Old Style" w:eastAsia="Calibri" w:hAnsi="Bookman Old Style"/>
                <w:sz w:val="20"/>
              </w:rPr>
              <w:t>Toda persona tiene el deber de procurar el cuidado integral de su salud y de su comunidad.</w:t>
            </w:r>
          </w:p>
          <w:p w14:paraId="07AA32C8" w14:textId="77777777" w:rsidR="00131D78" w:rsidRDefault="00131D78" w:rsidP="00131D78">
            <w:pPr>
              <w:jc w:val="both"/>
              <w:rPr>
                <w:rFonts w:ascii="Bookman Old Style" w:eastAsia="Calibri" w:hAnsi="Bookman Old Style"/>
                <w:sz w:val="20"/>
              </w:rPr>
            </w:pPr>
          </w:p>
          <w:p w14:paraId="276AD323" w14:textId="77777777" w:rsidR="00131D78" w:rsidRPr="007A0AF8" w:rsidRDefault="00131D78" w:rsidP="00131D78">
            <w:pPr>
              <w:jc w:val="both"/>
              <w:rPr>
                <w:rFonts w:ascii="Bookman Old Style" w:eastAsia="Calibri" w:hAnsi="Bookman Old Style"/>
                <w:sz w:val="20"/>
              </w:rPr>
            </w:pPr>
            <w:r w:rsidRPr="007A0AF8">
              <w:rPr>
                <w:rFonts w:ascii="Bookman Old Style" w:eastAsia="Calibri" w:hAnsi="Bookman Old Style"/>
                <w:sz w:val="20"/>
              </w:rPr>
              <w:t xml:space="preserve">El porte y el consumo de sustancias estupefacientes o psicotrópicas está prohibido, salvo prescripción médica. Con </w:t>
            </w:r>
            <w:r w:rsidRPr="007A0AF8">
              <w:rPr>
                <w:rFonts w:ascii="Bookman Old Style" w:eastAsia="Calibri" w:hAnsi="Bookman Old Style"/>
                <w:sz w:val="20"/>
              </w:rPr>
              <w:lastRenderedPageBreak/>
              <w:t>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4832AD32" w14:textId="77777777" w:rsidR="00131D78" w:rsidRDefault="00131D78" w:rsidP="007A7C84">
            <w:pPr>
              <w:jc w:val="both"/>
              <w:rPr>
                <w:rFonts w:ascii="Bookman Old Style" w:eastAsia="Calibri" w:hAnsi="Bookman Old Style"/>
                <w:sz w:val="20"/>
              </w:rPr>
            </w:pPr>
          </w:p>
          <w:p w14:paraId="5B2B3BF1" w14:textId="77777777" w:rsidR="00736122" w:rsidRDefault="00131D78" w:rsidP="007A7C84">
            <w:pPr>
              <w:jc w:val="both"/>
              <w:rPr>
                <w:rFonts w:ascii="Bookman Old Style" w:eastAsia="Calibri" w:hAnsi="Bookman Old Style"/>
                <w:sz w:val="20"/>
              </w:rPr>
            </w:pPr>
            <w:r w:rsidRPr="007A0AF8">
              <w:rPr>
                <w:rFonts w:ascii="Bookman Old Style" w:eastAsia="Calibri" w:hAnsi="Bookman Old Style"/>
                <w:sz w:val="20"/>
              </w:rPr>
              <w:t xml:space="preserve">La prohibición prevista en el inciso anterior no aplicará frente al cannabis y sus derivados para el uso </w:t>
            </w:r>
            <w:r w:rsidRPr="00B25D49">
              <w:rPr>
                <w:rFonts w:ascii="Bookman Old Style" w:eastAsia="Calibri" w:hAnsi="Bookman Old Style"/>
                <w:b/>
                <w:strike/>
                <w:sz w:val="20"/>
              </w:rPr>
              <w:t>recreativo</w:t>
            </w:r>
            <w:r w:rsidRPr="007A0AF8">
              <w:rPr>
                <w:rFonts w:ascii="Bookman Old Style" w:eastAsia="Calibri" w:hAnsi="Bookman Old Style"/>
                <w:sz w:val="20"/>
              </w:rPr>
              <w:t xml:space="preserve"> por parte de mayores de edad. Tampoco aplicará para la destinación científica de estas sustancias, siempre y cuando se cuente con las licencias otorgadas por la autoridad competente.</w:t>
            </w:r>
            <w:r>
              <w:rPr>
                <w:rFonts w:ascii="Bookman Old Style" w:eastAsia="Calibri" w:hAnsi="Bookman Old Style"/>
                <w:sz w:val="20"/>
              </w:rPr>
              <w:t xml:space="preserve"> </w:t>
            </w:r>
            <w:r w:rsidRPr="00131D78">
              <w:rPr>
                <w:rFonts w:ascii="Bookman Old Style" w:eastAsia="Calibri" w:hAnsi="Bookman Old Style"/>
                <w:sz w:val="20"/>
              </w:rPr>
              <w:t>La Ley podrá restringir y sancionar el porte y consumo del cannabis y sus derivados en espacios públicos</w:t>
            </w:r>
            <w:r w:rsidRPr="00131D78">
              <w:rPr>
                <w:rFonts w:ascii="Bookman Old Style" w:eastAsia="Calibri" w:hAnsi="Bookman Old Style"/>
                <w:b/>
                <w:sz w:val="20"/>
                <w:u w:val="single"/>
              </w:rPr>
              <w:t>,</w:t>
            </w:r>
            <w:r w:rsidRPr="00131D78">
              <w:rPr>
                <w:rFonts w:ascii="Bookman Old Style" w:eastAsia="Calibri" w:hAnsi="Bookman Old Style"/>
                <w:sz w:val="20"/>
              </w:rPr>
              <w:t xml:space="preserve"> zonas comunes</w:t>
            </w:r>
            <w:r w:rsidRPr="00131D78">
              <w:rPr>
                <w:rFonts w:ascii="Bookman Old Style" w:eastAsia="Calibri" w:hAnsi="Bookman Old Style"/>
                <w:b/>
                <w:strike/>
                <w:sz w:val="20"/>
              </w:rPr>
              <w:t>,</w:t>
            </w:r>
            <w:r w:rsidRPr="00131D78">
              <w:rPr>
                <w:rFonts w:ascii="Bookman Old Style" w:eastAsia="Calibri" w:hAnsi="Bookman Old Style"/>
                <w:sz w:val="20"/>
              </w:rPr>
              <w:t xml:space="preserve"> y entornos escolares, entre otros.</w:t>
            </w:r>
          </w:p>
          <w:p w14:paraId="24A77228" w14:textId="77777777" w:rsidR="00131D78" w:rsidRDefault="00131D78" w:rsidP="007A7C84">
            <w:pPr>
              <w:jc w:val="both"/>
              <w:rPr>
                <w:rFonts w:ascii="Bookman Old Style" w:eastAsia="Calibri" w:hAnsi="Bookman Old Style"/>
                <w:sz w:val="20"/>
              </w:rPr>
            </w:pPr>
          </w:p>
          <w:p w14:paraId="46D327B2" w14:textId="77777777" w:rsidR="00131D78" w:rsidRPr="007A0AF8" w:rsidRDefault="00131D78" w:rsidP="007A7C84">
            <w:pPr>
              <w:jc w:val="both"/>
              <w:rPr>
                <w:rFonts w:ascii="Bookman Old Style" w:eastAsia="Calibri" w:hAnsi="Bookman Old Style"/>
                <w:sz w:val="20"/>
              </w:rPr>
            </w:pPr>
            <w:r w:rsidRPr="007A0AF8">
              <w:rPr>
                <w:rFonts w:ascii="Bookman Old Style" w:eastAsia="Calibri" w:hAnsi="Bookman Old Style"/>
                <w:sz w:val="20"/>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tc>
      </w:tr>
      <w:tr w:rsidR="00736122" w:rsidRPr="007A0AF8" w14:paraId="1E3637E5" w14:textId="77777777" w:rsidTr="007A7C84">
        <w:tc>
          <w:tcPr>
            <w:tcW w:w="4414" w:type="dxa"/>
          </w:tcPr>
          <w:p w14:paraId="6FA98B63" w14:textId="54E724A7" w:rsidR="00736122" w:rsidRPr="007A0AF8" w:rsidRDefault="007A7C84" w:rsidP="00892A0A">
            <w:pPr>
              <w:jc w:val="both"/>
              <w:rPr>
                <w:rFonts w:ascii="Bookman Old Style" w:eastAsia="Calibri" w:hAnsi="Bookman Old Style"/>
                <w:sz w:val="20"/>
              </w:rPr>
            </w:pPr>
            <w:r w:rsidRPr="007A7C84">
              <w:rPr>
                <w:rFonts w:ascii="Bookman Old Style" w:eastAsia="Calibri" w:hAnsi="Bookman Old Style"/>
                <w:b/>
                <w:sz w:val="20"/>
              </w:rPr>
              <w:lastRenderedPageBreak/>
              <w:t>ARTÍCULO NUEVO.</w:t>
            </w:r>
            <w:r>
              <w:rPr>
                <w:rFonts w:ascii="Bookman Old Style" w:eastAsia="Calibri" w:hAnsi="Bookman Old Style"/>
                <w:sz w:val="20"/>
              </w:rPr>
              <w:t xml:space="preserve"> </w:t>
            </w:r>
            <w:r w:rsidR="00892A0A" w:rsidRPr="00892A0A">
              <w:rPr>
                <w:rFonts w:ascii="Bookman Old Style" w:eastAsia="Calibri" w:hAnsi="Bookman Old Style"/>
                <w:sz w:val="20"/>
              </w:rPr>
              <w:t>Se creará una política pública estricta para la prevención y atención del consumo del cannabis y se dictará una catedra sobre las consecuencias del consumo.</w:t>
            </w:r>
          </w:p>
        </w:tc>
        <w:tc>
          <w:tcPr>
            <w:tcW w:w="4414" w:type="dxa"/>
          </w:tcPr>
          <w:p w14:paraId="56553745" w14:textId="45B57A28" w:rsidR="00736122" w:rsidRPr="007A0AF8" w:rsidRDefault="007A7C84" w:rsidP="00892A0A">
            <w:pPr>
              <w:jc w:val="both"/>
              <w:rPr>
                <w:rFonts w:ascii="Bookman Old Style" w:eastAsia="Calibri" w:hAnsi="Bookman Old Style"/>
                <w:sz w:val="20"/>
              </w:rPr>
            </w:pPr>
            <w:r>
              <w:rPr>
                <w:rFonts w:ascii="Bookman Old Style" w:eastAsia="Calibri" w:hAnsi="Bookman Old Style"/>
                <w:b/>
                <w:sz w:val="20"/>
              </w:rPr>
              <w:t xml:space="preserve">ARTÍCULO </w:t>
            </w:r>
            <w:r w:rsidRPr="007A7C84">
              <w:rPr>
                <w:rFonts w:ascii="Bookman Old Style" w:eastAsia="Calibri" w:hAnsi="Bookman Old Style"/>
                <w:b/>
                <w:sz w:val="20"/>
                <w:u w:val="single"/>
              </w:rPr>
              <w:t>2 TRANSITORIO</w:t>
            </w:r>
            <w:r w:rsidRPr="007A7C84">
              <w:rPr>
                <w:rFonts w:ascii="Bookman Old Style" w:eastAsia="Calibri" w:hAnsi="Bookman Old Style"/>
                <w:b/>
                <w:sz w:val="20"/>
              </w:rPr>
              <w:t>.</w:t>
            </w:r>
            <w:r>
              <w:rPr>
                <w:rFonts w:ascii="Bookman Old Style" w:eastAsia="Calibri" w:hAnsi="Bookman Old Style"/>
                <w:sz w:val="20"/>
              </w:rPr>
              <w:t xml:space="preserve"> </w:t>
            </w:r>
            <w:r w:rsidRPr="007A7C84">
              <w:rPr>
                <w:rFonts w:ascii="Bookman Old Style" w:eastAsia="Calibri" w:hAnsi="Bookman Old Style"/>
                <w:b/>
                <w:sz w:val="20"/>
                <w:u w:val="single"/>
              </w:rPr>
              <w:t>El Gobierno Nacional tendrá un plazo de seis (6) meses, contados a partir de la promulgación del presente Acto Legislativo, para formular, divulgar e</w:t>
            </w:r>
            <w:r>
              <w:rPr>
                <w:rFonts w:ascii="Bookman Old Style" w:eastAsia="Calibri" w:hAnsi="Bookman Old Style"/>
                <w:sz w:val="20"/>
              </w:rPr>
              <w:t xml:space="preserve"> </w:t>
            </w:r>
            <w:r w:rsidRPr="00892A0A">
              <w:rPr>
                <w:rFonts w:ascii="Bookman Old Style" w:eastAsia="Calibri" w:hAnsi="Bookman Old Style"/>
                <w:b/>
                <w:sz w:val="20"/>
                <w:u w:val="single"/>
              </w:rPr>
              <w:t>implementar</w:t>
            </w:r>
            <w:r w:rsidRPr="007A7C84">
              <w:rPr>
                <w:rFonts w:ascii="Bookman Old Style" w:eastAsia="Calibri" w:hAnsi="Bookman Old Style"/>
                <w:sz w:val="20"/>
              </w:rPr>
              <w:t xml:space="preserve"> </w:t>
            </w:r>
            <w:r w:rsidR="00892A0A" w:rsidRPr="00892A0A">
              <w:rPr>
                <w:rFonts w:ascii="Bookman Old Style" w:eastAsia="Calibri" w:hAnsi="Bookman Old Style"/>
                <w:b/>
                <w:strike/>
                <w:sz w:val="20"/>
              </w:rPr>
              <w:t>Se creará</w:t>
            </w:r>
            <w:r w:rsidR="00892A0A" w:rsidRPr="007A7C84">
              <w:rPr>
                <w:rFonts w:ascii="Bookman Old Style" w:eastAsia="Calibri" w:hAnsi="Bookman Old Style"/>
                <w:sz w:val="20"/>
              </w:rPr>
              <w:t xml:space="preserve"> </w:t>
            </w:r>
            <w:r w:rsidRPr="007A7C84">
              <w:rPr>
                <w:rFonts w:ascii="Bookman Old Style" w:eastAsia="Calibri" w:hAnsi="Bookman Old Style"/>
                <w:sz w:val="20"/>
              </w:rPr>
              <w:t xml:space="preserve">una política pública estricta </w:t>
            </w:r>
            <w:r w:rsidR="00892A0A">
              <w:rPr>
                <w:rFonts w:ascii="Bookman Old Style" w:eastAsia="Calibri" w:hAnsi="Bookman Old Style"/>
                <w:b/>
                <w:strike/>
                <w:sz w:val="20"/>
              </w:rPr>
              <w:t>para</w:t>
            </w:r>
            <w:r w:rsidR="00892A0A" w:rsidRPr="007A7C84">
              <w:rPr>
                <w:rFonts w:ascii="Bookman Old Style" w:eastAsia="Calibri" w:hAnsi="Bookman Old Style"/>
                <w:sz w:val="20"/>
              </w:rPr>
              <w:t xml:space="preserve"> </w:t>
            </w:r>
            <w:r w:rsidRPr="00892A0A">
              <w:rPr>
                <w:rFonts w:ascii="Bookman Old Style" w:eastAsia="Calibri" w:hAnsi="Bookman Old Style"/>
                <w:b/>
                <w:sz w:val="20"/>
                <w:u w:val="single"/>
              </w:rPr>
              <w:t>en torno a</w:t>
            </w:r>
            <w:r w:rsidRPr="007A7C84">
              <w:rPr>
                <w:rFonts w:ascii="Bookman Old Style" w:eastAsia="Calibri" w:hAnsi="Bookman Old Style"/>
                <w:sz w:val="20"/>
              </w:rPr>
              <w:t xml:space="preserve"> la prev</w:t>
            </w:r>
            <w:r>
              <w:rPr>
                <w:rFonts w:ascii="Bookman Old Style" w:eastAsia="Calibri" w:hAnsi="Bookman Old Style"/>
                <w:sz w:val="20"/>
              </w:rPr>
              <w:t xml:space="preserve">ención </w:t>
            </w:r>
            <w:r w:rsidR="00892A0A" w:rsidRPr="00892A0A">
              <w:rPr>
                <w:rFonts w:ascii="Bookman Old Style" w:eastAsia="Calibri" w:hAnsi="Bookman Old Style"/>
                <w:sz w:val="20"/>
              </w:rPr>
              <w:t>y atención</w:t>
            </w:r>
            <w:r w:rsidR="00892A0A">
              <w:rPr>
                <w:rFonts w:ascii="Bookman Old Style" w:eastAsia="Calibri" w:hAnsi="Bookman Old Style"/>
                <w:sz w:val="20"/>
              </w:rPr>
              <w:t xml:space="preserve"> </w:t>
            </w:r>
            <w:r>
              <w:rPr>
                <w:rFonts w:ascii="Bookman Old Style" w:eastAsia="Calibri" w:hAnsi="Bookman Old Style"/>
                <w:sz w:val="20"/>
              </w:rPr>
              <w:t>del consumo del cannabis</w:t>
            </w:r>
            <w:r w:rsidRPr="007A7C84">
              <w:rPr>
                <w:rFonts w:ascii="Bookman Old Style" w:eastAsia="Calibri" w:hAnsi="Bookman Old Style"/>
                <w:b/>
                <w:sz w:val="20"/>
                <w:u w:val="single"/>
              </w:rPr>
              <w:t>, dicha política debe estar acompañada con una estrategia educativa nacional integral que tenga como objetivo la prevención</w:t>
            </w:r>
            <w:r w:rsidR="00892A0A" w:rsidRPr="00892A0A">
              <w:rPr>
                <w:rFonts w:ascii="Bookman Old Style" w:eastAsia="Calibri" w:hAnsi="Bookman Old Style"/>
                <w:sz w:val="20"/>
              </w:rPr>
              <w:t xml:space="preserve"> </w:t>
            </w:r>
            <w:r w:rsidR="00892A0A" w:rsidRPr="00892A0A">
              <w:rPr>
                <w:rFonts w:ascii="Bookman Old Style" w:eastAsia="Calibri" w:hAnsi="Bookman Old Style"/>
                <w:b/>
                <w:strike/>
                <w:sz w:val="20"/>
              </w:rPr>
              <w:t xml:space="preserve">y se dictará una catedra sobre las consecuencias </w:t>
            </w:r>
            <w:r w:rsidRPr="007A7C84">
              <w:rPr>
                <w:rFonts w:ascii="Bookman Old Style" w:eastAsia="Calibri" w:hAnsi="Bookman Old Style"/>
                <w:sz w:val="20"/>
              </w:rPr>
              <w:t>del consumo.</w:t>
            </w:r>
          </w:p>
        </w:tc>
      </w:tr>
      <w:tr w:rsidR="00736122" w:rsidRPr="007A0AF8" w14:paraId="5F737793" w14:textId="77777777" w:rsidTr="007A7C84">
        <w:tc>
          <w:tcPr>
            <w:tcW w:w="4414" w:type="dxa"/>
          </w:tcPr>
          <w:p w14:paraId="210B2043" w14:textId="77777777" w:rsidR="00736122" w:rsidRPr="007A7C84" w:rsidRDefault="007A7C84" w:rsidP="007A7C84">
            <w:pPr>
              <w:pStyle w:val="NormalWeb"/>
              <w:tabs>
                <w:tab w:val="left" w:pos="1834"/>
              </w:tabs>
              <w:jc w:val="both"/>
              <w:rPr>
                <w:rFonts w:ascii="Bookman Old Style" w:hAnsi="Bookman Old Style" w:cs="Calibri"/>
                <w:sz w:val="22"/>
                <w:szCs w:val="22"/>
              </w:rPr>
            </w:pPr>
            <w:r w:rsidRPr="007A7C84">
              <w:rPr>
                <w:rFonts w:ascii="Bookman Old Style" w:hAnsi="Bookman Old Style" w:cs="Calibri"/>
                <w:b/>
                <w:bCs/>
                <w:sz w:val="20"/>
                <w:szCs w:val="22"/>
              </w:rPr>
              <w:lastRenderedPageBreak/>
              <w:t>ARTÍCULO 2. VIGENCIA.</w:t>
            </w:r>
            <w:r w:rsidRPr="007A7C84">
              <w:rPr>
                <w:rFonts w:ascii="Bookman Old Style" w:hAnsi="Bookman Old Style" w:cs="Calibri"/>
                <w:sz w:val="20"/>
                <w:szCs w:val="22"/>
              </w:rPr>
              <w:t> El presente Acto Legislativo rige a partir de su promulgación.</w:t>
            </w:r>
          </w:p>
        </w:tc>
        <w:tc>
          <w:tcPr>
            <w:tcW w:w="4414" w:type="dxa"/>
          </w:tcPr>
          <w:p w14:paraId="42E17C89" w14:textId="77777777" w:rsidR="00736122" w:rsidRPr="007A0AF8" w:rsidRDefault="007A7C84" w:rsidP="007A7C84">
            <w:pPr>
              <w:jc w:val="both"/>
              <w:rPr>
                <w:rFonts w:ascii="Bookman Old Style" w:eastAsia="Calibri" w:hAnsi="Bookman Old Style"/>
                <w:sz w:val="20"/>
              </w:rPr>
            </w:pPr>
            <w:r w:rsidRPr="007A7C84">
              <w:rPr>
                <w:rFonts w:ascii="Bookman Old Style" w:hAnsi="Bookman Old Style" w:cs="Calibri"/>
                <w:b/>
                <w:bCs/>
                <w:sz w:val="20"/>
              </w:rPr>
              <w:t xml:space="preserve">ARTÍCULO </w:t>
            </w:r>
            <w:r w:rsidRPr="007A7C84">
              <w:rPr>
                <w:rFonts w:ascii="Bookman Old Style" w:hAnsi="Bookman Old Style" w:cs="Calibri"/>
                <w:b/>
                <w:bCs/>
                <w:strike/>
                <w:sz w:val="20"/>
              </w:rPr>
              <w:t>2</w:t>
            </w:r>
            <w:r w:rsidRPr="007A7C84">
              <w:rPr>
                <w:rFonts w:ascii="Bookman Old Style" w:hAnsi="Bookman Old Style" w:cs="Calibri"/>
                <w:b/>
                <w:bCs/>
                <w:sz w:val="20"/>
                <w:u w:val="single"/>
              </w:rPr>
              <w:t>3</w:t>
            </w:r>
            <w:r w:rsidRPr="007A7C84">
              <w:rPr>
                <w:rFonts w:ascii="Bookman Old Style" w:hAnsi="Bookman Old Style" w:cs="Calibri"/>
                <w:b/>
                <w:bCs/>
                <w:sz w:val="20"/>
              </w:rPr>
              <w:t>. VIGENCIA.</w:t>
            </w:r>
            <w:r w:rsidRPr="007A7C84">
              <w:rPr>
                <w:rFonts w:ascii="Bookman Old Style" w:hAnsi="Bookman Old Style" w:cs="Calibri"/>
                <w:sz w:val="20"/>
              </w:rPr>
              <w:t> El presente Acto Legislativo rige a partir de su promulgación.</w:t>
            </w:r>
            <w:r>
              <w:rPr>
                <w:rFonts w:ascii="Bookman Old Style" w:hAnsi="Bookman Old Style" w:cs="Calibri"/>
                <w:sz w:val="20"/>
              </w:rPr>
              <w:t xml:space="preserve"> </w:t>
            </w:r>
            <w:r w:rsidRPr="007A7C84">
              <w:rPr>
                <w:rFonts w:ascii="Bookman Old Style" w:hAnsi="Bookman Old Style" w:cs="Calibri"/>
                <w:b/>
                <w:sz w:val="20"/>
                <w:u w:val="single"/>
              </w:rPr>
              <w:t>El artículo 1 entrará en vigencia doce (12) meses después de la promulgación de este Acto Legislativo.</w:t>
            </w:r>
          </w:p>
        </w:tc>
      </w:tr>
    </w:tbl>
    <w:p w14:paraId="6BBF1A24" w14:textId="77777777" w:rsidR="00736122" w:rsidRPr="00736122" w:rsidRDefault="00736122" w:rsidP="00736122">
      <w:pPr>
        <w:rPr>
          <w:rFonts w:eastAsia="Calibri"/>
        </w:rPr>
      </w:pPr>
    </w:p>
    <w:p w14:paraId="1D5ACBD2" w14:textId="77777777" w:rsidR="00A22CFE" w:rsidRDefault="00A22CFE" w:rsidP="00207603">
      <w:pPr>
        <w:pStyle w:val="Heading2"/>
        <w:numPr>
          <w:ilvl w:val="0"/>
          <w:numId w:val="35"/>
        </w:numPr>
        <w:jc w:val="both"/>
        <w:rPr>
          <w:rFonts w:ascii="Bookman Old Style" w:eastAsia="Calibri" w:hAnsi="Bookman Old Style" w:cs="Calibri"/>
          <w:sz w:val="22"/>
          <w:szCs w:val="22"/>
        </w:rPr>
      </w:pPr>
      <w:r>
        <w:rPr>
          <w:rFonts w:ascii="Bookman Old Style" w:eastAsia="Calibri" w:hAnsi="Bookman Old Style" w:cs="Calibri"/>
          <w:sz w:val="22"/>
          <w:szCs w:val="22"/>
        </w:rPr>
        <w:t>PROPOSICIÓN</w:t>
      </w:r>
    </w:p>
    <w:p w14:paraId="3F49EAC4" w14:textId="77777777" w:rsidR="00A22CFE" w:rsidRDefault="00A22CFE" w:rsidP="00A22CFE">
      <w:pPr>
        <w:jc w:val="both"/>
        <w:rPr>
          <w:rFonts w:ascii="Bookman Old Style" w:hAnsi="Bookman Old Style" w:cs="Arial"/>
        </w:rPr>
      </w:pPr>
    </w:p>
    <w:p w14:paraId="11C032E1" w14:textId="77777777" w:rsidR="00A22CFE" w:rsidRPr="00A22CFE" w:rsidRDefault="00A22CFE" w:rsidP="00A22CFE">
      <w:pPr>
        <w:jc w:val="both"/>
        <w:rPr>
          <w:rFonts w:ascii="Bookman Old Style" w:hAnsi="Bookman Old Style" w:cs="Arial"/>
          <w:b/>
        </w:rPr>
      </w:pPr>
      <w:r w:rsidRPr="00A22CFE">
        <w:rPr>
          <w:rFonts w:ascii="Bookman Old Style" w:hAnsi="Bookman Old Style" w:cs="Arial"/>
        </w:rPr>
        <w:t xml:space="preserve">Con fundamento en las anteriores consideraciones, presento </w:t>
      </w:r>
      <w:r w:rsidRPr="00207603">
        <w:rPr>
          <w:rFonts w:ascii="Bookman Old Style" w:hAnsi="Bookman Old Style" w:cs="Arial"/>
          <w:b/>
        </w:rPr>
        <w:t>ponencia positiva</w:t>
      </w:r>
      <w:r w:rsidR="00736122">
        <w:rPr>
          <w:rFonts w:ascii="Bookman Old Style" w:hAnsi="Bookman Old Style" w:cs="Arial"/>
          <w:b/>
        </w:rPr>
        <w:t>, con modificaciones</w:t>
      </w:r>
      <w:r w:rsidRPr="00A22CFE">
        <w:rPr>
          <w:rFonts w:ascii="Bookman Old Style" w:hAnsi="Bookman Old Style" w:cs="Arial"/>
        </w:rPr>
        <w:t xml:space="preserve"> </w:t>
      </w:r>
      <w:r w:rsidR="00736122">
        <w:rPr>
          <w:rFonts w:ascii="Bookman Old Style" w:hAnsi="Bookman Old Style" w:cs="Arial"/>
        </w:rPr>
        <w:t xml:space="preserve">al texto aprobado en primer debate en primera vuelta y, </w:t>
      </w:r>
      <w:r>
        <w:rPr>
          <w:rFonts w:ascii="Bookman Old Style" w:hAnsi="Bookman Old Style" w:cs="Arial"/>
        </w:rPr>
        <w:t xml:space="preserve"> </w:t>
      </w:r>
      <w:r w:rsidR="00736122">
        <w:rPr>
          <w:rFonts w:ascii="Bookman Old Style" w:hAnsi="Bookman Old Style" w:cs="Arial"/>
        </w:rPr>
        <w:t xml:space="preserve">en consecuencia, </w:t>
      </w:r>
      <w:r w:rsidRPr="00A22CFE">
        <w:rPr>
          <w:rFonts w:ascii="Bookman Old Style" w:hAnsi="Bookman Old Style" w:cs="Arial"/>
        </w:rPr>
        <w:t>solicito a los Honorables Representantes q</w:t>
      </w:r>
      <w:r w:rsidR="00736122">
        <w:rPr>
          <w:rFonts w:ascii="Bookman Old Style" w:hAnsi="Bookman Old Style" w:cs="Arial"/>
        </w:rPr>
        <w:t xml:space="preserve">ue integran la Plenaria </w:t>
      </w:r>
      <w:r w:rsidRPr="00A22CFE">
        <w:rPr>
          <w:rFonts w:ascii="Bookman Old Style" w:hAnsi="Bookman Old Style" w:cs="Arial"/>
        </w:rPr>
        <w:t>de la Cáma</w:t>
      </w:r>
      <w:r w:rsidR="00736122">
        <w:rPr>
          <w:rFonts w:ascii="Bookman Old Style" w:hAnsi="Bookman Old Style" w:cs="Arial"/>
        </w:rPr>
        <w:t>ra de Representantes, dar Segundo</w:t>
      </w:r>
      <w:r w:rsidRPr="00A22CFE">
        <w:rPr>
          <w:rFonts w:ascii="Bookman Old Style" w:hAnsi="Bookman Old Style" w:cs="Arial"/>
        </w:rPr>
        <w:t xml:space="preserve"> Debate </w:t>
      </w:r>
      <w:r w:rsidR="00883B56">
        <w:rPr>
          <w:rFonts w:ascii="Bookman Old Style" w:hAnsi="Bookman Old Style" w:cs="Arial"/>
        </w:rPr>
        <w:t xml:space="preserve">en primera vuelta </w:t>
      </w:r>
      <w:r w:rsidRPr="00A22CFE">
        <w:rPr>
          <w:rFonts w:ascii="Bookman Old Style" w:hAnsi="Bookman Old Style" w:cs="Arial"/>
        </w:rPr>
        <w:t xml:space="preserve">al </w:t>
      </w:r>
      <w:r>
        <w:rPr>
          <w:rFonts w:ascii="Bookman Old Style" w:hAnsi="Bookman Old Style" w:cs="Arial"/>
          <w:bCs/>
          <w:lang w:val="es-ES_tradnl"/>
        </w:rPr>
        <w:t>Proyecto de Acto Legislativo número 006 de 2020</w:t>
      </w:r>
      <w:r w:rsidRPr="00A22CFE">
        <w:rPr>
          <w:rFonts w:ascii="Bookman Old Style" w:hAnsi="Bookman Old Style" w:cs="Arial"/>
          <w:bCs/>
          <w:lang w:val="es-ES_tradnl"/>
        </w:rPr>
        <w:t xml:space="preserve"> Cámara</w:t>
      </w:r>
      <w:r w:rsidRPr="00A22CFE">
        <w:rPr>
          <w:rFonts w:ascii="Bookman Old Style" w:hAnsi="Bookman Old Style" w:cs="Arial"/>
          <w:lang w:val="es-ES"/>
        </w:rPr>
        <w:t xml:space="preserve"> </w:t>
      </w:r>
      <w:r w:rsidRPr="00A22CFE">
        <w:rPr>
          <w:rFonts w:ascii="Bookman Old Style" w:hAnsi="Bookman Old Style" w:cs="Arial"/>
          <w:i/>
        </w:rPr>
        <w:t>“Por medio del cual se modifica el artículo 49</w:t>
      </w:r>
      <w:r w:rsidRPr="00A22CFE">
        <w:rPr>
          <w:rFonts w:ascii="Bookman Old Style" w:hAnsi="Bookman Old Style" w:cs="Arial"/>
          <w:b/>
          <w:bCs/>
          <w:i/>
        </w:rPr>
        <w:t> </w:t>
      </w:r>
      <w:r w:rsidRPr="00A22CFE">
        <w:rPr>
          <w:rFonts w:ascii="Bookman Old Style" w:hAnsi="Bookman Old Style" w:cs="Arial"/>
          <w:i/>
        </w:rPr>
        <w:t>de la Constitución Política de Colombia y se regulariza el uso recreativo del Cannabis”.</w:t>
      </w:r>
    </w:p>
    <w:p w14:paraId="156C94C4" w14:textId="77777777" w:rsidR="00A22CFE" w:rsidRPr="00A22CFE" w:rsidRDefault="00A22CFE" w:rsidP="00A22CFE">
      <w:pPr>
        <w:jc w:val="both"/>
        <w:rPr>
          <w:rFonts w:ascii="Bookman Old Style" w:hAnsi="Bookman Old Style" w:cs="Arial"/>
        </w:rPr>
      </w:pPr>
    </w:p>
    <w:p w14:paraId="0193F16F" w14:textId="77777777" w:rsidR="00A22CFE" w:rsidRPr="00F46028" w:rsidRDefault="00A22CFE" w:rsidP="00A22CFE">
      <w:pPr>
        <w:jc w:val="both"/>
        <w:rPr>
          <w:rFonts w:ascii="Bookman Old Style" w:hAnsi="Bookman Old Style" w:cs="Arial"/>
        </w:rPr>
      </w:pPr>
      <w:r w:rsidRPr="00F46028">
        <w:rPr>
          <w:rFonts w:ascii="Bookman Old Style" w:hAnsi="Bookman Old Style" w:cs="Arial"/>
        </w:rPr>
        <w:t>Cordialmente,</w:t>
      </w:r>
    </w:p>
    <w:p w14:paraId="23A1D4B7" w14:textId="77777777" w:rsidR="00A22CFE" w:rsidRPr="00F46028" w:rsidRDefault="00A22CFE" w:rsidP="00A22CFE">
      <w:pPr>
        <w:contextualSpacing/>
        <w:jc w:val="both"/>
        <w:rPr>
          <w:rFonts w:ascii="Bookman Old Style" w:hAnsi="Bookman Old Style"/>
          <w:color w:val="000000" w:themeColor="text1"/>
        </w:rPr>
      </w:pPr>
    </w:p>
    <w:p w14:paraId="126A3C76" w14:textId="77777777" w:rsidR="00A22CFE" w:rsidRDefault="00A22CFE" w:rsidP="00A22CFE">
      <w:pPr>
        <w:contextualSpacing/>
        <w:jc w:val="both"/>
        <w:rPr>
          <w:rFonts w:ascii="Bookman Old Style" w:hAnsi="Bookman Old Style"/>
          <w:color w:val="000000" w:themeColor="text1"/>
        </w:rPr>
      </w:pPr>
    </w:p>
    <w:p w14:paraId="109E40E4" w14:textId="77777777" w:rsidR="008C1E9F" w:rsidRPr="00F46028" w:rsidRDefault="008C1E9F" w:rsidP="00A22CFE">
      <w:pPr>
        <w:contextualSpacing/>
        <w:jc w:val="both"/>
        <w:rPr>
          <w:rFonts w:ascii="Bookman Old Style" w:hAnsi="Bookman Old Style"/>
          <w:color w:val="000000" w:themeColor="text1"/>
        </w:rPr>
      </w:pPr>
    </w:p>
    <w:p w14:paraId="222C27A2" w14:textId="77777777" w:rsidR="00A22CFE" w:rsidRPr="00F46028" w:rsidRDefault="00A22CFE" w:rsidP="00A22CFE">
      <w:pPr>
        <w:contextualSpacing/>
        <w:jc w:val="both"/>
        <w:rPr>
          <w:rFonts w:ascii="Bookman Old Style" w:hAnsi="Bookman Old Style"/>
          <w:color w:val="000000" w:themeColor="text1"/>
        </w:rPr>
      </w:pPr>
    </w:p>
    <w:p w14:paraId="12F947E9" w14:textId="77777777" w:rsidR="00A22CFE" w:rsidRPr="00F46028" w:rsidRDefault="00A22CFE" w:rsidP="00A22CFE">
      <w:pPr>
        <w:contextualSpacing/>
        <w:jc w:val="both"/>
        <w:rPr>
          <w:rFonts w:ascii="Bookman Old Style" w:hAnsi="Bookman Old Style"/>
          <w:color w:val="000000" w:themeColor="text1"/>
        </w:rPr>
      </w:pPr>
    </w:p>
    <w:p w14:paraId="00486D82" w14:textId="77777777" w:rsidR="00A22CFE" w:rsidRPr="00F46028" w:rsidRDefault="00A22CFE" w:rsidP="00A22CFE">
      <w:pPr>
        <w:pStyle w:val="NoSpacing"/>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759DC45D" w14:textId="77777777" w:rsidR="00A22CFE" w:rsidRPr="00F46028" w:rsidRDefault="00A22CFE" w:rsidP="00A22CFE">
      <w:pPr>
        <w:pStyle w:val="NoSpacing"/>
        <w:tabs>
          <w:tab w:val="left" w:pos="8055"/>
        </w:tabs>
        <w:jc w:val="center"/>
        <w:rPr>
          <w:rFonts w:ascii="Bookman Old Style" w:hAnsi="Bookman Old Style" w:cs="Arial"/>
        </w:rPr>
      </w:pPr>
      <w:r w:rsidRPr="00F46028">
        <w:rPr>
          <w:rFonts w:ascii="Bookman Old Style" w:hAnsi="Bookman Old Style" w:cs="Arial"/>
        </w:rPr>
        <w:t>Representante a la Cámara</w:t>
      </w:r>
    </w:p>
    <w:p w14:paraId="40832BD2" w14:textId="77777777" w:rsidR="00A22CFE" w:rsidRPr="00F46028" w:rsidRDefault="00A22CFE" w:rsidP="00A22CFE">
      <w:pPr>
        <w:pStyle w:val="NoSpacing"/>
        <w:tabs>
          <w:tab w:val="left" w:pos="8055"/>
        </w:tabs>
        <w:jc w:val="center"/>
        <w:rPr>
          <w:rFonts w:ascii="Bookman Old Style" w:hAnsi="Bookman Old Style" w:cs="Arial"/>
        </w:rPr>
      </w:pPr>
      <w:r w:rsidRPr="00F46028">
        <w:rPr>
          <w:rFonts w:ascii="Bookman Old Style" w:hAnsi="Bookman Old Style" w:cs="Arial"/>
        </w:rPr>
        <w:t>Ponente</w:t>
      </w:r>
    </w:p>
    <w:p w14:paraId="0334E37F" w14:textId="77777777" w:rsidR="00A22CFE" w:rsidRPr="00F46028" w:rsidRDefault="00A22CFE" w:rsidP="00A22CFE">
      <w:pPr>
        <w:pStyle w:val="NoSpacing"/>
        <w:tabs>
          <w:tab w:val="left" w:pos="8055"/>
        </w:tabs>
        <w:jc w:val="center"/>
        <w:rPr>
          <w:rFonts w:ascii="Bookman Old Style" w:hAnsi="Bookman Old Style" w:cs="Arial"/>
        </w:rPr>
      </w:pPr>
    </w:p>
    <w:p w14:paraId="1F082833" w14:textId="77777777" w:rsidR="008C1E9F" w:rsidRDefault="008C1E9F" w:rsidP="00A22CFE">
      <w:pPr>
        <w:rPr>
          <w:rFonts w:eastAsia="Calibri"/>
          <w:lang w:val="es-ES"/>
        </w:rPr>
      </w:pPr>
    </w:p>
    <w:p w14:paraId="419ED804" w14:textId="77777777" w:rsidR="00131D78" w:rsidRDefault="00131D78" w:rsidP="00A22CFE">
      <w:pPr>
        <w:rPr>
          <w:rFonts w:eastAsia="Calibri"/>
          <w:lang w:val="es-ES"/>
        </w:rPr>
      </w:pPr>
    </w:p>
    <w:p w14:paraId="083821BC" w14:textId="77777777" w:rsidR="003160C3" w:rsidRDefault="003160C3" w:rsidP="00A22CFE">
      <w:pPr>
        <w:rPr>
          <w:rFonts w:eastAsia="Calibri"/>
          <w:lang w:val="es-ES"/>
        </w:rPr>
      </w:pPr>
    </w:p>
    <w:p w14:paraId="6C72CEAF" w14:textId="77777777" w:rsidR="003160C3" w:rsidRDefault="003160C3" w:rsidP="00A22CFE">
      <w:pPr>
        <w:rPr>
          <w:rFonts w:eastAsia="Calibri"/>
          <w:lang w:val="es-ES"/>
        </w:rPr>
      </w:pPr>
    </w:p>
    <w:p w14:paraId="0B7001EB" w14:textId="77777777" w:rsidR="003160C3" w:rsidRDefault="003160C3" w:rsidP="00A22CFE">
      <w:pPr>
        <w:rPr>
          <w:rFonts w:eastAsia="Calibri"/>
          <w:lang w:val="es-ES"/>
        </w:rPr>
      </w:pPr>
    </w:p>
    <w:p w14:paraId="63064F0A" w14:textId="77777777" w:rsidR="003160C3" w:rsidRDefault="003160C3" w:rsidP="00A22CFE">
      <w:pPr>
        <w:rPr>
          <w:rFonts w:eastAsia="Calibri"/>
          <w:lang w:val="es-ES"/>
        </w:rPr>
      </w:pPr>
    </w:p>
    <w:p w14:paraId="04131518" w14:textId="77777777" w:rsidR="003160C3" w:rsidRDefault="003160C3" w:rsidP="00A22CFE">
      <w:pPr>
        <w:rPr>
          <w:rFonts w:eastAsia="Calibri"/>
          <w:lang w:val="es-ES"/>
        </w:rPr>
      </w:pPr>
    </w:p>
    <w:p w14:paraId="6B1CE0C1" w14:textId="77777777" w:rsidR="003160C3" w:rsidRDefault="003160C3" w:rsidP="00A22CFE">
      <w:pPr>
        <w:rPr>
          <w:rFonts w:eastAsia="Calibri"/>
          <w:lang w:val="es-ES"/>
        </w:rPr>
      </w:pPr>
    </w:p>
    <w:p w14:paraId="4DE73E4E" w14:textId="77777777" w:rsidR="003160C3" w:rsidRDefault="003160C3" w:rsidP="00A22CFE">
      <w:pPr>
        <w:rPr>
          <w:rFonts w:eastAsia="Calibri"/>
          <w:lang w:val="es-ES"/>
        </w:rPr>
      </w:pPr>
    </w:p>
    <w:p w14:paraId="3B4E0948" w14:textId="77777777" w:rsidR="003160C3" w:rsidRDefault="003160C3" w:rsidP="00A22CFE">
      <w:pPr>
        <w:rPr>
          <w:rFonts w:eastAsia="Calibri"/>
          <w:lang w:val="es-ES"/>
        </w:rPr>
      </w:pPr>
    </w:p>
    <w:p w14:paraId="3BC6EBEB" w14:textId="77777777" w:rsidR="003160C3" w:rsidRDefault="003160C3" w:rsidP="00A22CFE">
      <w:pPr>
        <w:rPr>
          <w:rFonts w:eastAsia="Calibri"/>
          <w:lang w:val="es-ES"/>
        </w:rPr>
      </w:pPr>
    </w:p>
    <w:p w14:paraId="59556B43" w14:textId="77777777" w:rsidR="003160C3" w:rsidRDefault="003160C3" w:rsidP="00A22CFE">
      <w:pPr>
        <w:rPr>
          <w:rFonts w:eastAsia="Calibri"/>
          <w:lang w:val="es-ES"/>
        </w:rPr>
      </w:pPr>
    </w:p>
    <w:p w14:paraId="3D00E1D3" w14:textId="77777777" w:rsidR="003160C3" w:rsidRDefault="003160C3" w:rsidP="00A22CFE">
      <w:pPr>
        <w:rPr>
          <w:rFonts w:eastAsia="Calibri"/>
          <w:lang w:val="es-ES"/>
        </w:rPr>
      </w:pPr>
    </w:p>
    <w:p w14:paraId="65E4387D" w14:textId="77777777" w:rsidR="003160C3" w:rsidRDefault="003160C3" w:rsidP="00A22CFE">
      <w:pPr>
        <w:rPr>
          <w:rFonts w:eastAsia="Calibri"/>
          <w:lang w:val="es-ES"/>
        </w:rPr>
      </w:pPr>
    </w:p>
    <w:p w14:paraId="7F57EF45" w14:textId="77777777" w:rsidR="003160C3" w:rsidRDefault="003160C3" w:rsidP="00A22CFE">
      <w:pPr>
        <w:rPr>
          <w:rFonts w:eastAsia="Calibri"/>
          <w:lang w:val="es-ES"/>
        </w:rPr>
      </w:pPr>
    </w:p>
    <w:p w14:paraId="6B831E6D" w14:textId="77777777" w:rsidR="003160C3" w:rsidRDefault="003160C3" w:rsidP="00A22CFE">
      <w:pPr>
        <w:rPr>
          <w:rFonts w:eastAsia="Calibri"/>
          <w:lang w:val="es-ES"/>
        </w:rPr>
      </w:pPr>
    </w:p>
    <w:p w14:paraId="20333F40" w14:textId="77777777" w:rsidR="003160C3" w:rsidRDefault="003160C3" w:rsidP="00A22CFE">
      <w:pPr>
        <w:rPr>
          <w:rFonts w:eastAsia="Calibri"/>
          <w:lang w:val="es-ES"/>
        </w:rPr>
      </w:pPr>
    </w:p>
    <w:p w14:paraId="05D1F69C" w14:textId="77777777" w:rsidR="00131D78" w:rsidRDefault="00131D78" w:rsidP="00A22CFE">
      <w:pPr>
        <w:rPr>
          <w:rFonts w:eastAsia="Calibri"/>
          <w:lang w:val="es-ES"/>
        </w:rPr>
      </w:pPr>
    </w:p>
    <w:p w14:paraId="62EE7A63" w14:textId="77777777" w:rsidR="00883B56" w:rsidRPr="00A22CFE" w:rsidRDefault="00883B56" w:rsidP="00A22CFE">
      <w:pPr>
        <w:rPr>
          <w:rFonts w:eastAsia="Calibri"/>
          <w:lang w:val="es-ES"/>
        </w:rPr>
      </w:pPr>
    </w:p>
    <w:p w14:paraId="71DA1F3F" w14:textId="75C45685" w:rsidR="00C530CB" w:rsidRDefault="00621AE0" w:rsidP="00207603">
      <w:pPr>
        <w:pStyle w:val="Heading2"/>
        <w:numPr>
          <w:ilvl w:val="0"/>
          <w:numId w:val="35"/>
        </w:numPr>
        <w:ind w:left="426" w:hanging="426"/>
        <w:jc w:val="both"/>
        <w:rPr>
          <w:rStyle w:val="Strong"/>
          <w:rFonts w:ascii="Bookman Old Style" w:hAnsi="Bookman Old Style" w:cs="Calibri"/>
          <w:bCs w:val="0"/>
          <w:i/>
          <w:sz w:val="22"/>
        </w:rPr>
      </w:pPr>
      <w:r>
        <w:rPr>
          <w:rFonts w:ascii="Bookman Old Style" w:eastAsia="Calibri" w:hAnsi="Bookman Old Style" w:cs="Calibri"/>
          <w:sz w:val="22"/>
          <w:szCs w:val="22"/>
        </w:rPr>
        <w:lastRenderedPageBreak/>
        <w:t>TEXTO PROPUESTO PARA SEGUNDO</w:t>
      </w:r>
      <w:r w:rsidR="00A22CFE">
        <w:rPr>
          <w:rFonts w:ascii="Bookman Old Style" w:eastAsia="Calibri" w:hAnsi="Bookman Old Style" w:cs="Calibri"/>
          <w:sz w:val="22"/>
          <w:szCs w:val="22"/>
        </w:rPr>
        <w:t xml:space="preserve"> DEBATE </w:t>
      </w:r>
      <w:r w:rsidR="000522AD">
        <w:rPr>
          <w:rFonts w:ascii="Bookman Old Style" w:eastAsia="Calibri" w:hAnsi="Bookman Old Style" w:cs="Calibri"/>
          <w:sz w:val="22"/>
          <w:szCs w:val="22"/>
        </w:rPr>
        <w:t xml:space="preserve">EN PRIMERA VUELTA </w:t>
      </w:r>
      <w:r w:rsidR="00A22CFE">
        <w:rPr>
          <w:rFonts w:ascii="Bookman Old Style" w:eastAsia="Calibri" w:hAnsi="Bookman Old Style" w:cs="Calibri"/>
          <w:sz w:val="22"/>
          <w:szCs w:val="22"/>
        </w:rPr>
        <w:t>AL PROYECTO DE ACTO LEGISLATIVO NÚMERO 006 DE 2020 CÁMARA.</w:t>
      </w:r>
      <w:r w:rsidR="00A22CFE" w:rsidRPr="00A22CFE">
        <w:rPr>
          <w:rStyle w:val="Strong"/>
          <w:rFonts w:ascii="Bookman Old Style" w:hAnsi="Bookman Old Style" w:cs="Calibri"/>
          <w:bCs w:val="0"/>
          <w:i/>
        </w:rPr>
        <w:t xml:space="preserve"> </w:t>
      </w:r>
      <w:r w:rsidR="00C530CB" w:rsidRPr="00A22CFE">
        <w:rPr>
          <w:rStyle w:val="Strong"/>
          <w:rFonts w:ascii="Bookman Old Style" w:hAnsi="Bookman Old Style" w:cs="Calibri"/>
          <w:bCs w:val="0"/>
          <w:i/>
          <w:sz w:val="22"/>
        </w:rPr>
        <w:t>“Por medio del cual se modifica el artículo </w:t>
      </w:r>
      <w:r w:rsidR="00C530CB" w:rsidRPr="00A22CFE">
        <w:rPr>
          <w:rFonts w:ascii="Bookman Old Style" w:hAnsi="Bookman Old Style" w:cs="Calibri"/>
          <w:b w:val="0"/>
          <w:i/>
          <w:sz w:val="22"/>
        </w:rPr>
        <w:t>49</w:t>
      </w:r>
      <w:r w:rsidR="00C530CB" w:rsidRPr="00A22CFE">
        <w:rPr>
          <w:rStyle w:val="Strong"/>
          <w:rFonts w:ascii="Bookman Old Style" w:hAnsi="Bookman Old Style" w:cs="Calibri"/>
          <w:i/>
          <w:sz w:val="22"/>
        </w:rPr>
        <w:t> </w:t>
      </w:r>
      <w:r w:rsidR="00C530CB" w:rsidRPr="00A22CFE">
        <w:rPr>
          <w:rStyle w:val="Strong"/>
          <w:rFonts w:ascii="Bookman Old Style" w:hAnsi="Bookman Old Style" w:cs="Calibri"/>
          <w:bCs w:val="0"/>
          <w:i/>
          <w:sz w:val="22"/>
        </w:rPr>
        <w:t>de la Constitución Política de Colombia y se regulariza el Cannabis</w:t>
      </w:r>
      <w:r w:rsidR="003160C3">
        <w:rPr>
          <w:rStyle w:val="Strong"/>
          <w:rFonts w:ascii="Bookman Old Style" w:hAnsi="Bookman Old Style" w:cs="Calibri"/>
          <w:bCs w:val="0"/>
          <w:i/>
          <w:sz w:val="22"/>
        </w:rPr>
        <w:t xml:space="preserve"> de uso adulto</w:t>
      </w:r>
      <w:r w:rsidR="00C530CB" w:rsidRPr="00A22CFE">
        <w:rPr>
          <w:rStyle w:val="Strong"/>
          <w:rFonts w:ascii="Bookman Old Style" w:hAnsi="Bookman Old Style" w:cs="Calibri"/>
          <w:bCs w:val="0"/>
          <w:i/>
          <w:sz w:val="22"/>
        </w:rPr>
        <w:t>”.</w:t>
      </w:r>
    </w:p>
    <w:p w14:paraId="57EDBAAE" w14:textId="77777777" w:rsidR="00837AB4" w:rsidRPr="00837AB4" w:rsidRDefault="00837AB4" w:rsidP="00837AB4">
      <w:pPr>
        <w:rPr>
          <w:rFonts w:eastAsia="Calibri"/>
        </w:rPr>
      </w:pPr>
    </w:p>
    <w:p w14:paraId="561F9CB8" w14:textId="77777777" w:rsidR="00C530CB" w:rsidRPr="00485CC5" w:rsidRDefault="00C530CB" w:rsidP="00C530CB">
      <w:pPr>
        <w:pStyle w:val="NormalWeb"/>
        <w:shd w:val="clear" w:color="auto" w:fill="FFFFFF"/>
        <w:tabs>
          <w:tab w:val="left" w:pos="1834"/>
        </w:tabs>
        <w:spacing w:before="150" w:beforeAutospacing="0" w:after="150" w:afterAutospacing="0" w:line="338" w:lineRule="atLeast"/>
        <w:jc w:val="center"/>
        <w:rPr>
          <w:rFonts w:ascii="Bookman Old Style" w:hAnsi="Bookman Old Style" w:cs="Calibri"/>
          <w:sz w:val="22"/>
          <w:szCs w:val="22"/>
        </w:rPr>
      </w:pPr>
      <w:r w:rsidRPr="00485CC5">
        <w:rPr>
          <w:rStyle w:val="Strong"/>
          <w:rFonts w:ascii="Bookman Old Style" w:hAnsi="Bookman Old Style" w:cs="Calibri"/>
          <w:sz w:val="22"/>
          <w:szCs w:val="22"/>
        </w:rPr>
        <w:t>EL CONGRESO DE COLOMBIA</w:t>
      </w:r>
    </w:p>
    <w:p w14:paraId="15CC342F" w14:textId="77777777" w:rsidR="00C530CB" w:rsidRDefault="00C530CB" w:rsidP="00C530CB">
      <w:pPr>
        <w:pStyle w:val="NormalWeb"/>
        <w:shd w:val="clear" w:color="auto" w:fill="FFFFFF"/>
        <w:tabs>
          <w:tab w:val="left" w:pos="1834"/>
        </w:tabs>
        <w:spacing w:before="150" w:beforeAutospacing="0" w:after="150" w:afterAutospacing="0" w:line="338" w:lineRule="atLeast"/>
        <w:jc w:val="center"/>
        <w:rPr>
          <w:rStyle w:val="Strong"/>
          <w:rFonts w:ascii="Bookman Old Style" w:hAnsi="Bookman Old Style" w:cs="Calibri"/>
          <w:sz w:val="22"/>
          <w:szCs w:val="22"/>
        </w:rPr>
      </w:pPr>
      <w:r w:rsidRPr="00485CC5">
        <w:rPr>
          <w:rStyle w:val="Strong"/>
          <w:rFonts w:ascii="Bookman Old Style" w:hAnsi="Bookman Old Style" w:cs="Calibri"/>
          <w:sz w:val="22"/>
          <w:szCs w:val="22"/>
        </w:rPr>
        <w:t>DECRETA:</w:t>
      </w:r>
    </w:p>
    <w:p w14:paraId="55FAB3C8" w14:textId="77777777" w:rsidR="00C530CB" w:rsidRDefault="00C530CB" w:rsidP="00C530CB">
      <w:pPr>
        <w:pStyle w:val="centrado"/>
        <w:tabs>
          <w:tab w:val="left" w:pos="1834"/>
        </w:tabs>
        <w:spacing w:line="270" w:lineRule="atLeast"/>
        <w:jc w:val="both"/>
        <w:rPr>
          <w:rFonts w:ascii="Bookman Old Style" w:hAnsi="Bookman Old Style" w:cs="Calibri"/>
          <w:b/>
          <w:bCs/>
          <w:sz w:val="22"/>
          <w:szCs w:val="22"/>
        </w:rPr>
      </w:pPr>
      <w:r w:rsidRPr="00837AB4">
        <w:rPr>
          <w:rFonts w:ascii="Bookman Old Style" w:hAnsi="Bookman Old Style" w:cs="Calibri"/>
          <w:b/>
          <w:bCs/>
          <w:sz w:val="22"/>
          <w:szCs w:val="22"/>
        </w:rPr>
        <w:t xml:space="preserve">ARTÍCULO 1º. </w:t>
      </w:r>
      <w:r w:rsidRPr="00837AB4">
        <w:rPr>
          <w:rFonts w:ascii="Bookman Old Style" w:hAnsi="Bookman Old Style" w:cs="Calibri"/>
          <w:b/>
          <w:sz w:val="22"/>
          <w:szCs w:val="22"/>
        </w:rPr>
        <w:t>El artículo 49 de la Constitución Política quedará así</w:t>
      </w:r>
      <w:r w:rsidRPr="00485CC5">
        <w:rPr>
          <w:rFonts w:ascii="Bookman Old Style" w:hAnsi="Bookman Old Style" w:cs="Calibri"/>
          <w:sz w:val="22"/>
          <w:szCs w:val="22"/>
        </w:rPr>
        <w:t>:</w:t>
      </w:r>
      <w:r w:rsidRPr="00485CC5">
        <w:rPr>
          <w:rFonts w:ascii="Bookman Old Style" w:hAnsi="Bookman Old Style" w:cs="Calibri"/>
          <w:b/>
          <w:bCs/>
          <w:sz w:val="22"/>
          <w:szCs w:val="22"/>
        </w:rPr>
        <w:t xml:space="preserve"> </w:t>
      </w:r>
    </w:p>
    <w:p w14:paraId="0DCFEF27" w14:textId="77777777"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b/>
        </w:rPr>
        <w:t xml:space="preserve">ARTÍCULO 49o. </w:t>
      </w:r>
      <w:r w:rsidRPr="00485CC5">
        <w:rPr>
          <w:rFonts w:ascii="Bookman Old Style" w:hAnsi="Bookman Old Style" w:cs="Calibri"/>
        </w:rPr>
        <w:t>La atención de la salud y el saneamiento ambiental son servicios públicos a cargo del Estado. Se garantiza a todas las personas el acceso a los servicios de promoción, protección y recuperación de la salud.</w:t>
      </w:r>
    </w:p>
    <w:p w14:paraId="7D16696E" w14:textId="77777777"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5FD79EFD" w14:textId="77777777"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Los servicios de salud se organizarán en forma descentralizada, por niveles de atención y con participación de la comunidad.</w:t>
      </w:r>
    </w:p>
    <w:p w14:paraId="6DFB3DD4" w14:textId="77777777"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La ley señalará los términos en los cuales la atención básica para todos los habitantes será gratuita y obligatoria.</w:t>
      </w:r>
    </w:p>
    <w:p w14:paraId="5A7FD9C3" w14:textId="77777777"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Toda persona tiene el deber de procurar el cuidado integral de su salud y de su comunidad.</w:t>
      </w:r>
    </w:p>
    <w:p w14:paraId="75D1EF78" w14:textId="77777777"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11DCC270" w14:textId="738C44FD" w:rsidR="00C530CB" w:rsidRPr="00621AE0" w:rsidRDefault="00C530CB" w:rsidP="00837AB4">
      <w:pPr>
        <w:tabs>
          <w:tab w:val="left" w:pos="1834"/>
        </w:tabs>
        <w:spacing w:before="100" w:beforeAutospacing="1" w:after="100" w:afterAutospacing="1" w:line="270" w:lineRule="atLeast"/>
        <w:ind w:left="851"/>
        <w:jc w:val="both"/>
        <w:rPr>
          <w:rFonts w:ascii="Bookman Old Style" w:hAnsi="Bookman Old Style" w:cs="Calibri"/>
          <w:szCs w:val="24"/>
        </w:rPr>
      </w:pPr>
      <w:r w:rsidRPr="00621AE0">
        <w:rPr>
          <w:rFonts w:ascii="Bookman Old Style" w:hAnsi="Bookman Old Style" w:cs="Calibri"/>
          <w:szCs w:val="24"/>
        </w:rPr>
        <w:t xml:space="preserve">La prohibición prevista en el inciso anterior no aplicará frente al cannabis </w:t>
      </w:r>
      <w:r w:rsidRPr="00621AE0">
        <w:rPr>
          <w:rFonts w:ascii="Bookman Old Style" w:hAnsi="Bookman Old Style" w:cs="Calibri"/>
          <w:szCs w:val="24"/>
        </w:rPr>
        <w:lastRenderedPageBreak/>
        <w:t xml:space="preserve">y sus derivados para el uso por parte de mayores de edad. Tampoco aplicará para la destinación científica de estas sustancias, siempre y cuando se cuente con las licencias otorgadas por la autoridad competente. La Ley podrá restringir y sancionar el porte y consumo del cannabis y sus </w:t>
      </w:r>
      <w:r w:rsidR="00131D78">
        <w:rPr>
          <w:rFonts w:ascii="Bookman Old Style" w:hAnsi="Bookman Old Style" w:cs="Calibri"/>
          <w:szCs w:val="24"/>
        </w:rPr>
        <w:t>derivados en espacios públicos,</w:t>
      </w:r>
      <w:r w:rsidRPr="00621AE0">
        <w:rPr>
          <w:rFonts w:ascii="Bookman Old Style" w:hAnsi="Bookman Old Style" w:cs="Calibri"/>
          <w:szCs w:val="24"/>
        </w:rPr>
        <w:t xml:space="preserve"> zonas comunes</w:t>
      </w:r>
      <w:r w:rsidR="00621AE0">
        <w:rPr>
          <w:rFonts w:ascii="Bookman Old Style" w:hAnsi="Bookman Old Style" w:cs="Calibri"/>
          <w:szCs w:val="24"/>
        </w:rPr>
        <w:t xml:space="preserve"> y entornos escolares, entre otros</w:t>
      </w:r>
      <w:r w:rsidRPr="00621AE0">
        <w:rPr>
          <w:rFonts w:ascii="Bookman Old Style" w:hAnsi="Bookman Old Style" w:cs="Calibri"/>
          <w:szCs w:val="24"/>
        </w:rPr>
        <w:t>.</w:t>
      </w:r>
    </w:p>
    <w:p w14:paraId="5D1BEF45" w14:textId="77777777"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p w14:paraId="13B706D5" w14:textId="5B7D19B5" w:rsidR="00621AE0" w:rsidRDefault="00621AE0" w:rsidP="00C530CB">
      <w:pPr>
        <w:pStyle w:val="NormalWeb"/>
        <w:tabs>
          <w:tab w:val="left" w:pos="1834"/>
        </w:tabs>
        <w:spacing w:line="270" w:lineRule="atLeast"/>
        <w:jc w:val="both"/>
        <w:rPr>
          <w:rFonts w:ascii="Bookman Old Style" w:eastAsia="Calibri" w:hAnsi="Bookman Old Style"/>
          <w:sz w:val="22"/>
        </w:rPr>
      </w:pPr>
      <w:r w:rsidRPr="00621AE0">
        <w:rPr>
          <w:rFonts w:ascii="Bookman Old Style" w:eastAsia="Calibri" w:hAnsi="Bookman Old Style"/>
          <w:b/>
          <w:sz w:val="22"/>
        </w:rPr>
        <w:t>ARTÍCULO 2 TRANSITORIO.</w:t>
      </w:r>
      <w:r w:rsidRPr="00621AE0">
        <w:rPr>
          <w:rFonts w:ascii="Bookman Old Style" w:eastAsia="Calibri" w:hAnsi="Bookman Old Style"/>
          <w:sz w:val="22"/>
        </w:rPr>
        <w:t xml:space="preserve"> El Gobierno Nacional tendrá un plazo de seis (6) meses, contados a partir de la promulgación del presente Acto Legislativo, para formular, divulgar e implementar una política pública estricta en torno a la prevención </w:t>
      </w:r>
      <w:r w:rsidR="0070093E">
        <w:rPr>
          <w:rFonts w:ascii="Bookman Old Style" w:eastAsia="Calibri" w:hAnsi="Bookman Old Style"/>
          <w:sz w:val="22"/>
        </w:rPr>
        <w:t xml:space="preserve">y atención </w:t>
      </w:r>
      <w:r w:rsidRPr="00621AE0">
        <w:rPr>
          <w:rFonts w:ascii="Bookman Old Style" w:eastAsia="Calibri" w:hAnsi="Bookman Old Style"/>
          <w:sz w:val="22"/>
        </w:rPr>
        <w:t>del consumo del cannabis, dicha política debe estar acompañada con una estrategia educativa nacional integral que tenga como objetivo la prevención del consumo.</w:t>
      </w:r>
    </w:p>
    <w:p w14:paraId="6F8DC7E8" w14:textId="77777777" w:rsidR="00C530CB" w:rsidRPr="00485CC5" w:rsidRDefault="00621AE0" w:rsidP="00C530CB">
      <w:pPr>
        <w:pStyle w:val="NormalWeb"/>
        <w:tabs>
          <w:tab w:val="left" w:pos="1834"/>
        </w:tabs>
        <w:spacing w:line="270" w:lineRule="atLeast"/>
        <w:jc w:val="both"/>
        <w:rPr>
          <w:rFonts w:ascii="Bookman Old Style" w:hAnsi="Bookman Old Style" w:cs="Calibri"/>
          <w:sz w:val="22"/>
          <w:szCs w:val="22"/>
        </w:rPr>
      </w:pPr>
      <w:r>
        <w:rPr>
          <w:rFonts w:ascii="Bookman Old Style" w:hAnsi="Bookman Old Style" w:cs="Calibri"/>
          <w:b/>
          <w:bCs/>
          <w:sz w:val="22"/>
          <w:szCs w:val="22"/>
        </w:rPr>
        <w:t>ARTÍCULO 3</w:t>
      </w:r>
      <w:r w:rsidR="00C530CB" w:rsidRPr="00485CC5">
        <w:rPr>
          <w:rFonts w:ascii="Bookman Old Style" w:hAnsi="Bookman Old Style" w:cs="Calibri"/>
          <w:b/>
          <w:bCs/>
          <w:sz w:val="22"/>
          <w:szCs w:val="22"/>
        </w:rPr>
        <w:t>. VIGENCIA.</w:t>
      </w:r>
      <w:r w:rsidR="00C530CB">
        <w:rPr>
          <w:rFonts w:ascii="Bookman Old Style" w:hAnsi="Bookman Old Style" w:cs="Calibri"/>
          <w:sz w:val="22"/>
          <w:szCs w:val="22"/>
        </w:rPr>
        <w:t> El presente Acto Legislativo</w:t>
      </w:r>
      <w:r w:rsidR="00C530CB" w:rsidRPr="00485CC5">
        <w:rPr>
          <w:rFonts w:ascii="Bookman Old Style" w:hAnsi="Bookman Old Style" w:cs="Calibri"/>
          <w:sz w:val="22"/>
          <w:szCs w:val="22"/>
        </w:rPr>
        <w:t xml:space="preserve"> rige a partir de su promulgación.</w:t>
      </w:r>
      <w:r>
        <w:rPr>
          <w:rFonts w:ascii="Bookman Old Style" w:hAnsi="Bookman Old Style" w:cs="Calibri"/>
          <w:sz w:val="22"/>
          <w:szCs w:val="22"/>
        </w:rPr>
        <w:t xml:space="preserve"> </w:t>
      </w:r>
      <w:r w:rsidRPr="00621AE0">
        <w:rPr>
          <w:rFonts w:ascii="Bookman Old Style" w:hAnsi="Bookman Old Style" w:cs="Calibri"/>
          <w:sz w:val="22"/>
          <w:szCs w:val="22"/>
        </w:rPr>
        <w:t>El artículo 1 entrará en vigencia doce (12) meses después de la promulgación de este Acto Legislativo.</w:t>
      </w:r>
    </w:p>
    <w:p w14:paraId="2D3B07C4" w14:textId="77777777" w:rsidR="004151CA" w:rsidRPr="00E819E1" w:rsidRDefault="004151CA" w:rsidP="00E44C45">
      <w:pPr>
        <w:pBdr>
          <w:top w:val="nil"/>
          <w:left w:val="nil"/>
          <w:bottom w:val="nil"/>
          <w:right w:val="nil"/>
          <w:between w:val="nil"/>
        </w:pBdr>
        <w:rPr>
          <w:rFonts w:ascii="Bookman Old Style" w:eastAsia="Calibri" w:hAnsi="Bookman Old Style" w:cs="Calibri"/>
          <w:i/>
          <w:sz w:val="18"/>
        </w:rPr>
        <w:sectPr w:rsidR="004151CA" w:rsidRPr="00E819E1" w:rsidSect="00837AB4">
          <w:headerReference w:type="default" r:id="rId12"/>
          <w:footerReference w:type="default" r:id="rId13"/>
          <w:type w:val="continuous"/>
          <w:pgSz w:w="12240" w:h="15840"/>
          <w:pgMar w:top="1417" w:right="1701" w:bottom="1417" w:left="1701" w:header="708" w:footer="1893" w:gutter="0"/>
          <w:cols w:space="720"/>
          <w:docGrid w:linePitch="299"/>
        </w:sectPr>
      </w:pPr>
    </w:p>
    <w:p w14:paraId="4CA5C70A" w14:textId="77777777" w:rsidR="0038211D" w:rsidRPr="00F46028" w:rsidRDefault="0038211D" w:rsidP="0038211D">
      <w:pPr>
        <w:jc w:val="both"/>
        <w:rPr>
          <w:rFonts w:ascii="Bookman Old Style" w:hAnsi="Bookman Old Style" w:cs="Arial"/>
        </w:rPr>
      </w:pPr>
      <w:r w:rsidRPr="00F46028">
        <w:rPr>
          <w:rFonts w:ascii="Bookman Old Style" w:hAnsi="Bookman Old Style" w:cs="Arial"/>
        </w:rPr>
        <w:lastRenderedPageBreak/>
        <w:t>Cordialmente,</w:t>
      </w:r>
    </w:p>
    <w:p w14:paraId="0ED1A680" w14:textId="77777777" w:rsidR="0038211D" w:rsidRPr="00F46028" w:rsidRDefault="0038211D" w:rsidP="0038211D">
      <w:pPr>
        <w:contextualSpacing/>
        <w:jc w:val="both"/>
        <w:rPr>
          <w:rFonts w:ascii="Bookman Old Style" w:hAnsi="Bookman Old Style"/>
          <w:color w:val="000000" w:themeColor="text1"/>
        </w:rPr>
      </w:pPr>
    </w:p>
    <w:p w14:paraId="1BED2424" w14:textId="77777777" w:rsidR="0038211D" w:rsidRPr="00F46028" w:rsidRDefault="0038211D" w:rsidP="0038211D">
      <w:pPr>
        <w:contextualSpacing/>
        <w:jc w:val="both"/>
        <w:rPr>
          <w:rFonts w:ascii="Bookman Old Style" w:hAnsi="Bookman Old Style"/>
          <w:color w:val="000000" w:themeColor="text1"/>
        </w:rPr>
      </w:pPr>
    </w:p>
    <w:p w14:paraId="73902FEC" w14:textId="77777777" w:rsidR="0038211D" w:rsidRPr="00F46028" w:rsidRDefault="0038211D" w:rsidP="0038211D">
      <w:pPr>
        <w:contextualSpacing/>
        <w:jc w:val="both"/>
        <w:rPr>
          <w:rFonts w:ascii="Bookman Old Style" w:hAnsi="Bookman Old Style"/>
          <w:color w:val="000000" w:themeColor="text1"/>
        </w:rPr>
      </w:pPr>
    </w:p>
    <w:p w14:paraId="7D8B6F6F" w14:textId="77777777" w:rsidR="0038211D" w:rsidRPr="00F46028" w:rsidRDefault="0038211D" w:rsidP="0038211D">
      <w:pPr>
        <w:contextualSpacing/>
        <w:jc w:val="both"/>
        <w:rPr>
          <w:rFonts w:ascii="Bookman Old Style" w:hAnsi="Bookman Old Style"/>
          <w:color w:val="000000" w:themeColor="text1"/>
        </w:rPr>
      </w:pPr>
    </w:p>
    <w:p w14:paraId="693EFB85" w14:textId="77777777" w:rsidR="0038211D" w:rsidRPr="00F46028" w:rsidRDefault="0038211D" w:rsidP="0038211D">
      <w:pPr>
        <w:pStyle w:val="NoSpacing"/>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30440372" w14:textId="77777777" w:rsidR="0038211D" w:rsidRPr="00F46028" w:rsidRDefault="0038211D" w:rsidP="0038211D">
      <w:pPr>
        <w:pStyle w:val="NoSpacing"/>
        <w:tabs>
          <w:tab w:val="left" w:pos="8055"/>
        </w:tabs>
        <w:jc w:val="center"/>
        <w:rPr>
          <w:rFonts w:ascii="Bookman Old Style" w:hAnsi="Bookman Old Style" w:cs="Arial"/>
        </w:rPr>
      </w:pPr>
      <w:r w:rsidRPr="00F46028">
        <w:rPr>
          <w:rFonts w:ascii="Bookman Old Style" w:hAnsi="Bookman Old Style" w:cs="Arial"/>
        </w:rPr>
        <w:t>Representante a la Cámara</w:t>
      </w:r>
    </w:p>
    <w:p w14:paraId="3C44F5FF" w14:textId="77777777" w:rsidR="0038211D" w:rsidRDefault="0038211D" w:rsidP="0038211D">
      <w:pPr>
        <w:pStyle w:val="NoSpacing"/>
        <w:tabs>
          <w:tab w:val="left" w:pos="8055"/>
        </w:tabs>
        <w:jc w:val="center"/>
        <w:rPr>
          <w:rFonts w:ascii="Bookman Old Style" w:hAnsi="Bookman Old Style" w:cs="Arial"/>
        </w:rPr>
      </w:pPr>
      <w:r w:rsidRPr="00F46028">
        <w:rPr>
          <w:rFonts w:ascii="Bookman Old Style" w:hAnsi="Bookman Old Style" w:cs="Arial"/>
        </w:rPr>
        <w:t>Ponente</w:t>
      </w:r>
    </w:p>
    <w:p w14:paraId="3C9DF959" w14:textId="77777777" w:rsidR="00837AB4" w:rsidRDefault="00837AB4" w:rsidP="0038211D">
      <w:pPr>
        <w:pStyle w:val="NoSpacing"/>
        <w:tabs>
          <w:tab w:val="left" w:pos="8055"/>
        </w:tabs>
        <w:jc w:val="center"/>
        <w:rPr>
          <w:rFonts w:ascii="Bookman Old Style" w:hAnsi="Bookman Old Style" w:cs="Arial"/>
        </w:rPr>
      </w:pPr>
    </w:p>
    <w:p w14:paraId="1373B0A3" w14:textId="77777777" w:rsidR="00883B56" w:rsidRDefault="00883B56" w:rsidP="00883B56">
      <w:pPr>
        <w:pStyle w:val="NoSpacing"/>
        <w:tabs>
          <w:tab w:val="left" w:pos="8055"/>
        </w:tabs>
        <w:rPr>
          <w:rFonts w:ascii="Bookman Old Style" w:hAnsi="Bookman Old Style" w:cs="Arial"/>
        </w:rPr>
      </w:pPr>
    </w:p>
    <w:p w14:paraId="584C26DE" w14:textId="77777777" w:rsidR="00883B56" w:rsidRDefault="00883B56" w:rsidP="00883B56">
      <w:pPr>
        <w:pStyle w:val="NoSpacing"/>
        <w:tabs>
          <w:tab w:val="left" w:pos="8055"/>
        </w:tabs>
        <w:rPr>
          <w:rFonts w:ascii="Bookman Old Style" w:hAnsi="Bookman Old Style" w:cs="Arial"/>
        </w:rPr>
      </w:pPr>
    </w:p>
    <w:p w14:paraId="7C7C01B0" w14:textId="77777777" w:rsidR="00131D78" w:rsidRDefault="00131D78" w:rsidP="00883B56">
      <w:pPr>
        <w:pStyle w:val="NoSpacing"/>
        <w:tabs>
          <w:tab w:val="left" w:pos="8055"/>
        </w:tabs>
        <w:rPr>
          <w:rFonts w:ascii="Bookman Old Style" w:hAnsi="Bookman Old Style" w:cs="Arial"/>
        </w:rPr>
      </w:pPr>
    </w:p>
    <w:p w14:paraId="3C59C47C" w14:textId="77777777" w:rsidR="00131D78" w:rsidRDefault="00131D78" w:rsidP="00883B56">
      <w:pPr>
        <w:pStyle w:val="NoSpacing"/>
        <w:tabs>
          <w:tab w:val="left" w:pos="8055"/>
        </w:tabs>
        <w:rPr>
          <w:rFonts w:ascii="Bookman Old Style" w:hAnsi="Bookman Old Style" w:cs="Arial"/>
        </w:rPr>
      </w:pPr>
    </w:p>
    <w:p w14:paraId="5AD39326" w14:textId="77777777" w:rsidR="00131D78" w:rsidRDefault="00131D78" w:rsidP="00883B56">
      <w:pPr>
        <w:pStyle w:val="NoSpacing"/>
        <w:tabs>
          <w:tab w:val="left" w:pos="8055"/>
        </w:tabs>
        <w:rPr>
          <w:rFonts w:ascii="Bookman Old Style" w:hAnsi="Bookman Old Style" w:cs="Arial"/>
        </w:rPr>
      </w:pPr>
    </w:p>
    <w:p w14:paraId="01C10B4D" w14:textId="77777777" w:rsidR="00131D78" w:rsidRDefault="00131D78" w:rsidP="00883B56">
      <w:pPr>
        <w:pStyle w:val="NoSpacing"/>
        <w:tabs>
          <w:tab w:val="left" w:pos="8055"/>
        </w:tabs>
        <w:rPr>
          <w:rFonts w:ascii="Bookman Old Style" w:hAnsi="Bookman Old Style" w:cs="Arial"/>
        </w:rPr>
      </w:pPr>
    </w:p>
    <w:p w14:paraId="65DB2B10" w14:textId="77777777" w:rsidR="00131D78" w:rsidRDefault="00131D78" w:rsidP="00883B56">
      <w:pPr>
        <w:pStyle w:val="NoSpacing"/>
        <w:tabs>
          <w:tab w:val="left" w:pos="8055"/>
        </w:tabs>
        <w:rPr>
          <w:rFonts w:ascii="Bookman Old Style" w:hAnsi="Bookman Old Style" w:cs="Arial"/>
        </w:rPr>
      </w:pPr>
    </w:p>
    <w:p w14:paraId="240FF775" w14:textId="77777777" w:rsidR="00AD15E4" w:rsidRDefault="00AD15E4" w:rsidP="0038211D">
      <w:pPr>
        <w:pStyle w:val="NoSpacing"/>
        <w:tabs>
          <w:tab w:val="left" w:pos="8055"/>
        </w:tabs>
        <w:jc w:val="center"/>
        <w:rPr>
          <w:rFonts w:ascii="Bookman Old Style" w:hAnsi="Bookman Old Style" w:cs="Arial"/>
        </w:rPr>
      </w:pPr>
    </w:p>
    <w:p w14:paraId="13950A8A" w14:textId="77777777" w:rsidR="00837AB4" w:rsidRPr="001E18FE" w:rsidRDefault="00837AB4" w:rsidP="00837AB4">
      <w:pPr>
        <w:pStyle w:val="Heading2"/>
        <w:numPr>
          <w:ilvl w:val="0"/>
          <w:numId w:val="35"/>
        </w:numPr>
        <w:jc w:val="both"/>
        <w:rPr>
          <w:rFonts w:ascii="Bookman Old Style" w:eastAsia="Calibri" w:hAnsi="Bookman Old Style" w:cs="Calibri"/>
          <w:sz w:val="22"/>
          <w:szCs w:val="22"/>
        </w:rPr>
      </w:pPr>
      <w:r w:rsidRPr="001E18FE">
        <w:rPr>
          <w:rFonts w:ascii="Bookman Old Style" w:eastAsia="Calibri" w:hAnsi="Bookman Old Style" w:cs="Calibri"/>
          <w:sz w:val="22"/>
          <w:szCs w:val="22"/>
        </w:rPr>
        <w:lastRenderedPageBreak/>
        <w:t>REFERENCIAS</w:t>
      </w:r>
    </w:p>
    <w:p w14:paraId="57C20B1A" w14:textId="77777777" w:rsidR="00837AB4" w:rsidRPr="00E819E1" w:rsidRDefault="00837AB4" w:rsidP="00837AB4">
      <w:pPr>
        <w:rPr>
          <w:rFonts w:ascii="Bookman Old Style" w:eastAsia="Calibri" w:hAnsi="Bookman Old Style"/>
          <w:sz w:val="20"/>
        </w:rPr>
      </w:pPr>
    </w:p>
    <w:p w14:paraId="4A30BC69" w14:textId="77777777" w:rsidR="00837AB4" w:rsidRPr="005C5218" w:rsidRDefault="00837AB4" w:rsidP="00837AB4">
      <w:pPr>
        <w:pStyle w:val="FootnoteText"/>
        <w:numPr>
          <w:ilvl w:val="0"/>
          <w:numId w:val="33"/>
        </w:numPr>
        <w:jc w:val="both"/>
        <w:rPr>
          <w:rStyle w:val="Hyperlink"/>
          <w:rFonts w:ascii="Bookman Old Style" w:hAnsi="Bookman Old Style" w:cs="Times New Roman"/>
          <w:i/>
          <w:color w:val="auto"/>
          <w:sz w:val="16"/>
          <w:szCs w:val="16"/>
        </w:rPr>
      </w:pPr>
      <w:r w:rsidRPr="00B61122">
        <w:rPr>
          <w:rFonts w:ascii="Bookman Old Style" w:hAnsi="Bookman Old Style" w:cs="Times New Roman"/>
          <w:i/>
          <w:sz w:val="16"/>
          <w:szCs w:val="16"/>
          <w:lang w:val="en-US"/>
        </w:rPr>
        <w:t xml:space="preserve">Blumenauer, E. 2018. The Path Forward: Rethinking Federal Marijuana Policy. </w:t>
      </w:r>
      <w:r w:rsidRPr="00B61122">
        <w:rPr>
          <w:rFonts w:ascii="Bookman Old Style" w:hAnsi="Bookman Old Style" w:cs="Times New Roman"/>
          <w:i/>
          <w:sz w:val="16"/>
          <w:szCs w:val="16"/>
        </w:rPr>
        <w:t xml:space="preserve">(P.p.10).  Recuperado de: </w:t>
      </w:r>
      <w:r w:rsidRPr="00B61122">
        <w:rPr>
          <w:rStyle w:val="Hyperlink"/>
          <w:rFonts w:ascii="Bookman Old Style" w:hAnsi="Bookman Old Style" w:cs="Times New Roman"/>
          <w:i/>
          <w:color w:val="auto"/>
          <w:sz w:val="16"/>
          <w:szCs w:val="16"/>
        </w:rPr>
        <w:t>https://blumenauer.house.gov/sites/blumenauer.house.gov/files/BlumenauerReport_ThePathForward.pdf</w:t>
      </w:r>
    </w:p>
    <w:p w14:paraId="4AB8EB6D" w14:textId="77777777" w:rsidR="00837AB4" w:rsidRPr="005C5218" w:rsidRDefault="00837AB4" w:rsidP="00837AB4">
      <w:pPr>
        <w:pStyle w:val="FootnoteText"/>
        <w:numPr>
          <w:ilvl w:val="0"/>
          <w:numId w:val="33"/>
        </w:numPr>
        <w:jc w:val="both"/>
        <w:rPr>
          <w:rFonts w:ascii="Bookman Old Style" w:hAnsi="Bookman Old Style" w:cs="Times New Roman"/>
          <w:i/>
          <w:sz w:val="16"/>
          <w:szCs w:val="16"/>
          <w:u w:val="single"/>
        </w:rPr>
      </w:pPr>
      <w:r w:rsidRPr="00B61122">
        <w:rPr>
          <w:rFonts w:ascii="Bookman Old Style" w:hAnsi="Bookman Old Style" w:cs="Times New Roman"/>
          <w:i/>
          <w:sz w:val="16"/>
          <w:szCs w:val="16"/>
          <w:u w:val="single"/>
        </w:rPr>
        <w:t>Cesar Augusto Giraldo Giraldo, Medicina Forense, 2009.</w:t>
      </w:r>
    </w:p>
    <w:p w14:paraId="332C81ED" w14:textId="77777777" w:rsidR="00837AB4" w:rsidRPr="005C5218" w:rsidRDefault="00837AB4" w:rsidP="00837AB4">
      <w:pPr>
        <w:pStyle w:val="ListParagraph"/>
        <w:numPr>
          <w:ilvl w:val="0"/>
          <w:numId w:val="33"/>
        </w:numPr>
        <w:jc w:val="both"/>
        <w:rPr>
          <w:rFonts w:ascii="Bookman Old Style" w:hAnsi="Bookman Old Style"/>
          <w:i/>
          <w:sz w:val="16"/>
          <w:szCs w:val="16"/>
          <w:u w:val="single"/>
        </w:rPr>
      </w:pPr>
      <w:r w:rsidRPr="00B61122">
        <w:rPr>
          <w:rFonts w:ascii="Bookman Old Style" w:hAnsi="Bookman Old Style"/>
          <w:i/>
          <w:sz w:val="16"/>
          <w:szCs w:val="16"/>
        </w:rPr>
        <w:t xml:space="preserve">Centro de Estudios de Derecho, Justicia y Sociedad, Dejusticia. 2017. Sobredosis Carcelaria y Política de Drogas en América Latina. Documentos Dejusticia 37. Recuperado de: </w:t>
      </w:r>
      <w:r w:rsidRPr="00B61122">
        <w:rPr>
          <w:rStyle w:val="Hyperlink"/>
          <w:rFonts w:ascii="Bookman Old Style" w:hAnsi="Bookman Old Style" w:cs="Times New Roman"/>
          <w:i/>
          <w:color w:val="auto"/>
          <w:sz w:val="16"/>
          <w:szCs w:val="16"/>
        </w:rPr>
        <w:t>https://www.dejusticia.org/wp-content/uploads/2017/07/Delitos-de-drogas-y-sobredosis-carcelaria-en-Colombia-Version-final-PDF-para-WEB.pdf</w:t>
      </w:r>
    </w:p>
    <w:p w14:paraId="4D8125F5" w14:textId="77777777" w:rsidR="00837AB4" w:rsidRPr="005C5218" w:rsidRDefault="00837AB4" w:rsidP="00837AB4">
      <w:pPr>
        <w:pStyle w:val="ListParagraph"/>
        <w:numPr>
          <w:ilvl w:val="0"/>
          <w:numId w:val="33"/>
        </w:numPr>
        <w:jc w:val="both"/>
        <w:rPr>
          <w:rStyle w:val="Hyperlink"/>
          <w:rFonts w:ascii="Bookman Old Style" w:hAnsi="Bookman Old Style"/>
          <w:i/>
          <w:color w:val="auto"/>
          <w:sz w:val="16"/>
          <w:szCs w:val="16"/>
        </w:rPr>
      </w:pPr>
      <w:r w:rsidRPr="00B61122">
        <w:rPr>
          <w:rFonts w:ascii="Bookman Old Style" w:hAnsi="Bookman Old Style"/>
          <w:i/>
          <w:sz w:val="16"/>
          <w:szCs w:val="16"/>
        </w:rPr>
        <w:t xml:space="preserve">Comisión Global de Políticas de Drogas. 2018. Políticas De Drogas Y La Agenda Para El Desarrollo Sostenible. Recuperado de: </w:t>
      </w:r>
      <w:hyperlink r:id="rId14" w:history="1">
        <w:r w:rsidRPr="00B61122">
          <w:rPr>
            <w:rStyle w:val="Hyperlink"/>
            <w:rFonts w:ascii="Bookman Old Style" w:hAnsi="Bookman Old Style" w:cs="Times New Roman"/>
            <w:i/>
            <w:color w:val="auto"/>
            <w:sz w:val="16"/>
            <w:szCs w:val="16"/>
            <w:u w:val="none"/>
          </w:rPr>
          <w:t>http://www.globalcommissionondrugs.org/wp-content/uploads/2018/11/SPA-2018_SDGPaper_WEB.pdf</w:t>
        </w:r>
      </w:hyperlink>
    </w:p>
    <w:p w14:paraId="6E99FF11"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Style w:val="Hyperlink"/>
          <w:rFonts w:ascii="Bookman Old Style" w:hAnsi="Bookman Old Style"/>
          <w:i/>
          <w:color w:val="auto"/>
          <w:sz w:val="16"/>
          <w:szCs w:val="16"/>
        </w:rPr>
        <w:t>Constitución Política de Colombia</w:t>
      </w:r>
    </w:p>
    <w:p w14:paraId="24DB31ED" w14:textId="77777777" w:rsidR="00837AB4" w:rsidRPr="005C5218" w:rsidRDefault="00837AB4" w:rsidP="00837AB4">
      <w:pPr>
        <w:pStyle w:val="FootnoteText"/>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C-221 de 1994. M.P. Carlos Gaviria Díaz.</w:t>
      </w:r>
    </w:p>
    <w:p w14:paraId="08172997" w14:textId="77777777" w:rsidR="00837AB4" w:rsidRPr="005C5218" w:rsidRDefault="00837AB4" w:rsidP="00837AB4">
      <w:pPr>
        <w:pStyle w:val="FootnoteText"/>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T-516 de 1998 M.P. Antonio Barrera.</w:t>
      </w:r>
    </w:p>
    <w:p w14:paraId="7BA34D2F" w14:textId="77777777" w:rsidR="00837AB4" w:rsidRPr="005C5218" w:rsidRDefault="00837AB4" w:rsidP="00837AB4">
      <w:pPr>
        <w:pStyle w:val="FootnoteText"/>
        <w:numPr>
          <w:ilvl w:val="0"/>
          <w:numId w:val="33"/>
        </w:numPr>
        <w:jc w:val="both"/>
        <w:rPr>
          <w:rFonts w:ascii="Bookman Old Style" w:eastAsia="Calibri" w:hAnsi="Bookman Old Style" w:cs="Times New Roman"/>
          <w:i/>
          <w:sz w:val="16"/>
          <w:szCs w:val="16"/>
          <w:lang w:eastAsia="es-CO"/>
        </w:rPr>
      </w:pPr>
      <w:r w:rsidRPr="00B61122">
        <w:rPr>
          <w:rFonts w:ascii="Bookman Old Style" w:eastAsia="Calibri" w:hAnsi="Bookman Old Style" w:cs="Times New Roman"/>
          <w:i/>
          <w:sz w:val="16"/>
          <w:szCs w:val="16"/>
          <w:lang w:eastAsia="es-CO"/>
        </w:rPr>
        <w:t>Corte Constitucional, sentencia C-420 de 2002, M.P. Jaime Córdoba Triviño.</w:t>
      </w:r>
    </w:p>
    <w:p w14:paraId="42D50148" w14:textId="77777777" w:rsidR="00837AB4" w:rsidRPr="005C5218" w:rsidRDefault="00837AB4" w:rsidP="00837AB4">
      <w:pPr>
        <w:pStyle w:val="FootnoteText"/>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C-336 de 2008. M.P. Clara Inés Vargas Hernández.</w:t>
      </w:r>
    </w:p>
    <w:p w14:paraId="009EEEB8" w14:textId="77777777" w:rsidR="00837AB4" w:rsidRPr="005C5218" w:rsidRDefault="00837AB4" w:rsidP="00837AB4">
      <w:pPr>
        <w:pStyle w:val="ListParagraph"/>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i/>
          <w:sz w:val="16"/>
          <w:szCs w:val="16"/>
          <w:lang w:val="es-ES_tradnl"/>
        </w:rPr>
        <w:t xml:space="preserve"> Sentencia C-574 de 2011. M.P. </w:t>
      </w:r>
      <w:r w:rsidRPr="00B61122">
        <w:rPr>
          <w:rFonts w:ascii="Bookman Old Style" w:eastAsia="Calibri" w:hAnsi="Bookman Old Style"/>
          <w:i/>
          <w:sz w:val="16"/>
          <w:szCs w:val="16"/>
        </w:rPr>
        <w:t>Juan Carlos Henao Pérez.</w:t>
      </w:r>
    </w:p>
    <w:p w14:paraId="6C38A7DD" w14:textId="77777777" w:rsidR="00837AB4" w:rsidRPr="005C5218" w:rsidRDefault="00837AB4" w:rsidP="00837AB4">
      <w:pPr>
        <w:pStyle w:val="ListParagraph"/>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bCs/>
          <w:i/>
          <w:sz w:val="16"/>
          <w:szCs w:val="16"/>
        </w:rPr>
        <w:t>, Sentencia T-388 de 2013</w:t>
      </w:r>
      <w:r w:rsidRPr="00B61122">
        <w:rPr>
          <w:rFonts w:ascii="Bookman Old Style" w:eastAsia="Calibri" w:hAnsi="Bookman Old Style"/>
          <w:i/>
          <w:sz w:val="16"/>
          <w:szCs w:val="16"/>
        </w:rPr>
        <w:t>.M.P. María Victoria Calle Correa.</w:t>
      </w:r>
    </w:p>
    <w:p w14:paraId="548CAAC4" w14:textId="77777777" w:rsidR="00837AB4" w:rsidRPr="005C5218" w:rsidRDefault="00837AB4" w:rsidP="00837AB4">
      <w:pPr>
        <w:pStyle w:val="ListParagraph"/>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C-144 de 2015. M.P. Martha Victoria Sáchica Méndez.</w:t>
      </w:r>
    </w:p>
    <w:p w14:paraId="338012B8"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C-104 de 2016, M.P. Luis Guillermo Guerrero Pérez.</w:t>
      </w:r>
    </w:p>
    <w:p w14:paraId="535AFDCD"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C-220 de 2017. M.P. José Antonio Cepeda Amarís (E).</w:t>
      </w:r>
    </w:p>
    <w:p w14:paraId="64C77CF5" w14:textId="77777777" w:rsidR="00837AB4" w:rsidRPr="005C5218" w:rsidRDefault="00837AB4" w:rsidP="00837AB4">
      <w:pPr>
        <w:pStyle w:val="ListParagraph"/>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T-171 de 2018. M.P.</w:t>
      </w:r>
      <w:r w:rsidRPr="00B61122">
        <w:rPr>
          <w:rFonts w:ascii="Bookman Old Style" w:hAnsi="Bookman Old Style"/>
          <w:i/>
          <w:sz w:val="16"/>
          <w:szCs w:val="16"/>
          <w:shd w:val="clear" w:color="auto" w:fill="FFFFFF"/>
        </w:rPr>
        <w:t xml:space="preserve"> </w:t>
      </w:r>
      <w:r w:rsidRPr="00B61122">
        <w:rPr>
          <w:rFonts w:ascii="Bookman Old Style" w:eastAsia="Calibri" w:hAnsi="Bookman Old Style"/>
          <w:i/>
          <w:sz w:val="16"/>
          <w:szCs w:val="16"/>
        </w:rPr>
        <w:t>Cristina Pardo Schlesinger.</w:t>
      </w:r>
    </w:p>
    <w:p w14:paraId="5411BAE3" w14:textId="77777777" w:rsidR="00837AB4" w:rsidRPr="005C5218" w:rsidRDefault="00837AB4" w:rsidP="00837AB4">
      <w:pPr>
        <w:pStyle w:val="ListParagraph"/>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T-452 de 2018 M.P. José Fernando Reyes Cuartas.</w:t>
      </w:r>
    </w:p>
    <w:p w14:paraId="473B8848"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Comunicado de Prensa del 6 de junio de 2019.</w:t>
      </w:r>
    </w:p>
    <w:p w14:paraId="51E8089F"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rPr>
        <w:t>British Broadcasting Corporation BBC, Cuáles son las sustancias más adictivas del mundo y qué le hacen a nuestro cerebro, recuperado de https://www.bbc.com/mundo/noticias-46877409</w:t>
      </w:r>
    </w:p>
    <w:p w14:paraId="4D9FAD21" w14:textId="77777777" w:rsidR="00837AB4" w:rsidRPr="005C5218" w:rsidRDefault="00837AB4" w:rsidP="00837AB4">
      <w:pPr>
        <w:pStyle w:val="ListParagraph"/>
        <w:numPr>
          <w:ilvl w:val="0"/>
          <w:numId w:val="33"/>
        </w:numPr>
        <w:jc w:val="both"/>
        <w:rPr>
          <w:rStyle w:val="Hyperlink"/>
          <w:rFonts w:ascii="Bookman Old Style" w:hAnsi="Bookman Old Style" w:cs="Times New Roman"/>
          <w:i/>
          <w:color w:val="auto"/>
          <w:sz w:val="16"/>
          <w:szCs w:val="16"/>
        </w:rPr>
      </w:pPr>
      <w:r w:rsidRPr="00B61122">
        <w:rPr>
          <w:rFonts w:ascii="Bookman Old Style" w:hAnsi="Bookman Old Style"/>
          <w:i/>
          <w:sz w:val="16"/>
          <w:szCs w:val="16"/>
        </w:rPr>
        <w:t xml:space="preserve">DANE. Estimaciones De Población 1985-2005 Y Proyecciones De Población 2005-2020 Nacional y Departamental Desagregado por Área, Sexo Y Grupos Quinquenales De Edad. Recuperado de: </w:t>
      </w:r>
      <w:hyperlink r:id="rId15" w:anchor="cuantos00" w:history="1">
        <w:r w:rsidRPr="00B61122">
          <w:rPr>
            <w:rStyle w:val="Hyperlink"/>
            <w:rFonts w:ascii="Bookman Old Style" w:hAnsi="Bookman Old Style" w:cs="Times New Roman"/>
            <w:i/>
            <w:color w:val="auto"/>
            <w:sz w:val="16"/>
            <w:szCs w:val="16"/>
            <w:u w:val="none"/>
          </w:rPr>
          <w:t>https://sitios.dane.gov.co/cnpv-presentacion/src/#cuantos00</w:t>
        </w:r>
      </w:hyperlink>
    </w:p>
    <w:p w14:paraId="01C19E03"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14:paraId="7BD79674" w14:textId="77777777" w:rsidR="00837AB4" w:rsidRPr="005C5218" w:rsidRDefault="00837AB4" w:rsidP="00837AB4">
      <w:pPr>
        <w:pStyle w:val="FootnoteText"/>
        <w:numPr>
          <w:ilvl w:val="0"/>
          <w:numId w:val="33"/>
        </w:numPr>
        <w:jc w:val="both"/>
        <w:rPr>
          <w:rFonts w:ascii="Bookman Old Style" w:hAnsi="Bookman Old Style" w:cs="Times New Roman"/>
          <w:i/>
          <w:sz w:val="16"/>
          <w:szCs w:val="16"/>
          <w:lang w:val="en-US"/>
        </w:rPr>
      </w:pPr>
      <w:r w:rsidRPr="00B61122">
        <w:rPr>
          <w:rFonts w:ascii="Bookman Old Style" w:hAnsi="Bookman Old Style" w:cs="Times New Roman"/>
          <w:i/>
          <w:sz w:val="16"/>
          <w:szCs w:val="16"/>
          <w:lang w:val="en-US"/>
        </w:rPr>
        <w:t xml:space="preserve">Drug Policy Alliance. 2018. From Prohibition to Progress: A Status Report on Marijuana Legalization. What We Know About Marijuana Legalization in Eight States and Washington, D.C. Recuperado de: </w:t>
      </w:r>
      <w:hyperlink r:id="rId16" w:history="1">
        <w:r w:rsidRPr="00B61122">
          <w:rPr>
            <w:rStyle w:val="Hyperlink"/>
            <w:rFonts w:ascii="Bookman Old Style" w:hAnsi="Bookman Old Style" w:cs="Times New Roman"/>
            <w:i/>
            <w:color w:val="auto"/>
            <w:sz w:val="16"/>
            <w:szCs w:val="16"/>
            <w:u w:val="none"/>
            <w:lang w:val="en-US"/>
          </w:rPr>
          <w:t>http://fileserver.idpc.net/library/dpa_marijuana_legalization_report_v8_0.pdf</w:t>
        </w:r>
      </w:hyperlink>
      <w:r w:rsidRPr="00B61122">
        <w:rPr>
          <w:rFonts w:ascii="Bookman Old Style" w:hAnsi="Bookman Old Style" w:cs="Times New Roman"/>
          <w:i/>
          <w:sz w:val="16"/>
          <w:szCs w:val="16"/>
          <w:lang w:val="en-US"/>
        </w:rPr>
        <w:t xml:space="preserve">    </w:t>
      </w:r>
    </w:p>
    <w:p w14:paraId="18B3D748" w14:textId="77777777" w:rsidR="00837AB4" w:rsidRPr="005C5218" w:rsidRDefault="00837AB4" w:rsidP="00837AB4">
      <w:pPr>
        <w:pStyle w:val="FootnoteText"/>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El Observador. 2018. El jueves aumenta el precio de la marihuana a $200. Recuperado de: https://www.elobservador.com.uy/nota/el-jueves-aumenta-el-precio-de-la-marihuana-a-200--201813019260.</w:t>
      </w:r>
    </w:p>
    <w:p w14:paraId="4656A85E"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German Lopez. </w:t>
      </w:r>
      <w:hyperlink r:id="rId17" w:tgtFrame="_blank" w:history="1">
        <w:r w:rsidRPr="00B61122">
          <w:rPr>
            <w:rFonts w:ascii="Bookman Old Style" w:hAnsi="Bookman Old Style"/>
            <w:i/>
            <w:sz w:val="16"/>
            <w:szCs w:val="16"/>
            <w:lang w:val="en-US"/>
          </w:rPr>
          <w:t xml:space="preserve">The three deathliest drugs in America. </w:t>
        </w:r>
        <w:r w:rsidRPr="00B61122">
          <w:rPr>
            <w:rFonts w:ascii="Bookman Old Style" w:hAnsi="Bookman Old Style"/>
            <w:i/>
            <w:sz w:val="16"/>
            <w:szCs w:val="16"/>
          </w:rPr>
          <w:t>Vox 2017</w:t>
        </w:r>
      </w:hyperlink>
      <w:r w:rsidRPr="00B61122">
        <w:rPr>
          <w:rFonts w:ascii="Bookman Old Style" w:hAnsi="Bookman Old Style"/>
          <w:i/>
          <w:sz w:val="16"/>
          <w:szCs w:val="16"/>
        </w:rPr>
        <w:t>.</w:t>
      </w:r>
    </w:p>
    <w:p w14:paraId="0585F55E"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iCs/>
          <w:sz w:val="16"/>
          <w:szCs w:val="16"/>
        </w:rPr>
        <w:t>International Drug Policy Consortium, 2019. La OMS cambia su posición con respecto a la marihuana, recuperado de: https://idpc.net/es/alerts/2019/02/la-OMS-cambia-su-posicion#.XTS1wX3xB0k.whatsapp.</w:t>
      </w:r>
    </w:p>
    <w:p w14:paraId="7F22DB1B"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Leslie King and Lawrence Phillips. “Drug harms in the UK: a multicriteria decision analysis”. </w:t>
      </w:r>
      <w:r w:rsidRPr="00B61122">
        <w:rPr>
          <w:rFonts w:ascii="Bookman Old Style" w:hAnsi="Bookman Old Style"/>
          <w:i/>
          <w:sz w:val="16"/>
          <w:szCs w:val="16"/>
        </w:rPr>
        <w:t>David Nutt. The Lancet, 2010.</w:t>
      </w:r>
    </w:p>
    <w:p w14:paraId="773C9158" w14:textId="77777777" w:rsidR="00837AB4" w:rsidRPr="005C5218" w:rsidRDefault="00837AB4" w:rsidP="00837AB4">
      <w:pPr>
        <w:pStyle w:val="ListParagraph"/>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Medina-Mora, Real, Villatoro, &amp; Natera, “Las drogas y la salud pública: ¿hacia dónde vamos?”, 2013; página 68</w:t>
      </w:r>
    </w:p>
    <w:p w14:paraId="69A0C498" w14:textId="77777777" w:rsidR="00837AB4" w:rsidRPr="00B61122" w:rsidRDefault="00837AB4" w:rsidP="00837AB4">
      <w:pPr>
        <w:pStyle w:val="ListParagraph"/>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Ministerio de Salud, Dirección de Promoción y prevención,”El consumo de SPA en colombia” 2015.</w:t>
      </w:r>
    </w:p>
    <w:p w14:paraId="57A2DD26" w14:textId="77777777" w:rsidR="00837AB4" w:rsidRPr="005C5218" w:rsidRDefault="00837AB4" w:rsidP="00837AB4">
      <w:pPr>
        <w:pStyle w:val="FootnoteText"/>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lang w:val="en-US"/>
        </w:rPr>
        <w:t xml:space="preserve">Moody´s. 2018. Recreational Marijuana Tax Revenues are Marginal Credit Positives. </w:t>
      </w:r>
      <w:r w:rsidRPr="00B61122">
        <w:rPr>
          <w:rFonts w:ascii="Bookman Old Style" w:hAnsi="Bookman Old Style" w:cs="Times New Roman"/>
          <w:i/>
          <w:sz w:val="16"/>
          <w:szCs w:val="16"/>
        </w:rPr>
        <w:t xml:space="preserve">Recuperado de: </w:t>
      </w:r>
      <w:r w:rsidRPr="00B61122">
        <w:rPr>
          <w:rStyle w:val="Hyperlink"/>
          <w:rFonts w:ascii="Bookman Old Style" w:hAnsi="Bookman Old Style" w:cs="Times New Roman"/>
          <w:i/>
          <w:color w:val="auto"/>
          <w:sz w:val="16"/>
          <w:szCs w:val="16"/>
        </w:rPr>
        <w:t>https://www.capitaliq.com/CIQDotNet/CreditResearch/RenderArticle.aspx?articleId=2170361&amp;SctArtId=467339&amp;from=CM&amp;nsl_code=LIME&amp;sourceObjectId=10882078&amp;sourceRevId=3&amp;fee_ind=N&amp;exp_date=20290221-02:28:22</w:t>
      </w:r>
      <w:r w:rsidRPr="00B61122">
        <w:rPr>
          <w:rFonts w:ascii="Bookman Old Style" w:hAnsi="Bookman Old Style" w:cs="Times New Roman"/>
          <w:i/>
          <w:sz w:val="16"/>
          <w:szCs w:val="16"/>
        </w:rPr>
        <w:t xml:space="preserve"> </w:t>
      </w:r>
    </w:p>
    <w:p w14:paraId="1E0AE428" w14:textId="77777777" w:rsidR="00837AB4" w:rsidRPr="005C5218" w:rsidRDefault="00837AB4" w:rsidP="00837AB4">
      <w:pPr>
        <w:pStyle w:val="ListParagraph"/>
        <w:numPr>
          <w:ilvl w:val="0"/>
          <w:numId w:val="33"/>
        </w:numPr>
        <w:jc w:val="both"/>
        <w:rPr>
          <w:rFonts w:ascii="Bookman Old Style" w:eastAsia="Calibri" w:hAnsi="Bookman Old Style"/>
          <w:i/>
          <w:sz w:val="16"/>
          <w:szCs w:val="16"/>
          <w:lang w:val="en-US"/>
        </w:rPr>
      </w:pPr>
      <w:r w:rsidRPr="00B61122">
        <w:rPr>
          <w:rFonts w:ascii="Bookman Old Style" w:eastAsia="Calibri" w:hAnsi="Bookman Old Style"/>
          <w:i/>
          <w:sz w:val="16"/>
          <w:szCs w:val="16"/>
          <w:lang w:val="en-US"/>
        </w:rPr>
        <w:t>P. Westen. Speaking of equality. An Analisis of the Rhetorical forcé of Equality” in moral and legal discoruse, Princenton University Press, 1990, cap.v.</w:t>
      </w:r>
    </w:p>
    <w:p w14:paraId="22DF94D8"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iCs/>
          <w:sz w:val="16"/>
          <w:szCs w:val="16"/>
        </w:rPr>
        <w:t>Roberto Serpa Flórez, Psiquiatría médica y jurídica, 2007.</w:t>
      </w:r>
    </w:p>
    <w:p w14:paraId="765DF2CA"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rPr>
        <w:t>Roberto Solórzano Niño, Medicina Lega, criminalística y toxicología para abogados, 1996.</w:t>
      </w:r>
    </w:p>
    <w:p w14:paraId="0D3824CD"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rPr>
        <w:t>Rodrigo Uprimny, “Una oportunidad perdida”, Dejusticia. 2019</w:t>
      </w:r>
    </w:p>
    <w:p w14:paraId="3DE871DD"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rPr>
        <w:lastRenderedPageBreak/>
        <w:t>UNODC, Estudio Nacional de Consumo de Sustancias Psicoactivas en Colombia 2013 – Informe Final, 2013, recuperado de: https://www.unodc.org/documents/colombia/2014/Julio/Estudio_de_Consumo_UNODC.pdf</w:t>
      </w:r>
    </w:p>
    <w:p w14:paraId="1964F744" w14:textId="77777777" w:rsidR="00837AB4" w:rsidRPr="005C5218" w:rsidRDefault="00837AB4" w:rsidP="00837AB4">
      <w:pPr>
        <w:pStyle w:val="ListParagraph"/>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Washington Post.  2016. Justin Trudeau may have made the best case for legal pot ever. </w:t>
      </w:r>
      <w:r w:rsidRPr="00B61122">
        <w:rPr>
          <w:rFonts w:ascii="Bookman Old Style" w:hAnsi="Bookman Old Style"/>
          <w:i/>
          <w:sz w:val="16"/>
          <w:szCs w:val="16"/>
        </w:rPr>
        <w:t>Recuperado de: https://www.washingtonpost.com/news/wonk/wp/2016/06/10/why-people-who-hate-marijuana-should-legalize-it-anyway-according-to-justin-trudeau/?noredirect=on&amp;utm_term=.75678dd510b9</w:t>
      </w:r>
    </w:p>
    <w:p w14:paraId="516EA639" w14:textId="77777777" w:rsidR="00837AB4" w:rsidRPr="00B61122" w:rsidRDefault="00837AB4" w:rsidP="00837AB4">
      <w:pPr>
        <w:pStyle w:val="ListParagraph"/>
        <w:numPr>
          <w:ilvl w:val="0"/>
          <w:numId w:val="33"/>
        </w:numPr>
        <w:jc w:val="both"/>
        <w:rPr>
          <w:rFonts w:ascii="Bookman Old Style" w:hAnsi="Bookman Old Style"/>
          <w:i/>
          <w:sz w:val="16"/>
          <w:szCs w:val="16"/>
          <w:u w:val="single"/>
        </w:rPr>
      </w:pPr>
      <w:r w:rsidRPr="00B61122">
        <w:rPr>
          <w:rFonts w:ascii="Bookman Old Style" w:hAnsi="Bookman Old Style"/>
          <w:i/>
          <w:sz w:val="16"/>
          <w:szCs w:val="16"/>
          <w:lang w:val="en-US"/>
        </w:rPr>
        <w:t xml:space="preserve">World Prison Brief, Institute for Criminal Policy Research. </w:t>
      </w:r>
      <w:r w:rsidRPr="00B61122">
        <w:rPr>
          <w:rFonts w:ascii="Bookman Old Style" w:hAnsi="Bookman Old Style"/>
          <w:i/>
          <w:sz w:val="16"/>
          <w:szCs w:val="16"/>
        </w:rPr>
        <w:t xml:space="preserve">Recuperado de: </w:t>
      </w:r>
      <w:r w:rsidRPr="00B61122">
        <w:rPr>
          <w:rStyle w:val="Hyperlink"/>
          <w:rFonts w:ascii="Bookman Old Style" w:hAnsi="Bookman Old Style" w:cs="Times New Roman"/>
          <w:i/>
          <w:color w:val="auto"/>
          <w:sz w:val="16"/>
          <w:szCs w:val="16"/>
        </w:rPr>
        <w:t>http://www.prisonstudies.org/highest-to-lowest/prison-population-total</w:t>
      </w:r>
      <w:r w:rsidRPr="00B61122">
        <w:rPr>
          <w:rFonts w:ascii="Bookman Old Style" w:hAnsi="Bookman Old Style"/>
          <w:i/>
          <w:sz w:val="16"/>
          <w:szCs w:val="16"/>
        </w:rPr>
        <w:t xml:space="preserve"> y </w:t>
      </w:r>
      <w:hyperlink r:id="rId18" w:history="1">
        <w:r w:rsidRPr="00B61122">
          <w:rPr>
            <w:rStyle w:val="Hyperlink"/>
            <w:rFonts w:ascii="Bookman Old Style" w:hAnsi="Bookman Old Style" w:cs="Times New Roman"/>
            <w:i/>
            <w:color w:val="auto"/>
            <w:sz w:val="16"/>
            <w:szCs w:val="16"/>
            <w:u w:val="none"/>
          </w:rPr>
          <w:t>http://www.prisonstudies.org/country/colombia</w:t>
        </w:r>
      </w:hyperlink>
    </w:p>
    <w:p w14:paraId="1CEBAD3B" w14:textId="77777777" w:rsidR="00837AB4" w:rsidRPr="00E819E1" w:rsidRDefault="00837AB4" w:rsidP="00837AB4">
      <w:pPr>
        <w:jc w:val="both"/>
        <w:rPr>
          <w:rFonts w:ascii="Bookman Old Style" w:eastAsia="Calibri" w:hAnsi="Bookman Old Style" w:cs="Calibri"/>
          <w:i/>
          <w:sz w:val="18"/>
        </w:rPr>
        <w:sectPr w:rsidR="00837AB4" w:rsidRPr="00E819E1" w:rsidSect="00837AB4">
          <w:headerReference w:type="default" r:id="rId19"/>
          <w:footerReference w:type="default" r:id="rId20"/>
          <w:type w:val="continuous"/>
          <w:pgSz w:w="12240" w:h="15840" w:code="1"/>
          <w:pgMar w:top="1417" w:right="1701" w:bottom="1417" w:left="1701" w:header="680" w:footer="680" w:gutter="0"/>
          <w:pgNumType w:start="1"/>
          <w:cols w:space="720"/>
          <w:docGrid w:linePitch="299"/>
        </w:sectPr>
      </w:pPr>
    </w:p>
    <w:p w14:paraId="18615FB7" w14:textId="77777777" w:rsidR="00837AB4" w:rsidRPr="00F46028" w:rsidRDefault="00837AB4" w:rsidP="0038211D">
      <w:pPr>
        <w:pStyle w:val="NoSpacing"/>
        <w:tabs>
          <w:tab w:val="left" w:pos="8055"/>
        </w:tabs>
        <w:jc w:val="center"/>
        <w:rPr>
          <w:rFonts w:ascii="Bookman Old Style" w:hAnsi="Bookman Old Style" w:cs="Arial"/>
        </w:rPr>
      </w:pPr>
    </w:p>
    <w:p w14:paraId="6AA1BA8E" w14:textId="77777777" w:rsidR="006A4844" w:rsidRPr="006A4844" w:rsidRDefault="006A4844" w:rsidP="0038211D">
      <w:pPr>
        <w:ind w:hanging="567"/>
        <w:rPr>
          <w:rFonts w:ascii="Bookman Old Style" w:eastAsia="Calibri" w:hAnsi="Bookman Old Style" w:cs="Calibri"/>
          <w:szCs w:val="24"/>
        </w:rPr>
      </w:pPr>
    </w:p>
    <w:sectPr w:rsidR="006A4844" w:rsidRPr="006A4844" w:rsidSect="006C0501">
      <w:type w:val="continuous"/>
      <w:pgSz w:w="12240" w:h="15840"/>
      <w:pgMar w:top="1940" w:right="1580" w:bottom="2080" w:left="1912" w:header="708" w:footer="1893"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5492F" w14:textId="77777777" w:rsidR="00FF3F44" w:rsidRDefault="00FF3F44">
      <w:r>
        <w:separator/>
      </w:r>
    </w:p>
  </w:endnote>
  <w:endnote w:type="continuationSeparator" w:id="0">
    <w:p w14:paraId="4F7EC96F" w14:textId="77777777" w:rsidR="00FF3F44" w:rsidRDefault="00FF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man Old Style">
    <w:panose1 w:val="02050604050505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Noto Sans Symbols">
    <w:altName w:val="Calibri"/>
    <w:charset w:val="00"/>
    <w:family w:val="auto"/>
    <w:pitch w:val="default"/>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12CE2771" w14:textId="6A36673E" w:rsidR="00DD1ED0" w:rsidRDefault="00DD1ED0" w:rsidP="0096050C">
            <w:pPr>
              <w:pStyle w:val="Footer"/>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DA71D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71D3">
              <w:rPr>
                <w:b/>
                <w:bCs/>
                <w:noProof/>
              </w:rPr>
              <w:t>60</w:t>
            </w:r>
            <w:r>
              <w:rPr>
                <w:b/>
                <w:bCs/>
                <w:sz w:val="24"/>
                <w:szCs w:val="24"/>
              </w:rPr>
              <w:fldChar w:fldCharType="end"/>
            </w:r>
          </w:p>
        </w:sdtContent>
      </w:sdt>
    </w:sdtContent>
  </w:sdt>
  <w:p w14:paraId="09CBDAB8" w14:textId="77777777" w:rsidR="00DD1ED0" w:rsidRDefault="00DD1ED0"/>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9573"/>
      <w:docPartObj>
        <w:docPartGallery w:val="Page Numbers (Bottom of Page)"/>
        <w:docPartUnique/>
      </w:docPartObj>
    </w:sdtPr>
    <w:sdtEndPr/>
    <w:sdtContent>
      <w:sdt>
        <w:sdtPr>
          <w:id w:val="21079574"/>
          <w:docPartObj>
            <w:docPartGallery w:val="Page Numbers (Top of Page)"/>
            <w:docPartUnique/>
          </w:docPartObj>
        </w:sdtPr>
        <w:sdtEndPr/>
        <w:sdtContent>
          <w:p w14:paraId="61D42DA6" w14:textId="63A64FD2" w:rsidR="00DD1ED0" w:rsidRDefault="00DD1ED0" w:rsidP="0096050C">
            <w:pPr>
              <w:pStyle w:val="Footer"/>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DA71D3">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71D3">
              <w:rPr>
                <w:b/>
                <w:bCs/>
                <w:noProof/>
              </w:rPr>
              <w:t>60</w:t>
            </w:r>
            <w:r>
              <w:rPr>
                <w:b/>
                <w:bCs/>
                <w:sz w:val="24"/>
                <w:szCs w:val="24"/>
              </w:rPr>
              <w:fldChar w:fldCharType="end"/>
            </w:r>
          </w:p>
        </w:sdtContent>
      </w:sdt>
    </w:sdtContent>
  </w:sdt>
  <w:p w14:paraId="23E82B6C" w14:textId="77777777" w:rsidR="00DD1ED0" w:rsidRDefault="00DD1ED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08ECC" w14:textId="77777777" w:rsidR="00FF3F44" w:rsidRDefault="00FF3F44">
      <w:r>
        <w:separator/>
      </w:r>
    </w:p>
  </w:footnote>
  <w:footnote w:type="continuationSeparator" w:id="0">
    <w:p w14:paraId="6C655172" w14:textId="77777777" w:rsidR="00FF3F44" w:rsidRDefault="00FF3F44">
      <w:r>
        <w:continuationSeparator/>
      </w:r>
    </w:p>
  </w:footnote>
  <w:footnote w:id="1">
    <w:p w14:paraId="69390586"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eastAsia="Calibri" w:hAnsi="Times New Roman" w:cs="Times New Roman"/>
          <w:sz w:val="14"/>
          <w:szCs w:val="14"/>
        </w:rPr>
        <w:t>“</w:t>
      </w:r>
      <w:r w:rsidRPr="00207603">
        <w:rPr>
          <w:rFonts w:ascii="Times New Roman" w:eastAsia="Calibri" w:hAnsi="Times New Roman" w:cs="Times New Roman"/>
          <w:i/>
          <w:sz w:val="14"/>
          <w:szCs w:val="14"/>
        </w:rPr>
        <w:t>Por el cual se reforma el artículo 49 de la Constitución Política</w:t>
      </w:r>
      <w:r w:rsidRPr="00207603">
        <w:rPr>
          <w:rFonts w:ascii="Times New Roman" w:eastAsia="Calibri" w:hAnsi="Times New Roman" w:cs="Times New Roman"/>
          <w:sz w:val="14"/>
          <w:szCs w:val="14"/>
        </w:rPr>
        <w:t>.”</w:t>
      </w:r>
    </w:p>
  </w:footnote>
  <w:footnote w:id="2">
    <w:p w14:paraId="4B95DD31"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iCs/>
          <w:sz w:val="14"/>
          <w:szCs w:val="14"/>
        </w:rPr>
        <w:t>Roberto Serpa Flórez, Psiquiatría médica y jurídica, 2007.</w:t>
      </w:r>
    </w:p>
  </w:footnote>
  <w:footnote w:id="3">
    <w:p w14:paraId="4F536FC6" w14:textId="77777777" w:rsidR="00DD1ED0" w:rsidRPr="00207603" w:rsidRDefault="00DD1ED0" w:rsidP="00207603">
      <w:pPr>
        <w:pStyle w:val="FootnoteText"/>
        <w:rPr>
          <w:rFonts w:ascii="Times New Roman" w:hAnsi="Times New Roman" w:cs="Times New Roman"/>
          <w:i/>
          <w:iCs/>
          <w:sz w:val="14"/>
          <w:szCs w:val="14"/>
        </w:rPr>
      </w:pPr>
      <w:r w:rsidRPr="00207603">
        <w:rPr>
          <w:rStyle w:val="FootnoteReference"/>
          <w:rFonts w:ascii="Times New Roman" w:hAnsi="Times New Roman" w:cs="Times New Roman"/>
          <w:i/>
          <w:iCs/>
          <w:sz w:val="14"/>
          <w:szCs w:val="14"/>
        </w:rPr>
        <w:footnoteRef/>
      </w:r>
      <w:r w:rsidRPr="00207603">
        <w:rPr>
          <w:rFonts w:ascii="Times New Roman" w:hAnsi="Times New Roman" w:cs="Times New Roman"/>
          <w:i/>
          <w:iCs/>
          <w:sz w:val="14"/>
          <w:szCs w:val="14"/>
        </w:rPr>
        <w:t xml:space="preserve"> </w:t>
      </w:r>
      <w:r w:rsidRPr="00207603">
        <w:rPr>
          <w:rFonts w:ascii="Times New Roman" w:eastAsia="Calibri" w:hAnsi="Times New Roman" w:cs="Times New Roman"/>
          <w:i/>
          <w:iCs/>
          <w:sz w:val="14"/>
          <w:szCs w:val="14"/>
        </w:rPr>
        <w:t>(la categoría más restrictiva de la convención sobre drogas de 1961 que reúne las sustancias que se consideran particularmente dañinas y con beneficios médicos limitados).</w:t>
      </w:r>
    </w:p>
  </w:footnote>
  <w:footnote w:id="4">
    <w:p w14:paraId="4EF3EA00" w14:textId="77777777" w:rsidR="00DD1ED0" w:rsidRPr="00207603" w:rsidRDefault="00DD1ED0" w:rsidP="00207603">
      <w:pPr>
        <w:pStyle w:val="FootnoteText"/>
        <w:rPr>
          <w:rFonts w:ascii="Times New Roman" w:hAnsi="Times New Roman" w:cs="Times New Roman"/>
          <w:b/>
          <w:bCs/>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iCs/>
          <w:sz w:val="14"/>
          <w:szCs w:val="14"/>
        </w:rPr>
        <w:t>International Drug Policy Consortium, 2019. La OMS cambia su posición con respecto a la marihuana, recuperado de: https://idpc.net/es/alerts/2019/02/la-OMS-cambia-su-posicion#.XTS1wX3xB0k.whatsapp.</w:t>
      </w:r>
    </w:p>
  </w:footnote>
  <w:footnote w:id="5">
    <w:p w14:paraId="7E64F17D" w14:textId="77777777" w:rsidR="00DD1ED0" w:rsidRPr="00207603" w:rsidRDefault="00DD1ED0" w:rsidP="00207603">
      <w:pPr>
        <w:rPr>
          <w:i/>
          <w:sz w:val="14"/>
          <w:szCs w:val="14"/>
        </w:rPr>
      </w:pPr>
      <w:r w:rsidRPr="00207603">
        <w:rPr>
          <w:rStyle w:val="FootnoteReference"/>
          <w:i/>
          <w:sz w:val="14"/>
          <w:szCs w:val="14"/>
        </w:rPr>
        <w:footnoteRef/>
      </w:r>
      <w:r w:rsidRPr="00207603">
        <w:rPr>
          <w:i/>
          <w:sz w:val="14"/>
          <w:szCs w:val="14"/>
        </w:rPr>
        <w:t xml:space="preserve"> Corte Constitucional, Comunicado de Prensa del 6 de junio de 2019.</w:t>
      </w:r>
    </w:p>
  </w:footnote>
  <w:footnote w:id="6">
    <w:p w14:paraId="01915368"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Esta comparación se basa en la regulación y normatividad de acuerdo a investigaciones publicadas por la Fundación Renovatio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7">
    <w:p w14:paraId="3F396E29" w14:textId="77777777" w:rsidR="00DD1ED0" w:rsidRPr="00207603" w:rsidRDefault="00DD1ED0" w:rsidP="00207603">
      <w:pPr>
        <w:pStyle w:val="FootnoteText"/>
        <w:rPr>
          <w:rFonts w:ascii="Bookman Old Style" w:hAnsi="Bookman Old Style"/>
          <w:sz w:val="14"/>
          <w:szCs w:val="14"/>
        </w:rPr>
      </w:pPr>
      <w:r w:rsidRPr="00207603">
        <w:rPr>
          <w:rStyle w:val="FootnoteReference"/>
          <w:rFonts w:ascii="Bookman Old Style" w:hAnsi="Bookman Old Style"/>
          <w:sz w:val="14"/>
          <w:szCs w:val="14"/>
        </w:rPr>
        <w:footnoteRef/>
      </w:r>
      <w:r w:rsidRPr="00207603">
        <w:rPr>
          <w:rFonts w:ascii="Bookman Old Style" w:hAnsi="Bookman Old Style"/>
          <w:sz w:val="14"/>
          <w:szCs w:val="14"/>
        </w:rPr>
        <w:t xml:space="preserve"> </w:t>
      </w:r>
      <w:r w:rsidRPr="00207603">
        <w:rPr>
          <w:rFonts w:ascii="Bookman Old Style" w:hAnsi="Bookman Old Style"/>
          <w:i/>
          <w:sz w:val="14"/>
          <w:szCs w:val="14"/>
        </w:rPr>
        <w:t>Cannabis medicinal, una oportunidad económica para Colombia. Portafolio. Obtenido de: https://www.portafolio.co/negocios/cannabis-medicinal-una-oportunidad-economica-para-colombia-537448</w:t>
      </w:r>
    </w:p>
  </w:footnote>
  <w:footnote w:id="8">
    <w:p w14:paraId="1943E946" w14:textId="77777777" w:rsidR="00DD1ED0" w:rsidRPr="00207603" w:rsidRDefault="00DD1ED0" w:rsidP="00207603">
      <w:pPr>
        <w:pStyle w:val="FootnoteText"/>
        <w:rPr>
          <w:sz w:val="14"/>
          <w:szCs w:val="14"/>
        </w:rPr>
      </w:pPr>
      <w:r w:rsidRPr="00207603">
        <w:rPr>
          <w:rStyle w:val="FootnoteReference"/>
          <w:rFonts w:ascii="Bookman Old Style" w:hAnsi="Bookman Old Style"/>
          <w:sz w:val="14"/>
          <w:szCs w:val="14"/>
        </w:rPr>
        <w:footnoteRef/>
      </w:r>
      <w:r w:rsidRPr="00207603">
        <w:rPr>
          <w:rFonts w:ascii="Bookman Old Style" w:hAnsi="Bookman Old Style"/>
          <w:sz w:val="14"/>
          <w:szCs w:val="14"/>
        </w:rPr>
        <w:t xml:space="preserve"> </w:t>
      </w:r>
      <w:r w:rsidRPr="00207603">
        <w:rPr>
          <w:rFonts w:ascii="Bookman Old Style" w:hAnsi="Bookman Old Style" w:cs="Calibri"/>
          <w:sz w:val="14"/>
          <w:szCs w:val="14"/>
        </w:rPr>
        <w:t>Informe 2017. Viena: Oficina de las Naciones Unidas.</w:t>
      </w:r>
    </w:p>
  </w:footnote>
  <w:footnote w:id="9">
    <w:p w14:paraId="5D58E138" w14:textId="77777777" w:rsidR="00DD1ED0" w:rsidRPr="00207603" w:rsidRDefault="00DD1ED0" w:rsidP="00207603">
      <w:pPr>
        <w:pStyle w:val="FootnoteText"/>
        <w:rPr>
          <w:rFonts w:ascii="Bookman Old Style" w:hAnsi="Bookman Old Style"/>
          <w:sz w:val="14"/>
          <w:szCs w:val="14"/>
        </w:rPr>
      </w:pPr>
      <w:r w:rsidRPr="00207603">
        <w:rPr>
          <w:rStyle w:val="FootnoteReference"/>
          <w:rFonts w:ascii="Bookman Old Style" w:hAnsi="Bookman Old Style"/>
          <w:sz w:val="14"/>
          <w:szCs w:val="14"/>
        </w:rPr>
        <w:footnoteRef/>
      </w:r>
      <w:r w:rsidRPr="00207603">
        <w:rPr>
          <w:rFonts w:ascii="Bookman Old Style" w:hAnsi="Bookman Old Style"/>
          <w:i/>
          <w:sz w:val="14"/>
          <w:szCs w:val="14"/>
        </w:rPr>
        <w:t xml:space="preserve"> https://www.drugpolicy.org/issues/marijuana-legalization-and-regulation</w:t>
      </w:r>
    </w:p>
  </w:footnote>
  <w:footnote w:id="10">
    <w:p w14:paraId="35C5036D" w14:textId="77777777" w:rsidR="00DD1ED0" w:rsidRPr="00207603" w:rsidRDefault="00DD1ED0" w:rsidP="00207603">
      <w:pPr>
        <w:pStyle w:val="FootnoteText"/>
        <w:rPr>
          <w:rFonts w:ascii="Times New Roman" w:hAnsi="Times New Roman" w:cs="Times New Roman"/>
          <w:i/>
          <w:sz w:val="14"/>
          <w:szCs w:val="14"/>
          <w:lang w:val="en-US"/>
        </w:rPr>
      </w:pPr>
      <w:r w:rsidRPr="00207603">
        <w:rPr>
          <w:rStyle w:val="FootnoteReference"/>
          <w:rFonts w:ascii="Bookman Old Style" w:hAnsi="Bookman Old Style" w:cs="Times New Roman"/>
          <w:i/>
          <w:sz w:val="14"/>
          <w:szCs w:val="14"/>
        </w:rPr>
        <w:footnoteRef/>
      </w:r>
      <w:r w:rsidRPr="00207603">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(pp.2) Recuperado de: http://fileserver.idpc.net/library/dpa_marijuana_legalization_report_v8_0.pdf</w:t>
      </w:r>
    </w:p>
  </w:footnote>
  <w:footnote w:id="11">
    <w:p w14:paraId="62213D85" w14:textId="77777777" w:rsidR="00DD1ED0" w:rsidRPr="00207603" w:rsidRDefault="00DD1ED0" w:rsidP="00207603">
      <w:pPr>
        <w:pStyle w:val="FootnoteText"/>
        <w:rPr>
          <w:rFonts w:ascii="Times New Roman" w:hAnsi="Times New Roman" w:cs="Times New Roman"/>
          <w:sz w:val="14"/>
          <w:szCs w:val="14"/>
          <w:lang w:val="en-US"/>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Ibidem.</w:t>
      </w:r>
    </w:p>
  </w:footnote>
  <w:footnote w:id="12">
    <w:p w14:paraId="3041F7C0"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207603">
        <w:rPr>
          <w:rFonts w:ascii="Times New Roman" w:hAnsi="Times New Roman" w:cs="Times New Roman"/>
          <w:i/>
          <w:sz w:val="14"/>
          <w:szCs w:val="14"/>
        </w:rPr>
        <w:t>(Pp.1) Recuperado de: http://fileserver.idpc.net/library/dpa_marijuana_legalization_report_v8_0.pdf</w:t>
      </w:r>
    </w:p>
  </w:footnote>
  <w:footnote w:id="13">
    <w:p w14:paraId="6DCA51D2" w14:textId="77777777" w:rsidR="00DD1ED0" w:rsidRPr="00207603" w:rsidRDefault="00DD1ED0" w:rsidP="00207603">
      <w:pPr>
        <w:pStyle w:val="FootnoteText"/>
        <w:rPr>
          <w:rFonts w:ascii="Times New Roman" w:hAnsi="Times New Roman" w:cs="Times New Roman"/>
          <w:i/>
          <w:sz w:val="14"/>
          <w:szCs w:val="14"/>
          <w:lang w:val="en-US"/>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Ibidem</w:t>
      </w:r>
    </w:p>
  </w:footnote>
  <w:footnote w:id="14">
    <w:p w14:paraId="05B1D3AA"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207603">
        <w:rPr>
          <w:rFonts w:ascii="Times New Roman" w:hAnsi="Times New Roman" w:cs="Times New Roman"/>
          <w:i/>
          <w:sz w:val="14"/>
          <w:szCs w:val="14"/>
        </w:rPr>
        <w:t>(Pp.2) Recuperado de: http://fileserver.idpc.net/library/dpa_marijuana_legalization_report_v8_0.pdf</w:t>
      </w:r>
    </w:p>
  </w:footnote>
  <w:footnote w:id="15">
    <w:p w14:paraId="1211C34E" w14:textId="77777777" w:rsidR="00DD1ED0" w:rsidRPr="00207603" w:rsidRDefault="00DD1ED0" w:rsidP="00207603">
      <w:pPr>
        <w:pStyle w:val="FootnoteText"/>
        <w:rPr>
          <w:rFonts w:ascii="Times New Roman" w:hAnsi="Times New Roman" w:cs="Times New Roman"/>
          <w:i/>
          <w:sz w:val="14"/>
          <w:szCs w:val="14"/>
          <w:lang w:val="en-US"/>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Ibidem.</w:t>
      </w:r>
    </w:p>
  </w:footnote>
  <w:footnote w:id="16">
    <w:p w14:paraId="4E7E30B2"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207603">
        <w:rPr>
          <w:rFonts w:ascii="Times New Roman" w:hAnsi="Times New Roman" w:cs="Times New Roman"/>
          <w:i/>
          <w:sz w:val="14"/>
          <w:szCs w:val="14"/>
        </w:rPr>
        <w:t xml:space="preserve">(Pp.2) Recuperado de: http://fileserver.idpc.net/library/dpa_marijuana_legalization_report_v8_0.pdf    </w:t>
      </w:r>
    </w:p>
  </w:footnote>
  <w:footnote w:id="17">
    <w:p w14:paraId="5A1F00B1" w14:textId="77777777" w:rsidR="00DD1ED0" w:rsidRPr="00207603" w:rsidRDefault="00DD1ED0" w:rsidP="00207603">
      <w:pPr>
        <w:pStyle w:val="FootnoteText"/>
        <w:rPr>
          <w:rFonts w:ascii="Bookman Old Style" w:hAnsi="Bookman Old Style"/>
          <w:i/>
          <w:sz w:val="14"/>
          <w:szCs w:val="14"/>
        </w:rPr>
      </w:pPr>
      <w:r w:rsidRPr="00207603">
        <w:rPr>
          <w:rStyle w:val="FootnoteReference"/>
          <w:rFonts w:ascii="Bookman Old Style" w:hAnsi="Bookman Old Style"/>
          <w:i/>
          <w:sz w:val="14"/>
          <w:szCs w:val="14"/>
        </w:rPr>
        <w:footnoteRef/>
      </w:r>
      <w:r w:rsidRPr="00207603">
        <w:rPr>
          <w:rFonts w:ascii="Bookman Old Style" w:hAnsi="Bookman Old Style"/>
          <w:i/>
          <w:sz w:val="14"/>
          <w:szCs w:val="14"/>
        </w:rPr>
        <w:t xml:space="preserve"> https://www.nytimes.com/2019/12/03/business/hemp-producers-banks.html</w:t>
      </w:r>
    </w:p>
  </w:footnote>
  <w:footnote w:id="18">
    <w:p w14:paraId="726A72F2" w14:textId="77777777" w:rsidR="00DD1ED0" w:rsidRPr="00207603" w:rsidRDefault="00DD1ED0" w:rsidP="00207603">
      <w:pPr>
        <w:pStyle w:val="FootnoteText"/>
        <w:rPr>
          <w:rFonts w:ascii="Bookman Old Style" w:hAnsi="Bookman Old Style"/>
          <w:i/>
          <w:sz w:val="14"/>
          <w:szCs w:val="14"/>
        </w:rPr>
      </w:pPr>
      <w:r w:rsidRPr="00207603">
        <w:rPr>
          <w:rStyle w:val="FootnoteReference"/>
          <w:rFonts w:ascii="Bookman Old Style" w:hAnsi="Bookman Old Style"/>
          <w:i/>
          <w:sz w:val="14"/>
          <w:szCs w:val="14"/>
        </w:rPr>
        <w:footnoteRef/>
      </w:r>
      <w:r w:rsidRPr="00207603">
        <w:rPr>
          <w:rFonts w:ascii="Bookman Old Style" w:hAnsi="Bookman Old Style"/>
          <w:i/>
          <w:sz w:val="14"/>
          <w:szCs w:val="14"/>
        </w:rPr>
        <w:t xml:space="preserve"> https://www.law360.com/articles/1286752/congress-could-still-pass-cannabis-legislation-in-2020</w:t>
      </w:r>
    </w:p>
  </w:footnote>
  <w:footnote w:id="19">
    <w:p w14:paraId="78C89649"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Moody´s. 2018. Recreational Marijuana Tax Revenues are Marginal Credit Positives. </w:t>
      </w:r>
      <w:r w:rsidRPr="00207603">
        <w:rPr>
          <w:rFonts w:ascii="Times New Roman" w:hAnsi="Times New Roman"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20">
    <w:p w14:paraId="423A6FC5" w14:textId="77777777" w:rsidR="00DD1ED0" w:rsidRPr="00207603" w:rsidRDefault="00DD1ED0" w:rsidP="00207603">
      <w:pPr>
        <w:pStyle w:val="FootnoteText"/>
        <w:rPr>
          <w:rFonts w:ascii="Times New Roman" w:hAnsi="Times New Roman" w:cs="Times New Roman"/>
          <w:i/>
          <w:sz w:val="14"/>
          <w:szCs w:val="14"/>
          <w:lang w:val="en-US"/>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Recuperado de: http://fileserver.idpc.net/library/dpa_marijuana_legalization_report_v8_0.pdf</w:t>
      </w:r>
    </w:p>
  </w:footnote>
  <w:footnote w:id="21">
    <w:p w14:paraId="56DEBF24"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Blumenauer, E. 2018. The Path Forward: Rethinking Federal Marijuana Policy. </w:t>
      </w:r>
      <w:r w:rsidRPr="00207603">
        <w:rPr>
          <w:rFonts w:ascii="Times New Roman" w:hAnsi="Times New Roman" w:cs="Times New Roman"/>
          <w:i/>
          <w:sz w:val="14"/>
          <w:szCs w:val="14"/>
        </w:rPr>
        <w:t>(P.p.10).  Recuperado de: https://blumenauer.house.gov/sites/blumenauer.house.gov/files/BlumenauerReport_ThePathForward.pdf</w:t>
      </w:r>
    </w:p>
  </w:footnote>
  <w:footnote w:id="22">
    <w:p w14:paraId="3A57BB78"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Washington Post.  2016. Justin Trudeau may have made the best case for legal pot ever. </w:t>
      </w:r>
      <w:r w:rsidRPr="00207603">
        <w:rPr>
          <w:rFonts w:ascii="Times New Roman" w:hAnsi="Times New Roman" w:cs="Times New Roman"/>
          <w:i/>
          <w:sz w:val="14"/>
          <w:szCs w:val="14"/>
        </w:rPr>
        <w:t>Recuperado de: https://www.washingtonpost.com/news/wonk/wp/2016/06/10/why-people-who-hate-marijuana-should-legalize-it-anyway-according-to-justin-trudeau/?noredirect=on&amp;utm_term=.75678dd510b9</w:t>
      </w:r>
    </w:p>
  </w:footnote>
  <w:footnote w:id="23">
    <w:p w14:paraId="52BFB9F1"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Louise Arbour (Ex-Alta Comisionada para los Derechos Humanos de las Naciones Unidas), Sir Richard Branson (Fundador Virgin Group), Fernando Henrique Cardoso (Expresidente de Brazil), Helen Clark (Ex Primer Ministra de Nueva Zelanda), Ruth Dreifuss (Expresidenta de Suiza), Mohamed ElBaradei (Director General Emerito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24">
    <w:p w14:paraId="204D3A1B"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Comisión Global de Políticas de Drogas. 2018. Regulación: El Control Responsable de las Drogas. Recuperado de: http://fileserver.idpc.net/library/SPA-2018_Regulation_Report_WEB-FINAL.pdf</w:t>
      </w:r>
    </w:p>
  </w:footnote>
  <w:footnote w:id="25">
    <w:p w14:paraId="4DBAD255"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iCs/>
          <w:sz w:val="14"/>
          <w:szCs w:val="14"/>
        </w:rPr>
        <w:t>Ibidem.</w:t>
      </w:r>
    </w:p>
  </w:footnote>
  <w:footnote w:id="26">
    <w:p w14:paraId="1323ED62" w14:textId="77777777" w:rsidR="00DD1ED0" w:rsidRPr="00207603" w:rsidRDefault="00DD1ED0" w:rsidP="00207603">
      <w:pPr>
        <w:pStyle w:val="FootnoteText"/>
        <w:rPr>
          <w:rFonts w:ascii="Times New Roman" w:hAnsi="Times New Roman" w:cs="Times New Roman"/>
          <w:i/>
          <w:color w:val="0000FF" w:themeColor="hyperlink"/>
          <w:sz w:val="14"/>
          <w:szCs w:val="14"/>
          <w:u w:val="single"/>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27">
    <w:p w14:paraId="64568EA8"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https://www.unodc.org/documents/commissions/CND/CND_Sessions/CND_63/Statements63_02.03.2020/Country_03.03.2020/Canada.pdf</w:t>
      </w:r>
    </w:p>
  </w:footnote>
  <w:footnote w:id="28">
    <w:p w14:paraId="67ABBCDD" w14:textId="77777777" w:rsidR="00DD1ED0" w:rsidRPr="00207603" w:rsidRDefault="00DD1ED0" w:rsidP="00207603">
      <w:pPr>
        <w:pStyle w:val="FootnoteText"/>
        <w:rPr>
          <w:rFonts w:ascii="Bookman Old Style" w:hAnsi="Bookman Old Style"/>
          <w:i/>
          <w:sz w:val="14"/>
          <w:szCs w:val="14"/>
        </w:rPr>
      </w:pPr>
      <w:r w:rsidRPr="00207603">
        <w:rPr>
          <w:rStyle w:val="FootnoteReference"/>
          <w:rFonts w:ascii="Bookman Old Style" w:hAnsi="Bookman Old Style"/>
          <w:i/>
          <w:sz w:val="14"/>
          <w:szCs w:val="14"/>
        </w:rPr>
        <w:footnoteRef/>
      </w:r>
      <w:r w:rsidRPr="00207603">
        <w:rPr>
          <w:rFonts w:ascii="Bookman Old Style" w:hAnsi="Bookman Old Style"/>
          <w:i/>
          <w:sz w:val="14"/>
          <w:szCs w:val="14"/>
        </w:rPr>
        <w:t xml:space="preserve"> https://www.ircca.gub.uy/wp-content/uploads/2020/04/InformeMercadoReguladoCannabis-29feb2020.pdf</w:t>
      </w:r>
    </w:p>
  </w:footnote>
  <w:footnote w:id="29">
    <w:p w14:paraId="42795176" w14:textId="77777777" w:rsidR="00DD1ED0" w:rsidRPr="00207603" w:rsidRDefault="00DD1ED0" w:rsidP="00207603">
      <w:pPr>
        <w:pStyle w:val="FootnoteText"/>
        <w:rPr>
          <w:rFonts w:ascii="Bookman Old Style" w:hAnsi="Bookman Old Style"/>
          <w:i/>
          <w:sz w:val="14"/>
          <w:szCs w:val="14"/>
        </w:rPr>
      </w:pPr>
      <w:r w:rsidRPr="00207603">
        <w:rPr>
          <w:rStyle w:val="FootnoteReference"/>
          <w:rFonts w:ascii="Bookman Old Style" w:hAnsi="Bookman Old Style"/>
          <w:i/>
          <w:sz w:val="14"/>
          <w:szCs w:val="14"/>
        </w:rPr>
        <w:footnoteRef/>
      </w:r>
      <w:r w:rsidRPr="00207603">
        <w:rPr>
          <w:rFonts w:ascii="Bookman Old Style" w:hAnsi="Bookman Old Style"/>
          <w:i/>
          <w:sz w:val="14"/>
          <w:szCs w:val="14"/>
        </w:rPr>
        <w:t xml:space="preserve"> https://www.ircca.gub.uy/wp-content/uploads/2020/04/InformeMercadoReguladoCannabis-29feb2020.pdf</w:t>
      </w:r>
    </w:p>
  </w:footnote>
  <w:footnote w:id="30">
    <w:p w14:paraId="4336FA47"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https://eleconomista.com.ar/2020-04-cannabis-en-uruguay-los-problemas-de-suministro-siguen-obstaculizando-el-crecimiento-del-mercado/</w:t>
      </w:r>
    </w:p>
  </w:footnote>
  <w:footnote w:id="31">
    <w:p w14:paraId="2F2C4A8A"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Referencia a “Sobredosis Carcelaria” tomada del título del informe de Dejusticia de 2017 titulado “Sobredosis Carcelaria y Política de Drogas en América Latina”.</w:t>
      </w:r>
    </w:p>
  </w:footnote>
  <w:footnote w:id="32">
    <w:p w14:paraId="51345451" w14:textId="77777777" w:rsidR="00DD1ED0" w:rsidRPr="00207603" w:rsidRDefault="00DD1ED0" w:rsidP="00207603">
      <w:pPr>
        <w:pStyle w:val="FootnoteText"/>
        <w:rPr>
          <w:rFonts w:ascii="Times New Roman" w:hAnsi="Times New Roman" w:cs="Times New Roman"/>
          <w:sz w:val="14"/>
          <w:szCs w:val="14"/>
          <w:lang w:val="en-US"/>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(P.p 1) Recuperado de: http://fileserver.idpc.net/library/dpa_marijuana_legalization_report_v8_0.pdf.</w:t>
      </w:r>
    </w:p>
  </w:footnote>
  <w:footnote w:id="33">
    <w:p w14:paraId="5F938C81"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Ibidem.</w:t>
      </w:r>
    </w:p>
  </w:footnote>
  <w:footnote w:id="34">
    <w:p w14:paraId="5874C187" w14:textId="79FD21BF" w:rsidR="00DD1ED0" w:rsidRPr="003D02C8" w:rsidRDefault="00DD1ED0">
      <w:pPr>
        <w:pStyle w:val="FootnoteText"/>
        <w:rPr>
          <w:rFonts w:ascii="Times New Roman" w:hAnsi="Times New Roman" w:cs="Times New Roman"/>
          <w:i/>
          <w:sz w:val="14"/>
          <w:szCs w:val="14"/>
          <w:lang w:val="en-GB"/>
        </w:rPr>
      </w:pPr>
      <w:r w:rsidRPr="003D02C8">
        <w:rPr>
          <w:rStyle w:val="FootnoteReference"/>
          <w:rFonts w:ascii="Times New Roman" w:hAnsi="Times New Roman" w:cs="Times New Roman"/>
          <w:i/>
          <w:sz w:val="14"/>
          <w:szCs w:val="14"/>
        </w:rPr>
        <w:footnoteRef/>
      </w:r>
      <w:r w:rsidRPr="003D02C8">
        <w:rPr>
          <w:rFonts w:ascii="Times New Roman" w:hAnsi="Times New Roman" w:cs="Times New Roman"/>
          <w:i/>
          <w:sz w:val="14"/>
          <w:szCs w:val="14"/>
        </w:rPr>
        <w:t xml:space="preserve"> https://www.eltiempo.com/politica/congreso/legalizacion-de-la-marihuana-en-colombia-pulso-politico-538760</w:t>
      </w:r>
    </w:p>
  </w:footnote>
  <w:footnote w:id="35">
    <w:p w14:paraId="3A820BFA" w14:textId="77777777" w:rsidR="00DD1ED0" w:rsidRPr="00207603" w:rsidRDefault="00DD1ED0" w:rsidP="00207603">
      <w:pPr>
        <w:pStyle w:val="FootnoteText"/>
        <w:rPr>
          <w:rFonts w:ascii="Bookman Old Style" w:hAnsi="Bookman Old Style"/>
          <w:i/>
          <w:sz w:val="14"/>
          <w:szCs w:val="14"/>
        </w:rPr>
      </w:pPr>
      <w:r w:rsidRPr="00207603">
        <w:rPr>
          <w:rStyle w:val="FootnoteReference"/>
          <w:rFonts w:ascii="Bookman Old Style" w:hAnsi="Bookman Old Style"/>
          <w:i/>
          <w:sz w:val="14"/>
          <w:szCs w:val="14"/>
        </w:rPr>
        <w:footnoteRef/>
      </w:r>
      <w:r w:rsidRPr="00207603">
        <w:rPr>
          <w:rFonts w:ascii="Bookman Old Style" w:hAnsi="Bookman Old Style"/>
          <w:i/>
          <w:sz w:val="14"/>
          <w:szCs w:val="14"/>
        </w:rPr>
        <w:t xml:space="preserve"> Fedesarrollo (2019) La industria del cannabis medicinal en Colombia. Ramírez, Naranjo, Torres &amp; Mejía. Bogotá. Obtenido de: https://www.repository.fedesarrollo.org.co/handle/11445/3823</w:t>
      </w:r>
    </w:p>
  </w:footnote>
  <w:footnote w:id="36">
    <w:p w14:paraId="2A124ADE" w14:textId="77777777" w:rsidR="00DD1ED0" w:rsidRPr="00207603" w:rsidRDefault="00DD1ED0" w:rsidP="00207603">
      <w:pPr>
        <w:pStyle w:val="FootnoteText"/>
        <w:rPr>
          <w:rFonts w:ascii="Bookman Old Style" w:hAnsi="Bookman Old Style"/>
          <w:i/>
          <w:sz w:val="14"/>
          <w:szCs w:val="14"/>
        </w:rPr>
      </w:pPr>
      <w:r w:rsidRPr="00207603">
        <w:rPr>
          <w:rStyle w:val="FootnoteReference"/>
          <w:rFonts w:ascii="Bookman Old Style" w:hAnsi="Bookman Old Style"/>
          <w:i/>
          <w:sz w:val="14"/>
          <w:szCs w:val="14"/>
        </w:rPr>
        <w:footnoteRef/>
      </w:r>
      <w:r w:rsidRPr="00207603">
        <w:rPr>
          <w:rFonts w:ascii="Bookman Old Style" w:hAnsi="Bookman Old Style"/>
          <w:i/>
          <w:sz w:val="14"/>
          <w:szCs w:val="14"/>
        </w:rPr>
        <w:t xml:space="preserve"> Ibídem.</w:t>
      </w:r>
    </w:p>
  </w:footnote>
  <w:footnote w:id="37">
    <w:p w14:paraId="1ACEE059" w14:textId="77777777" w:rsidR="00DD1ED0" w:rsidRPr="00207603" w:rsidRDefault="00DD1ED0" w:rsidP="00207603">
      <w:pPr>
        <w:pStyle w:val="FootnoteText"/>
        <w:rPr>
          <w:sz w:val="14"/>
          <w:szCs w:val="14"/>
        </w:rPr>
      </w:pPr>
      <w:r w:rsidRPr="00207603">
        <w:rPr>
          <w:rStyle w:val="FootnoteReference"/>
          <w:rFonts w:ascii="Bookman Old Style" w:hAnsi="Bookman Old Style"/>
          <w:i/>
          <w:sz w:val="14"/>
          <w:szCs w:val="14"/>
        </w:rPr>
        <w:footnoteRef/>
      </w:r>
      <w:r w:rsidRPr="00207603">
        <w:rPr>
          <w:rFonts w:ascii="Bookman Old Style" w:hAnsi="Bookman Old Style"/>
          <w:i/>
          <w:sz w:val="14"/>
          <w:szCs w:val="14"/>
        </w:rPr>
        <w:t xml:space="preserve"> Ibídem.</w:t>
      </w:r>
    </w:p>
  </w:footnote>
  <w:footnote w:id="38">
    <w:p w14:paraId="0D816491" w14:textId="77777777" w:rsidR="00DD1ED0" w:rsidRPr="00207603" w:rsidRDefault="00DD1ED0" w:rsidP="00207603">
      <w:pPr>
        <w:pStyle w:val="FootnoteText"/>
        <w:rPr>
          <w:rFonts w:ascii="Bookman Old Style" w:hAnsi="Bookman Old Style"/>
          <w:i/>
          <w:sz w:val="14"/>
          <w:szCs w:val="14"/>
        </w:rPr>
      </w:pPr>
      <w:r w:rsidRPr="00207603">
        <w:rPr>
          <w:rStyle w:val="FootnoteReference"/>
          <w:rFonts w:ascii="Bookman Old Style" w:hAnsi="Bookman Old Style"/>
          <w:i/>
          <w:sz w:val="14"/>
          <w:szCs w:val="14"/>
        </w:rPr>
        <w:footnoteRef/>
      </w:r>
      <w:r w:rsidRPr="00207603">
        <w:rPr>
          <w:rFonts w:ascii="Bookman Old Style" w:hAnsi="Bookman Old Style"/>
          <w:i/>
          <w:sz w:val="14"/>
          <w:szCs w:val="14"/>
        </w:rPr>
        <w:t xml:space="preserve"> Revista Dinero. Colombia "lidera" industria emergente del cannabis medicinal en Latinoamérica.  Obtenido de: https://www.dinero.com/empresas/articulo/industria-del-cannabis-medicinal-en-colombia/291948</w:t>
      </w:r>
    </w:p>
  </w:footnote>
  <w:footnote w:id="39">
    <w:p w14:paraId="37FBC4ED" w14:textId="77777777" w:rsidR="00DD1ED0" w:rsidRPr="00207603" w:rsidRDefault="00DD1ED0" w:rsidP="00207603">
      <w:pPr>
        <w:pStyle w:val="FootnoteText"/>
        <w:rPr>
          <w:rFonts w:ascii="Bookman Old Style" w:hAnsi="Bookman Old Style"/>
          <w:i/>
          <w:sz w:val="14"/>
          <w:szCs w:val="14"/>
        </w:rPr>
      </w:pPr>
      <w:r w:rsidRPr="00207603">
        <w:rPr>
          <w:rStyle w:val="FootnoteReference"/>
          <w:rFonts w:ascii="Bookman Old Style" w:hAnsi="Bookman Old Style"/>
          <w:i/>
          <w:sz w:val="14"/>
          <w:szCs w:val="14"/>
        </w:rPr>
        <w:footnoteRef/>
      </w:r>
      <w:r w:rsidRPr="00207603">
        <w:rPr>
          <w:rFonts w:ascii="Bookman Old Style" w:hAnsi="Bookman Old Style"/>
          <w:i/>
          <w:sz w:val="14"/>
          <w:szCs w:val="14"/>
        </w:rPr>
        <w:t xml:space="preserve"> Asocolcanna. ¿Cannabis medicinal, el salvavidas que necesita la economía? Obtenida de: http://asocolcanna.org/noticias/cannabis-medicinal-el-salvavidas-que-necesita-la-economia/</w:t>
      </w:r>
    </w:p>
  </w:footnote>
  <w:footnote w:id="40">
    <w:p w14:paraId="50BE7F0E" w14:textId="77777777" w:rsidR="00DD1ED0" w:rsidRPr="00207603" w:rsidRDefault="00DD1ED0" w:rsidP="00207603">
      <w:pPr>
        <w:pStyle w:val="FootnoteText"/>
        <w:rPr>
          <w:sz w:val="14"/>
          <w:szCs w:val="14"/>
        </w:rPr>
      </w:pPr>
      <w:r w:rsidRPr="00207603">
        <w:rPr>
          <w:rStyle w:val="FootnoteReference"/>
          <w:sz w:val="14"/>
          <w:szCs w:val="14"/>
        </w:rPr>
        <w:footnoteRef/>
      </w:r>
      <w:r w:rsidRPr="00207603">
        <w:rPr>
          <w:sz w:val="14"/>
          <w:szCs w:val="14"/>
        </w:rPr>
        <w:t xml:space="preserve"> </w:t>
      </w:r>
      <w:r w:rsidRPr="00207603">
        <w:rPr>
          <w:rFonts w:ascii="Bookman Old Style" w:hAnsi="Bookman Old Style"/>
          <w:sz w:val="14"/>
          <w:szCs w:val="14"/>
        </w:rPr>
        <w:t>Fedesarrollo (2019) La industria del cannabis medicinal en Colombia. Ramírez, Naranjo, Torres &amp; Mejía. Bogotá. Obtenido de: https://www.repository.fedesarrollo.org.co/handle/11445/3823</w:t>
      </w:r>
    </w:p>
  </w:footnote>
  <w:footnote w:id="41">
    <w:p w14:paraId="371D1673"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Rodrigo Uprimny, “Una oportunidad perdida”, Dejusticia. 2019.</w:t>
      </w:r>
    </w:p>
  </w:footnote>
  <w:footnote w:id="42">
    <w:p w14:paraId="71F315DD"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Preámbulo de la Constitución Política de 1991.</w:t>
      </w:r>
    </w:p>
  </w:footnote>
  <w:footnote w:id="43">
    <w:p w14:paraId="159AA232"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Corte Constitucional, Sentencia C-336 de 2008. M.P. Clara Inés Vargas Hernández.</w:t>
      </w:r>
    </w:p>
  </w:footnote>
  <w:footnote w:id="44">
    <w:p w14:paraId="684D02A5"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iCs/>
          <w:sz w:val="14"/>
          <w:szCs w:val="14"/>
        </w:rPr>
        <w:t>Ibidem.</w:t>
      </w:r>
    </w:p>
  </w:footnote>
  <w:footnote w:id="45">
    <w:p w14:paraId="6D6B73C4"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No le corresponde al Estado, ni a la sociedad, sino a las propias personas, decidir sobre la manera en como desarrollan sus derechos y construyen sus proyectos y modelos de realización personal”. Corte Constitucional Sentencia T-516 de 1998 M.P.: Antonio Barrera.</w:t>
      </w:r>
    </w:p>
  </w:footnote>
  <w:footnote w:id="46">
    <w:p w14:paraId="4E4521C2"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Corte Constitucional, Sentencia C-221 de 1994. M.P. Carlos Gaviria Díaz.</w:t>
      </w:r>
    </w:p>
  </w:footnote>
  <w:footnote w:id="47">
    <w:p w14:paraId="4D2CFD8C"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14:paraId="5207B72E" w14:textId="77777777" w:rsidR="00DD1ED0" w:rsidRPr="00207603" w:rsidRDefault="00DD1ED0" w:rsidP="00207603">
      <w:pPr>
        <w:rPr>
          <w:i/>
          <w:sz w:val="14"/>
          <w:szCs w:val="14"/>
        </w:rPr>
      </w:pPr>
      <w:r w:rsidRPr="00207603">
        <w:rPr>
          <w:i/>
          <w:sz w:val="14"/>
          <w:szCs w:val="14"/>
        </w:rPr>
        <w:t>El Estado protegerá especialmente a aquellas personas que, por su condición económica, física o mental, se encuentren en circunstancia de debilidad manifiesta y sancionará los abusos o maltratos que contra ellas se cometan”</w:t>
      </w:r>
    </w:p>
  </w:footnote>
  <w:footnote w:id="48">
    <w:p w14:paraId="0D0B38F4"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Corte Constitucional, sentencia C-220 de 2017. M.P. José Antonio Cepeda Amarís (E).</w:t>
      </w:r>
    </w:p>
  </w:footnote>
  <w:footnote w:id="49">
    <w:p w14:paraId="0294A8EF"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lang w:eastAsia="es-CO"/>
        </w:rPr>
        <w:t>Corte Constitucional, Sentencia C-104 de 2016. M.P. Luis Guillermo Guerrero Pérez.</w:t>
      </w:r>
    </w:p>
  </w:footnote>
  <w:footnote w:id="50">
    <w:p w14:paraId="1C218675" w14:textId="77777777" w:rsidR="00DD1ED0" w:rsidRPr="00207603" w:rsidRDefault="00DD1ED0" w:rsidP="00207603">
      <w:pPr>
        <w:pStyle w:val="FootnoteText"/>
        <w:rPr>
          <w:rFonts w:ascii="Times New Roman" w:hAnsi="Times New Roman" w:cs="Times New Roman"/>
          <w:i/>
          <w:sz w:val="14"/>
          <w:szCs w:val="14"/>
          <w:lang w:val="en-US"/>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w:t>
      </w:r>
      <w:r w:rsidRPr="00207603">
        <w:rPr>
          <w:rFonts w:ascii="Times New Roman" w:eastAsia="Calibri" w:hAnsi="Times New Roman" w:cs="Times New Roman"/>
          <w:i/>
          <w:sz w:val="14"/>
          <w:szCs w:val="14"/>
          <w:lang w:val="en-US"/>
        </w:rPr>
        <w:t>P. Westen. Speaking of equality. An Analisis of the Rhetorical forcé of Equality” in moral and legal discoruse, Princenton University Press, 1990, cap.v.</w:t>
      </w:r>
    </w:p>
  </w:footnote>
  <w:footnote w:id="51">
    <w:p w14:paraId="4D3001BC"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lang w:eastAsia="es-CO"/>
        </w:rPr>
        <w:t>Corte Constitucional, Sentencia T-171 de 2018. Cristina Pardo Schlesinger.</w:t>
      </w:r>
    </w:p>
  </w:footnote>
  <w:footnote w:id="52">
    <w:p w14:paraId="45BF61DD"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lang w:eastAsia="es-CO"/>
        </w:rPr>
        <w:t>Corte Constitucional, Sentencia T-452 de 2018 M.P. José Fernando Reyes Cuartas.</w:t>
      </w:r>
    </w:p>
  </w:footnote>
  <w:footnote w:id="53">
    <w:p w14:paraId="5A1A2995"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lang w:eastAsia="es-CO"/>
        </w:rPr>
        <w:t>Corte Constitucional, sentencia C-420 de 2002, M.P. Jaime Córdoba Triviño.</w:t>
      </w:r>
    </w:p>
  </w:footnote>
  <w:footnote w:id="54">
    <w:p w14:paraId="38BA3237" w14:textId="77777777" w:rsidR="00DD1ED0" w:rsidRPr="00207603" w:rsidRDefault="00DD1ED0" w:rsidP="00207603">
      <w:pPr>
        <w:pStyle w:val="FootnoteText"/>
        <w:rPr>
          <w:rFonts w:ascii="Times New Roman" w:hAnsi="Times New Roman" w:cs="Times New Roman"/>
          <w:sz w:val="14"/>
          <w:szCs w:val="14"/>
          <w:lang w:val="en-US"/>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w:t>
      </w:r>
      <w:r w:rsidRPr="00207603">
        <w:rPr>
          <w:rFonts w:ascii="Times New Roman" w:hAnsi="Times New Roman" w:cs="Times New Roman"/>
          <w:i/>
          <w:iCs/>
          <w:sz w:val="14"/>
          <w:szCs w:val="14"/>
          <w:lang w:val="en-US"/>
        </w:rPr>
        <w:t>Ibidem.</w:t>
      </w:r>
    </w:p>
  </w:footnote>
  <w:footnote w:id="55">
    <w:p w14:paraId="5A252FD6"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Leslie King and Lawrence Phillips. “Drug harms in the UK: a multicriteria decision analysis”. </w:t>
      </w:r>
      <w:r w:rsidRPr="00207603">
        <w:rPr>
          <w:rFonts w:ascii="Times New Roman" w:hAnsi="Times New Roman" w:cs="Times New Roman"/>
          <w:i/>
          <w:sz w:val="14"/>
          <w:szCs w:val="14"/>
        </w:rPr>
        <w:t>David Nutt. The Lancet, 2010.</w:t>
      </w:r>
    </w:p>
  </w:footnote>
  <w:footnote w:id="56">
    <w:p w14:paraId="5FA905FF"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Corte Constitucional, Sentencia C-221 de 1994. M.P. Carlos Gaviria Díaz.</w:t>
      </w:r>
    </w:p>
  </w:footnote>
  <w:footnote w:id="57">
    <w:p w14:paraId="7257FEFF"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iCs/>
          <w:sz w:val="14"/>
          <w:szCs w:val="14"/>
        </w:rPr>
        <w:footnoteRef/>
      </w:r>
      <w:r w:rsidRPr="00207603">
        <w:rPr>
          <w:rFonts w:ascii="Times New Roman" w:hAnsi="Times New Roman" w:cs="Times New Roman"/>
          <w:i/>
          <w:iCs/>
          <w:sz w:val="14"/>
          <w:szCs w:val="14"/>
        </w:rPr>
        <w:t xml:space="preserve"> </w:t>
      </w:r>
      <w:r w:rsidRPr="00207603">
        <w:rPr>
          <w:rFonts w:ascii="Times New Roman" w:hAnsi="Times New Roman" w:cs="Times New Roman"/>
          <w:i/>
          <w:iCs/>
          <w:sz w:val="14"/>
          <w:szCs w:val="14"/>
          <w:lang w:val="es-ES_tradnl"/>
        </w:rPr>
        <w:t>“</w:t>
      </w:r>
      <w:r w:rsidRPr="00207603">
        <w:rPr>
          <w:rFonts w:ascii="Times New Roman" w:hAnsi="Times New Roman"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207603">
        <w:rPr>
          <w:rFonts w:ascii="Times New Roman" w:hAnsi="Times New Roman" w:cs="Times New Roman"/>
          <w:sz w:val="14"/>
          <w:szCs w:val="14"/>
          <w:lang w:val="es-ES_tradnl"/>
        </w:rPr>
        <w:t xml:space="preserve">, la cual indica en su Artículo 2 que </w:t>
      </w:r>
      <w:r w:rsidRPr="00207603">
        <w:rPr>
          <w:rFonts w:ascii="Times New Roman" w:hAnsi="Times New Roman"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58">
    <w:p w14:paraId="34DE640A"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59">
    <w:p w14:paraId="52B0A095"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rPr>
        <w:t>Medina-Mora, Real, Villatoro, &amp; Natera, “Las drogas y la salud pública: ¿hacia dónde vamos?”, 2013; página 68</w:t>
      </w:r>
    </w:p>
  </w:footnote>
  <w:footnote w:id="60">
    <w:p w14:paraId="5D0D62DF"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rPr>
        <w:t>Ministerio de Salud, Dirección de Promoción y prevención,”El consumo de SPA en Colombia” 2015.</w:t>
      </w:r>
    </w:p>
  </w:footnote>
  <w:footnote w:id="61">
    <w:p w14:paraId="6596F0AF" w14:textId="77777777" w:rsidR="00DD1ED0" w:rsidRPr="00207603" w:rsidRDefault="00DD1ED0" w:rsidP="00207603">
      <w:pPr>
        <w:rPr>
          <w:rFonts w:eastAsia="Calibri"/>
          <w:i/>
          <w:sz w:val="14"/>
          <w:szCs w:val="14"/>
        </w:rPr>
      </w:pPr>
      <w:r w:rsidRPr="00207603">
        <w:rPr>
          <w:rStyle w:val="FootnoteReference"/>
          <w:i/>
          <w:sz w:val="14"/>
          <w:szCs w:val="14"/>
        </w:rPr>
        <w:footnoteRef/>
      </w:r>
      <w:r w:rsidRPr="00207603">
        <w:rPr>
          <w:i/>
          <w:sz w:val="14"/>
          <w:szCs w:val="14"/>
        </w:rPr>
        <w:t xml:space="preserve"> Rodrigo Uprimny, “Una oportunidad perdida”, Dejusticia. 2019</w:t>
      </w:r>
    </w:p>
  </w:footnote>
  <w:footnote w:id="62">
    <w:p w14:paraId="6A9C4416"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British Broadcasting Corporation BBC Cuáles son las sustancias más adictivas del mundo y qué le hacen a nuestro cerebro, recuperado de https://www.bbc.com/mundo/noticias-46877409</w:t>
      </w:r>
    </w:p>
  </w:footnote>
  <w:footnote w:id="63">
    <w:p w14:paraId="07ECEA05"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Cesar Augusto Giraldo Giraldo, Medicina Forense, 2009.</w:t>
      </w:r>
    </w:p>
  </w:footnote>
  <w:footnote w:id="64">
    <w:p w14:paraId="26DA761E"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lang w:val="en-US"/>
        </w:rPr>
        <w:t xml:space="preserve"> </w:t>
      </w:r>
      <w:r w:rsidRPr="00207603">
        <w:rPr>
          <w:rFonts w:ascii="Times New Roman" w:hAnsi="Times New Roman" w:cs="Times New Roman"/>
          <w:i/>
          <w:sz w:val="14"/>
          <w:szCs w:val="14"/>
          <w:lang w:val="en-US"/>
        </w:rPr>
        <w:t xml:space="preserve">Leslie King and Lawrence Phillips. “Drug harms in the UK: a multicriteria decision analysis”. </w:t>
      </w:r>
      <w:r w:rsidRPr="00207603">
        <w:rPr>
          <w:rFonts w:ascii="Times New Roman" w:hAnsi="Times New Roman" w:cs="Times New Roman"/>
          <w:i/>
          <w:sz w:val="14"/>
          <w:szCs w:val="14"/>
        </w:rPr>
        <w:t>David Nutt. The Lancet, 2010.</w:t>
      </w:r>
    </w:p>
  </w:footnote>
  <w:footnote w:id="65">
    <w:p w14:paraId="25F22E7F"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Cesar Augusto Giraldo Giraldo, Medicina Forense, 2009.</w:t>
      </w:r>
    </w:p>
  </w:footnote>
  <w:footnote w:id="66">
    <w:p w14:paraId="56EE908F" w14:textId="77777777" w:rsidR="00DD1ED0" w:rsidRPr="00207603" w:rsidRDefault="00DD1ED0" w:rsidP="00207603">
      <w:pPr>
        <w:rPr>
          <w:sz w:val="14"/>
          <w:szCs w:val="14"/>
        </w:rPr>
      </w:pPr>
      <w:r w:rsidRPr="00207603">
        <w:rPr>
          <w:rStyle w:val="FootnoteReference"/>
          <w:sz w:val="14"/>
          <w:szCs w:val="14"/>
        </w:rPr>
        <w:footnoteRef/>
      </w:r>
      <w:r w:rsidRPr="00207603">
        <w:rPr>
          <w:sz w:val="14"/>
          <w:szCs w:val="14"/>
        </w:rPr>
        <w:t xml:space="preserve"> </w:t>
      </w:r>
      <w:r w:rsidRPr="00207603">
        <w:rPr>
          <w:i/>
          <w:sz w:val="14"/>
          <w:szCs w:val="14"/>
        </w:rPr>
        <w:t>UNODC, Estudio Nacional de Consumo de Sustancias Psicoactivas en Colombia 2013 – Informe Final, 2013, recuperado de: https://www.unodc.org/documents/colombia/2014/Julio/Estudio_de_Consumo_UNODC.pdf</w:t>
      </w:r>
    </w:p>
  </w:footnote>
  <w:footnote w:id="67">
    <w:p w14:paraId="192C904C"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Cesar Augusto Giraldo Giraldo, Medicina Forense, 2009.</w:t>
      </w:r>
    </w:p>
  </w:footnote>
  <w:footnote w:id="68">
    <w:p w14:paraId="5DA87EFC"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Roberto Solórzano Niño, Medicina Lega, criminalística y toxicología para abogados, 1996.</w:t>
      </w:r>
    </w:p>
  </w:footnote>
  <w:footnote w:id="69">
    <w:p w14:paraId="241C7F69"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Cesar Augusto Giraldo Giraldo, Medicina Forense, 2009.</w:t>
      </w:r>
    </w:p>
  </w:footnote>
  <w:footnote w:id="70">
    <w:p w14:paraId="7450AE44"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German Lopez. </w:t>
      </w:r>
      <w:hyperlink r:id="rId1" w:tgtFrame="_blank" w:history="1">
        <w:r w:rsidRPr="00207603">
          <w:rPr>
            <w:rFonts w:ascii="Times New Roman" w:hAnsi="Times New Roman" w:cs="Times New Roman"/>
            <w:i/>
            <w:sz w:val="14"/>
            <w:szCs w:val="14"/>
            <w:lang w:val="en-US"/>
          </w:rPr>
          <w:t xml:space="preserve">The three deathliest drugs in America. </w:t>
        </w:r>
        <w:r w:rsidRPr="00207603">
          <w:rPr>
            <w:rFonts w:ascii="Times New Roman" w:hAnsi="Times New Roman" w:cs="Times New Roman"/>
            <w:i/>
            <w:sz w:val="14"/>
            <w:szCs w:val="14"/>
          </w:rPr>
          <w:t>Vox 2017</w:t>
        </w:r>
      </w:hyperlink>
      <w:r w:rsidRPr="00207603">
        <w:rPr>
          <w:rFonts w:ascii="Times New Roman" w:hAnsi="Times New Roman" w:cs="Times New Roman"/>
          <w:i/>
          <w:sz w:val="14"/>
          <w:szCs w:val="14"/>
        </w:rPr>
        <w:t>.</w:t>
      </w:r>
    </w:p>
  </w:footnote>
  <w:footnote w:id="71">
    <w:p w14:paraId="563A5FB6"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Pretendiendo que cada uno de los sub-principios del test se pudiese aplicar de manera gradual, de acuerdo con la extensión del margen de apreciación del legislador o la administración.</w:t>
      </w:r>
    </w:p>
  </w:footnote>
  <w:footnote w:id="72">
    <w:p w14:paraId="1876B072" w14:textId="77777777" w:rsidR="00DD1ED0" w:rsidRPr="00207603" w:rsidRDefault="00DD1ED0" w:rsidP="00207603">
      <w:pPr>
        <w:rPr>
          <w:rFonts w:eastAsia="Calibri"/>
          <w:i/>
          <w:sz w:val="14"/>
          <w:szCs w:val="14"/>
        </w:rPr>
      </w:pPr>
      <w:r w:rsidRPr="00207603">
        <w:rPr>
          <w:rStyle w:val="FootnoteReference"/>
          <w:i/>
          <w:sz w:val="14"/>
          <w:szCs w:val="14"/>
        </w:rPr>
        <w:footnoteRef/>
      </w:r>
      <w:r w:rsidRPr="00207603">
        <w:rPr>
          <w:i/>
          <w:sz w:val="14"/>
          <w:szCs w:val="14"/>
        </w:rPr>
        <w:t xml:space="preserve"> Corte Constitucional, Sentencia C-104 de 2016, M.P. Luis Guillermo Guerrero Pérez.</w:t>
      </w:r>
    </w:p>
  </w:footnote>
  <w:footnote w:id="73">
    <w:p w14:paraId="1C5BCB66"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rPr>
        <w:t>Corte Constitucional, Sentencia C-144 de 2015. M.P. Martha Victoria Sáchica Méndez.</w:t>
      </w:r>
    </w:p>
  </w:footnote>
  <w:footnote w:id="74">
    <w:p w14:paraId="0896D48F"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Ibidem.</w:t>
      </w:r>
    </w:p>
  </w:footnote>
  <w:footnote w:id="75">
    <w:p w14:paraId="1D6536E3"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Corte Constitucional, Sentencia C-104 de 2016, M.P. Luis Guillermo Guerrero Pérez.</w:t>
      </w:r>
    </w:p>
  </w:footnote>
  <w:footnote w:id="76">
    <w:p w14:paraId="4EF75A23"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Ibidem.</w:t>
      </w:r>
    </w:p>
  </w:footnote>
  <w:footnote w:id="77">
    <w:p w14:paraId="0249C8FC"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Corte Constitucional, Sentencia C-221 de 1994. M.P. Carlos Gaviria Díaz.</w:t>
      </w:r>
    </w:p>
  </w:footnote>
  <w:footnote w:id="78">
    <w:p w14:paraId="63B01DF9"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79">
    <w:p w14:paraId="767ABCA9"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(PP.20) Recuperado de: https://www.dejusticia.org/wp-content/uploads/2017/07/Delitos-de-drogas-y-sobredosis-carcelaria-en-Colombia-Version-final-PDF-para-WEB.pdf</w:t>
      </w:r>
    </w:p>
  </w:footnote>
  <w:footnote w:id="80">
    <w:p w14:paraId="5DA4A31E"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81">
    <w:p w14:paraId="10129C54"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82">
    <w:p w14:paraId="3504019B"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World Prison Brief, Institute for Criminal Policy Research. </w:t>
      </w:r>
      <w:r w:rsidRPr="00207603">
        <w:rPr>
          <w:rFonts w:ascii="Times New Roman" w:hAnsi="Times New Roman" w:cs="Times New Roman"/>
          <w:i/>
          <w:sz w:val="14"/>
          <w:szCs w:val="14"/>
        </w:rPr>
        <w:t>Recuperado de: http://www.prisonstudies.org/highest-to-lowest/prison-population-total y http://www.prisonstudies.org/country/colombia</w:t>
      </w:r>
    </w:p>
  </w:footnote>
  <w:footnote w:id="83">
    <w:p w14:paraId="75BE6EE6"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84">
    <w:p w14:paraId="25B1545C"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85">
    <w:p w14:paraId="1EFE08FE"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iCs/>
          <w:sz w:val="14"/>
          <w:szCs w:val="14"/>
        </w:rPr>
        <w:footnoteRef/>
      </w:r>
      <w:r w:rsidRPr="00207603">
        <w:rPr>
          <w:rFonts w:ascii="Times New Roman" w:hAnsi="Times New Roman" w:cs="Times New Roman"/>
          <w:i/>
          <w:iCs/>
          <w:sz w:val="14"/>
          <w:szCs w:val="14"/>
        </w:rPr>
        <w:t xml:space="preserve"> </w:t>
      </w:r>
      <w:r w:rsidRPr="00207603">
        <w:rPr>
          <w:rFonts w:ascii="Times New Roman" w:hAnsi="Times New Roman" w:cs="Times New Roman"/>
          <w:i/>
          <w:sz w:val="14"/>
          <w:szCs w:val="14"/>
        </w:rPr>
        <w:t>Centro de Estudios de Derecho, Justicia y Sociedad, Dejusticia. 2017. Sobredosis Carcelaria y Política de Drogas en América Latina. Documentos Dejusticia 37. (Pp. 46) Recuperado de: https://www.dejusticia.org/wp-content/uploads/2017/07/Delitos-de-drogas-y-sobredosis-carcelaria-en-Colombia-Version-final-PDF-para-WEB.pdf</w:t>
      </w:r>
    </w:p>
  </w:footnote>
  <w:footnote w:id="86">
    <w:p w14:paraId="12ABBB43"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32) Recuperado de: https://www.dejusticia.org/wp-content/uploads/2017/07/Delitos-de-drogas-y-sobredosis-carcelaria-en-Colombia-Version-final-PDF-para-WEB.pdf</w:t>
      </w:r>
    </w:p>
  </w:footnote>
  <w:footnote w:id="87">
    <w:p w14:paraId="613BBBA6"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58) Recuperado de: https://www.dejusticia.org/wp-content/uploads/2017/07/Delitos-de-drogas-y-sobredosis-carcelaria-en-Colombia-Version-final-PDF-para-WEB.pdf</w:t>
      </w:r>
    </w:p>
  </w:footnote>
  <w:footnote w:id="88">
    <w:p w14:paraId="4B9AC5FE"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50) Recuperado de: https://www.dejusticia.org/wp-content/uploads/2017/07/Delitos-de-drogas-y-sobredosis-carcelaria-en-Colombia-Version-final-PDF-para-WEB.pdf</w:t>
      </w:r>
    </w:p>
  </w:footnote>
  <w:footnote w:id="89">
    <w:p w14:paraId="0BAA7054"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73) Recuperado de: </w:t>
      </w:r>
      <w:hyperlink r:id="rId2" w:history="1">
        <w:r w:rsidRPr="00207603">
          <w:rPr>
            <w:rStyle w:val="Hyperlink"/>
            <w:rFonts w:ascii="Times New Roman" w:hAnsi="Times New Roman" w:cs="Times New Roman"/>
            <w:i/>
            <w:color w:val="auto"/>
            <w:sz w:val="14"/>
            <w:szCs w:val="14"/>
            <w:u w:val="none"/>
          </w:rPr>
          <w:t>https://www.dejusticia.org/wp-content/uploads/2017/07/Delitos-de-drogas-y-sobredosis-carcelaria-en-Colombia-Version-final-PDF-para-WEB.pdf</w:t>
        </w:r>
      </w:hyperlink>
    </w:p>
  </w:footnote>
  <w:footnote w:id="90">
    <w:p w14:paraId="24A3EBD5"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Comisión Global de Políticas de Drogas. 2018. Políticas De Drogas Y La Agenda Para El Desarrollo Sostenible. Recuperado de: </w:t>
      </w:r>
      <w:hyperlink r:id="rId3" w:history="1">
        <w:r w:rsidRPr="00207603">
          <w:rPr>
            <w:rStyle w:val="Hyperlink"/>
            <w:rFonts w:ascii="Times New Roman" w:hAnsi="Times New Roman" w:cs="Times New Roman"/>
            <w:i/>
            <w:color w:val="auto"/>
            <w:sz w:val="14"/>
            <w:szCs w:val="14"/>
            <w:u w:val="none"/>
          </w:rPr>
          <w:t>http://www.globalcommissionondrugs.org/wp-content/uploads/2018/11/SPA-2018_SDGPaper_WEB.pdf</w:t>
        </w:r>
      </w:hyperlink>
    </w:p>
  </w:footnote>
  <w:footnote w:id="91">
    <w:p w14:paraId="3F9B0F63" w14:textId="77777777" w:rsidR="00DD1ED0" w:rsidRPr="00207603" w:rsidRDefault="00DD1ED0" w:rsidP="00207603">
      <w:pPr>
        <w:pStyle w:val="FootnoteText"/>
        <w:rPr>
          <w:rFonts w:ascii="Times New Roman" w:hAnsi="Times New Roman" w:cs="Times New Roman"/>
          <w:i/>
          <w:iCs/>
          <w:sz w:val="14"/>
          <w:szCs w:val="14"/>
        </w:rPr>
      </w:pPr>
      <w:r w:rsidRPr="00207603">
        <w:rPr>
          <w:rStyle w:val="FootnoteReference"/>
          <w:rFonts w:ascii="Times New Roman" w:hAnsi="Times New Roman" w:cs="Times New Roman"/>
          <w:i/>
          <w:iCs/>
          <w:sz w:val="14"/>
          <w:szCs w:val="14"/>
        </w:rPr>
        <w:footnoteRef/>
      </w:r>
      <w:r w:rsidRPr="00207603">
        <w:rPr>
          <w:rFonts w:ascii="Times New Roman" w:hAnsi="Times New Roman" w:cs="Times New Roman"/>
          <w:i/>
          <w:iCs/>
          <w:sz w:val="14"/>
          <w:szCs w:val="14"/>
        </w:rPr>
        <w:t xml:space="preserve"> Comisión Global de Políticas de Drogas. 2018. Políticas De Drogas Y La Agenda Para El Desarrollo Sostenible. (Pp.6) Recuperado de: </w:t>
      </w:r>
      <w:hyperlink r:id="rId4" w:history="1">
        <w:r w:rsidRPr="00207603">
          <w:rPr>
            <w:rStyle w:val="Hyperlink"/>
            <w:rFonts w:ascii="Times New Roman" w:hAnsi="Times New Roman" w:cs="Times New Roman"/>
            <w:i/>
            <w:iCs/>
            <w:color w:val="auto"/>
            <w:sz w:val="14"/>
            <w:szCs w:val="14"/>
            <w:u w:val="none"/>
          </w:rPr>
          <w:t>http://www.globalcommissionondrugs.org/wp-content/uploads/2018/11/SPA-2018_SDGPaper_WEB.pdf</w:t>
        </w:r>
      </w:hyperlink>
    </w:p>
  </w:footnote>
  <w:footnote w:id="92">
    <w:p w14:paraId="3AAA2DF8" w14:textId="77777777" w:rsidR="00DD1ED0" w:rsidRPr="00207603" w:rsidRDefault="00DD1ED0" w:rsidP="00207603">
      <w:pPr>
        <w:pStyle w:val="FootnoteText"/>
        <w:rPr>
          <w:rFonts w:ascii="Times New Roman" w:hAnsi="Times New Roman" w:cs="Times New Roman"/>
          <w:i/>
          <w:iCs/>
          <w:sz w:val="14"/>
          <w:szCs w:val="14"/>
        </w:rPr>
      </w:pPr>
      <w:r w:rsidRPr="00207603">
        <w:rPr>
          <w:rStyle w:val="FootnoteReference"/>
          <w:rFonts w:ascii="Times New Roman" w:hAnsi="Times New Roman" w:cs="Times New Roman"/>
          <w:i/>
          <w:iCs/>
          <w:sz w:val="14"/>
          <w:szCs w:val="14"/>
        </w:rPr>
        <w:footnoteRef/>
      </w:r>
      <w:r w:rsidRPr="00207603">
        <w:rPr>
          <w:rFonts w:ascii="Times New Roman" w:hAnsi="Times New Roman" w:cs="Times New Roman"/>
          <w:i/>
          <w:iCs/>
          <w:sz w:val="14"/>
          <w:szCs w:val="14"/>
        </w:rPr>
        <w:t xml:space="preserve"> Ibidem.</w:t>
      </w:r>
    </w:p>
  </w:footnote>
  <w:footnote w:id="93">
    <w:p w14:paraId="2DB2573D"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iCs/>
          <w:sz w:val="14"/>
          <w:szCs w:val="14"/>
        </w:rPr>
        <w:t>Ibidem.</w:t>
      </w:r>
    </w:p>
  </w:footnote>
  <w:footnote w:id="94">
    <w:p w14:paraId="2DC99854"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 xml:space="preserve">Comisión Global de Políticas de Drogas. 2018. Políticas De Drogas Y La Agenda Para El Desarrollo Sostenible. (Pp.8) Recuperado de: </w:t>
      </w:r>
      <w:hyperlink r:id="rId5" w:history="1">
        <w:r w:rsidRPr="00207603">
          <w:rPr>
            <w:rStyle w:val="Hyperlink"/>
            <w:rFonts w:ascii="Times New Roman" w:hAnsi="Times New Roman" w:cs="Times New Roman"/>
            <w:i/>
            <w:color w:val="auto"/>
            <w:sz w:val="14"/>
            <w:szCs w:val="14"/>
            <w:u w:val="none"/>
          </w:rPr>
          <w:t>http://www.globalcommissionondrugs.org/wp-content/uploads/2018/11/SPA-2018_SDGPaper_WEB.pdf</w:t>
        </w:r>
      </w:hyperlink>
    </w:p>
  </w:footnote>
  <w:footnote w:id="95">
    <w:p w14:paraId="29E587D6"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Comisión Global de Políticas de Drogas. 2018. Políticas De Drogas Y La Agenda Para El Desarrollo Sostenible. (Pp.7) Recuperado de: </w:t>
      </w:r>
      <w:hyperlink r:id="rId6" w:history="1">
        <w:r w:rsidRPr="00207603">
          <w:rPr>
            <w:rStyle w:val="Hyperlink"/>
            <w:rFonts w:ascii="Times New Roman" w:hAnsi="Times New Roman" w:cs="Times New Roman"/>
            <w:color w:val="auto"/>
            <w:sz w:val="14"/>
            <w:szCs w:val="14"/>
            <w:u w:val="none"/>
          </w:rPr>
          <w:t>http://www.globalcommissionondrugs.org/wp-content/uploads/2018/11/SPA-2018_SDGPaper_WEB.pdf</w:t>
        </w:r>
      </w:hyperlink>
    </w:p>
  </w:footnote>
  <w:footnote w:id="96">
    <w:p w14:paraId="6598F4DB" w14:textId="77777777" w:rsidR="00DD1ED0" w:rsidRPr="00207603" w:rsidRDefault="00DD1ED0" w:rsidP="00207603">
      <w:pPr>
        <w:pStyle w:val="FootnoteText"/>
        <w:rPr>
          <w:rFonts w:ascii="Times New Roman" w:hAnsi="Times New Roman" w:cs="Times New Roman"/>
          <w:i/>
          <w:iCs/>
          <w:sz w:val="14"/>
          <w:szCs w:val="14"/>
        </w:rPr>
      </w:pPr>
      <w:r w:rsidRPr="00207603">
        <w:rPr>
          <w:rStyle w:val="FootnoteReference"/>
          <w:rFonts w:ascii="Times New Roman" w:hAnsi="Times New Roman" w:cs="Times New Roman"/>
          <w:i/>
          <w:iCs/>
          <w:sz w:val="14"/>
          <w:szCs w:val="14"/>
        </w:rPr>
        <w:footnoteRef/>
      </w:r>
      <w:r w:rsidRPr="00207603">
        <w:rPr>
          <w:rFonts w:ascii="Times New Roman" w:hAnsi="Times New Roman" w:cs="Times New Roman"/>
          <w:i/>
          <w:iCs/>
          <w:sz w:val="14"/>
          <w:szCs w:val="14"/>
        </w:rPr>
        <w:t xml:space="preserve"> Ibidem.</w:t>
      </w:r>
    </w:p>
  </w:footnote>
  <w:footnote w:id="97">
    <w:p w14:paraId="37F666C7"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iCs/>
          <w:sz w:val="14"/>
          <w:szCs w:val="14"/>
        </w:rPr>
        <w:t>Ibidem.</w:t>
      </w:r>
    </w:p>
  </w:footnote>
  <w:footnote w:id="98">
    <w:p w14:paraId="02D1A562" w14:textId="77777777" w:rsidR="00DD1ED0" w:rsidRPr="00207603" w:rsidRDefault="00DD1ED0" w:rsidP="00207603">
      <w:pPr>
        <w:pStyle w:val="FootnoteText"/>
        <w:rPr>
          <w:rFonts w:ascii="Times New Roman" w:hAnsi="Times New Roman" w:cs="Times New Roman"/>
          <w:i/>
          <w:iCs/>
          <w:sz w:val="14"/>
          <w:szCs w:val="14"/>
        </w:rPr>
      </w:pPr>
      <w:r w:rsidRPr="00207603">
        <w:rPr>
          <w:rStyle w:val="FootnoteReference"/>
          <w:rFonts w:ascii="Times New Roman" w:hAnsi="Times New Roman" w:cs="Times New Roman"/>
          <w:i/>
          <w:iCs/>
          <w:sz w:val="14"/>
          <w:szCs w:val="14"/>
        </w:rPr>
        <w:footnoteRef/>
      </w:r>
      <w:r w:rsidRPr="00207603">
        <w:rPr>
          <w:rFonts w:ascii="Times New Roman" w:hAnsi="Times New Roman" w:cs="Times New Roman"/>
          <w:i/>
          <w:iCs/>
          <w:sz w:val="14"/>
          <w:szCs w:val="14"/>
        </w:rPr>
        <w:t xml:space="preserve"> Comisión Global de Políticas de Drogas. 2018. Políticas De Drogas Y La Agenda Para El Desarrollo Sostenible. (Pp.7) Recuperado de: </w:t>
      </w:r>
      <w:hyperlink r:id="rId7" w:history="1">
        <w:r w:rsidRPr="00207603">
          <w:rPr>
            <w:rStyle w:val="Hyperlink"/>
            <w:rFonts w:ascii="Times New Roman" w:hAnsi="Times New Roman" w:cs="Times New Roman"/>
            <w:i/>
            <w:iCs/>
            <w:color w:val="auto"/>
            <w:sz w:val="14"/>
            <w:szCs w:val="14"/>
            <w:u w:val="none"/>
          </w:rPr>
          <w:t>http://www.globalcommissionondrugs.org/wp-content/uploads/2018/11/SPA-2018_SDGPaper_WEB.pdf</w:t>
        </w:r>
      </w:hyperlink>
    </w:p>
  </w:footnote>
  <w:footnote w:id="99">
    <w:p w14:paraId="3FC23FD9" w14:textId="77777777" w:rsidR="00DD1ED0" w:rsidRPr="00207603" w:rsidRDefault="00DD1ED0" w:rsidP="00207603">
      <w:pPr>
        <w:pStyle w:val="FootnoteText"/>
        <w:rPr>
          <w:rFonts w:ascii="Times New Roman" w:hAnsi="Times New Roman" w:cs="Times New Roman"/>
          <w:i/>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Comisión Global de Políticas de Drogas. 2018. Políticas De Drogas Y La Agenda Para El Desarrollo Sostenible. (Pp.8) Recuperado de: </w:t>
      </w:r>
      <w:hyperlink r:id="rId8" w:history="1">
        <w:r w:rsidRPr="00207603">
          <w:rPr>
            <w:rStyle w:val="Hyperlink"/>
            <w:rFonts w:ascii="Times New Roman" w:hAnsi="Times New Roman" w:cs="Times New Roman"/>
            <w:i/>
            <w:color w:val="auto"/>
            <w:sz w:val="14"/>
            <w:szCs w:val="14"/>
            <w:u w:val="none"/>
          </w:rPr>
          <w:t>http://www.globalcommissionondrugs.org/wp-content/uploads/2018/11/SPA-2018_SDGPaper_WEB.pdf</w:t>
        </w:r>
      </w:hyperlink>
    </w:p>
  </w:footnote>
  <w:footnote w:id="100">
    <w:p w14:paraId="1A1837DC" w14:textId="77777777" w:rsidR="00DD1ED0" w:rsidRPr="00207603" w:rsidRDefault="00DD1ED0" w:rsidP="00207603">
      <w:pPr>
        <w:rPr>
          <w:i/>
          <w:sz w:val="14"/>
          <w:szCs w:val="14"/>
        </w:rPr>
      </w:pPr>
      <w:r w:rsidRPr="00207603">
        <w:rPr>
          <w:rStyle w:val="FootnoteReference"/>
          <w:i/>
          <w:sz w:val="14"/>
          <w:szCs w:val="14"/>
        </w:rPr>
        <w:footnoteRef/>
      </w:r>
      <w:r w:rsidRPr="00207603">
        <w:rPr>
          <w:i/>
          <w:sz w:val="14"/>
          <w:szCs w:val="14"/>
        </w:rPr>
        <w:t xml:space="preserve"> </w:t>
      </w:r>
      <w:r w:rsidRPr="00207603">
        <w:rPr>
          <w:i/>
          <w:iCs/>
          <w:sz w:val="14"/>
          <w:szCs w:val="14"/>
        </w:rPr>
        <w:t>Ibidem.</w:t>
      </w:r>
    </w:p>
  </w:footnote>
  <w:footnote w:id="101">
    <w:p w14:paraId="2E23BD1A" w14:textId="77777777" w:rsidR="00DD1ED0" w:rsidRPr="00207603" w:rsidRDefault="00DD1ED0" w:rsidP="00207603">
      <w:pPr>
        <w:rPr>
          <w:i/>
          <w:sz w:val="14"/>
          <w:szCs w:val="14"/>
        </w:rPr>
      </w:pPr>
      <w:r w:rsidRPr="00207603">
        <w:rPr>
          <w:rStyle w:val="FootnoteReference"/>
          <w:i/>
          <w:sz w:val="14"/>
          <w:szCs w:val="14"/>
        </w:rPr>
        <w:footnoteRef/>
      </w:r>
      <w:r w:rsidRPr="00207603">
        <w:rPr>
          <w:i/>
          <w:sz w:val="14"/>
          <w:szCs w:val="14"/>
        </w:rPr>
        <w:t xml:space="preserve"> Comisión Global de Políticas de Drogas. 2018. Políticas De Drogas Y La Agenda Para El Desarrollo Sostenible. (Pp.9) Recuperado de: </w:t>
      </w:r>
      <w:hyperlink r:id="rId9" w:history="1">
        <w:r w:rsidRPr="00207603">
          <w:rPr>
            <w:rStyle w:val="Hyperlink"/>
            <w:i/>
            <w:color w:val="auto"/>
            <w:sz w:val="14"/>
            <w:szCs w:val="14"/>
            <w:u w:val="none"/>
          </w:rPr>
          <w:t>http://www.globalcommissionondrugs.org/wp-content/uploads/2018/11/SPA-2018_SDGPaper_WEB.pdf</w:t>
        </w:r>
      </w:hyperlink>
    </w:p>
  </w:footnote>
  <w:footnote w:id="102">
    <w:p w14:paraId="2C1A618B"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sz w:val="14"/>
          <w:szCs w:val="14"/>
        </w:rPr>
        <w:footnoteRef/>
      </w:r>
      <w:r w:rsidRPr="00207603">
        <w:rPr>
          <w:rFonts w:ascii="Times New Roman" w:hAnsi="Times New Roman" w:cs="Times New Roman"/>
          <w:i/>
          <w:sz w:val="14"/>
          <w:szCs w:val="14"/>
        </w:rPr>
        <w:t xml:space="preserve"> Comisión Global de Políticas de Drogas. 2018. Políticas De Drogas Y La Agenda Para El Desarrollo Sostenible. (Pp.10) Recuperado de: </w:t>
      </w:r>
      <w:hyperlink r:id="rId10" w:history="1">
        <w:r w:rsidRPr="00207603">
          <w:rPr>
            <w:rStyle w:val="Hyperlink"/>
            <w:rFonts w:ascii="Times New Roman" w:hAnsi="Times New Roman" w:cs="Times New Roman"/>
            <w:i/>
            <w:color w:val="auto"/>
            <w:sz w:val="14"/>
            <w:szCs w:val="14"/>
            <w:u w:val="none"/>
          </w:rPr>
          <w:t>http://www.globalcommissionondrugs.org/wp-content/uploads/2018/11/SPA-2018_SDGPaper_WEB.pdf</w:t>
        </w:r>
      </w:hyperlink>
    </w:p>
  </w:footnote>
  <w:footnote w:id="103">
    <w:p w14:paraId="0B1CD5D6"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i/>
          <w:iCs/>
          <w:sz w:val="14"/>
          <w:szCs w:val="14"/>
        </w:rPr>
        <w:footnoteRef/>
      </w:r>
      <w:r w:rsidRPr="00207603">
        <w:rPr>
          <w:rFonts w:ascii="Times New Roman" w:hAnsi="Times New Roman" w:cs="Times New Roman"/>
          <w:i/>
          <w:iCs/>
          <w:sz w:val="14"/>
          <w:szCs w:val="14"/>
        </w:rPr>
        <w:t xml:space="preserve"> </w:t>
      </w:r>
      <w:r w:rsidRPr="00207603">
        <w:rPr>
          <w:rFonts w:ascii="Times New Roman" w:hAnsi="Times New Roman" w:cs="Times New Roman"/>
          <w:i/>
          <w:sz w:val="14"/>
          <w:szCs w:val="14"/>
        </w:rPr>
        <w:t xml:space="preserve">Comisión Global de Políticas de Drogas. 2018. Políticas De Drogas Y La Agenda Para El Desarrollo Sostenible. (Pp.16) Recuperado de: </w:t>
      </w:r>
      <w:hyperlink r:id="rId11" w:history="1">
        <w:r w:rsidRPr="00207603">
          <w:rPr>
            <w:rStyle w:val="Hyperlink"/>
            <w:rFonts w:ascii="Times New Roman" w:hAnsi="Times New Roman" w:cs="Times New Roman"/>
            <w:i/>
            <w:color w:val="auto"/>
            <w:sz w:val="14"/>
            <w:szCs w:val="14"/>
            <w:u w:val="none"/>
          </w:rPr>
          <w:t>http://www.globalcommissionondrugs.org/wp-content/uploads/2018/11/SPA-2018_SDGPaper_WEB.pdf</w:t>
        </w:r>
      </w:hyperlink>
    </w:p>
  </w:footnote>
  <w:footnote w:id="104">
    <w:p w14:paraId="6C441907" w14:textId="77777777" w:rsidR="00DD1ED0" w:rsidRPr="00207603" w:rsidRDefault="00DD1ED0" w:rsidP="00207603">
      <w:pPr>
        <w:pStyle w:val="FootnoteText"/>
        <w:rPr>
          <w:rFonts w:ascii="Times New Roman" w:hAnsi="Times New Roman" w:cs="Times New Roman"/>
          <w:sz w:val="14"/>
          <w:szCs w:val="14"/>
        </w:rPr>
      </w:pPr>
      <w:r w:rsidRPr="00207603">
        <w:rPr>
          <w:rStyle w:val="FootnoteReferenc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 xml:space="preserve">Comisión Global de Políticas de Drogas. 2018. Políticas De Drogas Y La Agenda Para El Desarrollo Sostenible. (Pp.17) Recuperado de: </w:t>
      </w:r>
      <w:hyperlink r:id="rId12" w:history="1">
        <w:r w:rsidRPr="00207603">
          <w:rPr>
            <w:rStyle w:val="Hyperlink"/>
            <w:rFonts w:ascii="Times New Roman" w:hAnsi="Times New Roman" w:cs="Times New Roman"/>
            <w:i/>
            <w:color w:val="auto"/>
            <w:sz w:val="14"/>
            <w:szCs w:val="14"/>
            <w:u w:val="none"/>
          </w:rPr>
          <w:t>http://www.globalcommissionondrugs.org/wp-content/uploads/2018/11/SPA-2018_SDGPaper_WEB.pdf</w:t>
        </w:r>
      </w:hyperlink>
    </w:p>
  </w:footnote>
  <w:footnote w:id="105">
    <w:p w14:paraId="0B811AC8" w14:textId="77777777" w:rsidR="00DD1ED0" w:rsidRPr="00207603" w:rsidRDefault="00DD1ED0" w:rsidP="00207603">
      <w:pPr>
        <w:pStyle w:val="FootnoteText"/>
        <w:rPr>
          <w:rFonts w:ascii="Times New Roman" w:hAnsi="Times New Roman" w:cs="Times New Roman"/>
          <w:i/>
          <w:iCs/>
          <w:sz w:val="14"/>
          <w:szCs w:val="14"/>
        </w:rPr>
      </w:pPr>
      <w:r w:rsidRPr="00207603">
        <w:rPr>
          <w:rStyle w:val="FootnoteReference"/>
          <w:rFonts w:ascii="Times New Roman" w:hAnsi="Times New Roman" w:cs="Times New Roman"/>
          <w:i/>
          <w:iCs/>
          <w:sz w:val="14"/>
          <w:szCs w:val="14"/>
        </w:rPr>
        <w:footnoteRef/>
      </w:r>
      <w:r w:rsidRPr="00207603">
        <w:rPr>
          <w:rFonts w:ascii="Times New Roman" w:hAnsi="Times New Roman" w:cs="Times New Roman"/>
          <w:i/>
          <w:iCs/>
          <w:sz w:val="14"/>
          <w:szCs w:val="14"/>
        </w:rPr>
        <w:t xml:space="preserve"> Ibidem.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559DE" w14:textId="77777777" w:rsidR="00DD1ED0" w:rsidRDefault="00DD1ED0">
    <w:pPr>
      <w:pBdr>
        <w:top w:val="nil"/>
        <w:left w:val="nil"/>
        <w:bottom w:val="nil"/>
        <w:right w:val="nil"/>
        <w:between w:val="nil"/>
      </w:pBdr>
      <w:rPr>
        <w:sz w:val="20"/>
        <w:szCs w:val="20"/>
      </w:rPr>
    </w:pPr>
    <w:r>
      <w:rPr>
        <w:noProof/>
        <w:lang w:val="en-US" w:eastAsia="en-US"/>
      </w:rPr>
      <w:drawing>
        <wp:anchor distT="0" distB="0" distL="0" distR="0" simplePos="0" relativeHeight="251658240" behindDoc="0" locked="0" layoutInCell="1" allowOverlap="1" wp14:anchorId="08BF0506" wp14:editId="23306676">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1855998E" w14:textId="77777777" w:rsidR="00DD1ED0" w:rsidRDefault="00DD1ED0">
    <w:pPr>
      <w:pBdr>
        <w:top w:val="nil"/>
        <w:left w:val="nil"/>
        <w:bottom w:val="nil"/>
        <w:right w:val="nil"/>
        <w:between w:val="nil"/>
      </w:pBdr>
      <w:rPr>
        <w:sz w:val="20"/>
        <w:szCs w:val="20"/>
      </w:rPr>
    </w:pPr>
  </w:p>
  <w:p w14:paraId="26F09276" w14:textId="77777777" w:rsidR="00DD1ED0" w:rsidRDefault="00DD1ED0">
    <w:pPr>
      <w:pBdr>
        <w:top w:val="nil"/>
        <w:left w:val="nil"/>
        <w:bottom w:val="nil"/>
        <w:right w:val="nil"/>
        <w:between w:val="nil"/>
      </w:pBdr>
      <w:ind w:left="-1133"/>
      <w:rPr>
        <w:sz w:val="20"/>
        <w:szCs w:val="20"/>
      </w:rPr>
    </w:pPr>
  </w:p>
  <w:p w14:paraId="762F8358" w14:textId="77777777" w:rsidR="00DD1ED0" w:rsidRDefault="00DD1ED0">
    <w:pPr>
      <w:pBdr>
        <w:top w:val="nil"/>
        <w:left w:val="nil"/>
        <w:bottom w:val="nil"/>
        <w:right w:val="nil"/>
        <w:between w:val="nil"/>
      </w:pBdr>
      <w:rPr>
        <w:sz w:val="20"/>
        <w:szCs w:val="20"/>
      </w:rPr>
    </w:pPr>
  </w:p>
  <w:p w14:paraId="17CEB5F1" w14:textId="77777777" w:rsidR="00DD1ED0" w:rsidRDefault="00DD1ED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63A0" w14:textId="77777777" w:rsidR="00DD1ED0" w:rsidRDefault="00DD1ED0">
    <w:pPr>
      <w:pBdr>
        <w:top w:val="nil"/>
        <w:left w:val="nil"/>
        <w:bottom w:val="nil"/>
        <w:right w:val="nil"/>
        <w:between w:val="nil"/>
      </w:pBdr>
      <w:rPr>
        <w:sz w:val="20"/>
        <w:szCs w:val="20"/>
      </w:rPr>
    </w:pPr>
    <w:r>
      <w:rPr>
        <w:noProof/>
        <w:lang w:val="en-US" w:eastAsia="en-US"/>
      </w:rPr>
      <w:drawing>
        <wp:anchor distT="0" distB="0" distL="0" distR="0" simplePos="0" relativeHeight="251660288" behindDoc="0" locked="0" layoutInCell="1" allowOverlap="1" wp14:anchorId="12D787F3" wp14:editId="718728E6">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3E75DB00" w14:textId="77777777" w:rsidR="00DD1ED0" w:rsidRDefault="00DD1ED0">
    <w:pPr>
      <w:pBdr>
        <w:top w:val="nil"/>
        <w:left w:val="nil"/>
        <w:bottom w:val="nil"/>
        <w:right w:val="nil"/>
        <w:between w:val="nil"/>
      </w:pBdr>
      <w:rPr>
        <w:sz w:val="20"/>
        <w:szCs w:val="20"/>
      </w:rPr>
    </w:pPr>
  </w:p>
  <w:p w14:paraId="4A5F5BBA" w14:textId="77777777" w:rsidR="00DD1ED0" w:rsidRDefault="00DD1ED0">
    <w:pPr>
      <w:pBdr>
        <w:top w:val="nil"/>
        <w:left w:val="nil"/>
        <w:bottom w:val="nil"/>
        <w:right w:val="nil"/>
        <w:between w:val="nil"/>
      </w:pBdr>
      <w:ind w:left="-1133"/>
      <w:rPr>
        <w:sz w:val="20"/>
        <w:szCs w:val="20"/>
      </w:rPr>
    </w:pPr>
  </w:p>
  <w:p w14:paraId="474EC869" w14:textId="77777777" w:rsidR="00DD1ED0" w:rsidRDefault="00DD1ED0">
    <w:pPr>
      <w:pBdr>
        <w:top w:val="nil"/>
        <w:left w:val="nil"/>
        <w:bottom w:val="nil"/>
        <w:right w:val="nil"/>
        <w:between w:val="nil"/>
      </w:pBdr>
      <w:rPr>
        <w:sz w:val="20"/>
        <w:szCs w:val="20"/>
      </w:rPr>
    </w:pPr>
  </w:p>
  <w:p w14:paraId="346B35D1" w14:textId="77777777" w:rsidR="00DD1ED0" w:rsidRDefault="00DD1ED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nsid w:val="07976A7C"/>
    <w:multiLevelType w:val="hybridMultilevel"/>
    <w:tmpl w:val="F0325EDC"/>
    <w:lvl w:ilvl="0" w:tplc="810C2FC8">
      <w:start w:val="1"/>
      <w:numFmt w:val="bullet"/>
      <w:lvlText w:val=""/>
      <w:lvlJc w:val="left"/>
      <w:pPr>
        <w:ind w:left="720" w:hanging="360"/>
      </w:pPr>
      <w:rPr>
        <w:rFonts w:ascii="Symbol" w:hAnsi="Symbo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B7651FA"/>
    <w:multiLevelType w:val="hybridMultilevel"/>
    <w:tmpl w:val="5788599E"/>
    <w:lvl w:ilvl="0" w:tplc="810C2FC8">
      <w:start w:val="1"/>
      <w:numFmt w:val="bullet"/>
      <w:lvlText w:val=""/>
      <w:lvlJc w:val="left"/>
      <w:pPr>
        <w:ind w:left="720" w:hanging="360"/>
      </w:pPr>
      <w:rPr>
        <w:rFonts w:ascii="Symbol" w:hAnsi="Symbo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7">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26900A0"/>
    <w:multiLevelType w:val="multilevel"/>
    <w:tmpl w:val="4B3A8844"/>
    <w:lvl w:ilvl="0">
      <w:start w:val="1"/>
      <w:numFmt w:val="decimal"/>
      <w:lvlText w:val="%1."/>
      <w:lvlJc w:val="left"/>
      <w:pPr>
        <w:ind w:left="360" w:hanging="360"/>
      </w:pPr>
      <w:rPr>
        <w:b/>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93F0BDE"/>
    <w:multiLevelType w:val="multilevel"/>
    <w:tmpl w:val="02445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A6352CF"/>
    <w:multiLevelType w:val="hybridMultilevel"/>
    <w:tmpl w:val="504A7BB4"/>
    <w:lvl w:ilvl="0" w:tplc="810C2FC8">
      <w:start w:val="1"/>
      <w:numFmt w:val="bullet"/>
      <w:lvlText w:val=""/>
      <w:lvlJc w:val="left"/>
      <w:pPr>
        <w:ind w:left="720" w:hanging="360"/>
      </w:pPr>
      <w:rPr>
        <w:rFonts w:ascii="Symbol" w:hAnsi="Symbo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8">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53E23E6"/>
    <w:multiLevelType w:val="hybridMultilevel"/>
    <w:tmpl w:val="73D6795A"/>
    <w:lvl w:ilvl="0" w:tplc="004C9CB0">
      <w:start w:val="4"/>
      <w:numFmt w:val="bullet"/>
      <w:lvlText w:val=""/>
      <w:lvlJc w:val="left"/>
      <w:pPr>
        <w:ind w:left="720" w:hanging="360"/>
      </w:pPr>
      <w:rPr>
        <w:rFonts w:ascii="Symbol" w:eastAsia="Calibri" w:hAnsi="Symbol" w:cs="Calibri" w:hint="default"/>
        <w:sz w:val="24"/>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nsid w:val="755872EB"/>
    <w:multiLevelType w:val="hybridMultilevel"/>
    <w:tmpl w:val="53626CE0"/>
    <w:lvl w:ilvl="0" w:tplc="810C2FC8">
      <w:start w:val="1"/>
      <w:numFmt w:val="bullet"/>
      <w:lvlText w:val=""/>
      <w:lvlJc w:val="left"/>
      <w:pPr>
        <w:ind w:left="720" w:hanging="360"/>
      </w:pPr>
      <w:rPr>
        <w:rFonts w:ascii="Symbol" w:hAnsi="Symbol" w:hint="default"/>
        <w:sz w:val="28"/>
      </w:rPr>
    </w:lvl>
    <w:lvl w:ilvl="1" w:tplc="4ED830C4">
      <w:start w:val="1"/>
      <w:numFmt w:val="bullet"/>
      <w:lvlText w:val="o"/>
      <w:lvlJc w:val="left"/>
      <w:pPr>
        <w:ind w:left="1440" w:hanging="360"/>
      </w:pPr>
      <w:rPr>
        <w:rFonts w:ascii="Courier New" w:hAnsi="Courier New" w:cs="Courier New" w:hint="default"/>
        <w:sz w:val="24"/>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20"/>
  </w:num>
  <w:num w:numId="2">
    <w:abstractNumId w:val="37"/>
  </w:num>
  <w:num w:numId="3">
    <w:abstractNumId w:val="32"/>
  </w:num>
  <w:num w:numId="4">
    <w:abstractNumId w:val="27"/>
  </w:num>
  <w:num w:numId="5">
    <w:abstractNumId w:val="13"/>
  </w:num>
  <w:num w:numId="6">
    <w:abstractNumId w:val="18"/>
  </w:num>
  <w:num w:numId="7">
    <w:abstractNumId w:val="9"/>
  </w:num>
  <w:num w:numId="8">
    <w:abstractNumId w:val="36"/>
  </w:num>
  <w:num w:numId="9">
    <w:abstractNumId w:val="0"/>
  </w:num>
  <w:num w:numId="10">
    <w:abstractNumId w:val="5"/>
  </w:num>
  <w:num w:numId="11">
    <w:abstractNumId w:val="31"/>
  </w:num>
  <w:num w:numId="12">
    <w:abstractNumId w:val="41"/>
  </w:num>
  <w:num w:numId="13">
    <w:abstractNumId w:val="23"/>
  </w:num>
  <w:num w:numId="14">
    <w:abstractNumId w:val="22"/>
  </w:num>
  <w:num w:numId="15">
    <w:abstractNumId w:val="6"/>
  </w:num>
  <w:num w:numId="16">
    <w:abstractNumId w:val="15"/>
  </w:num>
  <w:num w:numId="17">
    <w:abstractNumId w:val="40"/>
  </w:num>
  <w:num w:numId="18">
    <w:abstractNumId w:val="45"/>
  </w:num>
  <w:num w:numId="19">
    <w:abstractNumId w:val="28"/>
  </w:num>
  <w:num w:numId="20">
    <w:abstractNumId w:val="24"/>
  </w:num>
  <w:num w:numId="21">
    <w:abstractNumId w:val="17"/>
  </w:num>
  <w:num w:numId="22">
    <w:abstractNumId w:val="19"/>
  </w:num>
  <w:num w:numId="23">
    <w:abstractNumId w:val="4"/>
  </w:num>
  <w:num w:numId="24">
    <w:abstractNumId w:val="33"/>
  </w:num>
  <w:num w:numId="25">
    <w:abstractNumId w:val="46"/>
  </w:num>
  <w:num w:numId="26">
    <w:abstractNumId w:val="1"/>
  </w:num>
  <w:num w:numId="27">
    <w:abstractNumId w:val="39"/>
  </w:num>
  <w:num w:numId="28">
    <w:abstractNumId w:val="11"/>
  </w:num>
  <w:num w:numId="29">
    <w:abstractNumId w:val="21"/>
  </w:num>
  <w:num w:numId="30">
    <w:abstractNumId w:val="16"/>
  </w:num>
  <w:num w:numId="31">
    <w:abstractNumId w:val="14"/>
  </w:num>
  <w:num w:numId="32">
    <w:abstractNumId w:val="12"/>
  </w:num>
  <w:num w:numId="33">
    <w:abstractNumId w:val="42"/>
  </w:num>
  <w:num w:numId="34">
    <w:abstractNumId w:val="38"/>
  </w:num>
  <w:num w:numId="35">
    <w:abstractNumId w:val="26"/>
  </w:num>
  <w:num w:numId="36">
    <w:abstractNumId w:val="30"/>
  </w:num>
  <w:num w:numId="37">
    <w:abstractNumId w:val="2"/>
  </w:num>
  <w:num w:numId="38">
    <w:abstractNumId w:val="25"/>
  </w:num>
  <w:num w:numId="39">
    <w:abstractNumId w:val="8"/>
  </w:num>
  <w:num w:numId="40">
    <w:abstractNumId w:val="3"/>
  </w:num>
  <w:num w:numId="41">
    <w:abstractNumId w:val="7"/>
  </w:num>
  <w:num w:numId="42">
    <w:abstractNumId w:val="35"/>
  </w:num>
  <w:num w:numId="43">
    <w:abstractNumId w:val="44"/>
  </w:num>
  <w:num w:numId="44">
    <w:abstractNumId w:val="34"/>
  </w:num>
  <w:num w:numId="45">
    <w:abstractNumId w:val="29"/>
  </w:num>
  <w:num w:numId="46">
    <w:abstractNumId w:val="1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46EF"/>
    <w:rsid w:val="0000563C"/>
    <w:rsid w:val="00014056"/>
    <w:rsid w:val="000162F9"/>
    <w:rsid w:val="000270BE"/>
    <w:rsid w:val="00042193"/>
    <w:rsid w:val="00042545"/>
    <w:rsid w:val="00046119"/>
    <w:rsid w:val="000522AD"/>
    <w:rsid w:val="00052783"/>
    <w:rsid w:val="00052A0B"/>
    <w:rsid w:val="0005414D"/>
    <w:rsid w:val="000630CE"/>
    <w:rsid w:val="00065154"/>
    <w:rsid w:val="000722E4"/>
    <w:rsid w:val="000735F7"/>
    <w:rsid w:val="00076CAE"/>
    <w:rsid w:val="00077ACA"/>
    <w:rsid w:val="00082261"/>
    <w:rsid w:val="0008764E"/>
    <w:rsid w:val="000A0C3F"/>
    <w:rsid w:val="000A1BE0"/>
    <w:rsid w:val="000B09F5"/>
    <w:rsid w:val="000B0FBF"/>
    <w:rsid w:val="000B2201"/>
    <w:rsid w:val="000B450B"/>
    <w:rsid w:val="000B60A8"/>
    <w:rsid w:val="000C1A6A"/>
    <w:rsid w:val="000C6B22"/>
    <w:rsid w:val="000C7D93"/>
    <w:rsid w:val="000D695E"/>
    <w:rsid w:val="000E4706"/>
    <w:rsid w:val="000F026E"/>
    <w:rsid w:val="000F230B"/>
    <w:rsid w:val="000F32EC"/>
    <w:rsid w:val="000F6DEA"/>
    <w:rsid w:val="0010074B"/>
    <w:rsid w:val="00101F36"/>
    <w:rsid w:val="0010392A"/>
    <w:rsid w:val="001044CA"/>
    <w:rsid w:val="00105026"/>
    <w:rsid w:val="00107C2A"/>
    <w:rsid w:val="00111B26"/>
    <w:rsid w:val="00113085"/>
    <w:rsid w:val="00114B56"/>
    <w:rsid w:val="00114CF9"/>
    <w:rsid w:val="001207C8"/>
    <w:rsid w:val="00123065"/>
    <w:rsid w:val="0012331A"/>
    <w:rsid w:val="001239FE"/>
    <w:rsid w:val="00131D78"/>
    <w:rsid w:val="0013321A"/>
    <w:rsid w:val="001339FE"/>
    <w:rsid w:val="00141696"/>
    <w:rsid w:val="00145FCB"/>
    <w:rsid w:val="00150D77"/>
    <w:rsid w:val="00153ABB"/>
    <w:rsid w:val="00157A02"/>
    <w:rsid w:val="00157FAD"/>
    <w:rsid w:val="001600E5"/>
    <w:rsid w:val="001610AF"/>
    <w:rsid w:val="00165E31"/>
    <w:rsid w:val="001669E7"/>
    <w:rsid w:val="00167B87"/>
    <w:rsid w:val="00170353"/>
    <w:rsid w:val="00172842"/>
    <w:rsid w:val="00177B55"/>
    <w:rsid w:val="00181D6F"/>
    <w:rsid w:val="001A4AA6"/>
    <w:rsid w:val="001A51DC"/>
    <w:rsid w:val="001B1C71"/>
    <w:rsid w:val="001B4F33"/>
    <w:rsid w:val="001B7ADC"/>
    <w:rsid w:val="001C6197"/>
    <w:rsid w:val="001C7182"/>
    <w:rsid w:val="001C7E8C"/>
    <w:rsid w:val="001D0620"/>
    <w:rsid w:val="001D3C09"/>
    <w:rsid w:val="001D40DA"/>
    <w:rsid w:val="001D665B"/>
    <w:rsid w:val="001E18FE"/>
    <w:rsid w:val="001E3462"/>
    <w:rsid w:val="001E4F39"/>
    <w:rsid w:val="001E7A73"/>
    <w:rsid w:val="00201497"/>
    <w:rsid w:val="0020374C"/>
    <w:rsid w:val="0020530C"/>
    <w:rsid w:val="00205F20"/>
    <w:rsid w:val="0020675D"/>
    <w:rsid w:val="00207603"/>
    <w:rsid w:val="00216F89"/>
    <w:rsid w:val="00217CCE"/>
    <w:rsid w:val="00221308"/>
    <w:rsid w:val="00226CBA"/>
    <w:rsid w:val="00227788"/>
    <w:rsid w:val="00233318"/>
    <w:rsid w:val="0023556E"/>
    <w:rsid w:val="00241DE6"/>
    <w:rsid w:val="00243376"/>
    <w:rsid w:val="00246DEE"/>
    <w:rsid w:val="00251DA4"/>
    <w:rsid w:val="00254DDC"/>
    <w:rsid w:val="00256360"/>
    <w:rsid w:val="002566D0"/>
    <w:rsid w:val="002604DB"/>
    <w:rsid w:val="00265ECD"/>
    <w:rsid w:val="00267BD5"/>
    <w:rsid w:val="00273E46"/>
    <w:rsid w:val="0027789D"/>
    <w:rsid w:val="002801C2"/>
    <w:rsid w:val="00282F87"/>
    <w:rsid w:val="00283F81"/>
    <w:rsid w:val="00286901"/>
    <w:rsid w:val="00286FA3"/>
    <w:rsid w:val="002921B3"/>
    <w:rsid w:val="0029353A"/>
    <w:rsid w:val="002B0DF0"/>
    <w:rsid w:val="002B11D9"/>
    <w:rsid w:val="002B237E"/>
    <w:rsid w:val="002B31F4"/>
    <w:rsid w:val="002B66B2"/>
    <w:rsid w:val="002C24BA"/>
    <w:rsid w:val="002E0C5F"/>
    <w:rsid w:val="002E130A"/>
    <w:rsid w:val="002E290A"/>
    <w:rsid w:val="002E341B"/>
    <w:rsid w:val="002E6292"/>
    <w:rsid w:val="002F0580"/>
    <w:rsid w:val="002F4AFF"/>
    <w:rsid w:val="002F5A1E"/>
    <w:rsid w:val="002F6989"/>
    <w:rsid w:val="002F6C67"/>
    <w:rsid w:val="002F7282"/>
    <w:rsid w:val="0030440D"/>
    <w:rsid w:val="0030792C"/>
    <w:rsid w:val="0031300C"/>
    <w:rsid w:val="003160C3"/>
    <w:rsid w:val="00331601"/>
    <w:rsid w:val="00333C89"/>
    <w:rsid w:val="00334B2E"/>
    <w:rsid w:val="00347F08"/>
    <w:rsid w:val="0035640A"/>
    <w:rsid w:val="00360CAA"/>
    <w:rsid w:val="0036234C"/>
    <w:rsid w:val="003624B7"/>
    <w:rsid w:val="0036381C"/>
    <w:rsid w:val="00364A84"/>
    <w:rsid w:val="00366E17"/>
    <w:rsid w:val="00374D1A"/>
    <w:rsid w:val="0038211D"/>
    <w:rsid w:val="003860F8"/>
    <w:rsid w:val="00386330"/>
    <w:rsid w:val="003A0C32"/>
    <w:rsid w:val="003B7E6E"/>
    <w:rsid w:val="003C1F07"/>
    <w:rsid w:val="003D02C8"/>
    <w:rsid w:val="003D540B"/>
    <w:rsid w:val="003D75D6"/>
    <w:rsid w:val="003E0039"/>
    <w:rsid w:val="003E1ACA"/>
    <w:rsid w:val="003E6C6A"/>
    <w:rsid w:val="003F4FE8"/>
    <w:rsid w:val="003F5182"/>
    <w:rsid w:val="003F6420"/>
    <w:rsid w:val="003F6492"/>
    <w:rsid w:val="003F7B12"/>
    <w:rsid w:val="00404730"/>
    <w:rsid w:val="00405117"/>
    <w:rsid w:val="00407458"/>
    <w:rsid w:val="00413FBA"/>
    <w:rsid w:val="0041471B"/>
    <w:rsid w:val="004151CA"/>
    <w:rsid w:val="00422FC6"/>
    <w:rsid w:val="00432175"/>
    <w:rsid w:val="00440DC4"/>
    <w:rsid w:val="00444E3F"/>
    <w:rsid w:val="00447002"/>
    <w:rsid w:val="00451771"/>
    <w:rsid w:val="00452196"/>
    <w:rsid w:val="004561C0"/>
    <w:rsid w:val="00464CCE"/>
    <w:rsid w:val="00466547"/>
    <w:rsid w:val="00467F87"/>
    <w:rsid w:val="00470A0B"/>
    <w:rsid w:val="00470AE7"/>
    <w:rsid w:val="0047350B"/>
    <w:rsid w:val="00474C2B"/>
    <w:rsid w:val="00475543"/>
    <w:rsid w:val="004762E0"/>
    <w:rsid w:val="0048234F"/>
    <w:rsid w:val="00484D81"/>
    <w:rsid w:val="004869B9"/>
    <w:rsid w:val="0048735C"/>
    <w:rsid w:val="004920BC"/>
    <w:rsid w:val="00497D15"/>
    <w:rsid w:val="004A0B24"/>
    <w:rsid w:val="004A7291"/>
    <w:rsid w:val="004B07EF"/>
    <w:rsid w:val="004B5FB4"/>
    <w:rsid w:val="004B6634"/>
    <w:rsid w:val="004C1887"/>
    <w:rsid w:val="004C1A3C"/>
    <w:rsid w:val="004C61B3"/>
    <w:rsid w:val="004C6694"/>
    <w:rsid w:val="004D0A44"/>
    <w:rsid w:val="004D515A"/>
    <w:rsid w:val="004E207C"/>
    <w:rsid w:val="004E2D40"/>
    <w:rsid w:val="004E6155"/>
    <w:rsid w:val="004F34EA"/>
    <w:rsid w:val="004F37BA"/>
    <w:rsid w:val="004F4302"/>
    <w:rsid w:val="004F57D0"/>
    <w:rsid w:val="004F666C"/>
    <w:rsid w:val="00500B87"/>
    <w:rsid w:val="00507DF0"/>
    <w:rsid w:val="00510F82"/>
    <w:rsid w:val="00513841"/>
    <w:rsid w:val="0051582D"/>
    <w:rsid w:val="0051681E"/>
    <w:rsid w:val="00520E57"/>
    <w:rsid w:val="00521561"/>
    <w:rsid w:val="00522AEF"/>
    <w:rsid w:val="0052377B"/>
    <w:rsid w:val="00523C6F"/>
    <w:rsid w:val="00524AF4"/>
    <w:rsid w:val="00527D33"/>
    <w:rsid w:val="00530DC4"/>
    <w:rsid w:val="0053508D"/>
    <w:rsid w:val="0053597B"/>
    <w:rsid w:val="00536FF5"/>
    <w:rsid w:val="00537196"/>
    <w:rsid w:val="00537748"/>
    <w:rsid w:val="00543204"/>
    <w:rsid w:val="00546AD7"/>
    <w:rsid w:val="0055232E"/>
    <w:rsid w:val="005614AC"/>
    <w:rsid w:val="005647AE"/>
    <w:rsid w:val="00565530"/>
    <w:rsid w:val="00566088"/>
    <w:rsid w:val="0058171F"/>
    <w:rsid w:val="00582C8C"/>
    <w:rsid w:val="00590D4F"/>
    <w:rsid w:val="00591595"/>
    <w:rsid w:val="0059231F"/>
    <w:rsid w:val="005947A7"/>
    <w:rsid w:val="00596B89"/>
    <w:rsid w:val="00597B4D"/>
    <w:rsid w:val="005A0028"/>
    <w:rsid w:val="005A1EE1"/>
    <w:rsid w:val="005A2DD7"/>
    <w:rsid w:val="005A42C0"/>
    <w:rsid w:val="005A581B"/>
    <w:rsid w:val="005A693D"/>
    <w:rsid w:val="005B214D"/>
    <w:rsid w:val="005B21B3"/>
    <w:rsid w:val="005B5606"/>
    <w:rsid w:val="005B598C"/>
    <w:rsid w:val="005B5FC0"/>
    <w:rsid w:val="005B76C1"/>
    <w:rsid w:val="005C327C"/>
    <w:rsid w:val="005C3D07"/>
    <w:rsid w:val="005C5218"/>
    <w:rsid w:val="005D0EC2"/>
    <w:rsid w:val="005D2978"/>
    <w:rsid w:val="005D4361"/>
    <w:rsid w:val="005D43AE"/>
    <w:rsid w:val="005E1CCC"/>
    <w:rsid w:val="005E2983"/>
    <w:rsid w:val="005F39A4"/>
    <w:rsid w:val="005F6149"/>
    <w:rsid w:val="00604B59"/>
    <w:rsid w:val="00604EFF"/>
    <w:rsid w:val="0060522E"/>
    <w:rsid w:val="0061072A"/>
    <w:rsid w:val="0061336F"/>
    <w:rsid w:val="0061619A"/>
    <w:rsid w:val="006163DA"/>
    <w:rsid w:val="0061646A"/>
    <w:rsid w:val="00616FE2"/>
    <w:rsid w:val="00621929"/>
    <w:rsid w:val="00621AE0"/>
    <w:rsid w:val="00623A7D"/>
    <w:rsid w:val="00631E18"/>
    <w:rsid w:val="00635E45"/>
    <w:rsid w:val="00640F49"/>
    <w:rsid w:val="00641104"/>
    <w:rsid w:val="00642B4D"/>
    <w:rsid w:val="006430E7"/>
    <w:rsid w:val="00644E30"/>
    <w:rsid w:val="00647748"/>
    <w:rsid w:val="00650B75"/>
    <w:rsid w:val="00651345"/>
    <w:rsid w:val="00652DA0"/>
    <w:rsid w:val="006533F9"/>
    <w:rsid w:val="0065417F"/>
    <w:rsid w:val="00663A11"/>
    <w:rsid w:val="00666304"/>
    <w:rsid w:val="00670E79"/>
    <w:rsid w:val="00670F1C"/>
    <w:rsid w:val="00671451"/>
    <w:rsid w:val="00673F79"/>
    <w:rsid w:val="006816C1"/>
    <w:rsid w:val="0068438A"/>
    <w:rsid w:val="006905C7"/>
    <w:rsid w:val="006A4844"/>
    <w:rsid w:val="006A4C6D"/>
    <w:rsid w:val="006B01C7"/>
    <w:rsid w:val="006B1030"/>
    <w:rsid w:val="006B5396"/>
    <w:rsid w:val="006B572D"/>
    <w:rsid w:val="006C0501"/>
    <w:rsid w:val="006C75A9"/>
    <w:rsid w:val="006D04A0"/>
    <w:rsid w:val="006E0162"/>
    <w:rsid w:val="006E2F1E"/>
    <w:rsid w:val="006E36F8"/>
    <w:rsid w:val="006F1A50"/>
    <w:rsid w:val="00700900"/>
    <w:rsid w:val="0070093E"/>
    <w:rsid w:val="00701F81"/>
    <w:rsid w:val="0070467E"/>
    <w:rsid w:val="00706B77"/>
    <w:rsid w:val="00710A07"/>
    <w:rsid w:val="00726850"/>
    <w:rsid w:val="00731C8C"/>
    <w:rsid w:val="00736122"/>
    <w:rsid w:val="007450AC"/>
    <w:rsid w:val="007457F0"/>
    <w:rsid w:val="00750120"/>
    <w:rsid w:val="00753C73"/>
    <w:rsid w:val="007570F5"/>
    <w:rsid w:val="007625A8"/>
    <w:rsid w:val="007635AD"/>
    <w:rsid w:val="00767B0B"/>
    <w:rsid w:val="00773D52"/>
    <w:rsid w:val="00774D1B"/>
    <w:rsid w:val="00781E51"/>
    <w:rsid w:val="007840E2"/>
    <w:rsid w:val="00787B1D"/>
    <w:rsid w:val="007946CC"/>
    <w:rsid w:val="0079491D"/>
    <w:rsid w:val="007A0AF8"/>
    <w:rsid w:val="007A100A"/>
    <w:rsid w:val="007A6349"/>
    <w:rsid w:val="007A7C84"/>
    <w:rsid w:val="007B0B54"/>
    <w:rsid w:val="007B2B1D"/>
    <w:rsid w:val="007B514F"/>
    <w:rsid w:val="007B7910"/>
    <w:rsid w:val="007C00D8"/>
    <w:rsid w:val="007C03BC"/>
    <w:rsid w:val="007C33E0"/>
    <w:rsid w:val="007D41DB"/>
    <w:rsid w:val="007D64B5"/>
    <w:rsid w:val="007E394B"/>
    <w:rsid w:val="007E41E3"/>
    <w:rsid w:val="007E446F"/>
    <w:rsid w:val="007E657A"/>
    <w:rsid w:val="007E733E"/>
    <w:rsid w:val="007F5631"/>
    <w:rsid w:val="008029BE"/>
    <w:rsid w:val="00804E6C"/>
    <w:rsid w:val="00805F5F"/>
    <w:rsid w:val="00807589"/>
    <w:rsid w:val="008364B1"/>
    <w:rsid w:val="00837AB4"/>
    <w:rsid w:val="00840C22"/>
    <w:rsid w:val="0084110A"/>
    <w:rsid w:val="008450BB"/>
    <w:rsid w:val="00847EF6"/>
    <w:rsid w:val="0086491B"/>
    <w:rsid w:val="00865A15"/>
    <w:rsid w:val="008665E2"/>
    <w:rsid w:val="0087042D"/>
    <w:rsid w:val="00870636"/>
    <w:rsid w:val="00871176"/>
    <w:rsid w:val="00871D9C"/>
    <w:rsid w:val="0087312F"/>
    <w:rsid w:val="008748EE"/>
    <w:rsid w:val="00874A9A"/>
    <w:rsid w:val="00882E87"/>
    <w:rsid w:val="00883B56"/>
    <w:rsid w:val="00884B2A"/>
    <w:rsid w:val="00885056"/>
    <w:rsid w:val="008859ED"/>
    <w:rsid w:val="00887C26"/>
    <w:rsid w:val="00892A0A"/>
    <w:rsid w:val="00893BCD"/>
    <w:rsid w:val="00897A62"/>
    <w:rsid w:val="008A1534"/>
    <w:rsid w:val="008A3240"/>
    <w:rsid w:val="008A3FAE"/>
    <w:rsid w:val="008A7E74"/>
    <w:rsid w:val="008B3E73"/>
    <w:rsid w:val="008B599D"/>
    <w:rsid w:val="008C1E9F"/>
    <w:rsid w:val="008C4DC9"/>
    <w:rsid w:val="008E0EB9"/>
    <w:rsid w:val="008E35A3"/>
    <w:rsid w:val="008E6A66"/>
    <w:rsid w:val="008F056B"/>
    <w:rsid w:val="008F0CBB"/>
    <w:rsid w:val="008F1C10"/>
    <w:rsid w:val="008F6E74"/>
    <w:rsid w:val="00900BD5"/>
    <w:rsid w:val="009039AD"/>
    <w:rsid w:val="00905273"/>
    <w:rsid w:val="00905CE1"/>
    <w:rsid w:val="009353AA"/>
    <w:rsid w:val="00947E59"/>
    <w:rsid w:val="009530B8"/>
    <w:rsid w:val="00954123"/>
    <w:rsid w:val="00955BE3"/>
    <w:rsid w:val="009602F0"/>
    <w:rsid w:val="0096050C"/>
    <w:rsid w:val="009621D5"/>
    <w:rsid w:val="00962F80"/>
    <w:rsid w:val="0096352C"/>
    <w:rsid w:val="00963B79"/>
    <w:rsid w:val="00965204"/>
    <w:rsid w:val="009718AC"/>
    <w:rsid w:val="009724A9"/>
    <w:rsid w:val="009727D6"/>
    <w:rsid w:val="0097387B"/>
    <w:rsid w:val="00974814"/>
    <w:rsid w:val="00980DEC"/>
    <w:rsid w:val="009903A6"/>
    <w:rsid w:val="009934B7"/>
    <w:rsid w:val="009A70F4"/>
    <w:rsid w:val="009B6C3A"/>
    <w:rsid w:val="009C4756"/>
    <w:rsid w:val="009C479B"/>
    <w:rsid w:val="009C61AC"/>
    <w:rsid w:val="009D7859"/>
    <w:rsid w:val="009D7CC7"/>
    <w:rsid w:val="009E16C0"/>
    <w:rsid w:val="009E179B"/>
    <w:rsid w:val="009F60DE"/>
    <w:rsid w:val="00A04304"/>
    <w:rsid w:val="00A10791"/>
    <w:rsid w:val="00A11C45"/>
    <w:rsid w:val="00A14815"/>
    <w:rsid w:val="00A201BB"/>
    <w:rsid w:val="00A21D0F"/>
    <w:rsid w:val="00A22CFE"/>
    <w:rsid w:val="00A2457B"/>
    <w:rsid w:val="00A32C8F"/>
    <w:rsid w:val="00A358DF"/>
    <w:rsid w:val="00A35E2B"/>
    <w:rsid w:val="00A52F19"/>
    <w:rsid w:val="00A559E0"/>
    <w:rsid w:val="00A56F31"/>
    <w:rsid w:val="00A570BF"/>
    <w:rsid w:val="00A62DEC"/>
    <w:rsid w:val="00A66627"/>
    <w:rsid w:val="00A671A8"/>
    <w:rsid w:val="00A74E9F"/>
    <w:rsid w:val="00A75F14"/>
    <w:rsid w:val="00A76026"/>
    <w:rsid w:val="00A77431"/>
    <w:rsid w:val="00A82A58"/>
    <w:rsid w:val="00A8335E"/>
    <w:rsid w:val="00A94C92"/>
    <w:rsid w:val="00A95292"/>
    <w:rsid w:val="00AB0626"/>
    <w:rsid w:val="00AB17F2"/>
    <w:rsid w:val="00AC1220"/>
    <w:rsid w:val="00AC3537"/>
    <w:rsid w:val="00AC69F2"/>
    <w:rsid w:val="00AC7731"/>
    <w:rsid w:val="00AD0A33"/>
    <w:rsid w:val="00AD15E4"/>
    <w:rsid w:val="00AD4551"/>
    <w:rsid w:val="00AD56C3"/>
    <w:rsid w:val="00AD5D59"/>
    <w:rsid w:val="00AD61CB"/>
    <w:rsid w:val="00AE0FDA"/>
    <w:rsid w:val="00AE3A7E"/>
    <w:rsid w:val="00AE3D41"/>
    <w:rsid w:val="00AF2FE8"/>
    <w:rsid w:val="00AF4F69"/>
    <w:rsid w:val="00AF6DD4"/>
    <w:rsid w:val="00B01914"/>
    <w:rsid w:val="00B022B6"/>
    <w:rsid w:val="00B03B20"/>
    <w:rsid w:val="00B1212C"/>
    <w:rsid w:val="00B1424D"/>
    <w:rsid w:val="00B17C6A"/>
    <w:rsid w:val="00B17CD9"/>
    <w:rsid w:val="00B221B8"/>
    <w:rsid w:val="00B23AD0"/>
    <w:rsid w:val="00B2465B"/>
    <w:rsid w:val="00B25D49"/>
    <w:rsid w:val="00B3493B"/>
    <w:rsid w:val="00B355AD"/>
    <w:rsid w:val="00B4025D"/>
    <w:rsid w:val="00B42E23"/>
    <w:rsid w:val="00B53136"/>
    <w:rsid w:val="00B54281"/>
    <w:rsid w:val="00B5664B"/>
    <w:rsid w:val="00B605AC"/>
    <w:rsid w:val="00B6105E"/>
    <w:rsid w:val="00B61122"/>
    <w:rsid w:val="00B735CE"/>
    <w:rsid w:val="00B80FC0"/>
    <w:rsid w:val="00B81B8D"/>
    <w:rsid w:val="00B83E4D"/>
    <w:rsid w:val="00B84B23"/>
    <w:rsid w:val="00B91B6E"/>
    <w:rsid w:val="00B94F08"/>
    <w:rsid w:val="00BA1722"/>
    <w:rsid w:val="00BA5C86"/>
    <w:rsid w:val="00BA6309"/>
    <w:rsid w:val="00BB26C0"/>
    <w:rsid w:val="00BB2D93"/>
    <w:rsid w:val="00BB5B9A"/>
    <w:rsid w:val="00BC6E1D"/>
    <w:rsid w:val="00BD0133"/>
    <w:rsid w:val="00BD3008"/>
    <w:rsid w:val="00BD32FE"/>
    <w:rsid w:val="00BD5121"/>
    <w:rsid w:val="00BF018C"/>
    <w:rsid w:val="00BF3C27"/>
    <w:rsid w:val="00BF54C2"/>
    <w:rsid w:val="00C016AF"/>
    <w:rsid w:val="00C01DF2"/>
    <w:rsid w:val="00C020B8"/>
    <w:rsid w:val="00C04E96"/>
    <w:rsid w:val="00C05C64"/>
    <w:rsid w:val="00C10A78"/>
    <w:rsid w:val="00C1238B"/>
    <w:rsid w:val="00C13DE8"/>
    <w:rsid w:val="00C23346"/>
    <w:rsid w:val="00C2727C"/>
    <w:rsid w:val="00C33C66"/>
    <w:rsid w:val="00C33DA6"/>
    <w:rsid w:val="00C44D15"/>
    <w:rsid w:val="00C45082"/>
    <w:rsid w:val="00C45625"/>
    <w:rsid w:val="00C467D1"/>
    <w:rsid w:val="00C530CB"/>
    <w:rsid w:val="00C53D01"/>
    <w:rsid w:val="00C624D6"/>
    <w:rsid w:val="00C65360"/>
    <w:rsid w:val="00C72C6D"/>
    <w:rsid w:val="00C7479B"/>
    <w:rsid w:val="00C817BF"/>
    <w:rsid w:val="00C84051"/>
    <w:rsid w:val="00C8439A"/>
    <w:rsid w:val="00C91164"/>
    <w:rsid w:val="00C923AB"/>
    <w:rsid w:val="00C9240D"/>
    <w:rsid w:val="00C924B4"/>
    <w:rsid w:val="00C9513E"/>
    <w:rsid w:val="00CA0C96"/>
    <w:rsid w:val="00CA3D60"/>
    <w:rsid w:val="00CA737A"/>
    <w:rsid w:val="00CB2EEF"/>
    <w:rsid w:val="00CB6ED5"/>
    <w:rsid w:val="00CC3BBE"/>
    <w:rsid w:val="00CD102D"/>
    <w:rsid w:val="00CD271D"/>
    <w:rsid w:val="00CE2C9F"/>
    <w:rsid w:val="00CE7071"/>
    <w:rsid w:val="00CF0C66"/>
    <w:rsid w:val="00CF48D8"/>
    <w:rsid w:val="00D03B38"/>
    <w:rsid w:val="00D05A5D"/>
    <w:rsid w:val="00D06788"/>
    <w:rsid w:val="00D101BB"/>
    <w:rsid w:val="00D1322B"/>
    <w:rsid w:val="00D13D58"/>
    <w:rsid w:val="00D22848"/>
    <w:rsid w:val="00D22C29"/>
    <w:rsid w:val="00D27C48"/>
    <w:rsid w:val="00D333F2"/>
    <w:rsid w:val="00D3676C"/>
    <w:rsid w:val="00D42C20"/>
    <w:rsid w:val="00D44225"/>
    <w:rsid w:val="00D56D03"/>
    <w:rsid w:val="00D6651D"/>
    <w:rsid w:val="00D67A46"/>
    <w:rsid w:val="00D728A4"/>
    <w:rsid w:val="00D740BA"/>
    <w:rsid w:val="00D76136"/>
    <w:rsid w:val="00D854B0"/>
    <w:rsid w:val="00DA10E6"/>
    <w:rsid w:val="00DA1347"/>
    <w:rsid w:val="00DA22A5"/>
    <w:rsid w:val="00DA389D"/>
    <w:rsid w:val="00DA6F85"/>
    <w:rsid w:val="00DA71D3"/>
    <w:rsid w:val="00DA77BE"/>
    <w:rsid w:val="00DB15D7"/>
    <w:rsid w:val="00DB51C1"/>
    <w:rsid w:val="00DB66BE"/>
    <w:rsid w:val="00DC06BB"/>
    <w:rsid w:val="00DC48E0"/>
    <w:rsid w:val="00DC49AD"/>
    <w:rsid w:val="00DC5DC2"/>
    <w:rsid w:val="00DD1BF4"/>
    <w:rsid w:val="00DD1ED0"/>
    <w:rsid w:val="00DD418E"/>
    <w:rsid w:val="00DD62E3"/>
    <w:rsid w:val="00DE2721"/>
    <w:rsid w:val="00DE3C8F"/>
    <w:rsid w:val="00DF146E"/>
    <w:rsid w:val="00DF40EE"/>
    <w:rsid w:val="00DF426A"/>
    <w:rsid w:val="00DF4698"/>
    <w:rsid w:val="00DF6048"/>
    <w:rsid w:val="00E02A05"/>
    <w:rsid w:val="00E02A58"/>
    <w:rsid w:val="00E02F41"/>
    <w:rsid w:val="00E044E7"/>
    <w:rsid w:val="00E07E5E"/>
    <w:rsid w:val="00E110A9"/>
    <w:rsid w:val="00E11144"/>
    <w:rsid w:val="00E1154E"/>
    <w:rsid w:val="00E13EFE"/>
    <w:rsid w:val="00E17BE0"/>
    <w:rsid w:val="00E2053B"/>
    <w:rsid w:val="00E21E2B"/>
    <w:rsid w:val="00E244CF"/>
    <w:rsid w:val="00E26778"/>
    <w:rsid w:val="00E3517E"/>
    <w:rsid w:val="00E35558"/>
    <w:rsid w:val="00E37B3B"/>
    <w:rsid w:val="00E4022E"/>
    <w:rsid w:val="00E44C45"/>
    <w:rsid w:val="00E453A8"/>
    <w:rsid w:val="00E51EBE"/>
    <w:rsid w:val="00E5373A"/>
    <w:rsid w:val="00E55B3E"/>
    <w:rsid w:val="00E61A85"/>
    <w:rsid w:val="00E63CEF"/>
    <w:rsid w:val="00E71FBE"/>
    <w:rsid w:val="00E762A1"/>
    <w:rsid w:val="00E819E1"/>
    <w:rsid w:val="00E921B4"/>
    <w:rsid w:val="00E94848"/>
    <w:rsid w:val="00E972B3"/>
    <w:rsid w:val="00EB0CD0"/>
    <w:rsid w:val="00EB1D95"/>
    <w:rsid w:val="00EB478E"/>
    <w:rsid w:val="00EC206B"/>
    <w:rsid w:val="00EC741C"/>
    <w:rsid w:val="00EC7C59"/>
    <w:rsid w:val="00ED4C76"/>
    <w:rsid w:val="00EE7F6C"/>
    <w:rsid w:val="00EF1152"/>
    <w:rsid w:val="00EF33D7"/>
    <w:rsid w:val="00F06C98"/>
    <w:rsid w:val="00F15185"/>
    <w:rsid w:val="00F17098"/>
    <w:rsid w:val="00F201CD"/>
    <w:rsid w:val="00F2141D"/>
    <w:rsid w:val="00F2439C"/>
    <w:rsid w:val="00F36280"/>
    <w:rsid w:val="00F36D2F"/>
    <w:rsid w:val="00F41E7E"/>
    <w:rsid w:val="00F46986"/>
    <w:rsid w:val="00F61263"/>
    <w:rsid w:val="00F62A94"/>
    <w:rsid w:val="00F64826"/>
    <w:rsid w:val="00F6700F"/>
    <w:rsid w:val="00F709EB"/>
    <w:rsid w:val="00F70DD7"/>
    <w:rsid w:val="00F733D7"/>
    <w:rsid w:val="00F74463"/>
    <w:rsid w:val="00F74818"/>
    <w:rsid w:val="00F75A0D"/>
    <w:rsid w:val="00F80873"/>
    <w:rsid w:val="00F82545"/>
    <w:rsid w:val="00F8312B"/>
    <w:rsid w:val="00F8577D"/>
    <w:rsid w:val="00F87108"/>
    <w:rsid w:val="00F91970"/>
    <w:rsid w:val="00F939DD"/>
    <w:rsid w:val="00FA367E"/>
    <w:rsid w:val="00FA4474"/>
    <w:rsid w:val="00FA6FB0"/>
    <w:rsid w:val="00FB0CC2"/>
    <w:rsid w:val="00FB25BF"/>
    <w:rsid w:val="00FB2EFD"/>
    <w:rsid w:val="00FB37C6"/>
    <w:rsid w:val="00FB38D7"/>
    <w:rsid w:val="00FB3BE8"/>
    <w:rsid w:val="00FB6310"/>
    <w:rsid w:val="00FB72B5"/>
    <w:rsid w:val="00FC09FB"/>
    <w:rsid w:val="00FC0BF1"/>
    <w:rsid w:val="00FD77AB"/>
    <w:rsid w:val="00FD7AFD"/>
    <w:rsid w:val="00FE120A"/>
    <w:rsid w:val="00FE2E01"/>
    <w:rsid w:val="00FE4DF6"/>
    <w:rsid w:val="00FE5D6D"/>
    <w:rsid w:val="00FE7304"/>
    <w:rsid w:val="00FF2ED8"/>
    <w:rsid w:val="00FF3973"/>
    <w:rsid w:val="00FF3F44"/>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0CD67"/>
  <w15:docId w15:val="{C81B562D-0A49-914D-9166-68AE11C4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8A4"/>
  </w:style>
  <w:style w:type="paragraph" w:styleId="Heading1">
    <w:name w:val="heading 1"/>
    <w:basedOn w:val="Normal"/>
    <w:next w:val="Normal"/>
    <w:rsid w:val="00D728A4"/>
    <w:pPr>
      <w:outlineLvl w:val="0"/>
    </w:pPr>
    <w:rPr>
      <w:b/>
      <w:sz w:val="32"/>
      <w:szCs w:val="32"/>
    </w:rPr>
  </w:style>
  <w:style w:type="paragraph" w:styleId="Heading2">
    <w:name w:val="heading 2"/>
    <w:basedOn w:val="Normal"/>
    <w:next w:val="Normal"/>
    <w:link w:val="Heading2Char"/>
    <w:rsid w:val="00D728A4"/>
    <w:pPr>
      <w:ind w:left="102"/>
      <w:outlineLvl w:val="1"/>
    </w:pPr>
    <w:rPr>
      <w:b/>
      <w:sz w:val="28"/>
      <w:szCs w:val="28"/>
    </w:rPr>
  </w:style>
  <w:style w:type="paragraph" w:styleId="Heading3">
    <w:name w:val="heading 3"/>
    <w:basedOn w:val="Normal"/>
    <w:next w:val="Normal"/>
    <w:rsid w:val="00D728A4"/>
    <w:pPr>
      <w:keepNext/>
      <w:keepLines/>
      <w:spacing w:before="280" w:after="80"/>
      <w:outlineLvl w:val="2"/>
    </w:pPr>
    <w:rPr>
      <w:b/>
      <w:sz w:val="28"/>
      <w:szCs w:val="28"/>
    </w:rPr>
  </w:style>
  <w:style w:type="paragraph" w:styleId="Heading4">
    <w:name w:val="heading 4"/>
    <w:basedOn w:val="Normal"/>
    <w:next w:val="Normal"/>
    <w:rsid w:val="00D728A4"/>
    <w:pPr>
      <w:keepNext/>
      <w:keepLines/>
      <w:spacing w:before="240" w:after="40"/>
      <w:outlineLvl w:val="3"/>
    </w:pPr>
    <w:rPr>
      <w:b/>
      <w:sz w:val="24"/>
      <w:szCs w:val="24"/>
    </w:rPr>
  </w:style>
  <w:style w:type="paragraph" w:styleId="Heading5">
    <w:name w:val="heading 5"/>
    <w:basedOn w:val="Normal"/>
    <w:next w:val="Normal"/>
    <w:rsid w:val="00D728A4"/>
    <w:pPr>
      <w:keepNext/>
      <w:keepLines/>
      <w:spacing w:before="220" w:after="40"/>
      <w:outlineLvl w:val="4"/>
    </w:pPr>
    <w:rPr>
      <w:b/>
    </w:rPr>
  </w:style>
  <w:style w:type="paragraph" w:styleId="Heading6">
    <w:name w:val="heading 6"/>
    <w:basedOn w:val="Normal"/>
    <w:next w:val="Normal"/>
    <w:rsid w:val="00D728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itle">
    <w:name w:val="Title"/>
    <w:basedOn w:val="Normal"/>
    <w:next w:val="Normal"/>
    <w:rsid w:val="00D728A4"/>
    <w:pPr>
      <w:keepNext/>
      <w:keepLines/>
      <w:spacing w:before="480" w:after="120"/>
    </w:pPr>
    <w:rPr>
      <w:b/>
      <w:sz w:val="72"/>
      <w:szCs w:val="72"/>
    </w:rPr>
  </w:style>
  <w:style w:type="paragraph" w:styleId="Subtitle">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D728A4"/>
    <w:rPr>
      <w:sz w:val="20"/>
      <w:szCs w:val="20"/>
    </w:rPr>
  </w:style>
  <w:style w:type="character" w:customStyle="1" w:styleId="CommentTextChar">
    <w:name w:val="Comment Text Char"/>
    <w:basedOn w:val="DefaultParagraphFont"/>
    <w:link w:val="CommentText"/>
    <w:uiPriority w:val="99"/>
    <w:semiHidden/>
    <w:rsid w:val="00D728A4"/>
    <w:rPr>
      <w:sz w:val="20"/>
      <w:szCs w:val="20"/>
    </w:rPr>
  </w:style>
  <w:style w:type="character" w:styleId="CommentReference">
    <w:name w:val="annotation reference"/>
    <w:basedOn w:val="DefaultParagraphFont"/>
    <w:uiPriority w:val="99"/>
    <w:semiHidden/>
    <w:unhideWhenUsed/>
    <w:rsid w:val="00D728A4"/>
    <w:rPr>
      <w:sz w:val="16"/>
      <w:szCs w:val="16"/>
    </w:rPr>
  </w:style>
  <w:style w:type="paragraph" w:styleId="BalloonText">
    <w:name w:val="Balloon Text"/>
    <w:basedOn w:val="Normal"/>
    <w:link w:val="BalloonTextChar"/>
    <w:uiPriority w:val="99"/>
    <w:semiHidden/>
    <w:unhideWhenUsed/>
    <w:rsid w:val="00654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17F"/>
    <w:rPr>
      <w:rFonts w:ascii="Segoe UI" w:hAnsi="Segoe UI" w:cs="Segoe UI"/>
      <w:sz w:val="18"/>
      <w:szCs w:val="18"/>
    </w:rPr>
  </w:style>
  <w:style w:type="paragraph" w:styleId="Header">
    <w:name w:val="header"/>
    <w:basedOn w:val="Normal"/>
    <w:link w:val="HeaderChar"/>
    <w:uiPriority w:val="99"/>
    <w:unhideWhenUsed/>
    <w:rsid w:val="0065417F"/>
    <w:pPr>
      <w:tabs>
        <w:tab w:val="center" w:pos="4419"/>
        <w:tab w:val="right" w:pos="8838"/>
      </w:tabs>
    </w:pPr>
  </w:style>
  <w:style w:type="character" w:customStyle="1" w:styleId="HeaderChar">
    <w:name w:val="Header Char"/>
    <w:basedOn w:val="DefaultParagraphFont"/>
    <w:link w:val="Header"/>
    <w:uiPriority w:val="99"/>
    <w:rsid w:val="0065417F"/>
  </w:style>
  <w:style w:type="paragraph" w:styleId="Footer">
    <w:name w:val="footer"/>
    <w:basedOn w:val="Normal"/>
    <w:link w:val="FooterChar"/>
    <w:uiPriority w:val="99"/>
    <w:unhideWhenUsed/>
    <w:rsid w:val="0065417F"/>
    <w:pPr>
      <w:tabs>
        <w:tab w:val="center" w:pos="4419"/>
        <w:tab w:val="right" w:pos="8838"/>
      </w:tabs>
    </w:pPr>
  </w:style>
  <w:style w:type="character" w:customStyle="1" w:styleId="FooterChar">
    <w:name w:val="Footer Char"/>
    <w:basedOn w:val="DefaultParagraphFont"/>
    <w:link w:val="Footer"/>
    <w:uiPriority w:val="99"/>
    <w:rsid w:val="0065417F"/>
  </w:style>
  <w:style w:type="character" w:styleId="Hyperlink">
    <w:name w:val="Hyperlink"/>
    <w:basedOn w:val="DefaultParagraphFont"/>
    <w:uiPriority w:val="99"/>
    <w:unhideWhenUsed/>
    <w:rsid w:val="0065417F"/>
    <w:rPr>
      <w:color w:val="0000FF" w:themeColor="hyperlink"/>
      <w:u w:val="single"/>
    </w:rPr>
  </w:style>
  <w:style w:type="paragraph" w:styleId="FootnoteText">
    <w:name w:val="footnote text"/>
    <w:basedOn w:val="Normal"/>
    <w:link w:val="FootnoteTextCh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65417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unhideWhenUsed/>
    <w:rsid w:val="0065417F"/>
    <w:rPr>
      <w:vertAlign w:val="superscript"/>
    </w:rPr>
  </w:style>
  <w:style w:type="paragraph" w:styleId="ListParagraph">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ListParagraphCh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5417F"/>
    <w:rPr>
      <w:b/>
      <w:bCs/>
    </w:rPr>
  </w:style>
  <w:style w:type="character" w:customStyle="1" w:styleId="CommentSubjectChar">
    <w:name w:val="Comment Subject Char"/>
    <w:basedOn w:val="CommentTextChar"/>
    <w:link w:val="CommentSubject"/>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eGrid">
    <w:name w:val="Table Grid"/>
    <w:basedOn w:val="TableNormal"/>
    <w:uiPriority w:val="39"/>
    <w:rsid w:val="00CD102D"/>
    <w:pPr>
      <w:widowControl/>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a Char,Resume Title Char,titulo 3 Char,Bullet Char,Párrafo de lista1 Char,Lista vistosa - Énfasis 11 Char,HOJA Char,Bolita Char,Párrafo de lista4 Char,BOLADEF Char,Párrafo de lista2 Char,Párrafo de lista3 Char,BOLA Char"/>
    <w:link w:val="ListParagraph"/>
    <w:uiPriority w:val="34"/>
    <w:locked/>
    <w:rsid w:val="00A14815"/>
    <w:rPr>
      <w:rFonts w:asciiTheme="minorHAnsi" w:eastAsiaTheme="minorHAnsi" w:hAnsiTheme="minorHAnsi" w:cstheme="minorBidi"/>
      <w:lang w:eastAsia="en-US"/>
    </w:rPr>
  </w:style>
  <w:style w:type="character" w:styleId="Strong">
    <w:name w:val="Strong"/>
    <w:basedOn w:val="DefaultParagraphFont"/>
    <w:uiPriority w:val="22"/>
    <w:qFormat/>
    <w:rsid w:val="001D40DA"/>
    <w:rPr>
      <w:b/>
      <w:bCs/>
    </w:rPr>
  </w:style>
  <w:style w:type="character" w:customStyle="1" w:styleId="Heading2Char">
    <w:name w:val="Heading 2 Char"/>
    <w:basedOn w:val="DefaultParagraphFont"/>
    <w:link w:val="Heading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on">
    <w:name w:val="Revision"/>
    <w:hidden/>
    <w:uiPriority w:val="99"/>
    <w:semiHidden/>
    <w:rsid w:val="00404730"/>
    <w:pPr>
      <w:widowControl/>
    </w:pPr>
  </w:style>
  <w:style w:type="paragraph" w:styleId="EndnoteText">
    <w:name w:val="endnote text"/>
    <w:basedOn w:val="Normal"/>
    <w:link w:val="EndnoteTextChar"/>
    <w:uiPriority w:val="99"/>
    <w:semiHidden/>
    <w:unhideWhenUsed/>
    <w:rsid w:val="00165E31"/>
    <w:rPr>
      <w:sz w:val="20"/>
      <w:szCs w:val="20"/>
    </w:rPr>
  </w:style>
  <w:style w:type="character" w:customStyle="1" w:styleId="EndnoteTextChar">
    <w:name w:val="Endnote Text Char"/>
    <w:basedOn w:val="DefaultParagraphFont"/>
    <w:link w:val="EndnoteText"/>
    <w:uiPriority w:val="99"/>
    <w:semiHidden/>
    <w:rsid w:val="00165E31"/>
    <w:rPr>
      <w:sz w:val="20"/>
      <w:szCs w:val="20"/>
    </w:rPr>
  </w:style>
  <w:style w:type="character" w:styleId="EndnoteReference">
    <w:name w:val="endnote reference"/>
    <w:basedOn w:val="DefaultParagraphFont"/>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NoSpacing">
    <w:name w:val="No Spacing"/>
    <w:link w:val="NoSpacingChar"/>
    <w:uiPriority w:val="1"/>
    <w:qFormat/>
    <w:rsid w:val="00F06C98"/>
    <w:pPr>
      <w:widowControl/>
    </w:pPr>
    <w:rPr>
      <w:rFonts w:asciiTheme="minorHAnsi" w:eastAsiaTheme="minorHAnsi" w:hAnsiTheme="minorHAnsi" w:cstheme="minorBidi"/>
      <w:lang w:eastAsia="en-US"/>
    </w:rPr>
  </w:style>
  <w:style w:type="character" w:customStyle="1" w:styleId="NoSpacingChar">
    <w:name w:val="No Spacing Char"/>
    <w:link w:val="NoSpacing"/>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DefaultParagraphFont"/>
    <w:uiPriority w:val="99"/>
    <w:semiHidden/>
    <w:unhideWhenUsed/>
    <w:rsid w:val="00F3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as.org.uk/uploads/pdf/News%20stories/dnutt-lancet-011110.pdf"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www.globalcommissionondrugs.org/wp-content/uploads/2018/11/SPA-2018_SDGPaper_WEB.pdf" TargetMode="External"/><Relationship Id="rId15" Type="http://schemas.openxmlformats.org/officeDocument/2006/relationships/hyperlink" Target="https://sitios.dane.gov.co/cnpv-presentacion/src/" TargetMode="External"/><Relationship Id="rId16" Type="http://schemas.openxmlformats.org/officeDocument/2006/relationships/hyperlink" Target="http://fileserver.idpc.net/library/dpa_marijuana_legalization_report_v8_0.pdf" TargetMode="External"/><Relationship Id="rId17" Type="http://schemas.openxmlformats.org/officeDocument/2006/relationships/hyperlink" Target="https://www.vox.com/2014/5/19/5727712/drug-alcohol-deaths" TargetMode="External"/><Relationship Id="rId18" Type="http://schemas.openxmlformats.org/officeDocument/2006/relationships/hyperlink" Target="http://www.prisonstudies.org/country/colombia" TargetMode="Externa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1" Type="http://schemas.openxmlformats.org/officeDocument/2006/relationships/hyperlink" Target="http://www.globalcommissionondrugs.org/wp-content/uploads/2018/11/SPA-2018_SDGPaper_WEB.pdf" TargetMode="External"/><Relationship Id="rId12" Type="http://schemas.openxmlformats.org/officeDocument/2006/relationships/hyperlink" Target="http://www.globalcommissionondrugs.org/wp-content/uploads/2018/11/SPA-2018_SDGPaper_WEB.pdf" TargetMode="External"/><Relationship Id="rId1" Type="http://schemas.openxmlformats.org/officeDocument/2006/relationships/hyperlink" Target="https://www.vox.com/2014/5/19/5727712/drug-alcohol-deaths" TargetMode="External"/><Relationship Id="rId2" Type="http://schemas.openxmlformats.org/officeDocument/2006/relationships/hyperlink" Target="https://www.dejusticia.org/wp-content/uploads/2017/07/Delitos-de-drogas-y-sobredosis-carcelaria-en-Colombia-Version-final-PDF-para-WEB.pdf" TargetMode="External"/><Relationship Id="rId3" Type="http://schemas.openxmlformats.org/officeDocument/2006/relationships/hyperlink" Target="http://www.globalcommissionondrugs.org/wp-content/uploads/2018/11/SPA-2018_SDGPaper_WEB.pdf" TargetMode="External"/><Relationship Id="rId4" Type="http://schemas.openxmlformats.org/officeDocument/2006/relationships/hyperlink" Target="http://www.globalcommissionondrugs.org/wp-content/uploads/2018/11/SPA-2018_SDGPaper_WEB.pdf" TargetMode="External"/><Relationship Id="rId5" Type="http://schemas.openxmlformats.org/officeDocument/2006/relationships/hyperlink" Target="http://www.globalcommissionondrugs.org/wp-content/uploads/2018/11/SPA-2018_SDGPaper_WEB.pdf" TargetMode="External"/><Relationship Id="rId6" Type="http://schemas.openxmlformats.org/officeDocument/2006/relationships/hyperlink" Target="http://www.globalcommissionondrugs.org/wp-content/uploads/2018/11/SPA-2018_SDGPaper_WEB.pdf" TargetMode="External"/><Relationship Id="rId7" Type="http://schemas.openxmlformats.org/officeDocument/2006/relationships/hyperlink" Target="http://www.globalcommissionondrugs.org/wp-content/uploads/2018/11/SPA-2018_SDGPaper_WEB.pdf" TargetMode="External"/><Relationship Id="rId8" Type="http://schemas.openxmlformats.org/officeDocument/2006/relationships/hyperlink" Target="http://www.globalcommissionondrugs.org/wp-content/uploads/2018/11/SPA-2018_SDGPaper_WEB.pdf" TargetMode="External"/><Relationship Id="rId9" Type="http://schemas.openxmlformats.org/officeDocument/2006/relationships/hyperlink" Target="http://www.globalcommissionondrugs.org/wp-content/uploads/2018/11/SPA-2018_SDGPaper_WEB.pdf" TargetMode="External"/><Relationship Id="rId10" Type="http://schemas.openxmlformats.org/officeDocument/2006/relationships/hyperlink" Target="http://www.globalcommissionondrugs.org/wp-content/uploads/2018/11/SPA-2018_SDGPaper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0B2CF-46DF-2148-A244-B0B692C1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60</Pages>
  <Words>19129</Words>
  <Characters>109041</Characters>
  <Application>Microsoft Macintosh Word</Application>
  <DocSecurity>0</DocSecurity>
  <Lines>908</Lines>
  <Paragraphs>255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127915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Microsoft Office User</cp:lastModifiedBy>
  <cp:revision>7</cp:revision>
  <cp:lastPrinted>2020-08-12T20:54:00Z</cp:lastPrinted>
  <dcterms:created xsi:type="dcterms:W3CDTF">2020-09-21T23:09:00Z</dcterms:created>
  <dcterms:modified xsi:type="dcterms:W3CDTF">2020-09-22T14:45:00Z</dcterms:modified>
</cp:coreProperties>
</file>