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B77278" w14:textId="4D456E2E" w:rsidR="00574EA9" w:rsidRPr="00896E89" w:rsidRDefault="00574EA9" w:rsidP="00574EA9">
      <w:pPr>
        <w:shd w:val="clear" w:color="auto" w:fill="FFFFFF"/>
        <w:jc w:val="center"/>
        <w:rPr>
          <w:rFonts w:ascii="Times New Roman" w:eastAsia="Calibri" w:hAnsi="Times New Roman" w:cs="Times New Roman"/>
          <w:b/>
          <w:sz w:val="24"/>
          <w:szCs w:val="24"/>
        </w:rPr>
      </w:pPr>
      <w:bookmarkStart w:id="0" w:name="_Hlk51661711"/>
      <w:r w:rsidRPr="00896E89">
        <w:rPr>
          <w:rFonts w:ascii="Times New Roman" w:eastAsia="Calibri" w:hAnsi="Times New Roman" w:cs="Times New Roman"/>
          <w:b/>
          <w:sz w:val="24"/>
          <w:szCs w:val="24"/>
        </w:rPr>
        <w:t>INFORME DE PONENCIA PARA PRIMER DEBATE DEL</w:t>
      </w:r>
    </w:p>
    <w:p w14:paraId="19373394" w14:textId="1939F2AC" w:rsidR="00574EA9" w:rsidRPr="00896E89" w:rsidRDefault="00574EA9" w:rsidP="00574EA9">
      <w:pPr>
        <w:shd w:val="clear" w:color="auto" w:fill="FFFFFF"/>
        <w:jc w:val="center"/>
        <w:rPr>
          <w:rFonts w:ascii="Times New Roman" w:hAnsi="Times New Roman" w:cs="Times New Roman"/>
          <w:b/>
          <w:sz w:val="24"/>
          <w:szCs w:val="24"/>
          <w:lang w:val="es-CO"/>
        </w:rPr>
      </w:pPr>
      <w:r w:rsidRPr="00896E89">
        <w:rPr>
          <w:rFonts w:ascii="Times New Roman" w:hAnsi="Times New Roman" w:cs="Times New Roman"/>
          <w:b/>
          <w:sz w:val="24"/>
          <w:szCs w:val="24"/>
          <w:lang w:val="es"/>
        </w:rPr>
        <w:t>Proyecto de Acto Legislativo 287 de 2020 Cámara “Por el cual se modifican los artículos 45 y 65 de la Constitución Política estableciendo el derecho fundamental a la alimentación y a no padecer hambre”, acumulado con el Proyecto de Acto Legislativo 01 de 2020 Senado “Por el cual se modifica el artículo 65 de la Constitución Política de Colombia”.</w:t>
      </w:r>
    </w:p>
    <w:p w14:paraId="0B8E6693" w14:textId="77777777" w:rsidR="00574EA9" w:rsidRPr="00896E89" w:rsidRDefault="00574EA9" w:rsidP="00574EA9">
      <w:pPr>
        <w:rPr>
          <w:rFonts w:ascii="Times New Roman" w:hAnsi="Times New Roman" w:cs="Times New Roman"/>
          <w:sz w:val="24"/>
          <w:szCs w:val="24"/>
          <w:lang w:val="es"/>
        </w:rPr>
      </w:pPr>
    </w:p>
    <w:p w14:paraId="7101D623" w14:textId="58D2DF88" w:rsidR="00574EA9" w:rsidRPr="00896E89" w:rsidRDefault="00574EA9" w:rsidP="00574EA9">
      <w:pPr>
        <w:rPr>
          <w:rFonts w:ascii="Times New Roman" w:hAnsi="Times New Roman" w:cs="Times New Roman"/>
          <w:sz w:val="24"/>
          <w:szCs w:val="24"/>
          <w:lang w:val="es"/>
        </w:rPr>
      </w:pPr>
      <w:r w:rsidRPr="00896E89">
        <w:rPr>
          <w:rFonts w:ascii="Times New Roman" w:hAnsi="Times New Roman" w:cs="Times New Roman"/>
          <w:sz w:val="24"/>
          <w:szCs w:val="24"/>
          <w:lang w:val="es"/>
        </w:rPr>
        <w:t>Bogotá D.C., septiembre de 2020</w:t>
      </w:r>
    </w:p>
    <w:p w14:paraId="6E80FA84" w14:textId="77777777" w:rsidR="00574EA9" w:rsidRPr="00896E89" w:rsidRDefault="00574EA9" w:rsidP="00574EA9">
      <w:pPr>
        <w:rPr>
          <w:rFonts w:ascii="Times New Roman" w:hAnsi="Times New Roman" w:cs="Times New Roman"/>
          <w:sz w:val="24"/>
          <w:szCs w:val="24"/>
          <w:lang w:val="es"/>
        </w:rPr>
      </w:pPr>
    </w:p>
    <w:p w14:paraId="3DB9F112" w14:textId="44CA7585" w:rsidR="00574EA9" w:rsidRPr="00896E89" w:rsidRDefault="00574EA9" w:rsidP="00574EA9">
      <w:pPr>
        <w:rPr>
          <w:rFonts w:ascii="Times New Roman" w:hAnsi="Times New Roman" w:cs="Times New Roman"/>
          <w:sz w:val="24"/>
          <w:szCs w:val="24"/>
        </w:rPr>
      </w:pPr>
      <w:r w:rsidRPr="00896E89">
        <w:rPr>
          <w:rFonts w:ascii="Times New Roman" w:hAnsi="Times New Roman" w:cs="Times New Roman"/>
          <w:sz w:val="24"/>
          <w:szCs w:val="24"/>
        </w:rPr>
        <w:t>Honorable Representante</w:t>
      </w:r>
    </w:p>
    <w:p w14:paraId="3B5B9E08" w14:textId="172DF5CC" w:rsidR="00574EA9" w:rsidRPr="00896E89" w:rsidRDefault="00574EA9" w:rsidP="00574EA9">
      <w:pPr>
        <w:rPr>
          <w:rFonts w:ascii="Times New Roman" w:hAnsi="Times New Roman" w:cs="Times New Roman"/>
          <w:b/>
          <w:sz w:val="24"/>
          <w:szCs w:val="24"/>
        </w:rPr>
      </w:pPr>
      <w:r w:rsidRPr="00896E89">
        <w:rPr>
          <w:rFonts w:ascii="Times New Roman" w:hAnsi="Times New Roman" w:cs="Times New Roman"/>
          <w:b/>
          <w:sz w:val="24"/>
          <w:szCs w:val="24"/>
        </w:rPr>
        <w:t>ALFREDO RAFAEL DELUQUE ZULETA</w:t>
      </w:r>
    </w:p>
    <w:p w14:paraId="42BA0777" w14:textId="593B48D5" w:rsidR="00574EA9" w:rsidRPr="00896E89" w:rsidRDefault="00574EA9" w:rsidP="00574EA9">
      <w:pPr>
        <w:rPr>
          <w:rFonts w:ascii="Times New Roman" w:hAnsi="Times New Roman" w:cs="Times New Roman"/>
          <w:sz w:val="24"/>
          <w:szCs w:val="24"/>
        </w:rPr>
      </w:pPr>
      <w:r w:rsidRPr="00896E89">
        <w:rPr>
          <w:rFonts w:ascii="Times New Roman" w:hAnsi="Times New Roman" w:cs="Times New Roman"/>
          <w:sz w:val="24"/>
          <w:szCs w:val="24"/>
        </w:rPr>
        <w:t>Presidente</w:t>
      </w:r>
    </w:p>
    <w:p w14:paraId="5265F649" w14:textId="077EE347" w:rsidR="00574EA9" w:rsidRPr="00896E89" w:rsidRDefault="00574EA9" w:rsidP="00574EA9">
      <w:pPr>
        <w:rPr>
          <w:rFonts w:ascii="Times New Roman" w:hAnsi="Times New Roman" w:cs="Times New Roman"/>
          <w:b/>
          <w:bCs/>
          <w:sz w:val="24"/>
          <w:szCs w:val="24"/>
        </w:rPr>
      </w:pPr>
      <w:r w:rsidRPr="00896E89">
        <w:rPr>
          <w:rFonts w:ascii="Times New Roman" w:hAnsi="Times New Roman" w:cs="Times New Roman"/>
          <w:b/>
          <w:bCs/>
          <w:sz w:val="24"/>
          <w:szCs w:val="24"/>
        </w:rPr>
        <w:t>COMISIÓN PRIMERA CONSTITUCIONAL</w:t>
      </w:r>
    </w:p>
    <w:p w14:paraId="75BD25D6" w14:textId="77777777" w:rsidR="00574EA9" w:rsidRPr="00896E89" w:rsidRDefault="00574EA9" w:rsidP="00574EA9">
      <w:pPr>
        <w:rPr>
          <w:rFonts w:ascii="Times New Roman" w:hAnsi="Times New Roman" w:cs="Times New Roman"/>
          <w:b/>
          <w:sz w:val="24"/>
          <w:szCs w:val="24"/>
        </w:rPr>
      </w:pPr>
      <w:r w:rsidRPr="00896E89">
        <w:rPr>
          <w:rFonts w:ascii="Times New Roman" w:hAnsi="Times New Roman" w:cs="Times New Roman"/>
          <w:b/>
          <w:sz w:val="24"/>
          <w:szCs w:val="24"/>
        </w:rPr>
        <w:t>CÁMARA DE REPRESENTANTES</w:t>
      </w:r>
    </w:p>
    <w:p w14:paraId="74617920" w14:textId="77777777" w:rsidR="00574EA9" w:rsidRPr="00896E89" w:rsidRDefault="00574EA9" w:rsidP="00574EA9">
      <w:pPr>
        <w:rPr>
          <w:rFonts w:ascii="Times New Roman" w:hAnsi="Times New Roman" w:cs="Times New Roman"/>
          <w:sz w:val="24"/>
          <w:szCs w:val="24"/>
        </w:rPr>
      </w:pPr>
      <w:r w:rsidRPr="00896E89">
        <w:rPr>
          <w:rFonts w:ascii="Times New Roman" w:hAnsi="Times New Roman" w:cs="Times New Roman"/>
          <w:sz w:val="24"/>
          <w:szCs w:val="24"/>
        </w:rPr>
        <w:t>Bogotá D.C.</w:t>
      </w:r>
    </w:p>
    <w:p w14:paraId="5A70C087" w14:textId="77777777" w:rsidR="00574EA9" w:rsidRPr="00896E89" w:rsidRDefault="00574EA9" w:rsidP="00574EA9">
      <w:pPr>
        <w:rPr>
          <w:rFonts w:ascii="Times New Roman" w:hAnsi="Times New Roman" w:cs="Times New Roman"/>
          <w:sz w:val="24"/>
          <w:szCs w:val="24"/>
          <w:lang w:val="es"/>
        </w:rPr>
      </w:pPr>
    </w:p>
    <w:p w14:paraId="5FCDAFA2" w14:textId="00224F1B" w:rsidR="00574EA9" w:rsidRPr="00896E89" w:rsidRDefault="00574EA9" w:rsidP="00574EA9">
      <w:pPr>
        <w:shd w:val="clear" w:color="auto" w:fill="FFFFFF"/>
        <w:ind w:left="2124"/>
        <w:jc w:val="both"/>
        <w:rPr>
          <w:rFonts w:ascii="Times New Roman" w:eastAsia="Calibri" w:hAnsi="Times New Roman" w:cs="Times New Roman"/>
          <w:sz w:val="24"/>
          <w:szCs w:val="24"/>
          <w:lang w:val="es-CO"/>
        </w:rPr>
      </w:pPr>
      <w:r w:rsidRPr="00896E89">
        <w:rPr>
          <w:rFonts w:ascii="Times New Roman" w:eastAsia="Calibri" w:hAnsi="Times New Roman" w:cs="Times New Roman"/>
          <w:b/>
          <w:sz w:val="24"/>
          <w:szCs w:val="24"/>
        </w:rPr>
        <w:t>Referencia:</w:t>
      </w:r>
      <w:r w:rsidRPr="00896E89">
        <w:rPr>
          <w:rFonts w:ascii="Times New Roman" w:eastAsia="Calibri" w:hAnsi="Times New Roman" w:cs="Times New Roman"/>
          <w:sz w:val="24"/>
          <w:szCs w:val="24"/>
        </w:rPr>
        <w:t xml:space="preserve"> Informe de ponencia para primer debate del Proyecto de Acto Legislativo 287 de 2020 Cámara “Por el cual se modifican los artículos 45 y 65 de la Constitución Política estableciendo el derecho fundamental a la alimentación y a no padecer hambre”, acumulado con el Proyecto de Acto Legislativo 01 de 2020 Senado “Por el cual se modifica el artículo 65 de la Constitución Política de Colombia”.</w:t>
      </w:r>
    </w:p>
    <w:p w14:paraId="70D7C8D1" w14:textId="77777777" w:rsidR="00574EA9" w:rsidRPr="00896E89" w:rsidRDefault="00574EA9" w:rsidP="00574EA9">
      <w:pPr>
        <w:shd w:val="clear" w:color="auto" w:fill="FFFFFF"/>
        <w:jc w:val="both"/>
        <w:rPr>
          <w:rFonts w:ascii="Times New Roman" w:eastAsia="Calibri" w:hAnsi="Times New Roman" w:cs="Times New Roman"/>
          <w:b/>
          <w:sz w:val="24"/>
          <w:szCs w:val="24"/>
          <w:lang w:val="es"/>
        </w:rPr>
      </w:pPr>
    </w:p>
    <w:p w14:paraId="213FFA81" w14:textId="77777777" w:rsidR="00574EA9" w:rsidRPr="00896E89" w:rsidRDefault="00574EA9" w:rsidP="00574EA9">
      <w:pPr>
        <w:shd w:val="clear" w:color="auto" w:fill="FFFFFF"/>
        <w:jc w:val="both"/>
        <w:rPr>
          <w:rFonts w:ascii="Times New Roman" w:eastAsia="Calibri" w:hAnsi="Times New Roman" w:cs="Times New Roman"/>
          <w:sz w:val="24"/>
          <w:szCs w:val="24"/>
        </w:rPr>
      </w:pPr>
      <w:r w:rsidRPr="00896E89">
        <w:rPr>
          <w:rFonts w:ascii="Times New Roman" w:eastAsia="Calibri" w:hAnsi="Times New Roman" w:cs="Times New Roman"/>
          <w:sz w:val="24"/>
          <w:szCs w:val="24"/>
        </w:rPr>
        <w:t xml:space="preserve">Respetado Presidente, </w:t>
      </w:r>
    </w:p>
    <w:p w14:paraId="2E79F504" w14:textId="77777777" w:rsidR="00574EA9" w:rsidRPr="00896E89" w:rsidRDefault="00574EA9" w:rsidP="00574EA9">
      <w:pPr>
        <w:shd w:val="clear" w:color="auto" w:fill="FFFFFF"/>
        <w:jc w:val="both"/>
        <w:rPr>
          <w:rFonts w:ascii="Times New Roman" w:eastAsia="Calibri" w:hAnsi="Times New Roman" w:cs="Times New Roman"/>
          <w:sz w:val="24"/>
          <w:szCs w:val="24"/>
        </w:rPr>
      </w:pPr>
    </w:p>
    <w:p w14:paraId="4A886630" w14:textId="52AD44E4" w:rsidR="00574EA9" w:rsidRPr="00896E89" w:rsidRDefault="00574EA9" w:rsidP="00574EA9">
      <w:pPr>
        <w:shd w:val="clear" w:color="auto" w:fill="FFFFFF"/>
        <w:jc w:val="both"/>
        <w:rPr>
          <w:rFonts w:ascii="Times New Roman" w:eastAsia="Calibri" w:hAnsi="Times New Roman" w:cs="Times New Roman"/>
          <w:sz w:val="24"/>
          <w:szCs w:val="24"/>
        </w:rPr>
      </w:pPr>
      <w:r w:rsidRPr="00896E89">
        <w:rPr>
          <w:rFonts w:ascii="Times New Roman" w:eastAsia="Calibri" w:hAnsi="Times New Roman" w:cs="Times New Roman"/>
          <w:sz w:val="24"/>
          <w:szCs w:val="24"/>
        </w:rPr>
        <w:t>En cumplimiento del encargo hecho por la Honorable Mesa Directiva de la Comisión Primera de la Cámara de Representantes y de conformidad con lo establecido en el Artículo 156 de la Ley 5ª de 1992, procedemos a rendir informe de ponencia para primer debate del Proyecto de Acto Legislativo 287 de 2020 Cámara “Por el cual se modifican los artículos 45 y 65 de la Constitución Política estableciendo el derecho fundamental a la alimentación y a no padecer hambre”, acumulado con el Proyecto de Acto Legislativo 01 de 2020 Senado “Por el cual se modifica el artículo 65 de la Constitución Política de Colombia”.</w:t>
      </w:r>
    </w:p>
    <w:p w14:paraId="3D877742" w14:textId="77777777" w:rsidR="00574EA9" w:rsidRPr="00896E89" w:rsidRDefault="00574EA9" w:rsidP="00574EA9">
      <w:pPr>
        <w:rPr>
          <w:rFonts w:ascii="Times New Roman" w:hAnsi="Times New Roman" w:cs="Times New Roman"/>
          <w:sz w:val="24"/>
          <w:szCs w:val="24"/>
        </w:rPr>
      </w:pPr>
    </w:p>
    <w:p w14:paraId="10F6FF7D" w14:textId="77777777" w:rsidR="00574EA9" w:rsidRPr="00896E89" w:rsidRDefault="00574EA9" w:rsidP="00574EA9">
      <w:pPr>
        <w:numPr>
          <w:ilvl w:val="0"/>
          <w:numId w:val="1"/>
        </w:numPr>
        <w:rPr>
          <w:rFonts w:ascii="Times New Roman" w:hAnsi="Times New Roman" w:cs="Times New Roman"/>
          <w:b/>
          <w:sz w:val="24"/>
          <w:szCs w:val="24"/>
        </w:rPr>
      </w:pPr>
      <w:r w:rsidRPr="00896E89">
        <w:rPr>
          <w:rFonts w:ascii="Times New Roman" w:hAnsi="Times New Roman" w:cs="Times New Roman"/>
          <w:b/>
          <w:sz w:val="24"/>
          <w:szCs w:val="24"/>
        </w:rPr>
        <w:t>TRÁMITE DE LA INICIATIVA.</w:t>
      </w:r>
    </w:p>
    <w:p w14:paraId="6EB41016" w14:textId="77777777" w:rsidR="00574EA9" w:rsidRPr="00896E89" w:rsidRDefault="00574EA9" w:rsidP="00574EA9">
      <w:pPr>
        <w:rPr>
          <w:rFonts w:ascii="Times New Roman" w:hAnsi="Times New Roman" w:cs="Times New Roman"/>
          <w:sz w:val="24"/>
          <w:szCs w:val="24"/>
        </w:rPr>
      </w:pPr>
    </w:p>
    <w:p w14:paraId="2C1BE49E" w14:textId="7E4B850E" w:rsidR="00574EA9" w:rsidRPr="00896E89" w:rsidRDefault="00574EA9" w:rsidP="00574EA9">
      <w:pPr>
        <w:jc w:val="both"/>
        <w:rPr>
          <w:rFonts w:ascii="Times New Roman" w:eastAsia="Calibri" w:hAnsi="Times New Roman" w:cs="Times New Roman"/>
          <w:sz w:val="24"/>
          <w:szCs w:val="24"/>
        </w:rPr>
      </w:pPr>
      <w:r w:rsidRPr="00896E89">
        <w:rPr>
          <w:rFonts w:ascii="Times New Roman" w:hAnsi="Times New Roman" w:cs="Times New Roman"/>
          <w:sz w:val="24"/>
          <w:szCs w:val="24"/>
        </w:rPr>
        <w:t xml:space="preserve">El Proyecto de Acto Legislativo 287 de 2020 Cámara </w:t>
      </w:r>
      <w:r w:rsidRPr="00896E89">
        <w:rPr>
          <w:rFonts w:ascii="Times New Roman" w:eastAsia="Calibri" w:hAnsi="Times New Roman" w:cs="Times New Roman"/>
          <w:sz w:val="24"/>
          <w:szCs w:val="24"/>
        </w:rPr>
        <w:t>“Por el cual se modifican los artículos 45 y 65 de la Constitución Política estableciendo el derecho fundamental a la alimentación y a no padecer hambre” fue radicado el 28 de julio del 2020, con la firma de los HH.RR. Julián Peinado Ramírez,</w:t>
      </w:r>
      <w:r w:rsidRPr="00896E89">
        <w:rPr>
          <w:rFonts w:ascii="Times New Roman" w:hAnsi="Times New Roman" w:cs="Times New Roman"/>
          <w:sz w:val="24"/>
          <w:szCs w:val="24"/>
        </w:rPr>
        <w:t xml:space="preserve"> </w:t>
      </w:r>
      <w:proofErr w:type="spellStart"/>
      <w:r w:rsidRPr="00896E89">
        <w:rPr>
          <w:rFonts w:ascii="Times New Roman" w:eastAsia="Calibri" w:hAnsi="Times New Roman" w:cs="Times New Roman"/>
          <w:sz w:val="24"/>
          <w:szCs w:val="24"/>
        </w:rPr>
        <w:t>Jezmi</w:t>
      </w:r>
      <w:proofErr w:type="spellEnd"/>
      <w:r w:rsidRPr="00896E89">
        <w:rPr>
          <w:rFonts w:ascii="Times New Roman" w:eastAsia="Calibri" w:hAnsi="Times New Roman" w:cs="Times New Roman"/>
          <w:sz w:val="24"/>
          <w:szCs w:val="24"/>
        </w:rPr>
        <w:t xml:space="preserve"> Lizeth Barraza </w:t>
      </w:r>
      <w:proofErr w:type="spellStart"/>
      <w:r w:rsidRPr="00896E89">
        <w:rPr>
          <w:rFonts w:ascii="Times New Roman" w:eastAsia="Calibri" w:hAnsi="Times New Roman" w:cs="Times New Roman"/>
          <w:sz w:val="24"/>
          <w:szCs w:val="24"/>
        </w:rPr>
        <w:t>Arraut</w:t>
      </w:r>
      <w:proofErr w:type="spellEnd"/>
      <w:r w:rsidRPr="00896E89">
        <w:rPr>
          <w:rFonts w:ascii="Times New Roman" w:eastAsia="Calibri" w:hAnsi="Times New Roman" w:cs="Times New Roman"/>
          <w:sz w:val="24"/>
          <w:szCs w:val="24"/>
        </w:rPr>
        <w:t xml:space="preserve">, </w:t>
      </w:r>
      <w:proofErr w:type="spellStart"/>
      <w:r w:rsidRPr="00896E89">
        <w:rPr>
          <w:rFonts w:ascii="Times New Roman" w:eastAsia="Calibri" w:hAnsi="Times New Roman" w:cs="Times New Roman"/>
          <w:sz w:val="24"/>
          <w:szCs w:val="24"/>
        </w:rPr>
        <w:t>Alexánder</w:t>
      </w:r>
      <w:proofErr w:type="spellEnd"/>
      <w:r w:rsidRPr="00896E89">
        <w:rPr>
          <w:rFonts w:ascii="Times New Roman" w:eastAsia="Calibri" w:hAnsi="Times New Roman" w:cs="Times New Roman"/>
          <w:sz w:val="24"/>
          <w:szCs w:val="24"/>
        </w:rPr>
        <w:t xml:space="preserve"> Harley Bermúdez Lasso, Carlos Julio Bonilla Soto, Andrés David Calle Aguas, Nilton Córdoba </w:t>
      </w:r>
      <w:proofErr w:type="spellStart"/>
      <w:r w:rsidRPr="00896E89">
        <w:rPr>
          <w:rFonts w:ascii="Times New Roman" w:eastAsia="Calibri" w:hAnsi="Times New Roman" w:cs="Times New Roman"/>
          <w:sz w:val="24"/>
          <w:szCs w:val="24"/>
        </w:rPr>
        <w:t>Manyoma</w:t>
      </w:r>
      <w:proofErr w:type="spellEnd"/>
      <w:r w:rsidRPr="00896E89">
        <w:rPr>
          <w:rFonts w:ascii="Times New Roman" w:eastAsia="Calibri" w:hAnsi="Times New Roman" w:cs="Times New Roman"/>
          <w:sz w:val="24"/>
          <w:szCs w:val="24"/>
        </w:rPr>
        <w:t xml:space="preserve">, Ángel María Gaitán Pulido, </w:t>
      </w:r>
      <w:proofErr w:type="spellStart"/>
      <w:r w:rsidRPr="00896E89">
        <w:rPr>
          <w:rFonts w:ascii="Times New Roman" w:eastAsia="Calibri" w:hAnsi="Times New Roman" w:cs="Times New Roman"/>
          <w:sz w:val="24"/>
          <w:szCs w:val="24"/>
        </w:rPr>
        <w:t>Kelyn</w:t>
      </w:r>
      <w:proofErr w:type="spellEnd"/>
      <w:r w:rsidRPr="00896E89">
        <w:rPr>
          <w:rFonts w:ascii="Times New Roman" w:eastAsia="Calibri" w:hAnsi="Times New Roman" w:cs="Times New Roman"/>
          <w:sz w:val="24"/>
          <w:szCs w:val="24"/>
        </w:rPr>
        <w:t xml:space="preserve"> Johana González Duarte, Harry Giovanny González García, Luciano Grisales Londoño, Elizabeth Jay-</w:t>
      </w:r>
      <w:proofErr w:type="spellStart"/>
      <w:r w:rsidRPr="00896E89">
        <w:rPr>
          <w:rFonts w:ascii="Times New Roman" w:eastAsia="Calibri" w:hAnsi="Times New Roman" w:cs="Times New Roman"/>
          <w:sz w:val="24"/>
          <w:szCs w:val="24"/>
        </w:rPr>
        <w:t>Pang</w:t>
      </w:r>
      <w:proofErr w:type="spellEnd"/>
      <w:r w:rsidRPr="00896E89">
        <w:rPr>
          <w:rFonts w:ascii="Times New Roman" w:eastAsia="Calibri" w:hAnsi="Times New Roman" w:cs="Times New Roman"/>
          <w:sz w:val="24"/>
          <w:szCs w:val="24"/>
        </w:rPr>
        <w:t xml:space="preserve"> Díaz, Nubia López Morales, Álvaro Henry Monedero Rivera, Juan Carlos Reinales Agudelo, Rodrigo Arturo Rojas Lara, Óscar Hernán Sánchez </w:t>
      </w:r>
      <w:r w:rsidRPr="00896E89">
        <w:rPr>
          <w:rFonts w:ascii="Times New Roman" w:eastAsia="Calibri" w:hAnsi="Times New Roman" w:cs="Times New Roman"/>
          <w:sz w:val="24"/>
          <w:szCs w:val="24"/>
        </w:rPr>
        <w:lastRenderedPageBreak/>
        <w:t xml:space="preserve">León, Alejandro Alberto Vega Pérez, José Daniel López Jiménez, César Augusto </w:t>
      </w:r>
      <w:proofErr w:type="spellStart"/>
      <w:r w:rsidRPr="00896E89">
        <w:rPr>
          <w:rFonts w:ascii="Times New Roman" w:eastAsia="Calibri" w:hAnsi="Times New Roman" w:cs="Times New Roman"/>
          <w:sz w:val="24"/>
          <w:szCs w:val="24"/>
        </w:rPr>
        <w:t>Lorduy</w:t>
      </w:r>
      <w:proofErr w:type="spellEnd"/>
      <w:r w:rsidRPr="00896E89">
        <w:rPr>
          <w:rFonts w:ascii="Times New Roman" w:eastAsia="Calibri" w:hAnsi="Times New Roman" w:cs="Times New Roman"/>
          <w:sz w:val="24"/>
          <w:szCs w:val="24"/>
        </w:rPr>
        <w:t xml:space="preserve"> Maldonado, Jorge Méndez Hernández, Eloy Chichi Quintero Romero, Jaime Rodríguez Contreras, Alfredo Rafael Deluque Zuleta, Teresa de Jesús Enríquez Rosero, John Jairo Hoyos García, Jorge Eliécer Tamayo Marulanda, Mónica Liliana Valencia Montaña, Buenaventura León </w:t>
      </w:r>
      <w:proofErr w:type="spellStart"/>
      <w:r w:rsidRPr="00896E89">
        <w:rPr>
          <w:rFonts w:ascii="Times New Roman" w:eastAsia="Calibri" w:hAnsi="Times New Roman" w:cs="Times New Roman"/>
          <w:sz w:val="24"/>
          <w:szCs w:val="24"/>
        </w:rPr>
        <w:t>León</w:t>
      </w:r>
      <w:proofErr w:type="spellEnd"/>
      <w:r w:rsidRPr="00896E89">
        <w:rPr>
          <w:rFonts w:ascii="Times New Roman" w:eastAsia="Calibri" w:hAnsi="Times New Roman" w:cs="Times New Roman"/>
          <w:sz w:val="24"/>
          <w:szCs w:val="24"/>
        </w:rPr>
        <w:t xml:space="preserve">, Margarita María Restrepo Arango, Luis Alberto Albán Urbano, Carlos Alberto "Sergio" Carreño Marín, </w:t>
      </w:r>
      <w:proofErr w:type="spellStart"/>
      <w:r w:rsidRPr="00896E89">
        <w:rPr>
          <w:rFonts w:ascii="Times New Roman" w:eastAsia="Calibri" w:hAnsi="Times New Roman" w:cs="Times New Roman"/>
          <w:sz w:val="24"/>
          <w:szCs w:val="24"/>
        </w:rPr>
        <w:t>Luvi</w:t>
      </w:r>
      <w:proofErr w:type="spellEnd"/>
      <w:r w:rsidRPr="00896E89">
        <w:rPr>
          <w:rFonts w:ascii="Times New Roman" w:eastAsia="Calibri" w:hAnsi="Times New Roman" w:cs="Times New Roman"/>
          <w:sz w:val="24"/>
          <w:szCs w:val="24"/>
        </w:rPr>
        <w:t xml:space="preserve"> Katherine Miranda Peña, León Fredy Muñoz Lopera, María José Pizarro Rodríguez, Abel David Jaramillo Largo y Ángela María Robledo Gómez; y los HH.SS. Iván Darío Agudelo Zapata, Armando Alberto Benedetti Villaneda, Manuel </w:t>
      </w:r>
      <w:proofErr w:type="spellStart"/>
      <w:r w:rsidRPr="00896E89">
        <w:rPr>
          <w:rFonts w:ascii="Times New Roman" w:eastAsia="Calibri" w:hAnsi="Times New Roman" w:cs="Times New Roman"/>
          <w:sz w:val="24"/>
          <w:szCs w:val="24"/>
        </w:rPr>
        <w:t>Bitervo</w:t>
      </w:r>
      <w:proofErr w:type="spellEnd"/>
      <w:r w:rsidRPr="00896E89">
        <w:rPr>
          <w:rFonts w:ascii="Times New Roman" w:eastAsia="Calibri" w:hAnsi="Times New Roman" w:cs="Times New Roman"/>
          <w:sz w:val="24"/>
          <w:szCs w:val="24"/>
        </w:rPr>
        <w:t xml:space="preserve"> </w:t>
      </w:r>
      <w:proofErr w:type="spellStart"/>
      <w:r w:rsidRPr="00896E89">
        <w:rPr>
          <w:rFonts w:ascii="Times New Roman" w:eastAsia="Calibri" w:hAnsi="Times New Roman" w:cs="Times New Roman"/>
          <w:sz w:val="24"/>
          <w:szCs w:val="24"/>
        </w:rPr>
        <w:t>Palchucan</w:t>
      </w:r>
      <w:proofErr w:type="spellEnd"/>
      <w:r w:rsidRPr="00896E89">
        <w:rPr>
          <w:rFonts w:ascii="Times New Roman" w:eastAsia="Calibri" w:hAnsi="Times New Roman" w:cs="Times New Roman"/>
          <w:sz w:val="24"/>
          <w:szCs w:val="24"/>
        </w:rPr>
        <w:t xml:space="preserve"> </w:t>
      </w:r>
      <w:proofErr w:type="spellStart"/>
      <w:r w:rsidRPr="00896E89">
        <w:rPr>
          <w:rFonts w:ascii="Times New Roman" w:eastAsia="Calibri" w:hAnsi="Times New Roman" w:cs="Times New Roman"/>
          <w:sz w:val="24"/>
          <w:szCs w:val="24"/>
        </w:rPr>
        <w:t>Chingal</w:t>
      </w:r>
      <w:proofErr w:type="spellEnd"/>
      <w:r w:rsidRPr="00896E89">
        <w:rPr>
          <w:rFonts w:ascii="Times New Roman" w:eastAsia="Calibri" w:hAnsi="Times New Roman" w:cs="Times New Roman"/>
          <w:sz w:val="24"/>
          <w:szCs w:val="24"/>
        </w:rPr>
        <w:t xml:space="preserve">, Juan Luis Castro Córdoba, Angélica Lozano Correa, Luis Iván Marulanda Gómez, Jesús Alberto Castilla Salazar, Iván Cepeda Castro, </w:t>
      </w:r>
      <w:proofErr w:type="spellStart"/>
      <w:r w:rsidRPr="00896E89">
        <w:rPr>
          <w:rFonts w:ascii="Times New Roman" w:eastAsia="Calibri" w:hAnsi="Times New Roman" w:cs="Times New Roman"/>
          <w:sz w:val="24"/>
          <w:szCs w:val="24"/>
        </w:rPr>
        <w:t>Alexánder</w:t>
      </w:r>
      <w:proofErr w:type="spellEnd"/>
      <w:r w:rsidRPr="00896E89">
        <w:rPr>
          <w:rFonts w:ascii="Times New Roman" w:eastAsia="Calibri" w:hAnsi="Times New Roman" w:cs="Times New Roman"/>
          <w:sz w:val="24"/>
          <w:szCs w:val="24"/>
        </w:rPr>
        <w:t xml:space="preserve"> López Maya y Feliciano Valencia Medina. </w:t>
      </w:r>
    </w:p>
    <w:p w14:paraId="323C60C6" w14:textId="51595AFA" w:rsidR="00574EA9" w:rsidRPr="00896E89" w:rsidRDefault="00574EA9" w:rsidP="00574EA9">
      <w:pPr>
        <w:jc w:val="both"/>
        <w:rPr>
          <w:rFonts w:ascii="Times New Roman" w:eastAsia="Calibri" w:hAnsi="Times New Roman" w:cs="Times New Roman"/>
          <w:sz w:val="24"/>
          <w:szCs w:val="24"/>
        </w:rPr>
      </w:pPr>
    </w:p>
    <w:p w14:paraId="6C041ADC" w14:textId="0985A957" w:rsidR="00574EA9" w:rsidRPr="00896E89" w:rsidRDefault="00574EA9" w:rsidP="009F77D8">
      <w:pPr>
        <w:jc w:val="both"/>
        <w:rPr>
          <w:rFonts w:ascii="Times New Roman" w:eastAsia="Calibri" w:hAnsi="Times New Roman" w:cs="Times New Roman"/>
          <w:sz w:val="24"/>
          <w:szCs w:val="24"/>
          <w:lang w:val="es-CO"/>
        </w:rPr>
      </w:pPr>
      <w:r w:rsidRPr="00896E89">
        <w:rPr>
          <w:rFonts w:ascii="Times New Roman" w:hAnsi="Times New Roman" w:cs="Times New Roman"/>
          <w:sz w:val="24"/>
          <w:szCs w:val="24"/>
          <w:lang w:val="es-CO"/>
        </w:rPr>
        <w:t xml:space="preserve">El </w:t>
      </w:r>
      <w:r w:rsidR="009F77D8" w:rsidRPr="00896E89">
        <w:rPr>
          <w:rFonts w:ascii="Times New Roman" w:eastAsia="Calibri" w:hAnsi="Times New Roman" w:cs="Times New Roman"/>
          <w:sz w:val="24"/>
          <w:szCs w:val="24"/>
        </w:rPr>
        <w:t>Proyecto de Acto Legislativo 01 de 2020 Senado “Por el cual se modifica el artículo 65 de la Constitución Política de Colombia” fue radicado el 20 de julio de 2020 por los HH.SS.</w:t>
      </w:r>
      <w:r w:rsidR="009F77D8" w:rsidRPr="00896E89">
        <w:rPr>
          <w:rFonts w:ascii="Times New Roman" w:hAnsi="Times New Roman" w:cs="Times New Roman"/>
          <w:sz w:val="24"/>
          <w:szCs w:val="24"/>
        </w:rPr>
        <w:t xml:space="preserve"> </w:t>
      </w:r>
      <w:r w:rsidR="009F77D8" w:rsidRPr="00896E89">
        <w:rPr>
          <w:rFonts w:ascii="Times New Roman" w:eastAsia="Calibri" w:hAnsi="Times New Roman" w:cs="Times New Roman"/>
          <w:sz w:val="24"/>
          <w:szCs w:val="24"/>
        </w:rPr>
        <w:t xml:space="preserve">Maritza Martínez Aristizábal, Miguel Amín </w:t>
      </w:r>
      <w:proofErr w:type="spellStart"/>
      <w:r w:rsidR="009F77D8" w:rsidRPr="00896E89">
        <w:rPr>
          <w:rFonts w:ascii="Times New Roman" w:eastAsia="Calibri" w:hAnsi="Times New Roman" w:cs="Times New Roman"/>
          <w:sz w:val="24"/>
          <w:szCs w:val="24"/>
        </w:rPr>
        <w:t>Escaf</w:t>
      </w:r>
      <w:proofErr w:type="spellEnd"/>
      <w:r w:rsidR="009F77D8" w:rsidRPr="00896E89">
        <w:rPr>
          <w:rFonts w:ascii="Times New Roman" w:eastAsia="Calibri" w:hAnsi="Times New Roman" w:cs="Times New Roman"/>
          <w:sz w:val="24"/>
          <w:szCs w:val="24"/>
        </w:rPr>
        <w:t xml:space="preserve">, Roy Leonardo Barreras Montealegre, John Moisés Besaile Fayad, Andrés García Zuccardi, Germán Darío Hoyos Giraldo, Juan Felipe Lemos Uribe, José Ritter López Peña, José David </w:t>
      </w:r>
      <w:proofErr w:type="spellStart"/>
      <w:r w:rsidR="009F77D8" w:rsidRPr="00896E89">
        <w:rPr>
          <w:rFonts w:ascii="Times New Roman" w:eastAsia="Calibri" w:hAnsi="Times New Roman" w:cs="Times New Roman"/>
          <w:sz w:val="24"/>
          <w:szCs w:val="24"/>
        </w:rPr>
        <w:t>Name</w:t>
      </w:r>
      <w:proofErr w:type="spellEnd"/>
      <w:r w:rsidR="009F77D8" w:rsidRPr="00896E89">
        <w:rPr>
          <w:rFonts w:ascii="Times New Roman" w:eastAsia="Calibri" w:hAnsi="Times New Roman" w:cs="Times New Roman"/>
          <w:sz w:val="24"/>
          <w:szCs w:val="24"/>
        </w:rPr>
        <w:t xml:space="preserve"> Cardozo, </w:t>
      </w:r>
      <w:proofErr w:type="spellStart"/>
      <w:r w:rsidR="009F77D8" w:rsidRPr="00896E89">
        <w:rPr>
          <w:rFonts w:ascii="Times New Roman" w:eastAsia="Calibri" w:hAnsi="Times New Roman" w:cs="Times New Roman"/>
          <w:sz w:val="24"/>
          <w:szCs w:val="24"/>
        </w:rPr>
        <w:t>Roosvelt</w:t>
      </w:r>
      <w:proofErr w:type="spellEnd"/>
      <w:r w:rsidR="009F77D8" w:rsidRPr="00896E89">
        <w:rPr>
          <w:rFonts w:ascii="Times New Roman" w:eastAsia="Calibri" w:hAnsi="Times New Roman" w:cs="Times New Roman"/>
          <w:sz w:val="24"/>
          <w:szCs w:val="24"/>
        </w:rPr>
        <w:t xml:space="preserve"> Rodríguez Rengifo y </w:t>
      </w:r>
      <w:proofErr w:type="spellStart"/>
      <w:r w:rsidR="009F77D8" w:rsidRPr="00896E89">
        <w:rPr>
          <w:rFonts w:ascii="Times New Roman" w:eastAsia="Calibri" w:hAnsi="Times New Roman" w:cs="Times New Roman"/>
          <w:sz w:val="24"/>
          <w:szCs w:val="24"/>
        </w:rPr>
        <w:t>Bérner</w:t>
      </w:r>
      <w:proofErr w:type="spellEnd"/>
      <w:r w:rsidR="009F77D8" w:rsidRPr="00896E89">
        <w:rPr>
          <w:rFonts w:ascii="Times New Roman" w:eastAsia="Calibri" w:hAnsi="Times New Roman" w:cs="Times New Roman"/>
          <w:sz w:val="24"/>
          <w:szCs w:val="24"/>
        </w:rPr>
        <w:t xml:space="preserve"> León Zambrano Eraso.</w:t>
      </w:r>
    </w:p>
    <w:p w14:paraId="4CAF2065" w14:textId="77777777" w:rsidR="00574EA9" w:rsidRPr="00896E89" w:rsidRDefault="00574EA9" w:rsidP="00574EA9">
      <w:pPr>
        <w:jc w:val="both"/>
        <w:rPr>
          <w:rFonts w:ascii="Times New Roman" w:hAnsi="Times New Roman" w:cs="Times New Roman"/>
          <w:sz w:val="24"/>
          <w:szCs w:val="24"/>
        </w:rPr>
      </w:pPr>
    </w:p>
    <w:p w14:paraId="2569CBB6" w14:textId="47B3504A" w:rsidR="009F77D8" w:rsidRPr="00896E89" w:rsidRDefault="009F77D8" w:rsidP="00574EA9">
      <w:pPr>
        <w:jc w:val="both"/>
        <w:rPr>
          <w:rFonts w:ascii="Times New Roman" w:hAnsi="Times New Roman" w:cs="Times New Roman"/>
          <w:sz w:val="24"/>
          <w:szCs w:val="24"/>
        </w:rPr>
      </w:pPr>
      <w:r w:rsidRPr="00896E89">
        <w:rPr>
          <w:rFonts w:ascii="Times New Roman" w:hAnsi="Times New Roman" w:cs="Times New Roman"/>
          <w:sz w:val="24"/>
          <w:szCs w:val="24"/>
        </w:rPr>
        <w:t xml:space="preserve">Ambas iniciativas fueron acumuladas, siendo designados como ponentes en la Comisión Primera de Cámara de Representantes los Honorables Representantes Julián Peinado Ramírez – coordinador –, Cesar Augusto </w:t>
      </w:r>
      <w:proofErr w:type="spellStart"/>
      <w:r w:rsidRPr="00896E89">
        <w:rPr>
          <w:rFonts w:ascii="Times New Roman" w:hAnsi="Times New Roman" w:cs="Times New Roman"/>
          <w:sz w:val="24"/>
          <w:szCs w:val="24"/>
        </w:rPr>
        <w:t>Lorduy</w:t>
      </w:r>
      <w:proofErr w:type="spellEnd"/>
      <w:r w:rsidRPr="00896E89">
        <w:rPr>
          <w:rFonts w:ascii="Times New Roman" w:hAnsi="Times New Roman" w:cs="Times New Roman"/>
          <w:sz w:val="24"/>
          <w:szCs w:val="24"/>
        </w:rPr>
        <w:t xml:space="preserve"> Maldonado, Alfredo Rafael Deluque Zuleta, Buenaventura León </w:t>
      </w:r>
      <w:proofErr w:type="spellStart"/>
      <w:r w:rsidRPr="00896E89">
        <w:rPr>
          <w:rFonts w:ascii="Times New Roman" w:hAnsi="Times New Roman" w:cs="Times New Roman"/>
          <w:sz w:val="24"/>
          <w:szCs w:val="24"/>
        </w:rPr>
        <w:t>León</w:t>
      </w:r>
      <w:proofErr w:type="spellEnd"/>
      <w:r w:rsidRPr="00896E89">
        <w:rPr>
          <w:rFonts w:ascii="Times New Roman" w:hAnsi="Times New Roman" w:cs="Times New Roman"/>
          <w:sz w:val="24"/>
          <w:szCs w:val="24"/>
        </w:rPr>
        <w:t xml:space="preserve">, Margarita María Restrepo Arango, Juanita </w:t>
      </w:r>
      <w:proofErr w:type="spellStart"/>
      <w:r w:rsidRPr="00896E89">
        <w:rPr>
          <w:rFonts w:ascii="Times New Roman" w:hAnsi="Times New Roman" w:cs="Times New Roman"/>
          <w:sz w:val="24"/>
          <w:szCs w:val="24"/>
        </w:rPr>
        <w:t>Maria</w:t>
      </w:r>
      <w:proofErr w:type="spellEnd"/>
      <w:r w:rsidRPr="00896E89">
        <w:rPr>
          <w:rFonts w:ascii="Times New Roman" w:hAnsi="Times New Roman" w:cs="Times New Roman"/>
          <w:sz w:val="24"/>
          <w:szCs w:val="24"/>
        </w:rPr>
        <w:t xml:space="preserve"> </w:t>
      </w:r>
      <w:proofErr w:type="spellStart"/>
      <w:r w:rsidRPr="00896E89">
        <w:rPr>
          <w:rFonts w:ascii="Times New Roman" w:hAnsi="Times New Roman" w:cs="Times New Roman"/>
          <w:sz w:val="24"/>
          <w:szCs w:val="24"/>
        </w:rPr>
        <w:t>Goebertus</w:t>
      </w:r>
      <w:proofErr w:type="spellEnd"/>
      <w:r w:rsidRPr="00896E89">
        <w:rPr>
          <w:rFonts w:ascii="Times New Roman" w:hAnsi="Times New Roman" w:cs="Times New Roman"/>
          <w:sz w:val="24"/>
          <w:szCs w:val="24"/>
        </w:rPr>
        <w:t xml:space="preserve"> Estrada, Carlos German Navas Talero, Luis Alberto Alban Urbano y Ángela María Robledo Gómez; los cuales firman la ponencia que se presenta en este documento. </w:t>
      </w:r>
    </w:p>
    <w:p w14:paraId="029063EE" w14:textId="77777777" w:rsidR="009F77D8" w:rsidRPr="00896E89" w:rsidRDefault="009F77D8" w:rsidP="00574EA9">
      <w:pPr>
        <w:jc w:val="both"/>
        <w:rPr>
          <w:rFonts w:ascii="Times New Roman" w:hAnsi="Times New Roman" w:cs="Times New Roman"/>
          <w:sz w:val="24"/>
          <w:szCs w:val="24"/>
        </w:rPr>
      </w:pPr>
    </w:p>
    <w:p w14:paraId="3DB85F05" w14:textId="521B644A" w:rsidR="007114EB" w:rsidRPr="00896E89" w:rsidRDefault="009F77D8" w:rsidP="009F77D8">
      <w:pPr>
        <w:pStyle w:val="Prrafodelista"/>
        <w:numPr>
          <w:ilvl w:val="0"/>
          <w:numId w:val="1"/>
        </w:numPr>
        <w:rPr>
          <w:rFonts w:ascii="Times New Roman" w:hAnsi="Times New Roman" w:cs="Times New Roman"/>
          <w:b/>
          <w:bCs/>
          <w:sz w:val="24"/>
          <w:szCs w:val="24"/>
        </w:rPr>
      </w:pPr>
      <w:r w:rsidRPr="00896E89">
        <w:rPr>
          <w:rFonts w:ascii="Times New Roman" w:hAnsi="Times New Roman" w:cs="Times New Roman"/>
          <w:b/>
          <w:bCs/>
          <w:sz w:val="24"/>
          <w:szCs w:val="24"/>
        </w:rPr>
        <w:t xml:space="preserve">EXPOSICIÓN DE MOTIVOS </w:t>
      </w:r>
    </w:p>
    <w:p w14:paraId="7FE343AB" w14:textId="4B6CD4A6" w:rsidR="009F77D8" w:rsidRPr="00896E89" w:rsidRDefault="009F77D8" w:rsidP="009F77D8">
      <w:pPr>
        <w:rPr>
          <w:rFonts w:ascii="Times New Roman" w:hAnsi="Times New Roman" w:cs="Times New Roman"/>
          <w:b/>
          <w:bCs/>
          <w:sz w:val="24"/>
          <w:szCs w:val="24"/>
        </w:rPr>
      </w:pPr>
    </w:p>
    <w:p w14:paraId="2926AEA3" w14:textId="2AF098B3" w:rsidR="009F77D8" w:rsidRPr="00896E89" w:rsidRDefault="009F77D8" w:rsidP="009F77D8">
      <w:pPr>
        <w:pStyle w:val="Prrafodelista"/>
        <w:numPr>
          <w:ilvl w:val="1"/>
          <w:numId w:val="1"/>
        </w:numPr>
        <w:rPr>
          <w:rFonts w:ascii="Times New Roman" w:hAnsi="Times New Roman" w:cs="Times New Roman"/>
          <w:b/>
          <w:bCs/>
          <w:sz w:val="24"/>
          <w:szCs w:val="24"/>
        </w:rPr>
      </w:pPr>
      <w:r w:rsidRPr="00896E89">
        <w:rPr>
          <w:rFonts w:ascii="Times New Roman" w:hAnsi="Times New Roman" w:cs="Times New Roman"/>
          <w:b/>
          <w:bCs/>
          <w:sz w:val="24"/>
          <w:szCs w:val="24"/>
        </w:rPr>
        <w:t xml:space="preserve">Objeto de las iniciativas </w:t>
      </w:r>
    </w:p>
    <w:p w14:paraId="6B1EC5EB" w14:textId="5E0D2236" w:rsidR="009F77D8" w:rsidRPr="00896E89" w:rsidRDefault="009F77D8" w:rsidP="009F77D8">
      <w:pPr>
        <w:rPr>
          <w:rFonts w:ascii="Times New Roman" w:hAnsi="Times New Roman" w:cs="Times New Roman"/>
          <w:sz w:val="24"/>
          <w:szCs w:val="24"/>
        </w:rPr>
      </w:pPr>
    </w:p>
    <w:p w14:paraId="38E6592B" w14:textId="4DD5646D" w:rsidR="009F77D8" w:rsidRPr="00896E89" w:rsidRDefault="009F77D8" w:rsidP="00F60EBB">
      <w:pPr>
        <w:jc w:val="both"/>
        <w:rPr>
          <w:rFonts w:ascii="Times New Roman" w:hAnsi="Times New Roman" w:cs="Times New Roman"/>
          <w:sz w:val="24"/>
          <w:szCs w:val="24"/>
        </w:rPr>
      </w:pPr>
      <w:r w:rsidRPr="00896E89">
        <w:rPr>
          <w:rFonts w:ascii="Times New Roman" w:hAnsi="Times New Roman" w:cs="Times New Roman"/>
          <w:sz w:val="24"/>
          <w:szCs w:val="24"/>
        </w:rPr>
        <w:t xml:space="preserve">Los dos proyectos de acto legislativos acumulados tienen como pretensión modificar el artículo 65 de la Constitución Política de Colombia para </w:t>
      </w:r>
      <w:r w:rsidR="00F60EBB" w:rsidRPr="00896E89">
        <w:rPr>
          <w:rFonts w:ascii="Times New Roman" w:hAnsi="Times New Roman" w:cs="Times New Roman"/>
          <w:sz w:val="24"/>
          <w:szCs w:val="24"/>
        </w:rPr>
        <w:t xml:space="preserve">elevar a rango constitucional los derechos a la alimentación y nutrición adecuada, y a no padecer hambre. Así mismo, se crea un mandato específico para que el Estado garantice estos derechos. Por otro lado, el Acto Legislativo 287 de 2020 Cámara pretende modificar el artículo 45 de la constitución, para establecer el mismo derecho para los adolescentes. </w:t>
      </w:r>
    </w:p>
    <w:p w14:paraId="0E7A9A71" w14:textId="1083A9A9" w:rsidR="002A028C" w:rsidRPr="00896E89" w:rsidRDefault="002A028C" w:rsidP="00F60EBB">
      <w:pPr>
        <w:jc w:val="both"/>
        <w:rPr>
          <w:rFonts w:ascii="Times New Roman" w:hAnsi="Times New Roman" w:cs="Times New Roman"/>
          <w:sz w:val="24"/>
          <w:szCs w:val="24"/>
        </w:rPr>
      </w:pPr>
    </w:p>
    <w:p w14:paraId="26106C3F" w14:textId="47CB0564" w:rsidR="002A028C" w:rsidRPr="00896E89" w:rsidRDefault="002A028C" w:rsidP="002A028C">
      <w:pPr>
        <w:pStyle w:val="Prrafodelista"/>
        <w:numPr>
          <w:ilvl w:val="1"/>
          <w:numId w:val="1"/>
        </w:numPr>
        <w:jc w:val="both"/>
        <w:rPr>
          <w:rFonts w:ascii="Times New Roman" w:hAnsi="Times New Roman" w:cs="Times New Roman"/>
          <w:b/>
          <w:bCs/>
          <w:sz w:val="24"/>
          <w:szCs w:val="24"/>
        </w:rPr>
      </w:pPr>
      <w:r w:rsidRPr="00896E89">
        <w:rPr>
          <w:rFonts w:ascii="Times New Roman" w:hAnsi="Times New Roman" w:cs="Times New Roman"/>
          <w:b/>
          <w:bCs/>
          <w:sz w:val="24"/>
          <w:szCs w:val="24"/>
        </w:rPr>
        <w:t>Conveniencia del proyecto</w:t>
      </w:r>
    </w:p>
    <w:p w14:paraId="529ABA0C" w14:textId="09A3293B" w:rsidR="002A028C" w:rsidRPr="00896E89" w:rsidRDefault="002A028C" w:rsidP="002A028C">
      <w:pPr>
        <w:jc w:val="both"/>
        <w:rPr>
          <w:rFonts w:ascii="Times New Roman" w:hAnsi="Times New Roman" w:cs="Times New Roman"/>
          <w:b/>
          <w:bCs/>
          <w:sz w:val="24"/>
          <w:szCs w:val="24"/>
        </w:rPr>
      </w:pPr>
    </w:p>
    <w:p w14:paraId="3212E9D2" w14:textId="0AF01110" w:rsidR="002A028C" w:rsidRDefault="002A028C" w:rsidP="002A028C">
      <w:pPr>
        <w:jc w:val="both"/>
        <w:rPr>
          <w:rFonts w:ascii="Times New Roman" w:hAnsi="Times New Roman" w:cs="Times New Roman"/>
          <w:sz w:val="24"/>
          <w:szCs w:val="24"/>
        </w:rPr>
      </w:pPr>
      <w:r w:rsidRPr="00896E89">
        <w:rPr>
          <w:rFonts w:ascii="Times New Roman" w:hAnsi="Times New Roman" w:cs="Times New Roman"/>
          <w:sz w:val="24"/>
          <w:szCs w:val="24"/>
        </w:rPr>
        <w:t>De acuerdo con el Reporte Global sobre Crisis Alimentarias 2020, en 2019 se presentó el nivel más alto de inseguridad alimentaria aguda – es decir, aquella en que “(…) la incapacidad de una persona para consumir alimentos adecuados</w:t>
      </w:r>
      <w:r w:rsidRPr="00896E89">
        <w:rPr>
          <w:rFonts w:ascii="Times New Roman" w:hAnsi="Times New Roman" w:cs="Times New Roman"/>
          <w:sz w:val="24"/>
          <w:szCs w:val="24"/>
        </w:rPr>
        <w:br/>
      </w:r>
      <w:r w:rsidRPr="00896E89">
        <w:rPr>
          <w:rFonts w:ascii="Times New Roman" w:hAnsi="Times New Roman" w:cs="Times New Roman"/>
          <w:sz w:val="24"/>
          <w:szCs w:val="24"/>
        </w:rPr>
        <w:lastRenderedPageBreak/>
        <w:t>pone en peligro inmediato su vida o sus medios de subsistencia”</w:t>
      </w:r>
      <w:r w:rsidRPr="00896E89">
        <w:rPr>
          <w:rStyle w:val="Refdenotaalpie"/>
          <w:rFonts w:ascii="Times New Roman" w:hAnsi="Times New Roman" w:cs="Times New Roman"/>
          <w:sz w:val="24"/>
          <w:szCs w:val="24"/>
        </w:rPr>
        <w:footnoteReference w:id="1"/>
      </w:r>
      <w:r w:rsidRPr="00896E89">
        <w:rPr>
          <w:rFonts w:ascii="Times New Roman" w:hAnsi="Times New Roman" w:cs="Times New Roman"/>
          <w:sz w:val="24"/>
          <w:szCs w:val="24"/>
        </w:rPr>
        <w:t xml:space="preserve"> – desde que el informe comenzó a producirse en 2017. Aproximadamente 135 millones de personas se encuentran en ese nivel de inseguridad alimentaria, mientras que otros 183 millones están en riesgo de llegar a ese nivel</w:t>
      </w:r>
      <w:r w:rsidRPr="00896E89">
        <w:rPr>
          <w:rStyle w:val="Refdenotaalpie"/>
          <w:rFonts w:ascii="Times New Roman" w:hAnsi="Times New Roman" w:cs="Times New Roman"/>
          <w:sz w:val="24"/>
          <w:szCs w:val="24"/>
        </w:rPr>
        <w:footnoteReference w:id="2"/>
      </w:r>
      <w:r w:rsidRPr="00896E89">
        <w:rPr>
          <w:rFonts w:ascii="Times New Roman" w:hAnsi="Times New Roman" w:cs="Times New Roman"/>
          <w:sz w:val="24"/>
          <w:szCs w:val="24"/>
        </w:rPr>
        <w:t>. Aunque el reporte se hizo antes de que la enfermedad causada por el COVID-19 se convirtiera en una pandemia, en este sostiene lo siguiente:</w:t>
      </w:r>
    </w:p>
    <w:p w14:paraId="36CB56B3" w14:textId="77777777" w:rsidR="00FE6A05" w:rsidRPr="00896E89" w:rsidRDefault="00FE6A05" w:rsidP="002A028C">
      <w:pPr>
        <w:jc w:val="both"/>
        <w:rPr>
          <w:rFonts w:ascii="Times New Roman" w:hAnsi="Times New Roman" w:cs="Times New Roman"/>
          <w:sz w:val="24"/>
          <w:szCs w:val="24"/>
        </w:rPr>
      </w:pPr>
    </w:p>
    <w:p w14:paraId="1AA0ECB7" w14:textId="31C9DA3C" w:rsidR="002A028C" w:rsidRDefault="002A028C" w:rsidP="002A028C">
      <w:pPr>
        <w:ind w:left="709" w:right="709"/>
        <w:jc w:val="both"/>
        <w:rPr>
          <w:rFonts w:ascii="Times New Roman" w:hAnsi="Times New Roman" w:cs="Times New Roman"/>
          <w:sz w:val="24"/>
          <w:szCs w:val="24"/>
        </w:rPr>
      </w:pPr>
      <w:r w:rsidRPr="00896E89">
        <w:rPr>
          <w:rFonts w:ascii="Times New Roman" w:hAnsi="Times New Roman" w:cs="Times New Roman"/>
          <w:sz w:val="24"/>
          <w:szCs w:val="24"/>
          <w:lang w:val="es-CO"/>
        </w:rPr>
        <w:t>“La pandemia probablemente devastará l</w:t>
      </w:r>
      <w:r w:rsidRPr="00896E89">
        <w:rPr>
          <w:rFonts w:ascii="Times New Roman" w:hAnsi="Times New Roman" w:cs="Times New Roman"/>
          <w:sz w:val="24"/>
          <w:szCs w:val="24"/>
        </w:rPr>
        <w:t xml:space="preserve">os medios de subsistencia y la seguridad alimentaria, especialmente en contextos de fragilidad y particularmente para las personas más vulnerables que trabajan en los sectores agrícolas y no agrícolas informales. </w:t>
      </w:r>
      <w:r w:rsidRPr="00896E89">
        <w:rPr>
          <w:rFonts w:ascii="Times New Roman" w:hAnsi="Times New Roman" w:cs="Times New Roman"/>
          <w:sz w:val="24"/>
          <w:szCs w:val="24"/>
          <w:lang w:val="es-CO"/>
        </w:rPr>
        <w:t>Una recesión global probablemente interrumpa las ca</w:t>
      </w:r>
      <w:r w:rsidRPr="00896E89">
        <w:rPr>
          <w:rFonts w:ascii="Times New Roman" w:hAnsi="Times New Roman" w:cs="Times New Roman"/>
          <w:sz w:val="24"/>
          <w:szCs w:val="24"/>
        </w:rPr>
        <w:t>d</w:t>
      </w:r>
      <w:proofErr w:type="spellStart"/>
      <w:r w:rsidRPr="00896E89">
        <w:rPr>
          <w:rFonts w:ascii="Times New Roman" w:hAnsi="Times New Roman" w:cs="Times New Roman"/>
          <w:sz w:val="24"/>
          <w:szCs w:val="24"/>
          <w:lang w:val="es-CO"/>
        </w:rPr>
        <w:t>enas</w:t>
      </w:r>
      <w:proofErr w:type="spellEnd"/>
      <w:r w:rsidRPr="00896E89">
        <w:rPr>
          <w:rFonts w:ascii="Times New Roman" w:hAnsi="Times New Roman" w:cs="Times New Roman"/>
          <w:sz w:val="24"/>
          <w:szCs w:val="24"/>
          <w:lang w:val="es-CO"/>
        </w:rPr>
        <w:t xml:space="preserve"> de suministro d</w:t>
      </w:r>
      <w:proofErr w:type="spellStart"/>
      <w:r w:rsidRPr="00896E89">
        <w:rPr>
          <w:rFonts w:ascii="Times New Roman" w:hAnsi="Times New Roman" w:cs="Times New Roman"/>
          <w:sz w:val="24"/>
          <w:szCs w:val="24"/>
        </w:rPr>
        <w:t>e</w:t>
      </w:r>
      <w:proofErr w:type="spellEnd"/>
      <w:r w:rsidRPr="00896E89">
        <w:rPr>
          <w:rFonts w:ascii="Times New Roman" w:hAnsi="Times New Roman" w:cs="Times New Roman"/>
          <w:sz w:val="24"/>
          <w:szCs w:val="24"/>
        </w:rPr>
        <w:t xml:space="preserve"> alimento”.</w:t>
      </w:r>
    </w:p>
    <w:p w14:paraId="27C5F508" w14:textId="77777777" w:rsidR="00FE6A05" w:rsidRPr="00896E89" w:rsidRDefault="00FE6A05" w:rsidP="002A028C">
      <w:pPr>
        <w:ind w:left="709" w:right="709"/>
        <w:jc w:val="both"/>
        <w:rPr>
          <w:rFonts w:ascii="Times New Roman" w:hAnsi="Times New Roman" w:cs="Times New Roman"/>
          <w:sz w:val="24"/>
          <w:szCs w:val="24"/>
          <w:lang w:val="es-CO"/>
        </w:rPr>
      </w:pPr>
    </w:p>
    <w:p w14:paraId="2AA5F0A3" w14:textId="70560773" w:rsidR="002A028C" w:rsidRDefault="002A028C" w:rsidP="002A028C">
      <w:pPr>
        <w:jc w:val="both"/>
        <w:rPr>
          <w:rFonts w:ascii="Times New Roman" w:hAnsi="Times New Roman" w:cs="Times New Roman"/>
          <w:sz w:val="24"/>
          <w:szCs w:val="24"/>
        </w:rPr>
      </w:pPr>
      <w:r w:rsidRPr="00896E89">
        <w:rPr>
          <w:rFonts w:ascii="Times New Roman" w:hAnsi="Times New Roman" w:cs="Times New Roman"/>
          <w:sz w:val="24"/>
          <w:szCs w:val="24"/>
        </w:rPr>
        <w:t>Según la Organización Mundial para la Alimentación y la Agricultura (por su sigla en inglés FAO), en Colombia padecieron hambre al menos 2,4 millones de personas en el trienio 2016-2018 y la baja talla para la edad afecta a medio millón de niños menores de 5 años</w:t>
      </w:r>
      <w:r w:rsidRPr="00896E89">
        <w:rPr>
          <w:rStyle w:val="Refdenotaalpie"/>
          <w:rFonts w:ascii="Times New Roman" w:hAnsi="Times New Roman" w:cs="Times New Roman"/>
          <w:sz w:val="24"/>
          <w:szCs w:val="24"/>
        </w:rPr>
        <w:footnoteReference w:id="3"/>
      </w:r>
      <w:r w:rsidRPr="00896E89">
        <w:rPr>
          <w:rFonts w:ascii="Times New Roman" w:hAnsi="Times New Roman" w:cs="Times New Roman"/>
          <w:sz w:val="24"/>
          <w:szCs w:val="24"/>
        </w:rPr>
        <w:t>.</w:t>
      </w:r>
    </w:p>
    <w:p w14:paraId="2F68B4EC" w14:textId="77777777" w:rsidR="00FE6A05" w:rsidRPr="00896E89" w:rsidRDefault="00FE6A05" w:rsidP="002A028C">
      <w:pPr>
        <w:jc w:val="both"/>
        <w:rPr>
          <w:rFonts w:ascii="Times New Roman" w:hAnsi="Times New Roman" w:cs="Times New Roman"/>
          <w:sz w:val="24"/>
          <w:szCs w:val="24"/>
        </w:rPr>
      </w:pPr>
    </w:p>
    <w:p w14:paraId="3B0D73FC" w14:textId="77777777" w:rsidR="002A028C" w:rsidRPr="00896E89" w:rsidRDefault="002A028C" w:rsidP="002A028C">
      <w:pPr>
        <w:jc w:val="both"/>
        <w:rPr>
          <w:rFonts w:ascii="Times New Roman" w:hAnsi="Times New Roman" w:cs="Times New Roman"/>
          <w:sz w:val="24"/>
          <w:szCs w:val="24"/>
        </w:rPr>
      </w:pPr>
      <w:r w:rsidRPr="00896E89">
        <w:rPr>
          <w:rFonts w:ascii="Times New Roman" w:hAnsi="Times New Roman" w:cs="Times New Roman"/>
          <w:sz w:val="24"/>
          <w:szCs w:val="24"/>
        </w:rPr>
        <w:t>Por su parte, la última Encuesta Nacional de Situación Nutricional de Colombia, ENSIN 2015</w:t>
      </w:r>
      <w:r w:rsidRPr="00896E89">
        <w:rPr>
          <w:rStyle w:val="Refdenotaalpie"/>
          <w:rFonts w:ascii="Times New Roman" w:hAnsi="Times New Roman" w:cs="Times New Roman"/>
          <w:sz w:val="24"/>
          <w:szCs w:val="24"/>
        </w:rPr>
        <w:footnoteReference w:id="4"/>
      </w:r>
      <w:r w:rsidRPr="00896E89">
        <w:rPr>
          <w:rFonts w:ascii="Times New Roman" w:hAnsi="Times New Roman" w:cs="Times New Roman"/>
          <w:sz w:val="24"/>
          <w:szCs w:val="24"/>
        </w:rPr>
        <w:t xml:space="preserve"> es reveladora sobre la precariedad del panorama sobre el acceso a alimentos y el disfrute del derecho a la alimentación por parte de la población colombiana. Los datos revelan que más de la mitad de los hogares colombianos continúa con dificultades para conseguir alimentos, en la medida en que el 54.2% de ellos se encuentran en inseguridad alimentaria. </w:t>
      </w:r>
    </w:p>
    <w:p w14:paraId="0E274B10" w14:textId="199B054C" w:rsidR="002A028C" w:rsidRDefault="002A028C" w:rsidP="002A028C">
      <w:pPr>
        <w:jc w:val="both"/>
        <w:rPr>
          <w:rFonts w:ascii="Times New Roman" w:hAnsi="Times New Roman" w:cs="Times New Roman"/>
          <w:sz w:val="24"/>
          <w:szCs w:val="24"/>
        </w:rPr>
      </w:pPr>
      <w:r w:rsidRPr="00896E89">
        <w:rPr>
          <w:rFonts w:ascii="Times New Roman" w:hAnsi="Times New Roman" w:cs="Times New Roman"/>
          <w:sz w:val="24"/>
          <w:szCs w:val="24"/>
        </w:rPr>
        <w:t>De igual modo, esta Encuesta revela que ocho de cada diez hogares de población indígena y cinco de cada diez del resto de la población se encuentran en inseguridad alimentaria, así como seis de cada diez hogares liderados por mujeres y cuatro de cada diez liderados por hombres tienen este mismo problema.</w:t>
      </w:r>
    </w:p>
    <w:p w14:paraId="6B26E9BB" w14:textId="4EE1A2D1" w:rsidR="004C3475" w:rsidRDefault="004C3475" w:rsidP="002A028C">
      <w:pPr>
        <w:jc w:val="both"/>
        <w:rPr>
          <w:rFonts w:ascii="Times New Roman" w:hAnsi="Times New Roman" w:cs="Times New Roman"/>
          <w:sz w:val="24"/>
          <w:szCs w:val="24"/>
        </w:rPr>
      </w:pPr>
    </w:p>
    <w:p w14:paraId="41301DBE" w14:textId="6E6AF5BC" w:rsidR="004C3475" w:rsidRPr="004C3475" w:rsidRDefault="004C3475" w:rsidP="002A028C">
      <w:pPr>
        <w:contextualSpacing/>
        <w:jc w:val="both"/>
        <w:rPr>
          <w:rFonts w:ascii="Times New Roman" w:hAnsi="Times New Roman"/>
          <w:sz w:val="24"/>
          <w:szCs w:val="24"/>
          <w:lang w:eastAsia="es-ES"/>
        </w:rPr>
      </w:pPr>
      <w:r w:rsidRPr="00280E8E">
        <w:rPr>
          <w:rFonts w:ascii="Times New Roman" w:hAnsi="Times New Roman"/>
          <w:sz w:val="24"/>
          <w:szCs w:val="24"/>
          <w:lang w:eastAsia="es-ES"/>
        </w:rPr>
        <w:t xml:space="preserve">Esta información se puede desagregar en diferentes variables, a saber: </w:t>
      </w:r>
      <w:r w:rsidRPr="00280E8E">
        <w:rPr>
          <w:rFonts w:ascii="Times New Roman" w:hAnsi="Times New Roman"/>
          <w:b/>
          <w:sz w:val="24"/>
          <w:szCs w:val="24"/>
          <w:lang w:eastAsia="es-ES"/>
        </w:rPr>
        <w:t>(1)</w:t>
      </w:r>
      <w:r w:rsidRPr="00280E8E">
        <w:rPr>
          <w:rFonts w:ascii="Times New Roman" w:hAnsi="Times New Roman"/>
          <w:sz w:val="24"/>
          <w:szCs w:val="24"/>
          <w:lang w:eastAsia="es-ES"/>
        </w:rPr>
        <w:t xml:space="preserve"> </w:t>
      </w:r>
      <w:r w:rsidRPr="00280E8E">
        <w:rPr>
          <w:rFonts w:ascii="Times New Roman" w:hAnsi="Times New Roman"/>
          <w:b/>
          <w:sz w:val="24"/>
          <w:szCs w:val="24"/>
          <w:lang w:eastAsia="es-ES"/>
        </w:rPr>
        <w:t>Género:</w:t>
      </w:r>
      <w:r w:rsidRPr="00280E8E">
        <w:rPr>
          <w:rFonts w:ascii="Times New Roman" w:hAnsi="Times New Roman"/>
          <w:sz w:val="24"/>
          <w:szCs w:val="24"/>
          <w:lang w:eastAsia="es-ES"/>
        </w:rPr>
        <w:t xml:space="preserve"> de los hogares que se encuentran en esta situación, se tiene que el 57% tienen una jefatura femenina y un 52% tienen a un hombre en cabeza del hogar; </w:t>
      </w:r>
      <w:r w:rsidRPr="00280E8E">
        <w:rPr>
          <w:rFonts w:ascii="Times New Roman" w:hAnsi="Times New Roman"/>
          <w:b/>
          <w:sz w:val="24"/>
          <w:szCs w:val="24"/>
          <w:lang w:eastAsia="es-ES"/>
        </w:rPr>
        <w:t xml:space="preserve">(2) Pertenencia étnica: </w:t>
      </w:r>
      <w:r w:rsidRPr="00280E8E">
        <w:rPr>
          <w:rFonts w:ascii="Times New Roman" w:hAnsi="Times New Roman"/>
          <w:sz w:val="24"/>
          <w:szCs w:val="24"/>
          <w:lang w:eastAsia="es-ES"/>
        </w:rPr>
        <w:t xml:space="preserve">77% de los hogares indígenas se encuentran en inseguridad alimentaria. Esta condición se replica para el 68.9% de los hogares afrodescendientes y para el reseñado 54.2% de los hogares que se consideran sin pertenencia étnica; </w:t>
      </w:r>
      <w:r w:rsidRPr="00280E8E">
        <w:rPr>
          <w:rFonts w:ascii="Times New Roman" w:hAnsi="Times New Roman"/>
          <w:b/>
          <w:sz w:val="24"/>
          <w:szCs w:val="24"/>
          <w:lang w:eastAsia="es-ES"/>
        </w:rPr>
        <w:t xml:space="preserve">(3) Regiones: </w:t>
      </w:r>
      <w:r w:rsidRPr="00280E8E">
        <w:rPr>
          <w:rFonts w:ascii="Times New Roman" w:hAnsi="Times New Roman"/>
          <w:sz w:val="24"/>
          <w:szCs w:val="24"/>
          <w:lang w:eastAsia="es-ES"/>
        </w:rPr>
        <w:t xml:space="preserve">La inseguridad alimentaria de los hogares </w:t>
      </w:r>
      <w:r w:rsidRPr="00280E8E">
        <w:rPr>
          <w:rFonts w:ascii="Times New Roman" w:hAnsi="Times New Roman"/>
          <w:sz w:val="24"/>
          <w:szCs w:val="24"/>
          <w:lang w:eastAsia="es-ES"/>
        </w:rPr>
        <w:lastRenderedPageBreak/>
        <w:t xml:space="preserve">en las regiones se reporta de la siguiente forma: 65% del total de los hogares de la región atlántica; 64% de la región de la Orinoquia y la Amazonia; 57.4% de la Pacífica; 52% de la Oriental; 50,2% en Bogotá y 49.3% en la Central; </w:t>
      </w:r>
      <w:r w:rsidRPr="00280E8E">
        <w:rPr>
          <w:rFonts w:ascii="Times New Roman" w:hAnsi="Times New Roman"/>
          <w:b/>
          <w:sz w:val="24"/>
          <w:szCs w:val="24"/>
          <w:lang w:eastAsia="es-ES"/>
        </w:rPr>
        <w:t xml:space="preserve">(4) Índice de riqueza: </w:t>
      </w:r>
      <w:r w:rsidRPr="00280E8E">
        <w:rPr>
          <w:rFonts w:ascii="Times New Roman" w:hAnsi="Times New Roman"/>
          <w:sz w:val="24"/>
          <w:szCs w:val="24"/>
          <w:lang w:eastAsia="es-ES"/>
        </w:rPr>
        <w:t>71.2% de los hogares con ingresos más bajos se encuentran en situación de inseguridad alimentaria; esta situación se replica para el 62.7% de quienes reportan índice de riqueza bajo; 49.3% de quienes reportan índice de riqueza medio y 33% de quienes reportan ingresos altos.</w:t>
      </w:r>
    </w:p>
    <w:p w14:paraId="76012709" w14:textId="72661E45" w:rsidR="00FE6A05" w:rsidRDefault="00FE6A05" w:rsidP="002A028C">
      <w:pPr>
        <w:jc w:val="both"/>
        <w:rPr>
          <w:rFonts w:ascii="Times New Roman" w:hAnsi="Times New Roman" w:cs="Times New Roman"/>
          <w:sz w:val="24"/>
          <w:szCs w:val="24"/>
        </w:rPr>
      </w:pPr>
    </w:p>
    <w:p w14:paraId="52A42092" w14:textId="0594A073" w:rsidR="004C3475" w:rsidRPr="004C3475" w:rsidRDefault="004C3475" w:rsidP="002A028C">
      <w:pPr>
        <w:contextualSpacing/>
        <w:jc w:val="both"/>
        <w:rPr>
          <w:rFonts w:ascii="Times New Roman" w:hAnsi="Times New Roman"/>
          <w:sz w:val="24"/>
          <w:szCs w:val="24"/>
          <w:lang w:eastAsia="es-ES"/>
        </w:rPr>
      </w:pPr>
      <w:r w:rsidRPr="00280E8E">
        <w:rPr>
          <w:rFonts w:ascii="Times New Roman" w:hAnsi="Times New Roman"/>
          <w:sz w:val="24"/>
          <w:szCs w:val="24"/>
          <w:lang w:eastAsia="es-ES"/>
        </w:rPr>
        <w:t>En lo que respecta a la situación de la infancia y la niñez, la ENSIN 2015 resalta que La desnutrición crónica (que mide el retraso en la talla para la edad) se situó en un 10,8% y la desnutrición aguda en menores de 5 años se ubicó en 2,3%, muy por encima del 0.9% evidenciado en la ENSIN 2010.</w:t>
      </w:r>
    </w:p>
    <w:p w14:paraId="282D7173" w14:textId="77777777" w:rsidR="004C3475" w:rsidRPr="00896E89" w:rsidRDefault="004C3475" w:rsidP="002A028C">
      <w:pPr>
        <w:jc w:val="both"/>
        <w:rPr>
          <w:rFonts w:ascii="Times New Roman" w:hAnsi="Times New Roman" w:cs="Times New Roman"/>
          <w:sz w:val="24"/>
          <w:szCs w:val="24"/>
        </w:rPr>
      </w:pPr>
    </w:p>
    <w:p w14:paraId="1477675A" w14:textId="2543896B" w:rsidR="002A028C" w:rsidRDefault="002A028C" w:rsidP="002A028C">
      <w:pPr>
        <w:jc w:val="both"/>
        <w:rPr>
          <w:rFonts w:ascii="Times New Roman" w:hAnsi="Times New Roman" w:cs="Times New Roman"/>
          <w:sz w:val="24"/>
          <w:szCs w:val="24"/>
        </w:rPr>
      </w:pPr>
      <w:r w:rsidRPr="00896E89">
        <w:rPr>
          <w:rFonts w:ascii="Times New Roman" w:hAnsi="Times New Roman" w:cs="Times New Roman"/>
          <w:sz w:val="24"/>
          <w:szCs w:val="24"/>
        </w:rPr>
        <w:t>Con respecto a la población entre 13 y 17 años rango de edad en el que se demanda mayor consumo de alimentos ricos en energía, proteínas y micronutrientes, sector de la población a la cual se dirige una parte importante de este proyecto legislativo, la ENSIN revela que la desnutrición crónica afecta a uno de cada diez adolescentes, especialmente a los indígenas en un 36,5%, a los más pobres de la población en un 14,9% y a quienes viven en zonas rurales en un 15,7%. Además, se encontró que uno de cada cinco adolescentes (17,9%) presenta un exceso de peso derivado del consumo de alimentación que aporta pocos nutrientes.</w:t>
      </w:r>
    </w:p>
    <w:p w14:paraId="2AFB9F2B" w14:textId="77777777" w:rsidR="00FE6A05" w:rsidRPr="00896E89" w:rsidRDefault="00FE6A05" w:rsidP="002A028C">
      <w:pPr>
        <w:jc w:val="both"/>
        <w:rPr>
          <w:rFonts w:ascii="Times New Roman" w:hAnsi="Times New Roman" w:cs="Times New Roman"/>
          <w:sz w:val="24"/>
          <w:szCs w:val="24"/>
        </w:rPr>
      </w:pPr>
    </w:p>
    <w:p w14:paraId="43C4A68F" w14:textId="12161189" w:rsidR="002A028C" w:rsidRDefault="002A028C" w:rsidP="002A028C">
      <w:pPr>
        <w:jc w:val="both"/>
        <w:rPr>
          <w:rFonts w:ascii="Times New Roman" w:hAnsi="Times New Roman" w:cs="Times New Roman"/>
          <w:sz w:val="24"/>
          <w:szCs w:val="24"/>
        </w:rPr>
      </w:pPr>
      <w:r w:rsidRPr="00896E89">
        <w:rPr>
          <w:rFonts w:ascii="Times New Roman" w:hAnsi="Times New Roman" w:cs="Times New Roman"/>
          <w:sz w:val="24"/>
          <w:szCs w:val="24"/>
        </w:rPr>
        <w:t xml:space="preserve">Como se pretende con este proyecto para Colombia, muchos otros Estados han realizado un reconocimiento explícito del derecho a la alimentación constitucionalmente. Países como Brasil, Ecuador, Guatemala, Nicaragua, Guyana, Panamá, Haití y </w:t>
      </w:r>
      <w:proofErr w:type="spellStart"/>
      <w:r w:rsidRPr="00896E89">
        <w:rPr>
          <w:rFonts w:ascii="Times New Roman" w:hAnsi="Times New Roman" w:cs="Times New Roman"/>
          <w:sz w:val="24"/>
          <w:szCs w:val="24"/>
        </w:rPr>
        <w:t>Suriname</w:t>
      </w:r>
      <w:proofErr w:type="spellEnd"/>
      <w:r w:rsidRPr="00896E89">
        <w:rPr>
          <w:rFonts w:ascii="Times New Roman" w:hAnsi="Times New Roman" w:cs="Times New Roman"/>
          <w:sz w:val="24"/>
          <w:szCs w:val="24"/>
        </w:rPr>
        <w:t xml:space="preserve"> han realizado un reconocimiento explícito del derecho a la alimentación constitucionalmente. Otros países como Honduras, Brasil, Costa Rica, Cuba, Ecuador, Guatemala, Panamá, Bolivia, Paraguay, Perú, República Dominicana y Uruguay lo han constitucionalizado como componente de otros derechos o circunscribiéndolo a poblaciones de especial protección. </w:t>
      </w:r>
    </w:p>
    <w:p w14:paraId="73AB713C" w14:textId="77777777" w:rsidR="00FE6A05" w:rsidRPr="00896E89" w:rsidRDefault="00FE6A05" w:rsidP="002A028C">
      <w:pPr>
        <w:jc w:val="both"/>
        <w:rPr>
          <w:rFonts w:ascii="Times New Roman" w:hAnsi="Times New Roman" w:cs="Times New Roman"/>
          <w:sz w:val="24"/>
          <w:szCs w:val="24"/>
        </w:rPr>
      </w:pPr>
    </w:p>
    <w:p w14:paraId="2E1F9E12" w14:textId="2C9E0075" w:rsidR="004C3475" w:rsidRDefault="002A028C" w:rsidP="002A028C">
      <w:pPr>
        <w:jc w:val="both"/>
        <w:rPr>
          <w:rFonts w:ascii="Times New Roman" w:hAnsi="Times New Roman" w:cs="Times New Roman"/>
          <w:i/>
          <w:sz w:val="24"/>
          <w:szCs w:val="24"/>
        </w:rPr>
      </w:pPr>
      <w:r w:rsidRPr="00896E89">
        <w:rPr>
          <w:rFonts w:ascii="Times New Roman" w:hAnsi="Times New Roman" w:cs="Times New Roman"/>
          <w:sz w:val="24"/>
          <w:szCs w:val="24"/>
        </w:rPr>
        <w:t xml:space="preserve">Constitucionalizar el derecho a la alimentación implica adoptar dos normas diferentes. Por un lado, una que puede clasificarse como derecho de segunda generación, es decir un derecho económico, social y cultural, de realización progresiva que es el </w:t>
      </w:r>
      <w:r w:rsidRPr="00896E89">
        <w:rPr>
          <w:rFonts w:ascii="Times New Roman" w:hAnsi="Times New Roman" w:cs="Times New Roman"/>
          <w:i/>
          <w:sz w:val="24"/>
          <w:szCs w:val="24"/>
        </w:rPr>
        <w:t>derecho a una alimentación adecuada</w:t>
      </w:r>
      <w:r w:rsidRPr="00896E89">
        <w:rPr>
          <w:rFonts w:ascii="Times New Roman" w:hAnsi="Times New Roman" w:cs="Times New Roman"/>
          <w:sz w:val="24"/>
          <w:szCs w:val="24"/>
        </w:rPr>
        <w:t xml:space="preserve">. Por otro lado, uno que en el marco de clasificación de los derechos en Colombia se denominaría como fundamental que es el </w:t>
      </w:r>
      <w:r w:rsidRPr="00896E89">
        <w:rPr>
          <w:rFonts w:ascii="Times New Roman" w:hAnsi="Times New Roman" w:cs="Times New Roman"/>
          <w:i/>
          <w:sz w:val="24"/>
          <w:szCs w:val="24"/>
        </w:rPr>
        <w:t xml:space="preserve">derecho fundamental a </w:t>
      </w:r>
      <w:r w:rsidR="004C3475">
        <w:rPr>
          <w:rFonts w:ascii="Times New Roman" w:hAnsi="Times New Roman" w:cs="Times New Roman"/>
          <w:i/>
          <w:sz w:val="24"/>
          <w:szCs w:val="24"/>
        </w:rPr>
        <w:t>n</w:t>
      </w:r>
      <w:r w:rsidRPr="00896E89">
        <w:rPr>
          <w:rFonts w:ascii="Times New Roman" w:hAnsi="Times New Roman" w:cs="Times New Roman"/>
          <w:i/>
          <w:sz w:val="24"/>
          <w:szCs w:val="24"/>
        </w:rPr>
        <w:t>o padecer hambre</w:t>
      </w:r>
      <w:r w:rsidR="004C3475">
        <w:rPr>
          <w:rFonts w:ascii="Times New Roman" w:hAnsi="Times New Roman" w:cs="Times New Roman"/>
          <w:i/>
          <w:sz w:val="24"/>
          <w:szCs w:val="24"/>
        </w:rPr>
        <w:t>.</w:t>
      </w:r>
    </w:p>
    <w:p w14:paraId="6A36A4FF" w14:textId="442DDA61" w:rsidR="002A028C" w:rsidRPr="00896E89" w:rsidRDefault="002A028C" w:rsidP="002A028C">
      <w:pPr>
        <w:jc w:val="both"/>
        <w:rPr>
          <w:rFonts w:ascii="Times New Roman" w:hAnsi="Times New Roman" w:cs="Times New Roman"/>
          <w:b/>
          <w:i/>
          <w:sz w:val="24"/>
          <w:szCs w:val="24"/>
        </w:rPr>
      </w:pPr>
      <w:r w:rsidRPr="00896E89">
        <w:rPr>
          <w:rFonts w:ascii="Times New Roman" w:hAnsi="Times New Roman" w:cs="Times New Roman"/>
          <w:b/>
          <w:i/>
          <w:sz w:val="24"/>
          <w:szCs w:val="24"/>
        </w:rPr>
        <w:t xml:space="preserve"> </w:t>
      </w:r>
    </w:p>
    <w:p w14:paraId="4D64BDCD" w14:textId="77777777" w:rsidR="002A028C" w:rsidRPr="00896E89" w:rsidRDefault="002A028C" w:rsidP="002A028C">
      <w:pPr>
        <w:jc w:val="both"/>
        <w:rPr>
          <w:rFonts w:ascii="Times New Roman" w:hAnsi="Times New Roman" w:cs="Times New Roman"/>
          <w:sz w:val="24"/>
          <w:szCs w:val="24"/>
        </w:rPr>
      </w:pPr>
      <w:r w:rsidRPr="00896E89">
        <w:rPr>
          <w:rFonts w:ascii="Times New Roman" w:hAnsi="Times New Roman" w:cs="Times New Roman"/>
          <w:sz w:val="24"/>
          <w:szCs w:val="24"/>
        </w:rPr>
        <w:t>La relevancia de este proyecto en que al consagrar este derecho como fundamental establece la obligación para el estado construir políticas públicas en torno al desarrollo del mismo, es decir, de destinar recursos tanto políticos, económicos y administrativos que contribuyan a concretar el fin para el cuál fue promulgado el derecho</w:t>
      </w:r>
      <w:r w:rsidRPr="00896E89">
        <w:rPr>
          <w:rStyle w:val="Refdenotaalpie"/>
          <w:rFonts w:ascii="Times New Roman" w:hAnsi="Times New Roman" w:cs="Times New Roman"/>
          <w:sz w:val="24"/>
          <w:szCs w:val="24"/>
        </w:rPr>
        <w:footnoteReference w:id="5"/>
      </w:r>
      <w:r w:rsidRPr="00896E89">
        <w:rPr>
          <w:rFonts w:ascii="Times New Roman" w:hAnsi="Times New Roman" w:cs="Times New Roman"/>
          <w:sz w:val="24"/>
          <w:szCs w:val="24"/>
        </w:rPr>
        <w:t xml:space="preserve">. </w:t>
      </w:r>
    </w:p>
    <w:p w14:paraId="2CD24248" w14:textId="77777777" w:rsidR="002A028C" w:rsidRPr="00896E89" w:rsidRDefault="002A028C" w:rsidP="002A028C">
      <w:pPr>
        <w:pStyle w:val="NormalWeb"/>
        <w:jc w:val="both"/>
      </w:pPr>
      <w:r w:rsidRPr="00896E89">
        <w:lastRenderedPageBreak/>
        <w:t>Este Congreso ha intentado en otras ocasiones constitucionalizar este derecho, aunque las iniciativas no han logrado completar la totalidad de debates requeridos. Es por ello que, se recogen elementos de esas discusiones previas para nutrir este proyecto, y teniendo en cuenta que este ya ha sido radicado en ocasiones anteriores en donde surtió hasta siete debates, se recogieron las actas de dichas discusiones para concretar el articulado que hoy se presenta</w:t>
      </w:r>
      <w:r w:rsidRPr="00896E89">
        <w:rPr>
          <w:rStyle w:val="Refdenotaalpie"/>
          <w:rFonts w:eastAsia="Century Gothic"/>
        </w:rPr>
        <w:footnoteReference w:id="6"/>
      </w:r>
      <w:r w:rsidRPr="00896E89">
        <w:t xml:space="preserve">. </w:t>
      </w:r>
    </w:p>
    <w:p w14:paraId="194591B6" w14:textId="77777777" w:rsidR="002A028C" w:rsidRPr="00896E89" w:rsidRDefault="002A028C" w:rsidP="002A028C">
      <w:pPr>
        <w:pStyle w:val="NormalWeb"/>
        <w:jc w:val="both"/>
      </w:pPr>
      <w:r w:rsidRPr="00896E89">
        <w:t>De</w:t>
      </w:r>
      <w:r w:rsidRPr="00896E89">
        <w:rPr>
          <w:b/>
        </w:rPr>
        <w:t xml:space="preserve"> </w:t>
      </w:r>
      <w:r w:rsidRPr="00896E89">
        <w:t xml:space="preserve">esta forma desde el año 2011 fecha en la cual un proyecto de ley con la misma finalidad alcanzó a surtir 7 debates, se introdujo que este no podía ser sujeto de una sola modificación al artículo 65, pues era necesario establecerlo también como un derecho de los adolescentes en el artículo 45, pues bien es cierto que este se introduce en el artículo 44 como un derecho fundamental este es solo exigible para los niños y niñas, por lo que se requiere extender la protección a este otro grupo poblacional. </w:t>
      </w:r>
    </w:p>
    <w:p w14:paraId="5C4AD70D" w14:textId="646651BD" w:rsidR="002A028C" w:rsidRPr="00896E89" w:rsidRDefault="002A028C" w:rsidP="002A028C">
      <w:pPr>
        <w:pStyle w:val="NormalWeb"/>
        <w:jc w:val="both"/>
      </w:pPr>
      <w:r w:rsidRPr="00896E89">
        <w:t xml:space="preserve">Al introducir ambas modificaciones estamos estableciendo que el derecho fundamental a la alimentación es un derecho universal, </w:t>
      </w:r>
      <w:r w:rsidRPr="00896E89">
        <w:rPr>
          <w:i/>
        </w:rPr>
        <w:t>erga omnes</w:t>
      </w:r>
      <w:r w:rsidRPr="00896E89">
        <w:t xml:space="preserve"> y que las políticas que se construyan a su alrededor deberán estar al alcance de todas las personas.</w:t>
      </w:r>
    </w:p>
    <w:p w14:paraId="45D1C83F" w14:textId="7892D673" w:rsidR="002A028C" w:rsidRPr="00896E89" w:rsidRDefault="002A028C" w:rsidP="002A028C">
      <w:pPr>
        <w:pStyle w:val="Prrafodelista"/>
        <w:numPr>
          <w:ilvl w:val="1"/>
          <w:numId w:val="1"/>
        </w:numPr>
        <w:jc w:val="both"/>
        <w:rPr>
          <w:rFonts w:ascii="Times New Roman" w:hAnsi="Times New Roman" w:cs="Times New Roman"/>
          <w:b/>
          <w:bCs/>
          <w:sz w:val="24"/>
          <w:szCs w:val="24"/>
          <w:lang w:val="es-CO"/>
        </w:rPr>
      </w:pPr>
      <w:r w:rsidRPr="00896E89">
        <w:rPr>
          <w:rFonts w:ascii="Times New Roman" w:hAnsi="Times New Roman" w:cs="Times New Roman"/>
          <w:b/>
          <w:bCs/>
          <w:sz w:val="24"/>
          <w:szCs w:val="24"/>
          <w:lang w:val="es-CO"/>
        </w:rPr>
        <w:t>Derecho humano a la alimentación y nutrición adecuadas: alcance y contenidos</w:t>
      </w:r>
    </w:p>
    <w:p w14:paraId="3439E586" w14:textId="10C1D4B5" w:rsidR="002A028C" w:rsidRPr="00896E89" w:rsidRDefault="002A028C" w:rsidP="002A028C">
      <w:pPr>
        <w:jc w:val="both"/>
        <w:rPr>
          <w:rFonts w:ascii="Times New Roman" w:hAnsi="Times New Roman" w:cs="Times New Roman"/>
          <w:b/>
          <w:bCs/>
          <w:sz w:val="24"/>
          <w:szCs w:val="24"/>
          <w:lang w:val="es-CO"/>
        </w:rPr>
      </w:pPr>
    </w:p>
    <w:p w14:paraId="3BAFAE8C" w14:textId="0D3CCE2E" w:rsidR="002A028C" w:rsidRPr="00896E89" w:rsidRDefault="002A028C" w:rsidP="002A028C">
      <w:pPr>
        <w:jc w:val="both"/>
        <w:rPr>
          <w:rFonts w:ascii="Times New Roman" w:hAnsi="Times New Roman" w:cs="Times New Roman"/>
          <w:sz w:val="24"/>
          <w:szCs w:val="24"/>
        </w:rPr>
      </w:pPr>
      <w:r w:rsidRPr="00896E89">
        <w:rPr>
          <w:rFonts w:ascii="Times New Roman" w:hAnsi="Times New Roman" w:cs="Times New Roman"/>
          <w:sz w:val="24"/>
          <w:szCs w:val="24"/>
        </w:rPr>
        <w:t>Desde sus primeros abordajes hasta la actualidad se han producido diversos desarrollos en torno a las miradas sobre el derecho humano a la alimentación. A partir de un abordaje holístico, organizaciones internacionales como FIAN</w:t>
      </w:r>
      <w:r w:rsidRPr="00896E89">
        <w:rPr>
          <w:rStyle w:val="Refdenotaalpie"/>
          <w:rFonts w:ascii="Times New Roman" w:hAnsi="Times New Roman" w:cs="Times New Roman"/>
          <w:sz w:val="24"/>
          <w:szCs w:val="24"/>
        </w:rPr>
        <w:footnoteReference w:id="7"/>
      </w:r>
      <w:r w:rsidRPr="00896E89">
        <w:rPr>
          <w:rFonts w:ascii="Times New Roman" w:hAnsi="Times New Roman" w:cs="Times New Roman"/>
          <w:sz w:val="24"/>
          <w:szCs w:val="24"/>
        </w:rPr>
        <w:t xml:space="preserve"> han reconceptualizado el derecho a la alimentación adecuada como derecho humano a la alimentación y nutrición adecuadas (DHANA), con el objetivo de resaltar la importancia del componente nutricional, más allá del enfoque medicalizado y restrictivo que le ha sido dado tradicionalmente por otros enfoques. Así mismo, y reconociendo que este derecho debe interpretarse desde la comprensión de su intrínseca relación con el proceso alimentario y conceptos como la soberanía alimentaria y las autonomías alimentarias, la denominación de adecuadas se señala en plural, para significar la importancia de dar respuesta a las necesidades específicas de cada colectivo humano, en tanto no hay una sola alimentación y nutrición, sino que éstas se deben corresponder con las especificidades de cada pueblo. Esta mirada también apunta a entender que la garantía de este derecho debe superar una mirada antropocéntrica, pues la protección ambiental y los derechos de la naturaleza también son indispensables para garantizar el </w:t>
      </w:r>
      <w:r w:rsidRPr="00896E89">
        <w:rPr>
          <w:rFonts w:ascii="Times New Roman" w:hAnsi="Times New Roman" w:cs="Times New Roman"/>
          <w:sz w:val="24"/>
          <w:szCs w:val="24"/>
        </w:rPr>
        <w:lastRenderedPageBreak/>
        <w:t>DHANA de esta y de las futuras generaciones.</w:t>
      </w:r>
      <w:r w:rsidRPr="00896E89">
        <w:rPr>
          <w:rStyle w:val="Refdenotaalpie"/>
          <w:rFonts w:ascii="Times New Roman" w:hAnsi="Times New Roman" w:cs="Times New Roman"/>
          <w:sz w:val="24"/>
          <w:szCs w:val="24"/>
        </w:rPr>
        <w:footnoteReference w:id="8"/>
      </w:r>
      <w:r w:rsidRPr="00896E89">
        <w:rPr>
          <w:rFonts w:ascii="Times New Roman" w:hAnsi="Times New Roman" w:cs="Times New Roman"/>
          <w:sz w:val="24"/>
          <w:szCs w:val="24"/>
        </w:rPr>
        <w:t xml:space="preserve"> Como derecho humano, además, la alimentación se interrelaciona y es interdependiente con otros derechos. </w:t>
      </w:r>
    </w:p>
    <w:p w14:paraId="70BE7EAB" w14:textId="77777777" w:rsidR="002A028C" w:rsidRPr="00896E89" w:rsidRDefault="002A028C" w:rsidP="002A028C">
      <w:pPr>
        <w:jc w:val="both"/>
        <w:rPr>
          <w:rFonts w:ascii="Times New Roman" w:hAnsi="Times New Roman" w:cs="Times New Roman"/>
          <w:sz w:val="24"/>
          <w:szCs w:val="24"/>
        </w:rPr>
      </w:pPr>
    </w:p>
    <w:p w14:paraId="5DC7F2B8" w14:textId="57D42301" w:rsidR="002A028C" w:rsidRPr="00896E89" w:rsidRDefault="002A028C" w:rsidP="002A028C">
      <w:pPr>
        <w:jc w:val="both"/>
        <w:rPr>
          <w:rFonts w:ascii="Times New Roman" w:hAnsi="Times New Roman" w:cs="Times New Roman"/>
          <w:sz w:val="24"/>
          <w:szCs w:val="24"/>
        </w:rPr>
      </w:pPr>
      <w:r w:rsidRPr="00896E89">
        <w:rPr>
          <w:rFonts w:ascii="Times New Roman" w:hAnsi="Times New Roman" w:cs="Times New Roman"/>
          <w:sz w:val="24"/>
          <w:szCs w:val="24"/>
        </w:rPr>
        <w:t xml:space="preserve">Otro de los elementos a destacar es la importancia de reconocer la alimentación como proceso, lo cual se contrapone a la mirada según la cual se suele caer en el error de creer que lo alimentario se reduce al acto de comer. Esta percepción favorece la violación misma del derecho, pues enaltece visiones precarias o asistencialistas, desdibujando la discusión de fondo sobre los problemas estructurales que llevan al hambre y la malnutrición, sus causas, sus responsables y su perpetuación. </w:t>
      </w:r>
    </w:p>
    <w:p w14:paraId="004FB76F" w14:textId="77777777" w:rsidR="002A028C" w:rsidRPr="00896E89" w:rsidRDefault="002A028C" w:rsidP="002A028C">
      <w:pPr>
        <w:jc w:val="both"/>
        <w:rPr>
          <w:rFonts w:ascii="Times New Roman" w:hAnsi="Times New Roman" w:cs="Times New Roman"/>
          <w:sz w:val="24"/>
          <w:szCs w:val="24"/>
        </w:rPr>
      </w:pPr>
    </w:p>
    <w:p w14:paraId="5AB77015" w14:textId="570E6B09" w:rsidR="002A028C" w:rsidRPr="00896E89" w:rsidRDefault="002A028C" w:rsidP="002A028C">
      <w:pPr>
        <w:jc w:val="both"/>
        <w:rPr>
          <w:rFonts w:ascii="Times New Roman" w:hAnsi="Times New Roman" w:cs="Times New Roman"/>
          <w:sz w:val="24"/>
          <w:szCs w:val="24"/>
        </w:rPr>
      </w:pPr>
      <w:r w:rsidRPr="00896E89">
        <w:rPr>
          <w:rFonts w:ascii="Times New Roman" w:hAnsi="Times New Roman" w:cs="Times New Roman"/>
          <w:sz w:val="24"/>
          <w:szCs w:val="24"/>
        </w:rPr>
        <w:t xml:space="preserve">La alimentación concebida desde una perspectiva de derechos implica que no se reduce a exigir o garantizar el acto de comer o de cubrir las necesidades alimentarias y nutricionales de un individuo o un colectivo humano. Por supuesto, en situaciones de emergencia, este es un factor importante, pero el Derecho humano a la alimentación y nutrición adecuada es mucho más complejo, dado que hace referencia a la alimentación como proceso. </w:t>
      </w:r>
    </w:p>
    <w:p w14:paraId="5F2D0BD0" w14:textId="6BAD8001" w:rsidR="002A028C" w:rsidRPr="00896E89" w:rsidRDefault="002A028C" w:rsidP="002A028C">
      <w:pPr>
        <w:jc w:val="both"/>
        <w:rPr>
          <w:rFonts w:ascii="Times New Roman" w:hAnsi="Times New Roman" w:cs="Times New Roman"/>
          <w:sz w:val="24"/>
          <w:szCs w:val="24"/>
        </w:rPr>
      </w:pPr>
    </w:p>
    <w:p w14:paraId="4A53BD67" w14:textId="77777777" w:rsidR="002A028C" w:rsidRPr="00896E89" w:rsidRDefault="002A028C" w:rsidP="002A028C">
      <w:pPr>
        <w:jc w:val="center"/>
        <w:rPr>
          <w:rFonts w:ascii="Times New Roman" w:hAnsi="Times New Roman" w:cs="Times New Roman"/>
          <w:sz w:val="24"/>
          <w:szCs w:val="24"/>
        </w:rPr>
      </w:pPr>
      <w:r w:rsidRPr="00896E89">
        <w:rPr>
          <w:rFonts w:ascii="Times New Roman" w:hAnsi="Times New Roman" w:cs="Times New Roman"/>
          <w:sz w:val="24"/>
          <w:szCs w:val="24"/>
        </w:rPr>
        <w:t>Gráfico 1. La alimentación como proceso</w:t>
      </w:r>
    </w:p>
    <w:p w14:paraId="09960837" w14:textId="77777777" w:rsidR="002A028C" w:rsidRPr="00896E89" w:rsidRDefault="002A028C" w:rsidP="002A028C">
      <w:pPr>
        <w:jc w:val="center"/>
        <w:rPr>
          <w:rFonts w:ascii="Times New Roman" w:hAnsi="Times New Roman" w:cs="Times New Roman"/>
          <w:sz w:val="24"/>
          <w:szCs w:val="24"/>
        </w:rPr>
      </w:pPr>
      <w:r w:rsidRPr="00896E89">
        <w:rPr>
          <w:rFonts w:ascii="Times New Roman" w:hAnsi="Times New Roman" w:cs="Times New Roman"/>
          <w:noProof/>
          <w:sz w:val="24"/>
          <w:szCs w:val="24"/>
        </w:rPr>
        <w:drawing>
          <wp:inline distT="0" distB="0" distL="0" distR="0" wp14:anchorId="3E602667" wp14:editId="09AE0415">
            <wp:extent cx="5524742" cy="19050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534921" cy="1908510"/>
                    </a:xfrm>
                    <a:prstGeom prst="rect">
                      <a:avLst/>
                    </a:prstGeom>
                    <a:noFill/>
                    <a:ln>
                      <a:noFill/>
                    </a:ln>
                  </pic:spPr>
                </pic:pic>
              </a:graphicData>
            </a:graphic>
          </wp:inline>
        </w:drawing>
      </w:r>
    </w:p>
    <w:p w14:paraId="5BC5D9C1" w14:textId="03FFB093" w:rsidR="002A028C" w:rsidRPr="00896E89" w:rsidRDefault="002A028C" w:rsidP="004C3475">
      <w:pPr>
        <w:ind w:left="567"/>
        <w:jc w:val="center"/>
        <w:rPr>
          <w:rFonts w:ascii="Times New Roman" w:hAnsi="Times New Roman" w:cs="Times New Roman"/>
          <w:sz w:val="24"/>
          <w:szCs w:val="24"/>
        </w:rPr>
      </w:pPr>
      <w:r w:rsidRPr="00896E89">
        <w:rPr>
          <w:rFonts w:ascii="Times New Roman" w:hAnsi="Times New Roman" w:cs="Times New Roman"/>
          <w:sz w:val="24"/>
          <w:szCs w:val="24"/>
        </w:rPr>
        <w:t>Fuente: FIAN Colombia. La exigibilidad del Derecho Humano a la Alimentación. Qué es y cómo hacerla, 2015, p.17.</w:t>
      </w:r>
    </w:p>
    <w:p w14:paraId="0325AFC1" w14:textId="77777777" w:rsidR="002A028C" w:rsidRPr="00896E89" w:rsidRDefault="002A028C" w:rsidP="002A028C">
      <w:pPr>
        <w:ind w:left="567"/>
        <w:jc w:val="both"/>
        <w:rPr>
          <w:rFonts w:ascii="Times New Roman" w:hAnsi="Times New Roman" w:cs="Times New Roman"/>
          <w:sz w:val="24"/>
          <w:szCs w:val="24"/>
        </w:rPr>
      </w:pPr>
    </w:p>
    <w:p w14:paraId="503FAEA8" w14:textId="0AED88BF" w:rsidR="002A028C" w:rsidRPr="00896E89" w:rsidRDefault="002A028C" w:rsidP="002A028C">
      <w:pPr>
        <w:jc w:val="both"/>
        <w:rPr>
          <w:rFonts w:ascii="Times New Roman" w:hAnsi="Times New Roman" w:cs="Times New Roman"/>
          <w:sz w:val="24"/>
          <w:szCs w:val="24"/>
        </w:rPr>
      </w:pPr>
      <w:r w:rsidRPr="00896E89">
        <w:rPr>
          <w:rFonts w:ascii="Times New Roman" w:hAnsi="Times New Roman" w:cs="Times New Roman"/>
          <w:sz w:val="24"/>
          <w:szCs w:val="24"/>
        </w:rPr>
        <w:t xml:space="preserve">Como se observa en la figura, el proceso alimentario implica la concepción de su circularidad y da cuenta de la transacción física y económica junto con los intercambios culturales, sociales, políticos, de poder, ambientales, cosmogónicos y de conocimientos. De esta manera, el proceso alimentario tiene múltiples fases, que incluyen: </w:t>
      </w:r>
    </w:p>
    <w:p w14:paraId="55A3B265" w14:textId="77777777" w:rsidR="002A028C" w:rsidRPr="00896E89" w:rsidRDefault="002A028C" w:rsidP="002A028C">
      <w:pPr>
        <w:jc w:val="both"/>
        <w:rPr>
          <w:rFonts w:ascii="Times New Roman" w:hAnsi="Times New Roman" w:cs="Times New Roman"/>
          <w:sz w:val="24"/>
          <w:szCs w:val="24"/>
        </w:rPr>
      </w:pPr>
    </w:p>
    <w:p w14:paraId="361C524D" w14:textId="1F47F417" w:rsidR="002A028C" w:rsidRPr="00896E89" w:rsidRDefault="002A028C" w:rsidP="002A028C">
      <w:pPr>
        <w:jc w:val="both"/>
        <w:rPr>
          <w:rFonts w:ascii="Times New Roman" w:hAnsi="Times New Roman" w:cs="Times New Roman"/>
          <w:sz w:val="24"/>
          <w:szCs w:val="24"/>
        </w:rPr>
      </w:pPr>
      <w:r w:rsidRPr="00896E89">
        <w:rPr>
          <w:rFonts w:ascii="Times New Roman" w:hAnsi="Times New Roman" w:cs="Times New Roman"/>
          <w:sz w:val="24"/>
          <w:szCs w:val="24"/>
        </w:rPr>
        <w:t>i.</w:t>
      </w:r>
      <w:r w:rsidRPr="00896E89">
        <w:rPr>
          <w:rFonts w:ascii="Times New Roman" w:hAnsi="Times New Roman" w:cs="Times New Roman"/>
          <w:sz w:val="24"/>
          <w:szCs w:val="24"/>
        </w:rPr>
        <w:tab/>
        <w:t xml:space="preserve">Producción: es la forma primaria como se consigue un alimento, donde también se consideran mecanismos de obtención, tales como la pesca, la cría, la caza, la recolección, entre otros. En la caracterización de estos mecanismos es fundamental ver quiénes se encargan de estas labores, cómo lo hacen, cuál es la relación que tienen con los factores </w:t>
      </w:r>
      <w:r w:rsidRPr="00896E89">
        <w:rPr>
          <w:rFonts w:ascii="Times New Roman" w:hAnsi="Times New Roman" w:cs="Times New Roman"/>
          <w:sz w:val="24"/>
          <w:szCs w:val="24"/>
        </w:rPr>
        <w:lastRenderedPageBreak/>
        <w:t xml:space="preserve">productivos, si lo que producen ayuda a su alimentación vía autoconsumo, si están protegidos y si reciben apoyo por parte del Estado para la producción de alimentos. </w:t>
      </w:r>
    </w:p>
    <w:p w14:paraId="266BE3C2" w14:textId="77777777" w:rsidR="002A028C" w:rsidRPr="00896E89" w:rsidRDefault="002A028C" w:rsidP="002A028C">
      <w:pPr>
        <w:jc w:val="both"/>
        <w:rPr>
          <w:rFonts w:ascii="Times New Roman" w:hAnsi="Times New Roman" w:cs="Times New Roman"/>
          <w:sz w:val="24"/>
          <w:szCs w:val="24"/>
        </w:rPr>
      </w:pPr>
    </w:p>
    <w:p w14:paraId="778E23B1" w14:textId="0057503E" w:rsidR="002A028C" w:rsidRPr="00896E89" w:rsidRDefault="002A028C" w:rsidP="002A028C">
      <w:pPr>
        <w:jc w:val="both"/>
        <w:rPr>
          <w:rFonts w:ascii="Times New Roman" w:hAnsi="Times New Roman" w:cs="Times New Roman"/>
          <w:sz w:val="24"/>
          <w:szCs w:val="24"/>
        </w:rPr>
      </w:pPr>
      <w:proofErr w:type="spellStart"/>
      <w:r w:rsidRPr="00896E89">
        <w:rPr>
          <w:rFonts w:ascii="Times New Roman" w:hAnsi="Times New Roman" w:cs="Times New Roman"/>
          <w:sz w:val="24"/>
          <w:szCs w:val="24"/>
        </w:rPr>
        <w:t>ii</w:t>
      </w:r>
      <w:proofErr w:type="spellEnd"/>
      <w:r w:rsidRPr="00896E89">
        <w:rPr>
          <w:rFonts w:ascii="Times New Roman" w:hAnsi="Times New Roman" w:cs="Times New Roman"/>
          <w:sz w:val="24"/>
          <w:szCs w:val="24"/>
        </w:rPr>
        <w:t>.</w:t>
      </w:r>
      <w:r w:rsidRPr="00896E89">
        <w:rPr>
          <w:rFonts w:ascii="Times New Roman" w:hAnsi="Times New Roman" w:cs="Times New Roman"/>
          <w:sz w:val="24"/>
          <w:szCs w:val="24"/>
        </w:rPr>
        <w:tab/>
        <w:t xml:space="preserve">Intercambio de alimentos: se da por mecanismos de mercado, pero también mediante las redes solidarias y comunitarias, vía parentesco y vecindad, que suelen tomar una mayor relevancia en los momentos de crisis. Es importante identificar qué productos circulan por esta vía no monetaria en formas y momentos culturales o sociales específicos, tales como celebraciones, ritos de paso, etc., pues forman parte del primer acervo cultural que suele romperse cuando hay violaciones al derecho. </w:t>
      </w:r>
    </w:p>
    <w:p w14:paraId="30AE06CF" w14:textId="77777777" w:rsidR="002A028C" w:rsidRPr="00896E89" w:rsidRDefault="002A028C" w:rsidP="002A028C">
      <w:pPr>
        <w:jc w:val="both"/>
        <w:rPr>
          <w:rFonts w:ascii="Times New Roman" w:hAnsi="Times New Roman" w:cs="Times New Roman"/>
          <w:sz w:val="24"/>
          <w:szCs w:val="24"/>
        </w:rPr>
      </w:pPr>
    </w:p>
    <w:p w14:paraId="22FC47B2" w14:textId="654BAD34" w:rsidR="002A028C" w:rsidRPr="00896E89" w:rsidRDefault="002A028C" w:rsidP="002A028C">
      <w:pPr>
        <w:jc w:val="both"/>
        <w:rPr>
          <w:rFonts w:ascii="Times New Roman" w:hAnsi="Times New Roman" w:cs="Times New Roman"/>
          <w:sz w:val="24"/>
          <w:szCs w:val="24"/>
        </w:rPr>
      </w:pPr>
      <w:proofErr w:type="spellStart"/>
      <w:r w:rsidRPr="00896E89">
        <w:rPr>
          <w:rFonts w:ascii="Times New Roman" w:hAnsi="Times New Roman" w:cs="Times New Roman"/>
          <w:sz w:val="24"/>
          <w:szCs w:val="24"/>
        </w:rPr>
        <w:t>iii</w:t>
      </w:r>
      <w:proofErr w:type="spellEnd"/>
      <w:r w:rsidRPr="00896E89">
        <w:rPr>
          <w:rFonts w:ascii="Times New Roman" w:hAnsi="Times New Roman" w:cs="Times New Roman"/>
          <w:sz w:val="24"/>
          <w:szCs w:val="24"/>
        </w:rPr>
        <w:t>.</w:t>
      </w:r>
      <w:r w:rsidRPr="00896E89">
        <w:rPr>
          <w:rFonts w:ascii="Times New Roman" w:hAnsi="Times New Roman" w:cs="Times New Roman"/>
          <w:sz w:val="24"/>
          <w:szCs w:val="24"/>
        </w:rPr>
        <w:tab/>
        <w:t xml:space="preserve">Transformación: contempla el proceso efectuado en los hogares, previo al consumo, incluyendo la transmisión de conocimientos asociados a su preparación como los saberes gastronómicos y culinarios. Así mismo, las transformaciones artesanales a pequeña escala y las del sector industrial. </w:t>
      </w:r>
    </w:p>
    <w:p w14:paraId="234099C1" w14:textId="77777777" w:rsidR="002A028C" w:rsidRPr="00896E89" w:rsidRDefault="002A028C" w:rsidP="002A028C">
      <w:pPr>
        <w:jc w:val="both"/>
        <w:rPr>
          <w:rFonts w:ascii="Times New Roman" w:hAnsi="Times New Roman" w:cs="Times New Roman"/>
          <w:sz w:val="24"/>
          <w:szCs w:val="24"/>
        </w:rPr>
      </w:pPr>
    </w:p>
    <w:p w14:paraId="43573E06" w14:textId="1B5B0907" w:rsidR="002A028C" w:rsidRPr="00896E89" w:rsidRDefault="002A028C" w:rsidP="002A028C">
      <w:pPr>
        <w:jc w:val="both"/>
        <w:rPr>
          <w:rFonts w:ascii="Times New Roman" w:hAnsi="Times New Roman" w:cs="Times New Roman"/>
          <w:sz w:val="24"/>
          <w:szCs w:val="24"/>
        </w:rPr>
      </w:pPr>
      <w:proofErr w:type="spellStart"/>
      <w:r w:rsidRPr="00896E89">
        <w:rPr>
          <w:rFonts w:ascii="Times New Roman" w:hAnsi="Times New Roman" w:cs="Times New Roman"/>
          <w:sz w:val="24"/>
          <w:szCs w:val="24"/>
        </w:rPr>
        <w:t>iv</w:t>
      </w:r>
      <w:proofErr w:type="spellEnd"/>
      <w:r w:rsidRPr="00896E89">
        <w:rPr>
          <w:rFonts w:ascii="Times New Roman" w:hAnsi="Times New Roman" w:cs="Times New Roman"/>
          <w:sz w:val="24"/>
          <w:szCs w:val="24"/>
        </w:rPr>
        <w:t>.</w:t>
      </w:r>
      <w:r w:rsidRPr="00896E89">
        <w:rPr>
          <w:rFonts w:ascii="Times New Roman" w:hAnsi="Times New Roman" w:cs="Times New Roman"/>
          <w:sz w:val="24"/>
          <w:szCs w:val="24"/>
        </w:rPr>
        <w:tab/>
        <w:t xml:space="preserve">Consumo, uso o aprovechamiento biológico del alimento: esto es lo que se conoce como nutrición y tiene que ver con los mecanismos de acceso a los alimentos (físico o económico), la frecuencia en que aquellos que son nutricionalmente adecuados son ingeridos, la condición de salud de quien se alimenta, la salubridad del entorno físico, ambiental y humano, los faltantes o excesos nutricionales que pueden determinar una nutrición insuficiente o una malnutrición. </w:t>
      </w:r>
    </w:p>
    <w:p w14:paraId="0E7623E4" w14:textId="77777777" w:rsidR="002A028C" w:rsidRPr="00896E89" w:rsidRDefault="002A028C" w:rsidP="002A028C">
      <w:pPr>
        <w:jc w:val="both"/>
        <w:rPr>
          <w:rFonts w:ascii="Times New Roman" w:hAnsi="Times New Roman" w:cs="Times New Roman"/>
          <w:sz w:val="24"/>
          <w:szCs w:val="24"/>
        </w:rPr>
      </w:pPr>
    </w:p>
    <w:p w14:paraId="04F3352A" w14:textId="68FA795F" w:rsidR="002A028C" w:rsidRPr="00896E89" w:rsidRDefault="002A028C" w:rsidP="002A028C">
      <w:pPr>
        <w:jc w:val="both"/>
        <w:rPr>
          <w:rFonts w:ascii="Times New Roman" w:hAnsi="Times New Roman" w:cs="Times New Roman"/>
          <w:sz w:val="24"/>
          <w:szCs w:val="24"/>
        </w:rPr>
      </w:pPr>
      <w:r w:rsidRPr="00896E89">
        <w:rPr>
          <w:rFonts w:ascii="Times New Roman" w:hAnsi="Times New Roman" w:cs="Times New Roman"/>
          <w:sz w:val="24"/>
          <w:szCs w:val="24"/>
        </w:rPr>
        <w:t xml:space="preserve">Cuando la alimentación y la nutrición son adecuadas, reconstruyen o regeneran las condiciones vitales que, entre otras cosas, nos permiten, mediante nuestra fuerza de trabajo, salud e inteligencia, mantener en marcha de nuevo dicho proceso alimentario en condiciones de dignidad. En este punto es clave insistir en lo adecuado de la alimentación y no solo desde una perspectiva de lo inmediato, sino que también a largo plazo. </w:t>
      </w:r>
    </w:p>
    <w:p w14:paraId="6C0F2067" w14:textId="77777777" w:rsidR="002A028C" w:rsidRPr="00896E89" w:rsidRDefault="002A028C" w:rsidP="002A028C">
      <w:pPr>
        <w:jc w:val="both"/>
        <w:rPr>
          <w:rFonts w:ascii="Times New Roman" w:hAnsi="Times New Roman" w:cs="Times New Roman"/>
          <w:sz w:val="24"/>
          <w:szCs w:val="24"/>
        </w:rPr>
      </w:pPr>
    </w:p>
    <w:p w14:paraId="7709EFF4" w14:textId="4C892970" w:rsidR="002A028C" w:rsidRDefault="002A028C" w:rsidP="002A028C">
      <w:pPr>
        <w:jc w:val="both"/>
        <w:rPr>
          <w:rFonts w:ascii="Times New Roman" w:hAnsi="Times New Roman" w:cs="Times New Roman"/>
          <w:sz w:val="24"/>
          <w:szCs w:val="24"/>
        </w:rPr>
      </w:pPr>
      <w:r w:rsidRPr="00896E89">
        <w:rPr>
          <w:rFonts w:ascii="Times New Roman" w:hAnsi="Times New Roman" w:cs="Times New Roman"/>
          <w:sz w:val="24"/>
          <w:szCs w:val="24"/>
        </w:rPr>
        <w:t>Desde esta mirada amplia e integral, y desde el reconocimiento de la circularidad del proceso alimentario, es también necesario integrar la comprensión de los sistemas productivos. Se trata de ver que los componentes que integran dichos sistemas no solo tocan factores bióticos, técnicos (el cómo se produce) o de resultados (medibles desde la eficacia y eficiencia), sino que responden a estructuras socioculturales, ambientales, económicas y políticas, y con ellas, a las formas de pensar y organizar el territorio.</w:t>
      </w:r>
    </w:p>
    <w:p w14:paraId="45079277" w14:textId="4E8AC4D5" w:rsidR="004C3475" w:rsidRDefault="004C3475" w:rsidP="002A028C">
      <w:pPr>
        <w:jc w:val="both"/>
        <w:rPr>
          <w:rFonts w:ascii="Times New Roman" w:hAnsi="Times New Roman" w:cs="Times New Roman"/>
          <w:sz w:val="24"/>
          <w:szCs w:val="24"/>
        </w:rPr>
      </w:pPr>
    </w:p>
    <w:p w14:paraId="7AFF16D6" w14:textId="77777777" w:rsidR="004C3475" w:rsidRPr="00280E8E" w:rsidRDefault="004C3475" w:rsidP="004C3475">
      <w:pPr>
        <w:jc w:val="both"/>
        <w:rPr>
          <w:rFonts w:ascii="Times New Roman" w:hAnsi="Times New Roman"/>
          <w:sz w:val="24"/>
          <w:szCs w:val="24"/>
        </w:rPr>
      </w:pPr>
      <w:r w:rsidRPr="00280E8E">
        <w:rPr>
          <w:rFonts w:ascii="Times New Roman" w:hAnsi="Times New Roman"/>
          <w:sz w:val="24"/>
          <w:szCs w:val="24"/>
        </w:rPr>
        <w:t xml:space="preserve">En lo referente a su contenido y alcance, es preciso atender a las disposiciones contempladas en la Observación General No. 12 del Comité de Derechos Económicos, Sociales y Culturales de las Naciones Unidas. Así pues, dicho Comité de expertos ha resaltado que el Derecho Humano a la alimentación adecuada se encuentra intrínsecamente relacionado con la dignidad humana y resulta ser un presupuesto indispensable para el goce efectivo de cualquier otro Derecho. De la misma forma, ha establecido que existe una conexidad entre el mismo y con los postulados inherentes a la justicia social, en tanto requiere la adopción de políticas de índole económico, social y ambiental adecuadas que permitan su garantía y, de </w:t>
      </w:r>
      <w:r w:rsidRPr="00280E8E">
        <w:rPr>
          <w:rFonts w:ascii="Times New Roman" w:hAnsi="Times New Roman"/>
          <w:sz w:val="24"/>
          <w:szCs w:val="24"/>
        </w:rPr>
        <w:lastRenderedPageBreak/>
        <w:t>paso, implementar políticas públicas tendientes a la erradicación de la pobreza y la efectiva realización de otros derechos.</w:t>
      </w:r>
    </w:p>
    <w:p w14:paraId="271C18CA" w14:textId="77777777" w:rsidR="004C3475" w:rsidRPr="00280E8E" w:rsidRDefault="004C3475" w:rsidP="004C3475">
      <w:pPr>
        <w:jc w:val="both"/>
        <w:rPr>
          <w:rFonts w:ascii="Times New Roman" w:hAnsi="Times New Roman"/>
          <w:sz w:val="24"/>
          <w:szCs w:val="24"/>
        </w:rPr>
      </w:pPr>
    </w:p>
    <w:p w14:paraId="7BEFB966" w14:textId="77777777" w:rsidR="004C3475" w:rsidRPr="00280E8E" w:rsidRDefault="004C3475" w:rsidP="004C3475">
      <w:pPr>
        <w:jc w:val="both"/>
        <w:rPr>
          <w:rFonts w:ascii="Times New Roman" w:hAnsi="Times New Roman"/>
          <w:sz w:val="24"/>
          <w:szCs w:val="24"/>
        </w:rPr>
      </w:pPr>
      <w:r w:rsidRPr="00280E8E">
        <w:rPr>
          <w:rFonts w:ascii="Times New Roman" w:hAnsi="Times New Roman"/>
          <w:sz w:val="24"/>
          <w:szCs w:val="24"/>
        </w:rPr>
        <w:t>En lo referente al contenido sustancial del mentado derecho, el mismo ha sido entendido por parte del Comité como:</w:t>
      </w:r>
    </w:p>
    <w:p w14:paraId="36A86ADA" w14:textId="77777777" w:rsidR="004C3475" w:rsidRPr="00280E8E" w:rsidRDefault="004C3475" w:rsidP="004C3475">
      <w:pPr>
        <w:jc w:val="both"/>
        <w:rPr>
          <w:rFonts w:ascii="Times New Roman" w:hAnsi="Times New Roman"/>
          <w:sz w:val="24"/>
          <w:szCs w:val="24"/>
        </w:rPr>
      </w:pPr>
    </w:p>
    <w:p w14:paraId="7617FD24" w14:textId="77777777" w:rsidR="004C3475" w:rsidRPr="00280E8E" w:rsidRDefault="004C3475" w:rsidP="004C3475">
      <w:pPr>
        <w:ind w:left="709" w:right="709"/>
        <w:jc w:val="both"/>
        <w:rPr>
          <w:rFonts w:ascii="Times New Roman" w:hAnsi="Times New Roman"/>
          <w:i/>
          <w:sz w:val="24"/>
          <w:szCs w:val="24"/>
        </w:rPr>
      </w:pPr>
      <w:r w:rsidRPr="00280E8E">
        <w:rPr>
          <w:rFonts w:ascii="Times New Roman" w:hAnsi="Times New Roman"/>
          <w:i/>
          <w:sz w:val="24"/>
          <w:szCs w:val="24"/>
        </w:rPr>
        <w:t>“El derecho a la alimentación adecuada se ejerce cuando todo hombre, mujer o niño, ya sea sólo o en común con otros, tiene acceso físico y económico, en todo momento, a la alimentación adecuada o a medios para obtenerla. El derecho a la alimentación adecuada no debe interpretarse, por consiguiente, en forma estrecha o restrictiva asimilándolo a un conjunto de calorías, proteínas y otros elementos nutritivos concretos. El derecho a la alimentación adecuada tendrá que alcanzarse progresivamente. No obstante, los Estados tienen la obligación básica de adoptar las medidas necesarias para mitigar y aliviar el hambre tal como se dispone en el párrafo 2 del artículo 11, incluso en caso de desastre natural o de otra índole.”</w:t>
      </w:r>
      <w:r w:rsidRPr="00280E8E">
        <w:rPr>
          <w:rStyle w:val="Refdenotaalpie"/>
          <w:rFonts w:ascii="Times New Roman" w:hAnsi="Times New Roman"/>
          <w:i/>
          <w:sz w:val="24"/>
          <w:szCs w:val="24"/>
        </w:rPr>
        <w:footnoteReference w:id="9"/>
      </w:r>
    </w:p>
    <w:p w14:paraId="11574704" w14:textId="77777777" w:rsidR="004C3475" w:rsidRPr="00280E8E" w:rsidRDefault="004C3475" w:rsidP="004C3475">
      <w:pPr>
        <w:ind w:left="708"/>
        <w:jc w:val="both"/>
        <w:rPr>
          <w:rFonts w:ascii="Times New Roman" w:hAnsi="Times New Roman"/>
          <w:i/>
          <w:sz w:val="24"/>
          <w:szCs w:val="24"/>
        </w:rPr>
      </w:pPr>
    </w:p>
    <w:p w14:paraId="5C4C1E85" w14:textId="77777777" w:rsidR="004C3475" w:rsidRPr="00280E8E" w:rsidRDefault="004C3475" w:rsidP="004C3475">
      <w:pPr>
        <w:jc w:val="both"/>
        <w:rPr>
          <w:rFonts w:ascii="Times New Roman" w:hAnsi="Times New Roman"/>
          <w:sz w:val="24"/>
          <w:szCs w:val="24"/>
        </w:rPr>
      </w:pPr>
      <w:r w:rsidRPr="00280E8E">
        <w:rPr>
          <w:rFonts w:ascii="Times New Roman" w:hAnsi="Times New Roman"/>
          <w:sz w:val="24"/>
          <w:szCs w:val="24"/>
        </w:rPr>
        <w:t>De la misma manera, el Relator Especial de las Naciones Unidas sobre el Derecho a la alimentación ha contribuido a la definición sustantiva de dicho derecho, estableciendo que el mismo consiste en:</w:t>
      </w:r>
    </w:p>
    <w:p w14:paraId="6F3BCBC0" w14:textId="77777777" w:rsidR="004C3475" w:rsidRPr="00280E8E" w:rsidRDefault="004C3475" w:rsidP="004C3475">
      <w:pPr>
        <w:jc w:val="both"/>
        <w:rPr>
          <w:rFonts w:ascii="Times New Roman" w:hAnsi="Times New Roman"/>
          <w:sz w:val="24"/>
          <w:szCs w:val="24"/>
        </w:rPr>
      </w:pPr>
    </w:p>
    <w:p w14:paraId="6404731E" w14:textId="77777777" w:rsidR="004C3475" w:rsidRPr="00280E8E" w:rsidRDefault="004C3475" w:rsidP="004C3475">
      <w:pPr>
        <w:widowControl w:val="0"/>
        <w:autoSpaceDE w:val="0"/>
        <w:autoSpaceDN w:val="0"/>
        <w:adjustRightInd w:val="0"/>
        <w:ind w:left="709" w:right="709"/>
        <w:jc w:val="both"/>
        <w:rPr>
          <w:rFonts w:ascii="Times New Roman" w:hAnsi="Times New Roman"/>
          <w:sz w:val="24"/>
          <w:szCs w:val="24"/>
        </w:rPr>
      </w:pPr>
      <w:r w:rsidRPr="00280E8E">
        <w:rPr>
          <w:rFonts w:ascii="Times New Roman" w:hAnsi="Times New Roman"/>
          <w:sz w:val="24"/>
          <w:szCs w:val="24"/>
        </w:rPr>
        <w:t>“</w:t>
      </w:r>
      <w:r w:rsidRPr="00280E8E">
        <w:rPr>
          <w:rFonts w:ascii="Times New Roman" w:hAnsi="Times New Roman"/>
          <w:i/>
          <w:iCs/>
          <w:sz w:val="24"/>
          <w:szCs w:val="24"/>
        </w:rPr>
        <w:t>El derecho a tener acceso, de manera regular, permanente y libre, sea directamente, sea mediante compra en dinero, a una alimentación cuantitativa y cualitativamente adecuada y suficiente, que corresponda a las tradiciones culturales de la población a que pertenece el consumidor y que garantice una vida psíquica y física, individual y colectiva, libre de angustias, satisfactoria y digna.</w:t>
      </w:r>
      <w:r w:rsidRPr="00280E8E">
        <w:rPr>
          <w:rFonts w:ascii="Times New Roman" w:hAnsi="Times New Roman"/>
          <w:sz w:val="24"/>
          <w:szCs w:val="24"/>
        </w:rPr>
        <w:t>”</w:t>
      </w:r>
      <w:r w:rsidRPr="00280E8E">
        <w:rPr>
          <w:rStyle w:val="Refdenotaalpie"/>
          <w:rFonts w:ascii="Times New Roman" w:hAnsi="Times New Roman"/>
          <w:sz w:val="24"/>
          <w:szCs w:val="24"/>
        </w:rPr>
        <w:footnoteReference w:id="10"/>
      </w:r>
    </w:p>
    <w:p w14:paraId="19C1352B" w14:textId="77777777" w:rsidR="004C3475" w:rsidRPr="00280E8E" w:rsidRDefault="004C3475" w:rsidP="004C3475">
      <w:pPr>
        <w:widowControl w:val="0"/>
        <w:autoSpaceDE w:val="0"/>
        <w:autoSpaceDN w:val="0"/>
        <w:adjustRightInd w:val="0"/>
        <w:ind w:left="708"/>
        <w:jc w:val="both"/>
        <w:rPr>
          <w:rFonts w:ascii="Times New Roman" w:hAnsi="Times New Roman"/>
          <w:sz w:val="24"/>
          <w:szCs w:val="24"/>
        </w:rPr>
      </w:pPr>
    </w:p>
    <w:p w14:paraId="24218259" w14:textId="77777777" w:rsidR="004C3475" w:rsidRPr="00280E8E" w:rsidRDefault="004C3475" w:rsidP="004C3475">
      <w:pPr>
        <w:jc w:val="both"/>
        <w:rPr>
          <w:rFonts w:ascii="Times New Roman" w:hAnsi="Times New Roman"/>
          <w:sz w:val="24"/>
          <w:szCs w:val="24"/>
        </w:rPr>
      </w:pPr>
      <w:r w:rsidRPr="00280E8E">
        <w:rPr>
          <w:rFonts w:ascii="Times New Roman" w:hAnsi="Times New Roman"/>
          <w:sz w:val="24"/>
          <w:szCs w:val="24"/>
        </w:rPr>
        <w:t xml:space="preserve">Al respecto, surgen ciertos conceptos que resultan destacables con respecto al derecho a la alimentación, a saber: </w:t>
      </w:r>
      <w:r w:rsidRPr="00280E8E">
        <w:rPr>
          <w:rFonts w:ascii="Times New Roman" w:hAnsi="Times New Roman"/>
          <w:b/>
          <w:sz w:val="24"/>
          <w:szCs w:val="24"/>
        </w:rPr>
        <w:t>disponibilidad, accesibilidad y adecuación</w:t>
      </w:r>
      <w:r w:rsidRPr="00280E8E">
        <w:rPr>
          <w:rFonts w:ascii="Times New Roman" w:hAnsi="Times New Roman"/>
          <w:sz w:val="24"/>
          <w:szCs w:val="24"/>
        </w:rPr>
        <w:t xml:space="preserve">. </w:t>
      </w:r>
    </w:p>
    <w:p w14:paraId="34924E00" w14:textId="77777777" w:rsidR="004C3475" w:rsidRPr="00280E8E" w:rsidRDefault="004C3475" w:rsidP="004C3475">
      <w:pPr>
        <w:jc w:val="both"/>
        <w:rPr>
          <w:rFonts w:ascii="Times New Roman" w:hAnsi="Times New Roman"/>
          <w:sz w:val="24"/>
          <w:szCs w:val="24"/>
        </w:rPr>
      </w:pPr>
    </w:p>
    <w:p w14:paraId="6BC71C48" w14:textId="77777777" w:rsidR="004C3475" w:rsidRPr="00280E8E" w:rsidRDefault="004C3475" w:rsidP="004C3475">
      <w:pPr>
        <w:jc w:val="both"/>
        <w:rPr>
          <w:rFonts w:ascii="Times New Roman" w:hAnsi="Times New Roman"/>
          <w:sz w:val="24"/>
          <w:szCs w:val="24"/>
        </w:rPr>
      </w:pPr>
      <w:r w:rsidRPr="00280E8E">
        <w:rPr>
          <w:rFonts w:ascii="Times New Roman" w:hAnsi="Times New Roman"/>
          <w:sz w:val="24"/>
          <w:szCs w:val="24"/>
        </w:rPr>
        <w:t xml:space="preserve">Por disponible, debe entenderse que el alimento pueda ser obtenido ya a través de la producción de alimentos, el cultivo de la tierra y/o la ganadería, la caza o la recolección, y que también se encuentre disponible para su venta y acceso en mercados y comercio. Este concepto ha sido en parte desarrollado en el Plan Nacional de Seguridad Alimentaria y Nutricional 2012 – 2019 (PNSAN), en donde se entiende por disponible como </w:t>
      </w:r>
      <w:r w:rsidRPr="00280E8E">
        <w:rPr>
          <w:rFonts w:ascii="Times New Roman" w:hAnsi="Times New Roman"/>
          <w:i/>
          <w:sz w:val="24"/>
          <w:szCs w:val="24"/>
        </w:rPr>
        <w:t xml:space="preserve">“la cantidad de alimentos con que se cuenta a nivel nacional, regional y local; </w:t>
      </w:r>
      <w:r w:rsidRPr="00280E8E">
        <w:rPr>
          <w:rFonts w:ascii="Times New Roman" w:hAnsi="Times New Roman"/>
          <w:sz w:val="24"/>
          <w:szCs w:val="24"/>
        </w:rPr>
        <w:t xml:space="preserve">(y) </w:t>
      </w:r>
      <w:r w:rsidRPr="00280E8E">
        <w:rPr>
          <w:rFonts w:ascii="Times New Roman" w:hAnsi="Times New Roman"/>
          <w:i/>
          <w:sz w:val="24"/>
          <w:szCs w:val="24"/>
        </w:rPr>
        <w:t xml:space="preserve">está relacionada con el suministro suficiente de estos frente a los requerimientos de la población y depende </w:t>
      </w:r>
      <w:r w:rsidRPr="00280E8E">
        <w:rPr>
          <w:rFonts w:ascii="Times New Roman" w:hAnsi="Times New Roman"/>
          <w:i/>
          <w:sz w:val="24"/>
          <w:szCs w:val="24"/>
        </w:rPr>
        <w:lastRenderedPageBreak/>
        <w:t>fundamentalmente de la producción y la importación. Está determinada por: La estructura productiva (agropecuaria, agroindustrial); los sistemas de comercialización y distribución internos y externos; los factores productivos (tierra, financiamiento, agua, tecnología, recurso humano); las condiciones ecosistémicas (clima, recursos genéticos y biodiversidad); las políticas de producción y comercio; y el conflicto sociopolítico (relaciones económicas, sociales y políticas entre actores).</w:t>
      </w:r>
      <w:r w:rsidRPr="00280E8E">
        <w:rPr>
          <w:rFonts w:ascii="Times New Roman" w:hAnsi="Times New Roman"/>
          <w:sz w:val="24"/>
          <w:szCs w:val="24"/>
        </w:rPr>
        <w:t xml:space="preserve">” </w:t>
      </w:r>
    </w:p>
    <w:p w14:paraId="5094DE88" w14:textId="77777777" w:rsidR="004C3475" w:rsidRPr="00280E8E" w:rsidRDefault="004C3475" w:rsidP="004C3475">
      <w:pPr>
        <w:jc w:val="both"/>
        <w:rPr>
          <w:rFonts w:ascii="Times New Roman" w:hAnsi="Times New Roman"/>
          <w:sz w:val="24"/>
          <w:szCs w:val="24"/>
        </w:rPr>
      </w:pPr>
    </w:p>
    <w:p w14:paraId="7A29E24B" w14:textId="400C977D" w:rsidR="004C3475" w:rsidRDefault="004C3475" w:rsidP="004C3475">
      <w:pPr>
        <w:jc w:val="both"/>
        <w:rPr>
          <w:rFonts w:ascii="Times New Roman" w:hAnsi="Times New Roman"/>
          <w:sz w:val="24"/>
          <w:szCs w:val="24"/>
        </w:rPr>
      </w:pPr>
      <w:r w:rsidRPr="00280E8E">
        <w:rPr>
          <w:rFonts w:ascii="Times New Roman" w:hAnsi="Times New Roman"/>
          <w:sz w:val="24"/>
          <w:szCs w:val="24"/>
        </w:rPr>
        <w:t xml:space="preserve">Del mismo modo, el alimento debe ser </w:t>
      </w:r>
      <w:r w:rsidRPr="00280E8E">
        <w:rPr>
          <w:rFonts w:ascii="Times New Roman" w:hAnsi="Times New Roman"/>
          <w:b/>
          <w:sz w:val="24"/>
          <w:szCs w:val="24"/>
        </w:rPr>
        <w:t>accesible</w:t>
      </w:r>
      <w:r w:rsidRPr="00280E8E">
        <w:rPr>
          <w:rFonts w:ascii="Times New Roman" w:hAnsi="Times New Roman"/>
          <w:sz w:val="24"/>
          <w:szCs w:val="24"/>
        </w:rPr>
        <w:t>, ya en el plano económico como en el plano físico. En cuanto a la accesibilidad económica, dicho aspecto hace referencia a que debe garantizarse que las personas se encuentren en condiciones adecuadas de permitirse la adquisición de los alimentos sin perjuicio de otras erogaciones que resulten necesarias para atender necesidades básicas. En cuanto a la accesibilidad física, dicho criterio hace referencia a que los alimentos deben ser accesibles de manera universal y prestando especial atención a aquellas comunidades y ciudadanos que se encuentran en situaciones de vulnerabilidad. Al respecto, el PNSAN 2012 – 2019 ha dispuesto que debe entenderse por acceso como “</w:t>
      </w:r>
      <w:r w:rsidRPr="00280E8E">
        <w:rPr>
          <w:rFonts w:ascii="Times New Roman" w:hAnsi="Times New Roman"/>
          <w:i/>
          <w:sz w:val="24"/>
          <w:szCs w:val="24"/>
        </w:rPr>
        <w:t>la posibilidad de todas las personas de alcanzar una alimentación adecuada y sostenible. Se refiere a los alimentos que puede obtener o comprar una familia, comunidad o país. Sus determinantes básicos son: Nivel y distribución de ingresos (monetarios y no monetarios) y los precios de los alimentos.</w:t>
      </w:r>
      <w:r w:rsidRPr="00280E8E">
        <w:rPr>
          <w:rFonts w:ascii="Times New Roman" w:hAnsi="Times New Roman"/>
          <w:sz w:val="24"/>
          <w:szCs w:val="24"/>
        </w:rPr>
        <w:t>”</w:t>
      </w:r>
    </w:p>
    <w:p w14:paraId="3E1C5C52" w14:textId="77777777" w:rsidR="004C3475" w:rsidRPr="00280E8E" w:rsidRDefault="004C3475" w:rsidP="004C3475">
      <w:pPr>
        <w:jc w:val="both"/>
        <w:rPr>
          <w:rFonts w:ascii="Times New Roman" w:hAnsi="Times New Roman"/>
          <w:sz w:val="24"/>
          <w:szCs w:val="24"/>
        </w:rPr>
      </w:pPr>
    </w:p>
    <w:p w14:paraId="33DB3DC0" w14:textId="77777777" w:rsidR="004C3475" w:rsidRPr="00280E8E" w:rsidRDefault="004C3475" w:rsidP="004C3475">
      <w:pPr>
        <w:jc w:val="both"/>
        <w:rPr>
          <w:rFonts w:ascii="Times New Roman" w:hAnsi="Times New Roman"/>
          <w:sz w:val="24"/>
          <w:szCs w:val="24"/>
        </w:rPr>
      </w:pPr>
      <w:r w:rsidRPr="00280E8E">
        <w:rPr>
          <w:rFonts w:ascii="Times New Roman" w:hAnsi="Times New Roman"/>
          <w:sz w:val="24"/>
          <w:szCs w:val="24"/>
        </w:rPr>
        <w:t>Por último, el alimento debe ser adecuado. Dicho criterio se refiere a que la alimentación debe satisfacer las necesidades básicas de dieta teniendo en cuenta la condición de la persona. Dentro de dicho criterio se contemplan también la necesidad de garantizar que los alimentos sean seguros para el consumo humano, es decir, que se encuentren libres de sustancias nocivas y/o contaminantes que puedan atentar contra la salud humana. También se encuentra contemplado el concepto de alimento culturalmente aceptable, el cual se refiere a la necesidad de que los alimentos que se provean no se encuentren proscritos por las tradiciones ni los valores culturales o religiosos de las comunidades. Respecto a este criterio establecido como fundamental por la doctrina internacional, el PNSAN 2012 – 2019 no hace ninguna referencia explícita respecto al mismo, aunque se hacen tangenciales referencias al mismo dentro de los criterios previamente mencionados.</w:t>
      </w:r>
    </w:p>
    <w:p w14:paraId="7CDCB4CE" w14:textId="77777777" w:rsidR="004C3475" w:rsidRPr="00280E8E" w:rsidRDefault="004C3475" w:rsidP="004C3475">
      <w:pPr>
        <w:jc w:val="both"/>
        <w:rPr>
          <w:rFonts w:ascii="Times New Roman" w:hAnsi="Times New Roman"/>
          <w:sz w:val="24"/>
          <w:szCs w:val="24"/>
        </w:rPr>
      </w:pPr>
    </w:p>
    <w:p w14:paraId="3A113CAC" w14:textId="77777777" w:rsidR="004C3475" w:rsidRPr="00280E8E" w:rsidRDefault="004C3475" w:rsidP="004C3475">
      <w:pPr>
        <w:jc w:val="both"/>
        <w:rPr>
          <w:rFonts w:ascii="Times New Roman" w:hAnsi="Times New Roman"/>
          <w:sz w:val="24"/>
          <w:szCs w:val="24"/>
        </w:rPr>
      </w:pPr>
      <w:r w:rsidRPr="00280E8E">
        <w:rPr>
          <w:rFonts w:ascii="Times New Roman" w:hAnsi="Times New Roman"/>
          <w:sz w:val="24"/>
          <w:szCs w:val="24"/>
        </w:rPr>
        <w:t>Respecto a las obligaciones que impone el derecho a la alimentación adecuada a los Estados, las cuales fueron esbozadas anteriormente, es preciso desarrollar. Así pues, es preciso entonces acudir nuevamente a lo estipulado en la Observación General No. 12, el cual establece que:</w:t>
      </w:r>
    </w:p>
    <w:p w14:paraId="42515373" w14:textId="77777777" w:rsidR="004C3475" w:rsidRPr="00280E8E" w:rsidRDefault="004C3475" w:rsidP="004C3475">
      <w:pPr>
        <w:jc w:val="both"/>
        <w:rPr>
          <w:rFonts w:ascii="Times New Roman" w:hAnsi="Times New Roman"/>
          <w:sz w:val="24"/>
          <w:szCs w:val="24"/>
        </w:rPr>
      </w:pPr>
    </w:p>
    <w:p w14:paraId="3CAE04E8" w14:textId="68E1944A" w:rsidR="004C3475" w:rsidRPr="004C3475" w:rsidRDefault="004C3475" w:rsidP="004C3475">
      <w:pPr>
        <w:widowControl w:val="0"/>
        <w:autoSpaceDE w:val="0"/>
        <w:autoSpaceDN w:val="0"/>
        <w:adjustRightInd w:val="0"/>
        <w:ind w:left="709" w:right="709"/>
        <w:jc w:val="both"/>
        <w:rPr>
          <w:rFonts w:ascii="Times New Roman" w:hAnsi="Times New Roman"/>
          <w:sz w:val="24"/>
          <w:szCs w:val="24"/>
        </w:rPr>
      </w:pPr>
      <w:r w:rsidRPr="00280E8E">
        <w:rPr>
          <w:rFonts w:ascii="Times New Roman" w:hAnsi="Times New Roman"/>
          <w:sz w:val="24"/>
          <w:szCs w:val="24"/>
        </w:rPr>
        <w:t>“</w:t>
      </w:r>
      <w:r w:rsidRPr="00280E8E">
        <w:rPr>
          <w:rFonts w:ascii="Times New Roman" w:hAnsi="Times New Roman"/>
          <w:i/>
          <w:sz w:val="24"/>
          <w:szCs w:val="24"/>
        </w:rPr>
        <w:t xml:space="preserve">El derecho a la alimentación adecuada, al igual que cualquier otro derecho humano, impone tres tipos o niveles de obligaciones a los Estados Partes: las obligaciones de </w:t>
      </w:r>
      <w:r w:rsidRPr="00280E8E">
        <w:rPr>
          <w:rFonts w:ascii="Times New Roman" w:hAnsi="Times New Roman"/>
          <w:b/>
          <w:i/>
          <w:sz w:val="24"/>
          <w:szCs w:val="24"/>
        </w:rPr>
        <w:t>respetar, proteger y realizar</w:t>
      </w:r>
      <w:r w:rsidRPr="00280E8E">
        <w:rPr>
          <w:rFonts w:ascii="Times New Roman" w:hAnsi="Times New Roman"/>
          <w:i/>
          <w:sz w:val="24"/>
          <w:szCs w:val="24"/>
        </w:rPr>
        <w:t xml:space="preserve">. A su vez, la obligación de realizar entraña tanto la obligación de facilitar como la obligación de hacer efectivo. La obligación de respetar el acceso existente a una alimentación adecuada requiere que los Estados no adopten medidas de ningún tipo que </w:t>
      </w:r>
      <w:r w:rsidRPr="00280E8E">
        <w:rPr>
          <w:rFonts w:ascii="Times New Roman" w:hAnsi="Times New Roman"/>
          <w:i/>
          <w:sz w:val="24"/>
          <w:szCs w:val="24"/>
        </w:rPr>
        <w:lastRenderedPageBreak/>
        <w:t>tengan por resultado impedir ese acceso. La obligación de proteger requiere que el Estado Parte adopte medidas para velar por que las empresas o los particulares no priven a las personas del acceso a una alimentación adecuada. La obligación de realizar (facilitar) significa que el Estado debe procurar iniciar actividades con el fin de fortalecer el acceso y la utilización por parte de la población de los recursos y medios que aseguren sus medios de vida, incluida la seguridad alimentaria. Por último, cuando un individuo o un grupo sea incapaz, por razones que escapen a su control, de disfrutar el derecho a una alimentación adecuada por los medios a su alcance, los Estados tienen la obligación de realizar (hacer efectivo) ese derecho directamente. Esta obligación también se aplica a las personas que son víctimas de catástrofes naturales o de otra índole.</w:t>
      </w:r>
      <w:r w:rsidRPr="00280E8E">
        <w:rPr>
          <w:rFonts w:ascii="Times New Roman" w:hAnsi="Times New Roman"/>
          <w:sz w:val="24"/>
          <w:szCs w:val="24"/>
        </w:rPr>
        <w:t>”</w:t>
      </w:r>
      <w:r w:rsidRPr="00280E8E">
        <w:rPr>
          <w:rStyle w:val="Refdenotaalpie"/>
          <w:rFonts w:ascii="Times New Roman" w:hAnsi="Times New Roman"/>
          <w:sz w:val="24"/>
          <w:szCs w:val="24"/>
        </w:rPr>
        <w:footnoteReference w:id="11"/>
      </w:r>
      <w:r w:rsidRPr="00280E8E">
        <w:rPr>
          <w:rFonts w:ascii="Times New Roman" w:hAnsi="Times New Roman"/>
          <w:sz w:val="24"/>
          <w:szCs w:val="24"/>
        </w:rPr>
        <w:t xml:space="preserve"> (se resalta)</w:t>
      </w:r>
    </w:p>
    <w:p w14:paraId="3DF5B47D" w14:textId="1619F7AE" w:rsidR="002A028C" w:rsidRPr="00896E89" w:rsidRDefault="002A028C" w:rsidP="002A028C">
      <w:pPr>
        <w:jc w:val="both"/>
        <w:rPr>
          <w:rFonts w:ascii="Times New Roman" w:hAnsi="Times New Roman" w:cs="Times New Roman"/>
          <w:sz w:val="24"/>
          <w:szCs w:val="24"/>
        </w:rPr>
      </w:pPr>
    </w:p>
    <w:p w14:paraId="72F94B4A" w14:textId="5882FA5D" w:rsidR="004C3475" w:rsidRDefault="004C3475" w:rsidP="004C3475">
      <w:pPr>
        <w:pStyle w:val="Prrafodelista"/>
        <w:numPr>
          <w:ilvl w:val="1"/>
          <w:numId w:val="1"/>
        </w:numPr>
        <w:jc w:val="both"/>
        <w:rPr>
          <w:rFonts w:ascii="Times New Roman" w:hAnsi="Times New Roman" w:cs="Times New Roman"/>
          <w:b/>
          <w:bCs/>
          <w:sz w:val="24"/>
          <w:szCs w:val="24"/>
          <w:lang w:val="es-CO"/>
        </w:rPr>
      </w:pPr>
      <w:r w:rsidRPr="00280E8E">
        <w:rPr>
          <w:rFonts w:ascii="Times New Roman" w:hAnsi="Times New Roman"/>
          <w:b/>
          <w:sz w:val="24"/>
          <w:szCs w:val="24"/>
        </w:rPr>
        <w:t>Consideraciones frente a la exigibilidad del derecho en los términos planteados en el proyecto</w:t>
      </w:r>
    </w:p>
    <w:p w14:paraId="0D972FDB" w14:textId="16035EDE" w:rsidR="004C3475" w:rsidRDefault="004C3475" w:rsidP="004C3475">
      <w:pPr>
        <w:jc w:val="both"/>
        <w:rPr>
          <w:rFonts w:ascii="Times New Roman" w:hAnsi="Times New Roman" w:cs="Times New Roman"/>
          <w:b/>
          <w:bCs/>
          <w:sz w:val="24"/>
          <w:szCs w:val="24"/>
          <w:lang w:val="es-CO"/>
        </w:rPr>
      </w:pPr>
    </w:p>
    <w:p w14:paraId="49BD7FAF" w14:textId="77777777" w:rsidR="004C3475" w:rsidRPr="00280E8E" w:rsidRDefault="004C3475" w:rsidP="004C3475">
      <w:pPr>
        <w:widowControl w:val="0"/>
        <w:autoSpaceDE w:val="0"/>
        <w:autoSpaceDN w:val="0"/>
        <w:adjustRightInd w:val="0"/>
        <w:jc w:val="both"/>
        <w:rPr>
          <w:rFonts w:ascii="Times New Roman" w:hAnsi="Times New Roman"/>
          <w:sz w:val="24"/>
          <w:szCs w:val="24"/>
        </w:rPr>
      </w:pPr>
      <w:r w:rsidRPr="00280E8E">
        <w:rPr>
          <w:rFonts w:ascii="Times New Roman" w:hAnsi="Times New Roman"/>
          <w:sz w:val="24"/>
          <w:szCs w:val="24"/>
        </w:rPr>
        <w:t>En lo que respecta a la exigibilidad del derecho, en los términos que se plantean en el articulado, se ha reconocido que los medios para garantizar el mentado derecho variarán de manera inevitable y considerable de un Estado Parte a otro. En virtud de lo anterior, existe una libertad de aproximación y enfoques al momento de formular políticas públicas que estén destinadas a cumplir con las obligaciones que se encuentran contempladas en el artículo 11 del Pacto Internacional de Derechos Económicos, Sociales y Culturales</w:t>
      </w:r>
      <w:r w:rsidRPr="00280E8E">
        <w:rPr>
          <w:rStyle w:val="Refdenotaalpie"/>
          <w:rFonts w:ascii="Times New Roman" w:hAnsi="Times New Roman"/>
          <w:sz w:val="24"/>
          <w:szCs w:val="24"/>
        </w:rPr>
        <w:footnoteReference w:id="12"/>
      </w:r>
      <w:r w:rsidRPr="00280E8E">
        <w:rPr>
          <w:rFonts w:ascii="Times New Roman" w:hAnsi="Times New Roman"/>
          <w:sz w:val="24"/>
          <w:szCs w:val="24"/>
        </w:rPr>
        <w:t>, cuya realización en sí (salvo en aquellos casos en los cuales se vean involucrados Niños, Niñas y Adolescentes) se debe materializar de manera progresiva, conforme a la disponibilidad presupuestal de los Estados.</w:t>
      </w:r>
    </w:p>
    <w:p w14:paraId="05D825EF" w14:textId="77777777" w:rsidR="004C3475" w:rsidRPr="00280E8E" w:rsidRDefault="004C3475" w:rsidP="004C3475">
      <w:pPr>
        <w:widowControl w:val="0"/>
        <w:autoSpaceDE w:val="0"/>
        <w:autoSpaceDN w:val="0"/>
        <w:adjustRightInd w:val="0"/>
        <w:jc w:val="both"/>
        <w:rPr>
          <w:rFonts w:ascii="Times New Roman" w:hAnsi="Times New Roman"/>
          <w:sz w:val="24"/>
          <w:szCs w:val="24"/>
        </w:rPr>
      </w:pPr>
    </w:p>
    <w:p w14:paraId="5033EEA1" w14:textId="77777777" w:rsidR="004C3475" w:rsidRPr="00280E8E" w:rsidRDefault="004C3475" w:rsidP="004C3475">
      <w:pPr>
        <w:widowControl w:val="0"/>
        <w:autoSpaceDE w:val="0"/>
        <w:autoSpaceDN w:val="0"/>
        <w:adjustRightInd w:val="0"/>
        <w:jc w:val="both"/>
        <w:rPr>
          <w:rFonts w:ascii="Times New Roman" w:hAnsi="Times New Roman"/>
          <w:sz w:val="24"/>
          <w:szCs w:val="24"/>
        </w:rPr>
      </w:pPr>
      <w:r w:rsidRPr="00280E8E">
        <w:rPr>
          <w:rFonts w:ascii="Times New Roman" w:hAnsi="Times New Roman"/>
          <w:sz w:val="24"/>
          <w:szCs w:val="24"/>
        </w:rPr>
        <w:t>En ese sentido, resulta necesario traer a colación lo dispuesto por el economista y premio Nobel de economía Amartya Sen en su escrito “</w:t>
      </w:r>
      <w:proofErr w:type="spellStart"/>
      <w:r w:rsidRPr="00280E8E">
        <w:rPr>
          <w:rFonts w:ascii="Times New Roman" w:hAnsi="Times New Roman"/>
          <w:i/>
          <w:sz w:val="24"/>
          <w:szCs w:val="24"/>
        </w:rPr>
        <w:t>The</w:t>
      </w:r>
      <w:proofErr w:type="spellEnd"/>
      <w:r w:rsidRPr="00280E8E">
        <w:rPr>
          <w:rFonts w:ascii="Times New Roman" w:hAnsi="Times New Roman"/>
          <w:i/>
          <w:sz w:val="24"/>
          <w:szCs w:val="24"/>
        </w:rPr>
        <w:t xml:space="preserve"> </w:t>
      </w:r>
      <w:proofErr w:type="spellStart"/>
      <w:r w:rsidRPr="00280E8E">
        <w:rPr>
          <w:rFonts w:ascii="Times New Roman" w:hAnsi="Times New Roman"/>
          <w:i/>
          <w:sz w:val="24"/>
          <w:szCs w:val="24"/>
        </w:rPr>
        <w:t>right</w:t>
      </w:r>
      <w:proofErr w:type="spellEnd"/>
      <w:r w:rsidRPr="00280E8E">
        <w:rPr>
          <w:rFonts w:ascii="Times New Roman" w:hAnsi="Times New Roman"/>
          <w:i/>
          <w:sz w:val="24"/>
          <w:szCs w:val="24"/>
        </w:rPr>
        <w:t xml:space="preserve"> </w:t>
      </w:r>
      <w:proofErr w:type="spellStart"/>
      <w:r w:rsidRPr="00280E8E">
        <w:rPr>
          <w:rFonts w:ascii="Times New Roman" w:hAnsi="Times New Roman"/>
          <w:i/>
          <w:sz w:val="24"/>
          <w:szCs w:val="24"/>
        </w:rPr>
        <w:t>not</w:t>
      </w:r>
      <w:proofErr w:type="spellEnd"/>
      <w:r w:rsidRPr="00280E8E">
        <w:rPr>
          <w:rFonts w:ascii="Times New Roman" w:hAnsi="Times New Roman"/>
          <w:i/>
          <w:sz w:val="24"/>
          <w:szCs w:val="24"/>
        </w:rPr>
        <w:t xml:space="preserve"> </w:t>
      </w:r>
      <w:proofErr w:type="spellStart"/>
      <w:r w:rsidRPr="00280E8E">
        <w:rPr>
          <w:rFonts w:ascii="Times New Roman" w:hAnsi="Times New Roman"/>
          <w:i/>
          <w:sz w:val="24"/>
          <w:szCs w:val="24"/>
        </w:rPr>
        <w:t>to</w:t>
      </w:r>
      <w:proofErr w:type="spellEnd"/>
      <w:r w:rsidRPr="00280E8E">
        <w:rPr>
          <w:rFonts w:ascii="Times New Roman" w:hAnsi="Times New Roman"/>
          <w:i/>
          <w:sz w:val="24"/>
          <w:szCs w:val="24"/>
        </w:rPr>
        <w:t xml:space="preserve"> be </w:t>
      </w:r>
      <w:proofErr w:type="spellStart"/>
      <w:r w:rsidRPr="00280E8E">
        <w:rPr>
          <w:rFonts w:ascii="Times New Roman" w:hAnsi="Times New Roman"/>
          <w:i/>
          <w:sz w:val="24"/>
          <w:szCs w:val="24"/>
        </w:rPr>
        <w:t>hungry</w:t>
      </w:r>
      <w:proofErr w:type="spellEnd"/>
      <w:r w:rsidRPr="00280E8E">
        <w:rPr>
          <w:rFonts w:ascii="Times New Roman" w:hAnsi="Times New Roman"/>
          <w:sz w:val="24"/>
          <w:szCs w:val="24"/>
        </w:rPr>
        <w:t>” (1982) quien plantea la existencia de una nueva categoría de derechos que denomina “</w:t>
      </w:r>
      <w:proofErr w:type="spellStart"/>
      <w:r w:rsidRPr="00280E8E">
        <w:rPr>
          <w:rFonts w:ascii="Times New Roman" w:hAnsi="Times New Roman"/>
          <w:sz w:val="24"/>
          <w:szCs w:val="24"/>
        </w:rPr>
        <w:t>metaderechos</w:t>
      </w:r>
      <w:proofErr w:type="spellEnd"/>
      <w:r w:rsidRPr="00280E8E">
        <w:rPr>
          <w:rFonts w:ascii="Times New Roman" w:hAnsi="Times New Roman"/>
          <w:sz w:val="24"/>
          <w:szCs w:val="24"/>
        </w:rPr>
        <w:t>”. En ese sentido, Sen plantea que “</w:t>
      </w:r>
      <w:r w:rsidRPr="00280E8E">
        <w:rPr>
          <w:rFonts w:ascii="Times New Roman" w:hAnsi="Times New Roman"/>
          <w:i/>
          <w:sz w:val="24"/>
          <w:szCs w:val="24"/>
        </w:rPr>
        <w:t xml:space="preserve">un </w:t>
      </w:r>
      <w:proofErr w:type="spellStart"/>
      <w:r w:rsidRPr="00280E8E">
        <w:rPr>
          <w:rFonts w:ascii="Times New Roman" w:hAnsi="Times New Roman"/>
          <w:i/>
          <w:sz w:val="24"/>
          <w:szCs w:val="24"/>
        </w:rPr>
        <w:t>metaderecho</w:t>
      </w:r>
      <w:proofErr w:type="spellEnd"/>
      <w:r w:rsidRPr="00280E8E">
        <w:rPr>
          <w:rFonts w:ascii="Times New Roman" w:hAnsi="Times New Roman"/>
          <w:i/>
          <w:sz w:val="24"/>
          <w:szCs w:val="24"/>
        </w:rPr>
        <w:t xml:space="preserve"> a algo x puede ser definido como el derecho a tener políticas p(x) que persigan genuinamente el objetivo de hacer realizable el derecho a x</w:t>
      </w:r>
      <w:r w:rsidRPr="00280E8E">
        <w:rPr>
          <w:rFonts w:ascii="Times New Roman" w:hAnsi="Times New Roman"/>
          <w:sz w:val="24"/>
          <w:szCs w:val="24"/>
        </w:rPr>
        <w:t>”</w:t>
      </w:r>
      <w:r w:rsidRPr="00280E8E">
        <w:rPr>
          <w:rStyle w:val="Refdenotaalpie"/>
          <w:rFonts w:ascii="Times New Roman" w:hAnsi="Times New Roman"/>
          <w:sz w:val="24"/>
          <w:szCs w:val="24"/>
        </w:rPr>
        <w:footnoteReference w:id="13"/>
      </w:r>
      <w:r w:rsidRPr="00280E8E">
        <w:rPr>
          <w:rFonts w:ascii="Times New Roman" w:hAnsi="Times New Roman"/>
          <w:sz w:val="24"/>
          <w:szCs w:val="24"/>
        </w:rPr>
        <w:t xml:space="preserve"> Con el propósito de ejemplificar su afirmación, el autor plantea un ejemplo de la Constitución de la India en donde claramente se esboza una redacción “</w:t>
      </w:r>
      <w:r w:rsidRPr="00280E8E">
        <w:rPr>
          <w:rFonts w:ascii="Times New Roman" w:hAnsi="Times New Roman"/>
          <w:i/>
          <w:sz w:val="24"/>
          <w:szCs w:val="24"/>
        </w:rPr>
        <w:t xml:space="preserve">suficientemente cuidadosa para evitar aseverar que tal derecho existe de antemano </w:t>
      </w:r>
      <w:r w:rsidRPr="00280E8E">
        <w:rPr>
          <w:rFonts w:ascii="Times New Roman" w:hAnsi="Times New Roman"/>
          <w:sz w:val="24"/>
          <w:szCs w:val="24"/>
        </w:rPr>
        <w:t xml:space="preserve">(pese a que es deseable su existencia y puede argumentarse desde el ámbito de la conexidad con Derechos </w:t>
      </w:r>
      <w:r w:rsidRPr="00280E8E">
        <w:rPr>
          <w:rFonts w:ascii="Times New Roman" w:hAnsi="Times New Roman"/>
          <w:sz w:val="24"/>
          <w:szCs w:val="24"/>
        </w:rPr>
        <w:lastRenderedPageBreak/>
        <w:t xml:space="preserve">Fundamentales de corte no prestacional), </w:t>
      </w:r>
      <w:r w:rsidRPr="00280E8E">
        <w:rPr>
          <w:rFonts w:ascii="Times New Roman" w:hAnsi="Times New Roman"/>
          <w:i/>
          <w:sz w:val="24"/>
          <w:szCs w:val="24"/>
        </w:rPr>
        <w:t>al decir que tan solo las políticas deben ser dirigidas a hacer posible tener medios adecuados para la realización del fin</w:t>
      </w:r>
      <w:r w:rsidRPr="00280E8E">
        <w:rPr>
          <w:rFonts w:ascii="Times New Roman" w:hAnsi="Times New Roman"/>
          <w:sz w:val="24"/>
          <w:szCs w:val="24"/>
        </w:rPr>
        <w:t>”</w:t>
      </w:r>
      <w:r w:rsidRPr="00280E8E">
        <w:rPr>
          <w:rStyle w:val="Refdenotaalpie"/>
          <w:rFonts w:ascii="Times New Roman" w:hAnsi="Times New Roman"/>
          <w:sz w:val="24"/>
          <w:szCs w:val="24"/>
        </w:rPr>
        <w:footnoteReference w:id="14"/>
      </w:r>
    </w:p>
    <w:p w14:paraId="73568827" w14:textId="77777777" w:rsidR="004C3475" w:rsidRPr="00280E8E" w:rsidRDefault="004C3475" w:rsidP="004C3475">
      <w:pPr>
        <w:widowControl w:val="0"/>
        <w:autoSpaceDE w:val="0"/>
        <w:autoSpaceDN w:val="0"/>
        <w:adjustRightInd w:val="0"/>
        <w:jc w:val="both"/>
        <w:rPr>
          <w:rFonts w:ascii="Times New Roman" w:hAnsi="Times New Roman"/>
          <w:sz w:val="24"/>
          <w:szCs w:val="24"/>
        </w:rPr>
      </w:pPr>
    </w:p>
    <w:p w14:paraId="59B22F10" w14:textId="77777777" w:rsidR="004C3475" w:rsidRPr="00280E8E" w:rsidRDefault="004C3475" w:rsidP="004C3475">
      <w:pPr>
        <w:widowControl w:val="0"/>
        <w:autoSpaceDE w:val="0"/>
        <w:autoSpaceDN w:val="0"/>
        <w:adjustRightInd w:val="0"/>
        <w:jc w:val="both"/>
        <w:rPr>
          <w:rFonts w:ascii="Times New Roman" w:hAnsi="Times New Roman"/>
          <w:sz w:val="24"/>
          <w:szCs w:val="24"/>
        </w:rPr>
      </w:pPr>
      <w:r w:rsidRPr="00280E8E">
        <w:rPr>
          <w:rFonts w:ascii="Times New Roman" w:hAnsi="Times New Roman"/>
          <w:sz w:val="24"/>
          <w:szCs w:val="24"/>
        </w:rPr>
        <w:t xml:space="preserve">El eje central de la teoría esbozada por Sen parte de una sencilla premisa: la redacción consignada, de ser aceptada y positivizada en el texto constitucional, plantea que tan solo se le otorgaría el reconocimiento y las herramientas para exigir al Gobierno el derecho a que se pongan en práctica las políticas (definidas por el autor como p(x)) y que sean conducentes para la realización y materialización del fin perseguido (definido como x por el Autor). </w:t>
      </w:r>
    </w:p>
    <w:p w14:paraId="23C44C0F" w14:textId="77777777" w:rsidR="004C3475" w:rsidRPr="00280E8E" w:rsidRDefault="004C3475" w:rsidP="004C3475">
      <w:pPr>
        <w:widowControl w:val="0"/>
        <w:autoSpaceDE w:val="0"/>
        <w:autoSpaceDN w:val="0"/>
        <w:adjustRightInd w:val="0"/>
        <w:jc w:val="both"/>
        <w:rPr>
          <w:rFonts w:ascii="Times New Roman" w:hAnsi="Times New Roman"/>
          <w:sz w:val="24"/>
          <w:szCs w:val="24"/>
        </w:rPr>
      </w:pPr>
    </w:p>
    <w:p w14:paraId="3CA6ADB9" w14:textId="77777777" w:rsidR="004C3475" w:rsidRDefault="004C3475" w:rsidP="004C3475">
      <w:pPr>
        <w:widowControl w:val="0"/>
        <w:autoSpaceDE w:val="0"/>
        <w:autoSpaceDN w:val="0"/>
        <w:adjustRightInd w:val="0"/>
        <w:jc w:val="both"/>
        <w:rPr>
          <w:rFonts w:ascii="Times New Roman" w:hAnsi="Times New Roman"/>
          <w:sz w:val="24"/>
          <w:szCs w:val="24"/>
        </w:rPr>
      </w:pPr>
      <w:r w:rsidRPr="00280E8E">
        <w:rPr>
          <w:rFonts w:ascii="Times New Roman" w:hAnsi="Times New Roman"/>
          <w:sz w:val="24"/>
          <w:szCs w:val="24"/>
        </w:rPr>
        <w:t xml:space="preserve">En ese sentido, de acuerdo con Sen </w:t>
      </w:r>
    </w:p>
    <w:p w14:paraId="6163569D" w14:textId="77777777" w:rsidR="004C3475" w:rsidRDefault="004C3475" w:rsidP="004C3475">
      <w:pPr>
        <w:widowControl w:val="0"/>
        <w:autoSpaceDE w:val="0"/>
        <w:autoSpaceDN w:val="0"/>
        <w:adjustRightInd w:val="0"/>
        <w:jc w:val="both"/>
        <w:rPr>
          <w:rFonts w:ascii="Times New Roman" w:hAnsi="Times New Roman"/>
          <w:sz w:val="24"/>
          <w:szCs w:val="24"/>
        </w:rPr>
      </w:pPr>
    </w:p>
    <w:p w14:paraId="3AFEBF05" w14:textId="77777777" w:rsidR="004C3475" w:rsidRDefault="004C3475" w:rsidP="004C3475">
      <w:pPr>
        <w:widowControl w:val="0"/>
        <w:autoSpaceDE w:val="0"/>
        <w:autoSpaceDN w:val="0"/>
        <w:adjustRightInd w:val="0"/>
        <w:ind w:left="709" w:right="709"/>
        <w:jc w:val="both"/>
        <w:rPr>
          <w:rFonts w:ascii="Times New Roman" w:hAnsi="Times New Roman"/>
          <w:sz w:val="24"/>
          <w:szCs w:val="24"/>
        </w:rPr>
      </w:pPr>
      <w:r w:rsidRPr="00280E8E">
        <w:rPr>
          <w:rFonts w:ascii="Times New Roman" w:hAnsi="Times New Roman"/>
          <w:sz w:val="24"/>
          <w:szCs w:val="24"/>
        </w:rPr>
        <w:t>“</w:t>
      </w:r>
      <w:r w:rsidRPr="00280E8E">
        <w:rPr>
          <w:rFonts w:ascii="Times New Roman" w:hAnsi="Times New Roman"/>
          <w:i/>
          <w:sz w:val="24"/>
          <w:szCs w:val="24"/>
        </w:rPr>
        <w:t xml:space="preserve">no resulta difícil observar por qué los </w:t>
      </w:r>
      <w:proofErr w:type="spellStart"/>
      <w:r w:rsidRPr="00280E8E">
        <w:rPr>
          <w:rFonts w:ascii="Times New Roman" w:hAnsi="Times New Roman"/>
          <w:i/>
          <w:sz w:val="24"/>
          <w:szCs w:val="24"/>
        </w:rPr>
        <w:t>metaderechos</w:t>
      </w:r>
      <w:proofErr w:type="spellEnd"/>
      <w:r w:rsidRPr="00280E8E">
        <w:rPr>
          <w:rFonts w:ascii="Times New Roman" w:hAnsi="Times New Roman"/>
          <w:i/>
          <w:sz w:val="24"/>
          <w:szCs w:val="24"/>
        </w:rPr>
        <w:t xml:space="preserve"> de este tipo tienen relevancia particular para objetivos económicos tales como la remoción de la pobreza o el hambre. En muchos países en donde </w:t>
      </w:r>
      <w:r w:rsidRPr="00280E8E">
        <w:rPr>
          <w:rFonts w:ascii="Times New Roman" w:hAnsi="Times New Roman"/>
          <w:sz w:val="24"/>
          <w:szCs w:val="24"/>
        </w:rPr>
        <w:t xml:space="preserve">(estas dos situaciones) </w:t>
      </w:r>
      <w:r w:rsidRPr="00280E8E">
        <w:rPr>
          <w:rFonts w:ascii="Times New Roman" w:hAnsi="Times New Roman"/>
          <w:i/>
          <w:sz w:val="24"/>
          <w:szCs w:val="24"/>
        </w:rPr>
        <w:t>están diseminados, puede que no exista ningún modo factible mediante el cual en un futuro cercano se le garantice a todos ser liberados de aquellas, pero sí políticas que rápidamente conducirán a tal liberación</w:t>
      </w:r>
      <w:r w:rsidRPr="00280E8E">
        <w:rPr>
          <w:rFonts w:ascii="Times New Roman" w:hAnsi="Times New Roman"/>
          <w:sz w:val="24"/>
          <w:szCs w:val="24"/>
        </w:rPr>
        <w:t>.”</w:t>
      </w:r>
      <w:r w:rsidRPr="00280E8E">
        <w:rPr>
          <w:rStyle w:val="Refdenotaalpie"/>
          <w:rFonts w:ascii="Times New Roman" w:hAnsi="Times New Roman"/>
          <w:sz w:val="24"/>
          <w:szCs w:val="24"/>
        </w:rPr>
        <w:footnoteReference w:id="15"/>
      </w:r>
      <w:r w:rsidRPr="00280E8E">
        <w:rPr>
          <w:rFonts w:ascii="Times New Roman" w:hAnsi="Times New Roman"/>
          <w:sz w:val="24"/>
          <w:szCs w:val="24"/>
        </w:rPr>
        <w:t xml:space="preserve"> </w:t>
      </w:r>
    </w:p>
    <w:p w14:paraId="59F2F191" w14:textId="77777777" w:rsidR="004C3475" w:rsidRDefault="004C3475" w:rsidP="004C3475">
      <w:pPr>
        <w:widowControl w:val="0"/>
        <w:autoSpaceDE w:val="0"/>
        <w:autoSpaceDN w:val="0"/>
        <w:adjustRightInd w:val="0"/>
        <w:jc w:val="both"/>
        <w:rPr>
          <w:rFonts w:ascii="Times New Roman" w:hAnsi="Times New Roman"/>
          <w:sz w:val="24"/>
          <w:szCs w:val="24"/>
        </w:rPr>
      </w:pPr>
    </w:p>
    <w:p w14:paraId="582A1DD8" w14:textId="77777777" w:rsidR="004C3475" w:rsidRPr="00280E8E" w:rsidRDefault="004C3475" w:rsidP="004C3475">
      <w:pPr>
        <w:widowControl w:val="0"/>
        <w:autoSpaceDE w:val="0"/>
        <w:autoSpaceDN w:val="0"/>
        <w:adjustRightInd w:val="0"/>
        <w:jc w:val="both"/>
        <w:rPr>
          <w:rFonts w:ascii="Times New Roman" w:hAnsi="Times New Roman"/>
          <w:sz w:val="24"/>
          <w:szCs w:val="24"/>
        </w:rPr>
      </w:pPr>
      <w:r w:rsidRPr="00280E8E">
        <w:rPr>
          <w:rFonts w:ascii="Times New Roman" w:hAnsi="Times New Roman"/>
          <w:sz w:val="24"/>
          <w:szCs w:val="24"/>
        </w:rPr>
        <w:t xml:space="preserve">Tomando en consideración el anterior panorama, se cree que establecer el </w:t>
      </w:r>
      <w:proofErr w:type="spellStart"/>
      <w:r w:rsidRPr="00280E8E">
        <w:rPr>
          <w:rFonts w:ascii="Times New Roman" w:hAnsi="Times New Roman"/>
          <w:sz w:val="24"/>
          <w:szCs w:val="24"/>
        </w:rPr>
        <w:t>metaderecho</w:t>
      </w:r>
      <w:proofErr w:type="spellEnd"/>
      <w:r w:rsidRPr="00280E8E">
        <w:rPr>
          <w:rFonts w:ascii="Times New Roman" w:hAnsi="Times New Roman"/>
          <w:sz w:val="24"/>
          <w:szCs w:val="24"/>
        </w:rPr>
        <w:t xml:space="preserve"> a ser liberado del hambre es el derecho no a la provisión y prestación permanente de los alimentos, sino a la acción, a exigirle al Estado que despliegue una serie de medidas y políticas públicas serias a través de las cuales se materialice el derecho-objetivo de contar con una población libre del flagelo del hambre.</w:t>
      </w:r>
    </w:p>
    <w:p w14:paraId="62C7BCF6" w14:textId="77777777" w:rsidR="004C3475" w:rsidRPr="00280E8E" w:rsidRDefault="004C3475" w:rsidP="004C3475">
      <w:pPr>
        <w:widowControl w:val="0"/>
        <w:autoSpaceDE w:val="0"/>
        <w:autoSpaceDN w:val="0"/>
        <w:adjustRightInd w:val="0"/>
        <w:jc w:val="both"/>
        <w:rPr>
          <w:rFonts w:ascii="Times New Roman" w:hAnsi="Times New Roman"/>
          <w:sz w:val="24"/>
          <w:szCs w:val="24"/>
        </w:rPr>
      </w:pPr>
    </w:p>
    <w:p w14:paraId="23A90CE0" w14:textId="77777777" w:rsidR="004C3475" w:rsidRPr="00280E8E" w:rsidRDefault="004C3475" w:rsidP="004C3475">
      <w:pPr>
        <w:widowControl w:val="0"/>
        <w:autoSpaceDE w:val="0"/>
        <w:autoSpaceDN w:val="0"/>
        <w:adjustRightInd w:val="0"/>
        <w:jc w:val="both"/>
        <w:rPr>
          <w:rFonts w:ascii="Times New Roman" w:hAnsi="Times New Roman"/>
          <w:sz w:val="24"/>
          <w:szCs w:val="24"/>
        </w:rPr>
      </w:pPr>
      <w:r w:rsidRPr="00280E8E">
        <w:rPr>
          <w:rFonts w:ascii="Times New Roman" w:hAnsi="Times New Roman"/>
          <w:sz w:val="24"/>
          <w:szCs w:val="24"/>
        </w:rPr>
        <w:t>Tomando en consideración la teoría expuesta por Sen, se establece una redacción a través de la cual se positivice en la Constitución Política la obligación del Estado a actuar e implementar políticas públicas a través de las cuales se pueda llegar a garantizar de manera universal (aunque progresiva y conforme a la realidad económica del país) el derecho a la alimentación adecuada, a la seguridad y a la soberanía alimentaria.</w:t>
      </w:r>
    </w:p>
    <w:p w14:paraId="738ED63B" w14:textId="77777777" w:rsidR="004C3475" w:rsidRPr="004C3475" w:rsidRDefault="004C3475" w:rsidP="004C3475">
      <w:pPr>
        <w:jc w:val="both"/>
        <w:rPr>
          <w:rFonts w:ascii="Times New Roman" w:hAnsi="Times New Roman" w:cs="Times New Roman"/>
          <w:b/>
          <w:bCs/>
          <w:sz w:val="24"/>
          <w:szCs w:val="24"/>
        </w:rPr>
      </w:pPr>
    </w:p>
    <w:p w14:paraId="7D3F97A3" w14:textId="43A0454D" w:rsidR="002A028C" w:rsidRPr="00896E89" w:rsidRDefault="002A028C" w:rsidP="002A028C">
      <w:pPr>
        <w:pStyle w:val="Prrafodelista"/>
        <w:numPr>
          <w:ilvl w:val="1"/>
          <w:numId w:val="1"/>
        </w:numPr>
        <w:jc w:val="both"/>
        <w:rPr>
          <w:rFonts w:ascii="Times New Roman" w:hAnsi="Times New Roman" w:cs="Times New Roman"/>
          <w:b/>
          <w:bCs/>
          <w:sz w:val="24"/>
          <w:szCs w:val="24"/>
          <w:lang w:val="es-CO"/>
        </w:rPr>
      </w:pPr>
      <w:r w:rsidRPr="00896E89">
        <w:rPr>
          <w:rFonts w:ascii="Times New Roman" w:hAnsi="Times New Roman" w:cs="Times New Roman"/>
          <w:b/>
          <w:bCs/>
          <w:sz w:val="24"/>
          <w:szCs w:val="24"/>
          <w:lang w:val="es-CO"/>
        </w:rPr>
        <w:t>Instrumentos de derecho internacional</w:t>
      </w:r>
    </w:p>
    <w:p w14:paraId="7A2FE0BC" w14:textId="0F416B9B" w:rsidR="002A028C" w:rsidRPr="00896E89" w:rsidRDefault="002A028C" w:rsidP="002A028C">
      <w:pPr>
        <w:jc w:val="both"/>
        <w:rPr>
          <w:rFonts w:ascii="Times New Roman" w:hAnsi="Times New Roman" w:cs="Times New Roman"/>
          <w:b/>
          <w:bCs/>
          <w:sz w:val="24"/>
          <w:szCs w:val="24"/>
          <w:lang w:val="es-CO"/>
        </w:rPr>
      </w:pPr>
    </w:p>
    <w:p w14:paraId="5943871C" w14:textId="3EA04F65" w:rsidR="002A028C" w:rsidRPr="00896E89" w:rsidRDefault="002A028C" w:rsidP="002A028C">
      <w:pPr>
        <w:jc w:val="both"/>
        <w:rPr>
          <w:rFonts w:ascii="Times New Roman" w:hAnsi="Times New Roman" w:cs="Times New Roman"/>
          <w:sz w:val="24"/>
          <w:szCs w:val="24"/>
        </w:rPr>
      </w:pPr>
      <w:r w:rsidRPr="00896E89">
        <w:rPr>
          <w:rFonts w:ascii="Times New Roman" w:hAnsi="Times New Roman" w:cs="Times New Roman"/>
          <w:sz w:val="24"/>
          <w:szCs w:val="24"/>
        </w:rPr>
        <w:t xml:space="preserve">El primer instrumento de derecho internacional en el que se hace referencia a la alimentación como un derecho es la </w:t>
      </w:r>
      <w:r w:rsidRPr="00896E89">
        <w:rPr>
          <w:rFonts w:ascii="Times New Roman" w:hAnsi="Times New Roman" w:cs="Times New Roman"/>
          <w:b/>
          <w:sz w:val="24"/>
          <w:szCs w:val="24"/>
        </w:rPr>
        <w:t>Declaración Universal de Derechos del Hombre</w:t>
      </w:r>
      <w:r w:rsidRPr="00896E89">
        <w:rPr>
          <w:rFonts w:ascii="Times New Roman" w:hAnsi="Times New Roman" w:cs="Times New Roman"/>
          <w:sz w:val="24"/>
          <w:szCs w:val="24"/>
        </w:rPr>
        <w:t xml:space="preserve"> – en adelante DUDH – de 1948, la cual, en su artículo 25, establece que como parte del </w:t>
      </w:r>
      <w:r w:rsidRPr="00896E89">
        <w:rPr>
          <w:rFonts w:ascii="Times New Roman" w:hAnsi="Times New Roman" w:cs="Times New Roman"/>
          <w:i/>
          <w:sz w:val="24"/>
          <w:szCs w:val="24"/>
        </w:rPr>
        <w:t>“(…) derecho a un nivel de vida adecuado que (…) asegure, la salud y el bienestar (…)”</w:t>
      </w:r>
      <w:r w:rsidRPr="00896E89">
        <w:rPr>
          <w:rFonts w:ascii="Times New Roman" w:hAnsi="Times New Roman" w:cs="Times New Roman"/>
          <w:sz w:val="24"/>
          <w:szCs w:val="24"/>
        </w:rPr>
        <w:t xml:space="preserve"> toda persona debe tener asegurado, entre otros elementos, </w:t>
      </w:r>
      <w:r w:rsidRPr="00896E89">
        <w:rPr>
          <w:rFonts w:ascii="Times New Roman" w:hAnsi="Times New Roman" w:cs="Times New Roman"/>
          <w:i/>
          <w:sz w:val="24"/>
          <w:szCs w:val="24"/>
        </w:rPr>
        <w:t>“(…) la alimentación (…)”</w:t>
      </w:r>
      <w:r w:rsidRPr="00896E89">
        <w:rPr>
          <w:rFonts w:ascii="Times New Roman" w:hAnsi="Times New Roman" w:cs="Times New Roman"/>
          <w:sz w:val="24"/>
          <w:szCs w:val="24"/>
        </w:rPr>
        <w:t xml:space="preserve">. En esta declaración, la temática se aborda forma general.  </w:t>
      </w:r>
    </w:p>
    <w:p w14:paraId="2712B514" w14:textId="77777777" w:rsidR="002A028C" w:rsidRPr="00896E89" w:rsidRDefault="002A028C" w:rsidP="002A028C">
      <w:pPr>
        <w:jc w:val="both"/>
        <w:rPr>
          <w:rFonts w:ascii="Times New Roman" w:hAnsi="Times New Roman" w:cs="Times New Roman"/>
          <w:sz w:val="24"/>
          <w:szCs w:val="24"/>
        </w:rPr>
      </w:pPr>
    </w:p>
    <w:p w14:paraId="0EA31032" w14:textId="553117A1" w:rsidR="002A028C" w:rsidRPr="00896E89" w:rsidRDefault="002A028C" w:rsidP="002A028C">
      <w:pPr>
        <w:jc w:val="both"/>
        <w:rPr>
          <w:rFonts w:ascii="Times New Roman" w:hAnsi="Times New Roman" w:cs="Times New Roman"/>
          <w:sz w:val="24"/>
          <w:szCs w:val="24"/>
        </w:rPr>
      </w:pPr>
      <w:r w:rsidRPr="00896E89">
        <w:rPr>
          <w:rFonts w:ascii="Times New Roman" w:hAnsi="Times New Roman" w:cs="Times New Roman"/>
          <w:sz w:val="24"/>
          <w:szCs w:val="24"/>
        </w:rPr>
        <w:lastRenderedPageBreak/>
        <w:t xml:space="preserve">El </w:t>
      </w:r>
      <w:r w:rsidRPr="00896E89">
        <w:rPr>
          <w:rFonts w:ascii="Times New Roman" w:hAnsi="Times New Roman" w:cs="Times New Roman"/>
          <w:b/>
          <w:sz w:val="24"/>
          <w:szCs w:val="24"/>
        </w:rPr>
        <w:t>Pacto Internacional de Derechos Económicos, Sociales y Culturales</w:t>
      </w:r>
      <w:r w:rsidRPr="00896E89">
        <w:rPr>
          <w:rFonts w:ascii="Times New Roman" w:hAnsi="Times New Roman" w:cs="Times New Roman"/>
          <w:sz w:val="24"/>
          <w:szCs w:val="24"/>
        </w:rPr>
        <w:t xml:space="preserve"> – en adelante PIDESC – es el instrumento internacional que desarrolla con mayor profundidad este derecho. Su artículo 11 trae dos numerales orientados a plantear las obligaciones específicas de los Estados respecto al tema. En el primer numeral, en un sentido similar al del artículo 25 de la DUDH, se reconoce la alimentación como parte del </w:t>
      </w:r>
      <w:r w:rsidRPr="00896E89">
        <w:rPr>
          <w:rFonts w:ascii="Times New Roman" w:hAnsi="Times New Roman" w:cs="Times New Roman"/>
          <w:i/>
          <w:sz w:val="24"/>
          <w:szCs w:val="24"/>
        </w:rPr>
        <w:t>“(…) derecho de toda persona a un nivel de vida adecuado (…)”</w:t>
      </w:r>
      <w:r w:rsidRPr="00896E89">
        <w:rPr>
          <w:rFonts w:ascii="Times New Roman" w:hAnsi="Times New Roman" w:cs="Times New Roman"/>
          <w:sz w:val="24"/>
          <w:szCs w:val="24"/>
        </w:rPr>
        <w:t xml:space="preserve">, además de crear el mandato para los Estados de tomar </w:t>
      </w:r>
      <w:r w:rsidRPr="00896E89">
        <w:rPr>
          <w:rFonts w:ascii="Times New Roman" w:hAnsi="Times New Roman" w:cs="Times New Roman"/>
          <w:i/>
          <w:sz w:val="24"/>
          <w:szCs w:val="24"/>
        </w:rPr>
        <w:t>“(…) las medidas apropiadas para asegurar la efectividad de este derecho (…)”</w:t>
      </w:r>
      <w:r w:rsidRPr="00896E89">
        <w:rPr>
          <w:rFonts w:ascii="Times New Roman" w:hAnsi="Times New Roman" w:cs="Times New Roman"/>
          <w:sz w:val="24"/>
          <w:szCs w:val="24"/>
        </w:rPr>
        <w:t xml:space="preserve">. </w:t>
      </w:r>
    </w:p>
    <w:p w14:paraId="576451BB" w14:textId="77777777" w:rsidR="002A028C" w:rsidRPr="00896E89" w:rsidRDefault="002A028C" w:rsidP="002A028C">
      <w:pPr>
        <w:jc w:val="both"/>
        <w:rPr>
          <w:rFonts w:ascii="Times New Roman" w:hAnsi="Times New Roman" w:cs="Times New Roman"/>
          <w:sz w:val="24"/>
          <w:szCs w:val="24"/>
        </w:rPr>
      </w:pPr>
    </w:p>
    <w:p w14:paraId="20B10B88" w14:textId="52DDA1A4" w:rsidR="002A028C" w:rsidRPr="00896E89" w:rsidRDefault="002A028C" w:rsidP="002A028C">
      <w:pPr>
        <w:jc w:val="both"/>
        <w:rPr>
          <w:rFonts w:ascii="Times New Roman" w:hAnsi="Times New Roman" w:cs="Times New Roman"/>
          <w:sz w:val="24"/>
          <w:szCs w:val="24"/>
        </w:rPr>
      </w:pPr>
      <w:r w:rsidRPr="00896E89">
        <w:rPr>
          <w:rFonts w:ascii="Times New Roman" w:hAnsi="Times New Roman" w:cs="Times New Roman"/>
          <w:sz w:val="24"/>
          <w:szCs w:val="24"/>
        </w:rPr>
        <w:t xml:space="preserve">En el segundo numeral, se establece que los Estados parte reconocen, de manera específica, </w:t>
      </w:r>
      <w:r w:rsidRPr="00896E89">
        <w:rPr>
          <w:rFonts w:ascii="Times New Roman" w:hAnsi="Times New Roman" w:cs="Times New Roman"/>
          <w:i/>
          <w:sz w:val="24"/>
          <w:szCs w:val="24"/>
        </w:rPr>
        <w:t xml:space="preserve">“(…) el derecho fundamental de toda persona a estar protegida contra el hambre (…)”. </w:t>
      </w:r>
      <w:r w:rsidRPr="00896E89">
        <w:rPr>
          <w:rFonts w:ascii="Times New Roman" w:hAnsi="Times New Roman" w:cs="Times New Roman"/>
          <w:sz w:val="24"/>
          <w:szCs w:val="24"/>
        </w:rPr>
        <w:t xml:space="preserve">A renglón seguido, se establece que se deberán tomar las medidas necesarias para: </w:t>
      </w:r>
    </w:p>
    <w:p w14:paraId="1B8EED44" w14:textId="77777777" w:rsidR="002A028C" w:rsidRPr="00896E89" w:rsidRDefault="002A028C" w:rsidP="002A028C">
      <w:pPr>
        <w:jc w:val="both"/>
        <w:rPr>
          <w:rFonts w:ascii="Times New Roman" w:hAnsi="Times New Roman" w:cs="Times New Roman"/>
          <w:sz w:val="24"/>
          <w:szCs w:val="24"/>
        </w:rPr>
      </w:pPr>
    </w:p>
    <w:p w14:paraId="4314312E" w14:textId="77777777" w:rsidR="002A028C" w:rsidRPr="00896E89" w:rsidRDefault="002A028C" w:rsidP="002A028C">
      <w:pPr>
        <w:pStyle w:val="Prrafodelista"/>
        <w:numPr>
          <w:ilvl w:val="0"/>
          <w:numId w:val="17"/>
        </w:numPr>
        <w:spacing w:after="160" w:line="256" w:lineRule="auto"/>
        <w:jc w:val="both"/>
        <w:rPr>
          <w:rFonts w:ascii="Times New Roman" w:hAnsi="Times New Roman" w:cs="Times New Roman"/>
          <w:i/>
          <w:sz w:val="24"/>
          <w:szCs w:val="24"/>
        </w:rPr>
      </w:pPr>
      <w:r w:rsidRPr="00896E89">
        <w:rPr>
          <w:rFonts w:ascii="Times New Roman" w:hAnsi="Times New Roman" w:cs="Times New Roman"/>
          <w:i/>
          <w:sz w:val="24"/>
          <w:szCs w:val="24"/>
        </w:rPr>
        <w:t>“Mejorar los métodos de producción, conservación y distribución de alimentos mediante la plena utilización de los conocimientos técnicos y científicos, la divulgación de principios sobre nutrición y el perfeccionamiento o la reforma de los regímenes agrarios de modo que se logren la explotación y la utilización más eficaces de las riquezas naturales;</w:t>
      </w:r>
    </w:p>
    <w:p w14:paraId="78AF8434" w14:textId="77777777" w:rsidR="002A028C" w:rsidRPr="00896E89" w:rsidRDefault="002A028C" w:rsidP="002A028C">
      <w:pPr>
        <w:pStyle w:val="Prrafodelista"/>
        <w:numPr>
          <w:ilvl w:val="0"/>
          <w:numId w:val="17"/>
        </w:numPr>
        <w:spacing w:after="160" w:line="256" w:lineRule="auto"/>
        <w:jc w:val="both"/>
        <w:rPr>
          <w:rFonts w:ascii="Times New Roman" w:hAnsi="Times New Roman" w:cs="Times New Roman"/>
          <w:i/>
          <w:sz w:val="24"/>
          <w:szCs w:val="24"/>
        </w:rPr>
      </w:pPr>
      <w:r w:rsidRPr="00896E89">
        <w:rPr>
          <w:rFonts w:ascii="Times New Roman" w:hAnsi="Times New Roman" w:cs="Times New Roman"/>
          <w:i/>
          <w:sz w:val="24"/>
          <w:szCs w:val="24"/>
        </w:rPr>
        <w:t>“Asegurar una distribución equitativa de los alimentos mundiales en relación con las necesidades, teniendo en cuenta los problemas que se plantean tanto a los países que importan productos alimenticios como a los que los exportan”.</w:t>
      </w:r>
    </w:p>
    <w:p w14:paraId="006FBE93" w14:textId="77777777" w:rsidR="002A028C" w:rsidRPr="00896E89" w:rsidRDefault="002A028C" w:rsidP="002A028C">
      <w:pPr>
        <w:jc w:val="both"/>
        <w:rPr>
          <w:rFonts w:ascii="Times New Roman" w:hAnsi="Times New Roman" w:cs="Times New Roman"/>
          <w:sz w:val="24"/>
          <w:szCs w:val="24"/>
        </w:rPr>
      </w:pPr>
      <w:r w:rsidRPr="00896E89">
        <w:rPr>
          <w:rFonts w:ascii="Times New Roman" w:hAnsi="Times New Roman" w:cs="Times New Roman"/>
          <w:sz w:val="24"/>
          <w:szCs w:val="24"/>
        </w:rPr>
        <w:t xml:space="preserve">De esta forma, el PIDESC reconoce explícitamente el derecho objeto de este proyecto de acto legislativo, además de crear obligaciones específicas para los Estados, encaminando su labor a materializarlo. Es necesario llamara la atención sobre un punto: el derecho a estar protegido contra el hambre es el único clasificado como fundamental por este Pacta; lo que muestra su relevancia. </w:t>
      </w:r>
    </w:p>
    <w:p w14:paraId="59EEAE4B" w14:textId="536526C7" w:rsidR="002A028C" w:rsidRPr="00896E89" w:rsidRDefault="002A028C" w:rsidP="002A028C">
      <w:pPr>
        <w:jc w:val="both"/>
        <w:rPr>
          <w:rFonts w:ascii="Times New Roman" w:hAnsi="Times New Roman" w:cs="Times New Roman"/>
          <w:sz w:val="24"/>
          <w:szCs w:val="24"/>
        </w:rPr>
      </w:pPr>
      <w:r w:rsidRPr="00896E89">
        <w:rPr>
          <w:rFonts w:ascii="Times New Roman" w:hAnsi="Times New Roman" w:cs="Times New Roman"/>
          <w:sz w:val="24"/>
          <w:szCs w:val="24"/>
        </w:rPr>
        <w:t xml:space="preserve">Otros instrumentos internacionales consagran el derecho referido a poblaciones específicas. En ese sentido: </w:t>
      </w:r>
    </w:p>
    <w:p w14:paraId="6A8D896A" w14:textId="77777777" w:rsidR="002A028C" w:rsidRPr="00896E89" w:rsidRDefault="002A028C" w:rsidP="002A028C">
      <w:pPr>
        <w:jc w:val="both"/>
        <w:rPr>
          <w:rFonts w:ascii="Times New Roman" w:hAnsi="Times New Roman" w:cs="Times New Roman"/>
          <w:sz w:val="24"/>
          <w:szCs w:val="24"/>
        </w:rPr>
      </w:pPr>
    </w:p>
    <w:p w14:paraId="34A1697C" w14:textId="77777777" w:rsidR="002A028C" w:rsidRPr="00896E89" w:rsidRDefault="002A028C" w:rsidP="002A028C">
      <w:pPr>
        <w:pStyle w:val="Prrafodelista"/>
        <w:numPr>
          <w:ilvl w:val="0"/>
          <w:numId w:val="18"/>
        </w:numPr>
        <w:spacing w:after="160" w:line="256" w:lineRule="auto"/>
        <w:jc w:val="both"/>
        <w:rPr>
          <w:rFonts w:ascii="Times New Roman" w:hAnsi="Times New Roman" w:cs="Times New Roman"/>
          <w:sz w:val="24"/>
          <w:szCs w:val="24"/>
        </w:rPr>
      </w:pPr>
      <w:r w:rsidRPr="00896E89">
        <w:rPr>
          <w:rFonts w:ascii="Times New Roman" w:hAnsi="Times New Roman" w:cs="Times New Roman"/>
          <w:sz w:val="24"/>
          <w:szCs w:val="24"/>
        </w:rPr>
        <w:t xml:space="preserve">La </w:t>
      </w:r>
      <w:r w:rsidRPr="00896E89">
        <w:rPr>
          <w:rFonts w:ascii="Times New Roman" w:hAnsi="Times New Roman" w:cs="Times New Roman"/>
          <w:b/>
          <w:sz w:val="24"/>
          <w:szCs w:val="24"/>
        </w:rPr>
        <w:t xml:space="preserve">Convención sobre los Derechos del Niño </w:t>
      </w:r>
      <w:r w:rsidRPr="00896E89">
        <w:rPr>
          <w:rFonts w:ascii="Times New Roman" w:hAnsi="Times New Roman" w:cs="Times New Roman"/>
          <w:sz w:val="24"/>
          <w:szCs w:val="24"/>
        </w:rPr>
        <w:t xml:space="preserve">establece en su artículo 24 “(…) el derecho del niño al disfrute del más alto nivel posible de salud y a servicios para el tratamiento de las enfermedades y la rehabilitación de la salud (…)”, el cual será garantizado por el Estado a través de, entre otras medidas, “(…) combatir las enfermedades y la malnutrición en el marco de la atención primaria de la salud mediante, entre otras cosas, la aplicación de la tecnología disponible y el suministro de alimentos nutritivos adecuados y agua potable salubre, teniendo en cuenta los peligros y riesgos de contaminación del medio ambiente”. </w:t>
      </w:r>
    </w:p>
    <w:p w14:paraId="2F58911D" w14:textId="77777777" w:rsidR="002A028C" w:rsidRPr="00896E89" w:rsidRDefault="002A028C" w:rsidP="002A028C">
      <w:pPr>
        <w:pStyle w:val="Prrafodelista"/>
        <w:spacing w:line="256" w:lineRule="auto"/>
        <w:ind w:left="360"/>
        <w:rPr>
          <w:rFonts w:ascii="Times New Roman" w:hAnsi="Times New Roman" w:cs="Times New Roman"/>
          <w:sz w:val="24"/>
          <w:szCs w:val="24"/>
        </w:rPr>
      </w:pPr>
    </w:p>
    <w:p w14:paraId="73C3E1EB" w14:textId="77777777" w:rsidR="002A028C" w:rsidRPr="00896E89" w:rsidRDefault="002A028C" w:rsidP="002A028C">
      <w:pPr>
        <w:pStyle w:val="Prrafodelista"/>
        <w:numPr>
          <w:ilvl w:val="0"/>
          <w:numId w:val="18"/>
        </w:numPr>
        <w:spacing w:after="160" w:line="256" w:lineRule="auto"/>
        <w:jc w:val="both"/>
        <w:rPr>
          <w:rFonts w:ascii="Times New Roman" w:hAnsi="Times New Roman" w:cs="Times New Roman"/>
          <w:sz w:val="24"/>
          <w:szCs w:val="24"/>
        </w:rPr>
      </w:pPr>
      <w:r w:rsidRPr="00896E89">
        <w:rPr>
          <w:rFonts w:ascii="Times New Roman" w:hAnsi="Times New Roman" w:cs="Times New Roman"/>
          <w:sz w:val="24"/>
          <w:szCs w:val="24"/>
        </w:rPr>
        <w:t xml:space="preserve">La </w:t>
      </w:r>
      <w:r w:rsidRPr="00896E89">
        <w:rPr>
          <w:rFonts w:ascii="Times New Roman" w:hAnsi="Times New Roman" w:cs="Times New Roman"/>
          <w:b/>
          <w:sz w:val="24"/>
          <w:szCs w:val="24"/>
        </w:rPr>
        <w:t xml:space="preserve">Convención sobre la Eliminación de todas las Formas de Discriminación contra la Mujer </w:t>
      </w:r>
      <w:r w:rsidRPr="00896E89">
        <w:rPr>
          <w:rFonts w:ascii="Times New Roman" w:hAnsi="Times New Roman" w:cs="Times New Roman"/>
          <w:sz w:val="24"/>
          <w:szCs w:val="24"/>
        </w:rPr>
        <w:t xml:space="preserve">considera como una problemática a resolver “(…) el hecho de que en situaciones de pobreza la mujer tiene un acceso mínimo a la alimentación (…)” y </w:t>
      </w:r>
      <w:r w:rsidRPr="00896E89">
        <w:rPr>
          <w:rFonts w:ascii="Times New Roman" w:hAnsi="Times New Roman" w:cs="Times New Roman"/>
          <w:sz w:val="24"/>
          <w:szCs w:val="24"/>
        </w:rPr>
        <w:lastRenderedPageBreak/>
        <w:t xml:space="preserve">establece como una obligación de los Estados parte el asegurar para la mujer “(…) una nutrición adecuada durante el embarazo y la lactancia (…)”. </w:t>
      </w:r>
    </w:p>
    <w:p w14:paraId="3CBEF326" w14:textId="77777777" w:rsidR="002A028C" w:rsidRPr="00896E89" w:rsidRDefault="002A028C" w:rsidP="002A028C">
      <w:pPr>
        <w:pStyle w:val="Prrafodelista"/>
        <w:spacing w:line="256" w:lineRule="auto"/>
        <w:ind w:left="360"/>
        <w:rPr>
          <w:rFonts w:ascii="Times New Roman" w:hAnsi="Times New Roman" w:cs="Times New Roman"/>
          <w:sz w:val="24"/>
          <w:szCs w:val="24"/>
        </w:rPr>
      </w:pPr>
    </w:p>
    <w:p w14:paraId="0482DF89" w14:textId="77777777" w:rsidR="002A028C" w:rsidRPr="00896E89" w:rsidRDefault="002A028C" w:rsidP="002A028C">
      <w:pPr>
        <w:pStyle w:val="Prrafodelista"/>
        <w:numPr>
          <w:ilvl w:val="0"/>
          <w:numId w:val="18"/>
        </w:numPr>
        <w:spacing w:after="160" w:line="256" w:lineRule="auto"/>
        <w:jc w:val="both"/>
        <w:rPr>
          <w:rFonts w:ascii="Times New Roman" w:hAnsi="Times New Roman" w:cs="Times New Roman"/>
          <w:sz w:val="24"/>
          <w:szCs w:val="24"/>
        </w:rPr>
      </w:pPr>
      <w:r w:rsidRPr="00896E89">
        <w:rPr>
          <w:rFonts w:ascii="Times New Roman" w:hAnsi="Times New Roman" w:cs="Times New Roman"/>
          <w:sz w:val="24"/>
          <w:szCs w:val="24"/>
        </w:rPr>
        <w:t xml:space="preserve">La </w:t>
      </w:r>
      <w:r w:rsidRPr="00896E89">
        <w:rPr>
          <w:rFonts w:ascii="Times New Roman" w:hAnsi="Times New Roman" w:cs="Times New Roman"/>
          <w:b/>
          <w:sz w:val="24"/>
          <w:szCs w:val="24"/>
        </w:rPr>
        <w:t>Convención sobre el Derecho de las Personas con Discapacidad</w:t>
      </w:r>
      <w:r w:rsidRPr="00896E89">
        <w:rPr>
          <w:rFonts w:ascii="Times New Roman" w:hAnsi="Times New Roman" w:cs="Times New Roman"/>
          <w:sz w:val="24"/>
          <w:szCs w:val="24"/>
        </w:rPr>
        <w:t>, en términos similares a la DUDH, establece que los Estados parte “(…) reconocen el derecho de las personas con discapacidad a un nivel de vida adecuado para ellas y sus familias, lo cual incluye alimentación (…)”.</w:t>
      </w:r>
    </w:p>
    <w:p w14:paraId="2BC63F5F" w14:textId="77777777" w:rsidR="002A028C" w:rsidRPr="00896E89" w:rsidRDefault="002A028C" w:rsidP="002A028C">
      <w:pPr>
        <w:jc w:val="both"/>
        <w:rPr>
          <w:rFonts w:ascii="Times New Roman" w:hAnsi="Times New Roman" w:cs="Times New Roman"/>
          <w:bCs/>
          <w:sz w:val="24"/>
          <w:szCs w:val="24"/>
        </w:rPr>
      </w:pPr>
      <w:r w:rsidRPr="00896E89">
        <w:rPr>
          <w:rFonts w:ascii="Times New Roman" w:hAnsi="Times New Roman" w:cs="Times New Roman"/>
          <w:sz w:val="24"/>
          <w:szCs w:val="24"/>
        </w:rPr>
        <w:t xml:space="preserve">De igual forma, hay declaraciones internacionales y resoluciones de la ONU así como instrumentos de carácter regional que tocan el derecho a la alimentación. Entre estos últimos, resalta, por su relevancia regional, el </w:t>
      </w:r>
      <w:r w:rsidRPr="00896E89">
        <w:rPr>
          <w:rFonts w:ascii="Times New Roman" w:hAnsi="Times New Roman" w:cs="Times New Roman"/>
          <w:b/>
          <w:bCs/>
          <w:sz w:val="24"/>
          <w:szCs w:val="24"/>
        </w:rPr>
        <w:t xml:space="preserve">Protocolo Adicional a la Convención Americana sobre Derechos Humanos en materia de Derechos Económicos, Sociales y Culturales, "Protocolo de San Salvador" </w:t>
      </w:r>
      <w:r w:rsidRPr="00896E89">
        <w:rPr>
          <w:rFonts w:ascii="Times New Roman" w:hAnsi="Times New Roman" w:cs="Times New Roman"/>
          <w:bCs/>
          <w:sz w:val="24"/>
          <w:szCs w:val="24"/>
        </w:rPr>
        <w:t xml:space="preserve">reconoce en su artículo 12 el derecho a la alimentación, y lo desarrolla en dos numeral: </w:t>
      </w:r>
    </w:p>
    <w:p w14:paraId="6F79E69E" w14:textId="77777777" w:rsidR="002A028C" w:rsidRPr="00896E89" w:rsidRDefault="002A028C" w:rsidP="002A028C">
      <w:pPr>
        <w:pStyle w:val="Prrafodelista"/>
        <w:numPr>
          <w:ilvl w:val="0"/>
          <w:numId w:val="19"/>
        </w:numPr>
        <w:spacing w:after="160" w:line="256" w:lineRule="auto"/>
        <w:jc w:val="both"/>
        <w:rPr>
          <w:rFonts w:ascii="Times New Roman" w:hAnsi="Times New Roman" w:cs="Times New Roman"/>
          <w:sz w:val="24"/>
          <w:szCs w:val="24"/>
        </w:rPr>
      </w:pPr>
      <w:r w:rsidRPr="00896E89">
        <w:rPr>
          <w:rFonts w:ascii="Times New Roman" w:hAnsi="Times New Roman" w:cs="Times New Roman"/>
          <w:sz w:val="24"/>
          <w:szCs w:val="24"/>
        </w:rPr>
        <w:t>“Toda persona tiene derecho a una nutrición adecuada que le asegure la posibilidad de gozar del más alto nivel de desarrollo físico, emocional e intelectual.</w:t>
      </w:r>
    </w:p>
    <w:p w14:paraId="329123B3" w14:textId="77777777" w:rsidR="002A028C" w:rsidRPr="00896E89" w:rsidRDefault="002A028C" w:rsidP="002A028C">
      <w:pPr>
        <w:pStyle w:val="Prrafodelista"/>
        <w:numPr>
          <w:ilvl w:val="0"/>
          <w:numId w:val="19"/>
        </w:numPr>
        <w:spacing w:after="160" w:line="259" w:lineRule="auto"/>
        <w:jc w:val="both"/>
        <w:rPr>
          <w:rFonts w:ascii="Times New Roman" w:hAnsi="Times New Roman" w:cs="Times New Roman"/>
          <w:sz w:val="24"/>
          <w:szCs w:val="24"/>
        </w:rPr>
      </w:pPr>
      <w:r w:rsidRPr="00896E89">
        <w:rPr>
          <w:rFonts w:ascii="Times New Roman" w:hAnsi="Times New Roman" w:cs="Times New Roman"/>
          <w:sz w:val="24"/>
          <w:szCs w:val="24"/>
        </w:rPr>
        <w:t>Con el objeto de hacer efectivo este derecho y a erradicar la desnutrición, los Estados partes se comprometen a perfeccionar los métodos de producción, aprovisionamiento y distribución de alimentos, para lo cual se comprometen a promover una mayor cooperación internacional en apoyo de las políticas nacionales sobre la materia”</w:t>
      </w:r>
    </w:p>
    <w:p w14:paraId="05135DE0" w14:textId="74E78587" w:rsidR="002A028C" w:rsidRPr="00896E89" w:rsidRDefault="002A028C" w:rsidP="002A028C">
      <w:pPr>
        <w:jc w:val="both"/>
        <w:rPr>
          <w:rFonts w:ascii="Times New Roman" w:hAnsi="Times New Roman" w:cs="Times New Roman"/>
          <w:i/>
          <w:sz w:val="24"/>
          <w:szCs w:val="24"/>
        </w:rPr>
      </w:pPr>
      <w:r w:rsidRPr="00896E89">
        <w:rPr>
          <w:rFonts w:ascii="Times New Roman" w:hAnsi="Times New Roman" w:cs="Times New Roman"/>
          <w:sz w:val="24"/>
          <w:szCs w:val="24"/>
        </w:rPr>
        <w:t xml:space="preserve">Existen por otra parte diferentes instrumentos de derecho internacional no vinculantes, con los que se ha logrado crear un marco de desarrollo e interpretación de este derecho. Estos son, principalmente, aquellos instrumentos producidos por la Organización de las Naciones Unidas para la Alimentación y la Agricultura – FAO, por sus siglas en inglés –, la Comisión de Derechos Humanos de las Naciones Unidas y el Comité de los Derechos Económicos, Sociales y Culturales (por su sigla en inglés CESCR). Vale la pena resaltar la Declaración Sobre el Derecho al Desarrollo de1986 según la cual </w:t>
      </w:r>
      <w:r w:rsidRPr="00896E89">
        <w:rPr>
          <w:rFonts w:ascii="Times New Roman" w:hAnsi="Times New Roman" w:cs="Times New Roman"/>
          <w:i/>
          <w:sz w:val="24"/>
          <w:szCs w:val="24"/>
        </w:rPr>
        <w:t xml:space="preserve">“Los Estados deben adoptar, en el plano nacional, todas las medidas necesarias para la realización del derecho al desarrollo y garantizarán, entre otras cosas, la igualdad de oportunidades para todos en cuanto al acceso a los recursos básicos, la educación, los servicios de salud, los alimentos, la vivienda, el empleo y la justa distribución de los ingresos (…)” (art.8). </w:t>
      </w:r>
    </w:p>
    <w:p w14:paraId="70FA74F1" w14:textId="77777777" w:rsidR="002A028C" w:rsidRPr="00896E89" w:rsidRDefault="002A028C" w:rsidP="002A028C">
      <w:pPr>
        <w:jc w:val="both"/>
        <w:rPr>
          <w:rFonts w:ascii="Times New Roman" w:hAnsi="Times New Roman" w:cs="Times New Roman"/>
          <w:i/>
          <w:sz w:val="24"/>
          <w:szCs w:val="24"/>
        </w:rPr>
      </w:pPr>
    </w:p>
    <w:p w14:paraId="530517AA" w14:textId="2998335B" w:rsidR="002A028C" w:rsidRPr="00896E89" w:rsidRDefault="002A028C" w:rsidP="002A028C">
      <w:pPr>
        <w:jc w:val="both"/>
        <w:rPr>
          <w:rFonts w:ascii="Times New Roman" w:hAnsi="Times New Roman" w:cs="Times New Roman"/>
          <w:iCs/>
          <w:sz w:val="24"/>
          <w:szCs w:val="24"/>
        </w:rPr>
      </w:pPr>
      <w:r w:rsidRPr="00896E89">
        <w:rPr>
          <w:rFonts w:ascii="Times New Roman" w:hAnsi="Times New Roman" w:cs="Times New Roman"/>
          <w:iCs/>
          <w:sz w:val="24"/>
          <w:szCs w:val="24"/>
        </w:rPr>
        <w:t xml:space="preserve">Igualmente la Declaración Universal Sobre la Erradicación del Hambre y la Malnutrición (1974) refiere que </w:t>
      </w:r>
    </w:p>
    <w:p w14:paraId="4EF700D3" w14:textId="77777777" w:rsidR="002A028C" w:rsidRPr="00896E89" w:rsidRDefault="002A028C" w:rsidP="002A028C">
      <w:pPr>
        <w:jc w:val="both"/>
        <w:rPr>
          <w:rFonts w:ascii="Times New Roman" w:hAnsi="Times New Roman" w:cs="Times New Roman"/>
          <w:i/>
          <w:sz w:val="24"/>
          <w:szCs w:val="24"/>
        </w:rPr>
      </w:pPr>
    </w:p>
    <w:p w14:paraId="0569C4EE" w14:textId="56C612C9" w:rsidR="002A028C" w:rsidRPr="00896E89" w:rsidRDefault="002A028C" w:rsidP="002A028C">
      <w:pPr>
        <w:ind w:left="709" w:right="709"/>
        <w:jc w:val="both"/>
        <w:rPr>
          <w:rFonts w:ascii="Times New Roman" w:hAnsi="Times New Roman" w:cs="Times New Roman"/>
          <w:i/>
          <w:sz w:val="24"/>
          <w:szCs w:val="24"/>
        </w:rPr>
      </w:pPr>
      <w:r w:rsidRPr="00896E89">
        <w:rPr>
          <w:rFonts w:ascii="Times New Roman" w:hAnsi="Times New Roman" w:cs="Times New Roman"/>
          <w:i/>
          <w:sz w:val="24"/>
          <w:szCs w:val="24"/>
        </w:rPr>
        <w:t xml:space="preserve">“todos los hombres, mujeres y niños tienen el derecho inalienable a no padecer de hambre y malnutrición a fin de poder desarrollarse plenamente y conservar sus capacidades físicas y mentales (...) Los gobiernos tienen la responsabilidad fundamental de colaborar entre sí para conseguir una mayor producción alimentaria y una distribución más equitativa y eficaz de alimentos entre los países y dentro de ellos. Los gobiernos deberían iniciar inmediatamente una lucha concertada más intensa contra la malnutrición </w:t>
      </w:r>
      <w:r w:rsidRPr="00896E89">
        <w:rPr>
          <w:rFonts w:ascii="Times New Roman" w:hAnsi="Times New Roman" w:cs="Times New Roman"/>
          <w:i/>
          <w:sz w:val="24"/>
          <w:szCs w:val="24"/>
        </w:rPr>
        <w:lastRenderedPageBreak/>
        <w:t>crónica y las enfermedades por carencia que afectan a los grupos vulnerables y de ingresos más bajos”.</w:t>
      </w:r>
    </w:p>
    <w:p w14:paraId="07CB9ED0" w14:textId="77777777" w:rsidR="002A028C" w:rsidRPr="00896E89" w:rsidRDefault="002A028C" w:rsidP="002A028C">
      <w:pPr>
        <w:ind w:left="709" w:right="709"/>
        <w:jc w:val="both"/>
        <w:rPr>
          <w:rFonts w:ascii="Times New Roman" w:hAnsi="Times New Roman" w:cs="Times New Roman"/>
          <w:i/>
          <w:sz w:val="24"/>
          <w:szCs w:val="24"/>
        </w:rPr>
      </w:pPr>
    </w:p>
    <w:p w14:paraId="45B48EB7" w14:textId="7C6EEA0E" w:rsidR="002A028C" w:rsidRPr="00896E89" w:rsidRDefault="002A028C" w:rsidP="002A028C">
      <w:pPr>
        <w:jc w:val="both"/>
        <w:rPr>
          <w:rFonts w:ascii="Times New Roman" w:hAnsi="Times New Roman" w:cs="Times New Roman"/>
          <w:sz w:val="24"/>
          <w:szCs w:val="24"/>
        </w:rPr>
      </w:pPr>
      <w:r w:rsidRPr="00896E89">
        <w:rPr>
          <w:rFonts w:ascii="Times New Roman" w:hAnsi="Times New Roman" w:cs="Times New Roman"/>
          <w:sz w:val="24"/>
          <w:szCs w:val="24"/>
        </w:rPr>
        <w:t xml:space="preserve">Así mismo Las “Directrices voluntarias en apoyo de la realización progresiva del derecho a una alimentación adecuada en el contexto de la seguridad alimentaria nacional” aprobadas en 2004, son pertinentes pues tienen como objetivo central orientar a los Estados en sus esfuerzos de lograr la realización progresiva del derecho a una alimentación adecuada. </w:t>
      </w:r>
    </w:p>
    <w:p w14:paraId="46160B8E" w14:textId="77777777" w:rsidR="002A028C" w:rsidRPr="00896E89" w:rsidRDefault="002A028C" w:rsidP="002A028C">
      <w:pPr>
        <w:jc w:val="both"/>
        <w:rPr>
          <w:rFonts w:ascii="Times New Roman" w:hAnsi="Times New Roman" w:cs="Times New Roman"/>
          <w:sz w:val="24"/>
          <w:szCs w:val="24"/>
        </w:rPr>
      </w:pPr>
    </w:p>
    <w:p w14:paraId="3AD3DB6C" w14:textId="77777777" w:rsidR="002A028C" w:rsidRPr="00896E89" w:rsidRDefault="002A028C" w:rsidP="002A028C">
      <w:pPr>
        <w:jc w:val="both"/>
        <w:rPr>
          <w:rFonts w:ascii="Times New Roman" w:hAnsi="Times New Roman" w:cs="Times New Roman"/>
          <w:sz w:val="24"/>
          <w:szCs w:val="24"/>
        </w:rPr>
      </w:pPr>
      <w:r w:rsidRPr="00896E89">
        <w:rPr>
          <w:rFonts w:ascii="Times New Roman" w:hAnsi="Times New Roman" w:cs="Times New Roman"/>
          <w:sz w:val="24"/>
          <w:szCs w:val="24"/>
        </w:rPr>
        <w:t>Igualmente la Declaración de Naciones Unidas sobre los derechos de los campesinos y de otras personas que trabajan en las zonas rurales hace referencia en el artículo 15 al derecho que tienen los campesinos a la alimentación, a no padecer hambre y a la soberanía alimentaria, que comprende el derecho a una alimentación saludable y culturalmente apropiada, producida mediante métodos ecológicamente racionales y sostenibles, y el derecho a definir sus propios sistemas de alimentación y agricultura.</w:t>
      </w:r>
      <w:r w:rsidRPr="00896E89">
        <w:rPr>
          <w:rStyle w:val="Refdenotaalpie"/>
          <w:rFonts w:ascii="Times New Roman" w:hAnsi="Times New Roman" w:cs="Times New Roman"/>
          <w:sz w:val="24"/>
          <w:szCs w:val="24"/>
        </w:rPr>
        <w:footnoteReference w:id="16"/>
      </w:r>
    </w:p>
    <w:p w14:paraId="6C958903" w14:textId="4F3FFAD0" w:rsidR="002A028C" w:rsidRPr="00896E89" w:rsidRDefault="002A028C" w:rsidP="002A028C">
      <w:pPr>
        <w:jc w:val="both"/>
        <w:rPr>
          <w:rFonts w:ascii="Times New Roman" w:hAnsi="Times New Roman" w:cs="Times New Roman"/>
          <w:sz w:val="24"/>
          <w:szCs w:val="24"/>
        </w:rPr>
      </w:pPr>
      <w:r w:rsidRPr="00896E89">
        <w:rPr>
          <w:rFonts w:ascii="Times New Roman" w:hAnsi="Times New Roman" w:cs="Times New Roman"/>
          <w:sz w:val="24"/>
          <w:szCs w:val="24"/>
        </w:rPr>
        <w:t xml:space="preserve">Por su parte, el Comité de los Derechos Económicos, Sociales y Culturales se ha pronunciado en varias oportunidades en relación con el alcance del derecho a la alimentación y en su Observación General Número 12 de 1999 define el derecho a la alimentación adecuada como aquel que: </w:t>
      </w:r>
    </w:p>
    <w:p w14:paraId="6485CF4F" w14:textId="77777777" w:rsidR="002A028C" w:rsidRPr="00896E89" w:rsidRDefault="002A028C" w:rsidP="002A028C">
      <w:pPr>
        <w:jc w:val="both"/>
        <w:rPr>
          <w:rFonts w:ascii="Times New Roman" w:hAnsi="Times New Roman" w:cs="Times New Roman"/>
          <w:sz w:val="24"/>
          <w:szCs w:val="24"/>
        </w:rPr>
      </w:pPr>
    </w:p>
    <w:p w14:paraId="3FB61C92" w14:textId="21C72F25" w:rsidR="002A028C" w:rsidRPr="00896E89" w:rsidRDefault="002A028C" w:rsidP="002A028C">
      <w:pPr>
        <w:ind w:left="709" w:right="709"/>
        <w:jc w:val="both"/>
        <w:rPr>
          <w:rFonts w:ascii="Times New Roman" w:hAnsi="Times New Roman" w:cs="Times New Roman"/>
          <w:sz w:val="24"/>
          <w:szCs w:val="24"/>
        </w:rPr>
      </w:pPr>
      <w:r w:rsidRPr="00896E89">
        <w:rPr>
          <w:rFonts w:ascii="Times New Roman" w:hAnsi="Times New Roman" w:cs="Times New Roman"/>
          <w:i/>
          <w:sz w:val="24"/>
          <w:szCs w:val="24"/>
        </w:rPr>
        <w:t>“se ejerce cuando ejerce cuando todo hombre, mujer o niño, ya sea sólo o en común con otros, tiene acceso físico y económico, en todo momento, a la alimentación adecuada o a medios para obtenerla. El Derecho a la Alimentación adecuada no debe interpretarse, por consiguiente, en forma estrecha o restrictiva asimilándolo a un conjunto de calorías, proteínas y otros elementos nutritivos concretos. El Derecho a la Alimentación adecuada tendrá que alcanzarse progresivamente. No obstante, los Estados tienen la obligación básica de adoptar las medidas necesarias para mitigar y aliviar el hambre tal como se dispone en el párrafo 2 del artículo 11, incluso en caso de desastre natural o de otra índole”</w:t>
      </w:r>
      <w:r w:rsidRPr="00896E89">
        <w:rPr>
          <w:rStyle w:val="Refdenotaalpie"/>
          <w:rFonts w:ascii="Times New Roman" w:hAnsi="Times New Roman" w:cs="Times New Roman"/>
          <w:sz w:val="24"/>
          <w:szCs w:val="24"/>
        </w:rPr>
        <w:t xml:space="preserve"> </w:t>
      </w:r>
      <w:r w:rsidRPr="00896E89">
        <w:rPr>
          <w:rStyle w:val="Refdenotaalpie"/>
          <w:rFonts w:ascii="Times New Roman" w:hAnsi="Times New Roman" w:cs="Times New Roman"/>
          <w:sz w:val="24"/>
          <w:szCs w:val="24"/>
        </w:rPr>
        <w:footnoteReference w:id="17"/>
      </w:r>
      <w:r w:rsidRPr="00896E89">
        <w:rPr>
          <w:rFonts w:ascii="Times New Roman" w:hAnsi="Times New Roman" w:cs="Times New Roman"/>
          <w:sz w:val="24"/>
          <w:szCs w:val="24"/>
        </w:rPr>
        <w:t>.</w:t>
      </w:r>
    </w:p>
    <w:p w14:paraId="7168743B" w14:textId="77777777" w:rsidR="002A028C" w:rsidRPr="00896E89" w:rsidRDefault="002A028C" w:rsidP="002A028C">
      <w:pPr>
        <w:ind w:left="709" w:right="709"/>
        <w:jc w:val="both"/>
        <w:rPr>
          <w:rFonts w:ascii="Times New Roman" w:hAnsi="Times New Roman" w:cs="Times New Roman"/>
          <w:sz w:val="24"/>
          <w:szCs w:val="24"/>
        </w:rPr>
      </w:pPr>
    </w:p>
    <w:p w14:paraId="4872D6D8" w14:textId="382B90CD" w:rsidR="002A028C" w:rsidRPr="00896E89" w:rsidRDefault="002A028C" w:rsidP="002A028C">
      <w:pPr>
        <w:jc w:val="both"/>
        <w:rPr>
          <w:rFonts w:ascii="Times New Roman" w:hAnsi="Times New Roman" w:cs="Times New Roman"/>
          <w:sz w:val="24"/>
          <w:szCs w:val="24"/>
        </w:rPr>
      </w:pPr>
      <w:r w:rsidRPr="00896E89">
        <w:rPr>
          <w:rFonts w:ascii="Times New Roman" w:hAnsi="Times New Roman" w:cs="Times New Roman"/>
          <w:sz w:val="24"/>
          <w:szCs w:val="24"/>
        </w:rPr>
        <w:t>Esta Observación también señaló que el derecho a una alimentación adecuada está inseparablemente vinculado a la dignidad inherente de la persona humana y es indispensable para el disfrute de otros derechos humanos consagrados en la Carta Internacional de Derechos Humanos</w:t>
      </w:r>
      <w:r w:rsidRPr="00896E89">
        <w:rPr>
          <w:rStyle w:val="Refdenotaalpie"/>
          <w:rFonts w:ascii="Times New Roman" w:hAnsi="Times New Roman" w:cs="Times New Roman"/>
          <w:sz w:val="24"/>
          <w:szCs w:val="24"/>
        </w:rPr>
        <w:footnoteReference w:id="18"/>
      </w:r>
      <w:r w:rsidRPr="00896E89">
        <w:rPr>
          <w:rFonts w:ascii="Times New Roman" w:hAnsi="Times New Roman" w:cs="Times New Roman"/>
          <w:sz w:val="24"/>
          <w:szCs w:val="24"/>
        </w:rPr>
        <w:t xml:space="preserve">. </w:t>
      </w:r>
    </w:p>
    <w:p w14:paraId="7A5ECC0E" w14:textId="77777777" w:rsidR="002A028C" w:rsidRPr="00896E89" w:rsidRDefault="002A028C" w:rsidP="002A028C">
      <w:pPr>
        <w:jc w:val="both"/>
        <w:rPr>
          <w:rFonts w:ascii="Times New Roman" w:hAnsi="Times New Roman" w:cs="Times New Roman"/>
          <w:sz w:val="24"/>
          <w:szCs w:val="24"/>
        </w:rPr>
      </w:pPr>
    </w:p>
    <w:p w14:paraId="78A8F315" w14:textId="4C98DF6F" w:rsidR="002A028C" w:rsidRPr="00896E89" w:rsidRDefault="002A028C" w:rsidP="002A028C">
      <w:pPr>
        <w:jc w:val="both"/>
        <w:rPr>
          <w:rFonts w:ascii="Times New Roman" w:hAnsi="Times New Roman" w:cs="Times New Roman"/>
          <w:sz w:val="24"/>
          <w:szCs w:val="24"/>
        </w:rPr>
      </w:pPr>
      <w:r w:rsidRPr="00896E89">
        <w:rPr>
          <w:rFonts w:ascii="Times New Roman" w:hAnsi="Times New Roman" w:cs="Times New Roman"/>
          <w:sz w:val="24"/>
          <w:szCs w:val="24"/>
        </w:rPr>
        <w:t xml:space="preserve">En cuanto a las obligaciones de los Estados en relación con la garantía de este derecho esta Observación destaca la obligación principal de adoptar medidas para lograr progresivamente el pleno ejercicio del derecho lo “más rápidamente posible” además de comprometerse a </w:t>
      </w:r>
      <w:r w:rsidRPr="00896E89">
        <w:rPr>
          <w:rFonts w:ascii="Times New Roman" w:hAnsi="Times New Roman" w:cs="Times New Roman"/>
          <w:sz w:val="24"/>
          <w:szCs w:val="24"/>
        </w:rPr>
        <w:lastRenderedPageBreak/>
        <w:t>adoptar medidas para garantizar que toda persona tenga acceso al mínimo de alimentos esenciales suficientes inocuos y nutritivamente adecuados para protegerla contra el hambre.</w:t>
      </w:r>
    </w:p>
    <w:p w14:paraId="1FC087EF" w14:textId="77777777" w:rsidR="002A028C" w:rsidRPr="00896E89" w:rsidRDefault="002A028C" w:rsidP="002A028C">
      <w:pPr>
        <w:jc w:val="both"/>
        <w:rPr>
          <w:rFonts w:ascii="Times New Roman" w:hAnsi="Times New Roman" w:cs="Times New Roman"/>
          <w:sz w:val="24"/>
          <w:szCs w:val="24"/>
        </w:rPr>
      </w:pPr>
    </w:p>
    <w:p w14:paraId="04826BF0" w14:textId="71093647" w:rsidR="002A028C" w:rsidRPr="00896E89" w:rsidRDefault="002A028C" w:rsidP="002A028C">
      <w:pPr>
        <w:jc w:val="both"/>
        <w:rPr>
          <w:rFonts w:ascii="Times New Roman" w:hAnsi="Times New Roman" w:cs="Times New Roman"/>
          <w:sz w:val="24"/>
          <w:szCs w:val="24"/>
        </w:rPr>
      </w:pPr>
      <w:r w:rsidRPr="00896E89">
        <w:rPr>
          <w:rFonts w:ascii="Times New Roman" w:hAnsi="Times New Roman" w:cs="Times New Roman"/>
          <w:sz w:val="24"/>
          <w:szCs w:val="24"/>
        </w:rPr>
        <w:t>Así mismo, entendido como derecho humano especifica que el derecho a la alimentación adecuada impone al Estado las obligaciones de respetar (abstenerse de adoptar medidas que impidan el acceso), proteger (velar porque terceros no priven a las personas del ejercicio de este derecho) y realizar (que comprende por un lado, la obligación de facilitar condiciones para el acceso y utilización por parte de la población de los recursos y medios que aseguren sus medios de vida incluida su seguridad alimentaria; y por otro, la obligación de hacer efectivo el derecho cuando una persona o grupo está en incapacidad de acceder al derecho)</w:t>
      </w:r>
      <w:r w:rsidRPr="00896E89">
        <w:rPr>
          <w:rStyle w:val="Refdenotaalpie"/>
          <w:rFonts w:ascii="Times New Roman" w:hAnsi="Times New Roman" w:cs="Times New Roman"/>
          <w:sz w:val="24"/>
          <w:szCs w:val="24"/>
        </w:rPr>
        <w:footnoteReference w:id="19"/>
      </w:r>
      <w:r w:rsidRPr="00896E89">
        <w:rPr>
          <w:rFonts w:ascii="Times New Roman" w:hAnsi="Times New Roman" w:cs="Times New Roman"/>
          <w:sz w:val="24"/>
          <w:szCs w:val="24"/>
        </w:rPr>
        <w:t xml:space="preserve">. </w:t>
      </w:r>
    </w:p>
    <w:p w14:paraId="09744572" w14:textId="77777777" w:rsidR="002A028C" w:rsidRPr="00896E89" w:rsidRDefault="002A028C" w:rsidP="002A028C">
      <w:pPr>
        <w:jc w:val="both"/>
        <w:rPr>
          <w:rFonts w:ascii="Times New Roman" w:hAnsi="Times New Roman" w:cs="Times New Roman"/>
          <w:sz w:val="24"/>
          <w:szCs w:val="24"/>
        </w:rPr>
      </w:pPr>
    </w:p>
    <w:p w14:paraId="1A737AAE" w14:textId="1ACA03FE" w:rsidR="002A028C" w:rsidRPr="00896E89" w:rsidRDefault="002A028C" w:rsidP="002A028C">
      <w:pPr>
        <w:jc w:val="both"/>
        <w:rPr>
          <w:rFonts w:ascii="Times New Roman" w:hAnsi="Times New Roman" w:cs="Times New Roman"/>
          <w:sz w:val="24"/>
          <w:szCs w:val="24"/>
        </w:rPr>
      </w:pPr>
      <w:r w:rsidRPr="00896E89">
        <w:rPr>
          <w:rFonts w:ascii="Times New Roman" w:hAnsi="Times New Roman" w:cs="Times New Roman"/>
          <w:sz w:val="24"/>
          <w:szCs w:val="24"/>
        </w:rPr>
        <w:t xml:space="preserve">Finalmente, el último informe de la Relatora Especial para el derecho a la alimentación </w:t>
      </w:r>
      <w:proofErr w:type="spellStart"/>
      <w:r w:rsidRPr="00896E89">
        <w:rPr>
          <w:rFonts w:ascii="Times New Roman" w:hAnsi="Times New Roman" w:cs="Times New Roman"/>
          <w:sz w:val="24"/>
          <w:szCs w:val="24"/>
        </w:rPr>
        <w:t>Hilal</w:t>
      </w:r>
      <w:proofErr w:type="spellEnd"/>
      <w:r w:rsidRPr="00896E89">
        <w:rPr>
          <w:rFonts w:ascii="Times New Roman" w:hAnsi="Times New Roman" w:cs="Times New Roman"/>
          <w:sz w:val="24"/>
          <w:szCs w:val="24"/>
        </w:rPr>
        <w:t xml:space="preserve"> </w:t>
      </w:r>
      <w:proofErr w:type="spellStart"/>
      <w:r w:rsidRPr="00896E89">
        <w:rPr>
          <w:rFonts w:ascii="Times New Roman" w:hAnsi="Times New Roman" w:cs="Times New Roman"/>
          <w:sz w:val="24"/>
          <w:szCs w:val="24"/>
        </w:rPr>
        <w:t>Elver</w:t>
      </w:r>
      <w:proofErr w:type="spellEnd"/>
      <w:r w:rsidRPr="00896E89">
        <w:rPr>
          <w:rFonts w:ascii="Times New Roman" w:hAnsi="Times New Roman" w:cs="Times New Roman"/>
          <w:sz w:val="24"/>
          <w:szCs w:val="24"/>
        </w:rPr>
        <w:t xml:space="preserve"> publicado este año, destaca que a pesar del objetivo de “hambre cero” y lucha contra la malnutrición previsto para 2030, la realización del derecho a la alimentación sigue siendo una realidad lejana, cuando no imposible, para demasiadas personas. Al respecto señala que los Estados siguen haciendo caso omiso a los derechos económicos, sociales y culturales, sobre todo el derecho a la alimentación. Indica que hay 170 países que son parte del PIDESC y sin embargo tan solo 30 países han reconocido expresamente el derecho en la constitución. Añade que los Estados son garantes de derechos y todas las personas son titulares de estos más no receptores pasivos de caridad por lo que es una obligación de los Estados garantizar unas instituciones que posibiliten la exigibilidad del derecho a la alimentación</w:t>
      </w:r>
      <w:r w:rsidRPr="00896E89">
        <w:rPr>
          <w:rStyle w:val="Refdenotaalpie"/>
          <w:rFonts w:ascii="Times New Roman" w:hAnsi="Times New Roman" w:cs="Times New Roman"/>
          <w:sz w:val="24"/>
          <w:szCs w:val="24"/>
        </w:rPr>
        <w:footnoteReference w:id="20"/>
      </w:r>
      <w:r w:rsidRPr="00896E89">
        <w:rPr>
          <w:rFonts w:ascii="Times New Roman" w:hAnsi="Times New Roman" w:cs="Times New Roman"/>
          <w:sz w:val="24"/>
          <w:szCs w:val="24"/>
        </w:rPr>
        <w:t xml:space="preserve">. </w:t>
      </w:r>
    </w:p>
    <w:p w14:paraId="5307E5D6" w14:textId="77777777" w:rsidR="002A028C" w:rsidRPr="00896E89" w:rsidRDefault="002A028C" w:rsidP="002A028C">
      <w:pPr>
        <w:jc w:val="both"/>
        <w:rPr>
          <w:rFonts w:ascii="Times New Roman" w:hAnsi="Times New Roman" w:cs="Times New Roman"/>
          <w:sz w:val="24"/>
          <w:szCs w:val="24"/>
        </w:rPr>
      </w:pPr>
    </w:p>
    <w:p w14:paraId="5B362A4B" w14:textId="32D35CBA" w:rsidR="002A028C" w:rsidRPr="00896E89" w:rsidRDefault="002A028C" w:rsidP="002A028C">
      <w:pPr>
        <w:jc w:val="both"/>
        <w:rPr>
          <w:rFonts w:ascii="Times New Roman" w:hAnsi="Times New Roman" w:cs="Times New Roman"/>
          <w:sz w:val="24"/>
          <w:szCs w:val="24"/>
        </w:rPr>
      </w:pPr>
      <w:r w:rsidRPr="00896E89">
        <w:rPr>
          <w:rFonts w:ascii="Times New Roman" w:hAnsi="Times New Roman" w:cs="Times New Roman"/>
          <w:sz w:val="24"/>
          <w:szCs w:val="24"/>
        </w:rPr>
        <w:t>Como se advierte, además de las normas e instrumentos internacionales que establecen obligaciones y referentes relevantes frente al Estado colombiano en relación con las garantías del derecho a la alimentación, se está en mora de avanzar hacia la constitucionalización de este derecho y de garantizar su carácter fundamental en relación con la población más vulnerable.</w:t>
      </w:r>
    </w:p>
    <w:p w14:paraId="71992269" w14:textId="77777777" w:rsidR="002A028C" w:rsidRPr="00896E89" w:rsidRDefault="002A028C" w:rsidP="002A028C">
      <w:pPr>
        <w:jc w:val="both"/>
        <w:rPr>
          <w:rFonts w:ascii="Times New Roman" w:hAnsi="Times New Roman" w:cs="Times New Roman"/>
          <w:sz w:val="24"/>
          <w:szCs w:val="24"/>
        </w:rPr>
      </w:pPr>
    </w:p>
    <w:p w14:paraId="48016B38" w14:textId="77777777" w:rsidR="002A028C" w:rsidRPr="00896E89" w:rsidRDefault="002A028C" w:rsidP="002A028C">
      <w:pPr>
        <w:jc w:val="both"/>
        <w:rPr>
          <w:rFonts w:ascii="Times New Roman" w:hAnsi="Times New Roman" w:cs="Times New Roman"/>
          <w:sz w:val="24"/>
          <w:szCs w:val="24"/>
        </w:rPr>
      </w:pPr>
      <w:r w:rsidRPr="00896E89">
        <w:rPr>
          <w:rFonts w:ascii="Times New Roman" w:hAnsi="Times New Roman" w:cs="Times New Roman"/>
          <w:sz w:val="24"/>
          <w:szCs w:val="24"/>
        </w:rPr>
        <w:t>Finalmente es importante mencionar que la jurisprudencia de la Corte Constitucional en varias sentencias se ha referido al derecho a la alimentación adecuada, a veces en pronunciamientos directos sobre el conjunto de componentes que integran el derecho a la alimentación, y en otras oportunidades aplicando el concepto de conexidad con los derechos fundamentales. Aunque los pronunciamientos son numerosos, se pueden destacar a modo de ejemplo las sentencias que han hablado sobre el derecho a la alimentación de los niños y niñas</w:t>
      </w:r>
      <w:r w:rsidRPr="00896E89">
        <w:rPr>
          <w:rStyle w:val="Refdenotaalpie"/>
          <w:rFonts w:ascii="Times New Roman" w:hAnsi="Times New Roman" w:cs="Times New Roman"/>
          <w:sz w:val="24"/>
          <w:szCs w:val="24"/>
        </w:rPr>
        <w:footnoteReference w:id="21"/>
      </w:r>
      <w:r w:rsidRPr="00896E89">
        <w:rPr>
          <w:rFonts w:ascii="Times New Roman" w:hAnsi="Times New Roman" w:cs="Times New Roman"/>
          <w:sz w:val="24"/>
          <w:szCs w:val="24"/>
        </w:rPr>
        <w:t>, la importancia del derecho en los entornos educativos</w:t>
      </w:r>
      <w:r w:rsidRPr="00896E89">
        <w:rPr>
          <w:rStyle w:val="Refdenotaalpie"/>
          <w:rFonts w:ascii="Times New Roman" w:hAnsi="Times New Roman" w:cs="Times New Roman"/>
          <w:sz w:val="24"/>
          <w:szCs w:val="24"/>
        </w:rPr>
        <w:footnoteReference w:id="22"/>
      </w:r>
      <w:r w:rsidRPr="00896E89">
        <w:rPr>
          <w:rFonts w:ascii="Times New Roman" w:hAnsi="Times New Roman" w:cs="Times New Roman"/>
          <w:sz w:val="24"/>
          <w:szCs w:val="24"/>
        </w:rPr>
        <w:t xml:space="preserve">, la alimentación para </w:t>
      </w:r>
      <w:r w:rsidRPr="00896E89">
        <w:rPr>
          <w:rFonts w:ascii="Times New Roman" w:hAnsi="Times New Roman" w:cs="Times New Roman"/>
          <w:sz w:val="24"/>
          <w:szCs w:val="24"/>
        </w:rPr>
        <w:lastRenderedPageBreak/>
        <w:t>comunidades rurales</w:t>
      </w:r>
      <w:r w:rsidRPr="00896E89">
        <w:rPr>
          <w:rStyle w:val="Refdenotaalpie"/>
          <w:rFonts w:ascii="Times New Roman" w:hAnsi="Times New Roman" w:cs="Times New Roman"/>
          <w:sz w:val="24"/>
          <w:szCs w:val="24"/>
        </w:rPr>
        <w:footnoteReference w:id="23"/>
      </w:r>
      <w:r w:rsidRPr="00896E89">
        <w:rPr>
          <w:rFonts w:ascii="Times New Roman" w:hAnsi="Times New Roman" w:cs="Times New Roman"/>
          <w:sz w:val="24"/>
          <w:szCs w:val="24"/>
        </w:rPr>
        <w:t xml:space="preserve"> y víctimas de desplazamiento forzado</w:t>
      </w:r>
      <w:r w:rsidRPr="00896E89">
        <w:rPr>
          <w:rStyle w:val="Refdenotaalpie"/>
          <w:rFonts w:ascii="Times New Roman" w:hAnsi="Times New Roman" w:cs="Times New Roman"/>
          <w:sz w:val="24"/>
          <w:szCs w:val="24"/>
        </w:rPr>
        <w:footnoteReference w:id="24"/>
      </w:r>
      <w:r w:rsidRPr="00896E89">
        <w:rPr>
          <w:rFonts w:ascii="Times New Roman" w:hAnsi="Times New Roman" w:cs="Times New Roman"/>
          <w:sz w:val="24"/>
          <w:szCs w:val="24"/>
        </w:rPr>
        <w:t>, la garantía de este derecho para personas privadas de la libertad</w:t>
      </w:r>
      <w:r w:rsidRPr="00896E89">
        <w:rPr>
          <w:rStyle w:val="Refdenotaalpie"/>
          <w:rFonts w:ascii="Times New Roman" w:hAnsi="Times New Roman" w:cs="Times New Roman"/>
          <w:sz w:val="24"/>
          <w:szCs w:val="24"/>
        </w:rPr>
        <w:footnoteReference w:id="25"/>
      </w:r>
      <w:r w:rsidRPr="00896E89">
        <w:rPr>
          <w:rFonts w:ascii="Times New Roman" w:hAnsi="Times New Roman" w:cs="Times New Roman"/>
          <w:sz w:val="24"/>
          <w:szCs w:val="24"/>
        </w:rPr>
        <w:t xml:space="preserve"> y la amplia jurisprudencia de los derechos sociales en el estado colombiano, entre otras. </w:t>
      </w:r>
    </w:p>
    <w:p w14:paraId="5BC9E4E9" w14:textId="61BA3B06" w:rsidR="002A028C" w:rsidRPr="00896E89" w:rsidRDefault="002A028C" w:rsidP="002A028C">
      <w:pPr>
        <w:jc w:val="both"/>
        <w:rPr>
          <w:rFonts w:ascii="Times New Roman" w:hAnsi="Times New Roman" w:cs="Times New Roman"/>
          <w:b/>
          <w:bCs/>
          <w:sz w:val="24"/>
          <w:szCs w:val="24"/>
        </w:rPr>
      </w:pPr>
    </w:p>
    <w:p w14:paraId="1A64DC46" w14:textId="77777777" w:rsidR="00FE6A05" w:rsidRPr="00FE6A05" w:rsidRDefault="00FE6A05" w:rsidP="00FE6A05">
      <w:pPr>
        <w:pStyle w:val="Prrafodelista"/>
        <w:numPr>
          <w:ilvl w:val="1"/>
          <w:numId w:val="1"/>
        </w:numPr>
        <w:rPr>
          <w:rFonts w:ascii="Times New Roman" w:hAnsi="Times New Roman" w:cs="Times New Roman"/>
          <w:b/>
          <w:bCs/>
          <w:sz w:val="24"/>
          <w:szCs w:val="24"/>
        </w:rPr>
      </w:pPr>
      <w:r w:rsidRPr="00FE6A05">
        <w:rPr>
          <w:rFonts w:ascii="Times New Roman" w:hAnsi="Times New Roman" w:cs="Times New Roman"/>
          <w:b/>
          <w:bCs/>
          <w:sz w:val="24"/>
          <w:szCs w:val="24"/>
        </w:rPr>
        <w:t>El derecho a estar protegido contra el hambre y la desnutrición en el derecho comparado</w:t>
      </w:r>
    </w:p>
    <w:p w14:paraId="72EFF48F" w14:textId="0A49C143" w:rsidR="00FE6A05" w:rsidRDefault="00FE6A05" w:rsidP="00FE6A05">
      <w:pPr>
        <w:jc w:val="both"/>
        <w:rPr>
          <w:rFonts w:ascii="Times New Roman" w:hAnsi="Times New Roman" w:cs="Times New Roman"/>
          <w:b/>
          <w:bCs/>
          <w:sz w:val="24"/>
          <w:szCs w:val="24"/>
        </w:rPr>
      </w:pPr>
    </w:p>
    <w:p w14:paraId="33CA044B" w14:textId="77777777" w:rsidR="00FE6A05" w:rsidRDefault="00FE6A05" w:rsidP="00FE6A0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Son varios los Estados los que, a pesar de haber ratificado y adoptado el Pacto Internacional de Derechos Económicos, Sociales y Culturales los que han consagrado explícitamente en sus constituciones el reconocimiento del derecho a estar protegido contra el hambre y la desnutrición, así</w:t>
      </w:r>
      <w:r>
        <w:rPr>
          <w:rStyle w:val="Refdenotaalpie"/>
          <w:rFonts w:ascii="Times New Roman" w:hAnsi="Times New Roman"/>
          <w:sz w:val="24"/>
          <w:szCs w:val="24"/>
        </w:rPr>
        <w:footnoteReference w:id="26"/>
      </w:r>
      <w:r>
        <w:rPr>
          <w:rFonts w:ascii="Times New Roman" w:hAnsi="Times New Roman"/>
          <w:sz w:val="24"/>
          <w:szCs w:val="24"/>
        </w:rPr>
        <w:t>:</w:t>
      </w:r>
    </w:p>
    <w:p w14:paraId="68137A60" w14:textId="77777777" w:rsidR="00FE6A05" w:rsidRDefault="00FE6A05" w:rsidP="00FE6A05">
      <w:pPr>
        <w:widowControl w:val="0"/>
        <w:autoSpaceDE w:val="0"/>
        <w:autoSpaceDN w:val="0"/>
        <w:adjustRightInd w:val="0"/>
        <w:jc w:val="both"/>
        <w:rPr>
          <w:rFonts w:ascii="Times New Roman" w:hAnsi="Times New Roman"/>
          <w:sz w:val="24"/>
          <w:szCs w:val="24"/>
        </w:rPr>
      </w:pPr>
    </w:p>
    <w:tbl>
      <w:tblPr>
        <w:tblStyle w:val="Tablaconcuadrcula"/>
        <w:tblW w:w="0" w:type="auto"/>
        <w:tblLook w:val="04A0" w:firstRow="1" w:lastRow="0" w:firstColumn="1" w:lastColumn="0" w:noHBand="0" w:noVBand="1"/>
      </w:tblPr>
      <w:tblGrid>
        <w:gridCol w:w="1521"/>
        <w:gridCol w:w="7307"/>
      </w:tblGrid>
      <w:tr w:rsidR="00FE6A05" w14:paraId="6EE045CF" w14:textId="77777777" w:rsidTr="00FE6A05">
        <w:tc>
          <w:tcPr>
            <w:tcW w:w="1526" w:type="dxa"/>
          </w:tcPr>
          <w:p w14:paraId="4E4A9981" w14:textId="77777777" w:rsidR="00FE6A05" w:rsidRDefault="00FE6A05" w:rsidP="00FE6A0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País</w:t>
            </w:r>
          </w:p>
        </w:tc>
        <w:tc>
          <w:tcPr>
            <w:tcW w:w="7452" w:type="dxa"/>
          </w:tcPr>
          <w:p w14:paraId="1EEFC188" w14:textId="77777777" w:rsidR="00FE6A05" w:rsidRDefault="00FE6A05" w:rsidP="00FE6A0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Texto constitucional</w:t>
            </w:r>
          </w:p>
        </w:tc>
      </w:tr>
      <w:tr w:rsidR="00FE6A05" w14:paraId="19CEBE5C" w14:textId="77777777" w:rsidTr="00FE6A05">
        <w:tc>
          <w:tcPr>
            <w:tcW w:w="1526" w:type="dxa"/>
            <w:vAlign w:val="center"/>
          </w:tcPr>
          <w:p w14:paraId="2CE31A60" w14:textId="77777777" w:rsidR="00FE6A05" w:rsidRDefault="00FE6A05" w:rsidP="00FE6A05">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Bolivia</w:t>
            </w:r>
          </w:p>
          <w:p w14:paraId="1F77983D" w14:textId="77777777" w:rsidR="00FE6A05" w:rsidRDefault="00FE6A05" w:rsidP="00FE6A05">
            <w:pPr>
              <w:widowControl w:val="0"/>
              <w:autoSpaceDE w:val="0"/>
              <w:autoSpaceDN w:val="0"/>
              <w:adjustRightInd w:val="0"/>
              <w:jc w:val="center"/>
              <w:rPr>
                <w:rFonts w:ascii="Times New Roman" w:hAnsi="Times New Roman"/>
                <w:sz w:val="24"/>
                <w:szCs w:val="24"/>
              </w:rPr>
            </w:pPr>
          </w:p>
        </w:tc>
        <w:tc>
          <w:tcPr>
            <w:tcW w:w="7452" w:type="dxa"/>
          </w:tcPr>
          <w:p w14:paraId="4A181AF3" w14:textId="77777777" w:rsidR="00FE6A05" w:rsidRDefault="00FE6A05" w:rsidP="00FE6A0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xml:space="preserve">Artículo 16: 1. </w:t>
            </w:r>
            <w:r w:rsidRPr="00280E8E">
              <w:rPr>
                <w:rFonts w:ascii="Times New Roman" w:hAnsi="Times New Roman"/>
                <w:sz w:val="24"/>
                <w:szCs w:val="24"/>
              </w:rPr>
              <w:t>Toda persona tiene derecho al agua y a la alimentación.</w:t>
            </w:r>
            <w:r>
              <w:rPr>
                <w:rFonts w:ascii="Times New Roman" w:hAnsi="Times New Roman"/>
                <w:sz w:val="24"/>
                <w:szCs w:val="24"/>
              </w:rPr>
              <w:t xml:space="preserve"> (…) </w:t>
            </w:r>
            <w:r w:rsidRPr="00280E8E">
              <w:rPr>
                <w:rFonts w:ascii="Times New Roman" w:hAnsi="Times New Roman"/>
                <w:sz w:val="24"/>
                <w:szCs w:val="24"/>
              </w:rPr>
              <w:t>El Estado tiene la obligación de garantizar la seguridad alimentaria, a través de una alimentación sana, adecuada y suficiente para toda la población.</w:t>
            </w:r>
          </w:p>
        </w:tc>
      </w:tr>
      <w:tr w:rsidR="00FE6A05" w14:paraId="593999C7" w14:textId="77777777" w:rsidTr="00FE6A05">
        <w:tc>
          <w:tcPr>
            <w:tcW w:w="1526" w:type="dxa"/>
            <w:vAlign w:val="center"/>
          </w:tcPr>
          <w:p w14:paraId="2B69A059" w14:textId="77777777" w:rsidR="00FE6A05" w:rsidRDefault="00FE6A05" w:rsidP="00FE6A05">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Cuba</w:t>
            </w:r>
          </w:p>
          <w:p w14:paraId="0E393068" w14:textId="77777777" w:rsidR="00FE6A05" w:rsidRDefault="00FE6A05" w:rsidP="00FE6A05">
            <w:pPr>
              <w:widowControl w:val="0"/>
              <w:autoSpaceDE w:val="0"/>
              <w:autoSpaceDN w:val="0"/>
              <w:adjustRightInd w:val="0"/>
              <w:jc w:val="center"/>
              <w:rPr>
                <w:rFonts w:ascii="Times New Roman" w:hAnsi="Times New Roman"/>
                <w:sz w:val="24"/>
                <w:szCs w:val="24"/>
              </w:rPr>
            </w:pPr>
          </w:p>
        </w:tc>
        <w:tc>
          <w:tcPr>
            <w:tcW w:w="7452" w:type="dxa"/>
          </w:tcPr>
          <w:p w14:paraId="4302B07E" w14:textId="77777777" w:rsidR="00FE6A05" w:rsidRDefault="00FE6A05" w:rsidP="00FE6A0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xml:space="preserve">Artículo 77. </w:t>
            </w:r>
            <w:r w:rsidRPr="00280E8E">
              <w:rPr>
                <w:rFonts w:ascii="Times New Roman" w:hAnsi="Times New Roman"/>
                <w:sz w:val="24"/>
                <w:szCs w:val="24"/>
              </w:rPr>
              <w:t>Todas las personas tienen derecho a la alimentación sana y adecuada. El Estado crea las condiciones para fortalecer la seguridad alimentaria de toda la población.</w:t>
            </w:r>
          </w:p>
        </w:tc>
      </w:tr>
      <w:tr w:rsidR="00FE6A05" w14:paraId="3A538648" w14:textId="77777777" w:rsidTr="00FE6A05">
        <w:tc>
          <w:tcPr>
            <w:tcW w:w="1526" w:type="dxa"/>
            <w:vAlign w:val="center"/>
          </w:tcPr>
          <w:p w14:paraId="11CD567D" w14:textId="77777777" w:rsidR="00FE6A05" w:rsidRDefault="00FE6A05" w:rsidP="00FE6A05">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Ecuador</w:t>
            </w:r>
          </w:p>
          <w:p w14:paraId="0D7BC22B" w14:textId="77777777" w:rsidR="00FE6A05" w:rsidRDefault="00FE6A05" w:rsidP="00FE6A05">
            <w:pPr>
              <w:widowControl w:val="0"/>
              <w:autoSpaceDE w:val="0"/>
              <w:autoSpaceDN w:val="0"/>
              <w:adjustRightInd w:val="0"/>
              <w:jc w:val="center"/>
              <w:rPr>
                <w:rFonts w:ascii="Times New Roman" w:hAnsi="Times New Roman"/>
                <w:sz w:val="24"/>
                <w:szCs w:val="24"/>
              </w:rPr>
            </w:pPr>
          </w:p>
        </w:tc>
        <w:tc>
          <w:tcPr>
            <w:tcW w:w="7452" w:type="dxa"/>
          </w:tcPr>
          <w:p w14:paraId="5FD4AD68" w14:textId="77777777" w:rsidR="00FE6A05" w:rsidRDefault="00FE6A05" w:rsidP="00FE6A0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xml:space="preserve">Artículo 3. </w:t>
            </w:r>
            <w:r w:rsidRPr="00D35A9C">
              <w:rPr>
                <w:rFonts w:ascii="Times New Roman" w:hAnsi="Times New Roman"/>
                <w:sz w:val="24"/>
                <w:szCs w:val="24"/>
              </w:rPr>
              <w:t>Son deberes primordiales del Estado:</w:t>
            </w:r>
            <w:r>
              <w:rPr>
                <w:rFonts w:ascii="Times New Roman" w:hAnsi="Times New Roman"/>
                <w:sz w:val="24"/>
                <w:szCs w:val="24"/>
              </w:rPr>
              <w:t xml:space="preserve"> (…) </w:t>
            </w:r>
            <w:r w:rsidRPr="00D35A9C">
              <w:rPr>
                <w:rFonts w:ascii="Times New Roman" w:hAnsi="Times New Roman"/>
                <w:sz w:val="24"/>
                <w:szCs w:val="24"/>
              </w:rPr>
              <w:t>1.</w:t>
            </w:r>
            <w:r>
              <w:rPr>
                <w:rFonts w:ascii="Times New Roman" w:hAnsi="Times New Roman"/>
                <w:sz w:val="24"/>
                <w:szCs w:val="24"/>
              </w:rPr>
              <w:t xml:space="preserve"> </w:t>
            </w:r>
            <w:r w:rsidRPr="00D35A9C">
              <w:rPr>
                <w:rFonts w:ascii="Times New Roman" w:hAnsi="Times New Roman"/>
                <w:sz w:val="24"/>
                <w:szCs w:val="24"/>
              </w:rPr>
              <w:t>Garantizar sin discriminación alguna el efectivo goce de los derechos establecidos en la Constitución y en los instrumentos internacionales, en particular la educación, la salud, la alimentación, la seguridad social y el agua para sus habitantes.</w:t>
            </w:r>
          </w:p>
          <w:p w14:paraId="7D0D5B0D" w14:textId="77777777" w:rsidR="00FE6A05" w:rsidRDefault="00FE6A05" w:rsidP="00FE6A05">
            <w:pPr>
              <w:widowControl w:val="0"/>
              <w:autoSpaceDE w:val="0"/>
              <w:autoSpaceDN w:val="0"/>
              <w:adjustRightInd w:val="0"/>
              <w:jc w:val="both"/>
              <w:rPr>
                <w:rFonts w:ascii="Times New Roman" w:hAnsi="Times New Roman"/>
                <w:sz w:val="24"/>
                <w:szCs w:val="24"/>
              </w:rPr>
            </w:pPr>
          </w:p>
          <w:p w14:paraId="046AEDA0" w14:textId="77777777" w:rsidR="00FE6A05" w:rsidRDefault="00FE6A05" w:rsidP="00FE6A0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xml:space="preserve">Artículo 32. </w:t>
            </w:r>
            <w:r w:rsidRPr="00D35A9C">
              <w:rPr>
                <w:rFonts w:ascii="Times New Roman" w:hAnsi="Times New Roman"/>
                <w:sz w:val="24"/>
                <w:szCs w:val="24"/>
              </w:rPr>
              <w:t>La salud es un derecho que garantiza el Estado, cuya realización se vincula al ejercicio de otros derechos, entre ellos el derecho al agua, la alimentación, la educación, la cultura física, el trabajo, la seguridad social, los ambientes sanos y otros que sustentan el buen vivir.</w:t>
            </w:r>
          </w:p>
          <w:p w14:paraId="152AB5D2" w14:textId="77777777" w:rsidR="00FE6A05" w:rsidRDefault="00FE6A05" w:rsidP="00FE6A05">
            <w:pPr>
              <w:widowControl w:val="0"/>
              <w:autoSpaceDE w:val="0"/>
              <w:autoSpaceDN w:val="0"/>
              <w:adjustRightInd w:val="0"/>
              <w:jc w:val="both"/>
              <w:rPr>
                <w:rFonts w:ascii="Times New Roman" w:hAnsi="Times New Roman"/>
                <w:sz w:val="24"/>
                <w:szCs w:val="24"/>
              </w:rPr>
            </w:pPr>
          </w:p>
          <w:p w14:paraId="228DF097" w14:textId="77777777" w:rsidR="00FE6A05" w:rsidRDefault="00FE6A05" w:rsidP="00FE6A0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xml:space="preserve">Artículo 66. </w:t>
            </w:r>
            <w:r w:rsidRPr="00D35A9C">
              <w:rPr>
                <w:rFonts w:ascii="Times New Roman" w:hAnsi="Times New Roman"/>
                <w:sz w:val="24"/>
                <w:szCs w:val="24"/>
              </w:rPr>
              <w:t>Se reconoce y garantizará a las personas:</w:t>
            </w:r>
            <w:r>
              <w:rPr>
                <w:rFonts w:ascii="Times New Roman" w:hAnsi="Times New Roman"/>
                <w:sz w:val="24"/>
                <w:szCs w:val="24"/>
              </w:rPr>
              <w:t xml:space="preserve"> (…) </w:t>
            </w:r>
            <w:r w:rsidRPr="00D35A9C">
              <w:rPr>
                <w:rFonts w:ascii="Times New Roman" w:hAnsi="Times New Roman"/>
                <w:sz w:val="24"/>
                <w:szCs w:val="24"/>
              </w:rPr>
              <w:t>2.</w:t>
            </w:r>
            <w:r>
              <w:rPr>
                <w:rFonts w:ascii="Times New Roman" w:hAnsi="Times New Roman"/>
                <w:sz w:val="24"/>
                <w:szCs w:val="24"/>
              </w:rPr>
              <w:t xml:space="preserve"> </w:t>
            </w:r>
            <w:r w:rsidRPr="00D35A9C">
              <w:rPr>
                <w:rFonts w:ascii="Times New Roman" w:hAnsi="Times New Roman"/>
                <w:sz w:val="24"/>
                <w:szCs w:val="24"/>
              </w:rPr>
              <w:t>El derecho a una vida digna, que asegure la salud, alimentación y nutrición, agua potable, vivienda, saneamiento ambiental, educación, trabajo, empleo, descanso y ocio, cultura física, vestido, seguridad social y otros servicios sociales necesarios.</w:t>
            </w:r>
          </w:p>
        </w:tc>
      </w:tr>
      <w:tr w:rsidR="00FE6A05" w14:paraId="1D005E89" w14:textId="77777777" w:rsidTr="00FE6A05">
        <w:tc>
          <w:tcPr>
            <w:tcW w:w="1526" w:type="dxa"/>
            <w:vAlign w:val="center"/>
          </w:tcPr>
          <w:p w14:paraId="31533F31" w14:textId="77777777" w:rsidR="00FE6A05" w:rsidRDefault="00FE6A05" w:rsidP="00FE6A05">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Haití</w:t>
            </w:r>
          </w:p>
        </w:tc>
        <w:tc>
          <w:tcPr>
            <w:tcW w:w="7452" w:type="dxa"/>
          </w:tcPr>
          <w:p w14:paraId="61ABF5C5" w14:textId="77777777" w:rsidR="00FE6A05" w:rsidRDefault="00FE6A05" w:rsidP="00FE6A0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xml:space="preserve">Artículo 22. </w:t>
            </w:r>
            <w:r w:rsidRPr="00D35A9C">
              <w:rPr>
                <w:rFonts w:ascii="Times New Roman" w:hAnsi="Times New Roman"/>
                <w:sz w:val="24"/>
                <w:szCs w:val="24"/>
              </w:rPr>
              <w:t>El Estado reconoce el derecho de todo ciudadano a una vivienda digna, a la educación, a la alimentación y a la seguridad social.</w:t>
            </w:r>
          </w:p>
        </w:tc>
      </w:tr>
      <w:tr w:rsidR="00FE6A05" w14:paraId="40322E8A" w14:textId="77777777" w:rsidTr="00FE6A05">
        <w:tc>
          <w:tcPr>
            <w:tcW w:w="1526" w:type="dxa"/>
            <w:vAlign w:val="center"/>
          </w:tcPr>
          <w:p w14:paraId="32376AB0" w14:textId="77777777" w:rsidR="00FE6A05" w:rsidRDefault="00FE6A05" w:rsidP="00FE6A05">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República Islámica de Irán</w:t>
            </w:r>
          </w:p>
          <w:p w14:paraId="1304AF44" w14:textId="77777777" w:rsidR="00FE6A05" w:rsidRDefault="00FE6A05" w:rsidP="00FE6A05">
            <w:pPr>
              <w:widowControl w:val="0"/>
              <w:autoSpaceDE w:val="0"/>
              <w:autoSpaceDN w:val="0"/>
              <w:adjustRightInd w:val="0"/>
              <w:jc w:val="center"/>
              <w:rPr>
                <w:rFonts w:ascii="Times New Roman" w:hAnsi="Times New Roman"/>
                <w:sz w:val="24"/>
                <w:szCs w:val="24"/>
              </w:rPr>
            </w:pPr>
          </w:p>
        </w:tc>
        <w:tc>
          <w:tcPr>
            <w:tcW w:w="7452" w:type="dxa"/>
          </w:tcPr>
          <w:p w14:paraId="35C48890" w14:textId="77777777" w:rsidR="00FE6A05" w:rsidRPr="00D35A9C" w:rsidRDefault="00FE6A05" w:rsidP="00FE6A05">
            <w:pPr>
              <w:pStyle w:val="ng-scope"/>
              <w:shd w:val="clear" w:color="auto" w:fill="FFFFFF"/>
              <w:spacing w:before="0" w:beforeAutospacing="0" w:after="0" w:afterAutospacing="0"/>
              <w:jc w:val="both"/>
              <w:rPr>
                <w:rStyle w:val="article-excerpt-text"/>
              </w:rPr>
            </w:pPr>
            <w:r w:rsidRPr="00D35A9C">
              <w:t>Principio 3. P</w:t>
            </w:r>
            <w:r w:rsidRPr="00D35A9C">
              <w:rPr>
                <w:color w:val="333333"/>
              </w:rPr>
              <w:t xml:space="preserve">ara alcanzar los objetivos mencionados en el principio segundo, el Gobierno de la República Islámica tiene la responsabilidad de poner en funcionamiento todos los medios a su alcance para conseguir los siguientes fines: (…) </w:t>
            </w:r>
            <w:r w:rsidRPr="00D35A9C">
              <w:rPr>
                <w:rStyle w:val="article-list-key"/>
                <w:color w:val="333333"/>
                <w:shd w:val="clear" w:color="auto" w:fill="FFFFFF"/>
              </w:rPr>
              <w:t>12.</w:t>
            </w:r>
            <w:r>
              <w:rPr>
                <w:rStyle w:val="article-list-key"/>
                <w:color w:val="333333"/>
                <w:shd w:val="clear" w:color="auto" w:fill="FFFFFF"/>
              </w:rPr>
              <w:t xml:space="preserve"> </w:t>
            </w:r>
            <w:r w:rsidRPr="00D35A9C">
              <w:rPr>
                <w:rStyle w:val="article-excerpt-text"/>
                <w:color w:val="333333"/>
                <w:shd w:val="clear" w:color="auto" w:fill="FFFFFF"/>
              </w:rPr>
              <w:t>Cimentar una economía sana y equitativa, de acuerdo con los principios islámicos, para crear bienestar, erradicar la pobreza y eliminar todo tipo de miseria en los campos de la </w:t>
            </w:r>
            <w:r w:rsidRPr="00D35A9C">
              <w:rPr>
                <w:rStyle w:val="Textoennegrita"/>
                <w:color w:val="333333"/>
                <w:shd w:val="clear" w:color="auto" w:fill="FFFFFF"/>
              </w:rPr>
              <w:t>a</w:t>
            </w:r>
            <w:r w:rsidRPr="00D35A9C">
              <w:rPr>
                <w:rStyle w:val="Textoennegrita"/>
                <w:b w:val="0"/>
                <w:bCs w:val="0"/>
                <w:color w:val="333333"/>
                <w:shd w:val="clear" w:color="auto" w:fill="FFFFFF"/>
              </w:rPr>
              <w:t>limentación</w:t>
            </w:r>
            <w:r w:rsidRPr="00D35A9C">
              <w:rPr>
                <w:rStyle w:val="article-excerpt-text"/>
                <w:color w:val="333333"/>
                <w:shd w:val="clear" w:color="auto" w:fill="FFFFFF"/>
              </w:rPr>
              <w:t>, de la vivienda, del trabajo, de la salud y generalizar la aseguración.</w:t>
            </w:r>
          </w:p>
          <w:p w14:paraId="4FB7D361" w14:textId="77777777" w:rsidR="00FE6A05" w:rsidRPr="00D35A9C" w:rsidRDefault="00FE6A05" w:rsidP="00FE6A05">
            <w:pPr>
              <w:pStyle w:val="ng-scope"/>
              <w:shd w:val="clear" w:color="auto" w:fill="FFFFFF"/>
              <w:spacing w:before="0" w:beforeAutospacing="0" w:after="0" w:afterAutospacing="0"/>
              <w:jc w:val="both"/>
              <w:rPr>
                <w:rStyle w:val="article-excerpt-text"/>
              </w:rPr>
            </w:pPr>
          </w:p>
          <w:p w14:paraId="5A350CA0" w14:textId="77777777" w:rsidR="00FE6A05" w:rsidRPr="00DF67FA" w:rsidRDefault="00FE6A05" w:rsidP="00FE6A05">
            <w:pPr>
              <w:pStyle w:val="ng-scope"/>
              <w:shd w:val="clear" w:color="auto" w:fill="FFFFFF"/>
              <w:spacing w:before="0" w:beforeAutospacing="0" w:after="0" w:afterAutospacing="0"/>
              <w:jc w:val="both"/>
              <w:rPr>
                <w:color w:val="333333"/>
              </w:rPr>
            </w:pPr>
            <w:r w:rsidRPr="00D35A9C">
              <w:rPr>
                <w:rStyle w:val="article-excerpt-text"/>
              </w:rPr>
              <w:t xml:space="preserve">Principio 43. </w:t>
            </w:r>
            <w:r w:rsidRPr="00D35A9C">
              <w:rPr>
                <w:color w:val="333333"/>
              </w:rPr>
              <w:t xml:space="preserve">Al objeto de garantizar la independencia económica de la sociedad, erradicar la pobreza y la miseria y satisfacer las necesidades humanas en el curso de su crecimiento salvaguardando su libertad, la economía de la República Islámica de Irán se basará en los siguientes principios: (…) </w:t>
            </w:r>
            <w:r w:rsidRPr="00D35A9C">
              <w:rPr>
                <w:color w:val="333333"/>
                <w:shd w:val="clear" w:color="auto" w:fill="FFFFFF"/>
              </w:rPr>
              <w:t>1. Garantizar las necesidades básicas para todos: vivienda, alimentación, vestido, servicios sanitarios, medicamentos, educación, enseñanza, así como los medios necesarios para constituir la familia</w:t>
            </w:r>
            <w:r>
              <w:rPr>
                <w:color w:val="333333"/>
                <w:shd w:val="clear" w:color="auto" w:fill="FFFFFF"/>
              </w:rPr>
              <w:t>.</w:t>
            </w:r>
          </w:p>
        </w:tc>
      </w:tr>
      <w:tr w:rsidR="00FE6A05" w14:paraId="2A8C2F93" w14:textId="77777777" w:rsidTr="00FE6A05">
        <w:tc>
          <w:tcPr>
            <w:tcW w:w="1526" w:type="dxa"/>
            <w:vAlign w:val="center"/>
          </w:tcPr>
          <w:p w14:paraId="60304ADC" w14:textId="77777777" w:rsidR="00FE6A05" w:rsidRDefault="00FE6A05" w:rsidP="00FE6A05">
            <w:pPr>
              <w:widowControl w:val="0"/>
              <w:autoSpaceDE w:val="0"/>
              <w:autoSpaceDN w:val="0"/>
              <w:adjustRightInd w:val="0"/>
              <w:jc w:val="center"/>
              <w:rPr>
                <w:rFonts w:ascii="Times New Roman" w:hAnsi="Times New Roman"/>
                <w:sz w:val="24"/>
                <w:szCs w:val="24"/>
              </w:rPr>
            </w:pPr>
            <w:proofErr w:type="spellStart"/>
            <w:r>
              <w:rPr>
                <w:rFonts w:ascii="Times New Roman" w:hAnsi="Times New Roman"/>
                <w:sz w:val="24"/>
                <w:szCs w:val="24"/>
              </w:rPr>
              <w:t>Kenya</w:t>
            </w:r>
            <w:proofErr w:type="spellEnd"/>
          </w:p>
        </w:tc>
        <w:tc>
          <w:tcPr>
            <w:tcW w:w="7452" w:type="dxa"/>
          </w:tcPr>
          <w:p w14:paraId="37B4B4E3" w14:textId="77777777" w:rsidR="00FE6A05" w:rsidRDefault="00FE6A05" w:rsidP="00FE6A0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xml:space="preserve">Artículo 43. </w:t>
            </w:r>
            <w:r w:rsidRPr="00280E8E">
              <w:rPr>
                <w:rFonts w:ascii="Times New Roman" w:hAnsi="Times New Roman"/>
                <w:sz w:val="24"/>
                <w:szCs w:val="24"/>
              </w:rPr>
              <w:t>1. Todas las personas tienen derecho:</w:t>
            </w:r>
            <w:r>
              <w:rPr>
                <w:rFonts w:ascii="Times New Roman" w:hAnsi="Times New Roman"/>
                <w:sz w:val="24"/>
                <w:szCs w:val="24"/>
              </w:rPr>
              <w:t xml:space="preserve"> (…) </w:t>
            </w:r>
            <w:r w:rsidRPr="00280E8E">
              <w:rPr>
                <w:rFonts w:ascii="Times New Roman" w:hAnsi="Times New Roman"/>
                <w:sz w:val="24"/>
                <w:szCs w:val="24"/>
              </w:rPr>
              <w:t>c.</w:t>
            </w:r>
            <w:r>
              <w:rPr>
                <w:rFonts w:ascii="Times New Roman" w:hAnsi="Times New Roman"/>
                <w:sz w:val="24"/>
                <w:szCs w:val="24"/>
              </w:rPr>
              <w:t xml:space="preserve"> </w:t>
            </w:r>
            <w:r w:rsidRPr="00280E8E">
              <w:rPr>
                <w:rFonts w:ascii="Times New Roman" w:hAnsi="Times New Roman"/>
                <w:sz w:val="24"/>
                <w:szCs w:val="24"/>
              </w:rPr>
              <w:t>A no padecer hambre y a tener alimentos adecuados de aceptable calidad.</w:t>
            </w:r>
          </w:p>
        </w:tc>
      </w:tr>
      <w:tr w:rsidR="00FE6A05" w14:paraId="13318022" w14:textId="77777777" w:rsidTr="00FE6A05">
        <w:tc>
          <w:tcPr>
            <w:tcW w:w="1526" w:type="dxa"/>
            <w:vAlign w:val="center"/>
          </w:tcPr>
          <w:p w14:paraId="5F09DC56" w14:textId="77777777" w:rsidR="00FE6A05" w:rsidRDefault="00FE6A05" w:rsidP="00FE6A05">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México</w:t>
            </w:r>
          </w:p>
          <w:p w14:paraId="1856C974" w14:textId="77777777" w:rsidR="00FE6A05" w:rsidRDefault="00FE6A05" w:rsidP="00FE6A05">
            <w:pPr>
              <w:widowControl w:val="0"/>
              <w:autoSpaceDE w:val="0"/>
              <w:autoSpaceDN w:val="0"/>
              <w:adjustRightInd w:val="0"/>
              <w:jc w:val="center"/>
              <w:rPr>
                <w:rFonts w:ascii="Times New Roman" w:hAnsi="Times New Roman"/>
                <w:sz w:val="24"/>
                <w:szCs w:val="24"/>
              </w:rPr>
            </w:pPr>
          </w:p>
        </w:tc>
        <w:tc>
          <w:tcPr>
            <w:tcW w:w="7452" w:type="dxa"/>
          </w:tcPr>
          <w:p w14:paraId="547B246E" w14:textId="77777777" w:rsidR="00FE6A05" w:rsidRPr="00D35A9C" w:rsidRDefault="00FE6A05" w:rsidP="00FE6A05">
            <w:pPr>
              <w:widowControl w:val="0"/>
              <w:autoSpaceDE w:val="0"/>
              <w:autoSpaceDN w:val="0"/>
              <w:adjustRightInd w:val="0"/>
              <w:jc w:val="both"/>
              <w:rPr>
                <w:rFonts w:ascii="Times New Roman" w:hAnsi="Times New Roman"/>
                <w:sz w:val="24"/>
                <w:szCs w:val="24"/>
              </w:rPr>
            </w:pPr>
            <w:r w:rsidRPr="00D35A9C">
              <w:rPr>
                <w:rFonts w:ascii="Times New Roman" w:hAnsi="Times New Roman"/>
                <w:sz w:val="24"/>
                <w:szCs w:val="24"/>
              </w:rPr>
              <w:t>Artículo 4. Toda persona tiene derecho a la alimentación nutritiva, suficiente y de calidad. El Estado lo garantizará. (…) En todas las decisiones y actuaciones del Estado se velará y cumplirá con el principio del interés superior de la niñez, garantizando de manera plena sus derechos. Los niños y las niñas tienen derecho a la satisfacción de sus necesidades de alimentación, salud, educación y sano esparcimiento para su desarrollo integral. Este principio deberá guiar el diseño, ejecución, seguimiento y evaluación de las políticas públicas dirigidas a la niñez.</w:t>
            </w:r>
          </w:p>
        </w:tc>
      </w:tr>
      <w:tr w:rsidR="00FE6A05" w14:paraId="7798D11A" w14:textId="77777777" w:rsidTr="00FE6A05">
        <w:tc>
          <w:tcPr>
            <w:tcW w:w="1526" w:type="dxa"/>
            <w:vAlign w:val="center"/>
          </w:tcPr>
          <w:p w14:paraId="6D0D489A" w14:textId="77777777" w:rsidR="00FE6A05" w:rsidRDefault="00FE6A05" w:rsidP="00FE6A05">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Nicaragua</w:t>
            </w:r>
          </w:p>
        </w:tc>
        <w:tc>
          <w:tcPr>
            <w:tcW w:w="7452" w:type="dxa"/>
          </w:tcPr>
          <w:p w14:paraId="31A73B40" w14:textId="77777777" w:rsidR="00FE6A05" w:rsidRPr="00D35A9C" w:rsidRDefault="00FE6A05" w:rsidP="00FE6A05">
            <w:pPr>
              <w:widowControl w:val="0"/>
              <w:autoSpaceDE w:val="0"/>
              <w:autoSpaceDN w:val="0"/>
              <w:adjustRightInd w:val="0"/>
              <w:jc w:val="both"/>
              <w:rPr>
                <w:rFonts w:ascii="Times New Roman" w:hAnsi="Times New Roman"/>
                <w:sz w:val="24"/>
                <w:szCs w:val="24"/>
              </w:rPr>
            </w:pPr>
            <w:r w:rsidRPr="00D35A9C">
              <w:rPr>
                <w:rFonts w:ascii="Times New Roman" w:hAnsi="Times New Roman"/>
                <w:sz w:val="24"/>
                <w:szCs w:val="24"/>
              </w:rPr>
              <w:t>Es derecho de los nicaragüenses estar protegidos contra el hambre. El Estado promoverá programas que aseguren una adecuada disponibilidad de alimentos y una distribución equitativa de los mismos.</w:t>
            </w:r>
          </w:p>
        </w:tc>
      </w:tr>
      <w:tr w:rsidR="00FE6A05" w14:paraId="4E97AB3D" w14:textId="77777777" w:rsidTr="00FE6A05">
        <w:tc>
          <w:tcPr>
            <w:tcW w:w="1526" w:type="dxa"/>
            <w:vAlign w:val="center"/>
          </w:tcPr>
          <w:p w14:paraId="3C9ABDE5" w14:textId="77777777" w:rsidR="00FE6A05" w:rsidRDefault="00FE6A05" w:rsidP="00FE6A05">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Nigeria</w:t>
            </w:r>
          </w:p>
        </w:tc>
        <w:tc>
          <w:tcPr>
            <w:tcW w:w="7452" w:type="dxa"/>
          </w:tcPr>
          <w:p w14:paraId="1773BFF4" w14:textId="77777777" w:rsidR="00FE6A05" w:rsidRPr="00D35A9C" w:rsidRDefault="00FE6A05" w:rsidP="00FE6A05">
            <w:pPr>
              <w:shd w:val="clear" w:color="auto" w:fill="FFFFFF"/>
              <w:jc w:val="both"/>
              <w:rPr>
                <w:rFonts w:ascii="Times New Roman" w:eastAsia="Times New Roman" w:hAnsi="Times New Roman"/>
                <w:color w:val="333333"/>
                <w:sz w:val="24"/>
                <w:szCs w:val="24"/>
                <w:lang w:val="es-CO"/>
              </w:rPr>
            </w:pPr>
            <w:r w:rsidRPr="00D35A9C">
              <w:rPr>
                <w:rFonts w:ascii="Times New Roman" w:eastAsia="Times New Roman" w:hAnsi="Times New Roman"/>
                <w:color w:val="333333"/>
                <w:sz w:val="24"/>
                <w:szCs w:val="24"/>
                <w:lang w:val="es-CO"/>
              </w:rPr>
              <w:t>2.El Estado dirigirá su política con el fin de garantizar: (…) d.</w:t>
            </w:r>
            <w:r>
              <w:rPr>
                <w:rFonts w:ascii="Times New Roman" w:eastAsia="Times New Roman" w:hAnsi="Times New Roman"/>
                <w:color w:val="333333"/>
                <w:sz w:val="24"/>
                <w:szCs w:val="24"/>
                <w:lang w:val="es-CO"/>
              </w:rPr>
              <w:t xml:space="preserve"> </w:t>
            </w:r>
            <w:r w:rsidRPr="00D35A9C">
              <w:rPr>
                <w:rFonts w:ascii="Times New Roman" w:eastAsia="Times New Roman" w:hAnsi="Times New Roman"/>
                <w:color w:val="333333"/>
                <w:sz w:val="24"/>
                <w:szCs w:val="24"/>
                <w:lang w:val="es-CO"/>
              </w:rPr>
              <w:t>que se le proporcionen a todos los ciudadanos un alojamiento adecuado y suficiente, alimentación adecuada y suficiente, un salario mínimo nacional razonables, cuidados y pensiones para la tercera edad; prestaciones en caso de desempleo y enfermedad, y asistencia social para los incapacitados.</w:t>
            </w:r>
          </w:p>
        </w:tc>
      </w:tr>
      <w:tr w:rsidR="00FE6A05" w14:paraId="7DAF158E" w14:textId="77777777" w:rsidTr="00FE6A05">
        <w:tc>
          <w:tcPr>
            <w:tcW w:w="1526" w:type="dxa"/>
            <w:vAlign w:val="center"/>
          </w:tcPr>
          <w:p w14:paraId="2B911475" w14:textId="77777777" w:rsidR="00FE6A05" w:rsidRDefault="00FE6A05" w:rsidP="00FE6A05">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Panamá</w:t>
            </w:r>
          </w:p>
        </w:tc>
        <w:tc>
          <w:tcPr>
            <w:tcW w:w="7452" w:type="dxa"/>
          </w:tcPr>
          <w:p w14:paraId="77CAA969" w14:textId="77777777" w:rsidR="00FE6A05" w:rsidRPr="00D35A9C" w:rsidRDefault="00FE6A05" w:rsidP="00FE6A05">
            <w:pPr>
              <w:shd w:val="clear" w:color="auto" w:fill="FFFFFF"/>
              <w:jc w:val="both"/>
              <w:rPr>
                <w:rFonts w:ascii="Times New Roman" w:eastAsia="Times New Roman" w:hAnsi="Times New Roman"/>
                <w:color w:val="333333"/>
                <w:sz w:val="24"/>
                <w:szCs w:val="24"/>
                <w:lang w:val="es-CO"/>
              </w:rPr>
            </w:pPr>
            <w:r w:rsidRPr="00D35A9C">
              <w:rPr>
                <w:rFonts w:ascii="Times New Roman" w:eastAsia="Times New Roman" w:hAnsi="Times New Roman"/>
                <w:color w:val="333333"/>
                <w:sz w:val="24"/>
                <w:szCs w:val="24"/>
                <w:lang w:val="es-CO"/>
              </w:rPr>
              <w:t xml:space="preserve">En materia de salud, corresponde primordialmente al Estado el desarrollo de las siguientes actividades, integrando las funciones de prevención, curación y rehabilitación: (…) </w:t>
            </w:r>
            <w:r w:rsidRPr="00D35A9C">
              <w:rPr>
                <w:rFonts w:ascii="Times New Roman" w:eastAsia="Times New Roman" w:hAnsi="Times New Roman"/>
                <w:color w:val="333333"/>
                <w:sz w:val="24"/>
                <w:szCs w:val="24"/>
                <w:shd w:val="clear" w:color="auto" w:fill="FFFFFF"/>
                <w:lang w:val="es-CO"/>
              </w:rPr>
              <w:t>1.</w:t>
            </w:r>
            <w:r>
              <w:rPr>
                <w:rFonts w:ascii="Times New Roman" w:eastAsia="Times New Roman" w:hAnsi="Times New Roman"/>
                <w:color w:val="333333"/>
                <w:sz w:val="24"/>
                <w:szCs w:val="24"/>
                <w:shd w:val="clear" w:color="auto" w:fill="FFFFFF"/>
                <w:lang w:val="es-CO"/>
              </w:rPr>
              <w:t xml:space="preserve"> </w:t>
            </w:r>
            <w:r w:rsidRPr="00D35A9C">
              <w:rPr>
                <w:rFonts w:ascii="Times New Roman" w:eastAsia="Times New Roman" w:hAnsi="Times New Roman"/>
                <w:color w:val="333333"/>
                <w:sz w:val="24"/>
                <w:szCs w:val="24"/>
                <w:shd w:val="clear" w:color="auto" w:fill="FFFFFF"/>
                <w:lang w:val="es-CO"/>
              </w:rPr>
              <w:t>Desarrollar una política nacional de alimentación y nutrición que asegure un óptimo estado nutricional para toda la población, al promover la disponibilidad, el consumo y el aprovechamiento biológico de los alimentos adecuados.</w:t>
            </w:r>
          </w:p>
          <w:p w14:paraId="34D22A57" w14:textId="77777777" w:rsidR="00FE6A05" w:rsidRPr="00D35A9C" w:rsidRDefault="00FE6A05" w:rsidP="00FE6A05">
            <w:pPr>
              <w:widowControl w:val="0"/>
              <w:autoSpaceDE w:val="0"/>
              <w:autoSpaceDN w:val="0"/>
              <w:adjustRightInd w:val="0"/>
              <w:jc w:val="both"/>
              <w:rPr>
                <w:rFonts w:ascii="Times New Roman" w:hAnsi="Times New Roman"/>
                <w:sz w:val="24"/>
                <w:szCs w:val="24"/>
              </w:rPr>
            </w:pPr>
          </w:p>
        </w:tc>
      </w:tr>
      <w:tr w:rsidR="00FE6A05" w14:paraId="19A35B96" w14:textId="77777777" w:rsidTr="00FE6A05">
        <w:tc>
          <w:tcPr>
            <w:tcW w:w="1526" w:type="dxa"/>
            <w:vAlign w:val="center"/>
          </w:tcPr>
          <w:p w14:paraId="40DAF381" w14:textId="77777777" w:rsidR="00FE6A05" w:rsidRDefault="00FE6A05" w:rsidP="00FE6A05">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Paraguay</w:t>
            </w:r>
          </w:p>
        </w:tc>
        <w:tc>
          <w:tcPr>
            <w:tcW w:w="7452" w:type="dxa"/>
          </w:tcPr>
          <w:p w14:paraId="2ABC6CB6" w14:textId="77777777" w:rsidR="00FE6A05" w:rsidRDefault="00FE6A05" w:rsidP="00FE6A0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xml:space="preserve">Artículo 57. </w:t>
            </w:r>
            <w:r w:rsidRPr="00D35A9C">
              <w:rPr>
                <w:rFonts w:ascii="Times New Roman" w:hAnsi="Times New Roman"/>
                <w:sz w:val="24"/>
                <w:szCs w:val="24"/>
              </w:rPr>
              <w:t xml:space="preserve">La familia, la sociedad y los poderes públicos promoverán su bienestar mediante servicios sociales que se ocupen de sus necesidades de </w:t>
            </w:r>
            <w:r w:rsidRPr="00D35A9C">
              <w:rPr>
                <w:rFonts w:ascii="Times New Roman" w:hAnsi="Times New Roman"/>
                <w:sz w:val="24"/>
                <w:szCs w:val="24"/>
              </w:rPr>
              <w:lastRenderedPageBreak/>
              <w:t>alimentación, salud, vivienda, cultura y ocio.</w:t>
            </w:r>
          </w:p>
        </w:tc>
      </w:tr>
      <w:tr w:rsidR="00FE6A05" w14:paraId="2CA6DE5F" w14:textId="77777777" w:rsidTr="00FE6A05">
        <w:tc>
          <w:tcPr>
            <w:tcW w:w="1526" w:type="dxa"/>
            <w:vAlign w:val="center"/>
          </w:tcPr>
          <w:p w14:paraId="2AFD3853" w14:textId="77777777" w:rsidR="00FE6A05" w:rsidRDefault="00FE6A05" w:rsidP="00FE6A05">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República Dominicana</w:t>
            </w:r>
          </w:p>
        </w:tc>
        <w:tc>
          <w:tcPr>
            <w:tcW w:w="7452" w:type="dxa"/>
          </w:tcPr>
          <w:p w14:paraId="4F668FC8" w14:textId="77777777" w:rsidR="00FE6A05" w:rsidRDefault="00FE6A05" w:rsidP="00FE6A0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Artículo 61. T</w:t>
            </w:r>
            <w:r w:rsidRPr="00D35A9C">
              <w:rPr>
                <w:rFonts w:ascii="Times New Roman" w:hAnsi="Times New Roman"/>
                <w:sz w:val="24"/>
                <w:szCs w:val="24"/>
              </w:rPr>
              <w:t>oda persona tiene derecho a la salud integral. En consecuencia:</w:t>
            </w:r>
            <w:r>
              <w:rPr>
                <w:rFonts w:ascii="Times New Roman" w:hAnsi="Times New Roman"/>
                <w:sz w:val="24"/>
                <w:szCs w:val="24"/>
              </w:rPr>
              <w:t xml:space="preserve"> (…) </w:t>
            </w:r>
            <w:r w:rsidRPr="00D35A9C">
              <w:rPr>
                <w:rFonts w:ascii="Times New Roman" w:hAnsi="Times New Roman"/>
                <w:sz w:val="24"/>
                <w:szCs w:val="24"/>
              </w:rPr>
              <w:t>1.</w:t>
            </w:r>
            <w:r>
              <w:rPr>
                <w:rFonts w:ascii="Times New Roman" w:hAnsi="Times New Roman"/>
                <w:sz w:val="24"/>
                <w:szCs w:val="24"/>
              </w:rPr>
              <w:t xml:space="preserve"> </w:t>
            </w:r>
            <w:r w:rsidRPr="00D35A9C">
              <w:rPr>
                <w:rFonts w:ascii="Times New Roman" w:hAnsi="Times New Roman"/>
                <w:sz w:val="24"/>
                <w:szCs w:val="24"/>
              </w:rPr>
              <w:t>El Estado debe velar por la protección de la salud de todas las personas, el acceso al agua potable, el mejoramiento de la alimentación, de los servicios sanitarios, las condiciones higiénicas, el saneamiento ambiental, así como procurar los medios para la prevención y tratamiento de todas las enfermedades, asegurando el acceso a medicamentos de calidad y dando asistencia médica y hospitalaria gratuita a quienes la requieran;</w:t>
            </w:r>
          </w:p>
        </w:tc>
      </w:tr>
    </w:tbl>
    <w:p w14:paraId="18ADBFE0" w14:textId="77777777" w:rsidR="00FE6A05" w:rsidRDefault="00FE6A05" w:rsidP="00FE6A05">
      <w:pPr>
        <w:widowControl w:val="0"/>
        <w:autoSpaceDE w:val="0"/>
        <w:autoSpaceDN w:val="0"/>
        <w:adjustRightInd w:val="0"/>
        <w:jc w:val="both"/>
        <w:rPr>
          <w:rFonts w:ascii="Times New Roman" w:hAnsi="Times New Roman"/>
          <w:sz w:val="24"/>
          <w:szCs w:val="24"/>
        </w:rPr>
      </w:pPr>
    </w:p>
    <w:p w14:paraId="5CA6B44A" w14:textId="77777777" w:rsidR="00FE6A05" w:rsidRDefault="00FE6A05" w:rsidP="00FE6A0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Es necesario resaltar que la totalidad de los Estados que consagran de una u otra forma el derecho a estar protegidos contra el hambre y la desnutrición – bien sea de manera directa o en conexidad con el derecho a la salud – son Estados en vías de desarrollo, tal y como es el caso de Colombia, por lo que no es de recibo un argumento que indique que el país no puede consagrar en su ordenamiento jurídico este derecho -  en las condiciones señaladas en el acápite de exigibilidad – ya que en al menos 13 países (la mayoría de ellos pertenecientes a la región de América Latina y el Caribe) ha sido posible elevar a rango constitucional el derecho a estar protegido contra el hambre y la desnutrición, y con base en esta disposición jurídica, tener la legitimidad así como la obligación de adoptar medidas que permitan garantizar la protección de este derecho esencial para cualquier ser humano.</w:t>
      </w:r>
    </w:p>
    <w:p w14:paraId="4A87D186" w14:textId="77777777" w:rsidR="00FE6A05" w:rsidRPr="00FE6A05" w:rsidRDefault="00FE6A05" w:rsidP="00FE6A05">
      <w:pPr>
        <w:jc w:val="both"/>
        <w:rPr>
          <w:rFonts w:ascii="Times New Roman" w:hAnsi="Times New Roman" w:cs="Times New Roman"/>
          <w:b/>
          <w:bCs/>
          <w:sz w:val="24"/>
          <w:szCs w:val="24"/>
        </w:rPr>
      </w:pPr>
    </w:p>
    <w:p w14:paraId="034E011C" w14:textId="77777777" w:rsidR="00FE6A05" w:rsidRDefault="00FE6A05" w:rsidP="00FE6A05">
      <w:pPr>
        <w:pStyle w:val="Prrafodelista"/>
        <w:ind w:left="1440"/>
        <w:jc w:val="both"/>
        <w:rPr>
          <w:rFonts w:ascii="Times New Roman" w:hAnsi="Times New Roman" w:cs="Times New Roman"/>
          <w:b/>
          <w:bCs/>
          <w:sz w:val="24"/>
          <w:szCs w:val="24"/>
        </w:rPr>
      </w:pPr>
    </w:p>
    <w:p w14:paraId="77375BDC" w14:textId="10F658B9" w:rsidR="00FE6A05" w:rsidRPr="00FE6A05" w:rsidRDefault="00FE6A05" w:rsidP="00FE6A05">
      <w:pPr>
        <w:pStyle w:val="Prrafodelista"/>
        <w:numPr>
          <w:ilvl w:val="1"/>
          <w:numId w:val="1"/>
        </w:numPr>
        <w:rPr>
          <w:rFonts w:ascii="Times New Roman" w:hAnsi="Times New Roman" w:cs="Times New Roman"/>
          <w:b/>
          <w:bCs/>
          <w:sz w:val="24"/>
          <w:szCs w:val="24"/>
        </w:rPr>
      </w:pPr>
      <w:r w:rsidRPr="00FE6A05">
        <w:rPr>
          <w:rFonts w:ascii="Times New Roman" w:hAnsi="Times New Roman" w:cs="Times New Roman"/>
          <w:b/>
          <w:bCs/>
          <w:sz w:val="24"/>
          <w:szCs w:val="24"/>
        </w:rPr>
        <w:t>Concepto de Seguridad Alimentaria en el contexto internacional</w:t>
      </w:r>
    </w:p>
    <w:p w14:paraId="6C2C9F3B" w14:textId="049330C6" w:rsidR="00FE6A05" w:rsidRDefault="00FE6A05" w:rsidP="00FE6A05">
      <w:pPr>
        <w:jc w:val="both"/>
        <w:rPr>
          <w:rFonts w:ascii="Times New Roman" w:hAnsi="Times New Roman" w:cs="Times New Roman"/>
          <w:b/>
          <w:bCs/>
          <w:sz w:val="24"/>
          <w:szCs w:val="24"/>
        </w:rPr>
      </w:pPr>
    </w:p>
    <w:p w14:paraId="05C58A75" w14:textId="77777777" w:rsidR="00FE6A05" w:rsidRPr="00280E8E" w:rsidRDefault="00FE6A05" w:rsidP="00FE6A05">
      <w:pPr>
        <w:jc w:val="both"/>
        <w:rPr>
          <w:rFonts w:ascii="Times New Roman" w:hAnsi="Times New Roman"/>
          <w:sz w:val="24"/>
          <w:szCs w:val="24"/>
        </w:rPr>
      </w:pPr>
      <w:r w:rsidRPr="00280E8E">
        <w:rPr>
          <w:rFonts w:ascii="Times New Roman" w:hAnsi="Times New Roman"/>
          <w:sz w:val="24"/>
          <w:szCs w:val="24"/>
        </w:rPr>
        <w:t xml:space="preserve">Pese a ser un concepto que se encuentra intrínsecamente relacionado con los objetivos del Derecho a la Alimentación Adecuada, es necesario entrar a distinguir la Seguridad Alimentaria, como concepto doctrinario carente de significancia en el ámbito jurídico, del Derecho a la Alimentación, el cual es completamente vinculante para el Estado colombiano al ser reconocido como un Derecho Humano. </w:t>
      </w:r>
    </w:p>
    <w:p w14:paraId="065D7044" w14:textId="77777777" w:rsidR="00FE6A05" w:rsidRPr="00280E8E" w:rsidRDefault="00FE6A05" w:rsidP="00FE6A05">
      <w:pPr>
        <w:jc w:val="both"/>
        <w:rPr>
          <w:rFonts w:ascii="Times New Roman" w:hAnsi="Times New Roman"/>
          <w:sz w:val="24"/>
          <w:szCs w:val="24"/>
        </w:rPr>
      </w:pPr>
    </w:p>
    <w:p w14:paraId="22F417FD" w14:textId="09490547" w:rsidR="00FE6A05" w:rsidRPr="00FE6A05" w:rsidRDefault="00FE6A05" w:rsidP="00FE6A05">
      <w:pPr>
        <w:jc w:val="both"/>
        <w:rPr>
          <w:rFonts w:ascii="Times New Roman" w:hAnsi="Times New Roman"/>
          <w:sz w:val="24"/>
          <w:szCs w:val="24"/>
        </w:rPr>
      </w:pPr>
      <w:r w:rsidRPr="00280E8E">
        <w:rPr>
          <w:rFonts w:ascii="Times New Roman" w:hAnsi="Times New Roman"/>
          <w:sz w:val="24"/>
          <w:szCs w:val="24"/>
        </w:rPr>
        <w:t>Así pues, tradicionalmente se ha entendido a la seguridad alimentaria como “</w:t>
      </w:r>
      <w:r w:rsidRPr="00280E8E">
        <w:rPr>
          <w:rFonts w:ascii="Times New Roman" w:hAnsi="Times New Roman"/>
          <w:i/>
          <w:sz w:val="24"/>
          <w:szCs w:val="24"/>
        </w:rPr>
        <w:t>la posibilidad de acceso a los alimentos por parte de las generaciones presentes y futuras</w:t>
      </w:r>
      <w:r w:rsidRPr="00280E8E">
        <w:rPr>
          <w:rFonts w:ascii="Times New Roman" w:hAnsi="Times New Roman"/>
          <w:sz w:val="24"/>
          <w:szCs w:val="24"/>
        </w:rPr>
        <w:t>”</w:t>
      </w:r>
      <w:r w:rsidRPr="00280E8E">
        <w:rPr>
          <w:rStyle w:val="Refdenotaalpie"/>
          <w:rFonts w:ascii="Times New Roman" w:hAnsi="Times New Roman"/>
          <w:sz w:val="24"/>
          <w:szCs w:val="24"/>
        </w:rPr>
        <w:footnoteReference w:id="27"/>
      </w:r>
      <w:r w:rsidRPr="00280E8E">
        <w:rPr>
          <w:rFonts w:ascii="Times New Roman" w:hAnsi="Times New Roman"/>
          <w:sz w:val="24"/>
          <w:szCs w:val="24"/>
        </w:rPr>
        <w:t>. Así mismo, de conformidad con la FAO, existe seguridad alimentaria “</w:t>
      </w:r>
      <w:r w:rsidRPr="00280E8E">
        <w:rPr>
          <w:rFonts w:ascii="Times New Roman" w:hAnsi="Times New Roman"/>
          <w:i/>
          <w:sz w:val="24"/>
          <w:szCs w:val="24"/>
        </w:rPr>
        <w:t>cuando todas las personas tienen en todo momento el acceso físico, social y económico a alimentos suficientes, inocuos y nutritivos que satisfacen sus necesidades y preferencias alimentarias para llevar una vida activa y sana</w:t>
      </w:r>
      <w:r w:rsidRPr="00280E8E">
        <w:rPr>
          <w:rFonts w:ascii="Times New Roman" w:hAnsi="Times New Roman"/>
          <w:sz w:val="24"/>
          <w:szCs w:val="24"/>
        </w:rPr>
        <w:t>”</w:t>
      </w:r>
      <w:r w:rsidRPr="00280E8E">
        <w:rPr>
          <w:rStyle w:val="Refdenotaalpie"/>
          <w:rFonts w:ascii="Times New Roman" w:hAnsi="Times New Roman"/>
          <w:sz w:val="24"/>
          <w:szCs w:val="24"/>
        </w:rPr>
        <w:footnoteReference w:id="28"/>
      </w:r>
      <w:r w:rsidRPr="00280E8E">
        <w:rPr>
          <w:rFonts w:ascii="Times New Roman" w:hAnsi="Times New Roman"/>
          <w:sz w:val="24"/>
          <w:szCs w:val="24"/>
        </w:rPr>
        <w:t xml:space="preserve">. </w:t>
      </w:r>
      <w:r w:rsidRPr="00280E8E">
        <w:rPr>
          <w:rFonts w:ascii="Times New Roman" w:hAnsi="Times New Roman"/>
          <w:i/>
          <w:sz w:val="24"/>
          <w:szCs w:val="24"/>
        </w:rPr>
        <w:t xml:space="preserve"> </w:t>
      </w:r>
      <w:r w:rsidRPr="00280E8E">
        <w:rPr>
          <w:rFonts w:ascii="Times New Roman" w:hAnsi="Times New Roman"/>
          <w:sz w:val="24"/>
          <w:szCs w:val="24"/>
        </w:rPr>
        <w:t xml:space="preserve">Del mismo modo, la Oficina del Alto Comisionado de las Naciones Unidas para los Derechos Humanos y la FAO en el Folleto Informativo No. 34 sobre el derecho a la </w:t>
      </w:r>
      <w:r w:rsidRPr="00280E8E">
        <w:rPr>
          <w:rFonts w:ascii="Times New Roman" w:hAnsi="Times New Roman"/>
          <w:sz w:val="24"/>
          <w:szCs w:val="24"/>
        </w:rPr>
        <w:lastRenderedPageBreak/>
        <w:t>alimentación adecuada ha establecido que “</w:t>
      </w:r>
      <w:r w:rsidRPr="00280E8E">
        <w:rPr>
          <w:rFonts w:ascii="Times New Roman" w:hAnsi="Times New Roman"/>
          <w:i/>
          <w:sz w:val="24"/>
          <w:szCs w:val="24"/>
        </w:rPr>
        <w:t>Se trata de una condición previa del ejercicio pleno del derecho a la alimentación. No obstante, el propio concepto de seguridad alimentaria no es un concepto jurídico en sí mismo, no impone obligaciones a los interesados ni les otorga derechos</w:t>
      </w:r>
      <w:r w:rsidRPr="00280E8E">
        <w:rPr>
          <w:rFonts w:ascii="Times New Roman" w:hAnsi="Times New Roman"/>
          <w:sz w:val="24"/>
          <w:szCs w:val="24"/>
        </w:rPr>
        <w:t>”</w:t>
      </w:r>
      <w:r w:rsidRPr="00280E8E">
        <w:rPr>
          <w:rStyle w:val="Refdenotaalpie"/>
          <w:rFonts w:ascii="Times New Roman" w:hAnsi="Times New Roman"/>
          <w:sz w:val="24"/>
          <w:szCs w:val="24"/>
        </w:rPr>
        <w:footnoteReference w:id="29"/>
      </w:r>
      <w:r>
        <w:rPr>
          <w:rFonts w:ascii="Times New Roman" w:hAnsi="Times New Roman"/>
          <w:sz w:val="24"/>
          <w:szCs w:val="24"/>
        </w:rPr>
        <w:t>.</w:t>
      </w:r>
    </w:p>
    <w:p w14:paraId="00A63D88" w14:textId="77777777" w:rsidR="00FE6A05" w:rsidRPr="00FE6A05" w:rsidRDefault="00FE6A05" w:rsidP="00FE6A05">
      <w:pPr>
        <w:jc w:val="both"/>
        <w:rPr>
          <w:rFonts w:ascii="Times New Roman" w:hAnsi="Times New Roman" w:cs="Times New Roman"/>
          <w:b/>
          <w:bCs/>
          <w:sz w:val="24"/>
          <w:szCs w:val="24"/>
        </w:rPr>
      </w:pPr>
    </w:p>
    <w:p w14:paraId="57ACCECC" w14:textId="0C57E7EB" w:rsidR="00FE6A05" w:rsidRPr="00FE6A05" w:rsidRDefault="00FE6A05" w:rsidP="002A028C">
      <w:pPr>
        <w:pStyle w:val="Prrafodelista"/>
        <w:numPr>
          <w:ilvl w:val="1"/>
          <w:numId w:val="1"/>
        </w:numPr>
        <w:jc w:val="both"/>
        <w:rPr>
          <w:rFonts w:ascii="Times New Roman" w:hAnsi="Times New Roman" w:cs="Times New Roman"/>
          <w:b/>
          <w:bCs/>
          <w:sz w:val="24"/>
          <w:szCs w:val="24"/>
        </w:rPr>
      </w:pPr>
      <w:r w:rsidRPr="00280E8E">
        <w:rPr>
          <w:rFonts w:ascii="Times New Roman" w:hAnsi="Times New Roman"/>
          <w:b/>
          <w:sz w:val="24"/>
          <w:szCs w:val="24"/>
        </w:rPr>
        <w:t>Concepto de la soberanía alimentaria en el derecho comparado y en el derecho internacional</w:t>
      </w:r>
    </w:p>
    <w:p w14:paraId="2368C6CA" w14:textId="295B64D5" w:rsidR="00FE6A05" w:rsidRDefault="00FE6A05" w:rsidP="00FE6A05">
      <w:pPr>
        <w:jc w:val="both"/>
        <w:rPr>
          <w:rFonts w:ascii="Times New Roman" w:hAnsi="Times New Roman" w:cs="Times New Roman"/>
          <w:b/>
          <w:bCs/>
          <w:sz w:val="24"/>
          <w:szCs w:val="24"/>
        </w:rPr>
      </w:pPr>
    </w:p>
    <w:p w14:paraId="25D98CC1" w14:textId="77777777" w:rsidR="00FE6A05" w:rsidRPr="00280E8E" w:rsidRDefault="00FE6A05" w:rsidP="00FE6A05">
      <w:pPr>
        <w:jc w:val="both"/>
        <w:rPr>
          <w:rFonts w:ascii="Times New Roman" w:hAnsi="Times New Roman"/>
          <w:sz w:val="24"/>
          <w:szCs w:val="24"/>
        </w:rPr>
      </w:pPr>
      <w:r w:rsidRPr="00280E8E">
        <w:rPr>
          <w:rFonts w:ascii="Times New Roman" w:hAnsi="Times New Roman"/>
          <w:sz w:val="24"/>
          <w:szCs w:val="24"/>
        </w:rPr>
        <w:t>El concepto de soberanía alimentaria ha sido adoptado en diversas legislaciones</w:t>
      </w:r>
      <w:r w:rsidRPr="00280E8E">
        <w:rPr>
          <w:rStyle w:val="Refdenotaalpie"/>
          <w:rFonts w:ascii="Times New Roman" w:hAnsi="Times New Roman"/>
          <w:sz w:val="24"/>
          <w:szCs w:val="24"/>
        </w:rPr>
        <w:footnoteReference w:id="30"/>
      </w:r>
      <w:r w:rsidRPr="00280E8E">
        <w:rPr>
          <w:rFonts w:ascii="Times New Roman" w:hAnsi="Times New Roman"/>
          <w:sz w:val="24"/>
          <w:szCs w:val="24"/>
        </w:rPr>
        <w:t>. La Oficina del Alto Comisionado de las Naciones Unidas, en conjunto con la FAO, han reconocido que el concepto de soberanía alimentaria hace referencia a un concepto emergente, carente de significado y por ende sin consenso en el Derecho Internacional Público. En virtud de éste, las personas son las que definen su propio alimento y su propio modelo de producción del mismo.  De la misma forma, irroga la posibilidad que se posee para determinar hasta qué punto desean auto proveerse y hasta qué punto se desea proteger la producción interna de los recursos alimentarios. Así mismo, regula el comercio a fin de lograr los objetivos inherentes del desarrollo sostenible y a la atención de las necesidades de la población</w:t>
      </w:r>
      <w:r w:rsidRPr="00280E8E">
        <w:rPr>
          <w:rStyle w:val="Refdenotaalpie"/>
          <w:rFonts w:ascii="Times New Roman" w:hAnsi="Times New Roman"/>
          <w:sz w:val="24"/>
          <w:szCs w:val="24"/>
        </w:rPr>
        <w:footnoteReference w:id="31"/>
      </w:r>
      <w:r w:rsidRPr="00280E8E">
        <w:rPr>
          <w:rFonts w:ascii="Times New Roman" w:hAnsi="Times New Roman"/>
          <w:sz w:val="24"/>
          <w:szCs w:val="24"/>
        </w:rPr>
        <w:t xml:space="preserve">. </w:t>
      </w:r>
    </w:p>
    <w:p w14:paraId="25F9809D" w14:textId="77777777" w:rsidR="00FE6A05" w:rsidRPr="00280E8E" w:rsidRDefault="00FE6A05" w:rsidP="00FE6A05">
      <w:pPr>
        <w:jc w:val="both"/>
        <w:rPr>
          <w:rFonts w:ascii="Times New Roman" w:hAnsi="Times New Roman"/>
          <w:sz w:val="24"/>
          <w:szCs w:val="24"/>
        </w:rPr>
      </w:pPr>
    </w:p>
    <w:p w14:paraId="32380883" w14:textId="6FC7CFDD" w:rsidR="00FE6A05" w:rsidRDefault="00FE6A05" w:rsidP="00FE6A05">
      <w:pPr>
        <w:jc w:val="both"/>
        <w:rPr>
          <w:rFonts w:ascii="Times New Roman" w:hAnsi="Times New Roman" w:cs="Times New Roman"/>
          <w:b/>
          <w:bCs/>
          <w:sz w:val="24"/>
          <w:szCs w:val="24"/>
        </w:rPr>
      </w:pPr>
      <w:r w:rsidRPr="00280E8E">
        <w:rPr>
          <w:rFonts w:ascii="Times New Roman" w:eastAsia="Times New Roman" w:hAnsi="Times New Roman"/>
          <w:color w:val="000000"/>
          <w:sz w:val="24"/>
          <w:szCs w:val="24"/>
          <w:lang w:eastAsia="zh-CN"/>
        </w:rPr>
        <w:t>Así pues, con el presente proyecto de ley se plantea establecer el derecho fundamental a la alimentación adecuada en el ordenamiento jurídico interno, en los términos establecidos por parte de la Organización de las Naciones Unidas para la Alimentación y la Agricultura, de la cual se toman los elementos fundantes para la elaboración del artículo propuesto en el presente proyecto, todo lo anterior con el propósito de dar cumplimiento a las disposiciones del corpus iuris de derecho internacional que han sido suscritas por parte del Estado colombiano, hoy en día enteramente vinculantes y como paso necesario para la construcción de condiciones de seguridad alimentaria y soberanía alimentaria en el territorio nacional.</w:t>
      </w:r>
    </w:p>
    <w:p w14:paraId="59B900AA" w14:textId="77777777" w:rsidR="00FE6A05" w:rsidRPr="00FE6A05" w:rsidRDefault="00FE6A05" w:rsidP="00FE6A05">
      <w:pPr>
        <w:jc w:val="both"/>
        <w:rPr>
          <w:rFonts w:ascii="Times New Roman" w:hAnsi="Times New Roman" w:cs="Times New Roman"/>
          <w:b/>
          <w:bCs/>
          <w:sz w:val="24"/>
          <w:szCs w:val="24"/>
        </w:rPr>
      </w:pPr>
    </w:p>
    <w:p w14:paraId="40773F47" w14:textId="6075D71F" w:rsidR="002A028C" w:rsidRDefault="004C3475" w:rsidP="002A028C">
      <w:pPr>
        <w:pStyle w:val="Prrafodelista"/>
        <w:numPr>
          <w:ilvl w:val="1"/>
          <w:numId w:val="1"/>
        </w:numPr>
        <w:jc w:val="both"/>
        <w:rPr>
          <w:rFonts w:ascii="Times New Roman" w:hAnsi="Times New Roman" w:cs="Times New Roman"/>
          <w:b/>
          <w:bCs/>
          <w:sz w:val="24"/>
          <w:szCs w:val="24"/>
        </w:rPr>
      </w:pPr>
      <w:r>
        <w:rPr>
          <w:rFonts w:ascii="Times New Roman" w:hAnsi="Times New Roman" w:cs="Times New Roman"/>
          <w:b/>
          <w:bCs/>
          <w:sz w:val="24"/>
          <w:szCs w:val="24"/>
        </w:rPr>
        <w:t xml:space="preserve">Consideraciones adicionales. </w:t>
      </w:r>
    </w:p>
    <w:p w14:paraId="23CABD3F" w14:textId="0C573D3A" w:rsidR="004C3475" w:rsidRDefault="004C3475" w:rsidP="004C3475">
      <w:pPr>
        <w:jc w:val="both"/>
        <w:rPr>
          <w:rFonts w:ascii="Times New Roman" w:hAnsi="Times New Roman" w:cs="Times New Roman"/>
          <w:b/>
          <w:bCs/>
          <w:sz w:val="24"/>
          <w:szCs w:val="24"/>
        </w:rPr>
      </w:pPr>
    </w:p>
    <w:p w14:paraId="3DB69DF5" w14:textId="10A79EF0" w:rsidR="004C3475" w:rsidRPr="00280E8E" w:rsidRDefault="004C3475" w:rsidP="004C3475">
      <w:pPr>
        <w:jc w:val="both"/>
        <w:rPr>
          <w:rFonts w:ascii="Times New Roman" w:hAnsi="Times New Roman"/>
          <w:sz w:val="24"/>
          <w:szCs w:val="24"/>
        </w:rPr>
      </w:pPr>
      <w:r>
        <w:rPr>
          <w:rFonts w:ascii="Times New Roman" w:hAnsi="Times New Roman"/>
          <w:sz w:val="24"/>
          <w:szCs w:val="24"/>
        </w:rPr>
        <w:t>Como se refiere en el Proyecto de Acto Legislativo 01 de 2020, h</w:t>
      </w:r>
      <w:r w:rsidRPr="00280E8E">
        <w:rPr>
          <w:rFonts w:ascii="Times New Roman" w:hAnsi="Times New Roman"/>
          <w:sz w:val="24"/>
          <w:szCs w:val="24"/>
        </w:rPr>
        <w:t xml:space="preserve">oy más que antes, dados los desafíos que plantea la actual coyuntura derivada de la Emergencia Económica, Social y Ecológica producto de la pandemia del COVID-19, la presente iniciativa cobra una especial </w:t>
      </w:r>
      <w:r w:rsidRPr="00280E8E">
        <w:rPr>
          <w:rFonts w:ascii="Times New Roman" w:hAnsi="Times New Roman"/>
          <w:sz w:val="24"/>
          <w:szCs w:val="24"/>
        </w:rPr>
        <w:lastRenderedPageBreak/>
        <w:t xml:space="preserve">relevancia, toda vez que se hace necesario contar con disposiciones jurídicas que permitan al Gobierno Nacional reconocer la importancia debida a la garantía de la Seguridad Alimentaria para la población, al tiempo que a través de la consagración constitucional de esta prerrogativa fundamental se otorgan herramientas que le permiten a la ciudadanía ser veedora y exigir el cumplimiento progresivo de la garantía de uno de los derechos más básicos y esenciales: el poder alimentarse dignamente. </w:t>
      </w:r>
    </w:p>
    <w:p w14:paraId="21D69E57" w14:textId="77777777" w:rsidR="004C3475" w:rsidRPr="00280E8E" w:rsidRDefault="004C3475" w:rsidP="004C3475">
      <w:pPr>
        <w:jc w:val="both"/>
        <w:rPr>
          <w:rFonts w:ascii="Times New Roman" w:hAnsi="Times New Roman"/>
          <w:sz w:val="24"/>
          <w:szCs w:val="24"/>
        </w:rPr>
      </w:pPr>
    </w:p>
    <w:p w14:paraId="692EC87D" w14:textId="77777777" w:rsidR="004C3475" w:rsidRDefault="004C3475" w:rsidP="004C3475">
      <w:pPr>
        <w:jc w:val="both"/>
        <w:rPr>
          <w:rFonts w:ascii="Times New Roman" w:hAnsi="Times New Roman"/>
          <w:sz w:val="24"/>
          <w:szCs w:val="24"/>
        </w:rPr>
      </w:pPr>
      <w:r w:rsidRPr="00280E8E">
        <w:rPr>
          <w:rFonts w:ascii="Times New Roman" w:hAnsi="Times New Roman"/>
          <w:sz w:val="24"/>
          <w:szCs w:val="24"/>
        </w:rPr>
        <w:t>De acuerdo con el más reciente informe del estado de la seguridad alimentaria y la nutrición</w:t>
      </w:r>
      <w:r>
        <w:rPr>
          <w:rFonts w:ascii="Times New Roman" w:hAnsi="Times New Roman"/>
          <w:sz w:val="24"/>
          <w:szCs w:val="24"/>
        </w:rPr>
        <w:t xml:space="preserve"> </w:t>
      </w:r>
      <w:r w:rsidRPr="00280E8E">
        <w:rPr>
          <w:rFonts w:ascii="Times New Roman" w:hAnsi="Times New Roman"/>
          <w:sz w:val="24"/>
          <w:szCs w:val="24"/>
        </w:rPr>
        <w:t xml:space="preserve">en el mundo (2020) realizado por FAO, IFAD, Unicef, el Programa Mundial de Alimentos y la Organización Mundial de la Salud, el 8,9% del total de la población global (690 millones de personas) padece hambre, y alrededor del 25,6% del total de la población global (2000 millones de personas, aproximadamente) se encuentran en condiciones de inseguridad alimentaria severa o moderada. Estas cifras – que demuestran una tendencia creciente desde el año 2014 – indican que el mundo, previo a la pandemia, no se encaminaba a cumplir con el Objetivo de Desarrollo Sostenible No. 2: Hambre cero a 2030, esto debido a factores como (1) conflictos y violencia; (2) condiciones climáticas adversas producto del calentamiento global y; (3) la desaceleración económica, las cuales afectaban especialmente a África, Asia y América Latina. Así pues, de continuar con la tendencia evidenciada en los años anteriores, de acuerdo con el informe, el mundo podría encontrarse en una situación peor a la del punto de partida del ODS 2, ya que mientras que en 2015 alrededor de 795 millones de personas pasaban hambre, en 2030 esta cifra puede llegar a los 840 millones. </w:t>
      </w:r>
    </w:p>
    <w:p w14:paraId="41853D62" w14:textId="09890919" w:rsidR="004C3475" w:rsidRPr="00280E8E" w:rsidRDefault="004C3475" w:rsidP="004C3475">
      <w:pPr>
        <w:jc w:val="both"/>
        <w:rPr>
          <w:rFonts w:ascii="Times New Roman" w:hAnsi="Times New Roman"/>
          <w:sz w:val="24"/>
          <w:szCs w:val="24"/>
        </w:rPr>
      </w:pPr>
      <w:r w:rsidRPr="00280E8E">
        <w:rPr>
          <w:rFonts w:ascii="Times New Roman" w:hAnsi="Times New Roman"/>
          <w:sz w:val="24"/>
          <w:szCs w:val="24"/>
        </w:rPr>
        <w:t xml:space="preserve">                                                                                                                                                                                      </w:t>
      </w:r>
    </w:p>
    <w:p w14:paraId="2F90A0E9" w14:textId="77777777" w:rsidR="004C3475" w:rsidRPr="00280E8E" w:rsidRDefault="004C3475" w:rsidP="004C3475">
      <w:pPr>
        <w:jc w:val="both"/>
        <w:rPr>
          <w:rFonts w:ascii="Times New Roman" w:hAnsi="Times New Roman"/>
          <w:sz w:val="24"/>
          <w:szCs w:val="24"/>
        </w:rPr>
      </w:pPr>
      <w:r w:rsidRPr="00280E8E">
        <w:rPr>
          <w:rFonts w:ascii="Times New Roman" w:hAnsi="Times New Roman"/>
          <w:sz w:val="24"/>
          <w:szCs w:val="24"/>
        </w:rPr>
        <w:t>Sin embargo, esta perspectiva no toma en consideración el impacto que generará la pandemia, que tiene el potencial de adicionar entre 83 millones y 132 millones de personas al número de seres humanos que padecen hambre en 2020, esto último dependiendo del escenario de crecimiento económico global, el cual aún no resulta del todo claro o predecible. Esta coyuntura hace entonces que sea aún más dudoso que se cumplan las metas y objetivos trazados en el ODS 2, si no se toman medidas necesarias para frenar el hambre en el mundo.</w:t>
      </w:r>
    </w:p>
    <w:p w14:paraId="5A79C8FC" w14:textId="77777777" w:rsidR="004C3475" w:rsidRPr="00280E8E" w:rsidRDefault="004C3475" w:rsidP="004C3475">
      <w:pPr>
        <w:jc w:val="both"/>
        <w:rPr>
          <w:rFonts w:ascii="Times New Roman" w:hAnsi="Times New Roman"/>
          <w:sz w:val="24"/>
          <w:szCs w:val="24"/>
        </w:rPr>
      </w:pPr>
    </w:p>
    <w:p w14:paraId="0D204A2F" w14:textId="77777777" w:rsidR="004C3475" w:rsidRPr="00280E8E" w:rsidRDefault="004C3475" w:rsidP="004C3475">
      <w:pPr>
        <w:jc w:val="both"/>
        <w:rPr>
          <w:rFonts w:ascii="Times New Roman" w:hAnsi="Times New Roman"/>
          <w:sz w:val="24"/>
          <w:szCs w:val="24"/>
        </w:rPr>
      </w:pPr>
      <w:r w:rsidRPr="00280E8E">
        <w:rPr>
          <w:rFonts w:ascii="Times New Roman" w:hAnsi="Times New Roman"/>
          <w:sz w:val="24"/>
          <w:szCs w:val="24"/>
        </w:rPr>
        <w:t>Es necesario señalar que, de acuerdo con el informe, son múltiples las formas en las cuales la pandemia – y las medidas destinadas a su contención – pueden llegar a incidir en los sistemas de producción alimentarios y por extensión en la seguridad alimentaria. En ese sentido, se resalta que a pesar de que no se ha registrado escasez grave en cultivos como el trigo, el maíz, el arroz o la soya, medidas como la restricción de la movilidad, los aislamientos preventivos obligatorios y la desaceleración económica generalizada generarán que sea mucho más difícil acceder a alimentos para los grupos más vulnerables de la población, sobre todo en los países de ingreso bajo o medio (como es el caso de Colombia y de la mayoría de países de América Latina y el Caribe), ya que los Estados no contaban con los mecanismos de contingencia y los fondos necesarios para estimular las economías y proteger a la población más vulnerable, razón por la cual las consecuencias de la crisis económica derivada de la pandemia se sentirán en mayor medida en países como los nuestros, sin que en este momento sea posible contar con un estimado puntual (o la magnitud del impacto) dado el desconocimiento, la falta de información y lo impredecible de la situación.</w:t>
      </w:r>
    </w:p>
    <w:p w14:paraId="2ACAB05D" w14:textId="77777777" w:rsidR="004C3475" w:rsidRPr="00280E8E" w:rsidRDefault="004C3475" w:rsidP="004C3475">
      <w:pPr>
        <w:jc w:val="both"/>
        <w:rPr>
          <w:rFonts w:ascii="Times New Roman" w:hAnsi="Times New Roman"/>
          <w:sz w:val="24"/>
          <w:szCs w:val="24"/>
        </w:rPr>
      </w:pPr>
    </w:p>
    <w:p w14:paraId="3CDC979B" w14:textId="77777777" w:rsidR="004C3475" w:rsidRPr="00280E8E" w:rsidRDefault="004C3475" w:rsidP="004C3475">
      <w:pPr>
        <w:jc w:val="both"/>
        <w:rPr>
          <w:rFonts w:ascii="Times New Roman" w:hAnsi="Times New Roman"/>
          <w:sz w:val="24"/>
          <w:szCs w:val="24"/>
        </w:rPr>
      </w:pPr>
      <w:r w:rsidRPr="00280E8E">
        <w:rPr>
          <w:rFonts w:ascii="Times New Roman" w:hAnsi="Times New Roman"/>
          <w:sz w:val="24"/>
          <w:szCs w:val="24"/>
        </w:rPr>
        <w:t>Si bien Colombia ha avanzado en materia de disminución de la población que padece de desnutrición (pasó de 11,3% - por encima de la media de América del Sur – a 5.5% - acorde con la media de la región –), no es menos cierto que, como bien lo advierte la FAO, el impacto que generará la pandemia se sentirá en mayor medida en países como el nuestro – situación que ya se ha venido evidenciando con la proliferación de banderas rojas y el clamor de gran parte de la ciudadanía de abrir la economía para poder contar con los recursos económicos para poder subsistir y alimentarse – por lo que es necesario actuar de manera proactiva y contar con los mecanismos que permitan al país establecer una política pública coherente para responder y garantizar los derechos fundamentales de la ciudadanía.</w:t>
      </w:r>
    </w:p>
    <w:p w14:paraId="09D4A47A" w14:textId="77777777" w:rsidR="004C3475" w:rsidRPr="004C3475" w:rsidRDefault="004C3475" w:rsidP="004C3475">
      <w:pPr>
        <w:jc w:val="both"/>
        <w:rPr>
          <w:rFonts w:ascii="Times New Roman" w:hAnsi="Times New Roman" w:cs="Times New Roman"/>
          <w:b/>
          <w:bCs/>
          <w:sz w:val="24"/>
          <w:szCs w:val="24"/>
        </w:rPr>
      </w:pPr>
    </w:p>
    <w:p w14:paraId="3963F3BA" w14:textId="001BEE91" w:rsidR="002A028C" w:rsidRPr="00896E89" w:rsidRDefault="002A028C" w:rsidP="002A028C">
      <w:pPr>
        <w:jc w:val="both"/>
        <w:rPr>
          <w:rFonts w:ascii="Times New Roman" w:hAnsi="Times New Roman" w:cs="Times New Roman"/>
          <w:b/>
          <w:bCs/>
          <w:sz w:val="24"/>
          <w:szCs w:val="24"/>
        </w:rPr>
      </w:pPr>
    </w:p>
    <w:p w14:paraId="22ADA666" w14:textId="5E6AE17D" w:rsidR="002A028C" w:rsidRPr="00896E89" w:rsidRDefault="002A028C" w:rsidP="002A028C">
      <w:pPr>
        <w:jc w:val="both"/>
        <w:rPr>
          <w:rFonts w:ascii="Times New Roman" w:hAnsi="Times New Roman" w:cs="Times New Roman"/>
          <w:sz w:val="24"/>
          <w:szCs w:val="24"/>
        </w:rPr>
      </w:pPr>
      <w:r w:rsidRPr="00896E89">
        <w:rPr>
          <w:rFonts w:ascii="Times New Roman" w:hAnsi="Times New Roman" w:cs="Times New Roman"/>
          <w:sz w:val="24"/>
          <w:szCs w:val="24"/>
        </w:rPr>
        <w:t xml:space="preserve">Es relevante, entonces, avanzar en la constitucionalización de lo dispuesto en </w:t>
      </w:r>
      <w:r w:rsidR="004C3475">
        <w:rPr>
          <w:rFonts w:ascii="Times New Roman" w:hAnsi="Times New Roman" w:cs="Times New Roman"/>
          <w:sz w:val="24"/>
          <w:szCs w:val="24"/>
        </w:rPr>
        <w:t xml:space="preserve">las presentes iniciativas </w:t>
      </w:r>
      <w:r w:rsidRPr="00896E89">
        <w:rPr>
          <w:rFonts w:ascii="Times New Roman" w:hAnsi="Times New Roman" w:cs="Times New Roman"/>
          <w:sz w:val="24"/>
          <w:szCs w:val="24"/>
        </w:rPr>
        <w:t xml:space="preserve">para responder a las disposiciones internacionales que ha tratado la materia y avanzar en la materialización de un país que no padezca el flagelo del hambre. Por esto, se invita a los miembros del Congreso de la República a acompañar la presente iniciativa. </w:t>
      </w:r>
    </w:p>
    <w:p w14:paraId="4A9BEBF2" w14:textId="14B031EA" w:rsidR="002A028C" w:rsidRPr="00896E89" w:rsidRDefault="002A028C" w:rsidP="002A028C">
      <w:pPr>
        <w:jc w:val="both"/>
        <w:rPr>
          <w:rFonts w:ascii="Times New Roman" w:hAnsi="Times New Roman" w:cs="Times New Roman"/>
          <w:b/>
          <w:bCs/>
          <w:sz w:val="24"/>
          <w:szCs w:val="24"/>
        </w:rPr>
      </w:pPr>
    </w:p>
    <w:p w14:paraId="25F43290" w14:textId="3EE3C62C" w:rsidR="00816BBB" w:rsidRPr="00896E89" w:rsidRDefault="00896E89" w:rsidP="00816BBB">
      <w:pPr>
        <w:pStyle w:val="Prrafodelista"/>
        <w:numPr>
          <w:ilvl w:val="0"/>
          <w:numId w:val="1"/>
        </w:numPr>
        <w:jc w:val="both"/>
        <w:rPr>
          <w:rFonts w:ascii="Times New Roman" w:hAnsi="Times New Roman" w:cs="Times New Roman"/>
          <w:b/>
          <w:bCs/>
          <w:sz w:val="24"/>
          <w:szCs w:val="24"/>
        </w:rPr>
      </w:pPr>
      <w:r w:rsidRPr="00896E89">
        <w:rPr>
          <w:rFonts w:ascii="Times New Roman" w:hAnsi="Times New Roman" w:cs="Times New Roman"/>
          <w:b/>
          <w:sz w:val="24"/>
          <w:szCs w:val="24"/>
          <w:lang w:val="es-CO"/>
        </w:rPr>
        <w:t>PLIEGO DE MODIFICACIONES</w:t>
      </w:r>
    </w:p>
    <w:p w14:paraId="433662F8" w14:textId="41D30E52" w:rsidR="00896E89" w:rsidRPr="00896E89" w:rsidRDefault="00896E89" w:rsidP="00896E89">
      <w:pPr>
        <w:jc w:val="both"/>
        <w:rPr>
          <w:rFonts w:ascii="Times New Roman" w:hAnsi="Times New Roman" w:cs="Times New Roman"/>
          <w:b/>
          <w:bCs/>
          <w:sz w:val="24"/>
          <w:szCs w:val="24"/>
        </w:rPr>
      </w:pPr>
    </w:p>
    <w:p w14:paraId="58D945D7" w14:textId="646F535A" w:rsidR="00896E89" w:rsidRPr="00896E89" w:rsidRDefault="00896E89" w:rsidP="00896E89">
      <w:pPr>
        <w:jc w:val="both"/>
        <w:rPr>
          <w:rFonts w:ascii="Times New Roman" w:hAnsi="Times New Roman" w:cs="Times New Roman"/>
          <w:sz w:val="24"/>
          <w:szCs w:val="24"/>
        </w:rPr>
      </w:pPr>
      <w:r w:rsidRPr="00896E89">
        <w:rPr>
          <w:rFonts w:ascii="Times New Roman" w:hAnsi="Times New Roman" w:cs="Times New Roman"/>
          <w:sz w:val="24"/>
          <w:szCs w:val="24"/>
        </w:rPr>
        <w:t>Considerando los textos de las dos iniciativas radicadas, se presenta el presente pliego de modificaciones que agrupa de ambas:</w:t>
      </w:r>
    </w:p>
    <w:p w14:paraId="060B2C48" w14:textId="75AE77FB" w:rsidR="00896E89" w:rsidRPr="00896E89" w:rsidRDefault="00896E89" w:rsidP="00896E89">
      <w:pPr>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2942"/>
        <w:gridCol w:w="2943"/>
        <w:gridCol w:w="2943"/>
      </w:tblGrid>
      <w:tr w:rsidR="00896E89" w:rsidRPr="00896E89" w14:paraId="068D87C9" w14:textId="77777777" w:rsidTr="00FE6A05">
        <w:tc>
          <w:tcPr>
            <w:tcW w:w="4332" w:type="dxa"/>
          </w:tcPr>
          <w:p w14:paraId="7B6F8D79" w14:textId="77777777" w:rsidR="00896E89" w:rsidRPr="00896E89" w:rsidRDefault="00896E89" w:rsidP="00FE6A05">
            <w:pPr>
              <w:jc w:val="center"/>
              <w:rPr>
                <w:rFonts w:ascii="Times New Roman" w:hAnsi="Times New Roman" w:cs="Times New Roman"/>
                <w:sz w:val="24"/>
                <w:szCs w:val="24"/>
              </w:rPr>
            </w:pPr>
            <w:r w:rsidRPr="00896E89">
              <w:rPr>
                <w:rFonts w:ascii="Times New Roman" w:hAnsi="Times New Roman" w:cs="Times New Roman"/>
                <w:b/>
                <w:bCs/>
                <w:sz w:val="24"/>
                <w:szCs w:val="24"/>
              </w:rPr>
              <w:t>Texto Proyecto de Acto Legislativo 287 de 2020 Cámara</w:t>
            </w:r>
          </w:p>
        </w:tc>
        <w:tc>
          <w:tcPr>
            <w:tcW w:w="4332" w:type="dxa"/>
          </w:tcPr>
          <w:p w14:paraId="0193474F" w14:textId="77777777" w:rsidR="00896E89" w:rsidRPr="00896E89" w:rsidRDefault="00896E89" w:rsidP="00FE6A05">
            <w:pPr>
              <w:jc w:val="center"/>
              <w:rPr>
                <w:rFonts w:ascii="Times New Roman" w:hAnsi="Times New Roman" w:cs="Times New Roman"/>
                <w:sz w:val="24"/>
                <w:szCs w:val="24"/>
              </w:rPr>
            </w:pPr>
            <w:r w:rsidRPr="00896E89">
              <w:rPr>
                <w:rFonts w:ascii="Times New Roman" w:hAnsi="Times New Roman" w:cs="Times New Roman"/>
                <w:b/>
                <w:bCs/>
                <w:sz w:val="24"/>
                <w:szCs w:val="24"/>
              </w:rPr>
              <w:t>Texto Proyecto de Acto Legislativo 01 de 2020 Senado</w:t>
            </w:r>
          </w:p>
        </w:tc>
        <w:tc>
          <w:tcPr>
            <w:tcW w:w="4332" w:type="dxa"/>
          </w:tcPr>
          <w:p w14:paraId="0A2347FE" w14:textId="77777777" w:rsidR="00896E89" w:rsidRPr="00896E89" w:rsidRDefault="00896E89" w:rsidP="00FE6A05">
            <w:pPr>
              <w:jc w:val="center"/>
              <w:rPr>
                <w:rFonts w:ascii="Times New Roman" w:hAnsi="Times New Roman" w:cs="Times New Roman"/>
                <w:sz w:val="24"/>
                <w:szCs w:val="24"/>
              </w:rPr>
            </w:pPr>
            <w:r w:rsidRPr="00896E89">
              <w:rPr>
                <w:rFonts w:ascii="Times New Roman" w:hAnsi="Times New Roman" w:cs="Times New Roman"/>
                <w:b/>
                <w:bCs/>
                <w:sz w:val="24"/>
                <w:szCs w:val="24"/>
              </w:rPr>
              <w:t>Texto propuesto para primer debate en la Comisión Primera de la Cámara de Representantes</w:t>
            </w:r>
          </w:p>
        </w:tc>
      </w:tr>
      <w:tr w:rsidR="00896E89" w:rsidRPr="00896E89" w14:paraId="355A757F" w14:textId="77777777" w:rsidTr="00FE6A05">
        <w:tc>
          <w:tcPr>
            <w:tcW w:w="4332" w:type="dxa"/>
          </w:tcPr>
          <w:p w14:paraId="7E9EE4F2" w14:textId="77777777" w:rsidR="00896E89" w:rsidRPr="00896E89" w:rsidRDefault="00896E89" w:rsidP="00FE6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jc w:val="both"/>
              <w:textAlignment w:val="center"/>
              <w:rPr>
                <w:rFonts w:ascii="Times New Roman" w:hAnsi="Times New Roman" w:cs="Times New Roman"/>
                <w:b/>
                <w:sz w:val="24"/>
                <w:szCs w:val="24"/>
              </w:rPr>
            </w:pPr>
            <w:r w:rsidRPr="00896E89">
              <w:rPr>
                <w:rFonts w:ascii="Times New Roman" w:hAnsi="Times New Roman" w:cs="Times New Roman"/>
                <w:b/>
                <w:sz w:val="24"/>
                <w:szCs w:val="24"/>
              </w:rPr>
              <w:t xml:space="preserve">Artículo 1°. </w:t>
            </w:r>
            <w:r w:rsidRPr="00896E89">
              <w:rPr>
                <w:rFonts w:ascii="Times New Roman" w:hAnsi="Times New Roman" w:cs="Times New Roman"/>
                <w:sz w:val="24"/>
                <w:szCs w:val="24"/>
              </w:rPr>
              <w:t>Modifíquese el artículo 45 de la Constitución Política, el cual quedará así:</w:t>
            </w:r>
          </w:p>
          <w:p w14:paraId="30C225F1" w14:textId="77777777" w:rsidR="00896E89" w:rsidRPr="00896E89" w:rsidRDefault="00896E89" w:rsidP="00FE6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jc w:val="both"/>
              <w:textAlignment w:val="center"/>
              <w:rPr>
                <w:rFonts w:ascii="Times New Roman" w:hAnsi="Times New Roman" w:cs="Times New Roman"/>
                <w:b/>
                <w:sz w:val="24"/>
                <w:szCs w:val="24"/>
              </w:rPr>
            </w:pPr>
          </w:p>
          <w:p w14:paraId="233660C0" w14:textId="77777777" w:rsidR="00896E89" w:rsidRPr="00896E89" w:rsidRDefault="00896E89" w:rsidP="00FE6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ind w:left="709" w:right="709"/>
              <w:jc w:val="both"/>
              <w:textAlignment w:val="center"/>
              <w:rPr>
                <w:rFonts w:ascii="Times New Roman" w:hAnsi="Times New Roman" w:cs="Times New Roman"/>
                <w:bCs/>
                <w:sz w:val="24"/>
                <w:szCs w:val="24"/>
              </w:rPr>
            </w:pPr>
            <w:r w:rsidRPr="00896E89">
              <w:rPr>
                <w:rFonts w:ascii="Times New Roman" w:hAnsi="Times New Roman" w:cs="Times New Roman"/>
                <w:b/>
                <w:bCs/>
                <w:sz w:val="24"/>
                <w:szCs w:val="24"/>
              </w:rPr>
              <w:t>Artículo 45.</w:t>
            </w:r>
            <w:r w:rsidRPr="00896E89">
              <w:rPr>
                <w:rFonts w:ascii="Times New Roman" w:hAnsi="Times New Roman" w:cs="Times New Roman"/>
                <w:b/>
                <w:bCs/>
                <w:i/>
                <w:iCs/>
                <w:sz w:val="24"/>
                <w:szCs w:val="24"/>
              </w:rPr>
              <w:t xml:space="preserve"> </w:t>
            </w:r>
            <w:r w:rsidRPr="00896E89">
              <w:rPr>
                <w:rFonts w:ascii="Times New Roman" w:hAnsi="Times New Roman" w:cs="Times New Roman"/>
                <w:bCs/>
                <w:sz w:val="24"/>
                <w:szCs w:val="24"/>
              </w:rPr>
              <w:t>El adolescente tiene derecho a la protección y a la formación integral</w:t>
            </w:r>
            <w:r w:rsidRPr="00896E89">
              <w:rPr>
                <w:rFonts w:ascii="Times New Roman" w:hAnsi="Times New Roman" w:cs="Times New Roman"/>
                <w:b/>
                <w:sz w:val="24"/>
                <w:szCs w:val="24"/>
              </w:rPr>
              <w:t xml:space="preserve">, </w:t>
            </w:r>
            <w:r w:rsidRPr="00896E89">
              <w:rPr>
                <w:rFonts w:ascii="Times New Roman" w:hAnsi="Times New Roman" w:cs="Times New Roman"/>
                <w:b/>
                <w:sz w:val="24"/>
                <w:szCs w:val="24"/>
                <w:u w:val="single"/>
              </w:rPr>
              <w:t xml:space="preserve">así como a recibir una </w:t>
            </w:r>
            <w:r w:rsidRPr="00896E89">
              <w:rPr>
                <w:rFonts w:ascii="Times New Roman" w:hAnsi="Times New Roman" w:cs="Times New Roman"/>
                <w:b/>
                <w:sz w:val="24"/>
                <w:szCs w:val="24"/>
                <w:u w:val="single"/>
              </w:rPr>
              <w:lastRenderedPageBreak/>
              <w:t>alimentación adecuada y acorde a las necesidades nutricionales para su correcto desarrollo.</w:t>
            </w:r>
          </w:p>
          <w:p w14:paraId="782A6330" w14:textId="77777777" w:rsidR="00896E89" w:rsidRPr="00896E89" w:rsidRDefault="00896E89" w:rsidP="00FE6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ind w:left="709" w:right="709"/>
              <w:jc w:val="both"/>
              <w:textAlignment w:val="center"/>
              <w:rPr>
                <w:rFonts w:ascii="Times New Roman" w:hAnsi="Times New Roman" w:cs="Times New Roman"/>
                <w:bCs/>
                <w:sz w:val="24"/>
                <w:szCs w:val="24"/>
              </w:rPr>
            </w:pPr>
          </w:p>
          <w:p w14:paraId="0D2C268C" w14:textId="77777777" w:rsidR="00896E89" w:rsidRPr="00896E89" w:rsidRDefault="00896E89" w:rsidP="00FE6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ind w:left="709" w:right="709"/>
              <w:jc w:val="both"/>
              <w:textAlignment w:val="center"/>
              <w:rPr>
                <w:rFonts w:ascii="Times New Roman" w:hAnsi="Times New Roman" w:cs="Times New Roman"/>
                <w:bCs/>
                <w:sz w:val="24"/>
                <w:szCs w:val="24"/>
              </w:rPr>
            </w:pPr>
            <w:r w:rsidRPr="00896E89">
              <w:rPr>
                <w:rFonts w:ascii="Times New Roman" w:hAnsi="Times New Roman" w:cs="Times New Roman"/>
                <w:bCs/>
                <w:sz w:val="24"/>
                <w:szCs w:val="24"/>
              </w:rPr>
              <w:t>El Estado y la sociedad garantizan la participación activa de los jóvenes en los organismos públicos y privados que tengan a cargo la protección, educación y progreso de la juventud.</w:t>
            </w:r>
          </w:p>
          <w:p w14:paraId="71CF70F1" w14:textId="77777777" w:rsidR="00896E89" w:rsidRPr="00896E89" w:rsidRDefault="00896E89" w:rsidP="00FE6A05">
            <w:pPr>
              <w:rPr>
                <w:rFonts w:ascii="Times New Roman" w:hAnsi="Times New Roman" w:cs="Times New Roman"/>
                <w:sz w:val="24"/>
                <w:szCs w:val="24"/>
              </w:rPr>
            </w:pPr>
          </w:p>
        </w:tc>
        <w:tc>
          <w:tcPr>
            <w:tcW w:w="4332" w:type="dxa"/>
          </w:tcPr>
          <w:p w14:paraId="3E2CD492" w14:textId="77777777" w:rsidR="00896E89" w:rsidRPr="00896E89" w:rsidRDefault="00896E89" w:rsidP="00FE6A05">
            <w:pPr>
              <w:rPr>
                <w:rFonts w:ascii="Times New Roman" w:hAnsi="Times New Roman" w:cs="Times New Roman"/>
                <w:sz w:val="24"/>
                <w:szCs w:val="24"/>
              </w:rPr>
            </w:pPr>
          </w:p>
        </w:tc>
        <w:tc>
          <w:tcPr>
            <w:tcW w:w="4332" w:type="dxa"/>
          </w:tcPr>
          <w:p w14:paraId="58E3CB2A" w14:textId="77777777" w:rsidR="00896E89" w:rsidRPr="00896E89" w:rsidRDefault="00896E89" w:rsidP="00FE6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jc w:val="both"/>
              <w:textAlignment w:val="center"/>
              <w:rPr>
                <w:rFonts w:ascii="Times New Roman" w:hAnsi="Times New Roman" w:cs="Times New Roman"/>
                <w:b/>
                <w:sz w:val="24"/>
                <w:szCs w:val="24"/>
              </w:rPr>
            </w:pPr>
            <w:r w:rsidRPr="00896E89">
              <w:rPr>
                <w:rFonts w:ascii="Times New Roman" w:hAnsi="Times New Roman" w:cs="Times New Roman"/>
                <w:b/>
                <w:sz w:val="24"/>
                <w:szCs w:val="24"/>
              </w:rPr>
              <w:t xml:space="preserve">Artículo 1°. </w:t>
            </w:r>
            <w:r w:rsidRPr="00896E89">
              <w:rPr>
                <w:rFonts w:ascii="Times New Roman" w:hAnsi="Times New Roman" w:cs="Times New Roman"/>
                <w:sz w:val="24"/>
                <w:szCs w:val="24"/>
              </w:rPr>
              <w:t>Modifíquese el artículo 45 de la Constitución Política, el cual quedará así:</w:t>
            </w:r>
          </w:p>
          <w:p w14:paraId="35F5FA34" w14:textId="77777777" w:rsidR="00896E89" w:rsidRPr="00896E89" w:rsidRDefault="00896E89" w:rsidP="00FE6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jc w:val="both"/>
              <w:textAlignment w:val="center"/>
              <w:rPr>
                <w:rFonts w:ascii="Times New Roman" w:hAnsi="Times New Roman" w:cs="Times New Roman"/>
                <w:b/>
                <w:sz w:val="24"/>
                <w:szCs w:val="24"/>
              </w:rPr>
            </w:pPr>
          </w:p>
          <w:p w14:paraId="388C5E9B" w14:textId="77777777" w:rsidR="00896E89" w:rsidRPr="00896E89" w:rsidRDefault="00896E89" w:rsidP="00FE6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ind w:left="709" w:right="709"/>
              <w:jc w:val="both"/>
              <w:textAlignment w:val="center"/>
              <w:rPr>
                <w:rFonts w:ascii="Times New Roman" w:hAnsi="Times New Roman" w:cs="Times New Roman"/>
                <w:bCs/>
                <w:sz w:val="24"/>
                <w:szCs w:val="24"/>
              </w:rPr>
            </w:pPr>
            <w:r w:rsidRPr="00896E89">
              <w:rPr>
                <w:rFonts w:ascii="Times New Roman" w:hAnsi="Times New Roman" w:cs="Times New Roman"/>
                <w:b/>
                <w:bCs/>
                <w:sz w:val="24"/>
                <w:szCs w:val="24"/>
              </w:rPr>
              <w:t>Artículo 45.</w:t>
            </w:r>
            <w:r w:rsidRPr="00896E89">
              <w:rPr>
                <w:rFonts w:ascii="Times New Roman" w:hAnsi="Times New Roman" w:cs="Times New Roman"/>
                <w:b/>
                <w:bCs/>
                <w:i/>
                <w:iCs/>
                <w:sz w:val="24"/>
                <w:szCs w:val="24"/>
              </w:rPr>
              <w:t xml:space="preserve"> </w:t>
            </w:r>
            <w:r w:rsidRPr="00896E89">
              <w:rPr>
                <w:rFonts w:ascii="Times New Roman" w:hAnsi="Times New Roman" w:cs="Times New Roman"/>
                <w:bCs/>
                <w:sz w:val="24"/>
                <w:szCs w:val="24"/>
              </w:rPr>
              <w:t>El adolescente tiene derecho a la protección y a la formación integral</w:t>
            </w:r>
            <w:r w:rsidRPr="00896E89">
              <w:rPr>
                <w:rFonts w:ascii="Times New Roman" w:hAnsi="Times New Roman" w:cs="Times New Roman"/>
                <w:b/>
                <w:sz w:val="24"/>
                <w:szCs w:val="24"/>
              </w:rPr>
              <w:t xml:space="preserve">, </w:t>
            </w:r>
            <w:r w:rsidRPr="00896E89">
              <w:rPr>
                <w:rFonts w:ascii="Times New Roman" w:hAnsi="Times New Roman" w:cs="Times New Roman"/>
                <w:b/>
                <w:sz w:val="24"/>
                <w:szCs w:val="24"/>
                <w:u w:val="single"/>
              </w:rPr>
              <w:t xml:space="preserve">así como a recibir una </w:t>
            </w:r>
            <w:r w:rsidRPr="00896E89">
              <w:rPr>
                <w:rFonts w:ascii="Times New Roman" w:hAnsi="Times New Roman" w:cs="Times New Roman"/>
                <w:b/>
                <w:sz w:val="24"/>
                <w:szCs w:val="24"/>
                <w:u w:val="single"/>
              </w:rPr>
              <w:lastRenderedPageBreak/>
              <w:t>alimentación adecuada y acorde a las necesidades nutricionales para su correcto desarrollo.</w:t>
            </w:r>
          </w:p>
          <w:p w14:paraId="7C161F3F" w14:textId="77777777" w:rsidR="00896E89" w:rsidRPr="00896E89" w:rsidRDefault="00896E89" w:rsidP="00FE6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ind w:left="709" w:right="709"/>
              <w:jc w:val="both"/>
              <w:textAlignment w:val="center"/>
              <w:rPr>
                <w:rFonts w:ascii="Times New Roman" w:hAnsi="Times New Roman" w:cs="Times New Roman"/>
                <w:bCs/>
                <w:sz w:val="24"/>
                <w:szCs w:val="24"/>
              </w:rPr>
            </w:pPr>
          </w:p>
          <w:p w14:paraId="77B9A3E7" w14:textId="77777777" w:rsidR="00896E89" w:rsidRPr="00896E89" w:rsidRDefault="00896E89" w:rsidP="00FE6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ind w:left="709" w:right="709"/>
              <w:jc w:val="both"/>
              <w:textAlignment w:val="center"/>
              <w:rPr>
                <w:rFonts w:ascii="Times New Roman" w:hAnsi="Times New Roman" w:cs="Times New Roman"/>
                <w:bCs/>
                <w:sz w:val="24"/>
                <w:szCs w:val="24"/>
              </w:rPr>
            </w:pPr>
            <w:r w:rsidRPr="00896E89">
              <w:rPr>
                <w:rFonts w:ascii="Times New Roman" w:hAnsi="Times New Roman" w:cs="Times New Roman"/>
                <w:bCs/>
                <w:sz w:val="24"/>
                <w:szCs w:val="24"/>
              </w:rPr>
              <w:t>El Estado y la sociedad garantizan la participación activa de los jóvenes en los organismos públicos y privados que tengan a cargo la protección, educación y progreso de la juventud.</w:t>
            </w:r>
          </w:p>
          <w:p w14:paraId="27D1C40A" w14:textId="77777777" w:rsidR="00896E89" w:rsidRPr="00896E89" w:rsidRDefault="00896E89" w:rsidP="00FE6A05">
            <w:pPr>
              <w:rPr>
                <w:rFonts w:ascii="Times New Roman" w:hAnsi="Times New Roman" w:cs="Times New Roman"/>
                <w:sz w:val="24"/>
                <w:szCs w:val="24"/>
              </w:rPr>
            </w:pPr>
          </w:p>
        </w:tc>
      </w:tr>
      <w:tr w:rsidR="00896E89" w:rsidRPr="00896E89" w14:paraId="4CD466D7" w14:textId="77777777" w:rsidTr="00FE6A05">
        <w:tc>
          <w:tcPr>
            <w:tcW w:w="4332" w:type="dxa"/>
          </w:tcPr>
          <w:p w14:paraId="6A5A5603" w14:textId="77777777" w:rsidR="00896E89" w:rsidRPr="00896E89" w:rsidRDefault="00896E89" w:rsidP="00FE6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jc w:val="both"/>
              <w:textAlignment w:val="center"/>
              <w:rPr>
                <w:rFonts w:ascii="Times New Roman" w:hAnsi="Times New Roman" w:cs="Times New Roman"/>
                <w:sz w:val="24"/>
                <w:szCs w:val="24"/>
              </w:rPr>
            </w:pPr>
            <w:r w:rsidRPr="00896E89">
              <w:rPr>
                <w:rFonts w:ascii="Times New Roman" w:hAnsi="Times New Roman" w:cs="Times New Roman"/>
                <w:b/>
                <w:sz w:val="24"/>
                <w:szCs w:val="24"/>
              </w:rPr>
              <w:lastRenderedPageBreak/>
              <w:t>Artículo 2°.</w:t>
            </w:r>
            <w:r w:rsidRPr="00896E89">
              <w:rPr>
                <w:rFonts w:ascii="Times New Roman" w:hAnsi="Times New Roman" w:cs="Times New Roman"/>
                <w:sz w:val="24"/>
                <w:szCs w:val="24"/>
              </w:rPr>
              <w:t xml:space="preserve"> Modifíquese el artículo 65 de la Constitución Política, el cual quedará así:</w:t>
            </w:r>
          </w:p>
          <w:p w14:paraId="26A298DE" w14:textId="77777777" w:rsidR="00896E89" w:rsidRPr="00896E89" w:rsidRDefault="00896E89" w:rsidP="00FE6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jc w:val="both"/>
              <w:textAlignment w:val="center"/>
              <w:rPr>
                <w:rFonts w:ascii="Times New Roman" w:hAnsi="Times New Roman" w:cs="Times New Roman"/>
                <w:sz w:val="24"/>
                <w:szCs w:val="24"/>
              </w:rPr>
            </w:pPr>
          </w:p>
          <w:p w14:paraId="46CF4614" w14:textId="77777777" w:rsidR="00896E89" w:rsidRPr="00896E89" w:rsidRDefault="00896E89" w:rsidP="00FE6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ind w:left="709" w:right="709"/>
              <w:jc w:val="both"/>
              <w:textAlignment w:val="center"/>
              <w:rPr>
                <w:rFonts w:ascii="Times New Roman" w:hAnsi="Times New Roman" w:cs="Times New Roman"/>
                <w:b/>
                <w:sz w:val="24"/>
                <w:szCs w:val="24"/>
                <w:u w:val="single"/>
              </w:rPr>
            </w:pPr>
            <w:r w:rsidRPr="00896E89">
              <w:rPr>
                <w:rFonts w:ascii="Times New Roman" w:hAnsi="Times New Roman" w:cs="Times New Roman"/>
                <w:b/>
                <w:iCs/>
                <w:sz w:val="24"/>
                <w:szCs w:val="24"/>
              </w:rPr>
              <w:t>Artículo 65.</w:t>
            </w:r>
            <w:r w:rsidRPr="00896E89">
              <w:rPr>
                <w:rFonts w:ascii="Times New Roman" w:hAnsi="Times New Roman" w:cs="Times New Roman"/>
                <w:sz w:val="24"/>
                <w:szCs w:val="24"/>
              </w:rPr>
              <w:t xml:space="preserve"> </w:t>
            </w:r>
            <w:r w:rsidRPr="00896E89">
              <w:rPr>
                <w:rFonts w:ascii="Times New Roman" w:hAnsi="Times New Roman" w:cs="Times New Roman"/>
                <w:b/>
                <w:sz w:val="24"/>
                <w:szCs w:val="24"/>
                <w:u w:val="single"/>
              </w:rPr>
              <w:t xml:space="preserve">Toda persona tiene derecho a la alimentación y nutrición adecuadas. El Estado deberá promover </w:t>
            </w:r>
            <w:r w:rsidRPr="00896E89">
              <w:rPr>
                <w:rFonts w:ascii="Times New Roman" w:hAnsi="Times New Roman" w:cs="Times New Roman"/>
                <w:b/>
                <w:sz w:val="24"/>
                <w:szCs w:val="24"/>
                <w:u w:val="single"/>
              </w:rPr>
              <w:lastRenderedPageBreak/>
              <w:t>las acciones necesarias para que las personas que residan en el territorio nacional puedan acceder a una alimentación adecuada y el derecho fundamental a no padecer hambre.</w:t>
            </w:r>
          </w:p>
          <w:p w14:paraId="18C04768" w14:textId="77777777" w:rsidR="00896E89" w:rsidRPr="00896E89" w:rsidRDefault="00896E89" w:rsidP="00FE6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ind w:left="709" w:right="709"/>
              <w:jc w:val="both"/>
              <w:textAlignment w:val="center"/>
              <w:rPr>
                <w:rFonts w:ascii="Times New Roman" w:hAnsi="Times New Roman" w:cs="Times New Roman"/>
                <w:sz w:val="24"/>
                <w:szCs w:val="24"/>
              </w:rPr>
            </w:pPr>
          </w:p>
          <w:p w14:paraId="238027F7" w14:textId="77777777" w:rsidR="00896E89" w:rsidRPr="00896E89" w:rsidRDefault="00896E89" w:rsidP="00FE6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ind w:left="709" w:right="709"/>
              <w:jc w:val="both"/>
              <w:textAlignment w:val="center"/>
              <w:rPr>
                <w:rFonts w:ascii="Times New Roman" w:hAnsi="Times New Roman" w:cs="Times New Roman"/>
                <w:sz w:val="24"/>
                <w:szCs w:val="24"/>
              </w:rPr>
            </w:pPr>
            <w:r w:rsidRPr="00896E89">
              <w:rPr>
                <w:rFonts w:ascii="Times New Roman" w:hAnsi="Times New Roman" w:cs="Times New Roman"/>
                <w:sz w:val="24"/>
                <w:szCs w:val="24"/>
              </w:rPr>
              <w:t>La producción de alimentos gozará de la especial protección del Estado. Para tal efecto, se otorgará prioridad al desarrollo integral de las actividades agrícolas, pecuarias, pesqueras, forestales y agroindustriales, así como también a la construcción de obras de infraestructur</w:t>
            </w:r>
            <w:r w:rsidRPr="00896E89">
              <w:rPr>
                <w:rFonts w:ascii="Times New Roman" w:hAnsi="Times New Roman" w:cs="Times New Roman"/>
                <w:sz w:val="24"/>
                <w:szCs w:val="24"/>
              </w:rPr>
              <w:lastRenderedPageBreak/>
              <w:t>a física y adecuación de tierras.</w:t>
            </w:r>
          </w:p>
          <w:p w14:paraId="0689F7A4" w14:textId="77777777" w:rsidR="00896E89" w:rsidRPr="00896E89" w:rsidRDefault="00896E89" w:rsidP="00FE6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ind w:left="709" w:right="709"/>
              <w:jc w:val="both"/>
              <w:textAlignment w:val="center"/>
              <w:rPr>
                <w:rFonts w:ascii="Times New Roman" w:hAnsi="Times New Roman" w:cs="Times New Roman"/>
                <w:sz w:val="24"/>
                <w:szCs w:val="24"/>
              </w:rPr>
            </w:pPr>
          </w:p>
          <w:p w14:paraId="75EDF7F0" w14:textId="77777777" w:rsidR="00896E89" w:rsidRPr="00896E89" w:rsidRDefault="00896E89" w:rsidP="00FE6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ind w:left="709" w:right="709"/>
              <w:textAlignment w:val="center"/>
              <w:rPr>
                <w:rFonts w:ascii="Times New Roman" w:hAnsi="Times New Roman" w:cs="Times New Roman"/>
                <w:b/>
                <w:sz w:val="24"/>
                <w:szCs w:val="24"/>
                <w:u w:val="single"/>
              </w:rPr>
            </w:pPr>
            <w:r w:rsidRPr="00896E89">
              <w:rPr>
                <w:rFonts w:ascii="Times New Roman" w:hAnsi="Times New Roman" w:cs="Times New Roman"/>
                <w:sz w:val="24"/>
                <w:szCs w:val="24"/>
              </w:rPr>
              <w:t>De igual manera, el Estado promoverá la investigación y la transferencia de tecnología para la producción de alimentos y materias primas de origen agropecuario, con el propósito de incrementar la productividad.</w:t>
            </w:r>
            <w:r w:rsidRPr="00896E89">
              <w:rPr>
                <w:rFonts w:ascii="Times New Roman" w:hAnsi="Times New Roman" w:cs="Times New Roman"/>
                <w:b/>
                <w:sz w:val="24"/>
                <w:szCs w:val="24"/>
                <w:u w:val="single"/>
              </w:rPr>
              <w:t xml:space="preserve"> </w:t>
            </w:r>
          </w:p>
          <w:p w14:paraId="454D9637" w14:textId="77777777" w:rsidR="00896E89" w:rsidRPr="00896E89" w:rsidRDefault="00896E89" w:rsidP="00FE6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ind w:left="709" w:right="709"/>
              <w:textAlignment w:val="center"/>
              <w:rPr>
                <w:rFonts w:ascii="Times New Roman" w:hAnsi="Times New Roman" w:cs="Times New Roman"/>
                <w:b/>
                <w:sz w:val="24"/>
                <w:szCs w:val="24"/>
                <w:u w:val="single"/>
              </w:rPr>
            </w:pPr>
          </w:p>
          <w:p w14:paraId="4C88A8B3" w14:textId="77777777" w:rsidR="00896E89" w:rsidRPr="00896E89" w:rsidRDefault="00896E89" w:rsidP="00FE6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ind w:left="709" w:right="709"/>
              <w:textAlignment w:val="center"/>
              <w:rPr>
                <w:rFonts w:ascii="Times New Roman" w:hAnsi="Times New Roman" w:cs="Times New Roman"/>
                <w:b/>
                <w:sz w:val="24"/>
                <w:szCs w:val="24"/>
                <w:u w:val="single"/>
                <w:lang w:eastAsia="en-US"/>
              </w:rPr>
            </w:pPr>
            <w:r w:rsidRPr="00896E89">
              <w:rPr>
                <w:rFonts w:ascii="Times New Roman" w:hAnsi="Times New Roman" w:cs="Times New Roman"/>
                <w:b/>
                <w:sz w:val="24"/>
                <w:szCs w:val="24"/>
                <w:u w:val="single"/>
              </w:rPr>
              <w:t xml:space="preserve">La parte general del Plan Nacional de Desarrollo deberá incluir un capítulo en el que se especifiquen las acciones que adelantará el Gobierno nacional, en coordinación con los </w:t>
            </w:r>
            <w:r w:rsidRPr="00896E89">
              <w:rPr>
                <w:rFonts w:ascii="Times New Roman" w:hAnsi="Times New Roman" w:cs="Times New Roman"/>
                <w:b/>
                <w:sz w:val="24"/>
                <w:szCs w:val="24"/>
                <w:u w:val="single"/>
              </w:rPr>
              <w:lastRenderedPageBreak/>
              <w:t>demás órganos del Estado, para materializar lo establecido en este artículo.</w:t>
            </w:r>
          </w:p>
          <w:p w14:paraId="31BCCA5F" w14:textId="77777777" w:rsidR="00896E89" w:rsidRPr="00896E89" w:rsidRDefault="00896E89" w:rsidP="00FE6A05">
            <w:pPr>
              <w:rPr>
                <w:rFonts w:ascii="Times New Roman" w:hAnsi="Times New Roman" w:cs="Times New Roman"/>
                <w:sz w:val="24"/>
                <w:szCs w:val="24"/>
              </w:rPr>
            </w:pPr>
          </w:p>
        </w:tc>
        <w:tc>
          <w:tcPr>
            <w:tcW w:w="4332" w:type="dxa"/>
          </w:tcPr>
          <w:p w14:paraId="32AC7534" w14:textId="77777777" w:rsidR="00896E89" w:rsidRPr="00896E89" w:rsidRDefault="00896E89" w:rsidP="00FE6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jc w:val="both"/>
              <w:textAlignment w:val="center"/>
              <w:rPr>
                <w:rFonts w:ascii="Times New Roman" w:hAnsi="Times New Roman" w:cs="Times New Roman"/>
                <w:sz w:val="24"/>
                <w:szCs w:val="24"/>
              </w:rPr>
            </w:pPr>
            <w:r w:rsidRPr="00896E89">
              <w:rPr>
                <w:rFonts w:ascii="Times New Roman" w:hAnsi="Times New Roman" w:cs="Times New Roman"/>
                <w:b/>
                <w:sz w:val="24"/>
                <w:szCs w:val="24"/>
              </w:rPr>
              <w:lastRenderedPageBreak/>
              <w:t>Artículo 1°.</w:t>
            </w:r>
            <w:r w:rsidRPr="00896E89">
              <w:rPr>
                <w:rFonts w:ascii="Times New Roman" w:hAnsi="Times New Roman" w:cs="Times New Roman"/>
                <w:sz w:val="24"/>
                <w:szCs w:val="24"/>
              </w:rPr>
              <w:t xml:space="preserve"> Modifíquese el artículo 65 de la Constitución Política, el cual quedará así:</w:t>
            </w:r>
          </w:p>
          <w:p w14:paraId="1D192BCD" w14:textId="77777777" w:rsidR="00896E89" w:rsidRPr="00896E89" w:rsidRDefault="00896E89" w:rsidP="00FE6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jc w:val="both"/>
              <w:textAlignment w:val="center"/>
              <w:rPr>
                <w:rFonts w:ascii="Times New Roman" w:hAnsi="Times New Roman" w:cs="Times New Roman"/>
                <w:sz w:val="24"/>
                <w:szCs w:val="24"/>
              </w:rPr>
            </w:pPr>
          </w:p>
          <w:p w14:paraId="69B21E21" w14:textId="77777777" w:rsidR="00896E89" w:rsidRPr="00896E89" w:rsidRDefault="00896E89" w:rsidP="00FE6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ind w:left="709" w:right="709"/>
              <w:jc w:val="both"/>
              <w:textAlignment w:val="center"/>
              <w:rPr>
                <w:rFonts w:ascii="Times New Roman" w:hAnsi="Times New Roman" w:cs="Times New Roman"/>
                <w:b/>
                <w:sz w:val="24"/>
                <w:szCs w:val="24"/>
                <w:u w:val="single"/>
              </w:rPr>
            </w:pPr>
            <w:r w:rsidRPr="00896E89">
              <w:rPr>
                <w:rFonts w:ascii="Times New Roman" w:hAnsi="Times New Roman" w:cs="Times New Roman"/>
                <w:b/>
                <w:iCs/>
                <w:sz w:val="24"/>
                <w:szCs w:val="24"/>
              </w:rPr>
              <w:t>Artículo 65.</w:t>
            </w:r>
            <w:r w:rsidRPr="00896E89">
              <w:rPr>
                <w:rFonts w:ascii="Times New Roman" w:hAnsi="Times New Roman" w:cs="Times New Roman"/>
                <w:sz w:val="24"/>
                <w:szCs w:val="24"/>
              </w:rPr>
              <w:t xml:space="preserve"> </w:t>
            </w:r>
            <w:r w:rsidRPr="00896E89">
              <w:rPr>
                <w:rFonts w:ascii="Times New Roman" w:hAnsi="Times New Roman" w:cs="Times New Roman"/>
                <w:b/>
                <w:sz w:val="24"/>
                <w:szCs w:val="24"/>
                <w:u w:val="single"/>
              </w:rPr>
              <w:t xml:space="preserve">El Estado garantizará el derecho a la alimentación adecuada y a estar protegido contra el hambre y la </w:t>
            </w:r>
            <w:r w:rsidRPr="00896E89">
              <w:rPr>
                <w:rFonts w:ascii="Times New Roman" w:hAnsi="Times New Roman" w:cs="Times New Roman"/>
                <w:b/>
                <w:sz w:val="24"/>
                <w:szCs w:val="24"/>
                <w:u w:val="single"/>
              </w:rPr>
              <w:lastRenderedPageBreak/>
              <w:t>desnutrición. Así mismo promoverá condiciones de seguridad alimentaria y soberanía alimentaria en el territorio nacional.</w:t>
            </w:r>
          </w:p>
          <w:p w14:paraId="713ABCD7" w14:textId="77777777" w:rsidR="00896E89" w:rsidRPr="00896E89" w:rsidRDefault="00896E89" w:rsidP="00FE6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ind w:left="709" w:right="709"/>
              <w:textAlignment w:val="center"/>
              <w:rPr>
                <w:rFonts w:ascii="Times New Roman" w:hAnsi="Times New Roman" w:cs="Times New Roman"/>
                <w:sz w:val="24"/>
                <w:szCs w:val="24"/>
              </w:rPr>
            </w:pPr>
          </w:p>
          <w:p w14:paraId="756B70AC" w14:textId="77777777" w:rsidR="00896E89" w:rsidRPr="00896E89" w:rsidRDefault="00896E89" w:rsidP="00FE6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ind w:left="709" w:right="709"/>
              <w:textAlignment w:val="center"/>
              <w:rPr>
                <w:rFonts w:ascii="Times New Roman" w:hAnsi="Times New Roman" w:cs="Times New Roman"/>
                <w:sz w:val="24"/>
                <w:szCs w:val="24"/>
              </w:rPr>
            </w:pPr>
          </w:p>
          <w:p w14:paraId="35CE7E55" w14:textId="77777777" w:rsidR="00896E89" w:rsidRPr="00896E89" w:rsidRDefault="00896E89" w:rsidP="00FE6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ind w:left="709" w:right="709"/>
              <w:jc w:val="both"/>
              <w:textAlignment w:val="center"/>
              <w:rPr>
                <w:rFonts w:ascii="Times New Roman" w:hAnsi="Times New Roman" w:cs="Times New Roman"/>
                <w:sz w:val="24"/>
                <w:szCs w:val="24"/>
              </w:rPr>
            </w:pPr>
          </w:p>
          <w:p w14:paraId="4DD1427E" w14:textId="77777777" w:rsidR="00896E89" w:rsidRPr="00896E89" w:rsidRDefault="00896E89" w:rsidP="00FE6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ind w:left="709" w:right="709"/>
              <w:jc w:val="both"/>
              <w:textAlignment w:val="center"/>
              <w:rPr>
                <w:rFonts w:ascii="Times New Roman" w:hAnsi="Times New Roman" w:cs="Times New Roman"/>
                <w:sz w:val="24"/>
                <w:szCs w:val="24"/>
              </w:rPr>
            </w:pPr>
            <w:r w:rsidRPr="00896E89">
              <w:rPr>
                <w:rFonts w:ascii="Times New Roman" w:hAnsi="Times New Roman" w:cs="Times New Roman"/>
                <w:sz w:val="24"/>
                <w:szCs w:val="24"/>
              </w:rPr>
              <w:t>La producción de alimentos gozará de la especial protección del Estado. Para tal efecto, se otorgará prioridad al desarrollo integral de las actividades agrícolas, pecuarias, pesqueras, forestales y agroindustriales, así como también a la construcción de obras de infraestructura física y adecuación de tierras.</w:t>
            </w:r>
          </w:p>
          <w:p w14:paraId="6FF0BDC7" w14:textId="77777777" w:rsidR="00896E89" w:rsidRPr="00896E89" w:rsidRDefault="00896E89" w:rsidP="00FE6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ind w:left="709" w:right="709"/>
              <w:jc w:val="both"/>
              <w:textAlignment w:val="center"/>
              <w:rPr>
                <w:rFonts w:ascii="Times New Roman" w:hAnsi="Times New Roman" w:cs="Times New Roman"/>
                <w:sz w:val="24"/>
                <w:szCs w:val="24"/>
              </w:rPr>
            </w:pPr>
          </w:p>
          <w:p w14:paraId="01AD6B9D" w14:textId="77777777" w:rsidR="00896E89" w:rsidRPr="00896E89" w:rsidRDefault="00896E89" w:rsidP="00FE6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ind w:left="709" w:right="709"/>
              <w:jc w:val="both"/>
              <w:textAlignment w:val="center"/>
              <w:rPr>
                <w:rFonts w:ascii="Times New Roman" w:hAnsi="Times New Roman" w:cs="Times New Roman"/>
                <w:b/>
                <w:sz w:val="24"/>
                <w:szCs w:val="24"/>
                <w:u w:val="single"/>
              </w:rPr>
            </w:pPr>
            <w:r w:rsidRPr="00896E89">
              <w:rPr>
                <w:rFonts w:ascii="Times New Roman" w:hAnsi="Times New Roman" w:cs="Times New Roman"/>
                <w:sz w:val="24"/>
                <w:szCs w:val="24"/>
              </w:rPr>
              <w:lastRenderedPageBreak/>
              <w:t>De igual manera, el Estado promoverá la investigación y la transferencia de tecnología para la producción de alimentos y materias primas de origen agropecuario, con el propósito de incrementar la productividad.</w:t>
            </w:r>
            <w:r w:rsidRPr="00896E89">
              <w:rPr>
                <w:rFonts w:ascii="Times New Roman" w:hAnsi="Times New Roman" w:cs="Times New Roman"/>
                <w:b/>
                <w:sz w:val="24"/>
                <w:szCs w:val="24"/>
                <w:u w:val="single"/>
              </w:rPr>
              <w:t xml:space="preserve"> </w:t>
            </w:r>
          </w:p>
          <w:p w14:paraId="7506244C" w14:textId="77777777" w:rsidR="00896E89" w:rsidRPr="00896E89" w:rsidRDefault="00896E89" w:rsidP="00FE6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ind w:left="709" w:right="709"/>
              <w:jc w:val="both"/>
              <w:textAlignment w:val="center"/>
              <w:rPr>
                <w:rFonts w:ascii="Times New Roman" w:hAnsi="Times New Roman" w:cs="Times New Roman"/>
                <w:b/>
                <w:sz w:val="24"/>
                <w:szCs w:val="24"/>
                <w:u w:val="single"/>
              </w:rPr>
            </w:pPr>
          </w:p>
          <w:p w14:paraId="07AB75A5" w14:textId="77777777" w:rsidR="00896E89" w:rsidRPr="00896E89" w:rsidRDefault="00896E89" w:rsidP="00FE6A05">
            <w:pPr>
              <w:rPr>
                <w:rFonts w:ascii="Times New Roman" w:hAnsi="Times New Roman" w:cs="Times New Roman"/>
                <w:sz w:val="24"/>
                <w:szCs w:val="24"/>
              </w:rPr>
            </w:pPr>
          </w:p>
        </w:tc>
        <w:tc>
          <w:tcPr>
            <w:tcW w:w="4332" w:type="dxa"/>
          </w:tcPr>
          <w:p w14:paraId="57CCF310" w14:textId="77777777" w:rsidR="00896E89" w:rsidRPr="00896E89" w:rsidRDefault="00896E89" w:rsidP="00FE6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jc w:val="both"/>
              <w:textAlignment w:val="center"/>
              <w:rPr>
                <w:rFonts w:ascii="Times New Roman" w:hAnsi="Times New Roman" w:cs="Times New Roman"/>
                <w:sz w:val="24"/>
                <w:szCs w:val="24"/>
              </w:rPr>
            </w:pPr>
            <w:r w:rsidRPr="00896E89">
              <w:rPr>
                <w:rFonts w:ascii="Times New Roman" w:hAnsi="Times New Roman" w:cs="Times New Roman"/>
                <w:b/>
                <w:sz w:val="24"/>
                <w:szCs w:val="24"/>
              </w:rPr>
              <w:lastRenderedPageBreak/>
              <w:t>Artículo 2°.</w:t>
            </w:r>
            <w:r w:rsidRPr="00896E89">
              <w:rPr>
                <w:rFonts w:ascii="Times New Roman" w:hAnsi="Times New Roman" w:cs="Times New Roman"/>
                <w:sz w:val="24"/>
                <w:szCs w:val="24"/>
              </w:rPr>
              <w:t xml:space="preserve"> Modifíquese el artículo 65 de la Constitución Política, el cual quedará así:</w:t>
            </w:r>
          </w:p>
          <w:p w14:paraId="6C958886" w14:textId="77777777" w:rsidR="00896E89" w:rsidRPr="00896E89" w:rsidRDefault="00896E89" w:rsidP="00FE6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jc w:val="both"/>
              <w:textAlignment w:val="center"/>
              <w:rPr>
                <w:rFonts w:ascii="Times New Roman" w:hAnsi="Times New Roman" w:cs="Times New Roman"/>
                <w:sz w:val="24"/>
                <w:szCs w:val="24"/>
              </w:rPr>
            </w:pPr>
          </w:p>
          <w:p w14:paraId="3FA3631B" w14:textId="77777777" w:rsidR="00896E89" w:rsidRPr="00896E89" w:rsidRDefault="00896E89" w:rsidP="00FE6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ind w:left="709" w:right="709"/>
              <w:jc w:val="both"/>
              <w:textAlignment w:val="center"/>
              <w:rPr>
                <w:rFonts w:ascii="Times New Roman" w:hAnsi="Times New Roman" w:cs="Times New Roman"/>
                <w:b/>
                <w:sz w:val="24"/>
                <w:szCs w:val="24"/>
                <w:u w:val="single"/>
              </w:rPr>
            </w:pPr>
            <w:r w:rsidRPr="00896E89">
              <w:rPr>
                <w:rFonts w:ascii="Times New Roman" w:hAnsi="Times New Roman" w:cs="Times New Roman"/>
                <w:b/>
                <w:iCs/>
                <w:sz w:val="24"/>
                <w:szCs w:val="24"/>
              </w:rPr>
              <w:t>Artículo 65.</w:t>
            </w:r>
            <w:r w:rsidRPr="00896E89">
              <w:rPr>
                <w:rFonts w:ascii="Times New Roman" w:hAnsi="Times New Roman" w:cs="Times New Roman"/>
                <w:sz w:val="24"/>
                <w:szCs w:val="24"/>
              </w:rPr>
              <w:t xml:space="preserve"> </w:t>
            </w:r>
            <w:r w:rsidRPr="00896E89">
              <w:rPr>
                <w:rFonts w:ascii="Times New Roman" w:hAnsi="Times New Roman" w:cs="Times New Roman"/>
                <w:b/>
                <w:sz w:val="24"/>
                <w:szCs w:val="24"/>
                <w:u w:val="single"/>
              </w:rPr>
              <w:t xml:space="preserve">Toda persona goza del derecho a la alimentación y nutrición adecuada, y a no padecer hambre. El Estado </w:t>
            </w:r>
            <w:r w:rsidRPr="00896E89">
              <w:rPr>
                <w:rFonts w:ascii="Times New Roman" w:hAnsi="Times New Roman" w:cs="Times New Roman"/>
                <w:b/>
                <w:sz w:val="24"/>
                <w:szCs w:val="24"/>
                <w:u w:val="single"/>
              </w:rPr>
              <w:lastRenderedPageBreak/>
              <w:t>garantizará estos derechos y promoverá condiciones de seguridad alimentaria y soberanía alimentaria en el territorio nacional.</w:t>
            </w:r>
          </w:p>
          <w:p w14:paraId="7A1DE855" w14:textId="77777777" w:rsidR="00896E89" w:rsidRPr="00896E89" w:rsidRDefault="00896E89" w:rsidP="00FE6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ind w:right="709"/>
              <w:jc w:val="both"/>
              <w:textAlignment w:val="center"/>
              <w:rPr>
                <w:rFonts w:ascii="Times New Roman" w:hAnsi="Times New Roman" w:cs="Times New Roman"/>
                <w:sz w:val="24"/>
                <w:szCs w:val="24"/>
              </w:rPr>
            </w:pPr>
          </w:p>
          <w:p w14:paraId="686709CD" w14:textId="77777777" w:rsidR="00896E89" w:rsidRPr="00896E89" w:rsidRDefault="00896E89" w:rsidP="00FE6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ind w:left="709" w:right="709"/>
              <w:jc w:val="both"/>
              <w:textAlignment w:val="center"/>
              <w:rPr>
                <w:rFonts w:ascii="Times New Roman" w:hAnsi="Times New Roman" w:cs="Times New Roman"/>
                <w:sz w:val="24"/>
                <w:szCs w:val="24"/>
              </w:rPr>
            </w:pPr>
            <w:r w:rsidRPr="00896E89">
              <w:rPr>
                <w:rFonts w:ascii="Times New Roman" w:hAnsi="Times New Roman" w:cs="Times New Roman"/>
                <w:sz w:val="24"/>
                <w:szCs w:val="24"/>
              </w:rPr>
              <w:t>La producción de alimentos gozará de la especial protección del Estado. Para tal efecto, se otorgará prioridad al desarrollo integral de las actividades agrícolas, pecuarias, pesqueras, forestales y agroindustriales, así como también a la construcción de obras de infraestructura física y adecuación de tierras.</w:t>
            </w:r>
          </w:p>
          <w:p w14:paraId="53EFE04D" w14:textId="77777777" w:rsidR="00896E89" w:rsidRPr="00896E89" w:rsidRDefault="00896E89" w:rsidP="00FE6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ind w:left="709" w:right="709"/>
              <w:jc w:val="both"/>
              <w:textAlignment w:val="center"/>
              <w:rPr>
                <w:rFonts w:ascii="Times New Roman" w:hAnsi="Times New Roman" w:cs="Times New Roman"/>
                <w:sz w:val="24"/>
                <w:szCs w:val="24"/>
              </w:rPr>
            </w:pPr>
          </w:p>
          <w:p w14:paraId="347CDA37" w14:textId="77777777" w:rsidR="00896E89" w:rsidRPr="00896E89" w:rsidRDefault="00896E89" w:rsidP="00FE6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ind w:left="709" w:right="709"/>
              <w:textAlignment w:val="center"/>
              <w:rPr>
                <w:rFonts w:ascii="Times New Roman" w:hAnsi="Times New Roman" w:cs="Times New Roman"/>
                <w:b/>
                <w:sz w:val="24"/>
                <w:szCs w:val="24"/>
                <w:u w:val="single"/>
              </w:rPr>
            </w:pPr>
            <w:r w:rsidRPr="00896E89">
              <w:rPr>
                <w:rFonts w:ascii="Times New Roman" w:hAnsi="Times New Roman" w:cs="Times New Roman"/>
                <w:sz w:val="24"/>
                <w:szCs w:val="24"/>
              </w:rPr>
              <w:lastRenderedPageBreak/>
              <w:t>De igual manera, el Estado promoverá la investigación y la transferencia de tecnología para la producción de alimentos y materias primas de origen agropecuario, con el propósito de incrementar la productividad.</w:t>
            </w:r>
            <w:r w:rsidRPr="00896E89">
              <w:rPr>
                <w:rFonts w:ascii="Times New Roman" w:hAnsi="Times New Roman" w:cs="Times New Roman"/>
                <w:b/>
                <w:sz w:val="24"/>
                <w:szCs w:val="24"/>
                <w:u w:val="single"/>
              </w:rPr>
              <w:t xml:space="preserve"> </w:t>
            </w:r>
          </w:p>
          <w:p w14:paraId="34CC4D91" w14:textId="77777777" w:rsidR="00896E89" w:rsidRPr="00896E89" w:rsidRDefault="00896E89" w:rsidP="00FE6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ind w:left="709" w:right="709"/>
              <w:textAlignment w:val="center"/>
              <w:rPr>
                <w:rFonts w:ascii="Times New Roman" w:hAnsi="Times New Roman" w:cs="Times New Roman"/>
                <w:b/>
                <w:sz w:val="24"/>
                <w:szCs w:val="24"/>
                <w:u w:val="single"/>
              </w:rPr>
            </w:pPr>
          </w:p>
          <w:p w14:paraId="1CC8887F" w14:textId="77777777" w:rsidR="00896E89" w:rsidRPr="00896E89" w:rsidRDefault="00896E89" w:rsidP="00FE6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ind w:left="709" w:right="709"/>
              <w:textAlignment w:val="center"/>
              <w:rPr>
                <w:rFonts w:ascii="Times New Roman" w:hAnsi="Times New Roman" w:cs="Times New Roman"/>
                <w:b/>
                <w:sz w:val="24"/>
                <w:szCs w:val="24"/>
                <w:u w:val="single"/>
                <w:lang w:eastAsia="en-US"/>
              </w:rPr>
            </w:pPr>
            <w:r w:rsidRPr="00896E89">
              <w:rPr>
                <w:rFonts w:ascii="Times New Roman" w:hAnsi="Times New Roman" w:cs="Times New Roman"/>
                <w:b/>
                <w:sz w:val="24"/>
                <w:szCs w:val="24"/>
                <w:u w:val="single"/>
              </w:rPr>
              <w:t xml:space="preserve">La parte general del Plan Nacional de Desarrollo deberá incluir un capítulo en el que se especifiquen las acciones que adelantará el Gobierno nacional, en coordinación con los demás órganos del Estado, para materializar </w:t>
            </w:r>
            <w:r w:rsidRPr="00896E89">
              <w:rPr>
                <w:rFonts w:ascii="Times New Roman" w:hAnsi="Times New Roman" w:cs="Times New Roman"/>
                <w:b/>
                <w:sz w:val="24"/>
                <w:szCs w:val="24"/>
                <w:u w:val="single"/>
              </w:rPr>
              <w:lastRenderedPageBreak/>
              <w:t>lo establecido en este artículo.</w:t>
            </w:r>
          </w:p>
          <w:p w14:paraId="54293B4A" w14:textId="77777777" w:rsidR="00896E89" w:rsidRPr="00896E89" w:rsidRDefault="00896E89" w:rsidP="00FE6A05">
            <w:pPr>
              <w:rPr>
                <w:rFonts w:ascii="Times New Roman" w:hAnsi="Times New Roman" w:cs="Times New Roman"/>
                <w:sz w:val="24"/>
                <w:szCs w:val="24"/>
              </w:rPr>
            </w:pPr>
          </w:p>
        </w:tc>
      </w:tr>
      <w:tr w:rsidR="00896E89" w:rsidRPr="00896E89" w14:paraId="0E270010" w14:textId="77777777" w:rsidTr="00FE6A05">
        <w:tc>
          <w:tcPr>
            <w:tcW w:w="4332" w:type="dxa"/>
          </w:tcPr>
          <w:p w14:paraId="0B7A2199" w14:textId="77777777" w:rsidR="00896E89" w:rsidRPr="00896E89" w:rsidRDefault="00896E89" w:rsidP="00FE6A05">
            <w:pPr>
              <w:jc w:val="both"/>
              <w:rPr>
                <w:rFonts w:ascii="Times New Roman" w:hAnsi="Times New Roman" w:cs="Times New Roman"/>
                <w:b/>
                <w:sz w:val="24"/>
                <w:szCs w:val="24"/>
                <w:u w:val="single"/>
              </w:rPr>
            </w:pPr>
            <w:r w:rsidRPr="00896E89">
              <w:rPr>
                <w:rFonts w:ascii="Times New Roman" w:hAnsi="Times New Roman" w:cs="Times New Roman"/>
                <w:b/>
                <w:sz w:val="24"/>
                <w:szCs w:val="24"/>
              </w:rPr>
              <w:lastRenderedPageBreak/>
              <w:t>Artículo 3°</w:t>
            </w:r>
            <w:r w:rsidRPr="00896E89">
              <w:rPr>
                <w:rFonts w:ascii="Times New Roman" w:hAnsi="Times New Roman" w:cs="Times New Roman"/>
                <w:sz w:val="24"/>
                <w:szCs w:val="24"/>
              </w:rPr>
              <w:t>. Luego de la promulgación de este acto legislativo, el Congreso de la República tendrá hasta un (1) año para aprobar la ley estatutaria que desarrolle este derecho.</w:t>
            </w:r>
            <w:r w:rsidRPr="00896E89">
              <w:rPr>
                <w:rFonts w:ascii="Times New Roman" w:hAnsi="Times New Roman" w:cs="Times New Roman"/>
                <w:b/>
                <w:sz w:val="24"/>
                <w:szCs w:val="24"/>
                <w:u w:val="single"/>
              </w:rPr>
              <w:t xml:space="preserve">  </w:t>
            </w:r>
          </w:p>
          <w:p w14:paraId="676795BD" w14:textId="77777777" w:rsidR="00896E89" w:rsidRPr="00896E89" w:rsidRDefault="00896E89" w:rsidP="00FE6A05">
            <w:pPr>
              <w:rPr>
                <w:rFonts w:ascii="Times New Roman" w:hAnsi="Times New Roman" w:cs="Times New Roman"/>
                <w:sz w:val="24"/>
                <w:szCs w:val="24"/>
              </w:rPr>
            </w:pPr>
          </w:p>
        </w:tc>
        <w:tc>
          <w:tcPr>
            <w:tcW w:w="4332" w:type="dxa"/>
          </w:tcPr>
          <w:p w14:paraId="0BE8657B" w14:textId="77777777" w:rsidR="00896E89" w:rsidRPr="00896E89" w:rsidRDefault="00896E89" w:rsidP="00FE6A05">
            <w:pPr>
              <w:rPr>
                <w:rFonts w:ascii="Times New Roman" w:hAnsi="Times New Roman" w:cs="Times New Roman"/>
                <w:sz w:val="24"/>
                <w:szCs w:val="24"/>
              </w:rPr>
            </w:pPr>
          </w:p>
        </w:tc>
        <w:tc>
          <w:tcPr>
            <w:tcW w:w="4332" w:type="dxa"/>
          </w:tcPr>
          <w:p w14:paraId="6D89CFC9" w14:textId="77777777" w:rsidR="00896E89" w:rsidRPr="00896E89" w:rsidRDefault="00896E89" w:rsidP="00FE6A05">
            <w:pPr>
              <w:jc w:val="both"/>
              <w:rPr>
                <w:rFonts w:ascii="Times New Roman" w:hAnsi="Times New Roman" w:cs="Times New Roman"/>
                <w:b/>
                <w:sz w:val="24"/>
                <w:szCs w:val="24"/>
                <w:u w:val="single"/>
              </w:rPr>
            </w:pPr>
            <w:r w:rsidRPr="00896E89">
              <w:rPr>
                <w:rFonts w:ascii="Times New Roman" w:hAnsi="Times New Roman" w:cs="Times New Roman"/>
                <w:b/>
                <w:sz w:val="24"/>
                <w:szCs w:val="24"/>
              </w:rPr>
              <w:t>Artículo 3°</w:t>
            </w:r>
            <w:r w:rsidRPr="00896E89">
              <w:rPr>
                <w:rFonts w:ascii="Times New Roman" w:hAnsi="Times New Roman" w:cs="Times New Roman"/>
                <w:sz w:val="24"/>
                <w:szCs w:val="24"/>
              </w:rPr>
              <w:t>. Luego de la promulgación de este acto legislativo, el Congreso de la República tendrá hasta un (1) año para aprobar la ley estatutaria que desarrolle este derecho.</w:t>
            </w:r>
            <w:r w:rsidRPr="00896E89">
              <w:rPr>
                <w:rFonts w:ascii="Times New Roman" w:hAnsi="Times New Roman" w:cs="Times New Roman"/>
                <w:b/>
                <w:sz w:val="24"/>
                <w:szCs w:val="24"/>
                <w:u w:val="single"/>
              </w:rPr>
              <w:t xml:space="preserve">  </w:t>
            </w:r>
          </w:p>
          <w:p w14:paraId="5AF54362" w14:textId="77777777" w:rsidR="00896E89" w:rsidRPr="00896E89" w:rsidRDefault="00896E89" w:rsidP="00FE6A05">
            <w:pPr>
              <w:rPr>
                <w:rFonts w:ascii="Times New Roman" w:hAnsi="Times New Roman" w:cs="Times New Roman"/>
                <w:sz w:val="24"/>
                <w:szCs w:val="24"/>
              </w:rPr>
            </w:pPr>
          </w:p>
        </w:tc>
      </w:tr>
      <w:tr w:rsidR="00896E89" w:rsidRPr="00896E89" w14:paraId="2EE48477" w14:textId="77777777" w:rsidTr="00FE6A05">
        <w:tc>
          <w:tcPr>
            <w:tcW w:w="4332" w:type="dxa"/>
          </w:tcPr>
          <w:p w14:paraId="093A2A27" w14:textId="77777777" w:rsidR="00896E89" w:rsidRPr="00896E89" w:rsidRDefault="00896E89" w:rsidP="00FE6A05">
            <w:pPr>
              <w:jc w:val="both"/>
              <w:rPr>
                <w:rFonts w:ascii="Times New Roman" w:hAnsi="Times New Roman" w:cs="Times New Roman"/>
                <w:sz w:val="24"/>
                <w:szCs w:val="24"/>
              </w:rPr>
            </w:pPr>
            <w:r w:rsidRPr="00896E89">
              <w:rPr>
                <w:rFonts w:ascii="Times New Roman" w:hAnsi="Times New Roman" w:cs="Times New Roman"/>
                <w:b/>
                <w:sz w:val="24"/>
                <w:szCs w:val="24"/>
              </w:rPr>
              <w:t>Artículo 4°. Vigencia.</w:t>
            </w:r>
            <w:r w:rsidRPr="00896E89">
              <w:rPr>
                <w:rFonts w:ascii="Times New Roman" w:hAnsi="Times New Roman" w:cs="Times New Roman"/>
                <w:sz w:val="24"/>
                <w:szCs w:val="24"/>
              </w:rPr>
              <w:t xml:space="preserve"> El presente acto legislativo rige a partir de la fecha de su promulgación.</w:t>
            </w:r>
          </w:p>
          <w:p w14:paraId="176FC076" w14:textId="77777777" w:rsidR="00896E89" w:rsidRPr="00896E89" w:rsidRDefault="00896E89" w:rsidP="00FE6A05">
            <w:pPr>
              <w:rPr>
                <w:rFonts w:ascii="Times New Roman" w:hAnsi="Times New Roman" w:cs="Times New Roman"/>
                <w:sz w:val="24"/>
                <w:szCs w:val="24"/>
              </w:rPr>
            </w:pPr>
          </w:p>
        </w:tc>
        <w:tc>
          <w:tcPr>
            <w:tcW w:w="4332" w:type="dxa"/>
          </w:tcPr>
          <w:p w14:paraId="35371B60" w14:textId="77777777" w:rsidR="00896E89" w:rsidRPr="00896E89" w:rsidRDefault="00896E89" w:rsidP="00FE6A05">
            <w:pPr>
              <w:jc w:val="both"/>
              <w:rPr>
                <w:rFonts w:ascii="Times New Roman" w:hAnsi="Times New Roman" w:cs="Times New Roman"/>
                <w:sz w:val="24"/>
                <w:szCs w:val="24"/>
              </w:rPr>
            </w:pPr>
            <w:r w:rsidRPr="00896E89">
              <w:rPr>
                <w:rFonts w:ascii="Times New Roman" w:hAnsi="Times New Roman" w:cs="Times New Roman"/>
                <w:b/>
                <w:sz w:val="24"/>
                <w:szCs w:val="24"/>
              </w:rPr>
              <w:t xml:space="preserve">Artículo 2°. </w:t>
            </w:r>
            <w:r w:rsidRPr="00896E89">
              <w:rPr>
                <w:rFonts w:ascii="Times New Roman" w:hAnsi="Times New Roman" w:cs="Times New Roman"/>
                <w:sz w:val="24"/>
                <w:szCs w:val="24"/>
              </w:rPr>
              <w:t>El presente Acto Legislativo rige a partir de su promulgación y deroga todas las normas que le sean contrarias.</w:t>
            </w:r>
          </w:p>
          <w:p w14:paraId="1E2207AC" w14:textId="77777777" w:rsidR="00896E89" w:rsidRPr="00896E89" w:rsidRDefault="00896E89" w:rsidP="00FE6A05">
            <w:pPr>
              <w:rPr>
                <w:rFonts w:ascii="Times New Roman" w:hAnsi="Times New Roman" w:cs="Times New Roman"/>
                <w:sz w:val="24"/>
                <w:szCs w:val="24"/>
              </w:rPr>
            </w:pPr>
          </w:p>
        </w:tc>
        <w:tc>
          <w:tcPr>
            <w:tcW w:w="4332" w:type="dxa"/>
          </w:tcPr>
          <w:p w14:paraId="1A8D0423" w14:textId="77777777" w:rsidR="00896E89" w:rsidRPr="00896E89" w:rsidRDefault="00896E89" w:rsidP="00FE6A05">
            <w:pPr>
              <w:rPr>
                <w:rFonts w:ascii="Times New Roman" w:hAnsi="Times New Roman" w:cs="Times New Roman"/>
                <w:sz w:val="24"/>
                <w:szCs w:val="24"/>
              </w:rPr>
            </w:pPr>
            <w:r w:rsidRPr="00896E89">
              <w:rPr>
                <w:rFonts w:ascii="Times New Roman" w:hAnsi="Times New Roman" w:cs="Times New Roman"/>
                <w:b/>
                <w:sz w:val="24"/>
                <w:szCs w:val="24"/>
              </w:rPr>
              <w:t>Artículo 4°. Vigencia.</w:t>
            </w:r>
            <w:r w:rsidRPr="00896E89">
              <w:rPr>
                <w:rFonts w:ascii="Times New Roman" w:hAnsi="Times New Roman" w:cs="Times New Roman"/>
                <w:sz w:val="24"/>
                <w:szCs w:val="24"/>
              </w:rPr>
              <w:t xml:space="preserve"> El presente Acto Legislativo rige a partir de su promulgación y deroga todas las normas que le sean contrarias.</w:t>
            </w:r>
          </w:p>
        </w:tc>
      </w:tr>
    </w:tbl>
    <w:p w14:paraId="413DD05E" w14:textId="6767B0CA" w:rsidR="00896E89" w:rsidRPr="00896E89" w:rsidRDefault="00896E89" w:rsidP="00896E89">
      <w:pPr>
        <w:jc w:val="both"/>
        <w:rPr>
          <w:rFonts w:ascii="Times New Roman" w:hAnsi="Times New Roman" w:cs="Times New Roman"/>
          <w:sz w:val="24"/>
          <w:szCs w:val="24"/>
        </w:rPr>
      </w:pPr>
    </w:p>
    <w:p w14:paraId="3DFE8BC3" w14:textId="69449340" w:rsidR="003F74A9" w:rsidRDefault="003F74A9" w:rsidP="003F74A9">
      <w:pPr>
        <w:pStyle w:val="Prrafodelista"/>
        <w:ind w:left="1080"/>
        <w:jc w:val="both"/>
        <w:rPr>
          <w:rFonts w:ascii="Times New Roman" w:hAnsi="Times New Roman" w:cs="Times New Roman"/>
          <w:b/>
          <w:bCs/>
          <w:sz w:val="24"/>
          <w:szCs w:val="24"/>
        </w:rPr>
      </w:pPr>
    </w:p>
    <w:p w14:paraId="06D1EF2C" w14:textId="3ED11432" w:rsidR="003F74A9" w:rsidRDefault="003F74A9" w:rsidP="003F74A9">
      <w:pPr>
        <w:pStyle w:val="Prrafodelista"/>
        <w:ind w:left="1080"/>
        <w:jc w:val="both"/>
        <w:rPr>
          <w:rFonts w:ascii="Times New Roman" w:hAnsi="Times New Roman" w:cs="Times New Roman"/>
          <w:b/>
          <w:bCs/>
          <w:sz w:val="24"/>
          <w:szCs w:val="24"/>
        </w:rPr>
      </w:pPr>
    </w:p>
    <w:p w14:paraId="76009841" w14:textId="0FDDEA81" w:rsidR="003F74A9" w:rsidRDefault="003F74A9" w:rsidP="003F74A9">
      <w:pPr>
        <w:pStyle w:val="Prrafodelista"/>
        <w:ind w:left="1080"/>
        <w:jc w:val="both"/>
        <w:rPr>
          <w:rFonts w:ascii="Times New Roman" w:hAnsi="Times New Roman" w:cs="Times New Roman"/>
          <w:b/>
          <w:bCs/>
          <w:sz w:val="24"/>
          <w:szCs w:val="24"/>
        </w:rPr>
      </w:pPr>
    </w:p>
    <w:p w14:paraId="4F7A1820" w14:textId="19FC657C" w:rsidR="003F74A9" w:rsidRDefault="003F74A9" w:rsidP="003F74A9">
      <w:pPr>
        <w:pStyle w:val="Prrafodelista"/>
        <w:ind w:left="1080"/>
        <w:jc w:val="both"/>
        <w:rPr>
          <w:rFonts w:ascii="Times New Roman" w:hAnsi="Times New Roman" w:cs="Times New Roman"/>
          <w:b/>
          <w:bCs/>
          <w:sz w:val="24"/>
          <w:szCs w:val="24"/>
        </w:rPr>
      </w:pPr>
    </w:p>
    <w:p w14:paraId="02CE0212" w14:textId="34320C9C" w:rsidR="003F74A9" w:rsidRDefault="003F74A9" w:rsidP="003F74A9">
      <w:pPr>
        <w:pStyle w:val="Prrafodelista"/>
        <w:ind w:left="1080"/>
        <w:jc w:val="both"/>
        <w:rPr>
          <w:rFonts w:ascii="Times New Roman" w:hAnsi="Times New Roman" w:cs="Times New Roman"/>
          <w:b/>
          <w:bCs/>
          <w:sz w:val="24"/>
          <w:szCs w:val="24"/>
        </w:rPr>
      </w:pPr>
    </w:p>
    <w:p w14:paraId="7F1A8C9F" w14:textId="38919956" w:rsidR="003F74A9" w:rsidRDefault="003F74A9" w:rsidP="003F74A9">
      <w:pPr>
        <w:pStyle w:val="Prrafodelista"/>
        <w:ind w:left="1080"/>
        <w:jc w:val="both"/>
        <w:rPr>
          <w:rFonts w:ascii="Times New Roman" w:hAnsi="Times New Roman" w:cs="Times New Roman"/>
          <w:b/>
          <w:bCs/>
          <w:sz w:val="24"/>
          <w:szCs w:val="24"/>
        </w:rPr>
      </w:pPr>
    </w:p>
    <w:p w14:paraId="44B44F89" w14:textId="545C05B2" w:rsidR="003F74A9" w:rsidRDefault="003F74A9" w:rsidP="003F74A9">
      <w:pPr>
        <w:pStyle w:val="Prrafodelista"/>
        <w:ind w:left="1080"/>
        <w:jc w:val="both"/>
        <w:rPr>
          <w:rFonts w:ascii="Times New Roman" w:hAnsi="Times New Roman" w:cs="Times New Roman"/>
          <w:b/>
          <w:bCs/>
          <w:sz w:val="24"/>
          <w:szCs w:val="24"/>
        </w:rPr>
      </w:pPr>
    </w:p>
    <w:p w14:paraId="69537014" w14:textId="40FF971E" w:rsidR="003F74A9" w:rsidRDefault="003F74A9" w:rsidP="003F74A9">
      <w:pPr>
        <w:pStyle w:val="Prrafodelista"/>
        <w:ind w:left="1080"/>
        <w:jc w:val="both"/>
        <w:rPr>
          <w:rFonts w:ascii="Times New Roman" w:hAnsi="Times New Roman" w:cs="Times New Roman"/>
          <w:b/>
          <w:bCs/>
          <w:sz w:val="24"/>
          <w:szCs w:val="24"/>
        </w:rPr>
      </w:pPr>
    </w:p>
    <w:p w14:paraId="28552A4C" w14:textId="66447BA0" w:rsidR="003F74A9" w:rsidRDefault="003F74A9" w:rsidP="003F74A9">
      <w:pPr>
        <w:pStyle w:val="Prrafodelista"/>
        <w:ind w:left="1080"/>
        <w:jc w:val="both"/>
        <w:rPr>
          <w:rFonts w:ascii="Times New Roman" w:hAnsi="Times New Roman" w:cs="Times New Roman"/>
          <w:b/>
          <w:bCs/>
          <w:sz w:val="24"/>
          <w:szCs w:val="24"/>
        </w:rPr>
      </w:pPr>
    </w:p>
    <w:p w14:paraId="6C47970B" w14:textId="117A6CBF" w:rsidR="003F74A9" w:rsidRDefault="003F74A9" w:rsidP="003F74A9">
      <w:pPr>
        <w:pStyle w:val="Prrafodelista"/>
        <w:ind w:left="1080"/>
        <w:jc w:val="both"/>
        <w:rPr>
          <w:rFonts w:ascii="Times New Roman" w:hAnsi="Times New Roman" w:cs="Times New Roman"/>
          <w:b/>
          <w:bCs/>
          <w:sz w:val="24"/>
          <w:szCs w:val="24"/>
        </w:rPr>
      </w:pPr>
    </w:p>
    <w:p w14:paraId="20AA96A8" w14:textId="4B627882" w:rsidR="003F74A9" w:rsidRDefault="003F74A9" w:rsidP="003F74A9">
      <w:pPr>
        <w:pStyle w:val="Prrafodelista"/>
        <w:ind w:left="1080"/>
        <w:jc w:val="both"/>
        <w:rPr>
          <w:rFonts w:ascii="Times New Roman" w:hAnsi="Times New Roman" w:cs="Times New Roman"/>
          <w:b/>
          <w:bCs/>
          <w:sz w:val="24"/>
          <w:szCs w:val="24"/>
        </w:rPr>
      </w:pPr>
    </w:p>
    <w:p w14:paraId="1BB5E606" w14:textId="2C464301" w:rsidR="003F74A9" w:rsidRDefault="003F74A9" w:rsidP="003F74A9">
      <w:pPr>
        <w:pStyle w:val="Prrafodelista"/>
        <w:ind w:left="1080"/>
        <w:jc w:val="both"/>
        <w:rPr>
          <w:rFonts w:ascii="Times New Roman" w:hAnsi="Times New Roman" w:cs="Times New Roman"/>
          <w:b/>
          <w:bCs/>
          <w:sz w:val="24"/>
          <w:szCs w:val="24"/>
        </w:rPr>
      </w:pPr>
    </w:p>
    <w:p w14:paraId="1E855A80" w14:textId="7CEDB1DE" w:rsidR="003F74A9" w:rsidRDefault="003F74A9" w:rsidP="003F74A9">
      <w:pPr>
        <w:pStyle w:val="Prrafodelista"/>
        <w:ind w:left="1080"/>
        <w:jc w:val="both"/>
        <w:rPr>
          <w:rFonts w:ascii="Times New Roman" w:hAnsi="Times New Roman" w:cs="Times New Roman"/>
          <w:b/>
          <w:bCs/>
          <w:sz w:val="24"/>
          <w:szCs w:val="24"/>
        </w:rPr>
      </w:pPr>
    </w:p>
    <w:p w14:paraId="45CD9BE4" w14:textId="7BE2589C" w:rsidR="003F74A9" w:rsidRDefault="003F74A9" w:rsidP="003F74A9">
      <w:pPr>
        <w:pStyle w:val="Prrafodelista"/>
        <w:ind w:left="1080"/>
        <w:jc w:val="both"/>
        <w:rPr>
          <w:rFonts w:ascii="Times New Roman" w:hAnsi="Times New Roman" w:cs="Times New Roman"/>
          <w:b/>
          <w:bCs/>
          <w:sz w:val="24"/>
          <w:szCs w:val="24"/>
        </w:rPr>
      </w:pPr>
    </w:p>
    <w:p w14:paraId="356E5042" w14:textId="6409C9EB" w:rsidR="003F74A9" w:rsidRDefault="003F74A9" w:rsidP="003F74A9">
      <w:pPr>
        <w:pStyle w:val="Prrafodelista"/>
        <w:ind w:left="1080"/>
        <w:jc w:val="both"/>
        <w:rPr>
          <w:rFonts w:ascii="Times New Roman" w:hAnsi="Times New Roman" w:cs="Times New Roman"/>
          <w:b/>
          <w:bCs/>
          <w:sz w:val="24"/>
          <w:szCs w:val="24"/>
        </w:rPr>
      </w:pPr>
    </w:p>
    <w:p w14:paraId="66942352" w14:textId="5C1BF0A8" w:rsidR="003F74A9" w:rsidRDefault="003F74A9" w:rsidP="003F74A9">
      <w:pPr>
        <w:pStyle w:val="Prrafodelista"/>
        <w:ind w:left="1080"/>
        <w:jc w:val="both"/>
        <w:rPr>
          <w:rFonts w:ascii="Times New Roman" w:hAnsi="Times New Roman" w:cs="Times New Roman"/>
          <w:b/>
          <w:bCs/>
          <w:sz w:val="24"/>
          <w:szCs w:val="24"/>
        </w:rPr>
      </w:pPr>
    </w:p>
    <w:p w14:paraId="36EC3E24" w14:textId="2018AE24" w:rsidR="003F74A9" w:rsidRDefault="003F74A9" w:rsidP="003F74A9">
      <w:pPr>
        <w:pStyle w:val="Prrafodelista"/>
        <w:ind w:left="1080"/>
        <w:jc w:val="both"/>
        <w:rPr>
          <w:rFonts w:ascii="Times New Roman" w:hAnsi="Times New Roman" w:cs="Times New Roman"/>
          <w:b/>
          <w:bCs/>
          <w:sz w:val="24"/>
          <w:szCs w:val="24"/>
        </w:rPr>
      </w:pPr>
    </w:p>
    <w:p w14:paraId="136C4B9C" w14:textId="3C9D6103" w:rsidR="003F74A9" w:rsidRPr="003F74A9" w:rsidRDefault="003F74A9" w:rsidP="003F74A9">
      <w:pPr>
        <w:jc w:val="both"/>
        <w:rPr>
          <w:rFonts w:ascii="Times New Roman" w:hAnsi="Times New Roman" w:cs="Times New Roman"/>
          <w:b/>
          <w:bCs/>
          <w:sz w:val="24"/>
          <w:szCs w:val="24"/>
        </w:rPr>
      </w:pPr>
    </w:p>
    <w:p w14:paraId="7C9F728C" w14:textId="0BFA697C" w:rsidR="003F74A9" w:rsidRDefault="003F74A9" w:rsidP="003F74A9">
      <w:pPr>
        <w:pStyle w:val="Prrafodelista"/>
        <w:ind w:left="1080"/>
        <w:jc w:val="both"/>
        <w:rPr>
          <w:rFonts w:ascii="Times New Roman" w:hAnsi="Times New Roman" w:cs="Times New Roman"/>
          <w:b/>
          <w:bCs/>
          <w:sz w:val="24"/>
          <w:szCs w:val="24"/>
        </w:rPr>
      </w:pPr>
    </w:p>
    <w:p w14:paraId="20AD8102" w14:textId="77777777" w:rsidR="003F74A9" w:rsidRDefault="003F74A9" w:rsidP="003F74A9">
      <w:pPr>
        <w:pStyle w:val="Prrafodelista"/>
        <w:ind w:left="1080"/>
        <w:jc w:val="both"/>
        <w:rPr>
          <w:rFonts w:ascii="Times New Roman" w:hAnsi="Times New Roman" w:cs="Times New Roman"/>
          <w:b/>
          <w:bCs/>
          <w:sz w:val="24"/>
          <w:szCs w:val="24"/>
        </w:rPr>
      </w:pPr>
    </w:p>
    <w:p w14:paraId="0FF61F56" w14:textId="4ABDA794" w:rsidR="00896E89" w:rsidRDefault="00896E89" w:rsidP="00896E89">
      <w:pPr>
        <w:pStyle w:val="Prrafodelista"/>
        <w:numPr>
          <w:ilvl w:val="0"/>
          <w:numId w:val="1"/>
        </w:numPr>
        <w:jc w:val="both"/>
        <w:rPr>
          <w:rFonts w:ascii="Times New Roman" w:hAnsi="Times New Roman" w:cs="Times New Roman"/>
          <w:b/>
          <w:bCs/>
          <w:sz w:val="24"/>
          <w:szCs w:val="24"/>
        </w:rPr>
      </w:pPr>
      <w:r w:rsidRPr="00896E89">
        <w:rPr>
          <w:rFonts w:ascii="Times New Roman" w:hAnsi="Times New Roman" w:cs="Times New Roman"/>
          <w:b/>
          <w:bCs/>
          <w:sz w:val="24"/>
          <w:szCs w:val="24"/>
        </w:rPr>
        <w:t xml:space="preserve">PROPOSICIÓN </w:t>
      </w:r>
    </w:p>
    <w:p w14:paraId="68D2A81D" w14:textId="77777777" w:rsidR="000D069B" w:rsidRPr="00896E89" w:rsidRDefault="000D069B" w:rsidP="000D069B">
      <w:pPr>
        <w:pStyle w:val="Prrafodelista"/>
        <w:ind w:left="1080"/>
        <w:jc w:val="both"/>
        <w:rPr>
          <w:rFonts w:ascii="Times New Roman" w:hAnsi="Times New Roman" w:cs="Times New Roman"/>
          <w:b/>
          <w:bCs/>
          <w:sz w:val="24"/>
          <w:szCs w:val="24"/>
        </w:rPr>
      </w:pPr>
    </w:p>
    <w:p w14:paraId="4C1FE7D3" w14:textId="05027D0C" w:rsidR="00896E89" w:rsidRDefault="00896E89" w:rsidP="00896E89">
      <w:pPr>
        <w:jc w:val="both"/>
        <w:rPr>
          <w:rFonts w:ascii="Times New Roman" w:hAnsi="Times New Roman" w:cs="Times New Roman"/>
        </w:rPr>
      </w:pPr>
      <w:r w:rsidRPr="003F74A9">
        <w:rPr>
          <w:rFonts w:ascii="Times New Roman" w:hAnsi="Times New Roman" w:cs="Times New Roman"/>
        </w:rPr>
        <w:t xml:space="preserve">Basados en las presentes consideraciones, nos permitimos presentar </w:t>
      </w:r>
      <w:r w:rsidRPr="003F74A9">
        <w:rPr>
          <w:rFonts w:ascii="Times New Roman" w:hAnsi="Times New Roman" w:cs="Times New Roman"/>
          <w:b/>
        </w:rPr>
        <w:t xml:space="preserve">PONENCIA FAVORABLE </w:t>
      </w:r>
      <w:r w:rsidRPr="003F74A9">
        <w:rPr>
          <w:rFonts w:ascii="Times New Roman" w:hAnsi="Times New Roman" w:cs="Times New Roman"/>
          <w:bCs/>
        </w:rPr>
        <w:t xml:space="preserve"> al Proyecto de Acto Legislativo 287 de 2020 Cámara “Por el cual se modifican los artículos 45 y 65 de la Constitución Política estableciendo el derecho fundamental a la alimentación y a no padecer hambre”, acumulado con el Proyecto de Acto Legislativo 01 de 2020 Senado “Por el cual se modifica el artículo 65 de la Constitución Política de Colombia”, para que se dé Primer Debate en la Comisión Primera Constitucional de la Cámara de Representantes </w:t>
      </w:r>
      <w:r w:rsidRPr="003F74A9">
        <w:rPr>
          <w:rFonts w:ascii="Times New Roman" w:hAnsi="Times New Roman" w:cs="Times New Roman"/>
        </w:rPr>
        <w:t>de acuerdo con el texto que se adjunta a la presente.</w:t>
      </w:r>
    </w:p>
    <w:p w14:paraId="4B83E8C3" w14:textId="77777777" w:rsidR="000D069B" w:rsidRPr="003F74A9" w:rsidRDefault="000D069B" w:rsidP="00896E89">
      <w:pPr>
        <w:jc w:val="both"/>
        <w:rPr>
          <w:rFonts w:ascii="Times New Roman" w:hAnsi="Times New Roman" w:cs="Times New Roman"/>
        </w:rPr>
      </w:pPr>
    </w:p>
    <w:p w14:paraId="160C004B" w14:textId="557F8513" w:rsidR="00E21CA0" w:rsidRPr="003F74A9" w:rsidRDefault="00E21CA0" w:rsidP="00896E89">
      <w:pPr>
        <w:jc w:val="both"/>
        <w:rPr>
          <w:rFonts w:ascii="Times New Roman" w:eastAsia="Calibri" w:hAnsi="Times New Roman" w:cs="Times New Roman"/>
        </w:rPr>
      </w:pPr>
      <w:r w:rsidRPr="003F74A9">
        <w:rPr>
          <w:rFonts w:ascii="Times New Roman" w:eastAsia="Calibri" w:hAnsi="Times New Roman" w:cs="Times New Roman"/>
        </w:rPr>
        <w:t xml:space="preserve">Cordialmente, </w:t>
      </w:r>
    </w:p>
    <w:tbl>
      <w:tblPr>
        <w:tblStyle w:val="Tablaconcuadrcula"/>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394"/>
      </w:tblGrid>
      <w:tr w:rsidR="003F74A9" w:rsidRPr="003F74A9" w14:paraId="26EA906A" w14:textId="77777777" w:rsidTr="003F74A9">
        <w:tc>
          <w:tcPr>
            <w:tcW w:w="4815" w:type="dxa"/>
          </w:tcPr>
          <w:p w14:paraId="528464E6" w14:textId="52370247" w:rsidR="003F74A9" w:rsidRPr="003F74A9" w:rsidRDefault="003F74A9" w:rsidP="008B50A5">
            <w:pPr>
              <w:jc w:val="center"/>
              <w:rPr>
                <w:rFonts w:ascii="Times New Roman" w:eastAsia="Calibri" w:hAnsi="Times New Roman" w:cs="Times New Roman"/>
                <w:sz w:val="20"/>
                <w:szCs w:val="20"/>
              </w:rPr>
            </w:pPr>
          </w:p>
        </w:tc>
        <w:tc>
          <w:tcPr>
            <w:tcW w:w="4394" w:type="dxa"/>
          </w:tcPr>
          <w:p w14:paraId="3C1FB188" w14:textId="235F4174" w:rsidR="003F74A9" w:rsidRPr="003F74A9" w:rsidRDefault="003F74A9" w:rsidP="008B50A5">
            <w:pPr>
              <w:jc w:val="center"/>
              <w:rPr>
                <w:rFonts w:ascii="Times New Roman" w:eastAsia="Calibri" w:hAnsi="Times New Roman" w:cs="Times New Roman"/>
                <w:sz w:val="20"/>
                <w:szCs w:val="20"/>
              </w:rPr>
            </w:pPr>
          </w:p>
        </w:tc>
      </w:tr>
      <w:tr w:rsidR="003F74A9" w:rsidRPr="003F74A9" w14:paraId="7A9E42EE" w14:textId="77777777" w:rsidTr="003F74A9">
        <w:tc>
          <w:tcPr>
            <w:tcW w:w="4815" w:type="dxa"/>
          </w:tcPr>
          <w:p w14:paraId="0FB2FC77" w14:textId="77777777" w:rsidR="003F74A9" w:rsidRPr="003F74A9" w:rsidRDefault="003F74A9" w:rsidP="008B50A5">
            <w:pPr>
              <w:jc w:val="center"/>
              <w:rPr>
                <w:rFonts w:ascii="Times New Roman" w:eastAsia="Calibri" w:hAnsi="Times New Roman" w:cs="Times New Roman"/>
                <w:b/>
                <w:sz w:val="20"/>
                <w:szCs w:val="20"/>
              </w:rPr>
            </w:pPr>
            <w:r w:rsidRPr="003F74A9">
              <w:rPr>
                <w:rFonts w:ascii="Times New Roman" w:hAnsi="Times New Roman" w:cs="Times New Roman"/>
                <w:b/>
                <w:sz w:val="20"/>
                <w:szCs w:val="20"/>
              </w:rPr>
              <w:t>JULIÁN PEINADO RAMÍREZ</w:t>
            </w:r>
          </w:p>
        </w:tc>
        <w:tc>
          <w:tcPr>
            <w:tcW w:w="4394" w:type="dxa"/>
          </w:tcPr>
          <w:p w14:paraId="608C1F6B" w14:textId="77777777" w:rsidR="003F74A9" w:rsidRPr="003F74A9" w:rsidRDefault="003F74A9" w:rsidP="008B50A5">
            <w:pPr>
              <w:jc w:val="center"/>
              <w:rPr>
                <w:rFonts w:ascii="Times New Roman" w:eastAsia="Calibri" w:hAnsi="Times New Roman" w:cs="Times New Roman"/>
                <w:b/>
                <w:sz w:val="20"/>
                <w:szCs w:val="20"/>
              </w:rPr>
            </w:pPr>
            <w:r w:rsidRPr="003F74A9">
              <w:rPr>
                <w:rFonts w:ascii="Times New Roman" w:hAnsi="Times New Roman" w:cs="Times New Roman"/>
                <w:b/>
                <w:sz w:val="20"/>
                <w:szCs w:val="20"/>
              </w:rPr>
              <w:t>CESAR AUGUSTO LORDUY MALDONADO</w:t>
            </w:r>
          </w:p>
        </w:tc>
      </w:tr>
      <w:tr w:rsidR="003F74A9" w:rsidRPr="003F74A9" w14:paraId="6BFE573B" w14:textId="77777777" w:rsidTr="003F74A9">
        <w:tc>
          <w:tcPr>
            <w:tcW w:w="4815" w:type="dxa"/>
          </w:tcPr>
          <w:p w14:paraId="247A965B" w14:textId="77777777" w:rsidR="003F74A9" w:rsidRPr="003F74A9" w:rsidRDefault="003F74A9" w:rsidP="008B50A5">
            <w:pPr>
              <w:jc w:val="center"/>
              <w:rPr>
                <w:rFonts w:ascii="Times New Roman" w:eastAsia="Calibri" w:hAnsi="Times New Roman" w:cs="Times New Roman"/>
                <w:sz w:val="20"/>
                <w:szCs w:val="20"/>
              </w:rPr>
            </w:pPr>
            <w:r w:rsidRPr="003F74A9">
              <w:rPr>
                <w:rFonts w:ascii="Times New Roman" w:eastAsia="Calibri" w:hAnsi="Times New Roman" w:cs="Times New Roman"/>
                <w:sz w:val="20"/>
                <w:szCs w:val="20"/>
              </w:rPr>
              <w:t xml:space="preserve">Coordinador Ponente </w:t>
            </w:r>
          </w:p>
        </w:tc>
        <w:tc>
          <w:tcPr>
            <w:tcW w:w="4394" w:type="dxa"/>
          </w:tcPr>
          <w:p w14:paraId="0DE6D822" w14:textId="77777777" w:rsidR="003F74A9" w:rsidRPr="003F74A9" w:rsidRDefault="003F74A9" w:rsidP="008B50A5">
            <w:pPr>
              <w:jc w:val="center"/>
              <w:rPr>
                <w:rFonts w:ascii="Times New Roman" w:eastAsia="Calibri" w:hAnsi="Times New Roman" w:cs="Times New Roman"/>
                <w:b/>
                <w:sz w:val="20"/>
                <w:szCs w:val="20"/>
              </w:rPr>
            </w:pPr>
            <w:r w:rsidRPr="003F74A9">
              <w:rPr>
                <w:rFonts w:ascii="Times New Roman" w:eastAsia="Calibri" w:hAnsi="Times New Roman" w:cs="Times New Roman"/>
                <w:sz w:val="20"/>
                <w:szCs w:val="20"/>
              </w:rPr>
              <w:t>Ponente</w:t>
            </w:r>
          </w:p>
        </w:tc>
      </w:tr>
      <w:tr w:rsidR="003F74A9" w:rsidRPr="003F74A9" w14:paraId="45163321" w14:textId="77777777" w:rsidTr="003F74A9">
        <w:tc>
          <w:tcPr>
            <w:tcW w:w="4815" w:type="dxa"/>
          </w:tcPr>
          <w:p w14:paraId="17656C32" w14:textId="7CFC9C40" w:rsidR="003F74A9" w:rsidRPr="003F74A9" w:rsidRDefault="003F74A9" w:rsidP="008B50A5">
            <w:pPr>
              <w:jc w:val="center"/>
              <w:rPr>
                <w:rFonts w:ascii="Times New Roman" w:eastAsia="Calibri" w:hAnsi="Times New Roman" w:cs="Times New Roman"/>
                <w:b/>
                <w:sz w:val="20"/>
                <w:szCs w:val="20"/>
              </w:rPr>
            </w:pPr>
          </w:p>
        </w:tc>
        <w:tc>
          <w:tcPr>
            <w:tcW w:w="4394" w:type="dxa"/>
          </w:tcPr>
          <w:p w14:paraId="28F47416" w14:textId="0203433C" w:rsidR="003F74A9" w:rsidRPr="003F74A9" w:rsidRDefault="003F74A9" w:rsidP="008B50A5">
            <w:pPr>
              <w:jc w:val="center"/>
              <w:rPr>
                <w:rFonts w:ascii="Times New Roman" w:eastAsia="Calibri" w:hAnsi="Times New Roman" w:cs="Times New Roman"/>
                <w:b/>
                <w:sz w:val="20"/>
                <w:szCs w:val="20"/>
              </w:rPr>
            </w:pPr>
          </w:p>
        </w:tc>
      </w:tr>
      <w:tr w:rsidR="003F74A9" w:rsidRPr="003F74A9" w14:paraId="0887277A" w14:textId="77777777" w:rsidTr="003F74A9">
        <w:tc>
          <w:tcPr>
            <w:tcW w:w="4815" w:type="dxa"/>
          </w:tcPr>
          <w:p w14:paraId="7FB4493C" w14:textId="77777777" w:rsidR="003F74A9" w:rsidRPr="003F74A9" w:rsidRDefault="003F74A9" w:rsidP="008B50A5">
            <w:pPr>
              <w:jc w:val="center"/>
              <w:rPr>
                <w:rFonts w:ascii="Times New Roman" w:eastAsia="Calibri" w:hAnsi="Times New Roman" w:cs="Times New Roman"/>
                <w:b/>
                <w:sz w:val="20"/>
                <w:szCs w:val="20"/>
              </w:rPr>
            </w:pPr>
            <w:r w:rsidRPr="003F74A9">
              <w:rPr>
                <w:rFonts w:ascii="Times New Roman" w:hAnsi="Times New Roman" w:cs="Times New Roman"/>
                <w:b/>
                <w:sz w:val="20"/>
                <w:szCs w:val="20"/>
              </w:rPr>
              <w:t>ALFREDO RAFAEL DELUQUE ZULETA</w:t>
            </w:r>
          </w:p>
        </w:tc>
        <w:tc>
          <w:tcPr>
            <w:tcW w:w="4394" w:type="dxa"/>
          </w:tcPr>
          <w:p w14:paraId="426A713E" w14:textId="77777777" w:rsidR="003F74A9" w:rsidRPr="003F74A9" w:rsidRDefault="003F74A9" w:rsidP="008B50A5">
            <w:pPr>
              <w:jc w:val="center"/>
              <w:rPr>
                <w:rFonts w:ascii="Times New Roman" w:eastAsia="Calibri" w:hAnsi="Times New Roman" w:cs="Times New Roman"/>
                <w:b/>
                <w:sz w:val="20"/>
                <w:szCs w:val="20"/>
              </w:rPr>
            </w:pPr>
            <w:r w:rsidRPr="003F74A9">
              <w:rPr>
                <w:rFonts w:ascii="Times New Roman" w:hAnsi="Times New Roman" w:cs="Times New Roman"/>
                <w:b/>
                <w:sz w:val="20"/>
                <w:szCs w:val="20"/>
              </w:rPr>
              <w:t xml:space="preserve">BUENAVENTURA LEÓN </w:t>
            </w:r>
            <w:proofErr w:type="spellStart"/>
            <w:r w:rsidRPr="003F74A9">
              <w:rPr>
                <w:rFonts w:ascii="Times New Roman" w:hAnsi="Times New Roman" w:cs="Times New Roman"/>
                <w:b/>
                <w:sz w:val="20"/>
                <w:szCs w:val="20"/>
              </w:rPr>
              <w:t>LEÓN</w:t>
            </w:r>
            <w:proofErr w:type="spellEnd"/>
          </w:p>
        </w:tc>
      </w:tr>
      <w:tr w:rsidR="003F74A9" w:rsidRPr="003F74A9" w14:paraId="77AF7FA6" w14:textId="77777777" w:rsidTr="003F74A9">
        <w:tc>
          <w:tcPr>
            <w:tcW w:w="4815" w:type="dxa"/>
          </w:tcPr>
          <w:p w14:paraId="44021F87" w14:textId="77777777" w:rsidR="003F74A9" w:rsidRPr="003F74A9" w:rsidRDefault="003F74A9" w:rsidP="008B50A5">
            <w:pPr>
              <w:jc w:val="center"/>
              <w:rPr>
                <w:rFonts w:ascii="Times New Roman" w:eastAsia="Calibri" w:hAnsi="Times New Roman" w:cs="Times New Roman"/>
                <w:b/>
                <w:sz w:val="20"/>
                <w:szCs w:val="20"/>
              </w:rPr>
            </w:pPr>
            <w:r w:rsidRPr="003F74A9">
              <w:rPr>
                <w:rFonts w:ascii="Times New Roman" w:eastAsia="Calibri" w:hAnsi="Times New Roman" w:cs="Times New Roman"/>
                <w:sz w:val="20"/>
                <w:szCs w:val="20"/>
              </w:rPr>
              <w:t>Ponente</w:t>
            </w:r>
          </w:p>
        </w:tc>
        <w:tc>
          <w:tcPr>
            <w:tcW w:w="4394" w:type="dxa"/>
          </w:tcPr>
          <w:p w14:paraId="20805E54" w14:textId="77777777" w:rsidR="003F74A9" w:rsidRPr="003F74A9" w:rsidRDefault="003F74A9" w:rsidP="008B50A5">
            <w:pPr>
              <w:jc w:val="center"/>
              <w:rPr>
                <w:rFonts w:ascii="Times New Roman" w:eastAsia="Calibri" w:hAnsi="Times New Roman" w:cs="Times New Roman"/>
                <w:b/>
                <w:sz w:val="20"/>
                <w:szCs w:val="20"/>
              </w:rPr>
            </w:pPr>
            <w:r w:rsidRPr="003F74A9">
              <w:rPr>
                <w:rFonts w:ascii="Times New Roman" w:eastAsia="Calibri" w:hAnsi="Times New Roman" w:cs="Times New Roman"/>
                <w:sz w:val="20"/>
                <w:szCs w:val="20"/>
              </w:rPr>
              <w:t>Ponente</w:t>
            </w:r>
          </w:p>
        </w:tc>
      </w:tr>
      <w:tr w:rsidR="003F74A9" w:rsidRPr="003F74A9" w14:paraId="23C335D0" w14:textId="77777777" w:rsidTr="003F74A9">
        <w:tc>
          <w:tcPr>
            <w:tcW w:w="4815" w:type="dxa"/>
          </w:tcPr>
          <w:p w14:paraId="22C0F9EB" w14:textId="6212AF0C" w:rsidR="003F74A9" w:rsidRPr="003F74A9" w:rsidRDefault="003F74A9" w:rsidP="008B50A5">
            <w:pPr>
              <w:jc w:val="center"/>
              <w:rPr>
                <w:rFonts w:ascii="Times New Roman" w:eastAsia="Calibri" w:hAnsi="Times New Roman" w:cs="Times New Roman"/>
                <w:b/>
                <w:sz w:val="20"/>
                <w:szCs w:val="20"/>
              </w:rPr>
            </w:pPr>
          </w:p>
        </w:tc>
        <w:tc>
          <w:tcPr>
            <w:tcW w:w="4394" w:type="dxa"/>
          </w:tcPr>
          <w:p w14:paraId="60407487" w14:textId="01D25467" w:rsidR="003F74A9" w:rsidRPr="003F74A9" w:rsidRDefault="003F74A9" w:rsidP="008B50A5">
            <w:pPr>
              <w:jc w:val="center"/>
              <w:rPr>
                <w:rFonts w:ascii="Times New Roman" w:eastAsia="Calibri" w:hAnsi="Times New Roman" w:cs="Times New Roman"/>
                <w:b/>
                <w:sz w:val="20"/>
                <w:szCs w:val="20"/>
              </w:rPr>
            </w:pPr>
          </w:p>
        </w:tc>
      </w:tr>
      <w:tr w:rsidR="003F74A9" w:rsidRPr="003F74A9" w14:paraId="007B0FB4" w14:textId="77777777" w:rsidTr="003F74A9">
        <w:tc>
          <w:tcPr>
            <w:tcW w:w="4815" w:type="dxa"/>
          </w:tcPr>
          <w:p w14:paraId="12F42D14" w14:textId="77777777" w:rsidR="003F74A9" w:rsidRPr="003F74A9" w:rsidRDefault="003F74A9" w:rsidP="008B50A5">
            <w:pPr>
              <w:jc w:val="center"/>
              <w:rPr>
                <w:rFonts w:ascii="Times New Roman" w:eastAsia="Calibri" w:hAnsi="Times New Roman" w:cs="Times New Roman"/>
                <w:b/>
                <w:sz w:val="20"/>
                <w:szCs w:val="20"/>
              </w:rPr>
            </w:pPr>
            <w:r w:rsidRPr="003F74A9">
              <w:rPr>
                <w:rFonts w:ascii="Times New Roman" w:hAnsi="Times New Roman" w:cs="Times New Roman"/>
                <w:b/>
                <w:sz w:val="20"/>
                <w:szCs w:val="20"/>
              </w:rPr>
              <w:t>MARGARITA MARÍA RESTREPO ARANGO</w:t>
            </w:r>
          </w:p>
        </w:tc>
        <w:tc>
          <w:tcPr>
            <w:tcW w:w="4394" w:type="dxa"/>
          </w:tcPr>
          <w:p w14:paraId="3C721ACD" w14:textId="77777777" w:rsidR="003F74A9" w:rsidRPr="003F74A9" w:rsidRDefault="003F74A9" w:rsidP="008B50A5">
            <w:pPr>
              <w:jc w:val="center"/>
              <w:rPr>
                <w:rFonts w:ascii="Times New Roman" w:eastAsia="Calibri" w:hAnsi="Times New Roman" w:cs="Times New Roman"/>
                <w:b/>
                <w:sz w:val="20"/>
                <w:szCs w:val="20"/>
              </w:rPr>
            </w:pPr>
            <w:r w:rsidRPr="003F74A9">
              <w:rPr>
                <w:rFonts w:ascii="Times New Roman" w:hAnsi="Times New Roman" w:cs="Times New Roman"/>
                <w:b/>
                <w:sz w:val="20"/>
                <w:szCs w:val="20"/>
              </w:rPr>
              <w:t>CARLOS GERMAN NAVAS TALERO</w:t>
            </w:r>
          </w:p>
        </w:tc>
      </w:tr>
      <w:tr w:rsidR="003F74A9" w:rsidRPr="003F74A9" w14:paraId="37327B7C" w14:textId="77777777" w:rsidTr="003F74A9">
        <w:tc>
          <w:tcPr>
            <w:tcW w:w="4815" w:type="dxa"/>
          </w:tcPr>
          <w:p w14:paraId="0C162F15" w14:textId="77777777" w:rsidR="003F74A9" w:rsidRPr="003F74A9" w:rsidRDefault="003F74A9" w:rsidP="008B50A5">
            <w:pPr>
              <w:jc w:val="center"/>
              <w:rPr>
                <w:rFonts w:ascii="Times New Roman" w:eastAsia="Calibri" w:hAnsi="Times New Roman" w:cs="Times New Roman"/>
                <w:b/>
                <w:sz w:val="20"/>
                <w:szCs w:val="20"/>
              </w:rPr>
            </w:pPr>
            <w:r w:rsidRPr="003F74A9">
              <w:rPr>
                <w:rFonts w:ascii="Times New Roman" w:eastAsia="Calibri" w:hAnsi="Times New Roman" w:cs="Times New Roman"/>
                <w:sz w:val="20"/>
                <w:szCs w:val="20"/>
              </w:rPr>
              <w:t>Ponente</w:t>
            </w:r>
          </w:p>
        </w:tc>
        <w:tc>
          <w:tcPr>
            <w:tcW w:w="4394" w:type="dxa"/>
          </w:tcPr>
          <w:p w14:paraId="4A18DF11" w14:textId="77777777" w:rsidR="003F74A9" w:rsidRPr="003F74A9" w:rsidRDefault="003F74A9" w:rsidP="008B50A5">
            <w:pPr>
              <w:jc w:val="center"/>
              <w:rPr>
                <w:rFonts w:ascii="Times New Roman" w:eastAsia="Calibri" w:hAnsi="Times New Roman" w:cs="Times New Roman"/>
                <w:b/>
                <w:sz w:val="20"/>
                <w:szCs w:val="20"/>
              </w:rPr>
            </w:pPr>
            <w:r w:rsidRPr="003F74A9">
              <w:rPr>
                <w:rFonts w:ascii="Times New Roman" w:eastAsia="Calibri" w:hAnsi="Times New Roman" w:cs="Times New Roman"/>
                <w:sz w:val="20"/>
                <w:szCs w:val="20"/>
              </w:rPr>
              <w:t>Ponente</w:t>
            </w:r>
          </w:p>
        </w:tc>
      </w:tr>
      <w:tr w:rsidR="003F74A9" w:rsidRPr="003F74A9" w14:paraId="1B75DF53" w14:textId="77777777" w:rsidTr="003F74A9">
        <w:tc>
          <w:tcPr>
            <w:tcW w:w="4815" w:type="dxa"/>
          </w:tcPr>
          <w:p w14:paraId="26B82036" w14:textId="16C6F40B" w:rsidR="003F74A9" w:rsidRPr="003F74A9" w:rsidRDefault="003F74A9" w:rsidP="008B50A5">
            <w:pPr>
              <w:jc w:val="both"/>
              <w:rPr>
                <w:rFonts w:ascii="Times New Roman" w:eastAsia="Calibri" w:hAnsi="Times New Roman" w:cs="Times New Roman"/>
                <w:sz w:val="20"/>
                <w:szCs w:val="20"/>
              </w:rPr>
            </w:pPr>
          </w:p>
          <w:p w14:paraId="00B87B22" w14:textId="77777777" w:rsidR="003F74A9" w:rsidRPr="003F74A9" w:rsidRDefault="003F74A9" w:rsidP="008B50A5">
            <w:pPr>
              <w:jc w:val="both"/>
              <w:rPr>
                <w:rFonts w:ascii="Times New Roman" w:eastAsia="Calibri" w:hAnsi="Times New Roman" w:cs="Times New Roman"/>
                <w:sz w:val="20"/>
                <w:szCs w:val="20"/>
              </w:rPr>
            </w:pPr>
          </w:p>
        </w:tc>
        <w:tc>
          <w:tcPr>
            <w:tcW w:w="4394" w:type="dxa"/>
          </w:tcPr>
          <w:p w14:paraId="40586DB7" w14:textId="698D0556" w:rsidR="003F74A9" w:rsidRPr="003F74A9" w:rsidRDefault="003F74A9" w:rsidP="008B50A5">
            <w:pPr>
              <w:jc w:val="both"/>
              <w:rPr>
                <w:rFonts w:ascii="Times New Roman" w:eastAsia="Calibri" w:hAnsi="Times New Roman" w:cs="Times New Roman"/>
                <w:sz w:val="20"/>
                <w:szCs w:val="20"/>
              </w:rPr>
            </w:pPr>
          </w:p>
        </w:tc>
      </w:tr>
      <w:tr w:rsidR="003F74A9" w:rsidRPr="003F74A9" w14:paraId="469DF179" w14:textId="77777777" w:rsidTr="003F74A9">
        <w:tc>
          <w:tcPr>
            <w:tcW w:w="4815" w:type="dxa"/>
          </w:tcPr>
          <w:p w14:paraId="140529EE" w14:textId="77777777" w:rsidR="003F74A9" w:rsidRPr="003F74A9" w:rsidRDefault="003F74A9" w:rsidP="008B50A5">
            <w:pPr>
              <w:jc w:val="center"/>
              <w:rPr>
                <w:rFonts w:ascii="Times New Roman" w:eastAsia="Calibri" w:hAnsi="Times New Roman" w:cs="Times New Roman"/>
                <w:b/>
                <w:sz w:val="20"/>
                <w:szCs w:val="20"/>
              </w:rPr>
            </w:pPr>
            <w:r w:rsidRPr="003F74A9">
              <w:rPr>
                <w:rFonts w:ascii="Times New Roman" w:hAnsi="Times New Roman" w:cs="Times New Roman"/>
                <w:b/>
                <w:sz w:val="20"/>
                <w:szCs w:val="20"/>
              </w:rPr>
              <w:t>JUANITA MARÍA GOEBERTUS ESTRADA</w:t>
            </w:r>
          </w:p>
        </w:tc>
        <w:tc>
          <w:tcPr>
            <w:tcW w:w="4394" w:type="dxa"/>
          </w:tcPr>
          <w:p w14:paraId="25263A79" w14:textId="77777777" w:rsidR="003F74A9" w:rsidRPr="003F74A9" w:rsidRDefault="003F74A9" w:rsidP="008B50A5">
            <w:pPr>
              <w:jc w:val="center"/>
              <w:rPr>
                <w:rFonts w:ascii="Times New Roman" w:hAnsi="Times New Roman" w:cs="Times New Roman"/>
                <w:b/>
                <w:sz w:val="20"/>
                <w:szCs w:val="20"/>
              </w:rPr>
            </w:pPr>
            <w:r w:rsidRPr="003F74A9">
              <w:rPr>
                <w:rFonts w:ascii="Times New Roman" w:hAnsi="Times New Roman" w:cs="Times New Roman"/>
                <w:b/>
                <w:sz w:val="20"/>
                <w:szCs w:val="20"/>
              </w:rPr>
              <w:t>LUIS ALBERTO ALBÁN URBANO</w:t>
            </w:r>
          </w:p>
        </w:tc>
      </w:tr>
      <w:tr w:rsidR="003F74A9" w:rsidRPr="003F74A9" w14:paraId="428073F0" w14:textId="77777777" w:rsidTr="003F74A9">
        <w:tc>
          <w:tcPr>
            <w:tcW w:w="4815" w:type="dxa"/>
          </w:tcPr>
          <w:p w14:paraId="34458DAB" w14:textId="77777777" w:rsidR="003F74A9" w:rsidRPr="003F74A9" w:rsidRDefault="003F74A9" w:rsidP="008B50A5">
            <w:pPr>
              <w:jc w:val="center"/>
              <w:rPr>
                <w:rFonts w:ascii="Times New Roman" w:eastAsia="Calibri" w:hAnsi="Times New Roman" w:cs="Times New Roman"/>
                <w:sz w:val="20"/>
                <w:szCs w:val="20"/>
              </w:rPr>
            </w:pPr>
            <w:r w:rsidRPr="003F74A9">
              <w:rPr>
                <w:rFonts w:ascii="Times New Roman" w:eastAsia="Calibri" w:hAnsi="Times New Roman" w:cs="Times New Roman"/>
                <w:sz w:val="20"/>
                <w:szCs w:val="20"/>
              </w:rPr>
              <w:t>Ponente</w:t>
            </w:r>
          </w:p>
        </w:tc>
        <w:tc>
          <w:tcPr>
            <w:tcW w:w="4394" w:type="dxa"/>
          </w:tcPr>
          <w:p w14:paraId="6B58A35F" w14:textId="77777777" w:rsidR="003F74A9" w:rsidRPr="003F74A9" w:rsidRDefault="003F74A9" w:rsidP="008B50A5">
            <w:pPr>
              <w:jc w:val="center"/>
              <w:rPr>
                <w:rFonts w:ascii="Times New Roman" w:eastAsia="Calibri" w:hAnsi="Times New Roman" w:cs="Times New Roman"/>
                <w:sz w:val="20"/>
                <w:szCs w:val="20"/>
              </w:rPr>
            </w:pPr>
            <w:r w:rsidRPr="003F74A9">
              <w:rPr>
                <w:rFonts w:ascii="Times New Roman" w:eastAsia="Calibri" w:hAnsi="Times New Roman" w:cs="Times New Roman"/>
                <w:sz w:val="20"/>
                <w:szCs w:val="20"/>
              </w:rPr>
              <w:t>Ponente</w:t>
            </w:r>
          </w:p>
        </w:tc>
      </w:tr>
      <w:tr w:rsidR="003F74A9" w:rsidRPr="003F74A9" w14:paraId="2E9C8E9D" w14:textId="77777777" w:rsidTr="003F74A9">
        <w:tc>
          <w:tcPr>
            <w:tcW w:w="4815" w:type="dxa"/>
          </w:tcPr>
          <w:p w14:paraId="54ECA4EA" w14:textId="185EB996" w:rsidR="003F74A9" w:rsidRPr="003F74A9" w:rsidRDefault="003F74A9" w:rsidP="008B50A5">
            <w:pPr>
              <w:jc w:val="center"/>
              <w:rPr>
                <w:rFonts w:ascii="Times New Roman" w:eastAsia="Calibri" w:hAnsi="Times New Roman" w:cs="Times New Roman"/>
                <w:sz w:val="20"/>
                <w:szCs w:val="20"/>
              </w:rPr>
            </w:pPr>
          </w:p>
          <w:p w14:paraId="157F7FF9" w14:textId="77777777" w:rsidR="003F74A9" w:rsidRPr="003F74A9" w:rsidRDefault="003F74A9" w:rsidP="008B50A5">
            <w:pPr>
              <w:jc w:val="center"/>
              <w:rPr>
                <w:rFonts w:ascii="Times New Roman" w:eastAsia="Calibri" w:hAnsi="Times New Roman" w:cs="Times New Roman"/>
                <w:sz w:val="20"/>
                <w:szCs w:val="20"/>
              </w:rPr>
            </w:pPr>
          </w:p>
        </w:tc>
        <w:tc>
          <w:tcPr>
            <w:tcW w:w="4394" w:type="dxa"/>
          </w:tcPr>
          <w:p w14:paraId="575D3A90" w14:textId="77777777" w:rsidR="003F74A9" w:rsidRPr="003F74A9" w:rsidRDefault="003F74A9" w:rsidP="008B50A5">
            <w:pPr>
              <w:jc w:val="center"/>
              <w:rPr>
                <w:rFonts w:ascii="Times New Roman" w:eastAsia="Calibri" w:hAnsi="Times New Roman" w:cs="Times New Roman"/>
                <w:sz w:val="20"/>
                <w:szCs w:val="20"/>
              </w:rPr>
            </w:pPr>
          </w:p>
        </w:tc>
      </w:tr>
      <w:tr w:rsidR="003F74A9" w:rsidRPr="003F74A9" w14:paraId="7407AB7E" w14:textId="77777777" w:rsidTr="003F74A9">
        <w:tc>
          <w:tcPr>
            <w:tcW w:w="4815" w:type="dxa"/>
          </w:tcPr>
          <w:p w14:paraId="4717F0E1" w14:textId="77777777" w:rsidR="003F74A9" w:rsidRPr="003F74A9" w:rsidRDefault="003F74A9" w:rsidP="008B50A5">
            <w:pPr>
              <w:jc w:val="center"/>
              <w:rPr>
                <w:rFonts w:ascii="Times New Roman" w:eastAsia="Calibri" w:hAnsi="Times New Roman" w:cs="Times New Roman"/>
                <w:b/>
                <w:sz w:val="20"/>
                <w:szCs w:val="20"/>
              </w:rPr>
            </w:pPr>
            <w:r w:rsidRPr="003F74A9">
              <w:rPr>
                <w:rFonts w:ascii="Times New Roman" w:hAnsi="Times New Roman" w:cs="Times New Roman"/>
                <w:b/>
                <w:sz w:val="20"/>
                <w:szCs w:val="20"/>
              </w:rPr>
              <w:t>ÁNGELA MARÍA ROBLEDO GÓMEZ</w:t>
            </w:r>
          </w:p>
        </w:tc>
        <w:tc>
          <w:tcPr>
            <w:tcW w:w="4394" w:type="dxa"/>
          </w:tcPr>
          <w:p w14:paraId="7C80CB64" w14:textId="77777777" w:rsidR="003F74A9" w:rsidRPr="003F74A9" w:rsidRDefault="003F74A9" w:rsidP="008B50A5">
            <w:pPr>
              <w:jc w:val="center"/>
              <w:rPr>
                <w:rFonts w:ascii="Times New Roman" w:eastAsia="Calibri" w:hAnsi="Times New Roman" w:cs="Times New Roman"/>
                <w:b/>
                <w:sz w:val="20"/>
                <w:szCs w:val="20"/>
              </w:rPr>
            </w:pPr>
          </w:p>
        </w:tc>
      </w:tr>
      <w:tr w:rsidR="003F74A9" w:rsidRPr="003F74A9" w14:paraId="426C63A0" w14:textId="77777777" w:rsidTr="003F74A9">
        <w:tc>
          <w:tcPr>
            <w:tcW w:w="4815" w:type="dxa"/>
          </w:tcPr>
          <w:p w14:paraId="654AFDD4" w14:textId="77777777" w:rsidR="003F74A9" w:rsidRPr="003F74A9" w:rsidRDefault="003F74A9" w:rsidP="008B50A5">
            <w:pPr>
              <w:jc w:val="center"/>
              <w:rPr>
                <w:rFonts w:ascii="Times New Roman" w:hAnsi="Times New Roman" w:cs="Times New Roman"/>
                <w:b/>
                <w:sz w:val="20"/>
                <w:szCs w:val="20"/>
              </w:rPr>
            </w:pPr>
            <w:r w:rsidRPr="003F74A9">
              <w:rPr>
                <w:rFonts w:ascii="Times New Roman" w:eastAsia="Calibri" w:hAnsi="Times New Roman" w:cs="Times New Roman"/>
                <w:sz w:val="20"/>
                <w:szCs w:val="20"/>
              </w:rPr>
              <w:t>Ponente</w:t>
            </w:r>
          </w:p>
        </w:tc>
        <w:tc>
          <w:tcPr>
            <w:tcW w:w="4394" w:type="dxa"/>
          </w:tcPr>
          <w:p w14:paraId="08F88E01" w14:textId="77777777" w:rsidR="003F74A9" w:rsidRPr="003F74A9" w:rsidRDefault="003F74A9" w:rsidP="008B50A5">
            <w:pPr>
              <w:jc w:val="center"/>
              <w:rPr>
                <w:rFonts w:ascii="Times New Roman" w:eastAsia="Calibri" w:hAnsi="Times New Roman" w:cs="Times New Roman"/>
                <w:sz w:val="20"/>
                <w:szCs w:val="20"/>
              </w:rPr>
            </w:pPr>
          </w:p>
        </w:tc>
      </w:tr>
    </w:tbl>
    <w:p w14:paraId="2B424EE2" w14:textId="77777777" w:rsidR="000D069B" w:rsidRDefault="000D069B" w:rsidP="00896E89">
      <w:pPr>
        <w:pStyle w:val="Nueve"/>
        <w:jc w:val="center"/>
        <w:rPr>
          <w:rFonts w:ascii="Times New Roman" w:hAnsi="Times New Roman" w:cs="Times New Roman"/>
          <w:b/>
        </w:rPr>
      </w:pPr>
    </w:p>
    <w:p w14:paraId="03219475" w14:textId="77777777" w:rsidR="000D069B" w:rsidRDefault="000D069B" w:rsidP="00896E89">
      <w:pPr>
        <w:pStyle w:val="Nueve"/>
        <w:jc w:val="center"/>
        <w:rPr>
          <w:rFonts w:ascii="Times New Roman" w:hAnsi="Times New Roman" w:cs="Times New Roman"/>
          <w:b/>
        </w:rPr>
      </w:pPr>
    </w:p>
    <w:p w14:paraId="1BFEA3F7" w14:textId="77777777" w:rsidR="000D069B" w:rsidRDefault="000D069B" w:rsidP="00896E89">
      <w:pPr>
        <w:pStyle w:val="Nueve"/>
        <w:jc w:val="center"/>
        <w:rPr>
          <w:rFonts w:ascii="Times New Roman" w:hAnsi="Times New Roman" w:cs="Times New Roman"/>
          <w:b/>
        </w:rPr>
      </w:pPr>
    </w:p>
    <w:p w14:paraId="772DEF69" w14:textId="77777777" w:rsidR="000D069B" w:rsidRDefault="000D069B" w:rsidP="00896E89">
      <w:pPr>
        <w:pStyle w:val="Nueve"/>
        <w:jc w:val="center"/>
        <w:rPr>
          <w:rFonts w:ascii="Times New Roman" w:hAnsi="Times New Roman" w:cs="Times New Roman"/>
          <w:b/>
        </w:rPr>
      </w:pPr>
    </w:p>
    <w:p w14:paraId="031EDBE1" w14:textId="77777777" w:rsidR="000D069B" w:rsidRDefault="000D069B" w:rsidP="00896E89">
      <w:pPr>
        <w:pStyle w:val="Nueve"/>
        <w:jc w:val="center"/>
        <w:rPr>
          <w:rFonts w:ascii="Times New Roman" w:hAnsi="Times New Roman" w:cs="Times New Roman"/>
          <w:b/>
        </w:rPr>
      </w:pPr>
    </w:p>
    <w:p w14:paraId="7C0820D2" w14:textId="77777777" w:rsidR="000D069B" w:rsidRDefault="000D069B" w:rsidP="00896E89">
      <w:pPr>
        <w:pStyle w:val="Nueve"/>
        <w:jc w:val="center"/>
        <w:rPr>
          <w:rFonts w:ascii="Times New Roman" w:hAnsi="Times New Roman" w:cs="Times New Roman"/>
          <w:b/>
        </w:rPr>
      </w:pPr>
    </w:p>
    <w:p w14:paraId="53160E2E" w14:textId="77777777" w:rsidR="000D069B" w:rsidRDefault="000D069B" w:rsidP="00896E89">
      <w:pPr>
        <w:pStyle w:val="Nueve"/>
        <w:jc w:val="center"/>
        <w:rPr>
          <w:rFonts w:ascii="Times New Roman" w:hAnsi="Times New Roman" w:cs="Times New Roman"/>
          <w:b/>
        </w:rPr>
      </w:pPr>
    </w:p>
    <w:p w14:paraId="55EC999C" w14:textId="77777777" w:rsidR="000D069B" w:rsidRDefault="000D069B" w:rsidP="00896E89">
      <w:pPr>
        <w:pStyle w:val="Nueve"/>
        <w:jc w:val="center"/>
        <w:rPr>
          <w:rFonts w:ascii="Times New Roman" w:hAnsi="Times New Roman" w:cs="Times New Roman"/>
          <w:b/>
        </w:rPr>
      </w:pPr>
    </w:p>
    <w:p w14:paraId="2405F619" w14:textId="77777777" w:rsidR="000D069B" w:rsidRDefault="000D069B" w:rsidP="00896E89">
      <w:pPr>
        <w:pStyle w:val="Nueve"/>
        <w:jc w:val="center"/>
        <w:rPr>
          <w:rFonts w:ascii="Times New Roman" w:hAnsi="Times New Roman" w:cs="Times New Roman"/>
          <w:b/>
        </w:rPr>
      </w:pPr>
    </w:p>
    <w:p w14:paraId="1D8FAA61" w14:textId="77777777" w:rsidR="000D069B" w:rsidRDefault="000D069B" w:rsidP="00896E89">
      <w:pPr>
        <w:pStyle w:val="Nueve"/>
        <w:jc w:val="center"/>
        <w:rPr>
          <w:rFonts w:ascii="Times New Roman" w:hAnsi="Times New Roman" w:cs="Times New Roman"/>
          <w:b/>
        </w:rPr>
      </w:pPr>
    </w:p>
    <w:p w14:paraId="1B8E40CB" w14:textId="77777777" w:rsidR="000D069B" w:rsidRDefault="000D069B" w:rsidP="00896E89">
      <w:pPr>
        <w:pStyle w:val="Nueve"/>
        <w:jc w:val="center"/>
        <w:rPr>
          <w:rFonts w:ascii="Times New Roman" w:hAnsi="Times New Roman" w:cs="Times New Roman"/>
          <w:b/>
        </w:rPr>
      </w:pPr>
    </w:p>
    <w:p w14:paraId="49695272" w14:textId="77777777" w:rsidR="000D069B" w:rsidRDefault="000D069B" w:rsidP="00896E89">
      <w:pPr>
        <w:pStyle w:val="Nueve"/>
        <w:jc w:val="center"/>
        <w:rPr>
          <w:rFonts w:ascii="Times New Roman" w:hAnsi="Times New Roman" w:cs="Times New Roman"/>
          <w:b/>
        </w:rPr>
      </w:pPr>
    </w:p>
    <w:p w14:paraId="0ED6F7D0" w14:textId="3B5866B7" w:rsidR="00896E89" w:rsidRPr="00896E89" w:rsidRDefault="00896E89" w:rsidP="00896E89">
      <w:pPr>
        <w:pStyle w:val="Nueve"/>
        <w:jc w:val="center"/>
        <w:rPr>
          <w:rFonts w:ascii="Times New Roman" w:hAnsi="Times New Roman" w:cs="Times New Roman"/>
          <w:b/>
        </w:rPr>
      </w:pPr>
      <w:r w:rsidRPr="00896E89">
        <w:rPr>
          <w:rFonts w:ascii="Times New Roman" w:hAnsi="Times New Roman" w:cs="Times New Roman"/>
          <w:b/>
        </w:rPr>
        <w:lastRenderedPageBreak/>
        <w:t xml:space="preserve">TEXTO PROPUESTO PARA PRIMER DEBATE </w:t>
      </w:r>
    </w:p>
    <w:p w14:paraId="420D2F28" w14:textId="77777777" w:rsidR="00896E89" w:rsidRPr="00896E89" w:rsidRDefault="00896E89" w:rsidP="00896E89">
      <w:pPr>
        <w:jc w:val="both"/>
        <w:rPr>
          <w:rFonts w:ascii="Times New Roman" w:hAnsi="Times New Roman" w:cs="Times New Roman"/>
          <w:b/>
          <w:sz w:val="24"/>
          <w:szCs w:val="24"/>
          <w:lang w:val="es-CO"/>
        </w:rPr>
      </w:pPr>
    </w:p>
    <w:p w14:paraId="6E301F04" w14:textId="77777777" w:rsidR="00287595" w:rsidRPr="00896E89" w:rsidRDefault="00287595" w:rsidP="00287595">
      <w:pPr>
        <w:jc w:val="center"/>
        <w:rPr>
          <w:rFonts w:ascii="Times New Roman" w:hAnsi="Times New Roman" w:cs="Times New Roman"/>
          <w:b/>
          <w:sz w:val="24"/>
          <w:szCs w:val="24"/>
        </w:rPr>
      </w:pPr>
      <w:r w:rsidRPr="00896E89">
        <w:rPr>
          <w:rFonts w:ascii="Times New Roman" w:hAnsi="Times New Roman" w:cs="Times New Roman"/>
          <w:b/>
          <w:sz w:val="24"/>
          <w:szCs w:val="24"/>
        </w:rPr>
        <w:t>Proyecto de Acto Legislativo 287 de 2020 Cámara acumulado con el Proyecto de Acto Legislativo 01 de 2020 Senado “Por el cual se modifican los artículos 45 y 65 de la Constitución Política estableciendo el derecho fundamental a la alimentación</w:t>
      </w:r>
      <w:r>
        <w:rPr>
          <w:rFonts w:ascii="Times New Roman" w:hAnsi="Times New Roman" w:cs="Times New Roman"/>
          <w:b/>
          <w:sz w:val="24"/>
          <w:szCs w:val="24"/>
        </w:rPr>
        <w:t xml:space="preserve"> y nutrición adecuada,</w:t>
      </w:r>
      <w:r w:rsidRPr="00896E89">
        <w:rPr>
          <w:rFonts w:ascii="Times New Roman" w:hAnsi="Times New Roman" w:cs="Times New Roman"/>
          <w:b/>
          <w:sz w:val="24"/>
          <w:szCs w:val="24"/>
        </w:rPr>
        <w:t xml:space="preserve"> y a no padecer hambre”</w:t>
      </w:r>
    </w:p>
    <w:p w14:paraId="664112BB" w14:textId="6978747C" w:rsidR="00896E89" w:rsidRPr="00896E89" w:rsidRDefault="00896E89" w:rsidP="00896E89">
      <w:pPr>
        <w:jc w:val="center"/>
        <w:rPr>
          <w:rFonts w:ascii="Times New Roman" w:hAnsi="Times New Roman" w:cs="Times New Roman"/>
          <w:b/>
          <w:sz w:val="24"/>
          <w:szCs w:val="24"/>
        </w:rPr>
      </w:pPr>
    </w:p>
    <w:p w14:paraId="6D85EDB2" w14:textId="77777777" w:rsidR="00896E89" w:rsidRPr="00896E89" w:rsidRDefault="00896E89" w:rsidP="00896E89">
      <w:pPr>
        <w:pStyle w:val="NormalWeb"/>
        <w:spacing w:before="0" w:beforeAutospacing="0" w:after="0" w:afterAutospacing="0"/>
        <w:jc w:val="center"/>
        <w:rPr>
          <w:b/>
          <w:bCs/>
        </w:rPr>
      </w:pPr>
      <w:r w:rsidRPr="00896E89">
        <w:rPr>
          <w:b/>
          <w:bCs/>
        </w:rPr>
        <w:t>El Congreso de la República</w:t>
      </w:r>
    </w:p>
    <w:p w14:paraId="45FCC977" w14:textId="77777777" w:rsidR="00896E89" w:rsidRPr="00896E89" w:rsidRDefault="00896E89" w:rsidP="00896E89">
      <w:pPr>
        <w:pStyle w:val="NormalWeb"/>
        <w:spacing w:before="0" w:beforeAutospacing="0" w:after="0" w:afterAutospacing="0"/>
        <w:jc w:val="center"/>
        <w:rPr>
          <w:b/>
          <w:bCs/>
        </w:rPr>
      </w:pPr>
    </w:p>
    <w:p w14:paraId="0DC9A131" w14:textId="77777777" w:rsidR="00896E89" w:rsidRPr="00896E89" w:rsidRDefault="00896E89" w:rsidP="00896E89">
      <w:pPr>
        <w:pStyle w:val="NormalWeb"/>
        <w:spacing w:before="0" w:beforeAutospacing="0" w:after="0" w:afterAutospacing="0"/>
        <w:jc w:val="center"/>
        <w:rPr>
          <w:b/>
          <w:bCs/>
        </w:rPr>
      </w:pPr>
      <w:r w:rsidRPr="00896E89">
        <w:rPr>
          <w:b/>
          <w:bCs/>
        </w:rPr>
        <w:t>DECRETA:</w:t>
      </w:r>
    </w:p>
    <w:p w14:paraId="4D19B01C" w14:textId="3816865C" w:rsidR="00896E89" w:rsidRPr="00896E89" w:rsidRDefault="00896E89" w:rsidP="00896E89">
      <w:pPr>
        <w:jc w:val="center"/>
        <w:rPr>
          <w:rFonts w:ascii="Times New Roman" w:hAnsi="Times New Roman" w:cs="Times New Roman"/>
          <w:b/>
          <w:sz w:val="24"/>
          <w:szCs w:val="24"/>
          <w:lang w:val="es-CO"/>
        </w:rPr>
      </w:pPr>
    </w:p>
    <w:p w14:paraId="788DBECA" w14:textId="77777777" w:rsidR="00896E89" w:rsidRPr="00896E89" w:rsidRDefault="00896E89" w:rsidP="00896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jc w:val="both"/>
        <w:textAlignment w:val="center"/>
        <w:rPr>
          <w:rFonts w:ascii="Times New Roman" w:hAnsi="Times New Roman" w:cs="Times New Roman"/>
          <w:b/>
          <w:sz w:val="24"/>
          <w:szCs w:val="24"/>
        </w:rPr>
      </w:pPr>
      <w:r w:rsidRPr="00896E89">
        <w:rPr>
          <w:rFonts w:ascii="Times New Roman" w:hAnsi="Times New Roman" w:cs="Times New Roman"/>
          <w:b/>
          <w:sz w:val="24"/>
          <w:szCs w:val="24"/>
        </w:rPr>
        <w:t xml:space="preserve">Artículo 1°. </w:t>
      </w:r>
      <w:r w:rsidRPr="00896E89">
        <w:rPr>
          <w:rFonts w:ascii="Times New Roman" w:hAnsi="Times New Roman" w:cs="Times New Roman"/>
          <w:sz w:val="24"/>
          <w:szCs w:val="24"/>
        </w:rPr>
        <w:t>Modifíquese el artículo 45 de la Constitución Política, el cual quedará así:</w:t>
      </w:r>
    </w:p>
    <w:p w14:paraId="70DD52B3" w14:textId="77777777" w:rsidR="00896E89" w:rsidRPr="00896E89" w:rsidRDefault="00896E89" w:rsidP="00896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jc w:val="both"/>
        <w:textAlignment w:val="center"/>
        <w:rPr>
          <w:rFonts w:ascii="Times New Roman" w:hAnsi="Times New Roman" w:cs="Times New Roman"/>
          <w:b/>
          <w:sz w:val="24"/>
          <w:szCs w:val="24"/>
        </w:rPr>
      </w:pPr>
    </w:p>
    <w:p w14:paraId="76378175" w14:textId="77777777" w:rsidR="00896E89" w:rsidRPr="00896E89" w:rsidRDefault="00896E89" w:rsidP="00896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ind w:left="709" w:right="709"/>
        <w:jc w:val="both"/>
        <w:textAlignment w:val="center"/>
        <w:rPr>
          <w:rFonts w:ascii="Times New Roman" w:hAnsi="Times New Roman" w:cs="Times New Roman"/>
          <w:bCs/>
          <w:sz w:val="24"/>
          <w:szCs w:val="24"/>
        </w:rPr>
      </w:pPr>
      <w:r w:rsidRPr="00896E89">
        <w:rPr>
          <w:rFonts w:ascii="Times New Roman" w:hAnsi="Times New Roman" w:cs="Times New Roman"/>
          <w:b/>
          <w:bCs/>
          <w:sz w:val="24"/>
          <w:szCs w:val="24"/>
        </w:rPr>
        <w:t>Artículo 45.</w:t>
      </w:r>
      <w:r w:rsidRPr="00896E89">
        <w:rPr>
          <w:rFonts w:ascii="Times New Roman" w:hAnsi="Times New Roman" w:cs="Times New Roman"/>
          <w:b/>
          <w:bCs/>
          <w:i/>
          <w:iCs/>
          <w:sz w:val="24"/>
          <w:szCs w:val="24"/>
        </w:rPr>
        <w:t xml:space="preserve"> </w:t>
      </w:r>
      <w:r w:rsidRPr="00896E89">
        <w:rPr>
          <w:rFonts w:ascii="Times New Roman" w:hAnsi="Times New Roman" w:cs="Times New Roman"/>
          <w:bCs/>
          <w:sz w:val="24"/>
          <w:szCs w:val="24"/>
        </w:rPr>
        <w:t>El adolescente tiene derecho a la protección y a la formación integral</w:t>
      </w:r>
      <w:r w:rsidRPr="00896E89">
        <w:rPr>
          <w:rFonts w:ascii="Times New Roman" w:hAnsi="Times New Roman" w:cs="Times New Roman"/>
          <w:b/>
          <w:sz w:val="24"/>
          <w:szCs w:val="24"/>
        </w:rPr>
        <w:t xml:space="preserve">, </w:t>
      </w:r>
      <w:r w:rsidRPr="00896E89">
        <w:rPr>
          <w:rFonts w:ascii="Times New Roman" w:hAnsi="Times New Roman" w:cs="Times New Roman"/>
          <w:b/>
          <w:sz w:val="24"/>
          <w:szCs w:val="24"/>
          <w:u w:val="single"/>
        </w:rPr>
        <w:t>así como a recibir una alimentación adecuada y acorde a las necesidades nutricionales para su correcto desarrollo.</w:t>
      </w:r>
    </w:p>
    <w:p w14:paraId="0868E0B2" w14:textId="77777777" w:rsidR="00896E89" w:rsidRPr="00896E89" w:rsidRDefault="00896E89" w:rsidP="00896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ind w:left="709" w:right="709"/>
        <w:jc w:val="both"/>
        <w:textAlignment w:val="center"/>
        <w:rPr>
          <w:rFonts w:ascii="Times New Roman" w:hAnsi="Times New Roman" w:cs="Times New Roman"/>
          <w:bCs/>
          <w:sz w:val="24"/>
          <w:szCs w:val="24"/>
        </w:rPr>
      </w:pPr>
    </w:p>
    <w:p w14:paraId="10A6D227" w14:textId="4A6E66C1" w:rsidR="00896E89" w:rsidRPr="00896E89" w:rsidRDefault="00896E89" w:rsidP="00896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ind w:left="709" w:right="709"/>
        <w:jc w:val="both"/>
        <w:textAlignment w:val="center"/>
        <w:rPr>
          <w:rFonts w:ascii="Times New Roman" w:hAnsi="Times New Roman" w:cs="Times New Roman"/>
          <w:bCs/>
          <w:sz w:val="24"/>
          <w:szCs w:val="24"/>
        </w:rPr>
      </w:pPr>
      <w:r w:rsidRPr="00896E89">
        <w:rPr>
          <w:rFonts w:ascii="Times New Roman" w:hAnsi="Times New Roman" w:cs="Times New Roman"/>
          <w:bCs/>
          <w:sz w:val="24"/>
          <w:szCs w:val="24"/>
        </w:rPr>
        <w:t>El Estado y la sociedad garantizan la participación activa de los jóvenes en los organismos públicos y privados que tengan a cargo la protección, educación y progreso de la juventud.</w:t>
      </w:r>
    </w:p>
    <w:p w14:paraId="1DE1BFF4" w14:textId="77777777" w:rsidR="00896E89" w:rsidRPr="00896E89" w:rsidRDefault="00896E89" w:rsidP="00896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jc w:val="both"/>
        <w:textAlignment w:val="center"/>
        <w:rPr>
          <w:rFonts w:ascii="Times New Roman" w:hAnsi="Times New Roman" w:cs="Times New Roman"/>
          <w:b/>
          <w:sz w:val="24"/>
          <w:szCs w:val="24"/>
        </w:rPr>
      </w:pPr>
    </w:p>
    <w:p w14:paraId="7BB2E29C" w14:textId="003F1F77" w:rsidR="00896E89" w:rsidRPr="00896E89" w:rsidRDefault="00896E89" w:rsidP="00896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jc w:val="both"/>
        <w:textAlignment w:val="center"/>
        <w:rPr>
          <w:rFonts w:ascii="Times New Roman" w:hAnsi="Times New Roman" w:cs="Times New Roman"/>
          <w:sz w:val="24"/>
          <w:szCs w:val="24"/>
        </w:rPr>
      </w:pPr>
      <w:r w:rsidRPr="00896E89">
        <w:rPr>
          <w:rFonts w:ascii="Times New Roman" w:hAnsi="Times New Roman" w:cs="Times New Roman"/>
          <w:b/>
          <w:sz w:val="24"/>
          <w:szCs w:val="24"/>
        </w:rPr>
        <w:t>Artículo 2°.</w:t>
      </w:r>
      <w:r w:rsidRPr="00896E89">
        <w:rPr>
          <w:rFonts w:ascii="Times New Roman" w:hAnsi="Times New Roman" w:cs="Times New Roman"/>
          <w:sz w:val="24"/>
          <w:szCs w:val="24"/>
        </w:rPr>
        <w:t xml:space="preserve"> Modifíquese el artículo 65 de la Constitución Política, el cual quedará así:</w:t>
      </w:r>
    </w:p>
    <w:p w14:paraId="18AC6599" w14:textId="77777777" w:rsidR="00896E89" w:rsidRPr="00896E89" w:rsidRDefault="00896E89" w:rsidP="00896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jc w:val="both"/>
        <w:textAlignment w:val="center"/>
        <w:rPr>
          <w:rFonts w:ascii="Times New Roman" w:hAnsi="Times New Roman" w:cs="Times New Roman"/>
          <w:sz w:val="24"/>
          <w:szCs w:val="24"/>
        </w:rPr>
      </w:pPr>
    </w:p>
    <w:p w14:paraId="28C259DA" w14:textId="77777777" w:rsidR="00896E89" w:rsidRPr="00896E89" w:rsidRDefault="00896E89" w:rsidP="00896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ind w:left="709" w:right="709"/>
        <w:jc w:val="both"/>
        <w:textAlignment w:val="center"/>
        <w:rPr>
          <w:rFonts w:ascii="Times New Roman" w:hAnsi="Times New Roman" w:cs="Times New Roman"/>
          <w:b/>
          <w:sz w:val="24"/>
          <w:szCs w:val="24"/>
          <w:u w:val="single"/>
        </w:rPr>
      </w:pPr>
      <w:r w:rsidRPr="00896E89">
        <w:rPr>
          <w:rFonts w:ascii="Times New Roman" w:hAnsi="Times New Roman" w:cs="Times New Roman"/>
          <w:b/>
          <w:iCs/>
          <w:sz w:val="24"/>
          <w:szCs w:val="24"/>
        </w:rPr>
        <w:t>Artículo 65.</w:t>
      </w:r>
      <w:r w:rsidRPr="00896E89">
        <w:rPr>
          <w:rFonts w:ascii="Times New Roman" w:hAnsi="Times New Roman" w:cs="Times New Roman"/>
          <w:sz w:val="24"/>
          <w:szCs w:val="24"/>
        </w:rPr>
        <w:t xml:space="preserve"> </w:t>
      </w:r>
      <w:r w:rsidRPr="00896E89">
        <w:rPr>
          <w:rFonts w:ascii="Times New Roman" w:hAnsi="Times New Roman" w:cs="Times New Roman"/>
          <w:b/>
          <w:sz w:val="24"/>
          <w:szCs w:val="24"/>
          <w:u w:val="single"/>
        </w:rPr>
        <w:t>Toda persona goza del derecho a la alimentación y nutrición adecuada, y a no padecer hambre. El Estado garantizará estos derechos y promoverá condiciones de seguridad alimentaria y soberanía alimentaria en el territorio nacional.</w:t>
      </w:r>
    </w:p>
    <w:p w14:paraId="42FDCDAC" w14:textId="77777777" w:rsidR="00896E89" w:rsidRPr="00896E89" w:rsidRDefault="00896E89" w:rsidP="00896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ind w:right="709"/>
        <w:jc w:val="both"/>
        <w:textAlignment w:val="center"/>
        <w:rPr>
          <w:rFonts w:ascii="Times New Roman" w:hAnsi="Times New Roman" w:cs="Times New Roman"/>
          <w:sz w:val="24"/>
          <w:szCs w:val="24"/>
        </w:rPr>
      </w:pPr>
    </w:p>
    <w:p w14:paraId="1DC81248" w14:textId="77777777" w:rsidR="00896E89" w:rsidRPr="00896E89" w:rsidRDefault="00896E89" w:rsidP="00896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ind w:left="709" w:right="709"/>
        <w:jc w:val="both"/>
        <w:textAlignment w:val="center"/>
        <w:rPr>
          <w:rFonts w:ascii="Times New Roman" w:hAnsi="Times New Roman" w:cs="Times New Roman"/>
          <w:sz w:val="24"/>
          <w:szCs w:val="24"/>
        </w:rPr>
      </w:pPr>
      <w:r w:rsidRPr="00896E89">
        <w:rPr>
          <w:rFonts w:ascii="Times New Roman" w:hAnsi="Times New Roman" w:cs="Times New Roman"/>
          <w:sz w:val="24"/>
          <w:szCs w:val="24"/>
        </w:rPr>
        <w:t>La producción de alimentos gozará de la especial protección del Estado. Para tal efecto, se otorgará prioridad al desarrollo integral de las actividades agrícolas, pecuarias, pesqueras, forestales y agroindustriales, así como también a la construcción de obras de infraestructura física y adecuación de tierras.</w:t>
      </w:r>
    </w:p>
    <w:p w14:paraId="1F7222FC" w14:textId="77777777" w:rsidR="00896E89" w:rsidRPr="00896E89" w:rsidRDefault="00896E89" w:rsidP="00896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ind w:left="709" w:right="709"/>
        <w:jc w:val="both"/>
        <w:textAlignment w:val="center"/>
        <w:rPr>
          <w:rFonts w:ascii="Times New Roman" w:hAnsi="Times New Roman" w:cs="Times New Roman"/>
          <w:sz w:val="24"/>
          <w:szCs w:val="24"/>
        </w:rPr>
      </w:pPr>
    </w:p>
    <w:p w14:paraId="78B4D451" w14:textId="77777777" w:rsidR="00896E89" w:rsidRPr="00896E89" w:rsidRDefault="00896E89" w:rsidP="00896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ind w:left="709" w:right="709"/>
        <w:textAlignment w:val="center"/>
        <w:rPr>
          <w:rFonts w:ascii="Times New Roman" w:hAnsi="Times New Roman" w:cs="Times New Roman"/>
          <w:b/>
          <w:sz w:val="24"/>
          <w:szCs w:val="24"/>
          <w:u w:val="single"/>
        </w:rPr>
      </w:pPr>
      <w:r w:rsidRPr="00896E89">
        <w:rPr>
          <w:rFonts w:ascii="Times New Roman" w:hAnsi="Times New Roman" w:cs="Times New Roman"/>
          <w:sz w:val="24"/>
          <w:szCs w:val="24"/>
        </w:rPr>
        <w:t>De igual manera, el Estado promoverá la investigación y la transferencia de tecnología para la producción de alimentos y materias primas de origen agropecuario, con el propósito de incrementar la productividad.</w:t>
      </w:r>
      <w:r w:rsidRPr="00896E89">
        <w:rPr>
          <w:rFonts w:ascii="Times New Roman" w:hAnsi="Times New Roman" w:cs="Times New Roman"/>
          <w:b/>
          <w:sz w:val="24"/>
          <w:szCs w:val="24"/>
          <w:u w:val="single"/>
        </w:rPr>
        <w:t xml:space="preserve"> </w:t>
      </w:r>
    </w:p>
    <w:p w14:paraId="4C421F29" w14:textId="77777777" w:rsidR="00896E89" w:rsidRPr="00896E89" w:rsidRDefault="00896E89" w:rsidP="00896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ind w:left="709" w:right="709"/>
        <w:textAlignment w:val="center"/>
        <w:rPr>
          <w:rFonts w:ascii="Times New Roman" w:hAnsi="Times New Roman" w:cs="Times New Roman"/>
          <w:b/>
          <w:sz w:val="24"/>
          <w:szCs w:val="24"/>
          <w:u w:val="single"/>
        </w:rPr>
      </w:pPr>
    </w:p>
    <w:p w14:paraId="532D5B73" w14:textId="389941D6" w:rsidR="00896E89" w:rsidRPr="00896E89" w:rsidRDefault="00896E89" w:rsidP="00896E89">
      <w:pPr>
        <w:jc w:val="both"/>
        <w:rPr>
          <w:rFonts w:ascii="Times New Roman" w:hAnsi="Times New Roman" w:cs="Times New Roman"/>
          <w:b/>
          <w:sz w:val="24"/>
          <w:szCs w:val="24"/>
          <w:u w:val="single"/>
        </w:rPr>
      </w:pPr>
      <w:r w:rsidRPr="00896E89">
        <w:rPr>
          <w:rFonts w:ascii="Times New Roman" w:hAnsi="Times New Roman" w:cs="Times New Roman"/>
          <w:b/>
          <w:sz w:val="24"/>
          <w:szCs w:val="24"/>
          <w:u w:val="single"/>
        </w:rPr>
        <w:t>La parte general del Plan Nacional de Desarrollo deberá incluir un capítulo en el que se especifiquen las acciones que adelantará el Gobierno nacional, en coordinación con los demás órganos del Estado, para materializar lo establecido en este artículo.</w:t>
      </w:r>
    </w:p>
    <w:p w14:paraId="6A7F89C7" w14:textId="39D58BBB" w:rsidR="00896E89" w:rsidRPr="00896E89" w:rsidRDefault="00896E89" w:rsidP="00896E89">
      <w:pPr>
        <w:jc w:val="both"/>
        <w:rPr>
          <w:rFonts w:ascii="Times New Roman" w:hAnsi="Times New Roman" w:cs="Times New Roman"/>
          <w:b/>
          <w:sz w:val="24"/>
          <w:szCs w:val="24"/>
          <w:u w:val="single"/>
        </w:rPr>
      </w:pPr>
    </w:p>
    <w:p w14:paraId="50F351C1" w14:textId="77777777" w:rsidR="00896E89" w:rsidRPr="00896E89" w:rsidRDefault="00896E89" w:rsidP="00896E89">
      <w:pPr>
        <w:jc w:val="both"/>
        <w:rPr>
          <w:rFonts w:ascii="Times New Roman" w:hAnsi="Times New Roman" w:cs="Times New Roman"/>
          <w:b/>
          <w:sz w:val="24"/>
          <w:szCs w:val="24"/>
          <w:u w:val="single"/>
        </w:rPr>
      </w:pPr>
      <w:r w:rsidRPr="00896E89">
        <w:rPr>
          <w:rFonts w:ascii="Times New Roman" w:hAnsi="Times New Roman" w:cs="Times New Roman"/>
          <w:b/>
          <w:sz w:val="24"/>
          <w:szCs w:val="24"/>
        </w:rPr>
        <w:lastRenderedPageBreak/>
        <w:t>Artículo 3°</w:t>
      </w:r>
      <w:r w:rsidRPr="00896E89">
        <w:rPr>
          <w:rFonts w:ascii="Times New Roman" w:hAnsi="Times New Roman" w:cs="Times New Roman"/>
          <w:sz w:val="24"/>
          <w:szCs w:val="24"/>
        </w:rPr>
        <w:t>. Luego de la promulgación de este acto legislativo, el Congreso de la República tendrá hasta un (1) año para aprobar la ley estatutaria que desarrolle este derecho.</w:t>
      </w:r>
      <w:r w:rsidRPr="00896E89">
        <w:rPr>
          <w:rFonts w:ascii="Times New Roman" w:hAnsi="Times New Roman" w:cs="Times New Roman"/>
          <w:b/>
          <w:sz w:val="24"/>
          <w:szCs w:val="24"/>
          <w:u w:val="single"/>
        </w:rPr>
        <w:t xml:space="preserve">  </w:t>
      </w:r>
    </w:p>
    <w:p w14:paraId="505E691D" w14:textId="13F57145" w:rsidR="00896E89" w:rsidRPr="00896E89" w:rsidRDefault="00896E89" w:rsidP="00896E89">
      <w:pPr>
        <w:jc w:val="both"/>
        <w:rPr>
          <w:rFonts w:ascii="Times New Roman" w:hAnsi="Times New Roman" w:cs="Times New Roman"/>
          <w:b/>
          <w:sz w:val="24"/>
          <w:szCs w:val="24"/>
        </w:rPr>
      </w:pPr>
    </w:p>
    <w:p w14:paraId="4A072B66" w14:textId="7C7B7386" w:rsidR="00896E89" w:rsidRDefault="00896E89" w:rsidP="00896E89">
      <w:pPr>
        <w:jc w:val="both"/>
        <w:rPr>
          <w:rFonts w:ascii="Times New Roman" w:hAnsi="Times New Roman" w:cs="Times New Roman"/>
          <w:sz w:val="24"/>
          <w:szCs w:val="24"/>
        </w:rPr>
      </w:pPr>
      <w:r w:rsidRPr="00896E89">
        <w:rPr>
          <w:rFonts w:ascii="Times New Roman" w:hAnsi="Times New Roman" w:cs="Times New Roman"/>
          <w:b/>
          <w:sz w:val="24"/>
          <w:szCs w:val="24"/>
        </w:rPr>
        <w:t>Artículo 4°. Vigencia.</w:t>
      </w:r>
      <w:r w:rsidRPr="00896E89">
        <w:rPr>
          <w:rFonts w:ascii="Times New Roman" w:hAnsi="Times New Roman" w:cs="Times New Roman"/>
          <w:sz w:val="24"/>
          <w:szCs w:val="24"/>
        </w:rPr>
        <w:t xml:space="preserve"> El presente Acto Legislativo rige a partir de su promulgación y deroga todas las normas que le sean contrarias.</w:t>
      </w:r>
    </w:p>
    <w:p w14:paraId="270BCE79" w14:textId="0AFCB5ED" w:rsidR="00E21CA0" w:rsidRDefault="00E21CA0" w:rsidP="00896E89">
      <w:pPr>
        <w:jc w:val="both"/>
        <w:rPr>
          <w:rFonts w:ascii="Times New Roman" w:hAnsi="Times New Roman" w:cs="Times New Roman"/>
          <w:sz w:val="24"/>
          <w:szCs w:val="24"/>
        </w:rPr>
      </w:pPr>
    </w:p>
    <w:p w14:paraId="621B02B8" w14:textId="77777777" w:rsidR="00E21CA0" w:rsidRPr="00E21CA0" w:rsidRDefault="00E21CA0" w:rsidP="00E21CA0">
      <w:pPr>
        <w:jc w:val="both"/>
        <w:rPr>
          <w:rFonts w:ascii="Times New Roman" w:eastAsia="Calibri" w:hAnsi="Times New Roman" w:cs="Times New Roman"/>
          <w:sz w:val="24"/>
          <w:szCs w:val="24"/>
        </w:rPr>
      </w:pPr>
      <w:r w:rsidRPr="001B22F0">
        <w:rPr>
          <w:rFonts w:ascii="Times New Roman" w:eastAsia="Calibri" w:hAnsi="Times New Roman" w:cs="Times New Roman"/>
          <w:sz w:val="24"/>
          <w:szCs w:val="24"/>
        </w:rPr>
        <w:t xml:space="preserve">Cordialmente, </w:t>
      </w:r>
    </w:p>
    <w:bookmarkEnd w:id="0"/>
    <w:tbl>
      <w:tblPr>
        <w:tblStyle w:val="Tablaconcuadrcula"/>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394"/>
      </w:tblGrid>
      <w:tr w:rsidR="000D069B" w:rsidRPr="003F74A9" w14:paraId="7D69DA0E" w14:textId="77777777" w:rsidTr="008B50A5">
        <w:tc>
          <w:tcPr>
            <w:tcW w:w="4815" w:type="dxa"/>
          </w:tcPr>
          <w:p w14:paraId="691B4F70" w14:textId="77777777" w:rsidR="000D069B" w:rsidRPr="003F74A9" w:rsidRDefault="000D069B" w:rsidP="008B50A5">
            <w:pPr>
              <w:jc w:val="center"/>
              <w:rPr>
                <w:rFonts w:ascii="Times New Roman" w:eastAsia="Calibri" w:hAnsi="Times New Roman" w:cs="Times New Roman"/>
                <w:sz w:val="20"/>
                <w:szCs w:val="20"/>
              </w:rPr>
            </w:pPr>
          </w:p>
        </w:tc>
        <w:tc>
          <w:tcPr>
            <w:tcW w:w="4394" w:type="dxa"/>
          </w:tcPr>
          <w:p w14:paraId="57C360EA" w14:textId="77777777" w:rsidR="000D069B" w:rsidRPr="003F74A9" w:rsidRDefault="000D069B" w:rsidP="008B50A5">
            <w:pPr>
              <w:jc w:val="center"/>
              <w:rPr>
                <w:rFonts w:ascii="Times New Roman" w:eastAsia="Calibri" w:hAnsi="Times New Roman" w:cs="Times New Roman"/>
                <w:sz w:val="20"/>
                <w:szCs w:val="20"/>
              </w:rPr>
            </w:pPr>
          </w:p>
        </w:tc>
      </w:tr>
      <w:tr w:rsidR="000D069B" w:rsidRPr="003F74A9" w14:paraId="6A1932DE" w14:textId="77777777" w:rsidTr="008B50A5">
        <w:tc>
          <w:tcPr>
            <w:tcW w:w="4815" w:type="dxa"/>
          </w:tcPr>
          <w:p w14:paraId="60DF3E40" w14:textId="77777777" w:rsidR="000D069B" w:rsidRPr="003F74A9" w:rsidRDefault="000D069B" w:rsidP="008B50A5">
            <w:pPr>
              <w:jc w:val="center"/>
              <w:rPr>
                <w:rFonts w:ascii="Times New Roman" w:eastAsia="Calibri" w:hAnsi="Times New Roman" w:cs="Times New Roman"/>
                <w:b/>
                <w:sz w:val="20"/>
                <w:szCs w:val="20"/>
              </w:rPr>
            </w:pPr>
            <w:r w:rsidRPr="003F74A9">
              <w:rPr>
                <w:rFonts w:ascii="Times New Roman" w:hAnsi="Times New Roman" w:cs="Times New Roman"/>
                <w:b/>
                <w:sz w:val="20"/>
                <w:szCs w:val="20"/>
              </w:rPr>
              <w:t>JULIÁN PEINADO RAMÍREZ</w:t>
            </w:r>
          </w:p>
        </w:tc>
        <w:tc>
          <w:tcPr>
            <w:tcW w:w="4394" w:type="dxa"/>
          </w:tcPr>
          <w:p w14:paraId="6F63FE21" w14:textId="77777777" w:rsidR="000D069B" w:rsidRPr="003F74A9" w:rsidRDefault="000D069B" w:rsidP="008B50A5">
            <w:pPr>
              <w:jc w:val="center"/>
              <w:rPr>
                <w:rFonts w:ascii="Times New Roman" w:eastAsia="Calibri" w:hAnsi="Times New Roman" w:cs="Times New Roman"/>
                <w:b/>
                <w:sz w:val="20"/>
                <w:szCs w:val="20"/>
              </w:rPr>
            </w:pPr>
            <w:r w:rsidRPr="003F74A9">
              <w:rPr>
                <w:rFonts w:ascii="Times New Roman" w:hAnsi="Times New Roman" w:cs="Times New Roman"/>
                <w:b/>
                <w:sz w:val="20"/>
                <w:szCs w:val="20"/>
              </w:rPr>
              <w:t>CESAR AUGUSTO LORDUY MALDONADO</w:t>
            </w:r>
          </w:p>
        </w:tc>
      </w:tr>
      <w:tr w:rsidR="000D069B" w:rsidRPr="003F74A9" w14:paraId="4ECA5E29" w14:textId="77777777" w:rsidTr="008B50A5">
        <w:tc>
          <w:tcPr>
            <w:tcW w:w="4815" w:type="dxa"/>
          </w:tcPr>
          <w:p w14:paraId="63C16AA7" w14:textId="77777777" w:rsidR="000D069B" w:rsidRPr="003F74A9" w:rsidRDefault="000D069B" w:rsidP="008B50A5">
            <w:pPr>
              <w:jc w:val="center"/>
              <w:rPr>
                <w:rFonts w:ascii="Times New Roman" w:eastAsia="Calibri" w:hAnsi="Times New Roman" w:cs="Times New Roman"/>
                <w:sz w:val="20"/>
                <w:szCs w:val="20"/>
              </w:rPr>
            </w:pPr>
            <w:r w:rsidRPr="003F74A9">
              <w:rPr>
                <w:rFonts w:ascii="Times New Roman" w:eastAsia="Calibri" w:hAnsi="Times New Roman" w:cs="Times New Roman"/>
                <w:sz w:val="20"/>
                <w:szCs w:val="20"/>
              </w:rPr>
              <w:t xml:space="preserve">Coordinador Ponente </w:t>
            </w:r>
          </w:p>
        </w:tc>
        <w:tc>
          <w:tcPr>
            <w:tcW w:w="4394" w:type="dxa"/>
          </w:tcPr>
          <w:p w14:paraId="0E257A1D" w14:textId="77777777" w:rsidR="000D069B" w:rsidRPr="003F74A9" w:rsidRDefault="000D069B" w:rsidP="008B50A5">
            <w:pPr>
              <w:jc w:val="center"/>
              <w:rPr>
                <w:rFonts w:ascii="Times New Roman" w:eastAsia="Calibri" w:hAnsi="Times New Roman" w:cs="Times New Roman"/>
                <w:b/>
                <w:sz w:val="20"/>
                <w:szCs w:val="20"/>
              </w:rPr>
            </w:pPr>
            <w:r w:rsidRPr="003F74A9">
              <w:rPr>
                <w:rFonts w:ascii="Times New Roman" w:eastAsia="Calibri" w:hAnsi="Times New Roman" w:cs="Times New Roman"/>
                <w:sz w:val="20"/>
                <w:szCs w:val="20"/>
              </w:rPr>
              <w:t>Ponente</w:t>
            </w:r>
          </w:p>
        </w:tc>
      </w:tr>
      <w:tr w:rsidR="000D069B" w:rsidRPr="003F74A9" w14:paraId="20A50A11" w14:textId="77777777" w:rsidTr="008B50A5">
        <w:tc>
          <w:tcPr>
            <w:tcW w:w="4815" w:type="dxa"/>
          </w:tcPr>
          <w:p w14:paraId="448B2A81" w14:textId="77777777" w:rsidR="000D069B" w:rsidRPr="003F74A9" w:rsidRDefault="000D069B" w:rsidP="008B50A5">
            <w:pPr>
              <w:jc w:val="center"/>
              <w:rPr>
                <w:rFonts w:ascii="Times New Roman" w:eastAsia="Calibri" w:hAnsi="Times New Roman" w:cs="Times New Roman"/>
                <w:b/>
                <w:sz w:val="20"/>
                <w:szCs w:val="20"/>
              </w:rPr>
            </w:pPr>
          </w:p>
        </w:tc>
        <w:tc>
          <w:tcPr>
            <w:tcW w:w="4394" w:type="dxa"/>
          </w:tcPr>
          <w:p w14:paraId="29EA6803" w14:textId="77777777" w:rsidR="000D069B" w:rsidRPr="003F74A9" w:rsidRDefault="000D069B" w:rsidP="008B50A5">
            <w:pPr>
              <w:jc w:val="center"/>
              <w:rPr>
                <w:rFonts w:ascii="Times New Roman" w:eastAsia="Calibri" w:hAnsi="Times New Roman" w:cs="Times New Roman"/>
                <w:b/>
                <w:sz w:val="20"/>
                <w:szCs w:val="20"/>
              </w:rPr>
            </w:pPr>
          </w:p>
        </w:tc>
      </w:tr>
      <w:tr w:rsidR="000D069B" w:rsidRPr="003F74A9" w14:paraId="7BB126D8" w14:textId="77777777" w:rsidTr="008B50A5">
        <w:tc>
          <w:tcPr>
            <w:tcW w:w="4815" w:type="dxa"/>
          </w:tcPr>
          <w:p w14:paraId="767FF2E2" w14:textId="77777777" w:rsidR="000D069B" w:rsidRPr="003F74A9" w:rsidRDefault="000D069B" w:rsidP="008B50A5">
            <w:pPr>
              <w:jc w:val="center"/>
              <w:rPr>
                <w:rFonts w:ascii="Times New Roman" w:eastAsia="Calibri" w:hAnsi="Times New Roman" w:cs="Times New Roman"/>
                <w:b/>
                <w:sz w:val="20"/>
                <w:szCs w:val="20"/>
              </w:rPr>
            </w:pPr>
            <w:r w:rsidRPr="003F74A9">
              <w:rPr>
                <w:rFonts w:ascii="Times New Roman" w:hAnsi="Times New Roman" w:cs="Times New Roman"/>
                <w:b/>
                <w:sz w:val="20"/>
                <w:szCs w:val="20"/>
              </w:rPr>
              <w:t>ALFREDO RAFAEL DELUQUE ZULETA</w:t>
            </w:r>
          </w:p>
        </w:tc>
        <w:tc>
          <w:tcPr>
            <w:tcW w:w="4394" w:type="dxa"/>
          </w:tcPr>
          <w:p w14:paraId="2595B799" w14:textId="77777777" w:rsidR="000D069B" w:rsidRPr="003F74A9" w:rsidRDefault="000D069B" w:rsidP="008B50A5">
            <w:pPr>
              <w:jc w:val="center"/>
              <w:rPr>
                <w:rFonts w:ascii="Times New Roman" w:eastAsia="Calibri" w:hAnsi="Times New Roman" w:cs="Times New Roman"/>
                <w:b/>
                <w:sz w:val="20"/>
                <w:szCs w:val="20"/>
              </w:rPr>
            </w:pPr>
            <w:r w:rsidRPr="003F74A9">
              <w:rPr>
                <w:rFonts w:ascii="Times New Roman" w:hAnsi="Times New Roman" w:cs="Times New Roman"/>
                <w:b/>
                <w:sz w:val="20"/>
                <w:szCs w:val="20"/>
              </w:rPr>
              <w:t xml:space="preserve">BUENAVENTURA LEÓN </w:t>
            </w:r>
            <w:proofErr w:type="spellStart"/>
            <w:r w:rsidRPr="003F74A9">
              <w:rPr>
                <w:rFonts w:ascii="Times New Roman" w:hAnsi="Times New Roman" w:cs="Times New Roman"/>
                <w:b/>
                <w:sz w:val="20"/>
                <w:szCs w:val="20"/>
              </w:rPr>
              <w:t>LEÓN</w:t>
            </w:r>
            <w:proofErr w:type="spellEnd"/>
          </w:p>
        </w:tc>
      </w:tr>
      <w:tr w:rsidR="000D069B" w:rsidRPr="003F74A9" w14:paraId="4DDE5CD5" w14:textId="77777777" w:rsidTr="008B50A5">
        <w:tc>
          <w:tcPr>
            <w:tcW w:w="4815" w:type="dxa"/>
          </w:tcPr>
          <w:p w14:paraId="562C2A7F" w14:textId="77777777" w:rsidR="000D069B" w:rsidRPr="003F74A9" w:rsidRDefault="000D069B" w:rsidP="008B50A5">
            <w:pPr>
              <w:jc w:val="center"/>
              <w:rPr>
                <w:rFonts w:ascii="Times New Roman" w:eastAsia="Calibri" w:hAnsi="Times New Roman" w:cs="Times New Roman"/>
                <w:b/>
                <w:sz w:val="20"/>
                <w:szCs w:val="20"/>
              </w:rPr>
            </w:pPr>
            <w:r w:rsidRPr="003F74A9">
              <w:rPr>
                <w:rFonts w:ascii="Times New Roman" w:eastAsia="Calibri" w:hAnsi="Times New Roman" w:cs="Times New Roman"/>
                <w:sz w:val="20"/>
                <w:szCs w:val="20"/>
              </w:rPr>
              <w:t>Ponente</w:t>
            </w:r>
          </w:p>
        </w:tc>
        <w:tc>
          <w:tcPr>
            <w:tcW w:w="4394" w:type="dxa"/>
          </w:tcPr>
          <w:p w14:paraId="7767380E" w14:textId="77777777" w:rsidR="000D069B" w:rsidRPr="003F74A9" w:rsidRDefault="000D069B" w:rsidP="008B50A5">
            <w:pPr>
              <w:jc w:val="center"/>
              <w:rPr>
                <w:rFonts w:ascii="Times New Roman" w:eastAsia="Calibri" w:hAnsi="Times New Roman" w:cs="Times New Roman"/>
                <w:b/>
                <w:sz w:val="20"/>
                <w:szCs w:val="20"/>
              </w:rPr>
            </w:pPr>
            <w:r w:rsidRPr="003F74A9">
              <w:rPr>
                <w:rFonts w:ascii="Times New Roman" w:eastAsia="Calibri" w:hAnsi="Times New Roman" w:cs="Times New Roman"/>
                <w:sz w:val="20"/>
                <w:szCs w:val="20"/>
              </w:rPr>
              <w:t>Ponente</w:t>
            </w:r>
          </w:p>
        </w:tc>
      </w:tr>
      <w:tr w:rsidR="000D069B" w:rsidRPr="003F74A9" w14:paraId="54308E78" w14:textId="77777777" w:rsidTr="008B50A5">
        <w:tc>
          <w:tcPr>
            <w:tcW w:w="4815" w:type="dxa"/>
          </w:tcPr>
          <w:p w14:paraId="669C3902" w14:textId="77777777" w:rsidR="000D069B" w:rsidRPr="003F74A9" w:rsidRDefault="000D069B" w:rsidP="008B50A5">
            <w:pPr>
              <w:jc w:val="center"/>
              <w:rPr>
                <w:rFonts w:ascii="Times New Roman" w:eastAsia="Calibri" w:hAnsi="Times New Roman" w:cs="Times New Roman"/>
                <w:b/>
                <w:sz w:val="20"/>
                <w:szCs w:val="20"/>
              </w:rPr>
            </w:pPr>
          </w:p>
        </w:tc>
        <w:tc>
          <w:tcPr>
            <w:tcW w:w="4394" w:type="dxa"/>
          </w:tcPr>
          <w:p w14:paraId="1243F592" w14:textId="77777777" w:rsidR="000D069B" w:rsidRPr="003F74A9" w:rsidRDefault="000D069B" w:rsidP="008B50A5">
            <w:pPr>
              <w:jc w:val="center"/>
              <w:rPr>
                <w:rFonts w:ascii="Times New Roman" w:eastAsia="Calibri" w:hAnsi="Times New Roman" w:cs="Times New Roman"/>
                <w:b/>
                <w:sz w:val="20"/>
                <w:szCs w:val="20"/>
              </w:rPr>
            </w:pPr>
          </w:p>
        </w:tc>
      </w:tr>
      <w:tr w:rsidR="000D069B" w:rsidRPr="003F74A9" w14:paraId="25B5D41F" w14:textId="77777777" w:rsidTr="008B50A5">
        <w:tc>
          <w:tcPr>
            <w:tcW w:w="4815" w:type="dxa"/>
          </w:tcPr>
          <w:p w14:paraId="65D686C8" w14:textId="77777777" w:rsidR="000D069B" w:rsidRPr="003F74A9" w:rsidRDefault="000D069B" w:rsidP="008B50A5">
            <w:pPr>
              <w:jc w:val="center"/>
              <w:rPr>
                <w:rFonts w:ascii="Times New Roman" w:eastAsia="Calibri" w:hAnsi="Times New Roman" w:cs="Times New Roman"/>
                <w:b/>
                <w:sz w:val="20"/>
                <w:szCs w:val="20"/>
              </w:rPr>
            </w:pPr>
            <w:r w:rsidRPr="003F74A9">
              <w:rPr>
                <w:rFonts w:ascii="Times New Roman" w:hAnsi="Times New Roman" w:cs="Times New Roman"/>
                <w:b/>
                <w:sz w:val="20"/>
                <w:szCs w:val="20"/>
              </w:rPr>
              <w:t>MARGARITA MARÍA RESTREPO ARANGO</w:t>
            </w:r>
          </w:p>
        </w:tc>
        <w:tc>
          <w:tcPr>
            <w:tcW w:w="4394" w:type="dxa"/>
          </w:tcPr>
          <w:p w14:paraId="71FD83CA" w14:textId="77777777" w:rsidR="000D069B" w:rsidRPr="003F74A9" w:rsidRDefault="000D069B" w:rsidP="008B50A5">
            <w:pPr>
              <w:jc w:val="center"/>
              <w:rPr>
                <w:rFonts w:ascii="Times New Roman" w:eastAsia="Calibri" w:hAnsi="Times New Roman" w:cs="Times New Roman"/>
                <w:b/>
                <w:sz w:val="20"/>
                <w:szCs w:val="20"/>
              </w:rPr>
            </w:pPr>
            <w:r w:rsidRPr="003F74A9">
              <w:rPr>
                <w:rFonts w:ascii="Times New Roman" w:hAnsi="Times New Roman" w:cs="Times New Roman"/>
                <w:b/>
                <w:sz w:val="20"/>
                <w:szCs w:val="20"/>
              </w:rPr>
              <w:t>CARLOS GERMAN NAVAS TALERO</w:t>
            </w:r>
          </w:p>
        </w:tc>
      </w:tr>
      <w:tr w:rsidR="000D069B" w:rsidRPr="003F74A9" w14:paraId="668F2766" w14:textId="77777777" w:rsidTr="008B50A5">
        <w:tc>
          <w:tcPr>
            <w:tcW w:w="4815" w:type="dxa"/>
          </w:tcPr>
          <w:p w14:paraId="4B9766ED" w14:textId="77777777" w:rsidR="000D069B" w:rsidRPr="003F74A9" w:rsidRDefault="000D069B" w:rsidP="008B50A5">
            <w:pPr>
              <w:jc w:val="center"/>
              <w:rPr>
                <w:rFonts w:ascii="Times New Roman" w:eastAsia="Calibri" w:hAnsi="Times New Roman" w:cs="Times New Roman"/>
                <w:b/>
                <w:sz w:val="20"/>
                <w:szCs w:val="20"/>
              </w:rPr>
            </w:pPr>
            <w:r w:rsidRPr="003F74A9">
              <w:rPr>
                <w:rFonts w:ascii="Times New Roman" w:eastAsia="Calibri" w:hAnsi="Times New Roman" w:cs="Times New Roman"/>
                <w:sz w:val="20"/>
                <w:szCs w:val="20"/>
              </w:rPr>
              <w:t>Ponente</w:t>
            </w:r>
          </w:p>
        </w:tc>
        <w:tc>
          <w:tcPr>
            <w:tcW w:w="4394" w:type="dxa"/>
          </w:tcPr>
          <w:p w14:paraId="0A547EBF" w14:textId="77777777" w:rsidR="000D069B" w:rsidRPr="003F74A9" w:rsidRDefault="000D069B" w:rsidP="008B50A5">
            <w:pPr>
              <w:jc w:val="center"/>
              <w:rPr>
                <w:rFonts w:ascii="Times New Roman" w:eastAsia="Calibri" w:hAnsi="Times New Roman" w:cs="Times New Roman"/>
                <w:b/>
                <w:sz w:val="20"/>
                <w:szCs w:val="20"/>
              </w:rPr>
            </w:pPr>
            <w:r w:rsidRPr="003F74A9">
              <w:rPr>
                <w:rFonts w:ascii="Times New Roman" w:eastAsia="Calibri" w:hAnsi="Times New Roman" w:cs="Times New Roman"/>
                <w:sz w:val="20"/>
                <w:szCs w:val="20"/>
              </w:rPr>
              <w:t>Ponente</w:t>
            </w:r>
          </w:p>
        </w:tc>
      </w:tr>
      <w:tr w:rsidR="000D069B" w:rsidRPr="003F74A9" w14:paraId="362BBBDC" w14:textId="77777777" w:rsidTr="008B50A5">
        <w:tc>
          <w:tcPr>
            <w:tcW w:w="4815" w:type="dxa"/>
          </w:tcPr>
          <w:p w14:paraId="1CE74EDF" w14:textId="77777777" w:rsidR="000D069B" w:rsidRPr="003F74A9" w:rsidRDefault="000D069B" w:rsidP="008B50A5">
            <w:pPr>
              <w:jc w:val="both"/>
              <w:rPr>
                <w:rFonts w:ascii="Times New Roman" w:eastAsia="Calibri" w:hAnsi="Times New Roman" w:cs="Times New Roman"/>
                <w:sz w:val="20"/>
                <w:szCs w:val="20"/>
              </w:rPr>
            </w:pPr>
          </w:p>
          <w:p w14:paraId="70C97A2E" w14:textId="77777777" w:rsidR="000D069B" w:rsidRPr="003F74A9" w:rsidRDefault="000D069B" w:rsidP="008B50A5">
            <w:pPr>
              <w:jc w:val="both"/>
              <w:rPr>
                <w:rFonts w:ascii="Times New Roman" w:eastAsia="Calibri" w:hAnsi="Times New Roman" w:cs="Times New Roman"/>
                <w:sz w:val="20"/>
                <w:szCs w:val="20"/>
              </w:rPr>
            </w:pPr>
          </w:p>
        </w:tc>
        <w:tc>
          <w:tcPr>
            <w:tcW w:w="4394" w:type="dxa"/>
          </w:tcPr>
          <w:p w14:paraId="7C612740" w14:textId="77777777" w:rsidR="000D069B" w:rsidRPr="003F74A9" w:rsidRDefault="000D069B" w:rsidP="008B50A5">
            <w:pPr>
              <w:jc w:val="both"/>
              <w:rPr>
                <w:rFonts w:ascii="Times New Roman" w:eastAsia="Calibri" w:hAnsi="Times New Roman" w:cs="Times New Roman"/>
                <w:sz w:val="20"/>
                <w:szCs w:val="20"/>
              </w:rPr>
            </w:pPr>
          </w:p>
        </w:tc>
      </w:tr>
      <w:tr w:rsidR="000D069B" w:rsidRPr="003F74A9" w14:paraId="16997FEA" w14:textId="77777777" w:rsidTr="008B50A5">
        <w:tc>
          <w:tcPr>
            <w:tcW w:w="4815" w:type="dxa"/>
          </w:tcPr>
          <w:p w14:paraId="46D2B945" w14:textId="77777777" w:rsidR="000D069B" w:rsidRPr="003F74A9" w:rsidRDefault="000D069B" w:rsidP="008B50A5">
            <w:pPr>
              <w:jc w:val="center"/>
              <w:rPr>
                <w:rFonts w:ascii="Times New Roman" w:eastAsia="Calibri" w:hAnsi="Times New Roman" w:cs="Times New Roman"/>
                <w:b/>
                <w:sz w:val="20"/>
                <w:szCs w:val="20"/>
              </w:rPr>
            </w:pPr>
            <w:r w:rsidRPr="003F74A9">
              <w:rPr>
                <w:rFonts w:ascii="Times New Roman" w:hAnsi="Times New Roman" w:cs="Times New Roman"/>
                <w:b/>
                <w:sz w:val="20"/>
                <w:szCs w:val="20"/>
              </w:rPr>
              <w:t>JUANITA MARÍA GOEBERTUS ESTRADA</w:t>
            </w:r>
          </w:p>
        </w:tc>
        <w:tc>
          <w:tcPr>
            <w:tcW w:w="4394" w:type="dxa"/>
          </w:tcPr>
          <w:p w14:paraId="1D1A5772" w14:textId="77777777" w:rsidR="000D069B" w:rsidRPr="003F74A9" w:rsidRDefault="000D069B" w:rsidP="008B50A5">
            <w:pPr>
              <w:jc w:val="center"/>
              <w:rPr>
                <w:rFonts w:ascii="Times New Roman" w:hAnsi="Times New Roman" w:cs="Times New Roman"/>
                <w:b/>
                <w:sz w:val="20"/>
                <w:szCs w:val="20"/>
              </w:rPr>
            </w:pPr>
            <w:r w:rsidRPr="003F74A9">
              <w:rPr>
                <w:rFonts w:ascii="Times New Roman" w:hAnsi="Times New Roman" w:cs="Times New Roman"/>
                <w:b/>
                <w:sz w:val="20"/>
                <w:szCs w:val="20"/>
              </w:rPr>
              <w:t>LUIS ALBERTO ALBÁN URBANO</w:t>
            </w:r>
          </w:p>
        </w:tc>
      </w:tr>
      <w:tr w:rsidR="000D069B" w:rsidRPr="003F74A9" w14:paraId="739F7AE3" w14:textId="77777777" w:rsidTr="008B50A5">
        <w:tc>
          <w:tcPr>
            <w:tcW w:w="4815" w:type="dxa"/>
          </w:tcPr>
          <w:p w14:paraId="19CD0322" w14:textId="77777777" w:rsidR="000D069B" w:rsidRPr="003F74A9" w:rsidRDefault="000D069B" w:rsidP="008B50A5">
            <w:pPr>
              <w:jc w:val="center"/>
              <w:rPr>
                <w:rFonts w:ascii="Times New Roman" w:eastAsia="Calibri" w:hAnsi="Times New Roman" w:cs="Times New Roman"/>
                <w:sz w:val="20"/>
                <w:szCs w:val="20"/>
              </w:rPr>
            </w:pPr>
            <w:r w:rsidRPr="003F74A9">
              <w:rPr>
                <w:rFonts w:ascii="Times New Roman" w:eastAsia="Calibri" w:hAnsi="Times New Roman" w:cs="Times New Roman"/>
                <w:sz w:val="20"/>
                <w:szCs w:val="20"/>
              </w:rPr>
              <w:t>Ponente</w:t>
            </w:r>
          </w:p>
        </w:tc>
        <w:tc>
          <w:tcPr>
            <w:tcW w:w="4394" w:type="dxa"/>
          </w:tcPr>
          <w:p w14:paraId="68FE01FF" w14:textId="77777777" w:rsidR="000D069B" w:rsidRPr="003F74A9" w:rsidRDefault="000D069B" w:rsidP="008B50A5">
            <w:pPr>
              <w:jc w:val="center"/>
              <w:rPr>
                <w:rFonts w:ascii="Times New Roman" w:eastAsia="Calibri" w:hAnsi="Times New Roman" w:cs="Times New Roman"/>
                <w:sz w:val="20"/>
                <w:szCs w:val="20"/>
              </w:rPr>
            </w:pPr>
            <w:r w:rsidRPr="003F74A9">
              <w:rPr>
                <w:rFonts w:ascii="Times New Roman" w:eastAsia="Calibri" w:hAnsi="Times New Roman" w:cs="Times New Roman"/>
                <w:sz w:val="20"/>
                <w:szCs w:val="20"/>
              </w:rPr>
              <w:t>Ponente</w:t>
            </w:r>
          </w:p>
        </w:tc>
      </w:tr>
      <w:tr w:rsidR="000D069B" w:rsidRPr="003F74A9" w14:paraId="1785C63E" w14:textId="77777777" w:rsidTr="008B50A5">
        <w:tc>
          <w:tcPr>
            <w:tcW w:w="4815" w:type="dxa"/>
          </w:tcPr>
          <w:p w14:paraId="483A3BD8" w14:textId="77777777" w:rsidR="000D069B" w:rsidRPr="003F74A9" w:rsidRDefault="000D069B" w:rsidP="008B50A5">
            <w:pPr>
              <w:jc w:val="center"/>
              <w:rPr>
                <w:rFonts w:ascii="Times New Roman" w:eastAsia="Calibri" w:hAnsi="Times New Roman" w:cs="Times New Roman"/>
                <w:sz w:val="20"/>
                <w:szCs w:val="20"/>
              </w:rPr>
            </w:pPr>
          </w:p>
          <w:p w14:paraId="7D169E2A" w14:textId="77777777" w:rsidR="000D069B" w:rsidRPr="003F74A9" w:rsidRDefault="000D069B" w:rsidP="008B50A5">
            <w:pPr>
              <w:jc w:val="center"/>
              <w:rPr>
                <w:rFonts w:ascii="Times New Roman" w:eastAsia="Calibri" w:hAnsi="Times New Roman" w:cs="Times New Roman"/>
                <w:sz w:val="20"/>
                <w:szCs w:val="20"/>
              </w:rPr>
            </w:pPr>
          </w:p>
        </w:tc>
        <w:tc>
          <w:tcPr>
            <w:tcW w:w="4394" w:type="dxa"/>
          </w:tcPr>
          <w:p w14:paraId="67BEA326" w14:textId="77777777" w:rsidR="000D069B" w:rsidRPr="003F74A9" w:rsidRDefault="000D069B" w:rsidP="008B50A5">
            <w:pPr>
              <w:jc w:val="center"/>
              <w:rPr>
                <w:rFonts w:ascii="Times New Roman" w:eastAsia="Calibri" w:hAnsi="Times New Roman" w:cs="Times New Roman"/>
                <w:sz w:val="20"/>
                <w:szCs w:val="20"/>
              </w:rPr>
            </w:pPr>
          </w:p>
        </w:tc>
      </w:tr>
      <w:tr w:rsidR="000D069B" w:rsidRPr="003F74A9" w14:paraId="1428FA90" w14:textId="77777777" w:rsidTr="008B50A5">
        <w:tc>
          <w:tcPr>
            <w:tcW w:w="4815" w:type="dxa"/>
          </w:tcPr>
          <w:p w14:paraId="0212FF69" w14:textId="77777777" w:rsidR="000D069B" w:rsidRPr="003F74A9" w:rsidRDefault="000D069B" w:rsidP="008B50A5">
            <w:pPr>
              <w:jc w:val="center"/>
              <w:rPr>
                <w:rFonts w:ascii="Times New Roman" w:eastAsia="Calibri" w:hAnsi="Times New Roman" w:cs="Times New Roman"/>
                <w:b/>
                <w:sz w:val="20"/>
                <w:szCs w:val="20"/>
              </w:rPr>
            </w:pPr>
            <w:r w:rsidRPr="003F74A9">
              <w:rPr>
                <w:rFonts w:ascii="Times New Roman" w:hAnsi="Times New Roman" w:cs="Times New Roman"/>
                <w:b/>
                <w:sz w:val="20"/>
                <w:szCs w:val="20"/>
              </w:rPr>
              <w:t>ÁNGELA MARÍA ROBLEDO GÓMEZ</w:t>
            </w:r>
          </w:p>
        </w:tc>
        <w:tc>
          <w:tcPr>
            <w:tcW w:w="4394" w:type="dxa"/>
          </w:tcPr>
          <w:p w14:paraId="2DDD0C2E" w14:textId="77777777" w:rsidR="000D069B" w:rsidRPr="003F74A9" w:rsidRDefault="000D069B" w:rsidP="008B50A5">
            <w:pPr>
              <w:jc w:val="center"/>
              <w:rPr>
                <w:rFonts w:ascii="Times New Roman" w:eastAsia="Calibri" w:hAnsi="Times New Roman" w:cs="Times New Roman"/>
                <w:b/>
                <w:sz w:val="20"/>
                <w:szCs w:val="20"/>
              </w:rPr>
            </w:pPr>
          </w:p>
        </w:tc>
      </w:tr>
      <w:tr w:rsidR="000D069B" w:rsidRPr="003F74A9" w14:paraId="14171E36" w14:textId="77777777" w:rsidTr="008B50A5">
        <w:tc>
          <w:tcPr>
            <w:tcW w:w="4815" w:type="dxa"/>
          </w:tcPr>
          <w:p w14:paraId="03211320" w14:textId="77777777" w:rsidR="000D069B" w:rsidRPr="003F74A9" w:rsidRDefault="000D069B" w:rsidP="008B50A5">
            <w:pPr>
              <w:jc w:val="center"/>
              <w:rPr>
                <w:rFonts w:ascii="Times New Roman" w:hAnsi="Times New Roman" w:cs="Times New Roman"/>
                <w:b/>
                <w:sz w:val="20"/>
                <w:szCs w:val="20"/>
              </w:rPr>
            </w:pPr>
            <w:r w:rsidRPr="003F74A9">
              <w:rPr>
                <w:rFonts w:ascii="Times New Roman" w:eastAsia="Calibri" w:hAnsi="Times New Roman" w:cs="Times New Roman"/>
                <w:sz w:val="20"/>
                <w:szCs w:val="20"/>
              </w:rPr>
              <w:t>Ponente</w:t>
            </w:r>
          </w:p>
        </w:tc>
        <w:tc>
          <w:tcPr>
            <w:tcW w:w="4394" w:type="dxa"/>
          </w:tcPr>
          <w:p w14:paraId="26E75791" w14:textId="77777777" w:rsidR="000D069B" w:rsidRPr="003F74A9" w:rsidRDefault="000D069B" w:rsidP="008B50A5">
            <w:pPr>
              <w:jc w:val="center"/>
              <w:rPr>
                <w:rFonts w:ascii="Times New Roman" w:eastAsia="Calibri" w:hAnsi="Times New Roman" w:cs="Times New Roman"/>
                <w:sz w:val="20"/>
                <w:szCs w:val="20"/>
              </w:rPr>
            </w:pPr>
          </w:p>
        </w:tc>
      </w:tr>
    </w:tbl>
    <w:p w14:paraId="1BDC00E5" w14:textId="77777777" w:rsidR="00E21CA0" w:rsidRPr="00896E89" w:rsidRDefault="00E21CA0" w:rsidP="00896E89">
      <w:pPr>
        <w:jc w:val="both"/>
        <w:rPr>
          <w:rFonts w:ascii="Times New Roman" w:hAnsi="Times New Roman" w:cs="Times New Roman"/>
          <w:b/>
          <w:sz w:val="24"/>
          <w:szCs w:val="24"/>
        </w:rPr>
      </w:pPr>
    </w:p>
    <w:sectPr w:rsidR="00E21CA0" w:rsidRPr="00896E89" w:rsidSect="00FE6A05">
      <w:headerReference w:type="default" r:id="rId10"/>
      <w:footerReference w:type="default" r:id="rId11"/>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43693" w14:textId="77777777" w:rsidR="00712857" w:rsidRDefault="00712857" w:rsidP="00574EA9">
      <w:r>
        <w:separator/>
      </w:r>
    </w:p>
  </w:endnote>
  <w:endnote w:type="continuationSeparator" w:id="0">
    <w:p w14:paraId="79FC51DF" w14:textId="77777777" w:rsidR="00712857" w:rsidRDefault="00712857" w:rsidP="0057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62DCE" w14:textId="1A5D5FDE" w:rsidR="003F74A9" w:rsidRPr="003F74A9" w:rsidRDefault="003F74A9" w:rsidP="003F74A9">
    <w:pPr>
      <w:pStyle w:val="Piedepgina"/>
      <w:jc w:val="center"/>
      <w:rPr>
        <w:sz w:val="16"/>
        <w:szCs w:val="16"/>
        <w:lang w:val="es-CO"/>
      </w:rPr>
    </w:pPr>
    <w:r w:rsidRPr="003F74A9">
      <w:rPr>
        <w:sz w:val="16"/>
        <w:szCs w:val="16"/>
        <w:lang w:val="es-CO"/>
      </w:rPr>
      <w:t>Ponencia Primer Debate Proyecto de Acto Legislativo 287 de 2020 Cámara “Por el cual se modifican los artículos 45 y 65 de la Constitución Política estableciendo el derecho fundamental a la alimentación y a no padecer hambre”, acumulado con el Proyecto de Acto Legislativo 01 de 2020 Senado “Por el cual se modifica el artículo 65 de la Constitución Política de 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B1F8B" w14:textId="77777777" w:rsidR="00712857" w:rsidRDefault="00712857" w:rsidP="00574EA9">
      <w:r>
        <w:separator/>
      </w:r>
    </w:p>
  </w:footnote>
  <w:footnote w:type="continuationSeparator" w:id="0">
    <w:p w14:paraId="69FACAC3" w14:textId="77777777" w:rsidR="00712857" w:rsidRDefault="00712857" w:rsidP="00574EA9">
      <w:r>
        <w:continuationSeparator/>
      </w:r>
    </w:p>
  </w:footnote>
  <w:footnote w:id="1">
    <w:p w14:paraId="4A480705" w14:textId="77777777" w:rsidR="00FE6A05" w:rsidRPr="00A1389D" w:rsidRDefault="00FE6A05" w:rsidP="002A028C">
      <w:pPr>
        <w:pStyle w:val="Textonotapie"/>
        <w:jc w:val="both"/>
        <w:rPr>
          <w:lang w:val="en-US"/>
        </w:rPr>
      </w:pPr>
      <w:r>
        <w:rPr>
          <w:rStyle w:val="Refdenotaalpie"/>
        </w:rPr>
        <w:footnoteRef/>
      </w:r>
      <w:r w:rsidRPr="00A1389D">
        <w:rPr>
          <w:lang w:val="en-US"/>
        </w:rPr>
        <w:t xml:space="preserve"> </w:t>
      </w:r>
      <w:r w:rsidRPr="00523701">
        <w:rPr>
          <w:rFonts w:ascii="Arial" w:hAnsi="Arial" w:cs="Arial"/>
          <w:lang w:val="en-US"/>
        </w:rPr>
        <w:t>Global Network Against Food C</w:t>
      </w:r>
      <w:r>
        <w:rPr>
          <w:rFonts w:ascii="Arial" w:hAnsi="Arial" w:cs="Arial"/>
          <w:lang w:val="en-US"/>
        </w:rPr>
        <w:t xml:space="preserve">rises &amp; Food Security Information Netwotk. </w:t>
      </w:r>
      <w:r w:rsidRPr="00A1389D">
        <w:rPr>
          <w:rFonts w:ascii="Arial" w:hAnsi="Arial" w:cs="Arial"/>
        </w:rPr>
        <w:t>(</w:t>
      </w:r>
      <w:r>
        <w:rPr>
          <w:rFonts w:ascii="Arial" w:hAnsi="Arial" w:cs="Arial"/>
        </w:rPr>
        <w:t xml:space="preserve">21 de abril de </w:t>
      </w:r>
      <w:r w:rsidRPr="00A1389D">
        <w:rPr>
          <w:rFonts w:ascii="Arial" w:hAnsi="Arial" w:cs="Arial"/>
        </w:rPr>
        <w:t>2020). El Informe mundial sobre las crisis alimentarias revela su magnitud, mientras la COVID-19 plantea nuevas amenazas para los países vulnerables.</w:t>
      </w:r>
      <w:r>
        <w:rPr>
          <w:rFonts w:ascii="Arial" w:hAnsi="Arial" w:cs="Arial"/>
        </w:rPr>
        <w:t xml:space="preserve"> </w:t>
      </w:r>
      <w:r w:rsidRPr="00A1389D">
        <w:rPr>
          <w:rFonts w:ascii="Arial" w:hAnsi="Arial" w:cs="Arial"/>
          <w:lang w:val="en-US"/>
        </w:rPr>
        <w:t>Disponi</w:t>
      </w:r>
      <w:r>
        <w:rPr>
          <w:rFonts w:ascii="Arial" w:hAnsi="Arial" w:cs="Arial"/>
          <w:lang w:val="en-US"/>
        </w:rPr>
        <w:t xml:space="preserve">ble en: </w:t>
      </w:r>
      <w:hyperlink r:id="rId1" w:history="1">
        <w:r w:rsidRPr="00DC676C">
          <w:rPr>
            <w:rStyle w:val="Hipervnculo"/>
            <w:rFonts w:ascii="Arial" w:hAnsi="Arial" w:cs="Arial"/>
            <w:lang w:val="en-US"/>
          </w:rPr>
          <w:t>http://www.fao.org/news/story/es/item/1271897/icode/</w:t>
        </w:r>
      </w:hyperlink>
    </w:p>
  </w:footnote>
  <w:footnote w:id="2">
    <w:p w14:paraId="48422854" w14:textId="77777777" w:rsidR="00FE6A05" w:rsidRPr="00DC676C" w:rsidRDefault="00FE6A05" w:rsidP="002A028C">
      <w:pPr>
        <w:pStyle w:val="Textonotapie"/>
        <w:jc w:val="both"/>
      </w:pPr>
      <w:r>
        <w:rPr>
          <w:rStyle w:val="Refdenotaalpie"/>
        </w:rPr>
        <w:footnoteRef/>
      </w:r>
      <w:r w:rsidRPr="00523701">
        <w:rPr>
          <w:lang w:val="en-US"/>
        </w:rPr>
        <w:t xml:space="preserve"> </w:t>
      </w:r>
      <w:r w:rsidRPr="00523701">
        <w:rPr>
          <w:rFonts w:ascii="Arial" w:hAnsi="Arial" w:cs="Arial"/>
          <w:lang w:val="en-US"/>
        </w:rPr>
        <w:t>Global Network Against Food C</w:t>
      </w:r>
      <w:r>
        <w:rPr>
          <w:rFonts w:ascii="Arial" w:hAnsi="Arial" w:cs="Arial"/>
          <w:lang w:val="en-US"/>
        </w:rPr>
        <w:t xml:space="preserve">rises &amp; Food Security Information Netwotk. </w:t>
      </w:r>
      <w:r w:rsidRPr="00DC676C">
        <w:rPr>
          <w:rFonts w:ascii="Arial" w:hAnsi="Arial" w:cs="Arial"/>
        </w:rPr>
        <w:t>(2020). The Global Report on Food Crises 2020. Disponible en: https://www.fsinplatform.org/sites/default/files/resources/files/GRFC_2020_ONLINE_200420.pdf</w:t>
      </w:r>
    </w:p>
  </w:footnote>
  <w:footnote w:id="3">
    <w:p w14:paraId="2D11EC5E" w14:textId="77777777" w:rsidR="00FE6A05" w:rsidRPr="007639A2" w:rsidRDefault="00FE6A05" w:rsidP="002A028C">
      <w:pPr>
        <w:pStyle w:val="Textonotapie"/>
        <w:jc w:val="both"/>
        <w:rPr>
          <w:rFonts w:ascii="Arial" w:hAnsi="Arial" w:cs="Arial"/>
        </w:rPr>
      </w:pPr>
      <w:r w:rsidRPr="007639A2">
        <w:rPr>
          <w:rStyle w:val="Refdenotaalpie"/>
          <w:rFonts w:ascii="Arial" w:hAnsi="Arial" w:cs="Arial"/>
        </w:rPr>
        <w:footnoteRef/>
      </w:r>
      <w:r w:rsidRPr="007639A2">
        <w:rPr>
          <w:rFonts w:ascii="Arial" w:hAnsi="Arial" w:cs="Arial"/>
        </w:rPr>
        <w:t xml:space="preserve"> FAO. El estado de la seguridad alimentaria y la nutrición en el mundo. Protegerse frente a la desaceleración y el debilitamiento de la economía. 2019. Disponible en: </w:t>
      </w:r>
      <w:hyperlink r:id="rId2" w:history="1">
        <w:r w:rsidRPr="007639A2">
          <w:rPr>
            <w:rStyle w:val="Hipervnculo"/>
            <w:rFonts w:ascii="Arial" w:hAnsi="Arial" w:cs="Arial"/>
          </w:rPr>
          <w:t>http://www.fao.org/3/ca5162es/ca5162es.pdf</w:t>
        </w:r>
      </w:hyperlink>
    </w:p>
  </w:footnote>
  <w:footnote w:id="4">
    <w:p w14:paraId="23A5A16D" w14:textId="77777777" w:rsidR="00FE6A05" w:rsidRPr="007639A2" w:rsidRDefault="00FE6A05" w:rsidP="002A028C">
      <w:pPr>
        <w:pStyle w:val="Textonotapie"/>
        <w:jc w:val="both"/>
        <w:rPr>
          <w:rFonts w:ascii="Arial" w:hAnsi="Arial" w:cs="Arial"/>
        </w:rPr>
      </w:pPr>
      <w:r w:rsidRPr="007639A2">
        <w:rPr>
          <w:rStyle w:val="Refdenotaalpie"/>
          <w:rFonts w:ascii="Arial" w:hAnsi="Arial" w:cs="Arial"/>
        </w:rPr>
        <w:footnoteRef/>
      </w:r>
      <w:r w:rsidRPr="007639A2">
        <w:rPr>
          <w:rFonts w:ascii="Arial" w:hAnsi="Arial" w:cs="Arial"/>
        </w:rPr>
        <w:t xml:space="preserve"> Instituto Colombiano de Bienestar Familiar, Instituto Nacional de Salud y Universidad Nacional de Colombia. Encuesta Nacional de Situación Nutricional. Bogotá, 2015.</w:t>
      </w:r>
    </w:p>
  </w:footnote>
  <w:footnote w:id="5">
    <w:p w14:paraId="242E8CD2" w14:textId="77777777" w:rsidR="00FE6A05" w:rsidRPr="007639A2" w:rsidRDefault="00FE6A05" w:rsidP="002A028C">
      <w:pPr>
        <w:pStyle w:val="Textonotapie"/>
        <w:jc w:val="both"/>
        <w:rPr>
          <w:rFonts w:ascii="Arial" w:hAnsi="Arial" w:cs="Arial"/>
        </w:rPr>
      </w:pPr>
      <w:r w:rsidRPr="007639A2">
        <w:rPr>
          <w:rStyle w:val="Refdenotaalpie"/>
          <w:rFonts w:ascii="Arial" w:hAnsi="Arial" w:cs="Arial"/>
        </w:rPr>
        <w:footnoteRef/>
      </w:r>
      <w:r w:rsidRPr="007639A2">
        <w:rPr>
          <w:rFonts w:ascii="Arial" w:hAnsi="Arial" w:cs="Arial"/>
        </w:rPr>
        <w:t xml:space="preserve"> Ver: Velasco Cano, N., &amp; Llano, J. V. (2016). Derechos fundamentales: Un debate desde la argumentación jurídica, el garantismo y el comunitarismo. </w:t>
      </w:r>
      <w:r w:rsidRPr="007639A2">
        <w:rPr>
          <w:rFonts w:ascii="Arial" w:hAnsi="Arial" w:cs="Arial"/>
          <w:i/>
          <w:iCs/>
        </w:rPr>
        <w:t>Novum Jus: Revista Especializada en Sociología Jurídica y Política; Vol. 10, no. 2 (jul.-dic. 2016); p. 35-55</w:t>
      </w:r>
      <w:r w:rsidRPr="007639A2">
        <w:rPr>
          <w:rFonts w:ascii="Arial" w:hAnsi="Arial" w:cs="Arial"/>
        </w:rPr>
        <w:t>.</w:t>
      </w:r>
    </w:p>
  </w:footnote>
  <w:footnote w:id="6">
    <w:p w14:paraId="28DD0CF0" w14:textId="77777777" w:rsidR="00FE6A05" w:rsidRPr="007639A2" w:rsidRDefault="00FE6A05" w:rsidP="002A028C">
      <w:pPr>
        <w:pStyle w:val="NormalWeb"/>
        <w:spacing w:before="0" w:beforeAutospacing="0" w:after="0" w:afterAutospacing="0"/>
        <w:jc w:val="both"/>
        <w:rPr>
          <w:rFonts w:ascii="Arial" w:hAnsi="Arial" w:cs="Arial"/>
          <w:sz w:val="20"/>
          <w:szCs w:val="20"/>
        </w:rPr>
      </w:pPr>
      <w:r w:rsidRPr="007639A2">
        <w:rPr>
          <w:rStyle w:val="Refdenotaalpie"/>
          <w:rFonts w:ascii="Arial" w:eastAsia="Century Gothic" w:hAnsi="Arial" w:cs="Arial"/>
          <w:sz w:val="20"/>
          <w:szCs w:val="20"/>
        </w:rPr>
        <w:footnoteRef/>
      </w:r>
      <w:r w:rsidRPr="007639A2">
        <w:rPr>
          <w:rFonts w:ascii="Arial" w:hAnsi="Arial" w:cs="Arial"/>
          <w:sz w:val="20"/>
          <w:szCs w:val="20"/>
        </w:rPr>
        <w:t xml:space="preserve"> Ver: Gacetas del Congreso </w:t>
      </w:r>
      <w:hyperlink r:id="rId3" w:tgtFrame="_blank" w:tooltip="Descargar Gaceta" w:history="1">
        <w:r w:rsidRPr="007639A2">
          <w:rPr>
            <w:rStyle w:val="Hipervnculo"/>
            <w:rFonts w:ascii="Arial" w:eastAsiaTheme="majorEastAsia" w:hAnsi="Arial" w:cs="Arial"/>
            <w:sz w:val="20"/>
            <w:szCs w:val="20"/>
          </w:rPr>
          <w:t>199/12</w:t>
        </w:r>
      </w:hyperlink>
      <w:r w:rsidRPr="007639A2">
        <w:rPr>
          <w:rFonts w:ascii="Arial" w:hAnsi="Arial" w:cs="Arial"/>
          <w:sz w:val="20"/>
          <w:szCs w:val="20"/>
        </w:rPr>
        <w:t>,</w:t>
      </w:r>
      <w:hyperlink r:id="rId4" w:tgtFrame="_blank" w:tooltip="Buscar Gaceta" w:history="1">
        <w:r w:rsidRPr="007639A2">
          <w:rPr>
            <w:rStyle w:val="Hipervnculo"/>
            <w:rFonts w:ascii="Arial" w:eastAsiaTheme="majorEastAsia" w:hAnsi="Arial" w:cs="Arial"/>
            <w:sz w:val="20"/>
            <w:szCs w:val="20"/>
          </w:rPr>
          <w:t>254/12</w:t>
        </w:r>
      </w:hyperlink>
      <w:r w:rsidRPr="007639A2">
        <w:rPr>
          <w:rFonts w:ascii="Arial" w:hAnsi="Arial" w:cs="Arial"/>
          <w:sz w:val="20"/>
          <w:szCs w:val="20"/>
        </w:rPr>
        <w:t xml:space="preserve">, </w:t>
      </w:r>
      <w:hyperlink r:id="rId5" w:tgtFrame="_blank" w:tooltip="Buscar Gaceta" w:history="1">
        <w:r w:rsidRPr="007639A2">
          <w:rPr>
            <w:rStyle w:val="Hipervnculo"/>
            <w:rFonts w:ascii="Arial" w:eastAsiaTheme="majorEastAsia" w:hAnsi="Arial" w:cs="Arial"/>
            <w:sz w:val="20"/>
            <w:szCs w:val="20"/>
          </w:rPr>
          <w:t>45/12, 199/12</w:t>
        </w:r>
      </w:hyperlink>
      <w:r w:rsidRPr="007639A2">
        <w:rPr>
          <w:rFonts w:ascii="Arial" w:hAnsi="Arial" w:cs="Arial"/>
          <w:sz w:val="20"/>
          <w:szCs w:val="20"/>
        </w:rPr>
        <w:t xml:space="preserve">, </w:t>
      </w:r>
      <w:hyperlink r:id="rId6" w:tgtFrame="_blank" w:tooltip="Buscar Gaceta" w:history="1">
        <w:r w:rsidRPr="007639A2">
          <w:rPr>
            <w:rStyle w:val="Hipervnculo"/>
            <w:rFonts w:ascii="Arial" w:eastAsiaTheme="majorEastAsia" w:hAnsi="Arial" w:cs="Arial"/>
            <w:sz w:val="20"/>
            <w:szCs w:val="20"/>
          </w:rPr>
          <w:t>997/11, 63/12, 145/12</w:t>
        </w:r>
      </w:hyperlink>
      <w:r w:rsidRPr="007639A2">
        <w:rPr>
          <w:rFonts w:ascii="Arial" w:hAnsi="Arial" w:cs="Arial"/>
          <w:sz w:val="20"/>
          <w:szCs w:val="20"/>
        </w:rPr>
        <w:t xml:space="preserve">, </w:t>
      </w:r>
      <w:hyperlink r:id="rId7" w:tgtFrame="_blank" w:tooltip="Descargar Gaceta" w:history="1">
        <w:r w:rsidRPr="007639A2">
          <w:rPr>
            <w:rStyle w:val="Hipervnculo"/>
            <w:rFonts w:ascii="Arial" w:eastAsiaTheme="majorEastAsia" w:hAnsi="Arial" w:cs="Arial"/>
            <w:sz w:val="20"/>
            <w:szCs w:val="20"/>
          </w:rPr>
          <w:t>958/11</w:t>
        </w:r>
      </w:hyperlink>
      <w:r w:rsidRPr="007639A2">
        <w:rPr>
          <w:rFonts w:ascii="Arial" w:hAnsi="Arial" w:cs="Arial"/>
          <w:sz w:val="20"/>
          <w:szCs w:val="20"/>
        </w:rPr>
        <w:t xml:space="preserve">, </w:t>
      </w:r>
      <w:hyperlink r:id="rId8" w:tgtFrame="_blank" w:tooltip="Buscar Gaceta" w:history="1">
        <w:r w:rsidRPr="007639A2">
          <w:rPr>
            <w:rStyle w:val="Hipervnculo"/>
            <w:rFonts w:ascii="Arial" w:eastAsiaTheme="majorEastAsia" w:hAnsi="Arial" w:cs="Arial"/>
            <w:sz w:val="20"/>
            <w:szCs w:val="20"/>
          </w:rPr>
          <w:t>, 60/12</w:t>
        </w:r>
      </w:hyperlink>
      <w:r w:rsidRPr="007639A2">
        <w:rPr>
          <w:rFonts w:ascii="Arial" w:hAnsi="Arial" w:cs="Arial"/>
          <w:sz w:val="20"/>
          <w:szCs w:val="20"/>
        </w:rPr>
        <w:t>,</w:t>
      </w:r>
      <w:hyperlink r:id="rId9" w:tgtFrame="_blank" w:tooltip="Buscar Gaceta" w:history="1">
        <w:r w:rsidRPr="007639A2">
          <w:rPr>
            <w:rStyle w:val="Hipervnculo"/>
            <w:rFonts w:ascii="Arial" w:eastAsiaTheme="majorEastAsia" w:hAnsi="Arial" w:cs="Arial"/>
            <w:sz w:val="20"/>
            <w:szCs w:val="20"/>
          </w:rPr>
          <w:t>908/11</w:t>
        </w:r>
      </w:hyperlink>
      <w:r w:rsidRPr="007639A2">
        <w:rPr>
          <w:rFonts w:ascii="Arial" w:hAnsi="Arial" w:cs="Arial"/>
          <w:sz w:val="20"/>
          <w:szCs w:val="20"/>
        </w:rPr>
        <w:t>,</w:t>
      </w:r>
      <w:hyperlink r:id="rId10" w:tgtFrame="_blank" w:tooltip="Buscar Gaceta" w:history="1">
        <w:r w:rsidRPr="007639A2">
          <w:rPr>
            <w:rStyle w:val="Hipervnculo"/>
            <w:rFonts w:ascii="Arial" w:eastAsiaTheme="majorEastAsia" w:hAnsi="Arial" w:cs="Arial"/>
            <w:sz w:val="20"/>
            <w:szCs w:val="20"/>
          </w:rPr>
          <w:t>898/11, 908/11, 1013/11</w:t>
        </w:r>
      </w:hyperlink>
      <w:r w:rsidRPr="007639A2">
        <w:rPr>
          <w:rFonts w:ascii="Arial" w:hAnsi="Arial" w:cs="Arial"/>
          <w:sz w:val="20"/>
          <w:szCs w:val="20"/>
        </w:rPr>
        <w:t xml:space="preserve">, </w:t>
      </w:r>
      <w:hyperlink r:id="rId11" w:tgtFrame="_blank" w:tooltip="Descargar Gaceta" w:history="1">
        <w:r w:rsidRPr="007639A2">
          <w:rPr>
            <w:rStyle w:val="Hipervnculo"/>
            <w:rFonts w:ascii="Arial" w:eastAsiaTheme="majorEastAsia" w:hAnsi="Arial" w:cs="Arial"/>
            <w:sz w:val="20"/>
            <w:szCs w:val="20"/>
          </w:rPr>
          <w:t>814/11</w:t>
        </w:r>
      </w:hyperlink>
      <w:r w:rsidRPr="007639A2">
        <w:rPr>
          <w:rFonts w:ascii="Arial" w:hAnsi="Arial" w:cs="Arial"/>
          <w:sz w:val="20"/>
          <w:szCs w:val="20"/>
        </w:rPr>
        <w:t xml:space="preserve">, </w:t>
      </w:r>
      <w:hyperlink r:id="rId12" w:tgtFrame="_blank" w:tooltip="Buscar Gaceta" w:history="1">
        <w:r w:rsidRPr="007639A2">
          <w:rPr>
            <w:rStyle w:val="Hipervnculo"/>
            <w:rFonts w:ascii="Arial" w:eastAsiaTheme="majorEastAsia" w:hAnsi="Arial" w:cs="Arial"/>
            <w:sz w:val="20"/>
            <w:szCs w:val="20"/>
          </w:rPr>
          <w:t>705/11</w:t>
        </w:r>
      </w:hyperlink>
      <w:r w:rsidRPr="007639A2">
        <w:rPr>
          <w:rFonts w:ascii="Arial" w:hAnsi="Arial" w:cs="Arial"/>
          <w:sz w:val="20"/>
          <w:szCs w:val="20"/>
        </w:rPr>
        <w:t xml:space="preserve">, </w:t>
      </w:r>
      <w:hyperlink r:id="rId13" w:tgtFrame="_blank" w:tooltip="Buscar Gaceta" w:history="1">
        <w:r w:rsidRPr="007639A2">
          <w:rPr>
            <w:rStyle w:val="Hipervnculo"/>
            <w:rFonts w:ascii="Arial" w:eastAsiaTheme="majorEastAsia" w:hAnsi="Arial" w:cs="Arial"/>
            <w:sz w:val="20"/>
            <w:szCs w:val="20"/>
          </w:rPr>
          <w:t>519/11, 585/11</w:t>
        </w:r>
      </w:hyperlink>
    </w:p>
    <w:p w14:paraId="434612F4" w14:textId="77777777" w:rsidR="00FE6A05" w:rsidRPr="007639A2" w:rsidRDefault="00FE6A05" w:rsidP="002A028C">
      <w:pPr>
        <w:pStyle w:val="Textonotapie"/>
        <w:jc w:val="both"/>
        <w:rPr>
          <w:rFonts w:ascii="Arial" w:hAnsi="Arial" w:cs="Arial"/>
        </w:rPr>
      </w:pPr>
    </w:p>
  </w:footnote>
  <w:footnote w:id="7">
    <w:p w14:paraId="73DF3D38" w14:textId="77777777" w:rsidR="00FE6A05" w:rsidRPr="007639A2" w:rsidRDefault="00FE6A05" w:rsidP="002A028C">
      <w:pPr>
        <w:pStyle w:val="Textonotapie"/>
        <w:jc w:val="both"/>
        <w:rPr>
          <w:rStyle w:val="Hipervnculo"/>
          <w:rFonts w:ascii="Arial" w:hAnsi="Arial" w:cs="Arial"/>
        </w:rPr>
      </w:pPr>
      <w:r w:rsidRPr="007639A2">
        <w:rPr>
          <w:rStyle w:val="Hipervnculo"/>
          <w:rFonts w:ascii="Arial" w:hAnsi="Arial" w:cs="Arial"/>
        </w:rPr>
        <w:footnoteRef/>
      </w:r>
      <w:r w:rsidRPr="007639A2">
        <w:rPr>
          <w:rStyle w:val="Hipervnculo"/>
          <w:rFonts w:ascii="Arial" w:hAnsi="Arial" w:cs="Arial"/>
        </w:rPr>
        <w:t xml:space="preserve"> FIAN es la sigla de Food First Action Network, organización no gubernamental internacional con estatus consultivo ante Naciones Unidas. Ver: www.fian.org. </w:t>
      </w:r>
    </w:p>
  </w:footnote>
  <w:footnote w:id="8">
    <w:p w14:paraId="563C71E6" w14:textId="77777777" w:rsidR="00FE6A05" w:rsidRPr="007639A2" w:rsidRDefault="00FE6A05" w:rsidP="002A028C">
      <w:pPr>
        <w:jc w:val="both"/>
        <w:rPr>
          <w:rFonts w:ascii="Arial" w:hAnsi="Arial" w:cs="Arial"/>
          <w:sz w:val="20"/>
          <w:szCs w:val="20"/>
        </w:rPr>
      </w:pPr>
      <w:r w:rsidRPr="007639A2">
        <w:rPr>
          <w:rStyle w:val="Refdenotaalpie"/>
          <w:rFonts w:ascii="Arial" w:hAnsi="Arial" w:cs="Arial"/>
          <w:sz w:val="20"/>
          <w:szCs w:val="20"/>
        </w:rPr>
        <w:footnoteRef/>
      </w:r>
      <w:r w:rsidRPr="007639A2">
        <w:rPr>
          <w:rFonts w:ascii="Arial" w:hAnsi="Arial" w:cs="Arial"/>
          <w:sz w:val="20"/>
          <w:szCs w:val="20"/>
        </w:rPr>
        <w:t xml:space="preserve"> Morales Juan Carlos y Carvajal Carolina. </w:t>
      </w:r>
      <w:r w:rsidRPr="007639A2">
        <w:rPr>
          <w:rFonts w:ascii="Arial" w:hAnsi="Arial" w:cs="Arial"/>
          <w:i/>
          <w:sz w:val="20"/>
          <w:szCs w:val="20"/>
        </w:rPr>
        <w:t>Sin tierra, sin alimento y con el espejismo del agua represada: análisis de las violaciones del derecho humano a la alimentación y nutrición adecuadas en el caso del Proyecto Hidroeléctrico del Quimbo,</w:t>
      </w:r>
      <w:r w:rsidRPr="007639A2">
        <w:rPr>
          <w:rFonts w:ascii="Arial" w:hAnsi="Arial" w:cs="Arial"/>
          <w:sz w:val="20"/>
          <w:szCs w:val="20"/>
        </w:rPr>
        <w:t xml:space="preserve"> 2020. FIAN Colombia (sin publicar).</w:t>
      </w:r>
    </w:p>
  </w:footnote>
  <w:footnote w:id="9">
    <w:p w14:paraId="72578D57" w14:textId="77777777" w:rsidR="004C3475" w:rsidRPr="00240FA6" w:rsidRDefault="004C3475" w:rsidP="004C3475">
      <w:pPr>
        <w:pStyle w:val="Textonotapie"/>
        <w:jc w:val="both"/>
        <w:rPr>
          <w:rFonts w:ascii="Arial" w:hAnsi="Arial" w:cs="Arial"/>
        </w:rPr>
      </w:pPr>
      <w:r w:rsidRPr="00240FA6">
        <w:rPr>
          <w:rStyle w:val="Refdenotaalpie"/>
          <w:rFonts w:ascii="Arial" w:hAnsi="Arial" w:cs="Arial"/>
        </w:rPr>
        <w:footnoteRef/>
      </w:r>
      <w:r w:rsidRPr="00240FA6">
        <w:rPr>
          <w:rFonts w:ascii="Arial" w:hAnsi="Arial" w:cs="Arial"/>
        </w:rPr>
        <w:t xml:space="preserve"> Consejo Económico y Social de las Naciones Unidas. </w:t>
      </w:r>
      <w:r w:rsidRPr="00240FA6">
        <w:rPr>
          <w:rFonts w:ascii="Arial" w:hAnsi="Arial" w:cs="Arial"/>
          <w:i/>
        </w:rPr>
        <w:t>Cuestiones sustantivas que se plantean en la aplicación del pacto de derechos económicos, sociales y culturales.</w:t>
      </w:r>
      <w:r w:rsidRPr="00240FA6">
        <w:rPr>
          <w:rFonts w:ascii="Arial" w:hAnsi="Arial" w:cs="Arial"/>
        </w:rPr>
        <w:t xml:space="preserve"> Observación General 12. 20º Periodo de Sesiones. 1999</w:t>
      </w:r>
    </w:p>
  </w:footnote>
  <w:footnote w:id="10">
    <w:p w14:paraId="23D62DE8" w14:textId="77777777" w:rsidR="004C3475" w:rsidRPr="00240FA6" w:rsidRDefault="004C3475" w:rsidP="004C3475">
      <w:pPr>
        <w:pStyle w:val="Textonotapie"/>
        <w:jc w:val="both"/>
        <w:rPr>
          <w:rFonts w:ascii="Arial" w:hAnsi="Arial" w:cs="Arial"/>
        </w:rPr>
      </w:pPr>
      <w:r w:rsidRPr="00240FA6">
        <w:rPr>
          <w:rStyle w:val="Refdenotaalpie"/>
          <w:rFonts w:ascii="Arial" w:hAnsi="Arial" w:cs="Arial"/>
        </w:rPr>
        <w:footnoteRef/>
      </w:r>
      <w:r w:rsidRPr="00240FA6">
        <w:rPr>
          <w:rFonts w:ascii="Arial" w:hAnsi="Arial" w:cs="Arial"/>
        </w:rPr>
        <w:t xml:space="preserve"> Oficina del Alto Comisionado de las Naciones Unidas para los Derechos Humanos. </w:t>
      </w:r>
      <w:r w:rsidRPr="00240FA6">
        <w:rPr>
          <w:rFonts w:ascii="Arial" w:hAnsi="Arial" w:cs="Arial"/>
          <w:i/>
        </w:rPr>
        <w:t>Folleto Informativo No. 27.</w:t>
      </w:r>
    </w:p>
  </w:footnote>
  <w:footnote w:id="11">
    <w:p w14:paraId="6AABD4F3" w14:textId="77777777" w:rsidR="004C3475" w:rsidRPr="00240FA6" w:rsidRDefault="004C3475" w:rsidP="004C3475">
      <w:pPr>
        <w:pStyle w:val="Textonotapie"/>
        <w:jc w:val="both"/>
        <w:rPr>
          <w:rFonts w:ascii="Arial" w:hAnsi="Arial" w:cs="Arial"/>
        </w:rPr>
      </w:pPr>
      <w:r w:rsidRPr="00240FA6">
        <w:rPr>
          <w:rStyle w:val="Refdenotaalpie"/>
          <w:rFonts w:ascii="Arial" w:hAnsi="Arial" w:cs="Arial"/>
        </w:rPr>
        <w:footnoteRef/>
      </w:r>
      <w:r w:rsidRPr="00240FA6">
        <w:rPr>
          <w:rFonts w:ascii="Arial" w:hAnsi="Arial" w:cs="Arial"/>
        </w:rPr>
        <w:t xml:space="preserve"> Consejo Económico y Social de las Naciones Unidas. </w:t>
      </w:r>
      <w:r w:rsidRPr="00240FA6">
        <w:rPr>
          <w:rFonts w:ascii="Arial" w:hAnsi="Arial" w:cs="Arial"/>
          <w:i/>
        </w:rPr>
        <w:t>Cuestiones sustantivas que se plantean en la aplicación del pacto de derechos económicos, sociales y culturales.</w:t>
      </w:r>
      <w:r w:rsidRPr="00240FA6">
        <w:rPr>
          <w:rFonts w:ascii="Arial" w:hAnsi="Arial" w:cs="Arial"/>
        </w:rPr>
        <w:t xml:space="preserve"> Observación General 12. 20º Periodo de Sesiones. 1999. Pár. 15</w:t>
      </w:r>
    </w:p>
  </w:footnote>
  <w:footnote w:id="12">
    <w:p w14:paraId="275FA93F" w14:textId="77777777" w:rsidR="004C3475" w:rsidRPr="00240FA6" w:rsidRDefault="004C3475" w:rsidP="004C3475">
      <w:pPr>
        <w:pStyle w:val="Textonotapie"/>
        <w:jc w:val="both"/>
        <w:rPr>
          <w:rFonts w:ascii="Arial" w:hAnsi="Arial" w:cs="Arial"/>
        </w:rPr>
      </w:pPr>
      <w:r w:rsidRPr="00240FA6">
        <w:rPr>
          <w:rStyle w:val="Refdenotaalpie"/>
          <w:rFonts w:ascii="Arial" w:hAnsi="Arial" w:cs="Arial"/>
        </w:rPr>
        <w:footnoteRef/>
      </w:r>
      <w:r w:rsidRPr="00240FA6">
        <w:rPr>
          <w:rFonts w:ascii="Arial" w:hAnsi="Arial" w:cs="Arial"/>
        </w:rPr>
        <w:t xml:space="preserve"> Consejo Económico y Social de las Naciones Unidas. </w:t>
      </w:r>
      <w:r w:rsidRPr="00240FA6">
        <w:rPr>
          <w:rFonts w:ascii="Arial" w:hAnsi="Arial" w:cs="Arial"/>
          <w:i/>
        </w:rPr>
        <w:t>Cuestiones sustantivas que se plantean en la aplicación del pacto de derechos económicos, sociales y culturales.</w:t>
      </w:r>
      <w:r w:rsidRPr="00240FA6">
        <w:rPr>
          <w:rFonts w:ascii="Arial" w:hAnsi="Arial" w:cs="Arial"/>
        </w:rPr>
        <w:t xml:space="preserve"> Observación General 12. 20º Periodo de Sesiones. 1999. Pár. 21</w:t>
      </w:r>
    </w:p>
  </w:footnote>
  <w:footnote w:id="13">
    <w:p w14:paraId="1BEC8E63" w14:textId="77777777" w:rsidR="004C3475" w:rsidRPr="00240FA6" w:rsidRDefault="004C3475" w:rsidP="004C3475">
      <w:pPr>
        <w:pStyle w:val="Textonotapie"/>
        <w:jc w:val="both"/>
        <w:rPr>
          <w:rFonts w:ascii="Arial" w:hAnsi="Arial" w:cs="Arial"/>
          <w:lang w:val="es-CO"/>
        </w:rPr>
      </w:pPr>
      <w:r w:rsidRPr="00240FA6">
        <w:rPr>
          <w:rStyle w:val="Refdenotaalpie"/>
          <w:rFonts w:ascii="Arial" w:hAnsi="Arial" w:cs="Arial"/>
        </w:rPr>
        <w:footnoteRef/>
      </w:r>
      <w:r w:rsidRPr="00240FA6">
        <w:rPr>
          <w:rFonts w:ascii="Arial" w:hAnsi="Arial" w:cs="Arial"/>
        </w:rPr>
        <w:t xml:space="preserve"> </w:t>
      </w:r>
      <w:r w:rsidRPr="00240FA6">
        <w:rPr>
          <w:rFonts w:ascii="Arial" w:hAnsi="Arial" w:cs="Arial"/>
          <w:lang w:val="es-CO"/>
        </w:rPr>
        <w:t>Amartya K. Sen, El derecho a no tener hambre. Estudios de Filosofía y Derecho No. 3 Universidad Externado de Colombia: 2002.</w:t>
      </w:r>
    </w:p>
  </w:footnote>
  <w:footnote w:id="14">
    <w:p w14:paraId="5D1F1DCA" w14:textId="77777777" w:rsidR="004C3475" w:rsidRPr="00240FA6" w:rsidRDefault="004C3475" w:rsidP="004C3475">
      <w:pPr>
        <w:pStyle w:val="Textonotapie"/>
        <w:rPr>
          <w:rFonts w:ascii="Arial" w:hAnsi="Arial" w:cs="Arial"/>
          <w:lang w:val="es-CO"/>
        </w:rPr>
      </w:pPr>
      <w:r w:rsidRPr="00240FA6">
        <w:rPr>
          <w:rStyle w:val="Refdenotaalpie"/>
          <w:rFonts w:ascii="Arial" w:hAnsi="Arial" w:cs="Arial"/>
        </w:rPr>
        <w:footnoteRef/>
      </w:r>
      <w:r w:rsidRPr="00240FA6">
        <w:rPr>
          <w:rFonts w:ascii="Arial" w:hAnsi="Arial" w:cs="Arial"/>
        </w:rPr>
        <w:t xml:space="preserve"> </w:t>
      </w:r>
      <w:r w:rsidRPr="00240FA6">
        <w:rPr>
          <w:rFonts w:ascii="Arial" w:hAnsi="Arial" w:cs="Arial"/>
          <w:lang w:val="es-CO"/>
        </w:rPr>
        <w:t>Ibídem.</w:t>
      </w:r>
    </w:p>
  </w:footnote>
  <w:footnote w:id="15">
    <w:p w14:paraId="0DC6C692" w14:textId="77777777" w:rsidR="004C3475" w:rsidRPr="00240FA6" w:rsidRDefault="004C3475" w:rsidP="004C3475">
      <w:pPr>
        <w:pStyle w:val="Textonotapie"/>
        <w:rPr>
          <w:rFonts w:ascii="Arial" w:hAnsi="Arial" w:cs="Arial"/>
          <w:lang w:val="es-CO"/>
        </w:rPr>
      </w:pPr>
      <w:r w:rsidRPr="00240FA6">
        <w:rPr>
          <w:rStyle w:val="Refdenotaalpie"/>
          <w:rFonts w:ascii="Arial" w:hAnsi="Arial" w:cs="Arial"/>
        </w:rPr>
        <w:footnoteRef/>
      </w:r>
      <w:r w:rsidRPr="00240FA6">
        <w:rPr>
          <w:rFonts w:ascii="Arial" w:hAnsi="Arial" w:cs="Arial"/>
        </w:rPr>
        <w:t xml:space="preserve"> </w:t>
      </w:r>
      <w:r w:rsidRPr="00240FA6">
        <w:rPr>
          <w:rFonts w:ascii="Arial" w:hAnsi="Arial" w:cs="Arial"/>
          <w:lang w:val="es-CO"/>
        </w:rPr>
        <w:t>Ibídem.</w:t>
      </w:r>
    </w:p>
  </w:footnote>
  <w:footnote w:id="16">
    <w:p w14:paraId="797B135D" w14:textId="77777777" w:rsidR="00FE6A05" w:rsidRPr="007639A2" w:rsidRDefault="00FE6A05" w:rsidP="002A028C">
      <w:pPr>
        <w:pStyle w:val="Textonotapie"/>
        <w:jc w:val="both"/>
        <w:rPr>
          <w:rFonts w:ascii="Arial" w:hAnsi="Arial" w:cs="Arial"/>
        </w:rPr>
      </w:pPr>
      <w:r w:rsidRPr="007639A2">
        <w:rPr>
          <w:rStyle w:val="Refdenotaalpie"/>
          <w:rFonts w:ascii="Arial" w:hAnsi="Arial" w:cs="Arial"/>
        </w:rPr>
        <w:footnoteRef/>
      </w:r>
      <w:r w:rsidRPr="007639A2">
        <w:rPr>
          <w:rFonts w:ascii="Arial" w:hAnsi="Arial" w:cs="Arial"/>
        </w:rPr>
        <w:t xml:space="preserve"> Asamblea General de las Naciones Unidas. Declaración sobre los derechos de los campesinos y de otras personas que trabajan en las zonas rurales. 2018. </w:t>
      </w:r>
      <w:r w:rsidRPr="002A028C">
        <w:t>A/RES/73/165</w:t>
      </w:r>
      <w:r w:rsidRPr="007639A2">
        <w:rPr>
          <w:rFonts w:ascii="Arial" w:hAnsi="Arial" w:cs="Arial"/>
        </w:rPr>
        <w:t xml:space="preserve"> </w:t>
      </w:r>
    </w:p>
  </w:footnote>
  <w:footnote w:id="17">
    <w:p w14:paraId="01A2D6B1" w14:textId="77777777" w:rsidR="00FE6A05" w:rsidRPr="007639A2" w:rsidRDefault="00FE6A05" w:rsidP="002A028C">
      <w:pPr>
        <w:pStyle w:val="Textonotapie"/>
        <w:jc w:val="both"/>
        <w:rPr>
          <w:rFonts w:ascii="Arial" w:hAnsi="Arial" w:cs="Arial"/>
        </w:rPr>
      </w:pPr>
      <w:r w:rsidRPr="007639A2">
        <w:rPr>
          <w:rStyle w:val="Refdenotaalpie"/>
          <w:rFonts w:ascii="Arial" w:hAnsi="Arial" w:cs="Arial"/>
        </w:rPr>
        <w:footnoteRef/>
      </w:r>
      <w:r w:rsidRPr="007639A2">
        <w:rPr>
          <w:rFonts w:ascii="Arial" w:hAnsi="Arial" w:cs="Arial"/>
        </w:rPr>
        <w:t xml:space="preserve"> CESCR. Observación General No.12. Documento E/C.12/1999/5</w:t>
      </w:r>
    </w:p>
  </w:footnote>
  <w:footnote w:id="18">
    <w:p w14:paraId="5F12FA2C" w14:textId="77777777" w:rsidR="00FE6A05" w:rsidRPr="007639A2" w:rsidRDefault="00FE6A05" w:rsidP="002A028C">
      <w:pPr>
        <w:pStyle w:val="Textonotapie"/>
        <w:jc w:val="both"/>
        <w:rPr>
          <w:rFonts w:ascii="Arial" w:hAnsi="Arial" w:cs="Arial"/>
        </w:rPr>
      </w:pPr>
      <w:r w:rsidRPr="007639A2">
        <w:rPr>
          <w:rStyle w:val="Refdenotaalpie"/>
          <w:rFonts w:ascii="Arial" w:hAnsi="Arial" w:cs="Arial"/>
        </w:rPr>
        <w:footnoteRef/>
      </w:r>
      <w:r w:rsidRPr="007639A2">
        <w:rPr>
          <w:rFonts w:ascii="Arial" w:hAnsi="Arial" w:cs="Arial"/>
        </w:rPr>
        <w:t xml:space="preserve"> Íbidem. Párr. 4.</w:t>
      </w:r>
    </w:p>
  </w:footnote>
  <w:footnote w:id="19">
    <w:p w14:paraId="76145AD3" w14:textId="77777777" w:rsidR="00FE6A05" w:rsidRPr="007639A2" w:rsidRDefault="00FE6A05" w:rsidP="002A028C">
      <w:pPr>
        <w:pStyle w:val="Textonotapie"/>
        <w:jc w:val="both"/>
        <w:rPr>
          <w:rFonts w:ascii="Arial" w:hAnsi="Arial" w:cs="Arial"/>
        </w:rPr>
      </w:pPr>
      <w:r w:rsidRPr="007639A2">
        <w:rPr>
          <w:rStyle w:val="Refdenotaalpie"/>
          <w:rFonts w:ascii="Arial" w:hAnsi="Arial" w:cs="Arial"/>
        </w:rPr>
        <w:footnoteRef/>
      </w:r>
      <w:r w:rsidRPr="007639A2">
        <w:rPr>
          <w:rFonts w:ascii="Arial" w:hAnsi="Arial" w:cs="Arial"/>
        </w:rPr>
        <w:t xml:space="preserve"> Íbidem. Párr. 15</w:t>
      </w:r>
    </w:p>
  </w:footnote>
  <w:footnote w:id="20">
    <w:p w14:paraId="05ED4B17" w14:textId="77777777" w:rsidR="00FE6A05" w:rsidRPr="007639A2" w:rsidRDefault="00FE6A05" w:rsidP="002A028C">
      <w:pPr>
        <w:pStyle w:val="Textonotapie"/>
        <w:jc w:val="both"/>
        <w:rPr>
          <w:rFonts w:ascii="Arial" w:hAnsi="Arial" w:cs="Arial"/>
        </w:rPr>
      </w:pPr>
      <w:r w:rsidRPr="007639A2">
        <w:rPr>
          <w:rStyle w:val="Refdenotaalpie"/>
          <w:rFonts w:ascii="Arial" w:hAnsi="Arial" w:cs="Arial"/>
        </w:rPr>
        <w:footnoteRef/>
      </w:r>
      <w:r w:rsidRPr="007639A2">
        <w:rPr>
          <w:rFonts w:ascii="Arial" w:hAnsi="Arial" w:cs="Arial"/>
        </w:rPr>
        <w:t xml:space="preserve"> Consejo de Derechos Humanos. Asamblea General de Naciones Unidas. lnforme de la Relatora Especial sobre el derecho a la alimentación, Hilal Elver. Perspectiva crítica de los sistemas alimentarios, las crisis alimentarias y el futuro del derecho a la alimentación 2020. A/HRC/43/44.</w:t>
      </w:r>
    </w:p>
  </w:footnote>
  <w:footnote w:id="21">
    <w:p w14:paraId="7B665D56" w14:textId="77777777" w:rsidR="00FE6A05" w:rsidRPr="007639A2" w:rsidRDefault="00FE6A05" w:rsidP="002A028C">
      <w:pPr>
        <w:pStyle w:val="Textonotapie"/>
        <w:jc w:val="both"/>
        <w:rPr>
          <w:rFonts w:ascii="Arial" w:hAnsi="Arial" w:cs="Arial"/>
        </w:rPr>
      </w:pPr>
      <w:r w:rsidRPr="007639A2">
        <w:rPr>
          <w:rStyle w:val="Refdenotaalpie"/>
          <w:rFonts w:ascii="Arial" w:hAnsi="Arial" w:cs="Arial"/>
        </w:rPr>
        <w:footnoteRef/>
      </w:r>
      <w:r w:rsidRPr="007639A2">
        <w:rPr>
          <w:rFonts w:ascii="Arial" w:hAnsi="Arial" w:cs="Arial"/>
        </w:rPr>
        <w:t xml:space="preserve"> </w:t>
      </w:r>
      <w:r w:rsidRPr="007639A2">
        <w:rPr>
          <w:rFonts w:ascii="Arial" w:hAnsi="Arial" w:cs="Arial"/>
          <w:color w:val="000000"/>
        </w:rPr>
        <w:t>Ver entre otras sentencia T-029/2014 y T-302/2017</w:t>
      </w:r>
    </w:p>
  </w:footnote>
  <w:footnote w:id="22">
    <w:p w14:paraId="21179DFC" w14:textId="77777777" w:rsidR="00FE6A05" w:rsidRPr="007639A2" w:rsidRDefault="00FE6A05" w:rsidP="002A028C">
      <w:pPr>
        <w:pStyle w:val="Textonotapie"/>
        <w:jc w:val="both"/>
        <w:rPr>
          <w:rFonts w:ascii="Arial" w:hAnsi="Arial" w:cs="Arial"/>
        </w:rPr>
      </w:pPr>
      <w:r w:rsidRPr="007639A2">
        <w:rPr>
          <w:rStyle w:val="Refdenotaalpie"/>
          <w:rFonts w:ascii="Arial" w:hAnsi="Arial" w:cs="Arial"/>
        </w:rPr>
        <w:footnoteRef/>
      </w:r>
      <w:r w:rsidRPr="007639A2">
        <w:rPr>
          <w:rFonts w:ascii="Arial" w:hAnsi="Arial" w:cs="Arial"/>
        </w:rPr>
        <w:t xml:space="preserve"> </w:t>
      </w:r>
      <w:r w:rsidRPr="007639A2">
        <w:rPr>
          <w:rFonts w:ascii="Arial" w:hAnsi="Arial" w:cs="Arial"/>
          <w:color w:val="000000"/>
        </w:rPr>
        <w:t>Ver sentencia T-273&lt;72014 y  T-457/2018 sobre programa de alimentación escolar.</w:t>
      </w:r>
    </w:p>
  </w:footnote>
  <w:footnote w:id="23">
    <w:p w14:paraId="22149C33" w14:textId="77777777" w:rsidR="00FE6A05" w:rsidRPr="007639A2" w:rsidRDefault="00FE6A05" w:rsidP="002A028C">
      <w:pPr>
        <w:pStyle w:val="Textonotapie"/>
        <w:jc w:val="both"/>
        <w:rPr>
          <w:rFonts w:ascii="Arial" w:hAnsi="Arial" w:cs="Arial"/>
        </w:rPr>
      </w:pPr>
      <w:r w:rsidRPr="007639A2">
        <w:rPr>
          <w:rStyle w:val="Refdenotaalpie"/>
          <w:rFonts w:ascii="Arial" w:hAnsi="Arial" w:cs="Arial"/>
        </w:rPr>
        <w:footnoteRef/>
      </w:r>
      <w:r w:rsidRPr="007639A2">
        <w:rPr>
          <w:rFonts w:ascii="Arial" w:hAnsi="Arial" w:cs="Arial"/>
        </w:rPr>
        <w:t xml:space="preserve"> </w:t>
      </w:r>
      <w:r w:rsidRPr="007639A2">
        <w:rPr>
          <w:rFonts w:ascii="Arial" w:hAnsi="Arial" w:cs="Arial"/>
          <w:color w:val="000000"/>
        </w:rPr>
        <w:t>Ver sentencias T-606/2015 sobre pescadores y T-622/2016 sobre comunidades negras del río Atrato.</w:t>
      </w:r>
    </w:p>
  </w:footnote>
  <w:footnote w:id="24">
    <w:p w14:paraId="0BB9073B" w14:textId="77777777" w:rsidR="00FE6A05" w:rsidRPr="007639A2" w:rsidRDefault="00FE6A05" w:rsidP="002A028C">
      <w:pPr>
        <w:pStyle w:val="Textonotapie"/>
        <w:jc w:val="both"/>
        <w:rPr>
          <w:rFonts w:ascii="Arial" w:hAnsi="Arial" w:cs="Arial"/>
        </w:rPr>
      </w:pPr>
      <w:r w:rsidRPr="007639A2">
        <w:rPr>
          <w:rStyle w:val="Refdenotaalpie"/>
          <w:rFonts w:ascii="Arial" w:hAnsi="Arial" w:cs="Arial"/>
        </w:rPr>
        <w:footnoteRef/>
      </w:r>
      <w:r w:rsidRPr="007639A2">
        <w:rPr>
          <w:rFonts w:ascii="Arial" w:hAnsi="Arial" w:cs="Arial"/>
        </w:rPr>
        <w:t xml:space="preserve"> </w:t>
      </w:r>
      <w:r w:rsidRPr="007639A2">
        <w:rPr>
          <w:rFonts w:ascii="Arial" w:hAnsi="Arial" w:cs="Arial"/>
          <w:color w:val="000000"/>
        </w:rPr>
        <w:t>Ver sentencia T-367 de 2010</w:t>
      </w:r>
    </w:p>
  </w:footnote>
  <w:footnote w:id="25">
    <w:p w14:paraId="54570679" w14:textId="77777777" w:rsidR="00FE6A05" w:rsidRPr="007639A2" w:rsidRDefault="00FE6A05" w:rsidP="002A028C">
      <w:pPr>
        <w:pStyle w:val="Textonotapie"/>
        <w:jc w:val="both"/>
        <w:rPr>
          <w:rFonts w:ascii="Arial" w:hAnsi="Arial" w:cs="Arial"/>
        </w:rPr>
      </w:pPr>
      <w:r w:rsidRPr="007639A2">
        <w:rPr>
          <w:rStyle w:val="Refdenotaalpie"/>
          <w:rFonts w:ascii="Arial" w:hAnsi="Arial" w:cs="Arial"/>
        </w:rPr>
        <w:footnoteRef/>
      </w:r>
      <w:r w:rsidRPr="007639A2">
        <w:rPr>
          <w:rFonts w:ascii="Arial" w:hAnsi="Arial" w:cs="Arial"/>
        </w:rPr>
        <w:t xml:space="preserve"> </w:t>
      </w:r>
      <w:r w:rsidRPr="007639A2">
        <w:rPr>
          <w:rFonts w:ascii="Arial" w:hAnsi="Arial" w:cs="Arial"/>
          <w:color w:val="000000"/>
        </w:rPr>
        <w:t>Ver entre otras sentencias: T-388/2013, T-762/2015 y T-260/2019.</w:t>
      </w:r>
    </w:p>
  </w:footnote>
  <w:footnote w:id="26">
    <w:p w14:paraId="025F5267" w14:textId="77777777" w:rsidR="00FE6A05" w:rsidRPr="00DF67FA" w:rsidRDefault="00FE6A05" w:rsidP="00FE6A05">
      <w:pPr>
        <w:pStyle w:val="Textonotapie"/>
        <w:rPr>
          <w:lang w:val="es-CO"/>
        </w:rPr>
      </w:pPr>
      <w:r>
        <w:rPr>
          <w:rStyle w:val="Refdenotaalpie"/>
        </w:rPr>
        <w:footnoteRef/>
      </w:r>
      <w:r>
        <w:t xml:space="preserve"> </w:t>
      </w:r>
      <w:r>
        <w:rPr>
          <w:lang w:val="es-CO"/>
        </w:rPr>
        <w:t>Información obtenida de: Constitute Project.</w:t>
      </w:r>
      <w:r>
        <w:t xml:space="preserve"> </w:t>
      </w:r>
    </w:p>
  </w:footnote>
  <w:footnote w:id="27">
    <w:p w14:paraId="63E79345" w14:textId="77777777" w:rsidR="00FE6A05" w:rsidRPr="00240FA6" w:rsidRDefault="00FE6A05" w:rsidP="00FE6A05">
      <w:pPr>
        <w:pStyle w:val="Textonotapie"/>
        <w:jc w:val="both"/>
        <w:rPr>
          <w:rFonts w:ascii="Arial" w:hAnsi="Arial" w:cs="Arial"/>
        </w:rPr>
      </w:pPr>
      <w:r w:rsidRPr="00240FA6">
        <w:rPr>
          <w:rStyle w:val="Refdenotaalpie"/>
          <w:rFonts w:ascii="Arial" w:hAnsi="Arial" w:cs="Arial"/>
        </w:rPr>
        <w:footnoteRef/>
      </w:r>
      <w:r w:rsidRPr="00240FA6">
        <w:rPr>
          <w:rFonts w:ascii="Arial" w:hAnsi="Arial" w:cs="Arial"/>
        </w:rPr>
        <w:t xml:space="preserve"> Consejo Económico y Social de las Naciones Unidas. </w:t>
      </w:r>
      <w:r w:rsidRPr="00240FA6">
        <w:rPr>
          <w:rFonts w:ascii="Arial" w:hAnsi="Arial" w:cs="Arial"/>
          <w:i/>
        </w:rPr>
        <w:t>Cuestiones sustantivas que se plantean en la aplicación del pacto de derechos económicos, sociales y culturales.</w:t>
      </w:r>
      <w:r w:rsidRPr="00240FA6">
        <w:rPr>
          <w:rFonts w:ascii="Arial" w:hAnsi="Arial" w:cs="Arial"/>
        </w:rPr>
        <w:t xml:space="preserve"> Observación General 12. 20º Periodo de Sesiones. 1999.</w:t>
      </w:r>
    </w:p>
  </w:footnote>
  <w:footnote w:id="28">
    <w:p w14:paraId="46099AFA" w14:textId="77777777" w:rsidR="00FE6A05" w:rsidRPr="00240FA6" w:rsidRDefault="00FE6A05" w:rsidP="00FE6A05">
      <w:pPr>
        <w:pStyle w:val="Textonotapie"/>
        <w:jc w:val="both"/>
        <w:rPr>
          <w:rFonts w:ascii="Arial" w:hAnsi="Arial" w:cs="Arial"/>
        </w:rPr>
      </w:pPr>
      <w:r w:rsidRPr="00240FA6">
        <w:rPr>
          <w:rStyle w:val="Refdenotaalpie"/>
          <w:rFonts w:ascii="Arial" w:hAnsi="Arial" w:cs="Arial"/>
        </w:rPr>
        <w:footnoteRef/>
      </w:r>
      <w:r w:rsidRPr="00240FA6">
        <w:rPr>
          <w:rFonts w:ascii="Arial" w:hAnsi="Arial" w:cs="Arial"/>
        </w:rPr>
        <w:t xml:space="preserve"> FAO, </w:t>
      </w:r>
      <w:r w:rsidRPr="00240FA6">
        <w:rPr>
          <w:rFonts w:ascii="Arial" w:hAnsi="Arial" w:cs="Arial"/>
          <w:i/>
        </w:rPr>
        <w:t>El Estado de la Inseguridad Alimentaria en el Mundo</w:t>
      </w:r>
      <w:r w:rsidRPr="00240FA6">
        <w:rPr>
          <w:rFonts w:ascii="Arial" w:hAnsi="Arial" w:cs="Arial"/>
        </w:rPr>
        <w:t xml:space="preserve"> – 2001. Roma, 2001 En: Oficina del Alto Comisionado de las Naciones Unidas para los Derechos Humanos - FAO. </w:t>
      </w:r>
      <w:r w:rsidRPr="00240FA6">
        <w:rPr>
          <w:rFonts w:ascii="Arial" w:hAnsi="Arial" w:cs="Arial"/>
          <w:i/>
        </w:rPr>
        <w:t xml:space="preserve">Folleto Informativo No. 34. El derecho a la alimentación adecuada. </w:t>
      </w:r>
      <w:r w:rsidRPr="00240FA6">
        <w:rPr>
          <w:rFonts w:ascii="Arial" w:hAnsi="Arial" w:cs="Arial"/>
        </w:rPr>
        <w:t>Pág. 5</w:t>
      </w:r>
    </w:p>
  </w:footnote>
  <w:footnote w:id="29">
    <w:p w14:paraId="798B4BA6" w14:textId="77777777" w:rsidR="00FE6A05" w:rsidRPr="00240FA6" w:rsidRDefault="00FE6A05" w:rsidP="00FE6A05">
      <w:pPr>
        <w:pStyle w:val="Textonotapie"/>
        <w:jc w:val="both"/>
        <w:rPr>
          <w:rFonts w:ascii="Arial" w:hAnsi="Arial" w:cs="Arial"/>
        </w:rPr>
      </w:pPr>
      <w:r w:rsidRPr="00240FA6">
        <w:rPr>
          <w:rStyle w:val="Refdenotaalpie"/>
          <w:rFonts w:ascii="Arial" w:hAnsi="Arial" w:cs="Arial"/>
        </w:rPr>
        <w:footnoteRef/>
      </w:r>
      <w:r w:rsidRPr="00240FA6">
        <w:rPr>
          <w:rFonts w:ascii="Arial" w:hAnsi="Arial" w:cs="Arial"/>
        </w:rPr>
        <w:t xml:space="preserve"> Oficina del Alto Comisionado de las Naciones Unidas para los Derechos Humanos - FAO. </w:t>
      </w:r>
      <w:r w:rsidRPr="00240FA6">
        <w:rPr>
          <w:rFonts w:ascii="Arial" w:hAnsi="Arial" w:cs="Arial"/>
          <w:i/>
        </w:rPr>
        <w:t xml:space="preserve">Folleto Informativo No. 34. El derecho a la alimentación adecuada. </w:t>
      </w:r>
      <w:r w:rsidRPr="00240FA6">
        <w:rPr>
          <w:rFonts w:ascii="Arial" w:hAnsi="Arial" w:cs="Arial"/>
        </w:rPr>
        <w:t>Págs. 5 – 6.</w:t>
      </w:r>
    </w:p>
  </w:footnote>
  <w:footnote w:id="30">
    <w:p w14:paraId="5F7E4067" w14:textId="77777777" w:rsidR="00FE6A05" w:rsidRPr="00240FA6" w:rsidRDefault="00FE6A05" w:rsidP="00FE6A05">
      <w:pPr>
        <w:pStyle w:val="Textonotapie"/>
        <w:jc w:val="both"/>
        <w:rPr>
          <w:rFonts w:ascii="Arial" w:hAnsi="Arial" w:cs="Arial"/>
        </w:rPr>
      </w:pPr>
      <w:r w:rsidRPr="00240FA6">
        <w:rPr>
          <w:rStyle w:val="Refdenotaalpie"/>
          <w:rFonts w:ascii="Arial" w:hAnsi="Arial" w:cs="Arial"/>
        </w:rPr>
        <w:footnoteRef/>
      </w:r>
      <w:r w:rsidRPr="00240FA6">
        <w:rPr>
          <w:rFonts w:ascii="Arial" w:hAnsi="Arial" w:cs="Arial"/>
        </w:rPr>
        <w:t xml:space="preserve"> A título enunciativo, en el contexto regional existen los siguientes precedentes:  Ley del Sistema Nacional de Seguridad Alimentaria y Nutricional (Decreto 32-2005) de la República de Guatemala; Constitución Política de la República del Ecuador en conjunto con la Ley de Seguridad Alimentaria y Nutricional de 2006; La Ley Orgánica de la Seguridad Alimentaria de 2008 de la República Bolivariana de Venezuela; Constitución Política del Estado Plurinacional de Bolivia de 2007; Lei 11346 de 2006 - </w:t>
      </w:r>
      <w:r w:rsidRPr="00240FA6">
        <w:rPr>
          <w:rFonts w:ascii="Arial" w:hAnsi="Arial" w:cs="Arial"/>
          <w:i/>
        </w:rPr>
        <w:t xml:space="preserve">Cria o Sistema Nacional de Segurança Alimentar e Nutricional – SISAN com vistas em assegurar o direito humano à alimentação adequada e dá outras providências </w:t>
      </w:r>
      <w:r w:rsidRPr="00240FA6">
        <w:rPr>
          <w:rFonts w:ascii="Arial" w:hAnsi="Arial" w:cs="Arial"/>
        </w:rPr>
        <w:t xml:space="preserve">de la República Federativa del Brasil. </w:t>
      </w:r>
    </w:p>
  </w:footnote>
  <w:footnote w:id="31">
    <w:p w14:paraId="097997A6" w14:textId="77777777" w:rsidR="00FE6A05" w:rsidRPr="00240FA6" w:rsidRDefault="00FE6A05" w:rsidP="00FE6A05">
      <w:pPr>
        <w:pStyle w:val="Textonotapie"/>
        <w:jc w:val="both"/>
        <w:rPr>
          <w:rFonts w:ascii="Arial" w:hAnsi="Arial" w:cs="Arial"/>
        </w:rPr>
      </w:pPr>
      <w:r w:rsidRPr="00240FA6">
        <w:rPr>
          <w:rStyle w:val="Refdenotaalpie"/>
          <w:rFonts w:ascii="Arial" w:hAnsi="Arial" w:cs="Arial"/>
        </w:rPr>
        <w:footnoteRef/>
      </w:r>
      <w:r w:rsidRPr="00240FA6">
        <w:rPr>
          <w:rFonts w:ascii="Arial" w:hAnsi="Arial" w:cs="Arial"/>
        </w:rPr>
        <w:t xml:space="preserve"> Oficina del Alto Comisionado de las Naciones Unidas para los Derechos Humanos - FAO. </w:t>
      </w:r>
      <w:r w:rsidRPr="00240FA6">
        <w:rPr>
          <w:rFonts w:ascii="Arial" w:hAnsi="Arial" w:cs="Arial"/>
          <w:i/>
        </w:rPr>
        <w:t xml:space="preserve">Folleto Informativo No. 34. El derecho a la alimentación adecuada. </w:t>
      </w:r>
      <w:r w:rsidRPr="00240FA6">
        <w:rPr>
          <w:rFonts w:ascii="Arial" w:hAnsi="Arial" w:cs="Arial"/>
        </w:rPr>
        <w:t>Pág.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F4630" w14:textId="77777777" w:rsidR="00FE6A05" w:rsidRDefault="00FE6A05" w:rsidP="00FE6A05">
    <w:pPr>
      <w:pStyle w:val="Encabezado"/>
      <w:jc w:val="center"/>
      <w:rPr>
        <w:lang w:val="es-CO"/>
      </w:rPr>
    </w:pPr>
  </w:p>
  <w:p w14:paraId="48F4862A" w14:textId="77777777" w:rsidR="00FE6A05" w:rsidRDefault="00FE6A05" w:rsidP="00FE6A05">
    <w:pPr>
      <w:pStyle w:val="Encabezado"/>
      <w:jc w:val="center"/>
      <w:rPr>
        <w:lang w:val="es-CO"/>
      </w:rPr>
    </w:pPr>
  </w:p>
  <w:p w14:paraId="67CBD438" w14:textId="77777777" w:rsidR="00FE6A05" w:rsidRDefault="00FE6A05" w:rsidP="00FE6A05">
    <w:pPr>
      <w:pStyle w:val="Encabezado"/>
      <w:jc w:val="center"/>
      <w:rPr>
        <w:lang w:val="es-CO"/>
      </w:rPr>
    </w:pPr>
  </w:p>
  <w:p w14:paraId="119955D1" w14:textId="77777777" w:rsidR="00FE6A05" w:rsidRDefault="00FE6A05" w:rsidP="00FE6A05">
    <w:pPr>
      <w:pStyle w:val="Encabezado"/>
      <w:jc w:val="center"/>
      <w:rPr>
        <w:lang w:val="es-CO"/>
      </w:rPr>
    </w:pPr>
  </w:p>
  <w:p w14:paraId="427DF4DD" w14:textId="77777777" w:rsidR="00FE6A05" w:rsidRDefault="00FE6A05" w:rsidP="00FE6A05">
    <w:pPr>
      <w:pStyle w:val="Encabezado"/>
      <w:jc w:val="center"/>
      <w:rPr>
        <w:lang w:val="es-CO"/>
      </w:rPr>
    </w:pPr>
    <w:r>
      <w:rPr>
        <w:noProof/>
        <w:lang w:val="es-CO"/>
      </w:rPr>
      <w:drawing>
        <wp:anchor distT="0" distB="0" distL="114300" distR="114300" simplePos="0" relativeHeight="251659264" behindDoc="1" locked="0" layoutInCell="1" allowOverlap="1" wp14:anchorId="3610AAE6" wp14:editId="3878F7BF">
          <wp:simplePos x="0" y="0"/>
          <wp:positionH relativeFrom="margin">
            <wp:posOffset>1877695</wp:posOffset>
          </wp:positionH>
          <wp:positionV relativeFrom="margin">
            <wp:posOffset>-956310</wp:posOffset>
          </wp:positionV>
          <wp:extent cx="2019300" cy="948055"/>
          <wp:effectExtent l="0" t="0" r="0" b="4445"/>
          <wp:wrapTight wrapText="bothSides">
            <wp:wrapPolygon edited="0">
              <wp:start x="0" y="0"/>
              <wp:lineTo x="0" y="21267"/>
              <wp:lineTo x="21396" y="21267"/>
              <wp:lineTo x="21396"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948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279621" w14:textId="77777777" w:rsidR="00FE6A05" w:rsidRPr="005824EA" w:rsidRDefault="00FE6A05" w:rsidP="00FE6A05">
    <w:pPr>
      <w:pStyle w:val="Encabezado"/>
      <w:tabs>
        <w:tab w:val="clear" w:pos="8838"/>
      </w:tabs>
      <w:rPr>
        <w:lang w:val="es-CO"/>
      </w:rPr>
    </w:pPr>
    <w:r>
      <w:rPr>
        <w:lang w:val="es-CO"/>
      </w:rPr>
      <w:tab/>
    </w:r>
    <w:r>
      <w:rPr>
        <w:lang w:val="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A1F6B"/>
    <w:multiLevelType w:val="hybridMultilevel"/>
    <w:tmpl w:val="198085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64A6E1E"/>
    <w:multiLevelType w:val="hybridMultilevel"/>
    <w:tmpl w:val="701442F8"/>
    <w:lvl w:ilvl="0" w:tplc="3DCC1170">
      <w:numFmt w:val="bullet"/>
      <w:lvlText w:val="•"/>
      <w:lvlJc w:val="left"/>
      <w:pPr>
        <w:ind w:left="360" w:hanging="360"/>
      </w:pPr>
      <w:rPr>
        <w:rFonts w:ascii="Times New Roman" w:eastAsia="Century Gothic" w:hAnsi="Times New Roman"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7D47D58"/>
    <w:multiLevelType w:val="multilevel"/>
    <w:tmpl w:val="1EAC374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D01FC3"/>
    <w:multiLevelType w:val="hybridMultilevel"/>
    <w:tmpl w:val="6922CD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551450"/>
    <w:multiLevelType w:val="multilevel"/>
    <w:tmpl w:val="DAE412C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 w15:restartNumberingAfterBreak="0">
    <w:nsid w:val="3A451E19"/>
    <w:multiLevelType w:val="hybridMultilevel"/>
    <w:tmpl w:val="17F69C90"/>
    <w:lvl w:ilvl="0" w:tplc="F48EAF7A">
      <w:start w:val="1"/>
      <w:numFmt w:val="bullet"/>
      <w:lvlText w:val="•"/>
      <w:lvlJc w:val="left"/>
      <w:pPr>
        <w:ind w:left="720" w:hanging="360"/>
      </w:pPr>
      <w:rPr>
        <w:rFonts w:ascii="Arial" w:hAnsi="Arial" w:hint="default"/>
        <w:sz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3FCA754F"/>
    <w:multiLevelType w:val="hybridMultilevel"/>
    <w:tmpl w:val="4992E732"/>
    <w:lvl w:ilvl="0" w:tplc="3DCC1170">
      <w:numFmt w:val="bullet"/>
      <w:lvlText w:val="•"/>
      <w:lvlJc w:val="left"/>
      <w:pPr>
        <w:ind w:left="360" w:hanging="360"/>
      </w:pPr>
      <w:rPr>
        <w:rFonts w:ascii="Times New Roman" w:eastAsia="Century Gothic" w:hAnsi="Times New Roman"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41535A76"/>
    <w:multiLevelType w:val="hybridMultilevel"/>
    <w:tmpl w:val="5FAA69B8"/>
    <w:lvl w:ilvl="0" w:tplc="3DCC1170">
      <w:numFmt w:val="bullet"/>
      <w:lvlText w:val="•"/>
      <w:lvlJc w:val="left"/>
      <w:pPr>
        <w:ind w:left="720" w:hanging="360"/>
      </w:pPr>
      <w:rPr>
        <w:rFonts w:ascii="Times New Roman" w:eastAsia="Century Gothic"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3641D16"/>
    <w:multiLevelType w:val="multilevel"/>
    <w:tmpl w:val="1EAC374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701067"/>
    <w:multiLevelType w:val="hybridMultilevel"/>
    <w:tmpl w:val="19229B6C"/>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57AC2660"/>
    <w:multiLevelType w:val="hybridMultilevel"/>
    <w:tmpl w:val="2C762D50"/>
    <w:lvl w:ilvl="0" w:tplc="4DF2C6D4">
      <w:start w:val="1"/>
      <w:numFmt w:val="lowerLetter"/>
      <w:lvlText w:val="%1)"/>
      <w:lvlJc w:val="left"/>
      <w:pPr>
        <w:ind w:left="705" w:hanging="705"/>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57CB4817"/>
    <w:multiLevelType w:val="hybridMultilevel"/>
    <w:tmpl w:val="A6E8B7E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8D53534"/>
    <w:multiLevelType w:val="hybridMultilevel"/>
    <w:tmpl w:val="80C6C6A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5BB911FD"/>
    <w:multiLevelType w:val="hybridMultilevel"/>
    <w:tmpl w:val="95FC7CD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7015226A"/>
    <w:multiLevelType w:val="hybridMultilevel"/>
    <w:tmpl w:val="02D63FBC"/>
    <w:lvl w:ilvl="0" w:tplc="F48EAF7A">
      <w:start w:val="1"/>
      <w:numFmt w:val="bullet"/>
      <w:lvlText w:val="•"/>
      <w:lvlJc w:val="left"/>
      <w:pPr>
        <w:ind w:left="720" w:hanging="360"/>
      </w:pPr>
      <w:rPr>
        <w:rFonts w:ascii="Arial" w:hAnsi="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73025BCD"/>
    <w:multiLevelType w:val="hybridMultilevel"/>
    <w:tmpl w:val="BD0270D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78856172"/>
    <w:multiLevelType w:val="hybridMultilevel"/>
    <w:tmpl w:val="41523FFA"/>
    <w:lvl w:ilvl="0" w:tplc="3DCC1170">
      <w:numFmt w:val="bullet"/>
      <w:lvlText w:val="•"/>
      <w:lvlJc w:val="left"/>
      <w:pPr>
        <w:ind w:left="360" w:hanging="360"/>
      </w:pPr>
      <w:rPr>
        <w:rFonts w:ascii="Times New Roman" w:eastAsia="Century Gothic" w:hAnsi="Times New Roman"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7B2058DE"/>
    <w:multiLevelType w:val="hybridMultilevel"/>
    <w:tmpl w:val="FC6A2D8E"/>
    <w:lvl w:ilvl="0" w:tplc="3DCC1170">
      <w:numFmt w:val="bullet"/>
      <w:lvlText w:val="•"/>
      <w:lvlJc w:val="left"/>
      <w:pPr>
        <w:ind w:left="360" w:hanging="360"/>
      </w:pPr>
      <w:rPr>
        <w:rFonts w:ascii="Times New Roman" w:eastAsia="Century Gothic" w:hAnsi="Times New Roman"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7FAE1874"/>
    <w:multiLevelType w:val="multilevel"/>
    <w:tmpl w:val="A914124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8"/>
  </w:num>
  <w:num w:numId="2">
    <w:abstractNumId w:val="18"/>
  </w:num>
  <w:num w:numId="3">
    <w:abstractNumId w:val="4"/>
  </w:num>
  <w:num w:numId="4">
    <w:abstractNumId w:val="3"/>
  </w:num>
  <w:num w:numId="5">
    <w:abstractNumId w:val="7"/>
  </w:num>
  <w:num w:numId="6">
    <w:abstractNumId w:val="16"/>
  </w:num>
  <w:num w:numId="7">
    <w:abstractNumId w:val="6"/>
  </w:num>
  <w:num w:numId="8">
    <w:abstractNumId w:val="17"/>
  </w:num>
  <w:num w:numId="9">
    <w:abstractNumId w:val="1"/>
  </w:num>
  <w:num w:numId="10">
    <w:abstractNumId w:val="14"/>
  </w:num>
  <w:num w:numId="11">
    <w:abstractNumId w:val="5"/>
  </w:num>
  <w:num w:numId="12">
    <w:abstractNumId w:val="12"/>
  </w:num>
  <w:num w:numId="13">
    <w:abstractNumId w:val="11"/>
  </w:num>
  <w:num w:numId="14">
    <w:abstractNumId w:val="10"/>
  </w:num>
  <w:num w:numId="15">
    <w:abstractNumId w:val="0"/>
  </w:num>
  <w:num w:numId="16">
    <w:abstractNumId w:val="2"/>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EA9"/>
    <w:rsid w:val="000A1B31"/>
    <w:rsid w:val="000D069B"/>
    <w:rsid w:val="001817AE"/>
    <w:rsid w:val="00287595"/>
    <w:rsid w:val="002A028C"/>
    <w:rsid w:val="003F74A9"/>
    <w:rsid w:val="004C3475"/>
    <w:rsid w:val="00533553"/>
    <w:rsid w:val="00574EA9"/>
    <w:rsid w:val="005C1DC5"/>
    <w:rsid w:val="00676BD4"/>
    <w:rsid w:val="007114EB"/>
    <w:rsid w:val="00712857"/>
    <w:rsid w:val="00816BBB"/>
    <w:rsid w:val="00896E89"/>
    <w:rsid w:val="009F77D8"/>
    <w:rsid w:val="00A52DDE"/>
    <w:rsid w:val="00AE0D87"/>
    <w:rsid w:val="00B05B22"/>
    <w:rsid w:val="00E21CA0"/>
    <w:rsid w:val="00F22DEE"/>
    <w:rsid w:val="00F60EBB"/>
    <w:rsid w:val="00FE6A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9F6EA"/>
  <w15:chartTrackingRefBased/>
  <w15:docId w15:val="{D1A861CA-482E-499F-B025-6975ACB9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E89"/>
    <w:pPr>
      <w:spacing w:after="0" w:line="240" w:lineRule="auto"/>
    </w:pPr>
    <w:rPr>
      <w:rFonts w:ascii="Century Gothic" w:eastAsia="Century Gothic" w:hAnsi="Century Gothic" w:cs="Century Gothic"/>
      <w:lang w:val="es-ES_tradnl" w:eastAsia="es-CO"/>
    </w:rPr>
  </w:style>
  <w:style w:type="paragraph" w:styleId="Ttulo1">
    <w:name w:val="heading 1"/>
    <w:basedOn w:val="Normal"/>
    <w:next w:val="Normal"/>
    <w:link w:val="Ttulo1Car"/>
    <w:uiPriority w:val="9"/>
    <w:qFormat/>
    <w:rsid w:val="00574EA9"/>
    <w:pPr>
      <w:keepNext/>
      <w:keepLines/>
      <w:spacing w:before="240"/>
      <w:outlineLvl w:val="0"/>
    </w:pPr>
    <w:rPr>
      <w:rFonts w:eastAsiaTheme="majorEastAsia" w:cstheme="majorBidi"/>
      <w:b/>
      <w:color w:val="000000" w:themeColor="text1"/>
      <w:sz w:val="28"/>
      <w:szCs w:val="32"/>
    </w:rPr>
  </w:style>
  <w:style w:type="paragraph" w:styleId="Ttulo2">
    <w:name w:val="heading 2"/>
    <w:basedOn w:val="Normal"/>
    <w:next w:val="Normal"/>
    <w:link w:val="Ttulo2Car"/>
    <w:uiPriority w:val="9"/>
    <w:semiHidden/>
    <w:unhideWhenUsed/>
    <w:qFormat/>
    <w:rsid w:val="00574EA9"/>
    <w:pPr>
      <w:keepNext/>
      <w:keepLines/>
      <w:spacing w:before="40"/>
      <w:outlineLvl w:val="1"/>
    </w:pPr>
    <w:rPr>
      <w:rFonts w:eastAsiaTheme="majorEastAsia" w:cstheme="majorBidi"/>
      <w:b/>
      <w:sz w:val="26"/>
      <w:szCs w:val="26"/>
    </w:rPr>
  </w:style>
  <w:style w:type="paragraph" w:styleId="Ttulo3">
    <w:name w:val="heading 3"/>
    <w:basedOn w:val="Normal"/>
    <w:next w:val="Normal"/>
    <w:link w:val="Ttulo3Car"/>
    <w:uiPriority w:val="9"/>
    <w:semiHidden/>
    <w:unhideWhenUsed/>
    <w:qFormat/>
    <w:rsid w:val="00574EA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4EA9"/>
    <w:rPr>
      <w:rFonts w:ascii="Century Gothic" w:eastAsiaTheme="majorEastAsia" w:hAnsi="Century Gothic" w:cstheme="majorBidi"/>
      <w:b/>
      <w:color w:val="000000" w:themeColor="text1"/>
      <w:sz w:val="28"/>
      <w:szCs w:val="32"/>
      <w:lang w:val="es-ES_tradnl" w:eastAsia="es-CO"/>
    </w:rPr>
  </w:style>
  <w:style w:type="character" w:customStyle="1" w:styleId="Ttulo2Car">
    <w:name w:val="Título 2 Car"/>
    <w:basedOn w:val="Fuentedeprrafopredeter"/>
    <w:link w:val="Ttulo2"/>
    <w:uiPriority w:val="9"/>
    <w:semiHidden/>
    <w:rsid w:val="00574EA9"/>
    <w:rPr>
      <w:rFonts w:ascii="Century Gothic" w:eastAsiaTheme="majorEastAsia" w:hAnsi="Century Gothic" w:cstheme="majorBidi"/>
      <w:b/>
      <w:sz w:val="26"/>
      <w:szCs w:val="26"/>
      <w:lang w:val="es-ES_tradnl" w:eastAsia="es-CO"/>
    </w:rPr>
  </w:style>
  <w:style w:type="character" w:customStyle="1" w:styleId="Ttulo3Car">
    <w:name w:val="Título 3 Car"/>
    <w:basedOn w:val="Fuentedeprrafopredeter"/>
    <w:link w:val="Ttulo3"/>
    <w:uiPriority w:val="9"/>
    <w:semiHidden/>
    <w:rsid w:val="00574EA9"/>
    <w:rPr>
      <w:rFonts w:asciiTheme="majorHAnsi" w:eastAsiaTheme="majorEastAsia" w:hAnsiTheme="majorHAnsi" w:cstheme="majorBidi"/>
      <w:color w:val="1F3763" w:themeColor="accent1" w:themeShade="7F"/>
      <w:sz w:val="24"/>
      <w:szCs w:val="24"/>
      <w:lang w:val="es-ES_tradnl" w:eastAsia="es-CO"/>
    </w:rPr>
  </w:style>
  <w:style w:type="paragraph" w:styleId="Ttulo">
    <w:name w:val="Title"/>
    <w:basedOn w:val="Normal"/>
    <w:next w:val="Normal"/>
    <w:link w:val="TtuloCar"/>
    <w:uiPriority w:val="10"/>
    <w:qFormat/>
    <w:rsid w:val="00574EA9"/>
    <w:pPr>
      <w:contextualSpacing/>
    </w:pPr>
    <w:rPr>
      <w:rFonts w:eastAsiaTheme="majorEastAsia" w:cstheme="majorBidi"/>
      <w:b/>
      <w:spacing w:val="-10"/>
      <w:kern w:val="28"/>
      <w:szCs w:val="56"/>
    </w:rPr>
  </w:style>
  <w:style w:type="character" w:customStyle="1" w:styleId="TtuloCar">
    <w:name w:val="Título Car"/>
    <w:basedOn w:val="Fuentedeprrafopredeter"/>
    <w:link w:val="Ttulo"/>
    <w:uiPriority w:val="10"/>
    <w:rsid w:val="00574EA9"/>
    <w:rPr>
      <w:rFonts w:ascii="Century Gothic" w:eastAsiaTheme="majorEastAsia" w:hAnsi="Century Gothic" w:cstheme="majorBidi"/>
      <w:b/>
      <w:spacing w:val="-10"/>
      <w:kern w:val="28"/>
      <w:szCs w:val="56"/>
      <w:lang w:val="es-ES_tradnl" w:eastAsia="es-CO"/>
    </w:rPr>
  </w:style>
  <w:style w:type="paragraph" w:styleId="Prrafodelista">
    <w:name w:val="List Paragraph"/>
    <w:aliases w:val="List,Ha,Normal. Viñetas,Bullet List,FooterText,numbered,Paragraphe de liste1,Bulletr List Paragraph,列出段落,列出段落1,List Paragraph21,Listeafsnit1,Parágrafo da Lista1,Sombreado vistoso - Énfasis 31,Cita textual,Párrafo numerado,Bullets,Fluvia"/>
    <w:basedOn w:val="Normal"/>
    <w:link w:val="PrrafodelistaCar"/>
    <w:uiPriority w:val="34"/>
    <w:qFormat/>
    <w:rsid w:val="00574EA9"/>
    <w:pPr>
      <w:ind w:left="720"/>
      <w:contextualSpacing/>
    </w:pPr>
  </w:style>
  <w:style w:type="paragraph" w:styleId="NormalWeb">
    <w:name w:val="Normal (Web)"/>
    <w:basedOn w:val="Normal"/>
    <w:uiPriority w:val="99"/>
    <w:unhideWhenUsed/>
    <w:rsid w:val="00574EA9"/>
    <w:pPr>
      <w:spacing w:before="100" w:beforeAutospacing="1" w:after="100" w:afterAutospacing="1"/>
    </w:pPr>
    <w:rPr>
      <w:rFonts w:ascii="Times New Roman" w:eastAsia="Times New Roman" w:hAnsi="Times New Roman" w:cs="Times New Roman"/>
      <w:sz w:val="24"/>
      <w:szCs w:val="24"/>
      <w:lang w:val="es-CO"/>
    </w:rPr>
  </w:style>
  <w:style w:type="paragraph" w:styleId="Textonotapie">
    <w:name w:val="footnote text"/>
    <w:aliases w:val="texto de nota al pie,ft,single space,Footnote Text Char Char Char Char Char Char Char Char Char Char,Footnote Text Char Char Char Char Char Char Char Char Char Char Char Char,Footnote Text2,ft2,FA Fu,Footnote Text Char Char Char Char Char"/>
    <w:basedOn w:val="Normal"/>
    <w:link w:val="TextonotapieCar"/>
    <w:uiPriority w:val="99"/>
    <w:unhideWhenUsed/>
    <w:qFormat/>
    <w:rsid w:val="00574EA9"/>
    <w:rPr>
      <w:rFonts w:asciiTheme="minorHAnsi" w:eastAsiaTheme="minorHAnsi" w:hAnsiTheme="minorHAnsi" w:cstheme="minorBidi"/>
      <w:sz w:val="20"/>
      <w:szCs w:val="20"/>
      <w:lang w:val="es-ES" w:eastAsia="en-US"/>
    </w:rPr>
  </w:style>
  <w:style w:type="character" w:customStyle="1" w:styleId="TextonotapieCar">
    <w:name w:val="Texto nota pie Car"/>
    <w:aliases w:val="texto de nota al pie Car,ft Car,single space Car,Footnote Text Char Char Char Char Char Char Char Char Char Char Car,Footnote Text Char Char Char Char Char Char Char Char Char Char Char Char Car,Footnote Text2 Car,ft2 Car,FA Fu Car"/>
    <w:basedOn w:val="Fuentedeprrafopredeter"/>
    <w:link w:val="Textonotapie"/>
    <w:uiPriority w:val="99"/>
    <w:rsid w:val="00574EA9"/>
    <w:rPr>
      <w:sz w:val="20"/>
      <w:szCs w:val="20"/>
      <w:lang w:val="es-ES"/>
    </w:rPr>
  </w:style>
  <w:style w:type="character" w:styleId="Refdenotaalpie">
    <w:name w:val="footnote reference"/>
    <w:aliases w:val="referencia nota al pie,Referencia nota al pie,BVI fnr,BVI fnr Car Car,BVI fnr Car,BVI fnr Car Car Car Car,Appel note de bas de page,Texto de nota al pie,Footnotes refss,Ref. de nota al pie2,Nota de pie,Ref,de nota al pie,Footnote,f,F"/>
    <w:basedOn w:val="Fuentedeprrafopredeter"/>
    <w:uiPriority w:val="99"/>
    <w:unhideWhenUsed/>
    <w:qFormat/>
    <w:rsid w:val="00574EA9"/>
    <w:rPr>
      <w:vertAlign w:val="superscript"/>
    </w:rPr>
  </w:style>
  <w:style w:type="character" w:customStyle="1" w:styleId="PrrafodelistaCar">
    <w:name w:val="Párrafo de lista Car"/>
    <w:aliases w:val="List Car,Ha Car,Normal. Viñetas Car,Bullet List Car,FooterText Car,numbered Car,Paragraphe de liste1 Car,Bulletr List Paragraph Car,列出段落 Car,列出段落1 Car,List Paragraph21 Car,Listeafsnit1 Car,Parágrafo da Lista1 Car,Cita textual Car"/>
    <w:link w:val="Prrafodelista"/>
    <w:uiPriority w:val="34"/>
    <w:qFormat/>
    <w:locked/>
    <w:rsid w:val="00574EA9"/>
    <w:rPr>
      <w:rFonts w:ascii="Century Gothic" w:eastAsia="Century Gothic" w:hAnsi="Century Gothic" w:cs="Century Gothic"/>
      <w:lang w:val="es-ES_tradnl" w:eastAsia="es-CO"/>
    </w:rPr>
  </w:style>
  <w:style w:type="paragraph" w:styleId="Textoindependiente3">
    <w:name w:val="Body Text 3"/>
    <w:basedOn w:val="Normal"/>
    <w:link w:val="Textoindependiente3Car"/>
    <w:uiPriority w:val="99"/>
    <w:rsid w:val="00574EA9"/>
    <w:pPr>
      <w:autoSpaceDE w:val="0"/>
      <w:autoSpaceDN w:val="0"/>
    </w:pPr>
    <w:rPr>
      <w:rFonts w:ascii="Times New Roman" w:eastAsiaTheme="minorEastAsia" w:hAnsi="Times New Roman" w:cs="Times New Roman"/>
      <w:sz w:val="28"/>
      <w:szCs w:val="28"/>
      <w:lang w:val="es-ES" w:eastAsia="en-US"/>
    </w:rPr>
  </w:style>
  <w:style w:type="character" w:customStyle="1" w:styleId="Textoindependiente3Car">
    <w:name w:val="Texto independiente 3 Car"/>
    <w:basedOn w:val="Fuentedeprrafopredeter"/>
    <w:link w:val="Textoindependiente3"/>
    <w:uiPriority w:val="99"/>
    <w:rsid w:val="00574EA9"/>
    <w:rPr>
      <w:rFonts w:ascii="Times New Roman" w:eastAsiaTheme="minorEastAsia" w:hAnsi="Times New Roman" w:cs="Times New Roman"/>
      <w:sz w:val="28"/>
      <w:szCs w:val="28"/>
      <w:lang w:val="es-ES"/>
    </w:rPr>
  </w:style>
  <w:style w:type="paragraph" w:styleId="Textocomentario">
    <w:name w:val="annotation text"/>
    <w:basedOn w:val="Normal"/>
    <w:link w:val="TextocomentarioCar"/>
    <w:uiPriority w:val="99"/>
    <w:unhideWhenUsed/>
    <w:rsid w:val="00574EA9"/>
    <w:rPr>
      <w:rFonts w:ascii="Arial" w:eastAsiaTheme="minorHAnsi" w:hAnsi="Arial" w:cs="Arial"/>
      <w:sz w:val="20"/>
      <w:szCs w:val="20"/>
      <w:lang w:eastAsia="en-US"/>
    </w:rPr>
  </w:style>
  <w:style w:type="character" w:customStyle="1" w:styleId="TextocomentarioCar">
    <w:name w:val="Texto comentario Car"/>
    <w:basedOn w:val="Fuentedeprrafopredeter"/>
    <w:link w:val="Textocomentario"/>
    <w:uiPriority w:val="99"/>
    <w:rsid w:val="00574EA9"/>
    <w:rPr>
      <w:rFonts w:ascii="Arial" w:hAnsi="Arial" w:cs="Arial"/>
      <w:sz w:val="20"/>
      <w:szCs w:val="20"/>
      <w:lang w:val="es-ES_tradnl"/>
    </w:rPr>
  </w:style>
  <w:style w:type="paragraph" w:styleId="HTMLconformatoprevio">
    <w:name w:val="HTML Preformatted"/>
    <w:basedOn w:val="Normal"/>
    <w:link w:val="HTMLconformatoprevioCar"/>
    <w:uiPriority w:val="99"/>
    <w:unhideWhenUsed/>
    <w:rsid w:val="00574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CO"/>
    </w:rPr>
  </w:style>
  <w:style w:type="character" w:customStyle="1" w:styleId="HTMLconformatoprevioCar">
    <w:name w:val="HTML con formato previo Car"/>
    <w:basedOn w:val="Fuentedeprrafopredeter"/>
    <w:link w:val="HTMLconformatoprevio"/>
    <w:uiPriority w:val="99"/>
    <w:rsid w:val="00574EA9"/>
    <w:rPr>
      <w:rFonts w:ascii="Courier New" w:eastAsia="Times New Roman" w:hAnsi="Courier New" w:cs="Courier New"/>
      <w:sz w:val="20"/>
      <w:szCs w:val="20"/>
      <w:lang w:eastAsia="es-CO"/>
    </w:rPr>
  </w:style>
  <w:style w:type="character" w:styleId="Hipervnculo">
    <w:name w:val="Hyperlink"/>
    <w:basedOn w:val="Fuentedeprrafopredeter"/>
    <w:uiPriority w:val="99"/>
    <w:semiHidden/>
    <w:unhideWhenUsed/>
    <w:rsid w:val="00574EA9"/>
    <w:rPr>
      <w:color w:val="0000FF"/>
      <w:u w:val="single"/>
    </w:rPr>
  </w:style>
  <w:style w:type="table" w:styleId="Tablaconcuadrcula">
    <w:name w:val="Table Grid"/>
    <w:basedOn w:val="Tablanormal"/>
    <w:uiPriority w:val="59"/>
    <w:rsid w:val="00574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74EA9"/>
    <w:rPr>
      <w:sz w:val="16"/>
      <w:szCs w:val="16"/>
    </w:rPr>
  </w:style>
  <w:style w:type="paragraph" w:styleId="Asuntodelcomentario">
    <w:name w:val="annotation subject"/>
    <w:basedOn w:val="Textocomentario"/>
    <w:next w:val="Textocomentario"/>
    <w:link w:val="AsuntodelcomentarioCar"/>
    <w:uiPriority w:val="99"/>
    <w:semiHidden/>
    <w:unhideWhenUsed/>
    <w:rsid w:val="00574EA9"/>
    <w:rPr>
      <w:rFonts w:ascii="Century Gothic" w:eastAsia="Century Gothic" w:hAnsi="Century Gothic" w:cs="Century Gothic"/>
      <w:b/>
      <w:bCs/>
      <w:lang w:eastAsia="es-CO"/>
    </w:rPr>
  </w:style>
  <w:style w:type="character" w:customStyle="1" w:styleId="AsuntodelcomentarioCar">
    <w:name w:val="Asunto del comentario Car"/>
    <w:basedOn w:val="TextocomentarioCar"/>
    <w:link w:val="Asuntodelcomentario"/>
    <w:uiPriority w:val="99"/>
    <w:semiHidden/>
    <w:rsid w:val="00574EA9"/>
    <w:rPr>
      <w:rFonts w:ascii="Century Gothic" w:eastAsia="Century Gothic" w:hAnsi="Century Gothic" w:cs="Century Gothic"/>
      <w:b/>
      <w:bCs/>
      <w:sz w:val="20"/>
      <w:szCs w:val="20"/>
      <w:lang w:val="es-ES_tradnl" w:eastAsia="es-CO"/>
    </w:rPr>
  </w:style>
  <w:style w:type="paragraph" w:styleId="Textodeglobo">
    <w:name w:val="Balloon Text"/>
    <w:basedOn w:val="Normal"/>
    <w:link w:val="TextodegloboCar"/>
    <w:uiPriority w:val="99"/>
    <w:semiHidden/>
    <w:unhideWhenUsed/>
    <w:rsid w:val="00574EA9"/>
    <w:rPr>
      <w:rFonts w:ascii="Tahoma" w:hAnsi="Tahoma" w:cs="Tahoma"/>
      <w:sz w:val="16"/>
      <w:szCs w:val="16"/>
    </w:rPr>
  </w:style>
  <w:style w:type="character" w:customStyle="1" w:styleId="TextodegloboCar">
    <w:name w:val="Texto de globo Car"/>
    <w:basedOn w:val="Fuentedeprrafopredeter"/>
    <w:link w:val="Textodeglobo"/>
    <w:uiPriority w:val="99"/>
    <w:semiHidden/>
    <w:rsid w:val="00574EA9"/>
    <w:rPr>
      <w:rFonts w:ascii="Tahoma" w:eastAsia="Century Gothic" w:hAnsi="Tahoma" w:cs="Tahoma"/>
      <w:sz w:val="16"/>
      <w:szCs w:val="16"/>
      <w:lang w:val="es-ES_tradnl" w:eastAsia="es-CO"/>
    </w:rPr>
  </w:style>
  <w:style w:type="paragraph" w:customStyle="1" w:styleId="Nueve">
    <w:name w:val="Nueve"/>
    <w:rsid w:val="00574EA9"/>
    <w:pPr>
      <w:widowControl w:val="0"/>
      <w:autoSpaceDE w:val="0"/>
      <w:autoSpaceDN w:val="0"/>
      <w:adjustRightInd w:val="0"/>
      <w:spacing w:before="113" w:after="0" w:line="240" w:lineRule="auto"/>
      <w:ind w:firstLine="283"/>
      <w:jc w:val="both"/>
    </w:pPr>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574EA9"/>
    <w:pPr>
      <w:tabs>
        <w:tab w:val="center" w:pos="4419"/>
        <w:tab w:val="right" w:pos="8838"/>
      </w:tabs>
    </w:pPr>
  </w:style>
  <w:style w:type="character" w:customStyle="1" w:styleId="EncabezadoCar">
    <w:name w:val="Encabezado Car"/>
    <w:basedOn w:val="Fuentedeprrafopredeter"/>
    <w:link w:val="Encabezado"/>
    <w:uiPriority w:val="99"/>
    <w:rsid w:val="00574EA9"/>
    <w:rPr>
      <w:rFonts w:ascii="Century Gothic" w:eastAsia="Century Gothic" w:hAnsi="Century Gothic" w:cs="Century Gothic"/>
      <w:lang w:val="es-ES_tradnl" w:eastAsia="es-CO"/>
    </w:rPr>
  </w:style>
  <w:style w:type="paragraph" w:styleId="Piedepgina">
    <w:name w:val="footer"/>
    <w:basedOn w:val="Normal"/>
    <w:link w:val="PiedepginaCar"/>
    <w:uiPriority w:val="99"/>
    <w:unhideWhenUsed/>
    <w:rsid w:val="00574EA9"/>
    <w:pPr>
      <w:tabs>
        <w:tab w:val="center" w:pos="4419"/>
        <w:tab w:val="right" w:pos="8838"/>
      </w:tabs>
    </w:pPr>
  </w:style>
  <w:style w:type="character" w:customStyle="1" w:styleId="PiedepginaCar">
    <w:name w:val="Pie de página Car"/>
    <w:basedOn w:val="Fuentedeprrafopredeter"/>
    <w:link w:val="Piedepgina"/>
    <w:uiPriority w:val="99"/>
    <w:rsid w:val="00574EA9"/>
    <w:rPr>
      <w:rFonts w:ascii="Century Gothic" w:eastAsia="Century Gothic" w:hAnsi="Century Gothic" w:cs="Century Gothic"/>
      <w:lang w:val="es-ES_tradnl" w:eastAsia="es-CO"/>
    </w:rPr>
  </w:style>
  <w:style w:type="character" w:customStyle="1" w:styleId="fontstyle01">
    <w:name w:val="fontstyle01"/>
    <w:basedOn w:val="Fuentedeprrafopredeter"/>
    <w:rsid w:val="002A028C"/>
    <w:rPr>
      <w:rFonts w:ascii="TimesNewRomanPSMT" w:hAnsi="TimesNewRomanPSMT" w:hint="default"/>
      <w:b w:val="0"/>
      <w:bCs w:val="0"/>
      <w:i w:val="0"/>
      <w:iCs w:val="0"/>
      <w:color w:val="000000"/>
      <w:sz w:val="40"/>
      <w:szCs w:val="40"/>
    </w:rPr>
  </w:style>
  <w:style w:type="paragraph" w:customStyle="1" w:styleId="ng-scope">
    <w:name w:val="ng-scope"/>
    <w:basedOn w:val="Normal"/>
    <w:rsid w:val="00FE6A05"/>
    <w:pPr>
      <w:spacing w:before="100" w:beforeAutospacing="1" w:after="100" w:afterAutospacing="1"/>
    </w:pPr>
    <w:rPr>
      <w:rFonts w:ascii="Times New Roman" w:eastAsia="Times New Roman" w:hAnsi="Times New Roman" w:cs="Times New Roman"/>
      <w:sz w:val="24"/>
      <w:szCs w:val="24"/>
      <w:lang w:val="es-CO"/>
    </w:rPr>
  </w:style>
  <w:style w:type="character" w:customStyle="1" w:styleId="article-excerpt-text">
    <w:name w:val="article-excerpt-text"/>
    <w:rsid w:val="00FE6A05"/>
  </w:style>
  <w:style w:type="character" w:customStyle="1" w:styleId="article-list-key">
    <w:name w:val="article-list-key"/>
    <w:rsid w:val="00FE6A05"/>
  </w:style>
  <w:style w:type="character" w:styleId="Textoennegrita">
    <w:name w:val="Strong"/>
    <w:uiPriority w:val="22"/>
    <w:qFormat/>
    <w:rsid w:val="00FE6A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42180">
      <w:bodyDiv w:val="1"/>
      <w:marLeft w:val="0"/>
      <w:marRight w:val="0"/>
      <w:marTop w:val="0"/>
      <w:marBottom w:val="0"/>
      <w:divBdr>
        <w:top w:val="none" w:sz="0" w:space="0" w:color="auto"/>
        <w:left w:val="none" w:sz="0" w:space="0" w:color="auto"/>
        <w:bottom w:val="none" w:sz="0" w:space="0" w:color="auto"/>
        <w:right w:val="none" w:sz="0" w:space="0" w:color="auto"/>
      </w:divBdr>
    </w:div>
    <w:div w:id="24988586">
      <w:bodyDiv w:val="1"/>
      <w:marLeft w:val="0"/>
      <w:marRight w:val="0"/>
      <w:marTop w:val="0"/>
      <w:marBottom w:val="0"/>
      <w:divBdr>
        <w:top w:val="none" w:sz="0" w:space="0" w:color="auto"/>
        <w:left w:val="none" w:sz="0" w:space="0" w:color="auto"/>
        <w:bottom w:val="none" w:sz="0" w:space="0" w:color="auto"/>
        <w:right w:val="none" w:sz="0" w:space="0" w:color="auto"/>
      </w:divBdr>
    </w:div>
    <w:div w:id="31544655">
      <w:bodyDiv w:val="1"/>
      <w:marLeft w:val="0"/>
      <w:marRight w:val="0"/>
      <w:marTop w:val="0"/>
      <w:marBottom w:val="0"/>
      <w:divBdr>
        <w:top w:val="none" w:sz="0" w:space="0" w:color="auto"/>
        <w:left w:val="none" w:sz="0" w:space="0" w:color="auto"/>
        <w:bottom w:val="none" w:sz="0" w:space="0" w:color="auto"/>
        <w:right w:val="none" w:sz="0" w:space="0" w:color="auto"/>
      </w:divBdr>
    </w:div>
    <w:div w:id="32274851">
      <w:bodyDiv w:val="1"/>
      <w:marLeft w:val="0"/>
      <w:marRight w:val="0"/>
      <w:marTop w:val="0"/>
      <w:marBottom w:val="0"/>
      <w:divBdr>
        <w:top w:val="none" w:sz="0" w:space="0" w:color="auto"/>
        <w:left w:val="none" w:sz="0" w:space="0" w:color="auto"/>
        <w:bottom w:val="none" w:sz="0" w:space="0" w:color="auto"/>
        <w:right w:val="none" w:sz="0" w:space="0" w:color="auto"/>
      </w:divBdr>
    </w:div>
    <w:div w:id="74015182">
      <w:bodyDiv w:val="1"/>
      <w:marLeft w:val="0"/>
      <w:marRight w:val="0"/>
      <w:marTop w:val="0"/>
      <w:marBottom w:val="0"/>
      <w:divBdr>
        <w:top w:val="none" w:sz="0" w:space="0" w:color="auto"/>
        <w:left w:val="none" w:sz="0" w:space="0" w:color="auto"/>
        <w:bottom w:val="none" w:sz="0" w:space="0" w:color="auto"/>
        <w:right w:val="none" w:sz="0" w:space="0" w:color="auto"/>
      </w:divBdr>
    </w:div>
    <w:div w:id="97868609">
      <w:bodyDiv w:val="1"/>
      <w:marLeft w:val="0"/>
      <w:marRight w:val="0"/>
      <w:marTop w:val="0"/>
      <w:marBottom w:val="0"/>
      <w:divBdr>
        <w:top w:val="none" w:sz="0" w:space="0" w:color="auto"/>
        <w:left w:val="none" w:sz="0" w:space="0" w:color="auto"/>
        <w:bottom w:val="none" w:sz="0" w:space="0" w:color="auto"/>
        <w:right w:val="none" w:sz="0" w:space="0" w:color="auto"/>
      </w:divBdr>
    </w:div>
    <w:div w:id="140928955">
      <w:bodyDiv w:val="1"/>
      <w:marLeft w:val="0"/>
      <w:marRight w:val="0"/>
      <w:marTop w:val="0"/>
      <w:marBottom w:val="0"/>
      <w:divBdr>
        <w:top w:val="none" w:sz="0" w:space="0" w:color="auto"/>
        <w:left w:val="none" w:sz="0" w:space="0" w:color="auto"/>
        <w:bottom w:val="none" w:sz="0" w:space="0" w:color="auto"/>
        <w:right w:val="none" w:sz="0" w:space="0" w:color="auto"/>
      </w:divBdr>
    </w:div>
    <w:div w:id="201211470">
      <w:bodyDiv w:val="1"/>
      <w:marLeft w:val="0"/>
      <w:marRight w:val="0"/>
      <w:marTop w:val="0"/>
      <w:marBottom w:val="0"/>
      <w:divBdr>
        <w:top w:val="none" w:sz="0" w:space="0" w:color="auto"/>
        <w:left w:val="none" w:sz="0" w:space="0" w:color="auto"/>
        <w:bottom w:val="none" w:sz="0" w:space="0" w:color="auto"/>
        <w:right w:val="none" w:sz="0" w:space="0" w:color="auto"/>
      </w:divBdr>
    </w:div>
    <w:div w:id="242186106">
      <w:bodyDiv w:val="1"/>
      <w:marLeft w:val="0"/>
      <w:marRight w:val="0"/>
      <w:marTop w:val="0"/>
      <w:marBottom w:val="0"/>
      <w:divBdr>
        <w:top w:val="none" w:sz="0" w:space="0" w:color="auto"/>
        <w:left w:val="none" w:sz="0" w:space="0" w:color="auto"/>
        <w:bottom w:val="none" w:sz="0" w:space="0" w:color="auto"/>
        <w:right w:val="none" w:sz="0" w:space="0" w:color="auto"/>
      </w:divBdr>
    </w:div>
    <w:div w:id="322320129">
      <w:bodyDiv w:val="1"/>
      <w:marLeft w:val="0"/>
      <w:marRight w:val="0"/>
      <w:marTop w:val="0"/>
      <w:marBottom w:val="0"/>
      <w:divBdr>
        <w:top w:val="none" w:sz="0" w:space="0" w:color="auto"/>
        <w:left w:val="none" w:sz="0" w:space="0" w:color="auto"/>
        <w:bottom w:val="none" w:sz="0" w:space="0" w:color="auto"/>
        <w:right w:val="none" w:sz="0" w:space="0" w:color="auto"/>
      </w:divBdr>
    </w:div>
    <w:div w:id="333917033">
      <w:bodyDiv w:val="1"/>
      <w:marLeft w:val="0"/>
      <w:marRight w:val="0"/>
      <w:marTop w:val="0"/>
      <w:marBottom w:val="0"/>
      <w:divBdr>
        <w:top w:val="none" w:sz="0" w:space="0" w:color="auto"/>
        <w:left w:val="none" w:sz="0" w:space="0" w:color="auto"/>
        <w:bottom w:val="none" w:sz="0" w:space="0" w:color="auto"/>
        <w:right w:val="none" w:sz="0" w:space="0" w:color="auto"/>
      </w:divBdr>
    </w:div>
    <w:div w:id="398595862">
      <w:bodyDiv w:val="1"/>
      <w:marLeft w:val="0"/>
      <w:marRight w:val="0"/>
      <w:marTop w:val="0"/>
      <w:marBottom w:val="0"/>
      <w:divBdr>
        <w:top w:val="none" w:sz="0" w:space="0" w:color="auto"/>
        <w:left w:val="none" w:sz="0" w:space="0" w:color="auto"/>
        <w:bottom w:val="none" w:sz="0" w:space="0" w:color="auto"/>
        <w:right w:val="none" w:sz="0" w:space="0" w:color="auto"/>
      </w:divBdr>
    </w:div>
    <w:div w:id="405960634">
      <w:bodyDiv w:val="1"/>
      <w:marLeft w:val="0"/>
      <w:marRight w:val="0"/>
      <w:marTop w:val="0"/>
      <w:marBottom w:val="0"/>
      <w:divBdr>
        <w:top w:val="none" w:sz="0" w:space="0" w:color="auto"/>
        <w:left w:val="none" w:sz="0" w:space="0" w:color="auto"/>
        <w:bottom w:val="none" w:sz="0" w:space="0" w:color="auto"/>
        <w:right w:val="none" w:sz="0" w:space="0" w:color="auto"/>
      </w:divBdr>
    </w:div>
    <w:div w:id="459686664">
      <w:bodyDiv w:val="1"/>
      <w:marLeft w:val="0"/>
      <w:marRight w:val="0"/>
      <w:marTop w:val="0"/>
      <w:marBottom w:val="0"/>
      <w:divBdr>
        <w:top w:val="none" w:sz="0" w:space="0" w:color="auto"/>
        <w:left w:val="none" w:sz="0" w:space="0" w:color="auto"/>
        <w:bottom w:val="none" w:sz="0" w:space="0" w:color="auto"/>
        <w:right w:val="none" w:sz="0" w:space="0" w:color="auto"/>
      </w:divBdr>
    </w:div>
    <w:div w:id="478889218">
      <w:bodyDiv w:val="1"/>
      <w:marLeft w:val="0"/>
      <w:marRight w:val="0"/>
      <w:marTop w:val="0"/>
      <w:marBottom w:val="0"/>
      <w:divBdr>
        <w:top w:val="none" w:sz="0" w:space="0" w:color="auto"/>
        <w:left w:val="none" w:sz="0" w:space="0" w:color="auto"/>
        <w:bottom w:val="none" w:sz="0" w:space="0" w:color="auto"/>
        <w:right w:val="none" w:sz="0" w:space="0" w:color="auto"/>
      </w:divBdr>
    </w:div>
    <w:div w:id="491796916">
      <w:bodyDiv w:val="1"/>
      <w:marLeft w:val="0"/>
      <w:marRight w:val="0"/>
      <w:marTop w:val="0"/>
      <w:marBottom w:val="0"/>
      <w:divBdr>
        <w:top w:val="none" w:sz="0" w:space="0" w:color="auto"/>
        <w:left w:val="none" w:sz="0" w:space="0" w:color="auto"/>
        <w:bottom w:val="none" w:sz="0" w:space="0" w:color="auto"/>
        <w:right w:val="none" w:sz="0" w:space="0" w:color="auto"/>
      </w:divBdr>
    </w:div>
    <w:div w:id="515116407">
      <w:bodyDiv w:val="1"/>
      <w:marLeft w:val="0"/>
      <w:marRight w:val="0"/>
      <w:marTop w:val="0"/>
      <w:marBottom w:val="0"/>
      <w:divBdr>
        <w:top w:val="none" w:sz="0" w:space="0" w:color="auto"/>
        <w:left w:val="none" w:sz="0" w:space="0" w:color="auto"/>
        <w:bottom w:val="none" w:sz="0" w:space="0" w:color="auto"/>
        <w:right w:val="none" w:sz="0" w:space="0" w:color="auto"/>
      </w:divBdr>
    </w:div>
    <w:div w:id="538476514">
      <w:bodyDiv w:val="1"/>
      <w:marLeft w:val="0"/>
      <w:marRight w:val="0"/>
      <w:marTop w:val="0"/>
      <w:marBottom w:val="0"/>
      <w:divBdr>
        <w:top w:val="none" w:sz="0" w:space="0" w:color="auto"/>
        <w:left w:val="none" w:sz="0" w:space="0" w:color="auto"/>
        <w:bottom w:val="none" w:sz="0" w:space="0" w:color="auto"/>
        <w:right w:val="none" w:sz="0" w:space="0" w:color="auto"/>
      </w:divBdr>
    </w:div>
    <w:div w:id="631860776">
      <w:bodyDiv w:val="1"/>
      <w:marLeft w:val="0"/>
      <w:marRight w:val="0"/>
      <w:marTop w:val="0"/>
      <w:marBottom w:val="0"/>
      <w:divBdr>
        <w:top w:val="none" w:sz="0" w:space="0" w:color="auto"/>
        <w:left w:val="none" w:sz="0" w:space="0" w:color="auto"/>
        <w:bottom w:val="none" w:sz="0" w:space="0" w:color="auto"/>
        <w:right w:val="none" w:sz="0" w:space="0" w:color="auto"/>
      </w:divBdr>
    </w:div>
    <w:div w:id="654453405">
      <w:bodyDiv w:val="1"/>
      <w:marLeft w:val="0"/>
      <w:marRight w:val="0"/>
      <w:marTop w:val="0"/>
      <w:marBottom w:val="0"/>
      <w:divBdr>
        <w:top w:val="none" w:sz="0" w:space="0" w:color="auto"/>
        <w:left w:val="none" w:sz="0" w:space="0" w:color="auto"/>
        <w:bottom w:val="none" w:sz="0" w:space="0" w:color="auto"/>
        <w:right w:val="none" w:sz="0" w:space="0" w:color="auto"/>
      </w:divBdr>
    </w:div>
    <w:div w:id="692457515">
      <w:bodyDiv w:val="1"/>
      <w:marLeft w:val="0"/>
      <w:marRight w:val="0"/>
      <w:marTop w:val="0"/>
      <w:marBottom w:val="0"/>
      <w:divBdr>
        <w:top w:val="none" w:sz="0" w:space="0" w:color="auto"/>
        <w:left w:val="none" w:sz="0" w:space="0" w:color="auto"/>
        <w:bottom w:val="none" w:sz="0" w:space="0" w:color="auto"/>
        <w:right w:val="none" w:sz="0" w:space="0" w:color="auto"/>
      </w:divBdr>
    </w:div>
    <w:div w:id="694185963">
      <w:bodyDiv w:val="1"/>
      <w:marLeft w:val="0"/>
      <w:marRight w:val="0"/>
      <w:marTop w:val="0"/>
      <w:marBottom w:val="0"/>
      <w:divBdr>
        <w:top w:val="none" w:sz="0" w:space="0" w:color="auto"/>
        <w:left w:val="none" w:sz="0" w:space="0" w:color="auto"/>
        <w:bottom w:val="none" w:sz="0" w:space="0" w:color="auto"/>
        <w:right w:val="none" w:sz="0" w:space="0" w:color="auto"/>
      </w:divBdr>
    </w:div>
    <w:div w:id="727991671">
      <w:bodyDiv w:val="1"/>
      <w:marLeft w:val="0"/>
      <w:marRight w:val="0"/>
      <w:marTop w:val="0"/>
      <w:marBottom w:val="0"/>
      <w:divBdr>
        <w:top w:val="none" w:sz="0" w:space="0" w:color="auto"/>
        <w:left w:val="none" w:sz="0" w:space="0" w:color="auto"/>
        <w:bottom w:val="none" w:sz="0" w:space="0" w:color="auto"/>
        <w:right w:val="none" w:sz="0" w:space="0" w:color="auto"/>
      </w:divBdr>
    </w:div>
    <w:div w:id="735517814">
      <w:bodyDiv w:val="1"/>
      <w:marLeft w:val="0"/>
      <w:marRight w:val="0"/>
      <w:marTop w:val="0"/>
      <w:marBottom w:val="0"/>
      <w:divBdr>
        <w:top w:val="none" w:sz="0" w:space="0" w:color="auto"/>
        <w:left w:val="none" w:sz="0" w:space="0" w:color="auto"/>
        <w:bottom w:val="none" w:sz="0" w:space="0" w:color="auto"/>
        <w:right w:val="none" w:sz="0" w:space="0" w:color="auto"/>
      </w:divBdr>
    </w:div>
    <w:div w:id="803471470">
      <w:bodyDiv w:val="1"/>
      <w:marLeft w:val="0"/>
      <w:marRight w:val="0"/>
      <w:marTop w:val="0"/>
      <w:marBottom w:val="0"/>
      <w:divBdr>
        <w:top w:val="none" w:sz="0" w:space="0" w:color="auto"/>
        <w:left w:val="none" w:sz="0" w:space="0" w:color="auto"/>
        <w:bottom w:val="none" w:sz="0" w:space="0" w:color="auto"/>
        <w:right w:val="none" w:sz="0" w:space="0" w:color="auto"/>
      </w:divBdr>
    </w:div>
    <w:div w:id="862522934">
      <w:bodyDiv w:val="1"/>
      <w:marLeft w:val="0"/>
      <w:marRight w:val="0"/>
      <w:marTop w:val="0"/>
      <w:marBottom w:val="0"/>
      <w:divBdr>
        <w:top w:val="none" w:sz="0" w:space="0" w:color="auto"/>
        <w:left w:val="none" w:sz="0" w:space="0" w:color="auto"/>
        <w:bottom w:val="none" w:sz="0" w:space="0" w:color="auto"/>
        <w:right w:val="none" w:sz="0" w:space="0" w:color="auto"/>
      </w:divBdr>
    </w:div>
    <w:div w:id="898713160">
      <w:bodyDiv w:val="1"/>
      <w:marLeft w:val="0"/>
      <w:marRight w:val="0"/>
      <w:marTop w:val="0"/>
      <w:marBottom w:val="0"/>
      <w:divBdr>
        <w:top w:val="none" w:sz="0" w:space="0" w:color="auto"/>
        <w:left w:val="none" w:sz="0" w:space="0" w:color="auto"/>
        <w:bottom w:val="none" w:sz="0" w:space="0" w:color="auto"/>
        <w:right w:val="none" w:sz="0" w:space="0" w:color="auto"/>
      </w:divBdr>
    </w:div>
    <w:div w:id="998535377">
      <w:bodyDiv w:val="1"/>
      <w:marLeft w:val="0"/>
      <w:marRight w:val="0"/>
      <w:marTop w:val="0"/>
      <w:marBottom w:val="0"/>
      <w:divBdr>
        <w:top w:val="none" w:sz="0" w:space="0" w:color="auto"/>
        <w:left w:val="none" w:sz="0" w:space="0" w:color="auto"/>
        <w:bottom w:val="none" w:sz="0" w:space="0" w:color="auto"/>
        <w:right w:val="none" w:sz="0" w:space="0" w:color="auto"/>
      </w:divBdr>
    </w:div>
    <w:div w:id="1056273066">
      <w:bodyDiv w:val="1"/>
      <w:marLeft w:val="0"/>
      <w:marRight w:val="0"/>
      <w:marTop w:val="0"/>
      <w:marBottom w:val="0"/>
      <w:divBdr>
        <w:top w:val="none" w:sz="0" w:space="0" w:color="auto"/>
        <w:left w:val="none" w:sz="0" w:space="0" w:color="auto"/>
        <w:bottom w:val="none" w:sz="0" w:space="0" w:color="auto"/>
        <w:right w:val="none" w:sz="0" w:space="0" w:color="auto"/>
      </w:divBdr>
    </w:div>
    <w:div w:id="1069156732">
      <w:bodyDiv w:val="1"/>
      <w:marLeft w:val="0"/>
      <w:marRight w:val="0"/>
      <w:marTop w:val="0"/>
      <w:marBottom w:val="0"/>
      <w:divBdr>
        <w:top w:val="none" w:sz="0" w:space="0" w:color="auto"/>
        <w:left w:val="none" w:sz="0" w:space="0" w:color="auto"/>
        <w:bottom w:val="none" w:sz="0" w:space="0" w:color="auto"/>
        <w:right w:val="none" w:sz="0" w:space="0" w:color="auto"/>
      </w:divBdr>
    </w:div>
    <w:div w:id="1073355969">
      <w:bodyDiv w:val="1"/>
      <w:marLeft w:val="0"/>
      <w:marRight w:val="0"/>
      <w:marTop w:val="0"/>
      <w:marBottom w:val="0"/>
      <w:divBdr>
        <w:top w:val="none" w:sz="0" w:space="0" w:color="auto"/>
        <w:left w:val="none" w:sz="0" w:space="0" w:color="auto"/>
        <w:bottom w:val="none" w:sz="0" w:space="0" w:color="auto"/>
        <w:right w:val="none" w:sz="0" w:space="0" w:color="auto"/>
      </w:divBdr>
    </w:div>
    <w:div w:id="1098260031">
      <w:bodyDiv w:val="1"/>
      <w:marLeft w:val="0"/>
      <w:marRight w:val="0"/>
      <w:marTop w:val="0"/>
      <w:marBottom w:val="0"/>
      <w:divBdr>
        <w:top w:val="none" w:sz="0" w:space="0" w:color="auto"/>
        <w:left w:val="none" w:sz="0" w:space="0" w:color="auto"/>
        <w:bottom w:val="none" w:sz="0" w:space="0" w:color="auto"/>
        <w:right w:val="none" w:sz="0" w:space="0" w:color="auto"/>
      </w:divBdr>
    </w:div>
    <w:div w:id="1118992565">
      <w:bodyDiv w:val="1"/>
      <w:marLeft w:val="0"/>
      <w:marRight w:val="0"/>
      <w:marTop w:val="0"/>
      <w:marBottom w:val="0"/>
      <w:divBdr>
        <w:top w:val="none" w:sz="0" w:space="0" w:color="auto"/>
        <w:left w:val="none" w:sz="0" w:space="0" w:color="auto"/>
        <w:bottom w:val="none" w:sz="0" w:space="0" w:color="auto"/>
        <w:right w:val="none" w:sz="0" w:space="0" w:color="auto"/>
      </w:divBdr>
    </w:div>
    <w:div w:id="1171867773">
      <w:bodyDiv w:val="1"/>
      <w:marLeft w:val="0"/>
      <w:marRight w:val="0"/>
      <w:marTop w:val="0"/>
      <w:marBottom w:val="0"/>
      <w:divBdr>
        <w:top w:val="none" w:sz="0" w:space="0" w:color="auto"/>
        <w:left w:val="none" w:sz="0" w:space="0" w:color="auto"/>
        <w:bottom w:val="none" w:sz="0" w:space="0" w:color="auto"/>
        <w:right w:val="none" w:sz="0" w:space="0" w:color="auto"/>
      </w:divBdr>
    </w:div>
    <w:div w:id="1254514218">
      <w:bodyDiv w:val="1"/>
      <w:marLeft w:val="0"/>
      <w:marRight w:val="0"/>
      <w:marTop w:val="0"/>
      <w:marBottom w:val="0"/>
      <w:divBdr>
        <w:top w:val="none" w:sz="0" w:space="0" w:color="auto"/>
        <w:left w:val="none" w:sz="0" w:space="0" w:color="auto"/>
        <w:bottom w:val="none" w:sz="0" w:space="0" w:color="auto"/>
        <w:right w:val="none" w:sz="0" w:space="0" w:color="auto"/>
      </w:divBdr>
      <w:divsChild>
        <w:div w:id="98256061">
          <w:marLeft w:val="0"/>
          <w:marRight w:val="0"/>
          <w:marTop w:val="0"/>
          <w:marBottom w:val="0"/>
          <w:divBdr>
            <w:top w:val="none" w:sz="0" w:space="0" w:color="auto"/>
            <w:left w:val="none" w:sz="0" w:space="0" w:color="auto"/>
            <w:bottom w:val="none" w:sz="0" w:space="0" w:color="auto"/>
            <w:right w:val="none" w:sz="0" w:space="0" w:color="auto"/>
          </w:divBdr>
        </w:div>
        <w:div w:id="100222301">
          <w:marLeft w:val="0"/>
          <w:marRight w:val="0"/>
          <w:marTop w:val="0"/>
          <w:marBottom w:val="0"/>
          <w:divBdr>
            <w:top w:val="none" w:sz="0" w:space="0" w:color="auto"/>
            <w:left w:val="none" w:sz="0" w:space="0" w:color="auto"/>
            <w:bottom w:val="none" w:sz="0" w:space="0" w:color="auto"/>
            <w:right w:val="none" w:sz="0" w:space="0" w:color="auto"/>
          </w:divBdr>
        </w:div>
        <w:div w:id="390736660">
          <w:marLeft w:val="0"/>
          <w:marRight w:val="0"/>
          <w:marTop w:val="0"/>
          <w:marBottom w:val="0"/>
          <w:divBdr>
            <w:top w:val="none" w:sz="0" w:space="0" w:color="auto"/>
            <w:left w:val="none" w:sz="0" w:space="0" w:color="auto"/>
            <w:bottom w:val="none" w:sz="0" w:space="0" w:color="auto"/>
            <w:right w:val="none" w:sz="0" w:space="0" w:color="auto"/>
          </w:divBdr>
        </w:div>
        <w:div w:id="715391857">
          <w:marLeft w:val="0"/>
          <w:marRight w:val="0"/>
          <w:marTop w:val="0"/>
          <w:marBottom w:val="0"/>
          <w:divBdr>
            <w:top w:val="none" w:sz="0" w:space="0" w:color="auto"/>
            <w:left w:val="none" w:sz="0" w:space="0" w:color="auto"/>
            <w:bottom w:val="none" w:sz="0" w:space="0" w:color="auto"/>
            <w:right w:val="none" w:sz="0" w:space="0" w:color="auto"/>
          </w:divBdr>
        </w:div>
        <w:div w:id="726225269">
          <w:marLeft w:val="0"/>
          <w:marRight w:val="0"/>
          <w:marTop w:val="0"/>
          <w:marBottom w:val="0"/>
          <w:divBdr>
            <w:top w:val="none" w:sz="0" w:space="0" w:color="auto"/>
            <w:left w:val="none" w:sz="0" w:space="0" w:color="auto"/>
            <w:bottom w:val="none" w:sz="0" w:space="0" w:color="auto"/>
            <w:right w:val="none" w:sz="0" w:space="0" w:color="auto"/>
          </w:divBdr>
        </w:div>
        <w:div w:id="754286477">
          <w:marLeft w:val="0"/>
          <w:marRight w:val="0"/>
          <w:marTop w:val="0"/>
          <w:marBottom w:val="0"/>
          <w:divBdr>
            <w:top w:val="none" w:sz="0" w:space="0" w:color="auto"/>
            <w:left w:val="none" w:sz="0" w:space="0" w:color="auto"/>
            <w:bottom w:val="none" w:sz="0" w:space="0" w:color="auto"/>
            <w:right w:val="none" w:sz="0" w:space="0" w:color="auto"/>
          </w:divBdr>
        </w:div>
        <w:div w:id="1094739783">
          <w:marLeft w:val="0"/>
          <w:marRight w:val="0"/>
          <w:marTop w:val="0"/>
          <w:marBottom w:val="0"/>
          <w:divBdr>
            <w:top w:val="none" w:sz="0" w:space="0" w:color="auto"/>
            <w:left w:val="none" w:sz="0" w:space="0" w:color="auto"/>
            <w:bottom w:val="none" w:sz="0" w:space="0" w:color="auto"/>
            <w:right w:val="none" w:sz="0" w:space="0" w:color="auto"/>
          </w:divBdr>
        </w:div>
        <w:div w:id="1917205964">
          <w:marLeft w:val="0"/>
          <w:marRight w:val="0"/>
          <w:marTop w:val="0"/>
          <w:marBottom w:val="0"/>
          <w:divBdr>
            <w:top w:val="none" w:sz="0" w:space="0" w:color="auto"/>
            <w:left w:val="none" w:sz="0" w:space="0" w:color="auto"/>
            <w:bottom w:val="none" w:sz="0" w:space="0" w:color="auto"/>
            <w:right w:val="none" w:sz="0" w:space="0" w:color="auto"/>
          </w:divBdr>
        </w:div>
      </w:divsChild>
    </w:div>
    <w:div w:id="1254777831">
      <w:bodyDiv w:val="1"/>
      <w:marLeft w:val="0"/>
      <w:marRight w:val="0"/>
      <w:marTop w:val="0"/>
      <w:marBottom w:val="0"/>
      <w:divBdr>
        <w:top w:val="none" w:sz="0" w:space="0" w:color="auto"/>
        <w:left w:val="none" w:sz="0" w:space="0" w:color="auto"/>
        <w:bottom w:val="none" w:sz="0" w:space="0" w:color="auto"/>
        <w:right w:val="none" w:sz="0" w:space="0" w:color="auto"/>
      </w:divBdr>
    </w:div>
    <w:div w:id="1366102747">
      <w:bodyDiv w:val="1"/>
      <w:marLeft w:val="0"/>
      <w:marRight w:val="0"/>
      <w:marTop w:val="0"/>
      <w:marBottom w:val="0"/>
      <w:divBdr>
        <w:top w:val="none" w:sz="0" w:space="0" w:color="auto"/>
        <w:left w:val="none" w:sz="0" w:space="0" w:color="auto"/>
        <w:bottom w:val="none" w:sz="0" w:space="0" w:color="auto"/>
        <w:right w:val="none" w:sz="0" w:space="0" w:color="auto"/>
      </w:divBdr>
    </w:div>
    <w:div w:id="1412384626">
      <w:bodyDiv w:val="1"/>
      <w:marLeft w:val="0"/>
      <w:marRight w:val="0"/>
      <w:marTop w:val="0"/>
      <w:marBottom w:val="0"/>
      <w:divBdr>
        <w:top w:val="none" w:sz="0" w:space="0" w:color="auto"/>
        <w:left w:val="none" w:sz="0" w:space="0" w:color="auto"/>
        <w:bottom w:val="none" w:sz="0" w:space="0" w:color="auto"/>
        <w:right w:val="none" w:sz="0" w:space="0" w:color="auto"/>
      </w:divBdr>
    </w:div>
    <w:div w:id="1440949110">
      <w:bodyDiv w:val="1"/>
      <w:marLeft w:val="0"/>
      <w:marRight w:val="0"/>
      <w:marTop w:val="0"/>
      <w:marBottom w:val="0"/>
      <w:divBdr>
        <w:top w:val="none" w:sz="0" w:space="0" w:color="auto"/>
        <w:left w:val="none" w:sz="0" w:space="0" w:color="auto"/>
        <w:bottom w:val="none" w:sz="0" w:space="0" w:color="auto"/>
        <w:right w:val="none" w:sz="0" w:space="0" w:color="auto"/>
      </w:divBdr>
    </w:div>
    <w:div w:id="1462728026">
      <w:bodyDiv w:val="1"/>
      <w:marLeft w:val="0"/>
      <w:marRight w:val="0"/>
      <w:marTop w:val="0"/>
      <w:marBottom w:val="0"/>
      <w:divBdr>
        <w:top w:val="none" w:sz="0" w:space="0" w:color="auto"/>
        <w:left w:val="none" w:sz="0" w:space="0" w:color="auto"/>
        <w:bottom w:val="none" w:sz="0" w:space="0" w:color="auto"/>
        <w:right w:val="none" w:sz="0" w:space="0" w:color="auto"/>
      </w:divBdr>
    </w:div>
    <w:div w:id="1513841743">
      <w:bodyDiv w:val="1"/>
      <w:marLeft w:val="0"/>
      <w:marRight w:val="0"/>
      <w:marTop w:val="0"/>
      <w:marBottom w:val="0"/>
      <w:divBdr>
        <w:top w:val="none" w:sz="0" w:space="0" w:color="auto"/>
        <w:left w:val="none" w:sz="0" w:space="0" w:color="auto"/>
        <w:bottom w:val="none" w:sz="0" w:space="0" w:color="auto"/>
        <w:right w:val="none" w:sz="0" w:space="0" w:color="auto"/>
      </w:divBdr>
    </w:div>
    <w:div w:id="1606693368">
      <w:bodyDiv w:val="1"/>
      <w:marLeft w:val="0"/>
      <w:marRight w:val="0"/>
      <w:marTop w:val="0"/>
      <w:marBottom w:val="0"/>
      <w:divBdr>
        <w:top w:val="none" w:sz="0" w:space="0" w:color="auto"/>
        <w:left w:val="none" w:sz="0" w:space="0" w:color="auto"/>
        <w:bottom w:val="none" w:sz="0" w:space="0" w:color="auto"/>
        <w:right w:val="none" w:sz="0" w:space="0" w:color="auto"/>
      </w:divBdr>
    </w:div>
    <w:div w:id="1611159765">
      <w:bodyDiv w:val="1"/>
      <w:marLeft w:val="0"/>
      <w:marRight w:val="0"/>
      <w:marTop w:val="0"/>
      <w:marBottom w:val="0"/>
      <w:divBdr>
        <w:top w:val="none" w:sz="0" w:space="0" w:color="auto"/>
        <w:left w:val="none" w:sz="0" w:space="0" w:color="auto"/>
        <w:bottom w:val="none" w:sz="0" w:space="0" w:color="auto"/>
        <w:right w:val="none" w:sz="0" w:space="0" w:color="auto"/>
      </w:divBdr>
    </w:div>
    <w:div w:id="1631280898">
      <w:bodyDiv w:val="1"/>
      <w:marLeft w:val="0"/>
      <w:marRight w:val="0"/>
      <w:marTop w:val="0"/>
      <w:marBottom w:val="0"/>
      <w:divBdr>
        <w:top w:val="none" w:sz="0" w:space="0" w:color="auto"/>
        <w:left w:val="none" w:sz="0" w:space="0" w:color="auto"/>
        <w:bottom w:val="none" w:sz="0" w:space="0" w:color="auto"/>
        <w:right w:val="none" w:sz="0" w:space="0" w:color="auto"/>
      </w:divBdr>
    </w:div>
    <w:div w:id="1634022094">
      <w:bodyDiv w:val="1"/>
      <w:marLeft w:val="0"/>
      <w:marRight w:val="0"/>
      <w:marTop w:val="0"/>
      <w:marBottom w:val="0"/>
      <w:divBdr>
        <w:top w:val="none" w:sz="0" w:space="0" w:color="auto"/>
        <w:left w:val="none" w:sz="0" w:space="0" w:color="auto"/>
        <w:bottom w:val="none" w:sz="0" w:space="0" w:color="auto"/>
        <w:right w:val="none" w:sz="0" w:space="0" w:color="auto"/>
      </w:divBdr>
    </w:div>
    <w:div w:id="1644846906">
      <w:bodyDiv w:val="1"/>
      <w:marLeft w:val="0"/>
      <w:marRight w:val="0"/>
      <w:marTop w:val="0"/>
      <w:marBottom w:val="0"/>
      <w:divBdr>
        <w:top w:val="none" w:sz="0" w:space="0" w:color="auto"/>
        <w:left w:val="none" w:sz="0" w:space="0" w:color="auto"/>
        <w:bottom w:val="none" w:sz="0" w:space="0" w:color="auto"/>
        <w:right w:val="none" w:sz="0" w:space="0" w:color="auto"/>
      </w:divBdr>
    </w:div>
    <w:div w:id="1719670737">
      <w:bodyDiv w:val="1"/>
      <w:marLeft w:val="0"/>
      <w:marRight w:val="0"/>
      <w:marTop w:val="0"/>
      <w:marBottom w:val="0"/>
      <w:divBdr>
        <w:top w:val="none" w:sz="0" w:space="0" w:color="auto"/>
        <w:left w:val="none" w:sz="0" w:space="0" w:color="auto"/>
        <w:bottom w:val="none" w:sz="0" w:space="0" w:color="auto"/>
        <w:right w:val="none" w:sz="0" w:space="0" w:color="auto"/>
      </w:divBdr>
    </w:div>
    <w:div w:id="1733502600">
      <w:bodyDiv w:val="1"/>
      <w:marLeft w:val="0"/>
      <w:marRight w:val="0"/>
      <w:marTop w:val="0"/>
      <w:marBottom w:val="0"/>
      <w:divBdr>
        <w:top w:val="none" w:sz="0" w:space="0" w:color="auto"/>
        <w:left w:val="none" w:sz="0" w:space="0" w:color="auto"/>
        <w:bottom w:val="none" w:sz="0" w:space="0" w:color="auto"/>
        <w:right w:val="none" w:sz="0" w:space="0" w:color="auto"/>
      </w:divBdr>
    </w:div>
    <w:div w:id="1768190738">
      <w:bodyDiv w:val="1"/>
      <w:marLeft w:val="0"/>
      <w:marRight w:val="0"/>
      <w:marTop w:val="0"/>
      <w:marBottom w:val="0"/>
      <w:divBdr>
        <w:top w:val="none" w:sz="0" w:space="0" w:color="auto"/>
        <w:left w:val="none" w:sz="0" w:space="0" w:color="auto"/>
        <w:bottom w:val="none" w:sz="0" w:space="0" w:color="auto"/>
        <w:right w:val="none" w:sz="0" w:space="0" w:color="auto"/>
      </w:divBdr>
    </w:div>
    <w:div w:id="1788229848">
      <w:bodyDiv w:val="1"/>
      <w:marLeft w:val="0"/>
      <w:marRight w:val="0"/>
      <w:marTop w:val="0"/>
      <w:marBottom w:val="0"/>
      <w:divBdr>
        <w:top w:val="none" w:sz="0" w:space="0" w:color="auto"/>
        <w:left w:val="none" w:sz="0" w:space="0" w:color="auto"/>
        <w:bottom w:val="none" w:sz="0" w:space="0" w:color="auto"/>
        <w:right w:val="none" w:sz="0" w:space="0" w:color="auto"/>
      </w:divBdr>
    </w:div>
    <w:div w:id="1819607417">
      <w:bodyDiv w:val="1"/>
      <w:marLeft w:val="0"/>
      <w:marRight w:val="0"/>
      <w:marTop w:val="0"/>
      <w:marBottom w:val="0"/>
      <w:divBdr>
        <w:top w:val="none" w:sz="0" w:space="0" w:color="auto"/>
        <w:left w:val="none" w:sz="0" w:space="0" w:color="auto"/>
        <w:bottom w:val="none" w:sz="0" w:space="0" w:color="auto"/>
        <w:right w:val="none" w:sz="0" w:space="0" w:color="auto"/>
      </w:divBdr>
    </w:div>
    <w:div w:id="1914507295">
      <w:bodyDiv w:val="1"/>
      <w:marLeft w:val="0"/>
      <w:marRight w:val="0"/>
      <w:marTop w:val="0"/>
      <w:marBottom w:val="0"/>
      <w:divBdr>
        <w:top w:val="none" w:sz="0" w:space="0" w:color="auto"/>
        <w:left w:val="none" w:sz="0" w:space="0" w:color="auto"/>
        <w:bottom w:val="none" w:sz="0" w:space="0" w:color="auto"/>
        <w:right w:val="none" w:sz="0" w:space="0" w:color="auto"/>
      </w:divBdr>
    </w:div>
    <w:div w:id="1927881168">
      <w:bodyDiv w:val="1"/>
      <w:marLeft w:val="0"/>
      <w:marRight w:val="0"/>
      <w:marTop w:val="0"/>
      <w:marBottom w:val="0"/>
      <w:divBdr>
        <w:top w:val="none" w:sz="0" w:space="0" w:color="auto"/>
        <w:left w:val="none" w:sz="0" w:space="0" w:color="auto"/>
        <w:bottom w:val="none" w:sz="0" w:space="0" w:color="auto"/>
        <w:right w:val="none" w:sz="0" w:space="0" w:color="auto"/>
      </w:divBdr>
    </w:div>
    <w:div w:id="1930847923">
      <w:bodyDiv w:val="1"/>
      <w:marLeft w:val="0"/>
      <w:marRight w:val="0"/>
      <w:marTop w:val="0"/>
      <w:marBottom w:val="0"/>
      <w:divBdr>
        <w:top w:val="none" w:sz="0" w:space="0" w:color="auto"/>
        <w:left w:val="none" w:sz="0" w:space="0" w:color="auto"/>
        <w:bottom w:val="none" w:sz="0" w:space="0" w:color="auto"/>
        <w:right w:val="none" w:sz="0" w:space="0" w:color="auto"/>
      </w:divBdr>
    </w:div>
    <w:div w:id="2084446550">
      <w:bodyDiv w:val="1"/>
      <w:marLeft w:val="0"/>
      <w:marRight w:val="0"/>
      <w:marTop w:val="0"/>
      <w:marBottom w:val="0"/>
      <w:divBdr>
        <w:top w:val="none" w:sz="0" w:space="0" w:color="auto"/>
        <w:left w:val="none" w:sz="0" w:space="0" w:color="auto"/>
        <w:bottom w:val="none" w:sz="0" w:space="0" w:color="auto"/>
        <w:right w:val="none" w:sz="0" w:space="0" w:color="auto"/>
      </w:divBdr>
    </w:div>
    <w:div w:id="2088644847">
      <w:bodyDiv w:val="1"/>
      <w:marLeft w:val="0"/>
      <w:marRight w:val="0"/>
      <w:marTop w:val="0"/>
      <w:marBottom w:val="0"/>
      <w:divBdr>
        <w:top w:val="none" w:sz="0" w:space="0" w:color="auto"/>
        <w:left w:val="none" w:sz="0" w:space="0" w:color="auto"/>
        <w:bottom w:val="none" w:sz="0" w:space="0" w:color="auto"/>
        <w:right w:val="none" w:sz="0" w:space="0" w:color="auto"/>
      </w:divBdr>
    </w:div>
    <w:div w:id="2098356631">
      <w:bodyDiv w:val="1"/>
      <w:marLeft w:val="0"/>
      <w:marRight w:val="0"/>
      <w:marTop w:val="0"/>
      <w:marBottom w:val="0"/>
      <w:divBdr>
        <w:top w:val="none" w:sz="0" w:space="0" w:color="auto"/>
        <w:left w:val="none" w:sz="0" w:space="0" w:color="auto"/>
        <w:bottom w:val="none" w:sz="0" w:space="0" w:color="auto"/>
        <w:right w:val="none" w:sz="0" w:space="0" w:color="auto"/>
      </w:divBdr>
    </w:div>
    <w:div w:id="213628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_rels/footnotes.xml.rels><?xml version="1.0" encoding="UTF-8" standalone="yes"?>
<Relationships xmlns="http://schemas.openxmlformats.org/package/2006/relationships"><Relationship Id="rId8" Type="http://schemas.openxmlformats.org/officeDocument/2006/relationships/hyperlink" Target="http://svrpubindc.imprenta.gov.co/senado/index.xhtml;jsessionid=b3ba7213a248bacd37376ffcedca" TargetMode="External"/><Relationship Id="rId13" Type="http://schemas.openxmlformats.org/officeDocument/2006/relationships/hyperlink" Target="http://svrpubindc.imprenta.gov.co/senado/index.xhtml;jsessionid=b3ba7213a248bacd37376ffcedca" TargetMode="External"/><Relationship Id="rId3" Type="http://schemas.openxmlformats.org/officeDocument/2006/relationships/hyperlink" Target="http://svrpubindc.imprenta.gov.co/senado/index2.xhtml?ent=Senado&amp;fec=03-05-2012&amp;num=199" TargetMode="External"/><Relationship Id="rId7" Type="http://schemas.openxmlformats.org/officeDocument/2006/relationships/hyperlink" Target="http://svrpubindc.imprenta.gov.co/senado/index2.xhtml?ent=Camara&amp;fec=12-12-2011&amp;num=958" TargetMode="External"/><Relationship Id="rId12" Type="http://schemas.openxmlformats.org/officeDocument/2006/relationships/hyperlink" Target="http://svrpubindc.imprenta.gov.co/senado/index.xhtml;jsessionid=b3ba7213a248bacd37376ffcedca" TargetMode="External"/><Relationship Id="rId2" Type="http://schemas.openxmlformats.org/officeDocument/2006/relationships/hyperlink" Target="http://www.fao.org/3/ca5162es/ca5162es.pdf" TargetMode="External"/><Relationship Id="rId1" Type="http://schemas.openxmlformats.org/officeDocument/2006/relationships/hyperlink" Target="http://www.fao.org/news/story/es/item/1271897/icode/" TargetMode="External"/><Relationship Id="rId6" Type="http://schemas.openxmlformats.org/officeDocument/2006/relationships/hyperlink" Target="http://svrpubindc.imprenta.gov.co/senado/index.xhtml;jsessionid=b3ba7213a248bacd37376ffcedca" TargetMode="External"/><Relationship Id="rId11" Type="http://schemas.openxmlformats.org/officeDocument/2006/relationships/hyperlink" Target="http://svrpubindc.imprenta.gov.co/senado/index2.xhtml?ent=Senado&amp;fec=02-11-2011&amp;num=814" TargetMode="External"/><Relationship Id="rId5" Type="http://schemas.openxmlformats.org/officeDocument/2006/relationships/hyperlink" Target="http://svrpubindc.imprenta.gov.co/senado/index.xhtml;jsessionid=b3ba7213a248bacd37376ffcedca" TargetMode="External"/><Relationship Id="rId10" Type="http://schemas.openxmlformats.org/officeDocument/2006/relationships/hyperlink" Target="http://svrpubindc.imprenta.gov.co/senado/index.xhtml;jsessionid=b3ba7213a248bacd37376ffcedca" TargetMode="External"/><Relationship Id="rId4" Type="http://schemas.openxmlformats.org/officeDocument/2006/relationships/hyperlink" Target="http://svrpubindc.imprenta.gov.co/senado/index.xhtml;jsessionid=b3ba7213a248bacd37376ffcedca" TargetMode="External"/><Relationship Id="rId9" Type="http://schemas.openxmlformats.org/officeDocument/2006/relationships/hyperlink" Target="http://svrpubindc.imprenta.gov.co/senado/index.xhtml;jsessionid=b3ba7213a248bacd37376ffced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59A77-E46F-4D56-92C5-A5E37BD24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9647</Words>
  <Characters>53059</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JuanS Uribe Q.</dc:creator>
  <cp:keywords/>
  <dc:description/>
  <cp:lastModifiedBy>JuanS Uribe Q.</cp:lastModifiedBy>
  <cp:revision>3</cp:revision>
  <cp:lastPrinted>2020-09-28T20:07:00Z</cp:lastPrinted>
  <dcterms:created xsi:type="dcterms:W3CDTF">2020-09-28T20:09:00Z</dcterms:created>
  <dcterms:modified xsi:type="dcterms:W3CDTF">2020-09-28T23:08:00Z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