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5BD557" w14:textId="77777777" w:rsidR="00672538" w:rsidRPr="00721CBB" w:rsidRDefault="00672538" w:rsidP="00E55EFA">
      <w:pPr>
        <w:jc w:val="center"/>
        <w:rPr>
          <w:rFonts w:ascii="Georgia" w:eastAsia="Arial" w:hAnsi="Georgia" w:cs="Arial"/>
          <w:b/>
          <w:i/>
        </w:rPr>
      </w:pPr>
    </w:p>
    <w:p w14:paraId="26039072" w14:textId="15C4EC8E" w:rsidR="00E55EFA" w:rsidRPr="00721CBB" w:rsidRDefault="00E55EFA" w:rsidP="00721CBB">
      <w:pPr>
        <w:spacing w:line="240" w:lineRule="auto"/>
        <w:jc w:val="center"/>
        <w:rPr>
          <w:rFonts w:ascii="Georgia" w:eastAsia="Arial" w:hAnsi="Georgia" w:cs="Arial"/>
          <w:b/>
          <w:i/>
        </w:rPr>
      </w:pPr>
      <w:r w:rsidRPr="00721CBB">
        <w:rPr>
          <w:rFonts w:ascii="Georgia" w:eastAsia="Arial" w:hAnsi="Georgia" w:cs="Arial"/>
          <w:b/>
          <w:i/>
        </w:rPr>
        <w:t>TEXTO APROBADO EN PRIMER DEBATE POR LA COMISIÓN TERCERA CONSTITUCIONAL PERMANENTE DE LA HONORABLE CÁMARA DE REP</w:t>
      </w:r>
      <w:r w:rsidR="00976E2F" w:rsidRPr="00721CBB">
        <w:rPr>
          <w:rFonts w:ascii="Georgia" w:eastAsia="Arial" w:hAnsi="Georgia" w:cs="Arial"/>
          <w:b/>
          <w:i/>
        </w:rPr>
        <w:t xml:space="preserve">RESENTANTES, EN SESIÓN VIRTUAL FORMAL  DEL DÍA MIÉRCOLES SEIS (6) DE MAYO </w:t>
      </w:r>
      <w:r w:rsidRPr="00721CBB">
        <w:rPr>
          <w:rFonts w:ascii="Georgia" w:eastAsia="Arial" w:hAnsi="Georgia" w:cs="Arial"/>
          <w:b/>
          <w:i/>
        </w:rPr>
        <w:t xml:space="preserve"> DE DOS</w:t>
      </w:r>
      <w:r w:rsidR="00976E2F" w:rsidRPr="00721CBB">
        <w:rPr>
          <w:rFonts w:ascii="Georgia" w:eastAsia="Arial" w:hAnsi="Georgia" w:cs="Arial"/>
          <w:b/>
          <w:i/>
        </w:rPr>
        <w:t xml:space="preserve"> MIL VEINTE  (2020</w:t>
      </w:r>
      <w:r w:rsidRPr="00721CBB">
        <w:rPr>
          <w:rFonts w:ascii="Georgia" w:eastAsia="Arial" w:hAnsi="Georgia" w:cs="Arial"/>
          <w:b/>
          <w:i/>
        </w:rPr>
        <w:t>)</w:t>
      </w:r>
    </w:p>
    <w:p w14:paraId="69BB9E02" w14:textId="77777777" w:rsidR="00E55EFA" w:rsidRPr="00721CBB" w:rsidRDefault="00E55EFA" w:rsidP="00721CBB">
      <w:pPr>
        <w:spacing w:line="240" w:lineRule="auto"/>
        <w:jc w:val="center"/>
        <w:rPr>
          <w:rFonts w:ascii="Georgia" w:hAnsi="Georgia" w:cs="Arial"/>
          <w:b/>
          <w:i/>
        </w:rPr>
      </w:pPr>
    </w:p>
    <w:p w14:paraId="63F1FA3E" w14:textId="0D46BF46" w:rsidR="00976E2F" w:rsidRPr="00721CBB" w:rsidRDefault="00682F31" w:rsidP="00976E2F">
      <w:pPr>
        <w:jc w:val="center"/>
        <w:rPr>
          <w:rFonts w:ascii="Georgia" w:hAnsi="Georgia" w:cs="Arial"/>
          <w:b/>
          <w:i/>
        </w:rPr>
      </w:pPr>
      <w:r w:rsidRPr="00721CBB">
        <w:rPr>
          <w:rFonts w:ascii="Georgia" w:hAnsi="Georgia" w:cs="Arial"/>
          <w:b/>
          <w:i/>
        </w:rPr>
        <w:t xml:space="preserve">AL PROYECTO DE LEY </w:t>
      </w:r>
      <w:r w:rsidR="00976E2F" w:rsidRPr="00721CBB">
        <w:rPr>
          <w:rFonts w:ascii="Georgia" w:hAnsi="Georgia" w:cs="Arial"/>
          <w:b/>
          <w:i/>
        </w:rPr>
        <w:t>No. 135</w:t>
      </w:r>
      <w:r w:rsidR="00E55EFA" w:rsidRPr="00721CBB">
        <w:rPr>
          <w:rFonts w:ascii="Georgia" w:hAnsi="Georgia" w:cs="Arial"/>
          <w:b/>
          <w:i/>
        </w:rPr>
        <w:t xml:space="preserve"> DE 2019</w:t>
      </w:r>
      <w:r w:rsidR="00976E2F" w:rsidRPr="00721CBB">
        <w:rPr>
          <w:rFonts w:ascii="Georgia" w:hAnsi="Georgia" w:cs="Arial"/>
          <w:b/>
          <w:i/>
        </w:rPr>
        <w:t xml:space="preserve"> CÁMARA</w:t>
      </w:r>
    </w:p>
    <w:p w14:paraId="551A0FD6" w14:textId="77777777" w:rsidR="00976E2F" w:rsidRPr="00721CBB" w:rsidRDefault="00976E2F" w:rsidP="00976E2F">
      <w:pPr>
        <w:rPr>
          <w:rFonts w:ascii="Georgia" w:hAnsi="Georgia" w:cs="Arial"/>
          <w:i/>
        </w:rPr>
      </w:pPr>
    </w:p>
    <w:p w14:paraId="1429385C" w14:textId="64CE9C3B" w:rsidR="00976E2F" w:rsidRPr="00721CBB" w:rsidRDefault="00976E2F" w:rsidP="00C41570">
      <w:pPr>
        <w:spacing w:after="160" w:line="259" w:lineRule="auto"/>
        <w:jc w:val="center"/>
        <w:rPr>
          <w:rFonts w:ascii="Georgia" w:eastAsiaTheme="minorHAnsi" w:hAnsi="Georgia" w:cs="Arial"/>
          <w:b/>
          <w:i/>
          <w:lang w:val="es-CO"/>
        </w:rPr>
      </w:pPr>
      <w:r w:rsidRPr="00721CBB">
        <w:rPr>
          <w:rFonts w:ascii="Georgia" w:hAnsi="Georgia" w:cs="Arial"/>
          <w:b/>
          <w:i/>
        </w:rPr>
        <w:t>“Por medio de la cual se adiciona un parágrafo al artículo 130 de la ley 488 de 1998</w:t>
      </w:r>
      <w:r w:rsidRPr="00721CBB">
        <w:rPr>
          <w:rFonts w:ascii="Georgia" w:eastAsiaTheme="minorHAnsi" w:hAnsi="Georgia" w:cs="Arial"/>
          <w:b/>
          <w:i/>
          <w:lang w:val="es-CO"/>
        </w:rPr>
        <w:t>”.</w:t>
      </w:r>
    </w:p>
    <w:p w14:paraId="0C63E516" w14:textId="77777777" w:rsidR="00976E2F" w:rsidRPr="00721CBB" w:rsidRDefault="00976E2F" w:rsidP="00976E2F">
      <w:pPr>
        <w:spacing w:line="259" w:lineRule="auto"/>
        <w:rPr>
          <w:rFonts w:ascii="Georgia" w:eastAsiaTheme="minorHAnsi" w:hAnsi="Georgia" w:cs="Arial"/>
          <w:b/>
          <w:i/>
          <w:lang w:val="es-CO"/>
        </w:rPr>
      </w:pPr>
    </w:p>
    <w:p w14:paraId="6F58314A" w14:textId="77777777" w:rsidR="00976E2F" w:rsidRPr="00721CBB" w:rsidRDefault="00976E2F" w:rsidP="00976E2F">
      <w:pPr>
        <w:spacing w:line="259" w:lineRule="auto"/>
        <w:jc w:val="center"/>
        <w:rPr>
          <w:rFonts w:ascii="Georgia" w:eastAsiaTheme="minorHAnsi" w:hAnsi="Georgia" w:cs="Arial"/>
          <w:b/>
          <w:bCs/>
          <w:i/>
          <w:lang w:val="es-CO" w:eastAsia="en-US"/>
        </w:rPr>
      </w:pPr>
      <w:r w:rsidRPr="00721CBB">
        <w:rPr>
          <w:rFonts w:ascii="Georgia" w:eastAsiaTheme="minorHAnsi" w:hAnsi="Georgia" w:cs="Arial"/>
          <w:b/>
          <w:bCs/>
          <w:i/>
          <w:lang w:val="es-CO" w:eastAsia="en-US"/>
        </w:rPr>
        <w:t>EL CONGRESO DE LA REPÚBLICA</w:t>
      </w:r>
    </w:p>
    <w:p w14:paraId="2567DBD8" w14:textId="77777777" w:rsidR="00976E2F" w:rsidRPr="00721CBB" w:rsidRDefault="00976E2F" w:rsidP="00976E2F">
      <w:pPr>
        <w:spacing w:line="259" w:lineRule="auto"/>
        <w:jc w:val="center"/>
        <w:rPr>
          <w:rFonts w:ascii="Georgia" w:eastAsiaTheme="minorHAnsi" w:hAnsi="Georgia" w:cs="Arial"/>
          <w:b/>
          <w:bCs/>
          <w:i/>
          <w:lang w:val="es-CO" w:eastAsia="en-US"/>
        </w:rPr>
      </w:pPr>
      <w:r w:rsidRPr="00721CBB">
        <w:rPr>
          <w:rFonts w:ascii="Georgia" w:eastAsiaTheme="minorHAnsi" w:hAnsi="Georgia" w:cs="Arial"/>
          <w:b/>
          <w:bCs/>
          <w:i/>
          <w:lang w:val="es-CO" w:eastAsia="en-US"/>
        </w:rPr>
        <w:t xml:space="preserve"> </w:t>
      </w:r>
    </w:p>
    <w:p w14:paraId="1C69BFF8" w14:textId="77777777" w:rsidR="00976E2F" w:rsidRPr="00721CBB" w:rsidRDefault="00976E2F" w:rsidP="00976E2F">
      <w:pPr>
        <w:spacing w:line="259" w:lineRule="auto"/>
        <w:jc w:val="center"/>
        <w:rPr>
          <w:rFonts w:ascii="Georgia" w:eastAsiaTheme="minorHAnsi" w:hAnsi="Georgia" w:cs="Arial"/>
          <w:b/>
          <w:bCs/>
          <w:i/>
          <w:lang w:val="es-CO" w:eastAsia="en-US"/>
        </w:rPr>
      </w:pPr>
      <w:r w:rsidRPr="00721CBB">
        <w:rPr>
          <w:rFonts w:ascii="Georgia" w:eastAsiaTheme="minorHAnsi" w:hAnsi="Georgia" w:cs="Arial"/>
          <w:b/>
          <w:bCs/>
          <w:i/>
          <w:lang w:val="es-CO" w:eastAsia="en-US"/>
        </w:rPr>
        <w:t>DECRETA:</w:t>
      </w:r>
    </w:p>
    <w:p w14:paraId="4503D39E" w14:textId="77777777" w:rsidR="00976E2F" w:rsidRPr="00721CBB" w:rsidRDefault="00976E2F" w:rsidP="00976E2F">
      <w:pPr>
        <w:rPr>
          <w:rFonts w:ascii="Georgia" w:eastAsiaTheme="minorHAnsi" w:hAnsi="Georgia" w:cs="Arial"/>
          <w:i/>
          <w:lang w:val="es-CO"/>
        </w:rPr>
      </w:pPr>
    </w:p>
    <w:p w14:paraId="3EDA2446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b/>
          <w:i/>
        </w:rPr>
        <w:t xml:space="preserve">Artículo 1. </w:t>
      </w:r>
      <w:r w:rsidRPr="00721CBB">
        <w:rPr>
          <w:rFonts w:ascii="Georgia" w:hAnsi="Georgia" w:cs="Arial"/>
          <w:i/>
        </w:rPr>
        <w:t>Inclúyase un parágrafo nuevo al artículo 130 de la Ley 488 de 1998, el cual quedará así:</w:t>
      </w:r>
    </w:p>
    <w:p w14:paraId="51AE5D08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</w:p>
    <w:p w14:paraId="2933E050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b/>
          <w:i/>
        </w:rPr>
        <w:t>PARÁGRAFO:</w:t>
      </w:r>
      <w:r w:rsidRPr="00721CBB">
        <w:rPr>
          <w:rFonts w:ascii="Georgia" w:hAnsi="Georgia" w:cs="Arial"/>
          <w:i/>
        </w:rPr>
        <w:t xml:space="preserve"> Los recursos del Fondo de Subsidio de la Sobretasa a la Gasolina se destinarán para financiar proyectos de construcción, mejoramiento, rehabilitación y mantenimiento de la red vial y caminera.</w:t>
      </w:r>
    </w:p>
    <w:p w14:paraId="46311FD3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</w:p>
    <w:p w14:paraId="659EB56C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i/>
        </w:rPr>
        <w:t>Si la suma resultante de las áreas rurales de resguardo</w:t>
      </w:r>
      <w:r w:rsidRPr="00721CBB">
        <w:rPr>
          <w:rFonts w:ascii="Georgia" w:hAnsi="Georgia" w:cs="Arial"/>
          <w:i/>
          <w:color w:val="000000"/>
        </w:rPr>
        <w:t xml:space="preserve"> indígena y </w:t>
      </w:r>
      <w:r w:rsidRPr="00721CBB">
        <w:rPr>
          <w:rFonts w:ascii="Georgia" w:hAnsi="Georgia" w:cs="Arial"/>
          <w:i/>
        </w:rPr>
        <w:t>consejos comunitarios de comunidades negras adscritas a la entidad territorial beneficiaria del Fondo de Subsidio de la Sobretasa a la Gasolina es un valor superior o igual al 70% del total de su territorio, el ente territorial invertirá al menos el 30% de los recursos de dicho Fondo en estas zonas colectivas. Si la suma resultante en mención es un valor inferior al 70% del total de su territorio, el ente territorial invertirá por lo menos el 10% de los recursos del Fondo en las zonas colectivas.</w:t>
      </w:r>
    </w:p>
    <w:p w14:paraId="14A2CCEC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bookmarkStart w:id="0" w:name="_heading=h.gjdgxs" w:colFirst="0" w:colLast="0"/>
      <w:bookmarkEnd w:id="0"/>
    </w:p>
    <w:p w14:paraId="449C47A9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i/>
        </w:rPr>
        <w:t>La entidad territorial departamental que no esté constituida por alguna zona colectiva de minorías étnicas, destinará el 100% de los recursos del Fondo conforme indica la ley.</w:t>
      </w:r>
    </w:p>
    <w:p w14:paraId="3A75F4A3" w14:textId="77777777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</w:p>
    <w:p w14:paraId="0DCE8154" w14:textId="278D2604" w:rsidR="00976E2F" w:rsidRPr="00721CBB" w:rsidRDefault="00976E2F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b/>
          <w:i/>
        </w:rPr>
        <w:t>Artículo 2.</w:t>
      </w:r>
      <w:r w:rsidRPr="00721CBB">
        <w:rPr>
          <w:rFonts w:ascii="Georgia" w:hAnsi="Georgia" w:cs="Arial"/>
          <w:i/>
        </w:rPr>
        <w:t xml:space="preserve"> La presente ley rige a partir de la fecha de su publicación y deroga las disposiciones que le sean contrarias.</w:t>
      </w:r>
    </w:p>
    <w:p w14:paraId="3FE36C95" w14:textId="77777777" w:rsidR="00976E2F" w:rsidRPr="00721CBB" w:rsidRDefault="00976E2F" w:rsidP="00682F31">
      <w:pPr>
        <w:rPr>
          <w:rFonts w:ascii="Georgia" w:hAnsi="Georgia" w:cs="Arial"/>
          <w:i/>
        </w:rPr>
      </w:pPr>
    </w:p>
    <w:p w14:paraId="6221C888" w14:textId="4ABB48A2" w:rsidR="00537D97" w:rsidRPr="00721CBB" w:rsidRDefault="00E55EFA" w:rsidP="00C41570">
      <w:pPr>
        <w:spacing w:after="160" w:line="259" w:lineRule="auto"/>
        <w:rPr>
          <w:rFonts w:ascii="Georgia" w:eastAsiaTheme="minorHAnsi" w:hAnsi="Georgia" w:cs="Arial"/>
          <w:b/>
          <w:i/>
          <w:lang w:val="es-CO"/>
        </w:rPr>
      </w:pPr>
      <w:r w:rsidRPr="00721CBB">
        <w:rPr>
          <w:rFonts w:ascii="Georgia" w:hAnsi="Georgia" w:cs="Arial"/>
          <w:b/>
          <w:i/>
        </w:rPr>
        <w:lastRenderedPageBreak/>
        <w:t>CÁMARA DE REPRESENTANTES.</w:t>
      </w:r>
      <w:r w:rsidR="006A33A5" w:rsidRPr="00721CBB">
        <w:rPr>
          <w:rFonts w:ascii="Georgia" w:hAnsi="Georgia" w:cs="Arial"/>
          <w:b/>
          <w:i/>
        </w:rPr>
        <w:t xml:space="preserve"> </w:t>
      </w:r>
      <w:r w:rsidRPr="00721CBB">
        <w:rPr>
          <w:rFonts w:ascii="Georgia" w:hAnsi="Georgia" w:cs="Arial"/>
          <w:b/>
          <w:i/>
        </w:rPr>
        <w:t>-</w:t>
      </w:r>
      <w:r w:rsidR="006A33A5" w:rsidRPr="00721CBB">
        <w:rPr>
          <w:rFonts w:ascii="Georgia" w:hAnsi="Georgia" w:cs="Arial"/>
          <w:b/>
          <w:i/>
        </w:rPr>
        <w:t xml:space="preserve"> </w:t>
      </w:r>
      <w:r w:rsidRPr="00721CBB">
        <w:rPr>
          <w:rFonts w:ascii="Georgia" w:hAnsi="Georgia" w:cs="Arial"/>
          <w:b/>
          <w:i/>
        </w:rPr>
        <w:t>COMISIÓN TE</w:t>
      </w:r>
      <w:r w:rsidR="00537D97" w:rsidRPr="00721CBB">
        <w:rPr>
          <w:rFonts w:ascii="Georgia" w:hAnsi="Georgia" w:cs="Arial"/>
          <w:b/>
          <w:i/>
        </w:rPr>
        <w:t>RCERA CONSTITUCIONAL PERMANENTE</w:t>
      </w:r>
      <w:r w:rsidR="008F792A" w:rsidRPr="00721CBB">
        <w:rPr>
          <w:rFonts w:ascii="Georgia" w:hAnsi="Georgia" w:cs="Arial"/>
          <w:b/>
          <w:i/>
        </w:rPr>
        <w:t>.- ASUNTOS ECONÓMICOS.</w:t>
      </w:r>
      <w:r w:rsidRPr="00721CBB">
        <w:rPr>
          <w:rFonts w:ascii="Georgia" w:hAnsi="Georgia" w:cs="Arial"/>
          <w:b/>
          <w:i/>
        </w:rPr>
        <w:t xml:space="preserve"> </w:t>
      </w:r>
      <w:r w:rsidR="00C41570" w:rsidRPr="00721CBB">
        <w:rPr>
          <w:rFonts w:ascii="Georgia" w:hAnsi="Georgia" w:cs="Arial"/>
          <w:i/>
        </w:rPr>
        <w:t>Mayo seis (6</w:t>
      </w:r>
      <w:r w:rsidRPr="00721CBB">
        <w:rPr>
          <w:rFonts w:ascii="Georgia" w:hAnsi="Georgia" w:cs="Arial"/>
          <w:i/>
        </w:rPr>
        <w:t xml:space="preserve">) de dos mil </w:t>
      </w:r>
      <w:r w:rsidR="00C41570" w:rsidRPr="00721CBB">
        <w:rPr>
          <w:rFonts w:ascii="Georgia" w:hAnsi="Georgia" w:cs="Arial"/>
          <w:i/>
        </w:rPr>
        <w:t>veinte (2020</w:t>
      </w:r>
      <w:r w:rsidR="00F41D7B" w:rsidRPr="00721CBB">
        <w:rPr>
          <w:rFonts w:ascii="Georgia" w:hAnsi="Georgia" w:cs="Arial"/>
          <w:i/>
        </w:rPr>
        <w:t>)</w:t>
      </w:r>
      <w:r w:rsidRPr="00721CBB">
        <w:rPr>
          <w:rFonts w:ascii="Georgia" w:hAnsi="Georgia" w:cs="Arial"/>
          <w:i/>
        </w:rPr>
        <w:t xml:space="preserve">. </w:t>
      </w:r>
      <w:r w:rsidR="008F792A" w:rsidRPr="00721CBB">
        <w:rPr>
          <w:rFonts w:ascii="Georgia" w:hAnsi="Georgia" w:cs="Arial"/>
          <w:i/>
        </w:rPr>
        <w:t xml:space="preserve">En Sesión de la fecha </w:t>
      </w:r>
      <w:r w:rsidR="00F41D7B" w:rsidRPr="00721CBB">
        <w:rPr>
          <w:rFonts w:ascii="Georgia" w:hAnsi="Georgia" w:cs="Arial"/>
          <w:i/>
        </w:rPr>
        <w:t>fue aprobado en Primer D</w:t>
      </w:r>
      <w:r w:rsidR="00537D97" w:rsidRPr="00721CBB">
        <w:rPr>
          <w:rFonts w:ascii="Georgia" w:hAnsi="Georgia" w:cs="Arial"/>
          <w:i/>
        </w:rPr>
        <w:t>ebate en los términos anter</w:t>
      </w:r>
      <w:r w:rsidR="00F41D7B" w:rsidRPr="00721CBB">
        <w:rPr>
          <w:rFonts w:ascii="Georgia" w:hAnsi="Georgia" w:cs="Arial"/>
          <w:i/>
        </w:rPr>
        <w:t>iores y sin modificaciones, el Proyecto de L</w:t>
      </w:r>
      <w:r w:rsidR="00C41570" w:rsidRPr="00721CBB">
        <w:rPr>
          <w:rFonts w:ascii="Georgia" w:hAnsi="Georgia" w:cs="Arial"/>
          <w:i/>
        </w:rPr>
        <w:t xml:space="preserve">ey </w:t>
      </w:r>
      <w:proofErr w:type="spellStart"/>
      <w:r w:rsidR="00C41570" w:rsidRPr="00721CBB">
        <w:rPr>
          <w:rFonts w:ascii="Georgia" w:hAnsi="Georgia" w:cs="Arial"/>
          <w:i/>
        </w:rPr>
        <w:t>N</w:t>
      </w:r>
      <w:r w:rsidR="006A33A5" w:rsidRPr="00721CBB">
        <w:rPr>
          <w:rFonts w:ascii="Georgia" w:hAnsi="Georgia" w:cs="Arial"/>
          <w:i/>
        </w:rPr>
        <w:t>º</w:t>
      </w:r>
      <w:proofErr w:type="spellEnd"/>
      <w:r w:rsidR="00C41570" w:rsidRPr="00721CBB">
        <w:rPr>
          <w:rFonts w:ascii="Georgia" w:hAnsi="Georgia" w:cs="Arial"/>
          <w:i/>
        </w:rPr>
        <w:t xml:space="preserve">. 135 </w:t>
      </w:r>
      <w:r w:rsidR="00537D97" w:rsidRPr="00721CBB">
        <w:rPr>
          <w:rFonts w:ascii="Georgia" w:hAnsi="Georgia" w:cs="Arial"/>
          <w:i/>
        </w:rPr>
        <w:t>de</w:t>
      </w:r>
      <w:r w:rsidR="00F41D7B" w:rsidRPr="00721CBB">
        <w:rPr>
          <w:rFonts w:ascii="Georgia" w:hAnsi="Georgia" w:cs="Arial"/>
          <w:i/>
        </w:rPr>
        <w:t xml:space="preserve"> </w:t>
      </w:r>
      <w:r w:rsidR="00537D97" w:rsidRPr="00721CBB">
        <w:rPr>
          <w:rFonts w:ascii="Georgia" w:hAnsi="Georgia" w:cs="Arial"/>
          <w:i/>
        </w:rPr>
        <w:t xml:space="preserve">2019 Cámara </w:t>
      </w:r>
      <w:r w:rsidR="00C41570" w:rsidRPr="00721CBB">
        <w:rPr>
          <w:rFonts w:ascii="Georgia" w:hAnsi="Georgia" w:cs="Arial"/>
          <w:b/>
          <w:i/>
        </w:rPr>
        <w:t>“Por medio de la cual se adiciona un parágrafo al artículo 130 de la ley 488 de 1998</w:t>
      </w:r>
      <w:r w:rsidR="00C41570" w:rsidRPr="00721CBB">
        <w:rPr>
          <w:rFonts w:ascii="Georgia" w:eastAsiaTheme="minorHAnsi" w:hAnsi="Georgia" w:cs="Arial"/>
          <w:b/>
          <w:i/>
          <w:lang w:val="es-CO"/>
        </w:rPr>
        <w:t>”</w:t>
      </w:r>
      <w:r w:rsidR="00537D97" w:rsidRPr="00721CBB">
        <w:rPr>
          <w:rFonts w:ascii="Georgia" w:hAnsi="Georgia" w:cs="Arial"/>
          <w:b/>
          <w:i/>
        </w:rPr>
        <w:t xml:space="preserve">, </w:t>
      </w:r>
      <w:r w:rsidR="00537D97" w:rsidRPr="00721CBB">
        <w:rPr>
          <w:rFonts w:ascii="Georgia" w:hAnsi="Georgia" w:cs="Arial"/>
          <w:i/>
        </w:rPr>
        <w:t>previo anuncio de</w:t>
      </w:r>
      <w:r w:rsidR="00C41570" w:rsidRPr="00721CBB">
        <w:rPr>
          <w:rFonts w:ascii="Georgia" w:hAnsi="Georgia" w:cs="Arial"/>
          <w:i/>
        </w:rPr>
        <w:t xml:space="preserve"> su votación en Sesión Formal Virtual  el día 0</w:t>
      </w:r>
      <w:r w:rsidR="0048105B" w:rsidRPr="00721CBB">
        <w:rPr>
          <w:rFonts w:ascii="Georgia" w:hAnsi="Georgia" w:cs="Arial"/>
          <w:i/>
        </w:rPr>
        <w:t>5</w:t>
      </w:r>
      <w:r w:rsidR="00C41570" w:rsidRPr="00721CBB">
        <w:rPr>
          <w:rFonts w:ascii="Georgia" w:hAnsi="Georgia" w:cs="Arial"/>
          <w:i/>
        </w:rPr>
        <w:t xml:space="preserve">  de mayo de 2020</w:t>
      </w:r>
      <w:r w:rsidR="00537D97" w:rsidRPr="00721CBB">
        <w:rPr>
          <w:rFonts w:ascii="Georgia" w:hAnsi="Georgia" w:cs="Arial"/>
          <w:i/>
        </w:rPr>
        <w:t>, en cumplimiento al artículo 8º del Acto Legislativo 01 de 2003.</w:t>
      </w:r>
    </w:p>
    <w:p w14:paraId="010D65BB" w14:textId="77777777" w:rsidR="00537D97" w:rsidRPr="00721CBB" w:rsidRDefault="00537D97" w:rsidP="00682F31">
      <w:pPr>
        <w:rPr>
          <w:rFonts w:ascii="Georgia" w:hAnsi="Georgia" w:cs="Arial"/>
          <w:i/>
        </w:rPr>
      </w:pPr>
    </w:p>
    <w:p w14:paraId="23F71E22" w14:textId="578F8F35" w:rsidR="00E55EFA" w:rsidRPr="00721CBB" w:rsidRDefault="00537D97" w:rsidP="00704270">
      <w:pPr>
        <w:spacing w:line="240" w:lineRule="auto"/>
        <w:rPr>
          <w:rFonts w:ascii="Georgia" w:hAnsi="Georgia" w:cs="Arial"/>
          <w:i/>
        </w:rPr>
      </w:pPr>
      <w:r w:rsidRPr="00721CBB">
        <w:rPr>
          <w:rFonts w:ascii="Georgia" w:hAnsi="Georgia" w:cs="Arial"/>
          <w:i/>
        </w:rPr>
        <w:t>Lo anteri</w:t>
      </w:r>
      <w:r w:rsidR="00F41D7B" w:rsidRPr="00721CBB">
        <w:rPr>
          <w:rFonts w:ascii="Georgia" w:hAnsi="Georgia" w:cs="Arial"/>
          <w:i/>
        </w:rPr>
        <w:t>or con el fin de que el citado Proyecto de L</w:t>
      </w:r>
      <w:r w:rsidRPr="00721CBB">
        <w:rPr>
          <w:rFonts w:ascii="Georgia" w:hAnsi="Georgia" w:cs="Arial"/>
          <w:i/>
        </w:rPr>
        <w:t>ey siga su curso legal en Segundo Debate en la Plenaria de la Cámara de Representantes.</w:t>
      </w:r>
    </w:p>
    <w:p w14:paraId="15BC88D2" w14:textId="2270A050" w:rsidR="00537D97" w:rsidRPr="00721CBB" w:rsidRDefault="00537D97" w:rsidP="00682F31">
      <w:pPr>
        <w:rPr>
          <w:rFonts w:ascii="Georgia" w:hAnsi="Georgia" w:cs="Arial"/>
          <w:i/>
        </w:rPr>
      </w:pPr>
    </w:p>
    <w:p w14:paraId="55C2D4F5" w14:textId="5D687132" w:rsidR="00537D97" w:rsidRPr="00721CBB" w:rsidRDefault="00537D97" w:rsidP="00682F31">
      <w:pPr>
        <w:rPr>
          <w:rFonts w:ascii="Georgia" w:hAnsi="Georgia" w:cs="Arial"/>
          <w:i/>
        </w:rPr>
      </w:pPr>
    </w:p>
    <w:p w14:paraId="217F80D3" w14:textId="2A8B22D0" w:rsidR="00537D97" w:rsidRPr="00721CBB" w:rsidRDefault="00537D97" w:rsidP="00721CBB">
      <w:pPr>
        <w:rPr>
          <w:rFonts w:ascii="Georgia" w:hAnsi="Georgia" w:cs="Arial"/>
          <w:i/>
        </w:rPr>
      </w:pPr>
    </w:p>
    <w:p w14:paraId="36C35882" w14:textId="5DC21631" w:rsidR="00537D97" w:rsidRPr="00721CBB" w:rsidRDefault="00403B93" w:rsidP="003321A9">
      <w:pPr>
        <w:spacing w:line="240" w:lineRule="auto"/>
        <w:jc w:val="center"/>
        <w:rPr>
          <w:rFonts w:ascii="Georgia" w:hAnsi="Georgia" w:cs="Arial"/>
          <w:b/>
          <w:i/>
        </w:rPr>
      </w:pPr>
      <w:r w:rsidRPr="00721CBB">
        <w:rPr>
          <w:rFonts w:ascii="Georgia" w:hAnsi="Georgia" w:cs="Arial"/>
          <w:b/>
          <w:i/>
        </w:rPr>
        <w:t>JOHN JAIRO ROLDÁ</w:t>
      </w:r>
      <w:r w:rsidR="00537D97" w:rsidRPr="00721CBB">
        <w:rPr>
          <w:rFonts w:ascii="Georgia" w:hAnsi="Georgia" w:cs="Arial"/>
          <w:b/>
          <w:i/>
        </w:rPr>
        <w:t>N AVENDAÑO</w:t>
      </w:r>
    </w:p>
    <w:p w14:paraId="37809FBE" w14:textId="6DE6C053" w:rsidR="00537D97" w:rsidRPr="00721CBB" w:rsidRDefault="00537D97" w:rsidP="003321A9">
      <w:pPr>
        <w:spacing w:line="240" w:lineRule="auto"/>
        <w:jc w:val="center"/>
        <w:rPr>
          <w:rFonts w:ascii="Georgia" w:hAnsi="Georgia" w:cs="Arial"/>
          <w:i/>
        </w:rPr>
      </w:pPr>
      <w:r w:rsidRPr="00721CBB">
        <w:rPr>
          <w:rFonts w:ascii="Georgia" w:hAnsi="Georgia" w:cs="Arial"/>
          <w:i/>
        </w:rPr>
        <w:t>Presidente</w:t>
      </w:r>
    </w:p>
    <w:p w14:paraId="5B6CC4AB" w14:textId="2581F478" w:rsidR="00537D97" w:rsidRPr="00721CBB" w:rsidRDefault="003321A9" w:rsidP="00721CBB">
      <w:pPr>
        <w:rPr>
          <w:rFonts w:ascii="Georgia" w:hAnsi="Georgia" w:cs="Arial"/>
          <w:i/>
        </w:rPr>
      </w:pPr>
      <w:r w:rsidRPr="00721CBB">
        <w:rPr>
          <w:noProof/>
          <w:lang w:val="es-CO" w:eastAsia="es-CO"/>
        </w:rPr>
        <w:drawing>
          <wp:anchor distT="0" distB="0" distL="0" distR="0" simplePos="0" relativeHeight="251659264" behindDoc="0" locked="0" layoutInCell="1" allowOverlap="1" wp14:anchorId="787A11B8" wp14:editId="4E9A1474">
            <wp:simplePos x="0" y="0"/>
            <wp:positionH relativeFrom="margin">
              <wp:posOffset>1905000</wp:posOffset>
            </wp:positionH>
            <wp:positionV relativeFrom="paragraph">
              <wp:posOffset>332740</wp:posOffset>
            </wp:positionV>
            <wp:extent cx="1797685" cy="868045"/>
            <wp:effectExtent l="0" t="0" r="0" b="8255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8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560C5C" w14:textId="76D35C1E" w:rsidR="00537D97" w:rsidRPr="00721CBB" w:rsidRDefault="00537D97" w:rsidP="00537D97">
      <w:pPr>
        <w:jc w:val="center"/>
        <w:rPr>
          <w:rFonts w:ascii="Georgia" w:hAnsi="Georgia" w:cs="Arial"/>
          <w:i/>
        </w:rPr>
      </w:pPr>
    </w:p>
    <w:p w14:paraId="49FF8C24" w14:textId="6957DD69" w:rsidR="00537D97" w:rsidRPr="00721CBB" w:rsidRDefault="00537D97" w:rsidP="003321A9">
      <w:pPr>
        <w:spacing w:line="240" w:lineRule="auto"/>
        <w:jc w:val="center"/>
        <w:rPr>
          <w:rFonts w:ascii="Georgia" w:hAnsi="Georgia" w:cs="Arial"/>
          <w:b/>
          <w:i/>
        </w:rPr>
      </w:pPr>
      <w:r w:rsidRPr="00721CBB">
        <w:rPr>
          <w:rFonts w:ascii="Georgia" w:hAnsi="Georgia" w:cs="Arial"/>
          <w:b/>
          <w:i/>
        </w:rPr>
        <w:t>ELIZABETH MARTÍNEZ BARRERA</w:t>
      </w:r>
    </w:p>
    <w:p w14:paraId="56450CC8" w14:textId="2039BBCD" w:rsidR="00537D97" w:rsidRPr="00721CBB" w:rsidRDefault="00537D97" w:rsidP="003321A9">
      <w:pPr>
        <w:spacing w:line="240" w:lineRule="auto"/>
        <w:jc w:val="center"/>
        <w:rPr>
          <w:rFonts w:ascii="Georgia" w:hAnsi="Georgia" w:cs="Arial"/>
          <w:i/>
        </w:rPr>
      </w:pPr>
      <w:r w:rsidRPr="00721CBB">
        <w:rPr>
          <w:rFonts w:ascii="Georgia" w:hAnsi="Georgia" w:cs="Arial"/>
          <w:i/>
        </w:rPr>
        <w:t>Secretaria General</w:t>
      </w:r>
    </w:p>
    <w:p w14:paraId="0753065C" w14:textId="1DB5689D" w:rsidR="008E2D42" w:rsidRPr="00721CBB" w:rsidRDefault="008E2D42" w:rsidP="00682F31">
      <w:pPr>
        <w:jc w:val="center"/>
        <w:rPr>
          <w:rFonts w:ascii="Georgia" w:eastAsia="Arial" w:hAnsi="Georgia" w:cs="Arial"/>
          <w:i/>
        </w:rPr>
      </w:pPr>
    </w:p>
    <w:sectPr w:rsidR="008E2D42" w:rsidRPr="00721CBB" w:rsidSect="00833C2A">
      <w:headerReference w:type="default" r:id="rId9"/>
      <w:footerReference w:type="default" r:id="rId10"/>
      <w:pgSz w:w="12240" w:h="15840" w:code="1"/>
      <w:pgMar w:top="1701" w:right="1701" w:bottom="24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5D22CA" w14:textId="77777777" w:rsidR="0077650C" w:rsidRDefault="0077650C">
      <w:pPr>
        <w:spacing w:line="240" w:lineRule="auto"/>
      </w:pPr>
      <w:r>
        <w:separator/>
      </w:r>
    </w:p>
  </w:endnote>
  <w:endnote w:type="continuationSeparator" w:id="0">
    <w:p w14:paraId="5009DA1E" w14:textId="77777777" w:rsidR="0077650C" w:rsidRDefault="007765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F73646" w14:textId="66ED55DC" w:rsidR="0033269C" w:rsidRPr="00537D97" w:rsidRDefault="00537D97" w:rsidP="00537D97">
    <w:pPr>
      <w:pBdr>
        <w:top w:val="nil"/>
        <w:left w:val="nil"/>
        <w:bottom w:val="nil"/>
        <w:right w:val="nil"/>
        <w:between w:val="nil"/>
      </w:pBdr>
      <w:tabs>
        <w:tab w:val="center" w:pos="4420"/>
        <w:tab w:val="left" w:pos="5749"/>
      </w:tabs>
      <w:spacing w:line="240" w:lineRule="auto"/>
      <w:jc w:val="center"/>
      <w:rPr>
        <w:rFonts w:ascii="Georgia" w:eastAsia="Georgia" w:hAnsi="Georgia" w:cs="Georgia"/>
        <w:i/>
        <w:color w:val="000000"/>
      </w:rPr>
    </w:pPr>
    <w:r>
      <w:rPr>
        <w:color w:val="000000"/>
      </w:rPr>
      <w:t xml:space="preserve">________________________________________________________________________ </w:t>
    </w:r>
    <w:r w:rsidRPr="00537D97">
      <w:rPr>
        <w:i/>
        <w:color w:val="000000"/>
      </w:rPr>
      <w:t>Secretaría Comisión Tercera. Texto Aprob</w:t>
    </w:r>
    <w:r w:rsidR="00C41570">
      <w:rPr>
        <w:i/>
        <w:color w:val="000000"/>
      </w:rPr>
      <w:t xml:space="preserve">ado en primer debate al P.L. 135 </w:t>
    </w:r>
    <w:r w:rsidRPr="00537D97">
      <w:rPr>
        <w:i/>
        <w:color w:val="000000"/>
      </w:rPr>
      <w:t xml:space="preserve"> de 2019 Cámara</w:t>
    </w:r>
  </w:p>
  <w:p w14:paraId="77E9CB02" w14:textId="77777777" w:rsidR="0033269C" w:rsidRPr="00537D97" w:rsidRDefault="003326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F07C9" w14:textId="77777777" w:rsidR="0077650C" w:rsidRDefault="0077650C">
      <w:pPr>
        <w:spacing w:line="240" w:lineRule="auto"/>
      </w:pPr>
      <w:r>
        <w:separator/>
      </w:r>
    </w:p>
  </w:footnote>
  <w:footnote w:type="continuationSeparator" w:id="0">
    <w:p w14:paraId="504E29B4" w14:textId="77777777" w:rsidR="0077650C" w:rsidRDefault="007765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B174F" w14:textId="51792047" w:rsidR="0033269C" w:rsidRDefault="00E55EF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jc w:val="center"/>
      <w:rPr>
        <w:rFonts w:ascii="Arial" w:eastAsia="Arial" w:hAnsi="Arial" w:cs="Arial"/>
        <w:color w:val="808080"/>
        <w:sz w:val="16"/>
        <w:szCs w:val="16"/>
      </w:rPr>
    </w:pPr>
    <w:r w:rsidRPr="00B41D3F">
      <w:rPr>
        <w:noProof/>
        <w:lang w:val="es-CO" w:eastAsia="es-CO"/>
      </w:rPr>
      <w:drawing>
        <wp:inline distT="0" distB="0" distL="0" distR="0" wp14:anchorId="2ED81BFC" wp14:editId="4506BFD7">
          <wp:extent cx="2686050" cy="904875"/>
          <wp:effectExtent l="0" t="0" r="0" b="9525"/>
          <wp:docPr id="4" name="Imagen 7" descr="Descripción: Congreso-de-la-republic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Descripción: Congreso-de-la-republica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605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2788E"/>
    <w:multiLevelType w:val="hybridMultilevel"/>
    <w:tmpl w:val="A4EECA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211B5"/>
    <w:multiLevelType w:val="multilevel"/>
    <w:tmpl w:val="FFFFFFFF"/>
    <w:lvl w:ilvl="0">
      <w:start w:val="1"/>
      <w:numFmt w:val="upperRoman"/>
      <w:lvlText w:val="%1."/>
      <w:lvlJc w:val="righ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D87B48"/>
    <w:multiLevelType w:val="hybridMultilevel"/>
    <w:tmpl w:val="2A181E5E"/>
    <w:lvl w:ilvl="0" w:tplc="D0A26C46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27D04CC"/>
    <w:multiLevelType w:val="hybridMultilevel"/>
    <w:tmpl w:val="23D85B4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69C"/>
    <w:rsid w:val="00016B9C"/>
    <w:rsid w:val="00066DCA"/>
    <w:rsid w:val="000A00F8"/>
    <w:rsid w:val="000C20F6"/>
    <w:rsid w:val="000F3C40"/>
    <w:rsid w:val="001F2581"/>
    <w:rsid w:val="002001CC"/>
    <w:rsid w:val="00220A99"/>
    <w:rsid w:val="00223904"/>
    <w:rsid w:val="002279D0"/>
    <w:rsid w:val="00233D10"/>
    <w:rsid w:val="0026371B"/>
    <w:rsid w:val="002A1E77"/>
    <w:rsid w:val="002A77F0"/>
    <w:rsid w:val="002D6485"/>
    <w:rsid w:val="002F6842"/>
    <w:rsid w:val="00314227"/>
    <w:rsid w:val="00316EE3"/>
    <w:rsid w:val="003321A9"/>
    <w:rsid w:val="0033269C"/>
    <w:rsid w:val="00333ABA"/>
    <w:rsid w:val="00340DDC"/>
    <w:rsid w:val="0036444A"/>
    <w:rsid w:val="003A3960"/>
    <w:rsid w:val="003B5BAA"/>
    <w:rsid w:val="003D0DD0"/>
    <w:rsid w:val="00403B93"/>
    <w:rsid w:val="004209D7"/>
    <w:rsid w:val="00422346"/>
    <w:rsid w:val="00437896"/>
    <w:rsid w:val="00440D91"/>
    <w:rsid w:val="0048105B"/>
    <w:rsid w:val="00494C45"/>
    <w:rsid w:val="004B0951"/>
    <w:rsid w:val="004E2677"/>
    <w:rsid w:val="00535E6F"/>
    <w:rsid w:val="00537D97"/>
    <w:rsid w:val="00561CAA"/>
    <w:rsid w:val="00564080"/>
    <w:rsid w:val="00567EC6"/>
    <w:rsid w:val="00575848"/>
    <w:rsid w:val="00575DE6"/>
    <w:rsid w:val="0059336D"/>
    <w:rsid w:val="00593CF8"/>
    <w:rsid w:val="005B02F7"/>
    <w:rsid w:val="005B2B7D"/>
    <w:rsid w:val="006026F7"/>
    <w:rsid w:val="00615BF4"/>
    <w:rsid w:val="00615BFB"/>
    <w:rsid w:val="0065344E"/>
    <w:rsid w:val="0066720C"/>
    <w:rsid w:val="00672538"/>
    <w:rsid w:val="006814C4"/>
    <w:rsid w:val="00682F31"/>
    <w:rsid w:val="006861D1"/>
    <w:rsid w:val="006A33A5"/>
    <w:rsid w:val="00704270"/>
    <w:rsid w:val="0071499B"/>
    <w:rsid w:val="00721CBB"/>
    <w:rsid w:val="0077350E"/>
    <w:rsid w:val="0077650C"/>
    <w:rsid w:val="00792109"/>
    <w:rsid w:val="007A01DD"/>
    <w:rsid w:val="007C536F"/>
    <w:rsid w:val="007D2447"/>
    <w:rsid w:val="007E4EA3"/>
    <w:rsid w:val="008033F2"/>
    <w:rsid w:val="00833C2A"/>
    <w:rsid w:val="008368E1"/>
    <w:rsid w:val="008469DA"/>
    <w:rsid w:val="00853CA1"/>
    <w:rsid w:val="00867892"/>
    <w:rsid w:val="00871203"/>
    <w:rsid w:val="008C24D5"/>
    <w:rsid w:val="008D094F"/>
    <w:rsid w:val="008E00FE"/>
    <w:rsid w:val="008E2D42"/>
    <w:rsid w:val="008E44D0"/>
    <w:rsid w:val="008F792A"/>
    <w:rsid w:val="00933BB5"/>
    <w:rsid w:val="00960F7B"/>
    <w:rsid w:val="00976E2F"/>
    <w:rsid w:val="009B4906"/>
    <w:rsid w:val="009B7E6F"/>
    <w:rsid w:val="009C7822"/>
    <w:rsid w:val="009D3938"/>
    <w:rsid w:val="009D7A08"/>
    <w:rsid w:val="00A15D72"/>
    <w:rsid w:val="00A70E47"/>
    <w:rsid w:val="00A81923"/>
    <w:rsid w:val="00AB55A0"/>
    <w:rsid w:val="00AC2AA0"/>
    <w:rsid w:val="00AC6D85"/>
    <w:rsid w:val="00AD6DDB"/>
    <w:rsid w:val="00AE2197"/>
    <w:rsid w:val="00B00B62"/>
    <w:rsid w:val="00B73B01"/>
    <w:rsid w:val="00B95C42"/>
    <w:rsid w:val="00BA7B91"/>
    <w:rsid w:val="00BB028F"/>
    <w:rsid w:val="00BF5638"/>
    <w:rsid w:val="00C35C0A"/>
    <w:rsid w:val="00C4135F"/>
    <w:rsid w:val="00C41570"/>
    <w:rsid w:val="00C54ACD"/>
    <w:rsid w:val="00CA7293"/>
    <w:rsid w:val="00D24B14"/>
    <w:rsid w:val="00D456F0"/>
    <w:rsid w:val="00D51B8D"/>
    <w:rsid w:val="00D565E6"/>
    <w:rsid w:val="00DB052B"/>
    <w:rsid w:val="00DD18D0"/>
    <w:rsid w:val="00DD794B"/>
    <w:rsid w:val="00E04F45"/>
    <w:rsid w:val="00E13D68"/>
    <w:rsid w:val="00E1550E"/>
    <w:rsid w:val="00E35AD8"/>
    <w:rsid w:val="00E4302D"/>
    <w:rsid w:val="00E4731F"/>
    <w:rsid w:val="00E55EFA"/>
    <w:rsid w:val="00E5706C"/>
    <w:rsid w:val="00E73C57"/>
    <w:rsid w:val="00E84A3B"/>
    <w:rsid w:val="00ED0E6C"/>
    <w:rsid w:val="00EF39CC"/>
    <w:rsid w:val="00EF6C27"/>
    <w:rsid w:val="00F02D93"/>
    <w:rsid w:val="00F35B78"/>
    <w:rsid w:val="00F41D7B"/>
    <w:rsid w:val="00F463F4"/>
    <w:rsid w:val="00F74801"/>
    <w:rsid w:val="00F8215A"/>
    <w:rsid w:val="00FA0F5C"/>
    <w:rsid w:val="00FA2053"/>
    <w:rsid w:val="00FD5943"/>
    <w:rsid w:val="00FE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DA56FA"/>
  <w15:docId w15:val="{B27C460E-0E60-45C0-9ECF-998C534AA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s-US" w:eastAsia="es-E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unhideWhenUsed/>
    <w:rsid w:val="00BC0AD0"/>
    <w:pPr>
      <w:spacing w:before="100" w:beforeAutospacing="1" w:after="100" w:afterAutospacing="1" w:line="240" w:lineRule="auto"/>
      <w:jc w:val="left"/>
    </w:pPr>
  </w:style>
  <w:style w:type="paragraph" w:styleId="Textonotapie">
    <w:name w:val="footnote text"/>
    <w:basedOn w:val="Normal"/>
    <w:link w:val="TextonotapieCar"/>
    <w:uiPriority w:val="99"/>
    <w:unhideWhenUsed/>
    <w:rsid w:val="006E2E58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6E2E5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6E2E58"/>
    <w:rPr>
      <w:vertAlign w:val="superscript"/>
    </w:rPr>
  </w:style>
  <w:style w:type="paragraph" w:styleId="Prrafodelista">
    <w:name w:val="List Paragraph"/>
    <w:basedOn w:val="Normal"/>
    <w:uiPriority w:val="34"/>
    <w:qFormat/>
    <w:rsid w:val="00B70240"/>
    <w:pPr>
      <w:overflowPunct w:val="0"/>
      <w:autoSpaceDE w:val="0"/>
      <w:autoSpaceDN w:val="0"/>
      <w:adjustRightInd w:val="0"/>
      <w:spacing w:line="240" w:lineRule="auto"/>
      <w:ind w:left="720"/>
      <w:contextualSpacing/>
      <w:jc w:val="left"/>
      <w:textAlignment w:val="baseline"/>
    </w:pPr>
    <w:rPr>
      <w:sz w:val="28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6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620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77B8"/>
  </w:style>
  <w:style w:type="paragraph" w:styleId="Piedepgina">
    <w:name w:val="footer"/>
    <w:basedOn w:val="Normal"/>
    <w:link w:val="PiedepginaCar"/>
    <w:uiPriority w:val="99"/>
    <w:unhideWhenUsed/>
    <w:rsid w:val="00D077B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7B8"/>
  </w:style>
  <w:style w:type="paragraph" w:styleId="Sinespaciado">
    <w:name w:val="No Spacing"/>
    <w:uiPriority w:val="1"/>
    <w:qFormat/>
    <w:rsid w:val="00647F5A"/>
    <w:pPr>
      <w:spacing w:line="240" w:lineRule="auto"/>
    </w:pPr>
  </w:style>
  <w:style w:type="character" w:styleId="Nmerodepgina">
    <w:name w:val="page number"/>
    <w:basedOn w:val="Fuentedeprrafopredeter"/>
    <w:uiPriority w:val="99"/>
    <w:semiHidden/>
    <w:unhideWhenUsed/>
    <w:rsid w:val="00742946"/>
  </w:style>
  <w:style w:type="paragraph" w:customStyle="1" w:styleId="Listavistosa-nfasis11">
    <w:name w:val="Lista vistosa - Énfasis 11"/>
    <w:basedOn w:val="Normal"/>
    <w:uiPriority w:val="99"/>
    <w:qFormat/>
    <w:rsid w:val="0064120C"/>
    <w:pPr>
      <w:spacing w:after="200" w:line="276" w:lineRule="auto"/>
      <w:ind w:left="720"/>
      <w:contextualSpacing/>
      <w:jc w:val="left"/>
    </w:pPr>
    <w:rPr>
      <w:rFonts w:ascii="Calibri" w:hAnsi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3C209A"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936240"/>
    <w:rPr>
      <w:b/>
      <w:bCs/>
    </w:rPr>
  </w:style>
  <w:style w:type="character" w:customStyle="1" w:styleId="st">
    <w:name w:val="st"/>
    <w:basedOn w:val="Fuentedeprrafopredeter"/>
    <w:rsid w:val="00CE47E8"/>
  </w:style>
  <w:style w:type="character" w:styleId="nfasis">
    <w:name w:val="Emphasis"/>
    <w:basedOn w:val="Fuentedeprrafopredeter"/>
    <w:uiPriority w:val="20"/>
    <w:qFormat/>
    <w:rsid w:val="00CE47E8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091B68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1B6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1B68"/>
    <w:rPr>
      <w:szCs w:val="24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1B68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1B68"/>
    <w:rPr>
      <w:b/>
      <w:bCs/>
      <w:sz w:val="20"/>
      <w:szCs w:val="20"/>
      <w:lang w:val="es-ES_tradnl"/>
    </w:rPr>
  </w:style>
  <w:style w:type="table" w:styleId="Sombreadovistoso-nfasis1">
    <w:name w:val="Colorful Shading Accent 1"/>
    <w:basedOn w:val="Tablanormal"/>
    <w:uiPriority w:val="71"/>
    <w:rsid w:val="005E1E74"/>
    <w:pPr>
      <w:spacing w:line="240" w:lineRule="auto"/>
      <w:jc w:val="left"/>
    </w:pPr>
    <w:rPr>
      <w:rFonts w:asciiTheme="minorHAnsi" w:eastAsiaTheme="minorEastAsia" w:hAnsiTheme="minorHAnsi" w:cstheme="minorBidi"/>
      <w:color w:val="000000" w:themeColor="text1"/>
      <w:lang w:val="es-ES_tradnl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1304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1304E"/>
    <w:rPr>
      <w:lang w:val="es-ES_tradnl"/>
    </w:rPr>
  </w:style>
  <w:style w:type="table" w:styleId="Tablaconcuadrcula">
    <w:name w:val="Table Grid"/>
    <w:basedOn w:val="Tablanormal"/>
    <w:uiPriority w:val="39"/>
    <w:rsid w:val="00862B0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Fuentedeprrafopredeter"/>
    <w:rsid w:val="00862B0B"/>
  </w:style>
  <w:style w:type="character" w:customStyle="1" w:styleId="apple-converted-space">
    <w:name w:val="apple-converted-space"/>
    <w:basedOn w:val="Fuentedeprrafopredeter"/>
    <w:rsid w:val="00862B0B"/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EB4"/>
    <w:rPr>
      <w:color w:val="605E5C"/>
      <w:shd w:val="clear" w:color="auto" w:fill="E1DFDD"/>
    </w:rPr>
  </w:style>
  <w:style w:type="paragraph" w:customStyle="1" w:styleId="Default">
    <w:name w:val="Default"/>
    <w:rsid w:val="00B8401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color w:val="000000"/>
      <w:lang w:val="es-CO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6">
    <w:name w:val="6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  <w:tblStylePr w:type="firstRow">
      <w:rPr>
        <w:b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color w:val="FFFFFF"/>
      </w:rPr>
      <w:tblPr/>
      <w:tcPr>
        <w:tcBorders>
          <w:top w:val="single" w:sz="6" w:space="0" w:color="FFFFFF"/>
        </w:tcBorders>
        <w:shd w:val="clear" w:color="auto" w:fill="2B4D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B4D74"/>
          <w:insideV w:val="nil"/>
        </w:tcBorders>
        <w:shd w:val="clear" w:color="auto" w:fill="2B4D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C0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3">
    <w:name w:val="3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2">
    <w:name w:val="2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  <w:style w:type="table" w:customStyle="1" w:styleId="1">
    <w:name w:val="1"/>
    <w:basedOn w:val="TableNormal"/>
    <w:pPr>
      <w:spacing w:line="240" w:lineRule="auto"/>
      <w:jc w:val="left"/>
    </w:pPr>
    <w:rPr>
      <w:rFonts w:ascii="Calibri" w:eastAsia="Calibri" w:hAnsi="Calibri" w:cs="Calibri"/>
      <w:color w:val="00000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DF2F8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85EC6-6406-4212-8400-A94C6415F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354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LUIS</dc:creator>
  <cp:lastModifiedBy>Alix</cp:lastModifiedBy>
  <cp:revision>12</cp:revision>
  <cp:lastPrinted>2019-11-07T14:32:00Z</cp:lastPrinted>
  <dcterms:created xsi:type="dcterms:W3CDTF">2020-05-07T13:25:00Z</dcterms:created>
  <dcterms:modified xsi:type="dcterms:W3CDTF">2020-05-19T15:44:00Z</dcterms:modified>
</cp:coreProperties>
</file>