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859" w:rsidRPr="00AC7859" w:rsidRDefault="00AC7859" w:rsidP="001D7A0A">
      <w:pPr>
        <w:spacing w:after="0" w:line="240" w:lineRule="auto"/>
        <w:rPr>
          <w:sz w:val="24"/>
          <w:szCs w:val="24"/>
        </w:rPr>
      </w:pPr>
    </w:p>
    <w:p w:rsidR="00AC7859" w:rsidRPr="00AC7859" w:rsidRDefault="00AC7859" w:rsidP="001D7A0A">
      <w:pPr>
        <w:spacing w:after="0" w:line="240" w:lineRule="auto"/>
        <w:rPr>
          <w:rFonts w:cs="Arial"/>
          <w:sz w:val="24"/>
          <w:szCs w:val="24"/>
        </w:rPr>
      </w:pPr>
      <w:r w:rsidRPr="00AC7859">
        <w:rPr>
          <w:rFonts w:cs="Arial"/>
          <w:sz w:val="24"/>
          <w:szCs w:val="24"/>
        </w:rPr>
        <w:t>Bogotá D.C., 30 de Septiembre de 2019</w:t>
      </w:r>
    </w:p>
    <w:p w:rsidR="00AC7859" w:rsidRPr="00AC7859" w:rsidRDefault="00AC7859" w:rsidP="001D7A0A">
      <w:pPr>
        <w:pStyle w:val="Sinespaciado"/>
        <w:rPr>
          <w:rFonts w:cs="Arial"/>
          <w:sz w:val="24"/>
          <w:szCs w:val="24"/>
        </w:rPr>
      </w:pPr>
    </w:p>
    <w:p w:rsidR="00AC7859" w:rsidRPr="00AC7859" w:rsidRDefault="00AC7859" w:rsidP="001D7A0A">
      <w:pPr>
        <w:pStyle w:val="Sinespaciado"/>
        <w:rPr>
          <w:rFonts w:cs="Arial"/>
          <w:sz w:val="24"/>
          <w:szCs w:val="24"/>
        </w:rPr>
      </w:pPr>
      <w:r w:rsidRPr="00AC7859">
        <w:rPr>
          <w:rFonts w:cs="Arial"/>
          <w:sz w:val="24"/>
          <w:szCs w:val="24"/>
        </w:rPr>
        <w:t xml:space="preserve">Doctora </w:t>
      </w:r>
    </w:p>
    <w:p w:rsidR="00AC7859" w:rsidRPr="00AC7859" w:rsidRDefault="00AC7859" w:rsidP="001D7A0A">
      <w:pPr>
        <w:pStyle w:val="Sinespaciado"/>
        <w:rPr>
          <w:rFonts w:cs="Arial"/>
          <w:b/>
          <w:sz w:val="24"/>
          <w:szCs w:val="24"/>
        </w:rPr>
      </w:pPr>
      <w:r w:rsidRPr="00AC7859">
        <w:rPr>
          <w:rFonts w:cs="Arial"/>
          <w:b/>
          <w:sz w:val="24"/>
          <w:szCs w:val="24"/>
        </w:rPr>
        <w:t>NORMA HURTADO SÁNCHEZ</w:t>
      </w:r>
    </w:p>
    <w:p w:rsidR="00AC7859" w:rsidRPr="00AC7859" w:rsidRDefault="00AC7859" w:rsidP="001D7A0A">
      <w:pPr>
        <w:pStyle w:val="Sinespaciado"/>
        <w:rPr>
          <w:rFonts w:cs="Arial"/>
          <w:sz w:val="24"/>
          <w:szCs w:val="24"/>
        </w:rPr>
      </w:pPr>
      <w:r w:rsidRPr="00AC7859">
        <w:rPr>
          <w:rFonts w:cs="Arial"/>
          <w:sz w:val="24"/>
          <w:szCs w:val="24"/>
        </w:rPr>
        <w:t xml:space="preserve">Presidenta Comisión Séptima Constitucional </w:t>
      </w:r>
    </w:p>
    <w:p w:rsidR="00AC7859" w:rsidRPr="00AC7859" w:rsidRDefault="00AC7859" w:rsidP="001D7A0A">
      <w:pPr>
        <w:pStyle w:val="Sinespaciado"/>
        <w:rPr>
          <w:rFonts w:cs="Arial"/>
          <w:sz w:val="24"/>
          <w:szCs w:val="24"/>
        </w:rPr>
      </w:pPr>
      <w:r w:rsidRPr="00AC7859">
        <w:rPr>
          <w:rFonts w:cs="Arial"/>
          <w:sz w:val="24"/>
          <w:szCs w:val="24"/>
        </w:rPr>
        <w:t>Cámara de Representantes</w:t>
      </w:r>
    </w:p>
    <w:p w:rsidR="00AC7859" w:rsidRPr="00AC7859" w:rsidRDefault="00AC7859" w:rsidP="001D7A0A">
      <w:pPr>
        <w:pStyle w:val="Sinespaciado"/>
        <w:rPr>
          <w:rFonts w:cs="Arial"/>
          <w:sz w:val="24"/>
          <w:szCs w:val="24"/>
        </w:rPr>
      </w:pPr>
      <w:r w:rsidRPr="00AC7859">
        <w:rPr>
          <w:rFonts w:cs="Arial"/>
          <w:sz w:val="24"/>
          <w:szCs w:val="24"/>
        </w:rPr>
        <w:t xml:space="preserve">La Ciudad </w:t>
      </w:r>
    </w:p>
    <w:p w:rsidR="00AC7859" w:rsidRPr="00AC7859" w:rsidRDefault="00AC7859" w:rsidP="001D7A0A">
      <w:pPr>
        <w:pStyle w:val="Sinespaciado"/>
        <w:rPr>
          <w:rFonts w:cs="Arial"/>
          <w:sz w:val="24"/>
          <w:szCs w:val="24"/>
        </w:rPr>
      </w:pPr>
    </w:p>
    <w:p w:rsidR="00AC7859" w:rsidRPr="00AC7859" w:rsidRDefault="00AC7859" w:rsidP="001D7A0A">
      <w:pPr>
        <w:pStyle w:val="Sinespaciado"/>
        <w:ind w:left="3540"/>
        <w:jc w:val="both"/>
        <w:rPr>
          <w:rFonts w:cs="Arial"/>
        </w:rPr>
      </w:pPr>
      <w:r w:rsidRPr="00AC7859">
        <w:rPr>
          <w:rFonts w:cs="Arial"/>
          <w:b/>
        </w:rPr>
        <w:t>Asunto:</w:t>
      </w:r>
      <w:r w:rsidRPr="00AC7859">
        <w:rPr>
          <w:rFonts w:cs="Arial"/>
        </w:rPr>
        <w:t xml:space="preserve"> Informe de ponencia para primer debate del Proyecto de Ley No. 050 de 2019 Cámara “</w:t>
      </w:r>
      <w:r w:rsidRPr="00AC7859">
        <w:rPr>
          <w:rFonts w:cs="Arial"/>
          <w:bCs/>
        </w:rPr>
        <w:t>Por medio del cual se adiciona un artículo transitorio a la ley 797 de 2003 y se autoriza el cambio de régimen pensional en virtud del derecho constitucional a la pensión”</w:t>
      </w:r>
      <w:r w:rsidRPr="00AC7859">
        <w:rPr>
          <w:rFonts w:cs="Arial"/>
        </w:rPr>
        <w:t xml:space="preserve"> </w:t>
      </w:r>
    </w:p>
    <w:p w:rsidR="00AC7859" w:rsidRPr="00AC7859" w:rsidRDefault="00AC7859" w:rsidP="001D7A0A">
      <w:pPr>
        <w:spacing w:after="0" w:line="240" w:lineRule="auto"/>
        <w:jc w:val="both"/>
        <w:rPr>
          <w:rFonts w:cs="Arial"/>
          <w:sz w:val="24"/>
          <w:szCs w:val="24"/>
        </w:rPr>
      </w:pPr>
    </w:p>
    <w:p w:rsidR="00AC7859" w:rsidRPr="00AC7859" w:rsidRDefault="00AC7859" w:rsidP="001D7A0A">
      <w:pPr>
        <w:spacing w:after="0" w:line="240" w:lineRule="auto"/>
        <w:jc w:val="both"/>
        <w:rPr>
          <w:rFonts w:cs="Arial"/>
          <w:sz w:val="24"/>
          <w:szCs w:val="24"/>
        </w:rPr>
      </w:pPr>
      <w:r w:rsidRPr="00AC7859">
        <w:rPr>
          <w:rFonts w:cs="Arial"/>
          <w:sz w:val="24"/>
          <w:szCs w:val="24"/>
        </w:rPr>
        <w:t>Cordial saludo,</w:t>
      </w:r>
    </w:p>
    <w:p w:rsidR="00AC7859" w:rsidRPr="00AC7859" w:rsidRDefault="00AC7859" w:rsidP="001D7A0A">
      <w:pPr>
        <w:spacing w:after="0" w:line="240" w:lineRule="auto"/>
        <w:jc w:val="both"/>
        <w:rPr>
          <w:rFonts w:cs="Arial"/>
          <w:sz w:val="24"/>
          <w:szCs w:val="24"/>
        </w:rPr>
      </w:pPr>
    </w:p>
    <w:p w:rsidR="00AC7859" w:rsidRDefault="00AC7859" w:rsidP="001D7A0A">
      <w:pPr>
        <w:spacing w:after="0" w:line="240" w:lineRule="auto"/>
        <w:jc w:val="both"/>
        <w:rPr>
          <w:rFonts w:cs="Arial"/>
          <w:sz w:val="24"/>
          <w:szCs w:val="24"/>
          <w:lang w:val="es-ES_tradnl"/>
        </w:rPr>
      </w:pPr>
      <w:r w:rsidRPr="00AC7859">
        <w:rPr>
          <w:rFonts w:cs="Arial"/>
          <w:sz w:val="24"/>
          <w:szCs w:val="24"/>
          <w:lang w:val="es-ES_tradnl"/>
        </w:rPr>
        <w:t xml:space="preserve">En cumplimiento del encargo dado por la Mesa Directiva de la Comisión Séptima Constitucional Permanente de la Honorable Cámara de Representantes a la cual pertenezco, mediante comunicación recibida el </w:t>
      </w:r>
      <w:r>
        <w:rPr>
          <w:rFonts w:cs="Arial"/>
          <w:sz w:val="24"/>
          <w:szCs w:val="24"/>
          <w:lang w:val="es-ES_tradnl"/>
        </w:rPr>
        <w:t>día 6</w:t>
      </w:r>
      <w:r w:rsidRPr="00AC7859">
        <w:rPr>
          <w:rFonts w:cs="Arial"/>
          <w:sz w:val="24"/>
          <w:szCs w:val="24"/>
          <w:lang w:val="es-ES_tradnl"/>
        </w:rPr>
        <w:t xml:space="preserve"> de</w:t>
      </w:r>
      <w:r>
        <w:rPr>
          <w:rFonts w:cs="Arial"/>
          <w:sz w:val="24"/>
          <w:szCs w:val="24"/>
          <w:lang w:val="es-ES_tradnl"/>
        </w:rPr>
        <w:t xml:space="preserve"> agosto</w:t>
      </w:r>
      <w:r w:rsidRPr="00AC7859">
        <w:rPr>
          <w:rFonts w:cs="Arial"/>
          <w:sz w:val="24"/>
          <w:szCs w:val="24"/>
          <w:lang w:val="es-ES_tradnl"/>
        </w:rPr>
        <w:t xml:space="preserve"> de 2019;</w:t>
      </w:r>
      <w:r>
        <w:rPr>
          <w:rFonts w:cs="Arial"/>
          <w:sz w:val="24"/>
          <w:szCs w:val="24"/>
          <w:lang w:val="es-ES_tradnl"/>
        </w:rPr>
        <w:t xml:space="preserve"> así mismo, por la importancia del mismo, el día 12 de septiembre de 2019 junto con los demás ponentes solicitamos prorroga por 30 días calendario para la entrega del informe de ponencia para primer debate, el cual fue aprobada por 15 días y notificada el 17 de septiembre de los corrientes.</w:t>
      </w:r>
    </w:p>
    <w:p w:rsidR="001D7A0A" w:rsidRDefault="001D7A0A" w:rsidP="001D7A0A">
      <w:pPr>
        <w:spacing w:after="0" w:line="240" w:lineRule="auto"/>
        <w:jc w:val="both"/>
        <w:rPr>
          <w:rFonts w:cs="Arial"/>
          <w:sz w:val="24"/>
          <w:szCs w:val="24"/>
          <w:lang w:val="es-ES_tradnl"/>
        </w:rPr>
      </w:pPr>
    </w:p>
    <w:p w:rsidR="00AC7859" w:rsidRDefault="00AC7859" w:rsidP="001D7A0A">
      <w:pPr>
        <w:spacing w:after="0" w:line="240" w:lineRule="auto"/>
        <w:jc w:val="both"/>
        <w:rPr>
          <w:rFonts w:cs="Arial"/>
          <w:sz w:val="24"/>
          <w:szCs w:val="24"/>
          <w:lang w:val="es-ES_tradnl"/>
        </w:rPr>
      </w:pPr>
      <w:r>
        <w:rPr>
          <w:rFonts w:cs="Arial"/>
          <w:sz w:val="24"/>
          <w:szCs w:val="24"/>
          <w:lang w:val="es-ES_tradnl"/>
        </w:rPr>
        <w:t>Por ello, se celebró el día 18 de septiembre audiencia pública con la participación del Ministerio de Trabajo, Ministerio de Hacienda y crédito público, Colpensiones, Asofondos, Observatorio laborales de Universidades Externado y Rosario, Colegio Laboralistas de Colombia y SintraSeguridadSocial.</w:t>
      </w:r>
    </w:p>
    <w:p w:rsidR="001D7A0A" w:rsidRDefault="001D7A0A" w:rsidP="001D7A0A">
      <w:pPr>
        <w:spacing w:after="0" w:line="240" w:lineRule="auto"/>
        <w:jc w:val="both"/>
        <w:rPr>
          <w:rFonts w:cs="Arial"/>
          <w:sz w:val="24"/>
          <w:szCs w:val="24"/>
          <w:lang w:val="es-ES_tradnl"/>
        </w:rPr>
      </w:pPr>
    </w:p>
    <w:p w:rsidR="00AC7859" w:rsidRDefault="00AC7859" w:rsidP="001D7A0A">
      <w:pPr>
        <w:spacing w:after="0" w:line="240" w:lineRule="auto"/>
        <w:jc w:val="both"/>
        <w:rPr>
          <w:rFonts w:cs="Arial"/>
          <w:i/>
          <w:sz w:val="24"/>
          <w:szCs w:val="24"/>
          <w:lang w:val="es-ES_tradnl"/>
        </w:rPr>
      </w:pPr>
      <w:r>
        <w:rPr>
          <w:rFonts w:cs="Arial"/>
          <w:sz w:val="24"/>
          <w:szCs w:val="24"/>
          <w:lang w:val="es-ES_tradnl"/>
        </w:rPr>
        <w:t xml:space="preserve">Con base en ello, </w:t>
      </w:r>
      <w:r w:rsidRPr="00AC7859">
        <w:rPr>
          <w:rFonts w:cs="Arial"/>
          <w:sz w:val="24"/>
          <w:szCs w:val="24"/>
          <w:lang w:val="es-ES_tradnl"/>
        </w:rPr>
        <w:t xml:space="preserve">con fundamento en los artículos 150, 153 y 156 de la Ley 5° de 1992, </w:t>
      </w:r>
      <w:r>
        <w:rPr>
          <w:rFonts w:cs="Arial"/>
          <w:sz w:val="24"/>
          <w:szCs w:val="24"/>
          <w:lang w:val="es-ES_tradnl"/>
        </w:rPr>
        <w:t>presento</w:t>
      </w:r>
      <w:r w:rsidRPr="00AC7859">
        <w:rPr>
          <w:rFonts w:cs="Arial"/>
          <w:sz w:val="24"/>
          <w:szCs w:val="24"/>
          <w:lang w:val="es-ES_tradnl"/>
        </w:rPr>
        <w:t xml:space="preserve"> informe de ponencia favorable</w:t>
      </w:r>
      <w:r>
        <w:rPr>
          <w:rFonts w:cs="Arial"/>
          <w:sz w:val="24"/>
          <w:szCs w:val="24"/>
          <w:lang w:val="es-ES_tradnl"/>
        </w:rPr>
        <w:t xml:space="preserve"> para primer debate al</w:t>
      </w:r>
      <w:r w:rsidRPr="00AC7859">
        <w:rPr>
          <w:rFonts w:cs="Arial"/>
          <w:sz w:val="24"/>
          <w:szCs w:val="24"/>
          <w:lang w:val="es-ES_tradnl"/>
        </w:rPr>
        <w:t xml:space="preserve"> Proyecto de Ley No. 050 de 2019 “</w:t>
      </w:r>
      <w:r w:rsidRPr="00AC7859">
        <w:rPr>
          <w:rFonts w:cs="Arial"/>
          <w:b/>
          <w:i/>
          <w:sz w:val="24"/>
          <w:szCs w:val="24"/>
          <w:lang w:val="es-ES_tradnl"/>
        </w:rPr>
        <w:t>POR MEDIO DE LA CUAL SE ADICIONA UN ARTÍCULO TRANSITORIO A LA LEY 797 DE 2003 Y SE AUTORIZA EL CAMBIO DE RÉGIMEN PENSIONAL EN VIRTUD DEL DERECHO CONSTITUCIONAL A LA PENSIÓN</w:t>
      </w:r>
      <w:r w:rsidRPr="00AC7859">
        <w:rPr>
          <w:rFonts w:cs="Arial"/>
          <w:i/>
          <w:sz w:val="24"/>
          <w:szCs w:val="24"/>
          <w:lang w:val="es-ES_tradnl"/>
        </w:rPr>
        <w:t>”</w:t>
      </w:r>
      <w:r>
        <w:rPr>
          <w:rFonts w:cs="Arial"/>
          <w:i/>
          <w:sz w:val="24"/>
          <w:szCs w:val="24"/>
          <w:lang w:val="es-ES_tradnl"/>
        </w:rPr>
        <w:t>.</w:t>
      </w:r>
    </w:p>
    <w:p w:rsidR="001D7A0A" w:rsidRPr="001D7A0A" w:rsidRDefault="001D7A0A" w:rsidP="001D7A0A">
      <w:pPr>
        <w:spacing w:after="0" w:line="240" w:lineRule="auto"/>
        <w:jc w:val="both"/>
      </w:pPr>
    </w:p>
    <w:p w:rsidR="00AC7859" w:rsidRPr="00AC7859" w:rsidRDefault="00AC7859" w:rsidP="001D7A0A">
      <w:pPr>
        <w:spacing w:after="0" w:line="240" w:lineRule="auto"/>
        <w:jc w:val="both"/>
        <w:rPr>
          <w:rFonts w:cs="Arial"/>
          <w:sz w:val="24"/>
          <w:szCs w:val="24"/>
          <w:lang w:val="es-ES_tradnl"/>
        </w:rPr>
      </w:pPr>
      <w:r w:rsidRPr="00AC7859">
        <w:rPr>
          <w:rFonts w:cs="Arial"/>
          <w:sz w:val="24"/>
          <w:szCs w:val="24"/>
          <w:lang w:val="es-ES_tradnl"/>
        </w:rPr>
        <w:t>De acuerdo con lo anterior anexo la ponencia en medio magnético, en original y 2 copias.</w:t>
      </w:r>
    </w:p>
    <w:p w:rsidR="00AC7859" w:rsidRPr="00AC7859" w:rsidRDefault="00AC7859" w:rsidP="001D7A0A">
      <w:pPr>
        <w:spacing w:after="0" w:line="240" w:lineRule="auto"/>
        <w:jc w:val="both"/>
        <w:rPr>
          <w:rFonts w:cs="Arial"/>
          <w:sz w:val="24"/>
          <w:szCs w:val="24"/>
          <w:lang w:val="es-ES_tradnl"/>
        </w:rPr>
      </w:pPr>
    </w:p>
    <w:p w:rsidR="00AC7859" w:rsidRPr="00AC7859" w:rsidRDefault="00AC7859" w:rsidP="001D7A0A">
      <w:pPr>
        <w:spacing w:after="0" w:line="240" w:lineRule="auto"/>
        <w:jc w:val="both"/>
        <w:rPr>
          <w:rFonts w:cs="Arial"/>
          <w:sz w:val="24"/>
          <w:szCs w:val="24"/>
          <w:lang w:val="es-ES_tradnl"/>
        </w:rPr>
      </w:pPr>
      <w:r w:rsidRPr="00AC7859">
        <w:rPr>
          <w:rFonts w:cs="Arial"/>
          <w:sz w:val="24"/>
          <w:szCs w:val="24"/>
          <w:lang w:val="es-ES_tradnl"/>
        </w:rPr>
        <w:t>Cordialmente,</w:t>
      </w:r>
    </w:p>
    <w:p w:rsidR="00AC7859" w:rsidRPr="00AC7859" w:rsidRDefault="00AC7859" w:rsidP="001D7A0A">
      <w:pPr>
        <w:spacing w:after="0" w:line="240" w:lineRule="auto"/>
        <w:jc w:val="both"/>
        <w:rPr>
          <w:rFonts w:cs="Arial"/>
          <w:sz w:val="24"/>
          <w:szCs w:val="24"/>
          <w:lang w:val="es-ES_tradnl"/>
        </w:rPr>
      </w:pPr>
    </w:p>
    <w:p w:rsidR="00AC7859" w:rsidRPr="00AC7859" w:rsidRDefault="00AC7859" w:rsidP="001D7A0A">
      <w:pPr>
        <w:spacing w:after="0" w:line="240" w:lineRule="auto"/>
        <w:jc w:val="both"/>
        <w:rPr>
          <w:rFonts w:cs="Arial"/>
          <w:sz w:val="24"/>
          <w:szCs w:val="24"/>
          <w:lang w:val="es-ES_tradnl"/>
        </w:rPr>
      </w:pPr>
    </w:p>
    <w:p w:rsidR="00AC7859" w:rsidRPr="00AC7859" w:rsidRDefault="00AC7859" w:rsidP="001D7A0A">
      <w:pPr>
        <w:spacing w:after="0" w:line="240" w:lineRule="auto"/>
        <w:jc w:val="both"/>
        <w:rPr>
          <w:rFonts w:cs="Arial"/>
          <w:sz w:val="24"/>
          <w:szCs w:val="24"/>
          <w:lang w:val="es-ES_tradnl"/>
        </w:rPr>
      </w:pPr>
    </w:p>
    <w:p w:rsidR="00AC7859" w:rsidRPr="00AC7859" w:rsidRDefault="00AC7859" w:rsidP="001D7A0A">
      <w:pPr>
        <w:spacing w:after="0" w:line="240" w:lineRule="auto"/>
        <w:jc w:val="both"/>
        <w:rPr>
          <w:rFonts w:cs="Arial"/>
          <w:b/>
          <w:sz w:val="24"/>
          <w:szCs w:val="24"/>
          <w:lang w:val="es-ES_tradnl"/>
        </w:rPr>
      </w:pPr>
      <w:r w:rsidRPr="00AC7859">
        <w:rPr>
          <w:rFonts w:cs="Arial"/>
          <w:b/>
          <w:sz w:val="24"/>
          <w:szCs w:val="24"/>
          <w:lang w:val="es-ES_tradnl"/>
        </w:rPr>
        <w:t>MARIA CRISTINA SOTO DE GOMEZ</w:t>
      </w:r>
      <w:r w:rsidRPr="00AC7859">
        <w:rPr>
          <w:rFonts w:cs="Arial"/>
          <w:b/>
          <w:sz w:val="24"/>
          <w:szCs w:val="24"/>
          <w:lang w:val="es-ES_tradnl"/>
        </w:rPr>
        <w:tab/>
      </w:r>
      <w:r w:rsidRPr="00AC7859">
        <w:rPr>
          <w:rFonts w:cs="Arial"/>
          <w:b/>
          <w:sz w:val="24"/>
          <w:szCs w:val="24"/>
          <w:lang w:val="es-ES_tradnl"/>
        </w:rPr>
        <w:tab/>
        <w:t xml:space="preserve"> </w:t>
      </w:r>
    </w:p>
    <w:p w:rsidR="00AC7859" w:rsidRPr="00AC7859" w:rsidRDefault="00AC7859" w:rsidP="001D7A0A">
      <w:pPr>
        <w:spacing w:after="0" w:line="240" w:lineRule="auto"/>
        <w:jc w:val="both"/>
        <w:rPr>
          <w:rFonts w:cs="Arial"/>
          <w:sz w:val="24"/>
          <w:szCs w:val="24"/>
          <w:lang w:val="es-ES_tradnl"/>
        </w:rPr>
      </w:pPr>
      <w:r w:rsidRPr="00AC7859">
        <w:rPr>
          <w:rFonts w:cs="Arial"/>
          <w:sz w:val="24"/>
          <w:szCs w:val="24"/>
          <w:lang w:val="es-ES_tradnl"/>
        </w:rPr>
        <w:t>Representante a la cámara</w:t>
      </w:r>
      <w:r w:rsidRPr="00AC7859">
        <w:rPr>
          <w:rFonts w:cs="Arial"/>
          <w:sz w:val="24"/>
          <w:szCs w:val="24"/>
          <w:lang w:val="es-ES_tradnl"/>
        </w:rPr>
        <w:tab/>
        <w:t xml:space="preserve">                                   </w:t>
      </w:r>
    </w:p>
    <w:p w:rsidR="00AC7859" w:rsidRPr="00AC7859" w:rsidRDefault="00AC7859" w:rsidP="001D7A0A">
      <w:pPr>
        <w:spacing w:after="0" w:line="240" w:lineRule="auto"/>
        <w:jc w:val="both"/>
        <w:rPr>
          <w:rFonts w:cs="Arial"/>
          <w:sz w:val="24"/>
          <w:szCs w:val="24"/>
          <w:lang w:val="es-ES_tradnl"/>
        </w:rPr>
      </w:pPr>
      <w:r w:rsidRPr="00AC7859">
        <w:rPr>
          <w:rFonts w:cs="Arial"/>
          <w:sz w:val="24"/>
          <w:szCs w:val="24"/>
          <w:lang w:val="es-ES_tradnl"/>
        </w:rPr>
        <w:t xml:space="preserve">Coordinadora Ponente </w:t>
      </w:r>
      <w:r w:rsidRPr="00AC7859">
        <w:rPr>
          <w:rFonts w:cs="Arial"/>
          <w:sz w:val="24"/>
          <w:szCs w:val="24"/>
          <w:lang w:val="es-ES_tradnl"/>
        </w:rPr>
        <w:tab/>
      </w:r>
      <w:r w:rsidRPr="00AC7859">
        <w:rPr>
          <w:rFonts w:cs="Arial"/>
          <w:sz w:val="24"/>
          <w:szCs w:val="24"/>
          <w:lang w:val="es-ES_tradnl"/>
        </w:rPr>
        <w:tab/>
      </w:r>
      <w:r w:rsidRPr="00AC7859">
        <w:rPr>
          <w:rFonts w:cs="Arial"/>
          <w:sz w:val="24"/>
          <w:szCs w:val="24"/>
          <w:lang w:val="es-ES_tradnl"/>
        </w:rPr>
        <w:tab/>
      </w:r>
      <w:r w:rsidRPr="00AC7859">
        <w:rPr>
          <w:rFonts w:cs="Arial"/>
          <w:sz w:val="24"/>
          <w:szCs w:val="24"/>
          <w:lang w:val="es-ES_tradnl"/>
        </w:rPr>
        <w:tab/>
      </w:r>
    </w:p>
    <w:p w:rsidR="00AC7859" w:rsidRPr="00AC7859" w:rsidRDefault="00AC7859" w:rsidP="00AC7859">
      <w:pPr>
        <w:rPr>
          <w:rFonts w:cs="Arial"/>
          <w:b/>
          <w:sz w:val="24"/>
          <w:szCs w:val="24"/>
        </w:rPr>
      </w:pPr>
    </w:p>
    <w:p w:rsidR="00AC7859" w:rsidRPr="00AC7859" w:rsidRDefault="00AC7859" w:rsidP="00AC7859">
      <w:pPr>
        <w:pStyle w:val="Sinespaciado"/>
        <w:rPr>
          <w:rFonts w:cs="Arial"/>
          <w:sz w:val="24"/>
          <w:szCs w:val="24"/>
        </w:rPr>
      </w:pPr>
    </w:p>
    <w:p w:rsidR="00AC7859" w:rsidRPr="00AC7859" w:rsidRDefault="00AC7859" w:rsidP="00AC7859">
      <w:pPr>
        <w:pStyle w:val="Sinespaciado"/>
        <w:rPr>
          <w:rFonts w:eastAsia="Arial" w:cs="Arial"/>
          <w:sz w:val="24"/>
          <w:szCs w:val="24"/>
        </w:rPr>
      </w:pPr>
    </w:p>
    <w:p w:rsidR="00AC7859" w:rsidRPr="00AC7859" w:rsidRDefault="00AC7859" w:rsidP="00AC7859">
      <w:pPr>
        <w:pStyle w:val="Sinespaciado"/>
        <w:jc w:val="center"/>
        <w:rPr>
          <w:rFonts w:eastAsia="Arial" w:cs="Arial"/>
          <w:sz w:val="24"/>
          <w:szCs w:val="24"/>
        </w:rPr>
      </w:pPr>
    </w:p>
    <w:p w:rsidR="00AC7859" w:rsidRPr="00AC7859" w:rsidRDefault="00AC7859" w:rsidP="001D7A0A">
      <w:pPr>
        <w:spacing w:after="0" w:line="240" w:lineRule="auto"/>
        <w:jc w:val="center"/>
        <w:rPr>
          <w:rFonts w:eastAsia="Arial" w:cs="Arial"/>
          <w:b/>
          <w:sz w:val="24"/>
          <w:szCs w:val="24"/>
        </w:rPr>
      </w:pPr>
      <w:r w:rsidRPr="00AC7859">
        <w:rPr>
          <w:rFonts w:eastAsia="Arial" w:cs="Arial"/>
          <w:b/>
          <w:sz w:val="24"/>
          <w:szCs w:val="24"/>
        </w:rPr>
        <w:t xml:space="preserve">INFORME DE PONENCIA PARA PRIMER DEBATE EN CÁMARA DEL PROYECTO DE LEY No. 050 de 2019 Cámara </w:t>
      </w:r>
    </w:p>
    <w:p w:rsidR="00AC7859" w:rsidRPr="00AC7859" w:rsidRDefault="00AC7859" w:rsidP="001D7A0A">
      <w:pPr>
        <w:spacing w:after="0" w:line="240" w:lineRule="auto"/>
        <w:jc w:val="center"/>
        <w:rPr>
          <w:rFonts w:eastAsia="Arial" w:cs="Arial"/>
          <w:b/>
          <w:sz w:val="24"/>
          <w:szCs w:val="24"/>
        </w:rPr>
      </w:pPr>
    </w:p>
    <w:p w:rsidR="00AC7859" w:rsidRPr="00AC7859" w:rsidRDefault="00AC7859" w:rsidP="001D7A0A">
      <w:pPr>
        <w:spacing w:after="0" w:line="240" w:lineRule="auto"/>
        <w:jc w:val="center"/>
        <w:rPr>
          <w:rFonts w:eastAsia="Arial" w:cs="Arial"/>
          <w:b/>
          <w:sz w:val="24"/>
          <w:szCs w:val="24"/>
        </w:rPr>
      </w:pPr>
      <w:r w:rsidRPr="00AC7859">
        <w:rPr>
          <w:rFonts w:eastAsia="Arial" w:cs="Arial"/>
          <w:b/>
          <w:bCs/>
          <w:sz w:val="24"/>
          <w:szCs w:val="24"/>
        </w:rPr>
        <w:t>“Por medio del cual se adiciona un artículo transitorio a la ley 797 de 2003 y se autoriza el cambio de régimen pensional en virtud del derecho constitucional a la pensión”</w:t>
      </w:r>
    </w:p>
    <w:p w:rsidR="00AC7859" w:rsidRPr="00AC7859" w:rsidRDefault="00AC7859" w:rsidP="001D7A0A">
      <w:pPr>
        <w:spacing w:after="0" w:line="240" w:lineRule="auto"/>
        <w:rPr>
          <w:rFonts w:eastAsia="Arial" w:cs="Arial"/>
          <w:b/>
          <w:sz w:val="24"/>
          <w:szCs w:val="24"/>
        </w:rPr>
      </w:pPr>
    </w:p>
    <w:p w:rsidR="00AC7859" w:rsidRPr="00AC7859" w:rsidRDefault="00AC7859" w:rsidP="001D7A0A">
      <w:pPr>
        <w:pStyle w:val="NormalWeb"/>
        <w:spacing w:after="0" w:afterAutospacing="0"/>
        <w:jc w:val="both"/>
        <w:rPr>
          <w:rFonts w:asciiTheme="minorHAnsi" w:eastAsia="Arial Unicode MS" w:hAnsiTheme="minorHAnsi" w:cs="Arial"/>
          <w:b/>
          <w:color w:val="000000" w:themeColor="text1"/>
        </w:rPr>
      </w:pPr>
      <w:r w:rsidRPr="00AC7859">
        <w:rPr>
          <w:rFonts w:asciiTheme="minorHAnsi" w:eastAsia="Arial Unicode MS" w:hAnsiTheme="minorHAnsi" w:cs="Arial"/>
          <w:color w:val="000000" w:themeColor="text1"/>
        </w:rPr>
        <w:t>De conformidad con lo dispuesto en los artículos 150, 153 y 156 de la Ley 5ª de 1992 y en atención a la designación efectuada por la Mesa Directiva de la Comisión Séptima Constitucional Permanente de la Honorable Cámara de Representantes, present</w:t>
      </w:r>
      <w:r w:rsidR="001D7A0A">
        <w:rPr>
          <w:rFonts w:asciiTheme="minorHAnsi" w:eastAsia="Arial Unicode MS" w:hAnsiTheme="minorHAnsi" w:cs="Arial"/>
          <w:color w:val="000000" w:themeColor="text1"/>
        </w:rPr>
        <w:t>o</w:t>
      </w:r>
      <w:r w:rsidRPr="00AC7859">
        <w:rPr>
          <w:rFonts w:asciiTheme="minorHAnsi" w:eastAsia="Arial Unicode MS" w:hAnsiTheme="minorHAnsi" w:cs="Arial"/>
          <w:color w:val="000000" w:themeColor="text1"/>
        </w:rPr>
        <w:t xml:space="preserve"> ponencia para primer debate al Proyecto de Ley No. </w:t>
      </w:r>
      <w:r w:rsidRPr="00AC7859">
        <w:rPr>
          <w:rFonts w:asciiTheme="minorHAnsi" w:eastAsia="Arial Unicode MS" w:hAnsiTheme="minorHAnsi" w:cs="Arial"/>
          <w:color w:val="000000" w:themeColor="text1"/>
          <w:lang w:val="es-ES_tradnl"/>
        </w:rPr>
        <w:t xml:space="preserve">050 de 2019 Cámara  </w:t>
      </w:r>
      <w:r w:rsidRPr="00AC7859">
        <w:rPr>
          <w:rFonts w:asciiTheme="minorHAnsi" w:eastAsia="Arial Unicode MS" w:hAnsiTheme="minorHAnsi" w:cs="Arial"/>
          <w:bCs/>
          <w:i/>
          <w:color w:val="000000" w:themeColor="text1"/>
        </w:rPr>
        <w:t>“Por medio del cual se adiciona un artículo transitorio a la ley 797 de 2003 y se autoriza el cambio de régimen pensional en virtud del derecho constitucional a la pensión”</w:t>
      </w:r>
    </w:p>
    <w:p w:rsidR="00AC7859" w:rsidRPr="00AC7859" w:rsidRDefault="00AC7859" w:rsidP="001D7A0A">
      <w:pPr>
        <w:spacing w:after="0" w:line="240" w:lineRule="auto"/>
        <w:rPr>
          <w:rFonts w:eastAsia="Arial" w:cs="Arial"/>
          <w:b/>
          <w:sz w:val="24"/>
          <w:szCs w:val="24"/>
        </w:rPr>
      </w:pPr>
    </w:p>
    <w:p w:rsidR="00AC7859" w:rsidRDefault="00AC7859" w:rsidP="001D7A0A">
      <w:pPr>
        <w:adjustRightInd w:val="0"/>
        <w:spacing w:before="57" w:after="0" w:line="240" w:lineRule="auto"/>
        <w:jc w:val="both"/>
        <w:textAlignment w:val="center"/>
        <w:rPr>
          <w:rFonts w:eastAsia="Times New Roman" w:cs="Arial"/>
          <w:sz w:val="24"/>
          <w:szCs w:val="24"/>
          <w:lang w:val="es-ES_tradnl"/>
        </w:rPr>
      </w:pPr>
      <w:r w:rsidRPr="00AC7859">
        <w:rPr>
          <w:rFonts w:eastAsia="Times New Roman" w:cs="Arial"/>
          <w:sz w:val="24"/>
          <w:szCs w:val="24"/>
          <w:lang w:val="es-ES_tradnl"/>
        </w:rPr>
        <w:t xml:space="preserve">La presente ponencia consta de diez (10) apartes, de </w:t>
      </w:r>
      <w:r w:rsidR="001D7A0A" w:rsidRPr="00AC7859">
        <w:rPr>
          <w:rFonts w:eastAsia="Times New Roman" w:cs="Arial"/>
          <w:sz w:val="24"/>
          <w:szCs w:val="24"/>
          <w:lang w:val="es-ES_tradnl"/>
        </w:rPr>
        <w:t>la siguiente manera</w:t>
      </w:r>
      <w:r w:rsidRPr="00AC7859">
        <w:rPr>
          <w:rFonts w:eastAsia="Times New Roman" w:cs="Arial"/>
          <w:sz w:val="24"/>
          <w:szCs w:val="24"/>
          <w:lang w:val="es-ES_tradnl"/>
        </w:rPr>
        <w:t>:</w:t>
      </w:r>
    </w:p>
    <w:p w:rsidR="001D7A0A" w:rsidRPr="00AC7859" w:rsidRDefault="001D7A0A" w:rsidP="001D7A0A">
      <w:pPr>
        <w:adjustRightInd w:val="0"/>
        <w:spacing w:before="57" w:after="0" w:line="240" w:lineRule="auto"/>
        <w:jc w:val="both"/>
        <w:textAlignment w:val="center"/>
        <w:rPr>
          <w:rFonts w:eastAsia="Times New Roman" w:cs="Arial"/>
          <w:sz w:val="24"/>
          <w:szCs w:val="24"/>
        </w:rPr>
      </w:pPr>
    </w:p>
    <w:p w:rsidR="00AC7859" w:rsidRPr="00AC7859" w:rsidRDefault="00AC7859" w:rsidP="001D7A0A">
      <w:pPr>
        <w:pStyle w:val="Prrafodelista"/>
        <w:widowControl/>
        <w:numPr>
          <w:ilvl w:val="0"/>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Consideraciones generales.</w:t>
      </w:r>
    </w:p>
    <w:p w:rsidR="00AC7859" w:rsidRPr="00AC7859" w:rsidRDefault="00AC7859" w:rsidP="001D7A0A">
      <w:pPr>
        <w:pStyle w:val="Prrafodelista"/>
        <w:widowControl/>
        <w:numPr>
          <w:ilvl w:val="1"/>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Objeto del Proyecto de ley.</w:t>
      </w:r>
    </w:p>
    <w:p w:rsidR="00AC7859" w:rsidRPr="00AC7859" w:rsidRDefault="00AC7859" w:rsidP="001D7A0A">
      <w:pPr>
        <w:pStyle w:val="Prrafodelista"/>
        <w:widowControl/>
        <w:numPr>
          <w:ilvl w:val="1"/>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Trámite.</w:t>
      </w:r>
    </w:p>
    <w:p w:rsidR="00AC7859" w:rsidRPr="00AC7859" w:rsidRDefault="00AC7859" w:rsidP="001D7A0A">
      <w:pPr>
        <w:pStyle w:val="Prrafodelista"/>
        <w:widowControl/>
        <w:numPr>
          <w:ilvl w:val="0"/>
          <w:numId w:val="1"/>
        </w:numPr>
        <w:autoSpaceDE/>
        <w:autoSpaceDN/>
        <w:contextualSpacing/>
        <w:jc w:val="both"/>
        <w:rPr>
          <w:rFonts w:asciiTheme="minorHAnsi" w:hAnsiTheme="minorHAnsi"/>
          <w:sz w:val="24"/>
          <w:szCs w:val="24"/>
        </w:rPr>
      </w:pPr>
      <w:r w:rsidRPr="00AC7859">
        <w:rPr>
          <w:rFonts w:asciiTheme="minorHAnsi" w:hAnsiTheme="minorHAnsi"/>
          <w:sz w:val="24"/>
          <w:szCs w:val="24"/>
        </w:rPr>
        <w:t>Historia legislativa en materia de traslados de régimen pensional.</w:t>
      </w:r>
    </w:p>
    <w:p w:rsidR="00AC7859" w:rsidRPr="00AC7859" w:rsidRDefault="00AC7859" w:rsidP="001D7A0A">
      <w:pPr>
        <w:pStyle w:val="Prrafodelista"/>
        <w:numPr>
          <w:ilvl w:val="0"/>
          <w:numId w:val="1"/>
        </w:numPr>
        <w:rPr>
          <w:rFonts w:asciiTheme="minorHAnsi" w:hAnsiTheme="minorHAnsi"/>
          <w:sz w:val="24"/>
          <w:szCs w:val="24"/>
        </w:rPr>
      </w:pPr>
      <w:r w:rsidRPr="00AC7859">
        <w:rPr>
          <w:rFonts w:asciiTheme="minorHAnsi" w:hAnsiTheme="minorHAnsi"/>
          <w:sz w:val="24"/>
          <w:szCs w:val="24"/>
        </w:rPr>
        <w:t>Los efectos de los traslados pensionales.</w:t>
      </w:r>
    </w:p>
    <w:p w:rsidR="00AC7859" w:rsidRPr="00AC7859" w:rsidRDefault="00AC7859" w:rsidP="001D7A0A">
      <w:pPr>
        <w:pStyle w:val="Prrafodelista"/>
        <w:numPr>
          <w:ilvl w:val="0"/>
          <w:numId w:val="1"/>
        </w:numPr>
        <w:rPr>
          <w:rFonts w:asciiTheme="minorHAnsi" w:hAnsiTheme="minorHAnsi"/>
          <w:sz w:val="24"/>
          <w:szCs w:val="24"/>
        </w:rPr>
      </w:pPr>
      <w:r w:rsidRPr="00AC7859">
        <w:rPr>
          <w:rFonts w:asciiTheme="minorHAnsi" w:hAnsiTheme="minorHAnsi"/>
          <w:sz w:val="24"/>
          <w:szCs w:val="24"/>
        </w:rPr>
        <w:t>La información poco informada en el trámite de traslados pensionales.</w:t>
      </w:r>
    </w:p>
    <w:p w:rsidR="00AC7859" w:rsidRPr="00AC7859" w:rsidRDefault="00AC7859" w:rsidP="001D7A0A">
      <w:pPr>
        <w:pStyle w:val="Prrafodelista"/>
        <w:numPr>
          <w:ilvl w:val="0"/>
          <w:numId w:val="1"/>
        </w:numPr>
        <w:rPr>
          <w:rFonts w:asciiTheme="minorHAnsi" w:hAnsiTheme="minorHAnsi"/>
          <w:sz w:val="24"/>
          <w:szCs w:val="24"/>
        </w:rPr>
      </w:pPr>
      <w:r w:rsidRPr="00AC7859">
        <w:rPr>
          <w:rFonts w:asciiTheme="minorHAnsi" w:hAnsiTheme="minorHAnsi"/>
          <w:sz w:val="24"/>
          <w:szCs w:val="24"/>
        </w:rPr>
        <w:t>Las vías de corrección judicial.</w:t>
      </w:r>
    </w:p>
    <w:p w:rsidR="00AC7859" w:rsidRPr="00AC7859" w:rsidRDefault="00AC7859" w:rsidP="001D7A0A">
      <w:pPr>
        <w:pStyle w:val="Prrafodelista"/>
        <w:widowControl/>
        <w:numPr>
          <w:ilvl w:val="0"/>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Necesidad y conveniencia de la iniciativa.</w:t>
      </w:r>
    </w:p>
    <w:p w:rsidR="00AC7859" w:rsidRPr="00AC7859" w:rsidRDefault="00AC7859" w:rsidP="001D7A0A">
      <w:pPr>
        <w:pStyle w:val="Prrafodelista"/>
        <w:widowControl/>
        <w:numPr>
          <w:ilvl w:val="0"/>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Proposición.</w:t>
      </w:r>
    </w:p>
    <w:p w:rsidR="00AC7859" w:rsidRPr="00AC7859" w:rsidRDefault="00AC7859" w:rsidP="001D7A0A">
      <w:pPr>
        <w:pStyle w:val="Prrafodelista"/>
        <w:widowControl/>
        <w:numPr>
          <w:ilvl w:val="0"/>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Pliego de Modificaciones.</w:t>
      </w:r>
    </w:p>
    <w:p w:rsidR="00AC7859" w:rsidRPr="00AC7859" w:rsidRDefault="00AC7859" w:rsidP="001D7A0A">
      <w:pPr>
        <w:pStyle w:val="Prrafodelista"/>
        <w:widowControl/>
        <w:numPr>
          <w:ilvl w:val="0"/>
          <w:numId w:val="1"/>
        </w:numPr>
        <w:autoSpaceDE/>
        <w:autoSpaceDN/>
        <w:adjustRightInd w:val="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Texto Propuesto para primer debate.</w:t>
      </w:r>
    </w:p>
    <w:p w:rsidR="00AC7859" w:rsidRDefault="00AC7859" w:rsidP="001D7A0A">
      <w:pPr>
        <w:spacing w:after="0" w:line="240" w:lineRule="auto"/>
        <w:ind w:right="49"/>
        <w:jc w:val="both"/>
        <w:rPr>
          <w:rFonts w:eastAsia="Arial" w:cs="Arial"/>
          <w:b/>
          <w:sz w:val="24"/>
          <w:szCs w:val="24"/>
        </w:rPr>
      </w:pPr>
    </w:p>
    <w:p w:rsidR="001D7A0A" w:rsidRPr="00AC7859" w:rsidRDefault="001D7A0A" w:rsidP="001D7A0A">
      <w:pPr>
        <w:spacing w:after="0" w:line="240" w:lineRule="auto"/>
        <w:ind w:right="49"/>
        <w:jc w:val="both"/>
        <w:rPr>
          <w:rFonts w:eastAsia="Arial" w:cs="Arial"/>
          <w:b/>
          <w:sz w:val="24"/>
          <w:szCs w:val="24"/>
        </w:rPr>
      </w:pPr>
    </w:p>
    <w:p w:rsidR="00AC7859" w:rsidRPr="00AC7859" w:rsidRDefault="00AC7859" w:rsidP="001D7A0A">
      <w:pPr>
        <w:pStyle w:val="Prrafodelista"/>
        <w:numPr>
          <w:ilvl w:val="0"/>
          <w:numId w:val="2"/>
        </w:numPr>
        <w:rPr>
          <w:rFonts w:asciiTheme="minorHAnsi" w:hAnsiTheme="minorHAnsi"/>
          <w:b/>
          <w:sz w:val="24"/>
          <w:szCs w:val="24"/>
        </w:rPr>
      </w:pPr>
      <w:r w:rsidRPr="00AC7859">
        <w:rPr>
          <w:rFonts w:asciiTheme="minorHAnsi" w:hAnsiTheme="minorHAnsi"/>
          <w:b/>
          <w:sz w:val="24"/>
          <w:szCs w:val="24"/>
        </w:rPr>
        <w:t>CONSIDERACIONES GENERALES.</w:t>
      </w:r>
    </w:p>
    <w:p w:rsidR="00AC7859" w:rsidRPr="00AC7859" w:rsidRDefault="00AC7859" w:rsidP="001D7A0A">
      <w:pPr>
        <w:pStyle w:val="Prrafodelista"/>
        <w:ind w:left="720" w:firstLine="0"/>
        <w:rPr>
          <w:rFonts w:asciiTheme="minorHAnsi" w:hAnsiTheme="minorHAnsi"/>
          <w:b/>
          <w:sz w:val="24"/>
          <w:szCs w:val="24"/>
        </w:rPr>
      </w:pPr>
    </w:p>
    <w:p w:rsidR="00AC7859" w:rsidRPr="00AC7859" w:rsidRDefault="00AC7859" w:rsidP="001D7A0A">
      <w:pPr>
        <w:spacing w:after="0" w:line="240" w:lineRule="auto"/>
        <w:rPr>
          <w:sz w:val="24"/>
          <w:szCs w:val="24"/>
        </w:rPr>
      </w:pPr>
      <w:r w:rsidRPr="00AC7859">
        <w:rPr>
          <w:rFonts w:cs="Arial"/>
          <w:sz w:val="24"/>
          <w:szCs w:val="24"/>
        </w:rPr>
        <w:t>E</w:t>
      </w:r>
      <w:r w:rsidR="001D7A0A">
        <w:rPr>
          <w:rFonts w:cs="Arial"/>
          <w:sz w:val="24"/>
          <w:szCs w:val="24"/>
        </w:rPr>
        <w:t>ste numeral</w:t>
      </w:r>
      <w:r w:rsidRPr="00AC7859">
        <w:rPr>
          <w:rFonts w:cs="Arial"/>
          <w:sz w:val="24"/>
          <w:szCs w:val="24"/>
        </w:rPr>
        <w:t xml:space="preserve"> muestra de forma detallada el objeto del proyecto y sus autores.</w:t>
      </w:r>
    </w:p>
    <w:p w:rsidR="00AC7859" w:rsidRPr="00AC7859" w:rsidRDefault="00AC7859" w:rsidP="001D7A0A">
      <w:pPr>
        <w:spacing w:after="0" w:line="240" w:lineRule="auto"/>
        <w:rPr>
          <w:b/>
          <w:sz w:val="24"/>
          <w:szCs w:val="24"/>
        </w:rPr>
      </w:pPr>
    </w:p>
    <w:p w:rsidR="00AC7859" w:rsidRPr="001D7A0A" w:rsidRDefault="00AC7859" w:rsidP="001D7A0A">
      <w:pPr>
        <w:pStyle w:val="Prrafodelista"/>
        <w:numPr>
          <w:ilvl w:val="1"/>
          <w:numId w:val="2"/>
        </w:numPr>
        <w:rPr>
          <w:rFonts w:asciiTheme="minorHAnsi" w:hAnsiTheme="minorHAnsi"/>
          <w:b/>
          <w:sz w:val="24"/>
          <w:szCs w:val="24"/>
        </w:rPr>
      </w:pPr>
      <w:r w:rsidRPr="00AC7859">
        <w:rPr>
          <w:rFonts w:asciiTheme="minorHAnsi" w:hAnsiTheme="minorHAnsi"/>
          <w:b/>
          <w:sz w:val="24"/>
          <w:szCs w:val="24"/>
        </w:rPr>
        <w:t xml:space="preserve">OBJETO DEL PROYECTO DE LEY: </w:t>
      </w:r>
      <w:r w:rsidRPr="00AC7859">
        <w:rPr>
          <w:rFonts w:asciiTheme="minorHAnsi" w:hAnsiTheme="minorHAnsi"/>
          <w:sz w:val="24"/>
          <w:szCs w:val="24"/>
        </w:rPr>
        <w:t>Garantizar transitoriamente el traslado de afil</w:t>
      </w:r>
      <w:r w:rsidR="001D7A0A">
        <w:rPr>
          <w:rFonts w:asciiTheme="minorHAnsi" w:hAnsiTheme="minorHAnsi"/>
          <w:sz w:val="24"/>
          <w:szCs w:val="24"/>
        </w:rPr>
        <w:t>iados entre Fondos de Pensiones</w:t>
      </w:r>
      <w:r w:rsidRPr="00AC7859">
        <w:rPr>
          <w:rFonts w:asciiTheme="minorHAnsi" w:hAnsiTheme="minorHAnsi"/>
          <w:sz w:val="24"/>
          <w:szCs w:val="24"/>
        </w:rPr>
        <w:t>, bajo las siguientes condiciones:</w:t>
      </w:r>
    </w:p>
    <w:p w:rsidR="001D7A0A" w:rsidRPr="00AC7859" w:rsidRDefault="001D7A0A" w:rsidP="001D7A0A">
      <w:pPr>
        <w:pStyle w:val="Prrafodelista"/>
        <w:ind w:left="720" w:firstLine="0"/>
        <w:rPr>
          <w:rFonts w:asciiTheme="minorHAnsi" w:hAnsiTheme="minorHAnsi"/>
          <w:b/>
          <w:sz w:val="24"/>
          <w:szCs w:val="24"/>
        </w:rPr>
      </w:pPr>
    </w:p>
    <w:p w:rsidR="00AC7859" w:rsidRPr="00AC7859" w:rsidRDefault="00AC7859" w:rsidP="001D7A0A">
      <w:pPr>
        <w:pStyle w:val="Prrafodelista"/>
        <w:numPr>
          <w:ilvl w:val="0"/>
          <w:numId w:val="3"/>
        </w:numPr>
        <w:rPr>
          <w:rFonts w:asciiTheme="minorHAnsi" w:hAnsiTheme="minorHAnsi"/>
          <w:sz w:val="24"/>
          <w:szCs w:val="24"/>
        </w:rPr>
      </w:pPr>
      <w:r w:rsidRPr="00AC7859">
        <w:rPr>
          <w:rFonts w:asciiTheme="minorHAnsi" w:hAnsiTheme="minorHAnsi"/>
          <w:sz w:val="24"/>
          <w:szCs w:val="24"/>
          <w:lang w:val="es-CO"/>
        </w:rPr>
        <w:t>Hombres mayores de 52 años o mujeres mayores de 50 años.</w:t>
      </w:r>
    </w:p>
    <w:p w:rsidR="00AC7859" w:rsidRPr="00AC7859" w:rsidRDefault="00AC7859" w:rsidP="001D7A0A">
      <w:pPr>
        <w:pStyle w:val="Prrafodelista"/>
        <w:numPr>
          <w:ilvl w:val="0"/>
          <w:numId w:val="3"/>
        </w:numPr>
        <w:rPr>
          <w:rFonts w:asciiTheme="minorHAnsi" w:hAnsiTheme="minorHAnsi"/>
          <w:sz w:val="24"/>
          <w:szCs w:val="24"/>
        </w:rPr>
      </w:pPr>
      <w:r w:rsidRPr="00AC7859">
        <w:rPr>
          <w:rFonts w:asciiTheme="minorHAnsi" w:hAnsiTheme="minorHAnsi"/>
          <w:sz w:val="24"/>
          <w:szCs w:val="24"/>
          <w:lang w:val="es-CO"/>
        </w:rPr>
        <w:t>Cotización mínima de 750 semanas.</w:t>
      </w:r>
    </w:p>
    <w:p w:rsidR="00AC7859" w:rsidRPr="00AC7859" w:rsidRDefault="00AC7859" w:rsidP="001D7A0A">
      <w:pPr>
        <w:pStyle w:val="Prrafodelista"/>
        <w:ind w:left="1080" w:firstLine="0"/>
        <w:rPr>
          <w:rFonts w:asciiTheme="minorHAnsi" w:hAnsiTheme="minorHAnsi"/>
          <w:sz w:val="24"/>
          <w:szCs w:val="24"/>
        </w:rPr>
      </w:pPr>
    </w:p>
    <w:p w:rsidR="00AC7859" w:rsidRPr="00AC7859" w:rsidRDefault="00AC7859" w:rsidP="001D7A0A">
      <w:pPr>
        <w:pStyle w:val="Prrafodelista"/>
        <w:numPr>
          <w:ilvl w:val="1"/>
          <w:numId w:val="2"/>
        </w:numPr>
        <w:rPr>
          <w:rFonts w:asciiTheme="minorHAnsi" w:hAnsiTheme="minorHAnsi"/>
          <w:b/>
          <w:sz w:val="24"/>
          <w:szCs w:val="24"/>
        </w:rPr>
      </w:pPr>
      <w:r w:rsidRPr="00AC7859">
        <w:rPr>
          <w:rFonts w:asciiTheme="minorHAnsi" w:hAnsiTheme="minorHAnsi"/>
          <w:b/>
          <w:sz w:val="24"/>
          <w:szCs w:val="24"/>
        </w:rPr>
        <w:lastRenderedPageBreak/>
        <w:t>TRAMITE.</w:t>
      </w:r>
    </w:p>
    <w:p w:rsidR="00AC7859" w:rsidRPr="00AC7859" w:rsidRDefault="00AC7859" w:rsidP="001D7A0A">
      <w:pPr>
        <w:pStyle w:val="Prrafodelista"/>
        <w:ind w:left="720" w:firstLine="0"/>
        <w:rPr>
          <w:rFonts w:asciiTheme="minorHAnsi" w:hAnsiTheme="minorHAnsi"/>
          <w:b/>
          <w:sz w:val="24"/>
          <w:szCs w:val="24"/>
        </w:rPr>
      </w:pPr>
    </w:p>
    <w:p w:rsidR="00AC7859" w:rsidRDefault="00AC7859" w:rsidP="001D7A0A">
      <w:pPr>
        <w:spacing w:after="0" w:line="240" w:lineRule="auto"/>
        <w:jc w:val="both"/>
        <w:rPr>
          <w:rFonts w:cs="Arial"/>
          <w:sz w:val="24"/>
          <w:szCs w:val="24"/>
        </w:rPr>
      </w:pPr>
      <w:r w:rsidRPr="00AC7859">
        <w:rPr>
          <w:rFonts w:cs="Arial"/>
          <w:sz w:val="24"/>
          <w:szCs w:val="24"/>
        </w:rPr>
        <w:t>El proyecto de ley 050 de 2019 Cámara</w:t>
      </w:r>
      <w:r w:rsidR="001D7A0A">
        <w:rPr>
          <w:rFonts w:cs="Arial"/>
          <w:sz w:val="24"/>
          <w:szCs w:val="24"/>
        </w:rPr>
        <w:t>,</w:t>
      </w:r>
      <w:r w:rsidRPr="00AC7859">
        <w:rPr>
          <w:rFonts w:cs="Arial"/>
          <w:sz w:val="24"/>
          <w:szCs w:val="24"/>
        </w:rPr>
        <w:t xml:space="preserve"> corresponde a una iniciati</w:t>
      </w:r>
      <w:r w:rsidR="001D7A0A">
        <w:rPr>
          <w:rFonts w:cs="Arial"/>
          <w:sz w:val="24"/>
          <w:szCs w:val="24"/>
        </w:rPr>
        <w:t>va presentada por los HR</w:t>
      </w:r>
      <w:r w:rsidRPr="00AC7859">
        <w:rPr>
          <w:rFonts w:cs="Arial"/>
          <w:sz w:val="24"/>
          <w:szCs w:val="24"/>
        </w:rPr>
        <w:t xml:space="preserve"> Juan Carlos </w:t>
      </w:r>
      <w:proofErr w:type="spellStart"/>
      <w:r w:rsidRPr="00AC7859">
        <w:rPr>
          <w:rFonts w:cs="Arial"/>
          <w:sz w:val="24"/>
          <w:szCs w:val="24"/>
        </w:rPr>
        <w:t>Wills</w:t>
      </w:r>
      <w:proofErr w:type="spellEnd"/>
      <w:r w:rsidRPr="00AC7859">
        <w:rPr>
          <w:rFonts w:cs="Arial"/>
          <w:sz w:val="24"/>
          <w:szCs w:val="24"/>
        </w:rPr>
        <w:t xml:space="preserve"> Ospina, H.R.</w:t>
      </w:r>
      <w:r w:rsidR="001D7A0A">
        <w:rPr>
          <w:rFonts w:cs="Arial"/>
          <w:sz w:val="24"/>
          <w:szCs w:val="24"/>
        </w:rPr>
        <w:t xml:space="preserve"> </w:t>
      </w:r>
      <w:r w:rsidRPr="00AC7859">
        <w:rPr>
          <w:rFonts w:cs="Arial"/>
          <w:sz w:val="24"/>
          <w:szCs w:val="24"/>
        </w:rPr>
        <w:t>Maria Cristina Soto De Gómez, H.R.</w:t>
      </w:r>
      <w:r w:rsidR="001D7A0A">
        <w:rPr>
          <w:rFonts w:cs="Arial"/>
          <w:sz w:val="24"/>
          <w:szCs w:val="24"/>
        </w:rPr>
        <w:t xml:space="preserve"> </w:t>
      </w:r>
      <w:r w:rsidRPr="00AC7859">
        <w:rPr>
          <w:rFonts w:cs="Arial"/>
          <w:sz w:val="24"/>
          <w:szCs w:val="24"/>
        </w:rPr>
        <w:t xml:space="preserve">Buenaventura León </w:t>
      </w:r>
      <w:proofErr w:type="spellStart"/>
      <w:r w:rsidRPr="00AC7859">
        <w:rPr>
          <w:rFonts w:cs="Arial"/>
          <w:sz w:val="24"/>
          <w:szCs w:val="24"/>
        </w:rPr>
        <w:t>León</w:t>
      </w:r>
      <w:proofErr w:type="spellEnd"/>
      <w:r w:rsidRPr="00AC7859">
        <w:rPr>
          <w:rFonts w:cs="Arial"/>
          <w:sz w:val="24"/>
          <w:szCs w:val="24"/>
        </w:rPr>
        <w:t>, H.S.</w:t>
      </w:r>
      <w:r w:rsidR="001D7A0A">
        <w:rPr>
          <w:rFonts w:cs="Arial"/>
          <w:sz w:val="24"/>
          <w:szCs w:val="24"/>
        </w:rPr>
        <w:t xml:space="preserve"> </w:t>
      </w:r>
      <w:r w:rsidRPr="00AC7859">
        <w:rPr>
          <w:rFonts w:cs="Arial"/>
          <w:sz w:val="24"/>
          <w:szCs w:val="24"/>
        </w:rPr>
        <w:t>Efraín José Cepeda Sarabia, H.R. Juan Carlos Rivera Peña, H.R. Adriana Magali Matiz Vargas, H.R.</w:t>
      </w:r>
      <w:r w:rsidR="001D7A0A">
        <w:rPr>
          <w:rFonts w:cs="Arial"/>
          <w:sz w:val="24"/>
          <w:szCs w:val="24"/>
        </w:rPr>
        <w:t xml:space="preserve"> </w:t>
      </w:r>
      <w:r w:rsidRPr="00AC7859">
        <w:rPr>
          <w:rFonts w:cs="Arial"/>
          <w:sz w:val="24"/>
          <w:szCs w:val="24"/>
        </w:rPr>
        <w:t>Ciro Antonio Rodríguez Pinzón, H.R.</w:t>
      </w:r>
      <w:r w:rsidR="001D7A0A">
        <w:rPr>
          <w:rFonts w:cs="Arial"/>
          <w:sz w:val="24"/>
          <w:szCs w:val="24"/>
        </w:rPr>
        <w:t xml:space="preserve"> </w:t>
      </w:r>
      <w:r w:rsidRPr="00AC7859">
        <w:rPr>
          <w:rFonts w:cs="Arial"/>
          <w:sz w:val="24"/>
          <w:szCs w:val="24"/>
        </w:rPr>
        <w:t xml:space="preserve">Armando Antonio </w:t>
      </w:r>
      <w:proofErr w:type="spellStart"/>
      <w:r w:rsidRPr="00AC7859">
        <w:rPr>
          <w:rFonts w:cs="Arial"/>
          <w:sz w:val="24"/>
          <w:szCs w:val="24"/>
        </w:rPr>
        <w:t>Zabaraín</w:t>
      </w:r>
      <w:proofErr w:type="spellEnd"/>
      <w:r w:rsidRPr="00AC7859">
        <w:rPr>
          <w:rFonts w:cs="Arial"/>
          <w:sz w:val="24"/>
          <w:szCs w:val="24"/>
        </w:rPr>
        <w:t xml:space="preserve"> de Arce, H.R.</w:t>
      </w:r>
      <w:r w:rsidR="001D7A0A">
        <w:rPr>
          <w:rFonts w:cs="Arial"/>
          <w:sz w:val="24"/>
          <w:szCs w:val="24"/>
        </w:rPr>
        <w:t xml:space="preserve"> </w:t>
      </w:r>
      <w:proofErr w:type="spellStart"/>
      <w:r w:rsidRPr="00AC7859">
        <w:rPr>
          <w:rFonts w:cs="Arial"/>
          <w:sz w:val="24"/>
          <w:szCs w:val="24"/>
        </w:rPr>
        <w:t>Diela</w:t>
      </w:r>
      <w:proofErr w:type="spellEnd"/>
      <w:r w:rsidRPr="00AC7859">
        <w:rPr>
          <w:rFonts w:cs="Arial"/>
          <w:sz w:val="24"/>
          <w:szCs w:val="24"/>
        </w:rPr>
        <w:t xml:space="preserve"> Liliana Benavides Solarte, H.R. José </w:t>
      </w:r>
      <w:proofErr w:type="spellStart"/>
      <w:r w:rsidRPr="00AC7859">
        <w:rPr>
          <w:rFonts w:cs="Arial"/>
          <w:sz w:val="24"/>
          <w:szCs w:val="24"/>
        </w:rPr>
        <w:t>Elver</w:t>
      </w:r>
      <w:proofErr w:type="spellEnd"/>
      <w:r w:rsidRPr="00AC7859">
        <w:rPr>
          <w:rFonts w:cs="Arial"/>
          <w:sz w:val="24"/>
          <w:szCs w:val="24"/>
        </w:rPr>
        <w:t xml:space="preserve"> Hernández Casas, H.R.</w:t>
      </w:r>
      <w:r w:rsidR="001D7A0A">
        <w:rPr>
          <w:rFonts w:cs="Arial"/>
          <w:sz w:val="24"/>
          <w:szCs w:val="24"/>
        </w:rPr>
        <w:t xml:space="preserve"> </w:t>
      </w:r>
      <w:proofErr w:type="spellStart"/>
      <w:r w:rsidRPr="00AC7859">
        <w:rPr>
          <w:rFonts w:cs="Arial"/>
          <w:sz w:val="24"/>
          <w:szCs w:val="24"/>
        </w:rPr>
        <w:t>Yamil</w:t>
      </w:r>
      <w:proofErr w:type="spellEnd"/>
      <w:r w:rsidRPr="00AC7859">
        <w:rPr>
          <w:rFonts w:cs="Arial"/>
          <w:sz w:val="24"/>
          <w:szCs w:val="24"/>
        </w:rPr>
        <w:t xml:space="preserve"> Hernando Arana </w:t>
      </w:r>
      <w:proofErr w:type="spellStart"/>
      <w:r w:rsidRPr="00AC7859">
        <w:rPr>
          <w:rFonts w:cs="Arial"/>
          <w:sz w:val="24"/>
          <w:szCs w:val="24"/>
        </w:rPr>
        <w:t>Padauí</w:t>
      </w:r>
      <w:proofErr w:type="spellEnd"/>
      <w:r w:rsidRPr="00AC7859">
        <w:rPr>
          <w:rFonts w:cs="Arial"/>
          <w:sz w:val="24"/>
          <w:szCs w:val="24"/>
        </w:rPr>
        <w:t>, H.R.</w:t>
      </w:r>
      <w:r w:rsidR="001D7A0A">
        <w:rPr>
          <w:rFonts w:cs="Arial"/>
          <w:sz w:val="24"/>
          <w:szCs w:val="24"/>
        </w:rPr>
        <w:t xml:space="preserve"> </w:t>
      </w:r>
      <w:r w:rsidRPr="00AC7859">
        <w:rPr>
          <w:rFonts w:cs="Arial"/>
          <w:sz w:val="24"/>
          <w:szCs w:val="24"/>
        </w:rPr>
        <w:t>Emeterio José Montes De Castro</w:t>
      </w:r>
      <w:r w:rsidR="001D7A0A">
        <w:rPr>
          <w:rFonts w:cs="Arial"/>
          <w:sz w:val="24"/>
          <w:szCs w:val="24"/>
        </w:rPr>
        <w:t xml:space="preserve"> y</w:t>
      </w:r>
      <w:r w:rsidRPr="00AC7859">
        <w:rPr>
          <w:rFonts w:cs="Arial"/>
          <w:sz w:val="24"/>
          <w:szCs w:val="24"/>
        </w:rPr>
        <w:t xml:space="preserve"> H.R. José Gustavo Padilla Orozco.</w:t>
      </w:r>
    </w:p>
    <w:p w:rsidR="001D7A0A" w:rsidRPr="00AC7859" w:rsidRDefault="001D7A0A" w:rsidP="001D7A0A">
      <w:pPr>
        <w:spacing w:after="0" w:line="240" w:lineRule="auto"/>
        <w:jc w:val="both"/>
        <w:rPr>
          <w:rFonts w:cs="Arial"/>
          <w:sz w:val="24"/>
          <w:szCs w:val="24"/>
        </w:rPr>
      </w:pPr>
    </w:p>
    <w:p w:rsidR="00AC7859" w:rsidRPr="00AC7859" w:rsidRDefault="00AC7859" w:rsidP="001D7A0A">
      <w:pPr>
        <w:spacing w:after="0" w:line="240" w:lineRule="auto"/>
        <w:jc w:val="both"/>
        <w:rPr>
          <w:rFonts w:cs="Arial"/>
          <w:sz w:val="24"/>
          <w:szCs w:val="24"/>
        </w:rPr>
      </w:pPr>
      <w:r w:rsidRPr="00AC7859">
        <w:rPr>
          <w:rFonts w:cs="Arial"/>
          <w:sz w:val="24"/>
          <w:szCs w:val="24"/>
        </w:rPr>
        <w:t>Por designación de la Mesa Directiva de la Comisión Séptima de la Cámara de Representantes fu</w:t>
      </w:r>
      <w:r w:rsidR="001D7A0A">
        <w:rPr>
          <w:rFonts w:cs="Arial"/>
          <w:sz w:val="24"/>
          <w:szCs w:val="24"/>
        </w:rPr>
        <w:t>i</w:t>
      </w:r>
      <w:r w:rsidRPr="00AC7859">
        <w:rPr>
          <w:rFonts w:cs="Arial"/>
          <w:sz w:val="24"/>
          <w:szCs w:val="24"/>
        </w:rPr>
        <w:t xml:space="preserve"> designada como coordinadora ponente</w:t>
      </w:r>
      <w:r w:rsidR="001D7A0A">
        <w:rPr>
          <w:rFonts w:cs="Arial"/>
          <w:sz w:val="24"/>
          <w:szCs w:val="24"/>
        </w:rPr>
        <w:t xml:space="preserve"> para primer debate, junto con los HR Jorge Enrique Benedetti Martelo, Jennifer </w:t>
      </w:r>
      <w:proofErr w:type="spellStart"/>
      <w:r w:rsidR="001D7A0A">
        <w:rPr>
          <w:rFonts w:cs="Arial"/>
          <w:sz w:val="24"/>
          <w:szCs w:val="24"/>
        </w:rPr>
        <w:t>Kristin</w:t>
      </w:r>
      <w:proofErr w:type="spellEnd"/>
      <w:r w:rsidR="00001A19">
        <w:rPr>
          <w:rFonts w:cs="Arial"/>
          <w:sz w:val="24"/>
          <w:szCs w:val="24"/>
        </w:rPr>
        <w:t xml:space="preserve"> Arias Falla y Mauricio Andrés T</w:t>
      </w:r>
      <w:r w:rsidR="001D7A0A">
        <w:rPr>
          <w:rFonts w:cs="Arial"/>
          <w:sz w:val="24"/>
          <w:szCs w:val="24"/>
        </w:rPr>
        <w:t>oro Orjuela como ponentes.</w:t>
      </w:r>
    </w:p>
    <w:p w:rsidR="00AC7859" w:rsidRDefault="00AC7859" w:rsidP="001D7A0A">
      <w:pPr>
        <w:spacing w:after="0" w:line="240" w:lineRule="auto"/>
        <w:rPr>
          <w:sz w:val="24"/>
          <w:szCs w:val="24"/>
        </w:rPr>
      </w:pPr>
    </w:p>
    <w:p w:rsidR="00001A19" w:rsidRPr="00AC7859" w:rsidRDefault="00001A19" w:rsidP="001D7A0A">
      <w:pPr>
        <w:spacing w:after="0" w:line="240" w:lineRule="auto"/>
        <w:rPr>
          <w:sz w:val="24"/>
          <w:szCs w:val="24"/>
        </w:rPr>
      </w:pPr>
    </w:p>
    <w:p w:rsidR="00AC7859" w:rsidRPr="00AC7859" w:rsidRDefault="00AC7859" w:rsidP="001D7A0A">
      <w:pPr>
        <w:pStyle w:val="Prrafodelista"/>
        <w:numPr>
          <w:ilvl w:val="0"/>
          <w:numId w:val="2"/>
        </w:numPr>
        <w:rPr>
          <w:rFonts w:asciiTheme="minorHAnsi" w:hAnsiTheme="minorHAnsi"/>
          <w:b/>
          <w:sz w:val="24"/>
          <w:szCs w:val="24"/>
        </w:rPr>
      </w:pPr>
      <w:r w:rsidRPr="00AC7859">
        <w:rPr>
          <w:rFonts w:asciiTheme="minorHAnsi" w:hAnsiTheme="minorHAnsi"/>
          <w:b/>
          <w:sz w:val="24"/>
          <w:szCs w:val="24"/>
        </w:rPr>
        <w:t>HISTORIA LEGISLATIVA EN MATERIA DE TRASLADOS DE RÉGIMEN PENSIONAL.</w:t>
      </w:r>
    </w:p>
    <w:p w:rsidR="00AC7859" w:rsidRPr="00AC7859" w:rsidRDefault="00AC7859" w:rsidP="001D7A0A">
      <w:pPr>
        <w:pStyle w:val="Prrafodelista"/>
        <w:ind w:left="720" w:firstLine="0"/>
        <w:rPr>
          <w:rFonts w:asciiTheme="minorHAnsi" w:hAnsiTheme="minorHAnsi"/>
          <w:sz w:val="24"/>
          <w:szCs w:val="24"/>
        </w:rPr>
      </w:pPr>
    </w:p>
    <w:p w:rsidR="00AC7859" w:rsidRDefault="00AC7859" w:rsidP="001D7A0A">
      <w:pPr>
        <w:spacing w:after="0" w:line="240" w:lineRule="auto"/>
        <w:jc w:val="both"/>
        <w:rPr>
          <w:rFonts w:cs="Arial"/>
          <w:sz w:val="24"/>
          <w:szCs w:val="24"/>
          <w:lang w:val="es-ES_tradnl"/>
        </w:rPr>
      </w:pPr>
      <w:r w:rsidRPr="00AC7859">
        <w:rPr>
          <w:rFonts w:cs="Arial"/>
          <w:sz w:val="24"/>
          <w:szCs w:val="24"/>
          <w:lang w:val="es-ES_tradnl"/>
        </w:rPr>
        <w:t>El principio de libre selección de regímenes pensionales se inscribe en el catálogo de criterios orientadores del sistema pensional de conformidad con lo establecido en el literal b) del artículo 2) de la Ley 100 de 1993 en los siguientes términos:</w:t>
      </w:r>
    </w:p>
    <w:p w:rsidR="00001A19" w:rsidRPr="00AC7859" w:rsidRDefault="00001A19" w:rsidP="001D7A0A">
      <w:pPr>
        <w:spacing w:after="0" w:line="240" w:lineRule="auto"/>
        <w:jc w:val="both"/>
        <w:rPr>
          <w:rFonts w:cs="Arial"/>
          <w:sz w:val="24"/>
          <w:szCs w:val="24"/>
          <w:lang w:val="es-ES_tradnl"/>
        </w:rPr>
      </w:pPr>
    </w:p>
    <w:p w:rsidR="00AC7859" w:rsidRPr="00001A19" w:rsidRDefault="00AC7859" w:rsidP="00001A19">
      <w:pPr>
        <w:pStyle w:val="Prrafodelista"/>
        <w:ind w:left="851" w:right="1324" w:firstLine="0"/>
        <w:jc w:val="both"/>
        <w:rPr>
          <w:rFonts w:asciiTheme="minorHAnsi" w:hAnsiTheme="minorHAnsi"/>
          <w:i/>
          <w:sz w:val="24"/>
          <w:szCs w:val="24"/>
          <w:lang w:val="es-ES_tradnl"/>
        </w:rPr>
      </w:pPr>
      <w:r w:rsidRPr="00AC7859">
        <w:rPr>
          <w:rFonts w:asciiTheme="minorHAnsi" w:hAnsiTheme="minorHAnsi"/>
          <w:i/>
          <w:sz w:val="24"/>
          <w:szCs w:val="24"/>
          <w:lang w:val="es-ES_tradnl"/>
        </w:rPr>
        <w:t>“La selección de uno cualquiera de los regímenes previstos por el artículo anterior</w:t>
      </w:r>
      <w:r w:rsidR="00001A19">
        <w:rPr>
          <w:rFonts w:asciiTheme="minorHAnsi" w:hAnsiTheme="minorHAnsi"/>
          <w:i/>
          <w:sz w:val="24"/>
          <w:szCs w:val="24"/>
          <w:lang w:val="es-ES_tradnl"/>
        </w:rPr>
        <w:t xml:space="preserve"> </w:t>
      </w:r>
      <w:r w:rsidRPr="00001A19">
        <w:rPr>
          <w:rFonts w:asciiTheme="minorHAnsi" w:hAnsiTheme="minorHAnsi"/>
          <w:i/>
          <w:sz w:val="24"/>
          <w:szCs w:val="24"/>
          <w:lang w:val="es-ES_tradnl"/>
        </w:rPr>
        <w:t xml:space="preserve">es libre y voluntaria por parte del afiliado, quien para tal efecto manifestará por escrito su elección al momento de la vinculación o del traslado. El empleador o cualquier persona natural o jurídica que desconozca este derecho en cualquier forma, se hará acreedor a las sanciones de que trata el inciso 1o. del artículo </w:t>
      </w:r>
      <w:hyperlink r:id="rId8" w:anchor="271" w:history="1">
        <w:r w:rsidRPr="00001A19">
          <w:rPr>
            <w:rStyle w:val="Hipervnculo"/>
            <w:rFonts w:asciiTheme="minorHAnsi" w:hAnsiTheme="minorHAnsi"/>
            <w:i/>
            <w:color w:val="auto"/>
            <w:sz w:val="24"/>
            <w:szCs w:val="24"/>
            <w:u w:val="none"/>
            <w:lang w:val="es-ES_tradnl"/>
          </w:rPr>
          <w:t>271</w:t>
        </w:r>
      </w:hyperlink>
      <w:r w:rsidRPr="00001A19">
        <w:rPr>
          <w:rFonts w:asciiTheme="minorHAnsi" w:hAnsiTheme="minorHAnsi"/>
          <w:i/>
          <w:sz w:val="24"/>
          <w:szCs w:val="24"/>
          <w:lang w:val="es-ES_tradnl"/>
        </w:rPr>
        <w:t xml:space="preserve"> de la presente ley.”</w:t>
      </w:r>
    </w:p>
    <w:p w:rsidR="00AC7859" w:rsidRPr="00AC7859" w:rsidRDefault="00AC7859" w:rsidP="001D7A0A">
      <w:pPr>
        <w:pStyle w:val="Prrafodelista"/>
        <w:ind w:left="1080"/>
        <w:jc w:val="both"/>
        <w:rPr>
          <w:rFonts w:asciiTheme="minorHAnsi" w:hAnsiTheme="minorHAnsi"/>
          <w:sz w:val="24"/>
          <w:szCs w:val="24"/>
          <w:lang w:val="es-ES_tradnl"/>
        </w:rPr>
      </w:pPr>
    </w:p>
    <w:p w:rsidR="00AC7859" w:rsidRDefault="00AC7859" w:rsidP="001D7A0A">
      <w:pPr>
        <w:spacing w:after="0" w:line="240" w:lineRule="auto"/>
        <w:jc w:val="both"/>
        <w:rPr>
          <w:rFonts w:cs="Arial"/>
          <w:sz w:val="24"/>
          <w:szCs w:val="24"/>
          <w:lang w:val="es-ES_tradnl"/>
        </w:rPr>
      </w:pPr>
      <w:r w:rsidRPr="00AC7859">
        <w:rPr>
          <w:rFonts w:cs="Arial"/>
          <w:sz w:val="24"/>
          <w:szCs w:val="24"/>
          <w:lang w:val="es-ES_tradnl"/>
        </w:rPr>
        <w:t>Originalmente los traslados entre regímenes pensionales estaban sujetos a tiempos mínimos de permanencia de 3 años como condición previa al traslado en función del modelo paralelo adoptado por el sistema pensional colombiano.</w:t>
      </w:r>
    </w:p>
    <w:p w:rsidR="00001A19" w:rsidRPr="00AC7859" w:rsidRDefault="00001A19" w:rsidP="001D7A0A">
      <w:pPr>
        <w:spacing w:after="0" w:line="240" w:lineRule="auto"/>
        <w:jc w:val="both"/>
        <w:rPr>
          <w:rFonts w:cs="Arial"/>
          <w:sz w:val="24"/>
          <w:szCs w:val="24"/>
          <w:lang w:val="es-ES_tradnl"/>
        </w:rPr>
      </w:pPr>
    </w:p>
    <w:p w:rsidR="00AC7859" w:rsidRPr="00AC7859" w:rsidRDefault="00AC7859" w:rsidP="001D7A0A">
      <w:pPr>
        <w:spacing w:after="0" w:line="240" w:lineRule="auto"/>
        <w:jc w:val="both"/>
        <w:rPr>
          <w:rFonts w:cs="Arial"/>
          <w:sz w:val="24"/>
          <w:szCs w:val="24"/>
          <w:lang w:val="es-ES_tradnl"/>
        </w:rPr>
      </w:pPr>
      <w:r w:rsidRPr="00AC7859">
        <w:rPr>
          <w:rFonts w:cs="Arial"/>
          <w:sz w:val="24"/>
          <w:szCs w:val="24"/>
          <w:lang w:val="es-ES_tradnl"/>
        </w:rPr>
        <w:t>La regla de tiempos mínimos de permanencia para el traslado de régimen pensional fue modificada por el artículo 2 de la Ley 797 de 2003 ampliando el tiempo mínimo de permanencia a 5 años e incluyendo como prohibición expresa de traslados cuando falten 10 años para el cumplimiento de las edades en los siguientes términos:</w:t>
      </w:r>
    </w:p>
    <w:p w:rsidR="00AC7859" w:rsidRPr="00AC7859" w:rsidRDefault="00AC7859" w:rsidP="001D7A0A">
      <w:pPr>
        <w:pStyle w:val="Prrafodelista"/>
        <w:ind w:left="1080"/>
        <w:jc w:val="both"/>
        <w:rPr>
          <w:rFonts w:asciiTheme="minorHAnsi" w:hAnsiTheme="minorHAnsi"/>
          <w:sz w:val="24"/>
          <w:szCs w:val="24"/>
          <w:lang w:val="es-ES_tradnl"/>
        </w:rPr>
      </w:pPr>
    </w:p>
    <w:p w:rsidR="00AC7859" w:rsidRPr="00AC7859" w:rsidRDefault="00AC7859" w:rsidP="00001A19">
      <w:pPr>
        <w:pStyle w:val="Prrafodelista"/>
        <w:ind w:left="851" w:right="1182" w:firstLine="0"/>
        <w:jc w:val="both"/>
        <w:rPr>
          <w:rFonts w:asciiTheme="minorHAnsi" w:hAnsiTheme="minorHAnsi"/>
          <w:i/>
          <w:sz w:val="24"/>
          <w:szCs w:val="24"/>
        </w:rPr>
      </w:pPr>
      <w:r w:rsidRPr="00AC7859">
        <w:rPr>
          <w:rFonts w:asciiTheme="minorHAnsi" w:hAnsiTheme="minorHAnsi"/>
          <w:i/>
          <w:sz w:val="24"/>
          <w:szCs w:val="24"/>
          <w:lang w:val="es-ES_tradnl"/>
        </w:rPr>
        <w:t>“</w:t>
      </w:r>
      <w:r w:rsidRPr="00AC7859">
        <w:rPr>
          <w:rFonts w:asciiTheme="minorHAnsi" w:hAnsiTheme="minorHAnsi"/>
          <w:i/>
          <w:sz w:val="24"/>
          <w:szCs w:val="24"/>
        </w:rPr>
        <w:t>e) Los afiliados al Sistema General de Pensiones podrán escoger el régimen de pensiones que prefieran. Una vez efectuada la selección inicial, estos sólo podrán trasladarse de régimen por una sola vez cada cinco (5) años, contados a partir de la selección inicial. Después de un (1) año de la vigencia de la presente ley, el afiliado no podrá trasladarse de régimen cuando le faltaren diez (10) años o menos para cumplir la edad para tener derecho a la pensión de vejez;”</w:t>
      </w:r>
    </w:p>
    <w:p w:rsidR="00AC7859" w:rsidRPr="00AC7859" w:rsidRDefault="00AC7859" w:rsidP="001D7A0A">
      <w:pPr>
        <w:pStyle w:val="Prrafodelista"/>
        <w:ind w:left="1080"/>
        <w:jc w:val="both"/>
        <w:rPr>
          <w:rFonts w:asciiTheme="minorHAnsi" w:hAnsiTheme="minorHAnsi"/>
          <w:sz w:val="24"/>
          <w:szCs w:val="24"/>
        </w:rPr>
      </w:pPr>
    </w:p>
    <w:p w:rsidR="00AC7859" w:rsidRPr="00AC7859" w:rsidRDefault="00AC7859" w:rsidP="001D7A0A">
      <w:pPr>
        <w:spacing w:after="0" w:line="240" w:lineRule="auto"/>
        <w:jc w:val="both"/>
        <w:rPr>
          <w:rFonts w:cs="Arial"/>
          <w:sz w:val="24"/>
          <w:szCs w:val="24"/>
        </w:rPr>
      </w:pPr>
      <w:r w:rsidRPr="00AC7859">
        <w:rPr>
          <w:rFonts w:cs="Arial"/>
          <w:sz w:val="24"/>
          <w:szCs w:val="24"/>
        </w:rPr>
        <w:lastRenderedPageBreak/>
        <w:t>Las razones históricas de la modificación normativa en comento, soslayaron la inclusión de la necesaria asesoría y buen consejo en materia de traslados</w:t>
      </w:r>
      <w:r w:rsidR="00001A19">
        <w:rPr>
          <w:rFonts w:cs="Arial"/>
          <w:sz w:val="24"/>
          <w:szCs w:val="24"/>
        </w:rPr>
        <w:t>,</w:t>
      </w:r>
      <w:r w:rsidRPr="00AC7859">
        <w:rPr>
          <w:rFonts w:cs="Arial"/>
          <w:sz w:val="24"/>
          <w:szCs w:val="24"/>
        </w:rPr>
        <w:t xml:space="preserve"> poniendo el acento en justificantes de sostenibilidad financiera del sistema como se infiere de la exposición de motivos que expresa:</w:t>
      </w:r>
    </w:p>
    <w:p w:rsidR="00AC7859" w:rsidRPr="00AC7859" w:rsidRDefault="00AC7859" w:rsidP="001D7A0A">
      <w:pPr>
        <w:pStyle w:val="Prrafodelista"/>
        <w:ind w:left="1080"/>
        <w:jc w:val="both"/>
        <w:rPr>
          <w:rFonts w:asciiTheme="minorHAnsi" w:hAnsiTheme="minorHAnsi"/>
          <w:sz w:val="24"/>
          <w:szCs w:val="24"/>
        </w:rPr>
      </w:pPr>
    </w:p>
    <w:p w:rsidR="00AC7859" w:rsidRDefault="00AC7859" w:rsidP="00001A19">
      <w:pPr>
        <w:pStyle w:val="Prrafodelista"/>
        <w:ind w:left="851" w:right="1182" w:firstLine="0"/>
        <w:jc w:val="both"/>
        <w:rPr>
          <w:rFonts w:asciiTheme="minorHAnsi" w:hAnsiTheme="minorHAnsi"/>
          <w:i/>
          <w:sz w:val="24"/>
          <w:szCs w:val="24"/>
        </w:rPr>
      </w:pPr>
      <w:r w:rsidRPr="00AC7859">
        <w:rPr>
          <w:rFonts w:asciiTheme="minorHAnsi" w:hAnsiTheme="minorHAnsi"/>
          <w:i/>
          <w:sz w:val="24"/>
          <w:szCs w:val="24"/>
        </w:rPr>
        <w:t>“La responsabilidad fiscal del proyecto de ley está contenida en las siguientes reformas:</w:t>
      </w:r>
    </w:p>
    <w:p w:rsidR="00001A19" w:rsidRPr="00AC7859" w:rsidRDefault="00001A19" w:rsidP="00001A19">
      <w:pPr>
        <w:pStyle w:val="Prrafodelista"/>
        <w:ind w:left="851" w:right="1182" w:firstLine="0"/>
        <w:jc w:val="both"/>
        <w:rPr>
          <w:rFonts w:asciiTheme="minorHAnsi" w:hAnsiTheme="minorHAnsi"/>
          <w:i/>
          <w:sz w:val="24"/>
          <w:szCs w:val="24"/>
        </w:rPr>
      </w:pPr>
    </w:p>
    <w:p w:rsidR="00AC7859" w:rsidRPr="00AC7859" w:rsidRDefault="00AC7859" w:rsidP="00001A19">
      <w:pPr>
        <w:pStyle w:val="Prrafodelista"/>
        <w:ind w:left="851" w:right="1182" w:firstLine="0"/>
        <w:jc w:val="both"/>
        <w:rPr>
          <w:rFonts w:asciiTheme="minorHAnsi" w:hAnsiTheme="minorHAnsi"/>
          <w:i/>
          <w:sz w:val="24"/>
          <w:szCs w:val="24"/>
        </w:rPr>
      </w:pPr>
      <w:r w:rsidRPr="00AC7859">
        <w:rPr>
          <w:rFonts w:asciiTheme="minorHAnsi" w:hAnsiTheme="minorHAnsi"/>
          <w:i/>
          <w:sz w:val="24"/>
          <w:szCs w:val="24"/>
        </w:rPr>
        <w:t>Suspende, la posibilidad de traslado entre regímenes, en los últimos diez (10) años anteriores al cumplimiento de la edad para tener derecho a la pensión.</w:t>
      </w:r>
    </w:p>
    <w:p w:rsidR="00AC7859" w:rsidRPr="00AC7859" w:rsidRDefault="00AC7859" w:rsidP="00001A19">
      <w:pPr>
        <w:pStyle w:val="Prrafodelista"/>
        <w:ind w:left="851" w:right="1182" w:firstLine="0"/>
        <w:jc w:val="both"/>
        <w:rPr>
          <w:rFonts w:asciiTheme="minorHAnsi" w:hAnsiTheme="minorHAnsi"/>
          <w:i/>
          <w:sz w:val="24"/>
          <w:szCs w:val="24"/>
        </w:rPr>
      </w:pPr>
      <w:r w:rsidRPr="00AC7859">
        <w:rPr>
          <w:rFonts w:asciiTheme="minorHAnsi" w:hAnsiTheme="minorHAnsi"/>
          <w:i/>
          <w:sz w:val="24"/>
          <w:szCs w:val="24"/>
        </w:rPr>
        <w:t>(…)</w:t>
      </w:r>
    </w:p>
    <w:p w:rsidR="00AC7859" w:rsidRPr="00AC7859" w:rsidRDefault="00AC7859" w:rsidP="00001A19">
      <w:pPr>
        <w:pStyle w:val="Prrafodelista"/>
        <w:ind w:left="851" w:right="1182" w:firstLine="0"/>
        <w:jc w:val="both"/>
        <w:rPr>
          <w:rFonts w:asciiTheme="minorHAnsi" w:hAnsiTheme="minorHAnsi"/>
          <w:i/>
          <w:sz w:val="24"/>
          <w:szCs w:val="24"/>
        </w:rPr>
      </w:pPr>
    </w:p>
    <w:p w:rsidR="00AC7859" w:rsidRPr="00AC7859" w:rsidRDefault="00AC7859" w:rsidP="00001A19">
      <w:pPr>
        <w:pStyle w:val="Prrafodelista"/>
        <w:ind w:left="851" w:right="1182" w:firstLine="0"/>
        <w:jc w:val="both"/>
        <w:rPr>
          <w:rFonts w:asciiTheme="minorHAnsi" w:hAnsiTheme="minorHAnsi"/>
          <w:i/>
          <w:sz w:val="24"/>
          <w:szCs w:val="24"/>
        </w:rPr>
      </w:pPr>
      <w:r w:rsidRPr="00AC7859">
        <w:rPr>
          <w:rFonts w:asciiTheme="minorHAnsi" w:hAnsiTheme="minorHAnsi"/>
          <w:i/>
          <w:sz w:val="24"/>
          <w:szCs w:val="24"/>
        </w:rPr>
        <w:t>Se mantiene el principio de libre selección de régimen consagrado en la Ley 100 de 1993 pero se le adicionan dos condiciones que permiten darle más estabilidad y sostenibilidad al sistema pensional. En primer lugar se amplía el plazo para el cambio entre regímenes a una vez cada cinco años, y en segundo lugar, se limita este ejercicio de traslado en el tiempo, al no permitirlo durante los últimos diez años que le falten al afiliado para cumplir la edad exigida en el régimen de prima media para tener derecho a la pensión de vejez. En todo caso se prevé una disposición transitoria para quienes ya se encuentran en esta situación.”</w:t>
      </w:r>
    </w:p>
    <w:p w:rsidR="00AC7859" w:rsidRPr="00AC7859" w:rsidRDefault="00AC7859" w:rsidP="001D7A0A">
      <w:pPr>
        <w:pStyle w:val="Prrafodelista"/>
        <w:ind w:left="1080"/>
        <w:jc w:val="both"/>
        <w:rPr>
          <w:rFonts w:asciiTheme="minorHAnsi" w:hAnsiTheme="minorHAnsi"/>
          <w:sz w:val="24"/>
          <w:szCs w:val="24"/>
        </w:rPr>
      </w:pPr>
    </w:p>
    <w:p w:rsidR="00AC7859" w:rsidRPr="00AC7859" w:rsidRDefault="00AC7859" w:rsidP="001D7A0A">
      <w:pPr>
        <w:pStyle w:val="Prrafodelista"/>
        <w:ind w:left="-284" w:firstLine="0"/>
        <w:jc w:val="both"/>
        <w:rPr>
          <w:rFonts w:asciiTheme="minorHAnsi" w:hAnsiTheme="minorHAnsi"/>
          <w:sz w:val="24"/>
          <w:szCs w:val="24"/>
        </w:rPr>
      </w:pPr>
      <w:r w:rsidRPr="00AC7859">
        <w:rPr>
          <w:rFonts w:asciiTheme="minorHAnsi" w:hAnsiTheme="minorHAnsi"/>
          <w:sz w:val="24"/>
          <w:szCs w:val="24"/>
        </w:rPr>
        <w:t>En efecto la modificación supuso u</w:t>
      </w:r>
      <w:r w:rsidR="00001A19">
        <w:rPr>
          <w:rFonts w:asciiTheme="minorHAnsi" w:hAnsiTheme="minorHAnsi"/>
          <w:sz w:val="24"/>
          <w:szCs w:val="24"/>
        </w:rPr>
        <w:t>n período de transición inicial</w:t>
      </w:r>
      <w:r w:rsidRPr="00AC7859">
        <w:rPr>
          <w:rFonts w:asciiTheme="minorHAnsi" w:hAnsiTheme="minorHAnsi"/>
          <w:sz w:val="24"/>
          <w:szCs w:val="24"/>
        </w:rPr>
        <w:t xml:space="preserve"> de un año, de manera que desde el 29 de enero de 2003 hasta el 28 de enero de 2004 se liberó la restricción de traslados incluida en la Ley 797 de 2003.</w:t>
      </w:r>
    </w:p>
    <w:p w:rsidR="00AC7859" w:rsidRDefault="00AC7859" w:rsidP="001D7A0A">
      <w:pPr>
        <w:pStyle w:val="Prrafodelista"/>
        <w:ind w:left="-284" w:firstLine="0"/>
        <w:jc w:val="both"/>
        <w:rPr>
          <w:rFonts w:asciiTheme="minorHAnsi" w:hAnsiTheme="minorHAnsi"/>
          <w:sz w:val="24"/>
          <w:szCs w:val="24"/>
        </w:rPr>
      </w:pPr>
    </w:p>
    <w:p w:rsidR="00001A19" w:rsidRPr="00AC7859" w:rsidRDefault="00001A19" w:rsidP="001D7A0A">
      <w:pPr>
        <w:pStyle w:val="Prrafodelista"/>
        <w:ind w:left="-284" w:firstLine="0"/>
        <w:jc w:val="both"/>
        <w:rPr>
          <w:rFonts w:asciiTheme="minorHAnsi" w:hAnsiTheme="minorHAnsi"/>
          <w:sz w:val="24"/>
          <w:szCs w:val="24"/>
        </w:rPr>
      </w:pPr>
    </w:p>
    <w:p w:rsidR="00AC7859" w:rsidRPr="00AC7859" w:rsidRDefault="00AC7859" w:rsidP="001D7A0A">
      <w:pPr>
        <w:pStyle w:val="Prrafodelista"/>
        <w:numPr>
          <w:ilvl w:val="0"/>
          <w:numId w:val="2"/>
        </w:numPr>
        <w:rPr>
          <w:rFonts w:asciiTheme="minorHAnsi" w:hAnsiTheme="minorHAnsi"/>
          <w:b/>
          <w:sz w:val="24"/>
          <w:szCs w:val="24"/>
        </w:rPr>
      </w:pPr>
      <w:r w:rsidRPr="00AC7859">
        <w:rPr>
          <w:rFonts w:asciiTheme="minorHAnsi" w:hAnsiTheme="minorHAnsi"/>
          <w:b/>
          <w:sz w:val="24"/>
          <w:szCs w:val="24"/>
        </w:rPr>
        <w:t>LOS EFECTOS DE LOS TRASLADOS PENSIONALES.</w:t>
      </w:r>
    </w:p>
    <w:p w:rsidR="00AC7859" w:rsidRPr="00AC7859" w:rsidRDefault="00AC7859" w:rsidP="001D7A0A">
      <w:pPr>
        <w:spacing w:after="0" w:line="240" w:lineRule="auto"/>
        <w:jc w:val="both"/>
        <w:rPr>
          <w:rFonts w:eastAsia="Arial" w:cs="Arial"/>
          <w:sz w:val="24"/>
          <w:szCs w:val="24"/>
          <w:lang w:val="es-ES" w:eastAsia="es-ES" w:bidi="es-ES"/>
        </w:rPr>
      </w:pPr>
    </w:p>
    <w:p w:rsidR="00AC7859" w:rsidRPr="00AC7859" w:rsidRDefault="00AC7859" w:rsidP="001D7A0A">
      <w:pPr>
        <w:spacing w:after="0" w:line="240" w:lineRule="auto"/>
        <w:ind w:left="-284"/>
        <w:jc w:val="both"/>
        <w:rPr>
          <w:rFonts w:cs="Arial"/>
          <w:sz w:val="24"/>
          <w:szCs w:val="24"/>
          <w:lang w:val="es-ES"/>
        </w:rPr>
      </w:pPr>
      <w:r w:rsidRPr="00AC7859">
        <w:rPr>
          <w:rFonts w:cs="Arial"/>
          <w:sz w:val="24"/>
          <w:szCs w:val="24"/>
          <w:lang w:val="es-ES"/>
        </w:rPr>
        <w:t>El decreto único reglamentario del sistema general de pensiones, contenido en el decreto 1833 de 2016 establece los términos de los traslados pensionales con la consecuente transferencia de los saldos de la cuenta de ahorro individual al régimen de prima media con prestación definida que recibe los recursos:</w:t>
      </w:r>
    </w:p>
    <w:p w:rsidR="00AC7859" w:rsidRPr="00AC7859" w:rsidRDefault="00AC7859" w:rsidP="001D7A0A">
      <w:pPr>
        <w:spacing w:after="0" w:line="240" w:lineRule="auto"/>
        <w:jc w:val="both"/>
        <w:rPr>
          <w:rFonts w:cs="Arial"/>
          <w:sz w:val="24"/>
          <w:szCs w:val="24"/>
          <w:lang w:val="es-ES"/>
        </w:rPr>
      </w:pPr>
    </w:p>
    <w:p w:rsidR="00AC7859" w:rsidRDefault="00AC7859" w:rsidP="00001A19">
      <w:pPr>
        <w:spacing w:after="0" w:line="240" w:lineRule="auto"/>
        <w:ind w:left="709" w:right="1182"/>
        <w:jc w:val="both"/>
        <w:rPr>
          <w:rFonts w:cs="Arial"/>
          <w:i/>
          <w:sz w:val="24"/>
          <w:szCs w:val="24"/>
          <w:lang w:val="es-ES"/>
        </w:rPr>
      </w:pPr>
      <w:r w:rsidRPr="00AC7859">
        <w:rPr>
          <w:rFonts w:cs="Arial"/>
          <w:sz w:val="24"/>
          <w:szCs w:val="24"/>
          <w:lang w:val="es-ES"/>
        </w:rPr>
        <w:t>“</w:t>
      </w:r>
      <w:r w:rsidR="00001A19" w:rsidRPr="00AC7859">
        <w:rPr>
          <w:rFonts w:cs="Arial"/>
          <w:i/>
          <w:sz w:val="24"/>
          <w:szCs w:val="24"/>
          <w:lang w:val="es-ES"/>
        </w:rPr>
        <w:t>Artículo</w:t>
      </w:r>
      <w:r w:rsidRPr="00AC7859">
        <w:rPr>
          <w:rFonts w:cs="Arial"/>
          <w:i/>
          <w:sz w:val="24"/>
          <w:szCs w:val="24"/>
          <w:lang w:val="es-ES"/>
        </w:rPr>
        <w:t xml:space="preserve"> 2.2.2.3.1. Traslado de </w:t>
      </w:r>
      <w:r w:rsidR="00001A19" w:rsidRPr="00AC7859">
        <w:rPr>
          <w:rFonts w:cs="Arial"/>
          <w:i/>
          <w:sz w:val="24"/>
          <w:szCs w:val="24"/>
          <w:lang w:val="es-ES"/>
        </w:rPr>
        <w:t>régimen</w:t>
      </w:r>
      <w:r w:rsidRPr="00AC7859">
        <w:rPr>
          <w:rFonts w:cs="Arial"/>
          <w:sz w:val="24"/>
          <w:szCs w:val="24"/>
          <w:lang w:val="es-ES"/>
        </w:rPr>
        <w:t xml:space="preserve"> </w:t>
      </w:r>
      <w:r w:rsidRPr="00AC7859">
        <w:rPr>
          <w:rFonts w:cs="Arial"/>
          <w:i/>
          <w:sz w:val="24"/>
          <w:szCs w:val="24"/>
          <w:lang w:val="es-ES"/>
        </w:rPr>
        <w:t xml:space="preserve">pensional. Una vez efectuada la </w:t>
      </w:r>
      <w:r w:rsidR="00001A19" w:rsidRPr="00AC7859">
        <w:rPr>
          <w:rFonts w:cs="Arial"/>
          <w:i/>
          <w:sz w:val="24"/>
          <w:szCs w:val="24"/>
          <w:lang w:val="es-ES"/>
        </w:rPr>
        <w:t>selección</w:t>
      </w:r>
      <w:r w:rsidRPr="00AC7859">
        <w:rPr>
          <w:rFonts w:cs="Arial"/>
          <w:i/>
          <w:sz w:val="24"/>
          <w:szCs w:val="24"/>
          <w:lang w:val="es-ES"/>
        </w:rPr>
        <w:t xml:space="preserve"> de cualquiera de los </w:t>
      </w:r>
      <w:r w:rsidR="00001A19" w:rsidRPr="00AC7859">
        <w:rPr>
          <w:rFonts w:cs="Arial"/>
          <w:i/>
          <w:sz w:val="24"/>
          <w:szCs w:val="24"/>
          <w:lang w:val="es-ES"/>
        </w:rPr>
        <w:t>regímenes</w:t>
      </w:r>
      <w:r w:rsidRPr="00AC7859">
        <w:rPr>
          <w:rFonts w:cs="Arial"/>
          <w:i/>
          <w:sz w:val="24"/>
          <w:szCs w:val="24"/>
          <w:lang w:val="es-ES"/>
        </w:rPr>
        <w:t xml:space="preserve"> pensionales mediante el diligenciamiento del formulario, los afiliados no </w:t>
      </w:r>
      <w:r w:rsidR="00001A19" w:rsidRPr="00AC7859">
        <w:rPr>
          <w:rFonts w:cs="Arial"/>
          <w:i/>
          <w:sz w:val="24"/>
          <w:szCs w:val="24"/>
          <w:lang w:val="es-ES"/>
        </w:rPr>
        <w:t>podrán</w:t>
      </w:r>
      <w:r w:rsidRPr="00AC7859">
        <w:rPr>
          <w:rFonts w:cs="Arial"/>
          <w:i/>
          <w:sz w:val="24"/>
          <w:szCs w:val="24"/>
          <w:lang w:val="es-ES"/>
        </w:rPr>
        <w:t xml:space="preserve"> trasladarse de </w:t>
      </w:r>
      <w:r w:rsidR="00001A19" w:rsidRPr="00AC7859">
        <w:rPr>
          <w:rFonts w:cs="Arial"/>
          <w:i/>
          <w:sz w:val="24"/>
          <w:szCs w:val="24"/>
          <w:lang w:val="es-ES"/>
        </w:rPr>
        <w:t>régimen</w:t>
      </w:r>
      <w:r w:rsidRPr="00AC7859">
        <w:rPr>
          <w:rFonts w:cs="Arial"/>
          <w:i/>
          <w:sz w:val="24"/>
          <w:szCs w:val="24"/>
          <w:lang w:val="es-ES"/>
        </w:rPr>
        <w:t xml:space="preserve">, antes de que hayan transcurrido cinco </w:t>
      </w:r>
      <w:r w:rsidR="00001A19" w:rsidRPr="00AC7859">
        <w:rPr>
          <w:rFonts w:cs="Arial"/>
          <w:i/>
          <w:sz w:val="24"/>
          <w:szCs w:val="24"/>
          <w:lang w:val="es-ES"/>
        </w:rPr>
        <w:t>años</w:t>
      </w:r>
      <w:r w:rsidRPr="00AC7859">
        <w:rPr>
          <w:rFonts w:cs="Arial"/>
          <w:i/>
          <w:sz w:val="24"/>
          <w:szCs w:val="24"/>
          <w:lang w:val="es-ES"/>
        </w:rPr>
        <w:t xml:space="preserve"> contados desde la fecha de la </w:t>
      </w:r>
      <w:r w:rsidR="00001A19" w:rsidRPr="00AC7859">
        <w:rPr>
          <w:rFonts w:cs="Arial"/>
          <w:i/>
          <w:sz w:val="24"/>
          <w:szCs w:val="24"/>
          <w:lang w:val="es-ES"/>
        </w:rPr>
        <w:t>selección</w:t>
      </w:r>
      <w:r w:rsidRPr="00AC7859">
        <w:rPr>
          <w:rFonts w:cs="Arial"/>
          <w:i/>
          <w:sz w:val="24"/>
          <w:szCs w:val="24"/>
          <w:lang w:val="es-ES"/>
        </w:rPr>
        <w:t xml:space="preserve"> anterior. </w:t>
      </w:r>
    </w:p>
    <w:p w:rsidR="00001A19" w:rsidRPr="00AC7859" w:rsidRDefault="00001A19" w:rsidP="00001A19">
      <w:pPr>
        <w:spacing w:after="0" w:line="240" w:lineRule="auto"/>
        <w:ind w:left="709" w:right="1182"/>
        <w:jc w:val="both"/>
        <w:rPr>
          <w:rFonts w:cs="Arial"/>
          <w:i/>
          <w:sz w:val="24"/>
          <w:szCs w:val="24"/>
          <w:lang w:val="es-ES"/>
        </w:rPr>
      </w:pPr>
    </w:p>
    <w:p w:rsidR="00AC7859" w:rsidRPr="00AC7859" w:rsidRDefault="00AC7859" w:rsidP="00001A19">
      <w:pPr>
        <w:spacing w:after="0" w:line="240" w:lineRule="auto"/>
        <w:ind w:left="709" w:right="1182"/>
        <w:jc w:val="both"/>
        <w:rPr>
          <w:rFonts w:cs="Arial"/>
          <w:i/>
          <w:sz w:val="24"/>
          <w:szCs w:val="24"/>
          <w:lang w:val="es-ES"/>
        </w:rPr>
      </w:pPr>
      <w:r w:rsidRPr="00AC7859">
        <w:rPr>
          <w:rFonts w:cs="Arial"/>
          <w:i/>
          <w:sz w:val="24"/>
          <w:szCs w:val="24"/>
          <w:lang w:val="es-ES"/>
        </w:rPr>
        <w:t xml:space="preserve">Para el traslado del </w:t>
      </w:r>
      <w:r w:rsidR="00001A19" w:rsidRPr="00AC7859">
        <w:rPr>
          <w:rFonts w:cs="Arial"/>
          <w:i/>
          <w:sz w:val="24"/>
          <w:szCs w:val="24"/>
          <w:lang w:val="es-ES"/>
        </w:rPr>
        <w:t>régimen</w:t>
      </w:r>
      <w:r w:rsidRPr="00AC7859">
        <w:rPr>
          <w:rFonts w:cs="Arial"/>
          <w:i/>
          <w:sz w:val="24"/>
          <w:szCs w:val="24"/>
          <w:lang w:val="es-ES"/>
        </w:rPr>
        <w:t xml:space="preserve"> solidario de prima media al </w:t>
      </w:r>
      <w:r w:rsidR="00001A19" w:rsidRPr="00AC7859">
        <w:rPr>
          <w:rFonts w:cs="Arial"/>
          <w:i/>
          <w:sz w:val="24"/>
          <w:szCs w:val="24"/>
          <w:lang w:val="es-ES"/>
        </w:rPr>
        <w:t>régimen</w:t>
      </w:r>
      <w:r w:rsidRPr="00AC7859">
        <w:rPr>
          <w:rFonts w:cs="Arial"/>
          <w:i/>
          <w:sz w:val="24"/>
          <w:szCs w:val="24"/>
          <w:lang w:val="es-ES"/>
        </w:rPr>
        <w:t xml:space="preserve"> de ahorro individual con solidaridad y de </w:t>
      </w:r>
      <w:r w:rsidR="00001A19" w:rsidRPr="00AC7859">
        <w:rPr>
          <w:rFonts w:cs="Arial"/>
          <w:i/>
          <w:sz w:val="24"/>
          <w:szCs w:val="24"/>
          <w:lang w:val="es-ES"/>
        </w:rPr>
        <w:t>este</w:t>
      </w:r>
      <w:r w:rsidRPr="00AC7859">
        <w:rPr>
          <w:rFonts w:cs="Arial"/>
          <w:i/>
          <w:sz w:val="24"/>
          <w:szCs w:val="24"/>
          <w:lang w:val="es-ES"/>
        </w:rPr>
        <w:t xml:space="preserve"> al de prima media se aplicará lo siguiente: </w:t>
      </w:r>
    </w:p>
    <w:p w:rsidR="00AC7859" w:rsidRPr="00AC7859" w:rsidRDefault="00AC7859" w:rsidP="001D7A0A">
      <w:pPr>
        <w:spacing w:after="0" w:line="240" w:lineRule="auto"/>
        <w:jc w:val="both"/>
        <w:rPr>
          <w:rFonts w:cs="Arial"/>
          <w:i/>
          <w:sz w:val="24"/>
          <w:szCs w:val="24"/>
          <w:lang w:val="es-ES"/>
        </w:rPr>
      </w:pPr>
    </w:p>
    <w:p w:rsidR="00AC7859" w:rsidRDefault="00AC7859" w:rsidP="00F755C9">
      <w:pPr>
        <w:numPr>
          <w:ilvl w:val="0"/>
          <w:numId w:val="4"/>
        </w:numPr>
        <w:spacing w:after="0" w:line="240" w:lineRule="auto"/>
        <w:ind w:right="1182"/>
        <w:jc w:val="both"/>
        <w:rPr>
          <w:rFonts w:cs="Arial"/>
          <w:i/>
          <w:sz w:val="24"/>
          <w:szCs w:val="24"/>
          <w:lang w:val="es-ES"/>
        </w:rPr>
      </w:pPr>
      <w:r w:rsidRPr="00AC7859">
        <w:rPr>
          <w:rFonts w:cs="Arial"/>
          <w:i/>
          <w:sz w:val="24"/>
          <w:szCs w:val="24"/>
          <w:lang w:val="es-ES"/>
        </w:rPr>
        <w:lastRenderedPageBreak/>
        <w:t xml:space="preserve">Si el traslado se produce del </w:t>
      </w:r>
      <w:r w:rsidR="00F755C9" w:rsidRPr="00AC7859">
        <w:rPr>
          <w:rFonts w:cs="Arial"/>
          <w:i/>
          <w:sz w:val="24"/>
          <w:szCs w:val="24"/>
          <w:lang w:val="es-ES"/>
        </w:rPr>
        <w:t>régimen</w:t>
      </w:r>
      <w:r w:rsidRPr="00AC7859">
        <w:rPr>
          <w:rFonts w:cs="Arial"/>
          <w:i/>
          <w:sz w:val="24"/>
          <w:szCs w:val="24"/>
          <w:lang w:val="es-ES"/>
        </w:rPr>
        <w:t xml:space="preserve"> de prima media con </w:t>
      </w:r>
      <w:r w:rsidR="00F755C9" w:rsidRPr="00AC7859">
        <w:rPr>
          <w:rFonts w:cs="Arial"/>
          <w:i/>
          <w:sz w:val="24"/>
          <w:szCs w:val="24"/>
          <w:lang w:val="es-ES"/>
        </w:rPr>
        <w:t>prestación</w:t>
      </w:r>
      <w:r w:rsidRPr="00AC7859">
        <w:rPr>
          <w:rFonts w:cs="Arial"/>
          <w:i/>
          <w:sz w:val="24"/>
          <w:szCs w:val="24"/>
          <w:lang w:val="es-ES"/>
        </w:rPr>
        <w:t xml:space="preserve"> definida al de ahorro individual con solidaridad, </w:t>
      </w:r>
      <w:r w:rsidR="00F755C9" w:rsidRPr="00AC7859">
        <w:rPr>
          <w:rFonts w:cs="Arial"/>
          <w:i/>
          <w:sz w:val="24"/>
          <w:szCs w:val="24"/>
          <w:lang w:val="es-ES"/>
        </w:rPr>
        <w:t>habrá</w:t>
      </w:r>
      <w:r w:rsidRPr="00AC7859">
        <w:rPr>
          <w:rFonts w:cs="Arial"/>
          <w:i/>
          <w:sz w:val="24"/>
          <w:szCs w:val="24"/>
          <w:lang w:val="es-ES"/>
        </w:rPr>
        <w:t xml:space="preserve">́ lugar al reconocimiento de bonos pensionales. </w:t>
      </w:r>
    </w:p>
    <w:p w:rsidR="00F755C9" w:rsidRPr="00AC7859" w:rsidRDefault="00F755C9" w:rsidP="00F755C9">
      <w:pPr>
        <w:spacing w:after="0" w:line="240" w:lineRule="auto"/>
        <w:ind w:left="720" w:right="1182"/>
        <w:jc w:val="both"/>
        <w:rPr>
          <w:rFonts w:cs="Arial"/>
          <w:i/>
          <w:sz w:val="24"/>
          <w:szCs w:val="24"/>
          <w:lang w:val="es-ES"/>
        </w:rPr>
      </w:pPr>
    </w:p>
    <w:p w:rsidR="00AC7859" w:rsidRPr="00AC7859" w:rsidRDefault="00AC7859" w:rsidP="00F755C9">
      <w:pPr>
        <w:numPr>
          <w:ilvl w:val="0"/>
          <w:numId w:val="4"/>
        </w:numPr>
        <w:spacing w:after="0" w:line="240" w:lineRule="auto"/>
        <w:ind w:right="1182"/>
        <w:jc w:val="both"/>
        <w:rPr>
          <w:rFonts w:cs="Arial"/>
          <w:i/>
          <w:sz w:val="24"/>
          <w:szCs w:val="24"/>
          <w:lang w:val="es-ES"/>
        </w:rPr>
      </w:pPr>
      <w:r w:rsidRPr="00AC7859">
        <w:rPr>
          <w:rFonts w:cs="Arial"/>
          <w:i/>
          <w:sz w:val="24"/>
          <w:szCs w:val="24"/>
          <w:lang w:val="es-ES"/>
        </w:rPr>
        <w:t xml:space="preserve">Si el traslado se produce del </w:t>
      </w:r>
      <w:r w:rsidR="00F755C9" w:rsidRPr="00AC7859">
        <w:rPr>
          <w:rFonts w:cs="Arial"/>
          <w:i/>
          <w:sz w:val="24"/>
          <w:szCs w:val="24"/>
          <w:lang w:val="es-ES"/>
        </w:rPr>
        <w:t>régimen</w:t>
      </w:r>
      <w:r w:rsidRPr="00AC7859">
        <w:rPr>
          <w:rFonts w:cs="Arial"/>
          <w:i/>
          <w:sz w:val="24"/>
          <w:szCs w:val="24"/>
          <w:lang w:val="es-ES"/>
        </w:rPr>
        <w:t xml:space="preserve"> de ahorro individual con solidaridad al </w:t>
      </w:r>
      <w:r w:rsidR="00F755C9" w:rsidRPr="00AC7859">
        <w:rPr>
          <w:rFonts w:cs="Arial"/>
          <w:i/>
          <w:sz w:val="24"/>
          <w:szCs w:val="24"/>
          <w:lang w:val="es-ES"/>
        </w:rPr>
        <w:t>régimen</w:t>
      </w:r>
      <w:r w:rsidRPr="00AC7859">
        <w:rPr>
          <w:rFonts w:cs="Arial"/>
          <w:i/>
          <w:sz w:val="24"/>
          <w:szCs w:val="24"/>
          <w:lang w:val="es-ES"/>
        </w:rPr>
        <w:t xml:space="preserve"> de prima media con </w:t>
      </w:r>
      <w:r w:rsidR="00F755C9" w:rsidRPr="00AC7859">
        <w:rPr>
          <w:rFonts w:cs="Arial"/>
          <w:i/>
          <w:sz w:val="24"/>
          <w:szCs w:val="24"/>
          <w:lang w:val="es-ES"/>
        </w:rPr>
        <w:t>prestación</w:t>
      </w:r>
      <w:r w:rsidRPr="00AC7859">
        <w:rPr>
          <w:rFonts w:cs="Arial"/>
          <w:i/>
          <w:sz w:val="24"/>
          <w:szCs w:val="24"/>
          <w:lang w:val="es-ES"/>
        </w:rPr>
        <w:t xml:space="preserve"> definida se le </w:t>
      </w:r>
      <w:r w:rsidR="00F755C9" w:rsidRPr="00AC7859">
        <w:rPr>
          <w:rFonts w:cs="Arial"/>
          <w:i/>
          <w:sz w:val="24"/>
          <w:szCs w:val="24"/>
          <w:lang w:val="es-ES"/>
        </w:rPr>
        <w:t>acreditaran</w:t>
      </w:r>
      <w:r w:rsidRPr="00AC7859">
        <w:rPr>
          <w:rFonts w:cs="Arial"/>
          <w:i/>
          <w:sz w:val="24"/>
          <w:szCs w:val="24"/>
          <w:lang w:val="es-ES"/>
        </w:rPr>
        <w:t xml:space="preserve"> en </w:t>
      </w:r>
      <w:r w:rsidR="00F755C9" w:rsidRPr="00AC7859">
        <w:rPr>
          <w:rFonts w:cs="Arial"/>
          <w:i/>
          <w:sz w:val="24"/>
          <w:szCs w:val="24"/>
          <w:lang w:val="es-ES"/>
        </w:rPr>
        <w:t>este</w:t>
      </w:r>
      <w:r w:rsidRPr="00AC7859">
        <w:rPr>
          <w:rFonts w:cs="Arial"/>
          <w:i/>
          <w:sz w:val="24"/>
          <w:szCs w:val="24"/>
          <w:lang w:val="es-ES"/>
        </w:rPr>
        <w:t xml:space="preserve"> </w:t>
      </w:r>
      <w:r w:rsidR="00F755C9" w:rsidRPr="00AC7859">
        <w:rPr>
          <w:rFonts w:cs="Arial"/>
          <w:i/>
          <w:sz w:val="24"/>
          <w:szCs w:val="24"/>
          <w:lang w:val="es-ES"/>
        </w:rPr>
        <w:t>último</w:t>
      </w:r>
      <w:r w:rsidRPr="00AC7859">
        <w:rPr>
          <w:rFonts w:cs="Arial"/>
          <w:i/>
          <w:sz w:val="24"/>
          <w:szCs w:val="24"/>
          <w:lang w:val="es-ES"/>
        </w:rPr>
        <w:t xml:space="preserve"> el </w:t>
      </w:r>
      <w:r w:rsidR="00F755C9" w:rsidRPr="00AC7859">
        <w:rPr>
          <w:rFonts w:cs="Arial"/>
          <w:i/>
          <w:sz w:val="24"/>
          <w:szCs w:val="24"/>
          <w:lang w:val="es-ES"/>
        </w:rPr>
        <w:t>número</w:t>
      </w:r>
      <w:r w:rsidRPr="00AC7859">
        <w:rPr>
          <w:rFonts w:cs="Arial"/>
          <w:i/>
          <w:sz w:val="24"/>
          <w:szCs w:val="24"/>
          <w:lang w:val="es-ES"/>
        </w:rPr>
        <w:t xml:space="preserve"> de semanas cotizadas en el primero y se </w:t>
      </w:r>
      <w:r w:rsidR="00F755C9" w:rsidRPr="00AC7859">
        <w:rPr>
          <w:rFonts w:cs="Arial"/>
          <w:i/>
          <w:sz w:val="24"/>
          <w:szCs w:val="24"/>
          <w:lang w:val="es-ES"/>
        </w:rPr>
        <w:t>transferirá</w:t>
      </w:r>
      <w:r w:rsidRPr="00AC7859">
        <w:rPr>
          <w:rFonts w:cs="Arial"/>
          <w:i/>
          <w:sz w:val="24"/>
          <w:szCs w:val="24"/>
          <w:lang w:val="es-ES"/>
        </w:rPr>
        <w:t xml:space="preserve">́ el saldo de la cuenta individual, incluidos los rendimientos y el bono pensional cuando sea del caso. </w:t>
      </w:r>
    </w:p>
    <w:p w:rsidR="00F755C9" w:rsidRDefault="00F755C9" w:rsidP="001D7A0A">
      <w:pPr>
        <w:spacing w:after="0" w:line="240" w:lineRule="auto"/>
        <w:jc w:val="both"/>
        <w:rPr>
          <w:rFonts w:cs="Arial"/>
          <w:i/>
          <w:sz w:val="24"/>
          <w:szCs w:val="24"/>
          <w:lang w:val="es-ES_tradnl"/>
        </w:rPr>
      </w:pPr>
    </w:p>
    <w:p w:rsidR="00AC7859" w:rsidRPr="00AC7859" w:rsidRDefault="00AC7859" w:rsidP="00F755C9">
      <w:pPr>
        <w:spacing w:after="0" w:line="240" w:lineRule="auto"/>
        <w:ind w:left="851" w:right="1182"/>
        <w:jc w:val="both"/>
        <w:rPr>
          <w:rFonts w:cs="Arial"/>
          <w:b/>
          <w:sz w:val="24"/>
          <w:szCs w:val="24"/>
          <w:u w:val="single"/>
          <w:lang w:val="es-ES"/>
        </w:rPr>
      </w:pPr>
      <w:r w:rsidRPr="00AC7859">
        <w:rPr>
          <w:rFonts w:cs="Arial"/>
          <w:i/>
          <w:sz w:val="24"/>
          <w:szCs w:val="24"/>
          <w:lang w:val="es-ES_tradnl"/>
        </w:rPr>
        <w:t xml:space="preserve">Las cotizaciones voluntarias cuyo retiro no se haya efectuado al momento del traslado se </w:t>
      </w:r>
      <w:r w:rsidR="00F755C9" w:rsidRPr="00AC7859">
        <w:rPr>
          <w:rFonts w:cs="Arial"/>
          <w:i/>
          <w:sz w:val="24"/>
          <w:szCs w:val="24"/>
          <w:lang w:val="es-ES_tradnl"/>
        </w:rPr>
        <w:t>devolverán</w:t>
      </w:r>
      <w:r w:rsidRPr="00AC7859">
        <w:rPr>
          <w:rFonts w:cs="Arial"/>
          <w:i/>
          <w:sz w:val="24"/>
          <w:szCs w:val="24"/>
          <w:lang w:val="es-ES_tradnl"/>
        </w:rPr>
        <w:t xml:space="preserve"> al afiliado, previa solicitud efectuada seis (6) meses antes del traslado.”</w:t>
      </w:r>
      <w:r w:rsidRPr="00AC7859">
        <w:rPr>
          <w:rFonts w:cs="Arial"/>
          <w:sz w:val="24"/>
          <w:szCs w:val="24"/>
          <w:lang w:val="es-ES_tradnl"/>
        </w:rPr>
        <w:t xml:space="preserve"> (Resaltado y subrayas fuera de texto).</w:t>
      </w:r>
    </w:p>
    <w:p w:rsidR="00AC7859" w:rsidRDefault="00AC7859" w:rsidP="001D7A0A">
      <w:pPr>
        <w:spacing w:after="0" w:line="240" w:lineRule="auto"/>
        <w:jc w:val="both"/>
        <w:rPr>
          <w:rFonts w:cs="Arial"/>
          <w:b/>
          <w:sz w:val="24"/>
          <w:szCs w:val="24"/>
          <w:u w:val="single"/>
          <w:lang w:val="es-ES"/>
        </w:rPr>
      </w:pPr>
    </w:p>
    <w:p w:rsidR="00F755C9" w:rsidRPr="00AC7859" w:rsidRDefault="00F755C9" w:rsidP="001D7A0A">
      <w:pPr>
        <w:spacing w:after="0" w:line="240" w:lineRule="auto"/>
        <w:jc w:val="both"/>
        <w:rPr>
          <w:rFonts w:cs="Arial"/>
          <w:b/>
          <w:sz w:val="24"/>
          <w:szCs w:val="24"/>
          <w:u w:val="single"/>
          <w:lang w:val="es-ES"/>
        </w:rPr>
      </w:pPr>
    </w:p>
    <w:p w:rsidR="00AC7859" w:rsidRPr="00AC7859" w:rsidRDefault="00AC7859" w:rsidP="001D7A0A">
      <w:pPr>
        <w:pStyle w:val="Prrafodelista"/>
        <w:numPr>
          <w:ilvl w:val="0"/>
          <w:numId w:val="2"/>
        </w:numPr>
        <w:jc w:val="both"/>
        <w:rPr>
          <w:rFonts w:asciiTheme="minorHAnsi" w:hAnsiTheme="minorHAnsi"/>
          <w:b/>
          <w:sz w:val="24"/>
          <w:szCs w:val="24"/>
          <w:u w:val="single"/>
        </w:rPr>
      </w:pPr>
      <w:r w:rsidRPr="00AC7859">
        <w:rPr>
          <w:rFonts w:asciiTheme="minorHAnsi" w:hAnsiTheme="minorHAnsi"/>
          <w:b/>
          <w:sz w:val="24"/>
          <w:szCs w:val="24"/>
        </w:rPr>
        <w:t>LA INFORMACIÓN POCO INFORMADA EN EL TRÁMITE DE TRASLADOS PENSIONALES.</w:t>
      </w:r>
    </w:p>
    <w:p w:rsidR="00AC7859" w:rsidRPr="00AC7859" w:rsidRDefault="00AC7859" w:rsidP="001D7A0A">
      <w:pPr>
        <w:spacing w:after="0" w:line="240" w:lineRule="auto"/>
        <w:jc w:val="both"/>
        <w:rPr>
          <w:rFonts w:cs="Arial"/>
          <w:sz w:val="24"/>
          <w:szCs w:val="24"/>
          <w:lang w:val="es-ES" w:eastAsia="es-ES" w:bidi="es-ES"/>
        </w:rPr>
      </w:pPr>
    </w:p>
    <w:p w:rsidR="00AC785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La ausencia de cumplimiento de los deberes de asesoría y buen consejo fue inobservada en la regulación prevista en la Ley 797 de 2003</w:t>
      </w:r>
      <w:r w:rsidR="00F755C9">
        <w:rPr>
          <w:rFonts w:cs="Arial"/>
          <w:sz w:val="24"/>
          <w:szCs w:val="24"/>
          <w:lang w:val="es-ES" w:eastAsia="es-ES" w:bidi="es-ES"/>
        </w:rPr>
        <w:t>,</w:t>
      </w:r>
      <w:r w:rsidRPr="00AC7859">
        <w:rPr>
          <w:rFonts w:cs="Arial"/>
          <w:sz w:val="24"/>
          <w:szCs w:val="24"/>
          <w:lang w:val="es-ES" w:eastAsia="es-ES" w:bidi="es-ES"/>
        </w:rPr>
        <w:t xml:space="preserve"> manteniendo un contexto de traslados sin asesoría debida que determinaron la demanda de corrección normativa satisfecha hasta el año 2014 por conducto de la circular externa 016 de 2014 de la Superintendencia Financiera que obliga a la inclusión de procedimientos de doble asesoría en materia de traslados pensionales.</w:t>
      </w:r>
    </w:p>
    <w:p w:rsidR="00F755C9" w:rsidRPr="00AC7859" w:rsidRDefault="00F755C9" w:rsidP="001D7A0A">
      <w:pPr>
        <w:tabs>
          <w:tab w:val="left" w:pos="915"/>
        </w:tabs>
        <w:spacing w:after="0" w:line="240" w:lineRule="auto"/>
        <w:jc w:val="both"/>
        <w:rPr>
          <w:rFonts w:cs="Arial"/>
          <w:sz w:val="24"/>
          <w:szCs w:val="24"/>
          <w:lang w:val="es-ES" w:eastAsia="es-ES" w:bidi="es-ES"/>
        </w:rPr>
      </w:pPr>
    </w:p>
    <w:p w:rsidR="00AC785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 xml:space="preserve">En este sentido, la circular externa 016 de 2014 se ocupa de regular las temáticas referidas a las </w:t>
      </w:r>
      <w:r w:rsidRPr="00F755C9">
        <w:rPr>
          <w:rFonts w:cs="Arial"/>
          <w:i/>
          <w:sz w:val="24"/>
          <w:szCs w:val="24"/>
          <w:lang w:val="es-ES" w:eastAsia="es-ES" w:bidi="es-ES"/>
        </w:rPr>
        <w:t>“Instrucciones en materia del deber de asesoría para que proceda el traslado de afiliados entre regímenes pensionales y se adiciona información a los extractos de los afiliados al Régimen de Prim</w:t>
      </w:r>
      <w:r w:rsidR="00F755C9">
        <w:rPr>
          <w:rFonts w:cs="Arial"/>
          <w:i/>
          <w:sz w:val="24"/>
          <w:szCs w:val="24"/>
          <w:lang w:val="es-ES" w:eastAsia="es-ES" w:bidi="es-ES"/>
        </w:rPr>
        <w:t>a Media con Prestación Definida</w:t>
      </w:r>
      <w:r w:rsidRPr="00F755C9">
        <w:rPr>
          <w:rFonts w:cs="Arial"/>
          <w:i/>
          <w:sz w:val="24"/>
          <w:szCs w:val="24"/>
          <w:lang w:val="es-ES" w:eastAsia="es-ES" w:bidi="es-ES"/>
        </w:rPr>
        <w:t>”</w:t>
      </w:r>
      <w:r w:rsidR="00F755C9">
        <w:rPr>
          <w:rFonts w:cs="Arial"/>
          <w:i/>
          <w:sz w:val="24"/>
          <w:szCs w:val="24"/>
          <w:lang w:val="es-ES" w:eastAsia="es-ES" w:bidi="es-ES"/>
        </w:rPr>
        <w:t>.</w:t>
      </w:r>
    </w:p>
    <w:p w:rsidR="00F755C9" w:rsidRPr="00AC7859" w:rsidRDefault="00F755C9" w:rsidP="001D7A0A">
      <w:pPr>
        <w:tabs>
          <w:tab w:val="left" w:pos="915"/>
        </w:tabs>
        <w:spacing w:after="0" w:line="240" w:lineRule="auto"/>
        <w:jc w:val="both"/>
        <w:rPr>
          <w:rFonts w:cs="Arial"/>
          <w:sz w:val="24"/>
          <w:szCs w:val="24"/>
          <w:lang w:val="es-ES" w:eastAsia="es-ES" w:bidi="es-ES"/>
        </w:rPr>
      </w:pPr>
    </w:p>
    <w:p w:rsidR="00F755C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En este sentido, la carencia de asesoría debida entre los años 1994 y 2014 en materia de asesoría e información debida para la eficacia de los traslados en materia pensional</w:t>
      </w:r>
      <w:r w:rsidR="00F755C9">
        <w:rPr>
          <w:rFonts w:cs="Arial"/>
          <w:sz w:val="24"/>
          <w:szCs w:val="24"/>
          <w:lang w:val="es-ES" w:eastAsia="es-ES" w:bidi="es-ES"/>
        </w:rPr>
        <w:t>,</w:t>
      </w:r>
      <w:r w:rsidRPr="00AC7859">
        <w:rPr>
          <w:rFonts w:cs="Arial"/>
          <w:sz w:val="24"/>
          <w:szCs w:val="24"/>
          <w:lang w:val="es-ES" w:eastAsia="es-ES" w:bidi="es-ES"/>
        </w:rPr>
        <w:t xml:space="preserve"> determinó un déficit de protección a los afiliados cuya respuesta se ha estructurado desde el sistema de intervención jurisdiccional trasladando al afiliado la responsabilidad en la corrección de la problemática descrita asignando a su cargo la iniciación del proceso judicial.</w:t>
      </w:r>
    </w:p>
    <w:p w:rsidR="00AC7859" w:rsidRPr="00AC785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 xml:space="preserve"> </w:t>
      </w:r>
    </w:p>
    <w:p w:rsidR="00AC7859" w:rsidRPr="00AC7859" w:rsidRDefault="00AC7859" w:rsidP="001D7A0A">
      <w:pPr>
        <w:tabs>
          <w:tab w:val="left" w:pos="915"/>
        </w:tabs>
        <w:spacing w:after="0" w:line="240" w:lineRule="auto"/>
        <w:jc w:val="both"/>
        <w:rPr>
          <w:rFonts w:cs="Arial"/>
          <w:sz w:val="24"/>
          <w:szCs w:val="24"/>
          <w:lang w:val="es-ES" w:eastAsia="es-ES" w:bidi="es-ES"/>
        </w:rPr>
      </w:pPr>
    </w:p>
    <w:p w:rsidR="00AC7859" w:rsidRPr="00AC7859" w:rsidRDefault="00AC7859" w:rsidP="001D7A0A">
      <w:pPr>
        <w:pStyle w:val="Prrafodelista"/>
        <w:numPr>
          <w:ilvl w:val="0"/>
          <w:numId w:val="2"/>
        </w:numPr>
        <w:rPr>
          <w:rFonts w:asciiTheme="minorHAnsi" w:hAnsiTheme="minorHAnsi"/>
          <w:b/>
          <w:sz w:val="24"/>
          <w:szCs w:val="24"/>
        </w:rPr>
      </w:pPr>
      <w:r w:rsidRPr="00AC7859">
        <w:rPr>
          <w:rFonts w:asciiTheme="minorHAnsi" w:hAnsiTheme="minorHAnsi"/>
          <w:b/>
          <w:sz w:val="24"/>
          <w:szCs w:val="24"/>
        </w:rPr>
        <w:t>LAS VÍAS DE CORRECCIÓN JUDICIAL.</w:t>
      </w:r>
    </w:p>
    <w:p w:rsidR="00AC7859" w:rsidRPr="00AC7859" w:rsidRDefault="00AC7859" w:rsidP="001D7A0A">
      <w:pPr>
        <w:tabs>
          <w:tab w:val="left" w:pos="915"/>
        </w:tabs>
        <w:spacing w:after="0" w:line="240" w:lineRule="auto"/>
        <w:jc w:val="both"/>
        <w:rPr>
          <w:rFonts w:cs="Arial"/>
          <w:sz w:val="24"/>
          <w:szCs w:val="24"/>
          <w:lang w:val="es-ES" w:eastAsia="es-ES" w:bidi="es-ES"/>
        </w:rPr>
      </w:pPr>
    </w:p>
    <w:p w:rsidR="00AC7859" w:rsidRPr="00AC785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La problemática que deriva de la ausencia de información, veraz, completa y suficiente en materia de traslados de regímenes pensionales en el modelo paralelo en Colombia determinó la construcción de una línea de pensamiento</w:t>
      </w:r>
      <w:r w:rsidR="00F755C9">
        <w:rPr>
          <w:rFonts w:cs="Arial"/>
          <w:sz w:val="24"/>
          <w:szCs w:val="24"/>
          <w:lang w:val="es-ES" w:eastAsia="es-ES" w:bidi="es-ES"/>
        </w:rPr>
        <w:t xml:space="preserve"> jurisprudencial</w:t>
      </w:r>
      <w:r w:rsidRPr="00AC7859">
        <w:rPr>
          <w:rFonts w:cs="Arial"/>
          <w:sz w:val="24"/>
          <w:szCs w:val="24"/>
          <w:lang w:val="es-ES" w:eastAsia="es-ES" w:bidi="es-ES"/>
        </w:rPr>
        <w:t xml:space="preserve"> de la Jurisdicción Ordinaria Laboral para edificar un esquema judicial de corrección a partir del fenómeno jurídico de ineficacia del acto jurídico del traslado.</w:t>
      </w:r>
    </w:p>
    <w:p w:rsidR="00AC7859" w:rsidRPr="00AC7859" w:rsidRDefault="00AC7859" w:rsidP="001D7A0A">
      <w:pPr>
        <w:tabs>
          <w:tab w:val="left" w:pos="915"/>
        </w:tabs>
        <w:spacing w:after="0" w:line="240" w:lineRule="auto"/>
        <w:jc w:val="both"/>
        <w:rPr>
          <w:rFonts w:cs="Arial"/>
          <w:sz w:val="24"/>
          <w:szCs w:val="24"/>
          <w:lang w:val="es-ES" w:eastAsia="es-ES" w:bidi="es-ES"/>
        </w:rPr>
      </w:pPr>
    </w:p>
    <w:p w:rsidR="00AC7859" w:rsidRPr="00AC7859" w:rsidRDefault="00AC7859" w:rsidP="001D7A0A">
      <w:pPr>
        <w:tabs>
          <w:tab w:val="left" w:pos="915"/>
        </w:tabs>
        <w:spacing w:after="0" w:line="240" w:lineRule="auto"/>
        <w:jc w:val="both"/>
        <w:rPr>
          <w:rFonts w:cs="Arial"/>
          <w:sz w:val="24"/>
          <w:szCs w:val="24"/>
          <w:lang w:val="es-ES" w:eastAsia="es-ES" w:bidi="es-ES"/>
        </w:rPr>
      </w:pPr>
      <w:proofErr w:type="gramStart"/>
      <w:r w:rsidRPr="00AC7859">
        <w:rPr>
          <w:rFonts w:cs="Arial"/>
          <w:sz w:val="24"/>
          <w:szCs w:val="24"/>
          <w:lang w:val="es-ES" w:eastAsia="es-ES" w:bidi="es-ES"/>
        </w:rPr>
        <w:lastRenderedPageBreak/>
        <w:t>La</w:t>
      </w:r>
      <w:proofErr w:type="gramEnd"/>
      <w:r w:rsidRPr="00AC7859">
        <w:rPr>
          <w:rFonts w:cs="Arial"/>
          <w:sz w:val="24"/>
          <w:szCs w:val="24"/>
          <w:lang w:val="es-ES" w:eastAsia="es-ES" w:bidi="es-ES"/>
        </w:rPr>
        <w:t xml:space="preserve"> H. Sala Laboral de la Corte Suprema de Justicia determinó en el año 2011 la referencia a las obligaciones de las Administradoras de Fondos de Pensiones </w:t>
      </w:r>
      <w:r w:rsidR="00F755C9">
        <w:rPr>
          <w:rFonts w:cs="Arial"/>
          <w:sz w:val="24"/>
          <w:szCs w:val="24"/>
          <w:lang w:val="es-ES" w:eastAsia="es-ES" w:bidi="es-ES"/>
        </w:rPr>
        <w:t xml:space="preserve">(AFP) </w:t>
      </w:r>
      <w:r w:rsidRPr="00AC7859">
        <w:rPr>
          <w:rFonts w:cs="Arial"/>
          <w:sz w:val="24"/>
          <w:szCs w:val="24"/>
          <w:lang w:val="es-ES" w:eastAsia="es-ES" w:bidi="es-ES"/>
        </w:rPr>
        <w:t>en materia de toma de decisiones pensionales de los afiliados:</w:t>
      </w:r>
    </w:p>
    <w:p w:rsidR="00AC7859" w:rsidRPr="00AC7859" w:rsidRDefault="00AC7859" w:rsidP="001D7A0A">
      <w:pPr>
        <w:tabs>
          <w:tab w:val="left" w:pos="915"/>
        </w:tabs>
        <w:spacing w:after="0" w:line="240" w:lineRule="auto"/>
        <w:jc w:val="both"/>
        <w:rPr>
          <w:rFonts w:cs="Arial"/>
          <w:sz w:val="24"/>
          <w:szCs w:val="24"/>
          <w:lang w:val="es-ES" w:eastAsia="es-ES" w:bidi="es-ES"/>
        </w:rPr>
      </w:pP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t xml:space="preserve">“Esas particularidades ubican a las Administradoras en el campo de la responsabilidad profesional, obligadas a prestar de forma eficiente, eficaz y oportuna todos los servicios inherentes a la calidad de instituciones de </w:t>
      </w:r>
      <w:r w:rsidR="00F755C9" w:rsidRPr="00F755C9">
        <w:rPr>
          <w:rFonts w:cs="Arial"/>
          <w:i/>
          <w:sz w:val="24"/>
          <w:szCs w:val="24"/>
          <w:lang w:val="es-ES" w:eastAsia="es-ES" w:bidi="es-ES"/>
        </w:rPr>
        <w:t>carácter</w:t>
      </w:r>
      <w:r w:rsidRPr="00F755C9">
        <w:rPr>
          <w:rFonts w:cs="Arial"/>
          <w:i/>
          <w:sz w:val="24"/>
          <w:szCs w:val="24"/>
          <w:lang w:val="es-ES" w:eastAsia="es-ES" w:bidi="es-ES"/>
        </w:rPr>
        <w:t xml:space="preserve"> previsional, la misma que, por ejercerse en un campo que la </w:t>
      </w:r>
      <w:r w:rsidR="00F755C9" w:rsidRPr="00F755C9">
        <w:rPr>
          <w:rFonts w:cs="Arial"/>
          <w:i/>
          <w:sz w:val="24"/>
          <w:szCs w:val="24"/>
          <w:lang w:val="es-ES" w:eastAsia="es-ES" w:bidi="es-ES"/>
        </w:rPr>
        <w:t>Constitución</w:t>
      </w:r>
      <w:r w:rsidRPr="00F755C9">
        <w:rPr>
          <w:rFonts w:cs="Arial"/>
          <w:i/>
          <w:sz w:val="24"/>
          <w:szCs w:val="24"/>
          <w:lang w:val="es-ES" w:eastAsia="es-ES" w:bidi="es-ES"/>
        </w:rPr>
        <w:t xml:space="preserve"> </w:t>
      </w:r>
      <w:r w:rsidR="00F755C9" w:rsidRPr="00F755C9">
        <w:rPr>
          <w:rFonts w:cs="Arial"/>
          <w:i/>
          <w:sz w:val="24"/>
          <w:szCs w:val="24"/>
          <w:lang w:val="es-ES" w:eastAsia="es-ES" w:bidi="es-ES"/>
        </w:rPr>
        <w:t>Política</w:t>
      </w:r>
      <w:r w:rsidRPr="00F755C9">
        <w:rPr>
          <w:rFonts w:cs="Arial"/>
          <w:i/>
          <w:sz w:val="24"/>
          <w:szCs w:val="24"/>
          <w:lang w:val="es-ES" w:eastAsia="es-ES" w:bidi="es-ES"/>
        </w:rPr>
        <w:t xml:space="preserve"> estima que concierne a los intereses </w:t>
      </w:r>
      <w:r w:rsidR="00F755C9" w:rsidRPr="00F755C9">
        <w:rPr>
          <w:rFonts w:cs="Arial"/>
          <w:i/>
          <w:sz w:val="24"/>
          <w:szCs w:val="24"/>
          <w:lang w:val="es-ES" w:eastAsia="es-ES" w:bidi="es-ES"/>
        </w:rPr>
        <w:t>públicos</w:t>
      </w:r>
      <w:r w:rsidRPr="00F755C9">
        <w:rPr>
          <w:rFonts w:cs="Arial"/>
          <w:i/>
          <w:sz w:val="24"/>
          <w:szCs w:val="24"/>
          <w:lang w:val="es-ES" w:eastAsia="es-ES" w:bidi="es-ES"/>
        </w:rPr>
        <w:t xml:space="preserve">, tanto desde la perspectiva del </w:t>
      </w:r>
      <w:r w:rsidR="00F755C9" w:rsidRPr="00F755C9">
        <w:rPr>
          <w:rFonts w:cs="Arial"/>
          <w:i/>
          <w:sz w:val="24"/>
          <w:szCs w:val="24"/>
          <w:lang w:val="es-ES" w:eastAsia="es-ES" w:bidi="es-ES"/>
        </w:rPr>
        <w:t>artículo</w:t>
      </w:r>
      <w:r w:rsidRPr="00F755C9">
        <w:rPr>
          <w:rFonts w:cs="Arial"/>
          <w:i/>
          <w:sz w:val="24"/>
          <w:szCs w:val="24"/>
          <w:lang w:val="es-ES" w:eastAsia="es-ES" w:bidi="es-ES"/>
        </w:rPr>
        <w:t xml:space="preserve"> 48 como del </w:t>
      </w:r>
      <w:r w:rsidR="00F755C9" w:rsidRPr="00F755C9">
        <w:rPr>
          <w:rFonts w:cs="Arial"/>
          <w:i/>
          <w:sz w:val="24"/>
          <w:szCs w:val="24"/>
          <w:lang w:val="es-ES" w:eastAsia="es-ES" w:bidi="es-ES"/>
        </w:rPr>
        <w:t>artículo</w:t>
      </w:r>
      <w:r w:rsidRPr="00F755C9">
        <w:rPr>
          <w:rFonts w:cs="Arial"/>
          <w:i/>
          <w:sz w:val="24"/>
          <w:szCs w:val="24"/>
          <w:lang w:val="es-ES" w:eastAsia="es-ES" w:bidi="es-ES"/>
        </w:rPr>
        <w:t xml:space="preserve"> 335, se ha de estimar con una vara de rigor superior a la que se utiliza frente a las obligaciones entre particulares.</w:t>
      </w: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t xml:space="preserve"> </w:t>
      </w: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t xml:space="preserve">Por lo dicho es que la responsabilidad de las administradoras de pensiones es de </w:t>
      </w:r>
      <w:r w:rsidR="00F755C9" w:rsidRPr="00F755C9">
        <w:rPr>
          <w:rFonts w:cs="Arial"/>
          <w:i/>
          <w:sz w:val="24"/>
          <w:szCs w:val="24"/>
          <w:lang w:val="es-ES" w:eastAsia="es-ES" w:bidi="es-ES"/>
        </w:rPr>
        <w:t>carácter</w:t>
      </w:r>
      <w:r w:rsidRPr="00F755C9">
        <w:rPr>
          <w:rFonts w:cs="Arial"/>
          <w:i/>
          <w:sz w:val="24"/>
          <w:szCs w:val="24"/>
          <w:lang w:val="es-ES" w:eastAsia="es-ES" w:bidi="es-ES"/>
        </w:rPr>
        <w:t xml:space="preserve"> profesional, la que le impone el deber de cumplir puntualmente las obligaciones que taxativamente le </w:t>
      </w:r>
      <w:r w:rsidR="00F755C9" w:rsidRPr="00F755C9">
        <w:rPr>
          <w:rFonts w:cs="Arial"/>
          <w:i/>
          <w:sz w:val="24"/>
          <w:szCs w:val="24"/>
          <w:lang w:val="es-ES" w:eastAsia="es-ES" w:bidi="es-ES"/>
        </w:rPr>
        <w:t>señalan</w:t>
      </w:r>
      <w:r w:rsidRPr="00F755C9">
        <w:rPr>
          <w:rFonts w:cs="Arial"/>
          <w:i/>
          <w:sz w:val="24"/>
          <w:szCs w:val="24"/>
          <w:lang w:val="es-ES" w:eastAsia="es-ES" w:bidi="es-ES"/>
        </w:rPr>
        <w:t xml:space="preserve"> las normas, en especial las de los </w:t>
      </w:r>
      <w:r w:rsidR="00F755C9" w:rsidRPr="00F755C9">
        <w:rPr>
          <w:rFonts w:cs="Arial"/>
          <w:i/>
          <w:sz w:val="24"/>
          <w:szCs w:val="24"/>
          <w:lang w:val="es-ES" w:eastAsia="es-ES" w:bidi="es-ES"/>
        </w:rPr>
        <w:t>artículos</w:t>
      </w:r>
      <w:r w:rsidRPr="00F755C9">
        <w:rPr>
          <w:rFonts w:cs="Arial"/>
          <w:i/>
          <w:sz w:val="24"/>
          <w:szCs w:val="24"/>
          <w:lang w:val="es-ES" w:eastAsia="es-ES" w:bidi="es-ES"/>
        </w:rPr>
        <w:t xml:space="preserve"> 14 y 15 del Decreto 656 de 1994”. (Corte Suprema de Justicia, Sala de Casación Laboral, rad. 33083, 22 de noviembre de 2011).</w:t>
      </w:r>
    </w:p>
    <w:p w:rsidR="00AC7859" w:rsidRPr="00F755C9" w:rsidRDefault="00AC7859" w:rsidP="00F755C9">
      <w:pPr>
        <w:tabs>
          <w:tab w:val="left" w:pos="915"/>
        </w:tabs>
        <w:spacing w:after="0" w:line="240" w:lineRule="auto"/>
        <w:ind w:left="851" w:right="1182"/>
        <w:jc w:val="both"/>
        <w:rPr>
          <w:rFonts w:cs="Arial"/>
          <w:lang w:val="es-ES" w:eastAsia="es-ES" w:bidi="es-ES"/>
        </w:rPr>
      </w:pPr>
    </w:p>
    <w:p w:rsidR="00AC7859" w:rsidRPr="00AC7859" w:rsidRDefault="00AC7859" w:rsidP="001D7A0A">
      <w:pPr>
        <w:tabs>
          <w:tab w:val="left" w:pos="915"/>
        </w:tabs>
        <w:spacing w:after="0" w:line="240" w:lineRule="auto"/>
        <w:jc w:val="both"/>
        <w:rPr>
          <w:rFonts w:cs="Arial"/>
          <w:sz w:val="24"/>
          <w:szCs w:val="24"/>
          <w:lang w:val="es-ES" w:eastAsia="es-ES" w:bidi="es-ES"/>
        </w:rPr>
      </w:pPr>
      <w:r w:rsidRPr="00AC7859">
        <w:rPr>
          <w:rFonts w:cs="Arial"/>
          <w:sz w:val="24"/>
          <w:szCs w:val="24"/>
          <w:lang w:val="es-ES" w:eastAsia="es-ES" w:bidi="es-ES"/>
        </w:rPr>
        <w:t>En materia específica de traslados y el deber de información de las Administradoras de Fondos de Pensiones en materia de traslados pensionales, el máximo órgano de la jurisdicción ordinaria laboral</w:t>
      </w:r>
      <w:r w:rsidR="00F755C9">
        <w:rPr>
          <w:rFonts w:cs="Arial"/>
          <w:sz w:val="24"/>
          <w:szCs w:val="24"/>
          <w:lang w:val="es-ES" w:eastAsia="es-ES" w:bidi="es-ES"/>
        </w:rPr>
        <w:t xml:space="preserve"> viene</w:t>
      </w:r>
      <w:r w:rsidRPr="00AC7859">
        <w:rPr>
          <w:rFonts w:cs="Arial"/>
          <w:sz w:val="24"/>
          <w:szCs w:val="24"/>
          <w:lang w:val="es-ES" w:eastAsia="es-ES" w:bidi="es-ES"/>
        </w:rPr>
        <w:t xml:space="preserve"> asever</w:t>
      </w:r>
      <w:r w:rsidR="00F755C9">
        <w:rPr>
          <w:rFonts w:cs="Arial"/>
          <w:sz w:val="24"/>
          <w:szCs w:val="24"/>
          <w:lang w:val="es-ES" w:eastAsia="es-ES" w:bidi="es-ES"/>
        </w:rPr>
        <w:t>ando:</w:t>
      </w:r>
    </w:p>
    <w:p w:rsidR="00AC7859" w:rsidRPr="00AC7859" w:rsidRDefault="00AC7859" w:rsidP="001D7A0A">
      <w:pPr>
        <w:tabs>
          <w:tab w:val="left" w:pos="915"/>
        </w:tabs>
        <w:spacing w:after="0" w:line="240" w:lineRule="auto"/>
        <w:jc w:val="both"/>
        <w:rPr>
          <w:rFonts w:cs="Arial"/>
          <w:sz w:val="24"/>
          <w:szCs w:val="24"/>
          <w:lang w:val="es-ES" w:eastAsia="es-ES" w:bidi="es-ES"/>
        </w:rPr>
      </w:pPr>
    </w:p>
    <w:p w:rsidR="00AC7859" w:rsidRPr="00F755C9" w:rsidRDefault="00AC7859" w:rsidP="00F755C9">
      <w:pPr>
        <w:tabs>
          <w:tab w:val="left" w:pos="915"/>
        </w:tabs>
        <w:spacing w:after="0" w:line="240" w:lineRule="auto"/>
        <w:ind w:left="851" w:right="1182"/>
        <w:jc w:val="both"/>
        <w:rPr>
          <w:rFonts w:cs="Arial"/>
          <w:i/>
          <w:sz w:val="24"/>
          <w:szCs w:val="24"/>
          <w:lang w:val="es-ES_tradnl" w:eastAsia="es-ES" w:bidi="es-ES"/>
        </w:rPr>
      </w:pPr>
      <w:r w:rsidRPr="00F755C9">
        <w:rPr>
          <w:rFonts w:cs="Arial"/>
          <w:i/>
          <w:sz w:val="24"/>
          <w:szCs w:val="24"/>
          <w:lang w:val="es-ES" w:eastAsia="es-ES" w:bidi="es-ES"/>
        </w:rPr>
        <w:t xml:space="preserve">“Por </w:t>
      </w:r>
      <w:r w:rsidR="00F755C9" w:rsidRPr="00F755C9">
        <w:rPr>
          <w:rFonts w:cs="Arial"/>
          <w:i/>
          <w:sz w:val="24"/>
          <w:szCs w:val="24"/>
          <w:lang w:val="es-ES" w:eastAsia="es-ES" w:bidi="es-ES"/>
        </w:rPr>
        <w:t>demás</w:t>
      </w:r>
      <w:r w:rsidRPr="00F755C9">
        <w:rPr>
          <w:rFonts w:cs="Arial"/>
          <w:i/>
          <w:sz w:val="24"/>
          <w:szCs w:val="24"/>
          <w:lang w:val="es-ES" w:eastAsia="es-ES" w:bidi="es-ES"/>
        </w:rPr>
        <w:t xml:space="preserve"> el propio </w:t>
      </w:r>
      <w:r w:rsidR="00F755C9" w:rsidRPr="00F755C9">
        <w:rPr>
          <w:rFonts w:cs="Arial"/>
          <w:i/>
          <w:sz w:val="24"/>
          <w:szCs w:val="24"/>
          <w:lang w:val="es-ES" w:eastAsia="es-ES" w:bidi="es-ES"/>
        </w:rPr>
        <w:t>artículo</w:t>
      </w:r>
      <w:r w:rsidRPr="00F755C9">
        <w:rPr>
          <w:rFonts w:cs="Arial"/>
          <w:i/>
          <w:sz w:val="24"/>
          <w:szCs w:val="24"/>
          <w:lang w:val="es-ES" w:eastAsia="es-ES" w:bidi="es-ES"/>
        </w:rPr>
        <w:t xml:space="preserve"> 272 de dicho Estatuto de la Seguridad Social previó la </w:t>
      </w:r>
      <w:r w:rsidR="00F755C9" w:rsidRPr="00F755C9">
        <w:rPr>
          <w:rFonts w:cs="Arial"/>
          <w:i/>
          <w:sz w:val="24"/>
          <w:szCs w:val="24"/>
          <w:lang w:val="es-ES" w:eastAsia="es-ES" w:bidi="es-ES"/>
        </w:rPr>
        <w:t>inaplicación</w:t>
      </w:r>
      <w:r w:rsidRPr="00F755C9">
        <w:rPr>
          <w:rFonts w:cs="Arial"/>
          <w:i/>
          <w:sz w:val="24"/>
          <w:szCs w:val="24"/>
          <w:lang w:val="es-ES" w:eastAsia="es-ES" w:bidi="es-ES"/>
        </w:rPr>
        <w:t xml:space="preserve"> de disposiciones lesivas a los asociados cuando quiera que con ellas se menoscabara la libertad, la dignidad humana y los derechos de los trabajadores, y </w:t>
      </w:r>
      <w:r w:rsidR="00F755C9" w:rsidRPr="00F755C9">
        <w:rPr>
          <w:rFonts w:cs="Arial"/>
          <w:i/>
          <w:sz w:val="24"/>
          <w:szCs w:val="24"/>
          <w:lang w:val="es-ES" w:eastAsia="es-ES" w:bidi="es-ES"/>
        </w:rPr>
        <w:t>advirtió</w:t>
      </w:r>
      <w:r w:rsidRPr="00F755C9">
        <w:rPr>
          <w:rFonts w:cs="Arial"/>
          <w:i/>
          <w:sz w:val="24"/>
          <w:szCs w:val="24"/>
          <w:lang w:val="es-ES" w:eastAsia="es-ES" w:bidi="es-ES"/>
        </w:rPr>
        <w:t xml:space="preserve">́ sobre la preponderancia de los principios </w:t>
      </w:r>
      <w:r w:rsidR="00F755C9" w:rsidRPr="00F755C9">
        <w:rPr>
          <w:rFonts w:cs="Arial"/>
          <w:i/>
          <w:sz w:val="24"/>
          <w:szCs w:val="24"/>
          <w:lang w:val="es-ES" w:eastAsia="es-ES" w:bidi="es-ES"/>
        </w:rPr>
        <w:t>mínimos</w:t>
      </w:r>
      <w:r w:rsidRPr="00F755C9">
        <w:rPr>
          <w:rFonts w:cs="Arial"/>
          <w:i/>
          <w:sz w:val="24"/>
          <w:szCs w:val="24"/>
          <w:lang w:val="es-ES" w:eastAsia="es-ES" w:bidi="es-ES"/>
        </w:rPr>
        <w:t xml:space="preserve"> contenidos en el precepto 53 constitucional. </w:t>
      </w: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p>
    <w:p w:rsidR="00AC7859" w:rsidRPr="00F755C9" w:rsidRDefault="00AC7859" w:rsidP="00F755C9">
      <w:pPr>
        <w:tabs>
          <w:tab w:val="left" w:pos="915"/>
        </w:tabs>
        <w:spacing w:after="0" w:line="240" w:lineRule="auto"/>
        <w:ind w:left="851" w:right="1182"/>
        <w:jc w:val="both"/>
        <w:rPr>
          <w:rFonts w:cs="Arial"/>
          <w:i/>
          <w:sz w:val="24"/>
          <w:szCs w:val="24"/>
          <w:lang w:val="es-ES_tradnl" w:eastAsia="es-ES" w:bidi="es-ES"/>
        </w:rPr>
      </w:pPr>
      <w:r w:rsidRPr="00F755C9">
        <w:rPr>
          <w:rFonts w:cs="Arial"/>
          <w:i/>
          <w:sz w:val="24"/>
          <w:szCs w:val="24"/>
          <w:lang w:val="es-ES" w:eastAsia="es-ES" w:bidi="es-ES"/>
        </w:rPr>
        <w:t xml:space="preserve">Es que cuando </w:t>
      </w:r>
      <w:r w:rsidR="00F755C9" w:rsidRPr="00F755C9">
        <w:rPr>
          <w:rFonts w:cs="Arial"/>
          <w:i/>
          <w:sz w:val="24"/>
          <w:szCs w:val="24"/>
          <w:lang w:val="es-ES" w:eastAsia="es-ES" w:bidi="es-ES"/>
        </w:rPr>
        <w:t>están</w:t>
      </w:r>
      <w:r w:rsidRPr="00F755C9">
        <w:rPr>
          <w:rFonts w:cs="Arial"/>
          <w:i/>
          <w:sz w:val="24"/>
          <w:szCs w:val="24"/>
          <w:lang w:val="es-ES" w:eastAsia="es-ES" w:bidi="es-ES"/>
        </w:rPr>
        <w:t xml:space="preserve"> en juego aspectos tan trascendentes como la </w:t>
      </w:r>
      <w:r w:rsidR="00F755C9" w:rsidRPr="00F755C9">
        <w:rPr>
          <w:rFonts w:cs="Arial"/>
          <w:i/>
          <w:sz w:val="24"/>
          <w:szCs w:val="24"/>
          <w:lang w:val="es-ES" w:eastAsia="es-ES" w:bidi="es-ES"/>
        </w:rPr>
        <w:t>pérdida</w:t>
      </w:r>
      <w:r w:rsidRPr="00F755C9">
        <w:rPr>
          <w:rFonts w:cs="Arial"/>
          <w:i/>
          <w:sz w:val="24"/>
          <w:szCs w:val="24"/>
          <w:lang w:val="es-ES" w:eastAsia="es-ES" w:bidi="es-ES"/>
        </w:rPr>
        <w:t xml:space="preserve"> de la </w:t>
      </w:r>
      <w:r w:rsidR="00F755C9" w:rsidRPr="00F755C9">
        <w:rPr>
          <w:rFonts w:cs="Arial"/>
          <w:i/>
          <w:sz w:val="24"/>
          <w:szCs w:val="24"/>
          <w:lang w:val="es-ES" w:eastAsia="es-ES" w:bidi="es-ES"/>
        </w:rPr>
        <w:t>transición</w:t>
      </w:r>
      <w:r w:rsidRPr="00F755C9">
        <w:rPr>
          <w:rFonts w:cs="Arial"/>
          <w:i/>
          <w:sz w:val="24"/>
          <w:szCs w:val="24"/>
          <w:lang w:val="es-ES" w:eastAsia="es-ES" w:bidi="es-ES"/>
        </w:rPr>
        <w:t xml:space="preserve">, y de contera la imposibilidad de acceder a la </w:t>
      </w:r>
      <w:r w:rsidR="00F755C9" w:rsidRPr="00F755C9">
        <w:rPr>
          <w:rFonts w:cs="Arial"/>
          <w:i/>
          <w:sz w:val="24"/>
          <w:szCs w:val="24"/>
          <w:lang w:val="es-ES" w:eastAsia="es-ES" w:bidi="es-ES"/>
        </w:rPr>
        <w:t>pensión</w:t>
      </w:r>
      <w:r w:rsidRPr="00F755C9">
        <w:rPr>
          <w:rFonts w:cs="Arial"/>
          <w:i/>
          <w:sz w:val="24"/>
          <w:szCs w:val="24"/>
          <w:lang w:val="es-ES" w:eastAsia="es-ES" w:bidi="es-ES"/>
        </w:rPr>
        <w:t xml:space="preserve"> de vejez, se requiere acudir a una </w:t>
      </w:r>
      <w:r w:rsidR="00F755C9" w:rsidRPr="00F755C9">
        <w:rPr>
          <w:rFonts w:cs="Arial"/>
          <w:i/>
          <w:sz w:val="24"/>
          <w:szCs w:val="24"/>
          <w:lang w:val="es-ES" w:eastAsia="es-ES" w:bidi="es-ES"/>
        </w:rPr>
        <w:t>hermenéutica</w:t>
      </w:r>
      <w:r w:rsidRPr="00F755C9">
        <w:rPr>
          <w:rFonts w:cs="Arial"/>
          <w:i/>
          <w:sz w:val="24"/>
          <w:szCs w:val="24"/>
          <w:lang w:val="es-ES" w:eastAsia="es-ES" w:bidi="es-ES"/>
        </w:rPr>
        <w:t xml:space="preserve"> que se avenga a los principios que inspiran al sistema y a los </w:t>
      </w:r>
      <w:r w:rsidR="00F755C9" w:rsidRPr="00F755C9">
        <w:rPr>
          <w:rFonts w:cs="Arial"/>
          <w:i/>
          <w:sz w:val="24"/>
          <w:szCs w:val="24"/>
          <w:lang w:val="es-ES" w:eastAsia="es-ES" w:bidi="es-ES"/>
        </w:rPr>
        <w:t>regímenes</w:t>
      </w:r>
      <w:r w:rsidRPr="00F755C9">
        <w:rPr>
          <w:rFonts w:cs="Arial"/>
          <w:i/>
          <w:sz w:val="24"/>
          <w:szCs w:val="24"/>
          <w:lang w:val="es-ES" w:eastAsia="es-ES" w:bidi="es-ES"/>
        </w:rPr>
        <w:t xml:space="preserve"> pensionales, en los que se </w:t>
      </w:r>
      <w:r w:rsidR="00F755C9" w:rsidRPr="00F755C9">
        <w:rPr>
          <w:rFonts w:cs="Arial"/>
          <w:i/>
          <w:sz w:val="24"/>
          <w:szCs w:val="24"/>
          <w:lang w:val="es-ES" w:eastAsia="es-ES" w:bidi="es-ES"/>
        </w:rPr>
        <w:t>prevé</w:t>
      </w:r>
      <w:r w:rsidRPr="00F755C9">
        <w:rPr>
          <w:rFonts w:cs="Arial"/>
          <w:i/>
          <w:sz w:val="24"/>
          <w:szCs w:val="24"/>
          <w:lang w:val="es-ES" w:eastAsia="es-ES" w:bidi="es-ES"/>
        </w:rPr>
        <w:t xml:space="preserve">́ el traslado libre y voluntario, e incluso a las disposiciones que en la ley </w:t>
      </w:r>
      <w:r w:rsidR="00F755C9" w:rsidRPr="00F755C9">
        <w:rPr>
          <w:rFonts w:cs="Arial"/>
          <w:i/>
          <w:sz w:val="24"/>
          <w:szCs w:val="24"/>
          <w:lang w:val="es-ES" w:eastAsia="es-ES" w:bidi="es-ES"/>
        </w:rPr>
        <w:t>así</w:t>
      </w:r>
      <w:r w:rsidRPr="00F755C9">
        <w:rPr>
          <w:rFonts w:cs="Arial"/>
          <w:i/>
          <w:sz w:val="24"/>
          <w:szCs w:val="24"/>
          <w:lang w:val="es-ES" w:eastAsia="es-ES" w:bidi="es-ES"/>
        </w:rPr>
        <w:t xml:space="preserve">́ lo imponen. </w:t>
      </w: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p>
    <w:p w:rsidR="00AC785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t xml:space="preserve">En perspectiva del literal b) del </w:t>
      </w:r>
      <w:r w:rsidR="00F755C9" w:rsidRPr="00F755C9">
        <w:rPr>
          <w:rFonts w:cs="Arial"/>
          <w:i/>
          <w:sz w:val="24"/>
          <w:szCs w:val="24"/>
          <w:lang w:val="es-ES" w:eastAsia="es-ES" w:bidi="es-ES"/>
        </w:rPr>
        <w:t>artículo</w:t>
      </w:r>
      <w:r w:rsidRPr="00F755C9">
        <w:rPr>
          <w:rFonts w:cs="Arial"/>
          <w:i/>
          <w:sz w:val="24"/>
          <w:szCs w:val="24"/>
          <w:lang w:val="es-ES" w:eastAsia="es-ES" w:bidi="es-ES"/>
        </w:rPr>
        <w:t xml:space="preserve"> 13 de la Ley 100 de 1993, es imperativo para el Juez que deba resolver sobre la viabilidad o no de la </w:t>
      </w:r>
      <w:r w:rsidR="00F755C9" w:rsidRPr="00F755C9">
        <w:rPr>
          <w:rFonts w:cs="Arial"/>
          <w:i/>
          <w:sz w:val="24"/>
          <w:szCs w:val="24"/>
          <w:lang w:val="es-ES" w:eastAsia="es-ES" w:bidi="es-ES"/>
        </w:rPr>
        <w:t>aplicación</w:t>
      </w:r>
      <w:r w:rsidRPr="00F755C9">
        <w:rPr>
          <w:rFonts w:cs="Arial"/>
          <w:i/>
          <w:sz w:val="24"/>
          <w:szCs w:val="24"/>
          <w:lang w:val="es-ES" w:eastAsia="es-ES" w:bidi="es-ES"/>
        </w:rPr>
        <w:t xml:space="preserve"> del </w:t>
      </w:r>
      <w:r w:rsidR="00F755C9" w:rsidRPr="00F755C9">
        <w:rPr>
          <w:rFonts w:cs="Arial"/>
          <w:i/>
          <w:sz w:val="24"/>
          <w:szCs w:val="24"/>
          <w:lang w:val="es-ES" w:eastAsia="es-ES" w:bidi="es-ES"/>
        </w:rPr>
        <w:t>régimen</w:t>
      </w:r>
      <w:r w:rsidRPr="00F755C9">
        <w:rPr>
          <w:rFonts w:cs="Arial"/>
          <w:i/>
          <w:sz w:val="24"/>
          <w:szCs w:val="24"/>
          <w:lang w:val="es-ES" w:eastAsia="es-ES" w:bidi="es-ES"/>
        </w:rPr>
        <w:t xml:space="preserve"> de </w:t>
      </w:r>
      <w:r w:rsidR="00F755C9" w:rsidRPr="00F755C9">
        <w:rPr>
          <w:rFonts w:cs="Arial"/>
          <w:i/>
          <w:sz w:val="24"/>
          <w:szCs w:val="24"/>
          <w:lang w:val="es-ES" w:eastAsia="es-ES" w:bidi="es-ES"/>
        </w:rPr>
        <w:t>transición</w:t>
      </w:r>
      <w:r w:rsidRPr="00F755C9">
        <w:rPr>
          <w:rFonts w:cs="Arial"/>
          <w:i/>
          <w:sz w:val="24"/>
          <w:szCs w:val="24"/>
          <w:lang w:val="es-ES" w:eastAsia="es-ES" w:bidi="es-ES"/>
        </w:rPr>
        <w:t xml:space="preserve">, ante la existencia del traslado, no simplemente verificar los requisitos </w:t>
      </w:r>
      <w:r w:rsidR="00F755C9" w:rsidRPr="00F755C9">
        <w:rPr>
          <w:rFonts w:cs="Arial"/>
          <w:i/>
          <w:sz w:val="24"/>
          <w:szCs w:val="24"/>
          <w:lang w:val="es-ES" w:eastAsia="es-ES" w:bidi="es-ES"/>
        </w:rPr>
        <w:t>atrás</w:t>
      </w:r>
      <w:r w:rsidRPr="00F755C9">
        <w:rPr>
          <w:rFonts w:cs="Arial"/>
          <w:i/>
          <w:sz w:val="24"/>
          <w:szCs w:val="24"/>
          <w:lang w:val="es-ES" w:eastAsia="es-ES" w:bidi="es-ES"/>
        </w:rPr>
        <w:t xml:space="preserve"> descritos, sino, </w:t>
      </w:r>
      <w:r w:rsidR="00F755C9" w:rsidRPr="00F755C9">
        <w:rPr>
          <w:rFonts w:cs="Arial"/>
          <w:i/>
          <w:sz w:val="24"/>
          <w:szCs w:val="24"/>
          <w:lang w:val="es-ES" w:eastAsia="es-ES" w:bidi="es-ES"/>
        </w:rPr>
        <w:t>además</w:t>
      </w:r>
      <w:r w:rsidRPr="00F755C9">
        <w:rPr>
          <w:rFonts w:cs="Arial"/>
          <w:i/>
          <w:sz w:val="24"/>
          <w:szCs w:val="24"/>
          <w:lang w:val="es-ES" w:eastAsia="es-ES" w:bidi="es-ES"/>
        </w:rPr>
        <w:t xml:space="preserve"> dar cuenta sobre si el mismo se </w:t>
      </w:r>
      <w:r w:rsidR="00F755C9" w:rsidRPr="00F755C9">
        <w:rPr>
          <w:rFonts w:cs="Arial"/>
          <w:i/>
          <w:sz w:val="24"/>
          <w:szCs w:val="24"/>
          <w:lang w:val="es-ES" w:eastAsia="es-ES" w:bidi="es-ES"/>
        </w:rPr>
        <w:t>realizó</w:t>
      </w:r>
      <w:r w:rsidRPr="00F755C9">
        <w:rPr>
          <w:rFonts w:cs="Arial"/>
          <w:i/>
          <w:sz w:val="24"/>
          <w:szCs w:val="24"/>
          <w:lang w:val="es-ES" w:eastAsia="es-ES" w:bidi="es-ES"/>
        </w:rPr>
        <w:t xml:space="preserve">́ bajo los </w:t>
      </w:r>
      <w:r w:rsidR="00F755C9" w:rsidRPr="00F755C9">
        <w:rPr>
          <w:rFonts w:cs="Arial"/>
          <w:i/>
          <w:sz w:val="24"/>
          <w:szCs w:val="24"/>
          <w:lang w:val="es-ES" w:eastAsia="es-ES" w:bidi="es-ES"/>
        </w:rPr>
        <w:t>parámetros</w:t>
      </w:r>
      <w:r w:rsidRPr="00F755C9">
        <w:rPr>
          <w:rFonts w:cs="Arial"/>
          <w:i/>
          <w:sz w:val="24"/>
          <w:szCs w:val="24"/>
          <w:lang w:val="es-ES" w:eastAsia="es-ES" w:bidi="es-ES"/>
        </w:rPr>
        <w:t xml:space="preserve"> de libertad informada. </w:t>
      </w:r>
    </w:p>
    <w:p w:rsidR="00F755C9" w:rsidRPr="00F755C9" w:rsidRDefault="00F755C9" w:rsidP="00F755C9">
      <w:pPr>
        <w:tabs>
          <w:tab w:val="left" w:pos="915"/>
        </w:tabs>
        <w:spacing w:after="0" w:line="240" w:lineRule="auto"/>
        <w:ind w:left="851" w:right="1182"/>
        <w:jc w:val="both"/>
        <w:rPr>
          <w:rFonts w:cs="Arial"/>
          <w:i/>
          <w:sz w:val="24"/>
          <w:szCs w:val="24"/>
          <w:lang w:val="es-ES_tradnl" w:eastAsia="es-ES" w:bidi="es-ES"/>
        </w:rPr>
      </w:pPr>
    </w:p>
    <w:p w:rsidR="00AC785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lastRenderedPageBreak/>
        <w:t xml:space="preserve">Una inoportuna o insuficiente </w:t>
      </w:r>
      <w:r w:rsidR="00F755C9" w:rsidRPr="00F755C9">
        <w:rPr>
          <w:rFonts w:cs="Arial"/>
          <w:i/>
          <w:sz w:val="24"/>
          <w:szCs w:val="24"/>
          <w:lang w:val="es-ES" w:eastAsia="es-ES" w:bidi="es-ES"/>
        </w:rPr>
        <w:t>asesoría</w:t>
      </w:r>
      <w:r w:rsidRPr="00F755C9">
        <w:rPr>
          <w:rFonts w:cs="Arial"/>
          <w:i/>
          <w:sz w:val="24"/>
          <w:szCs w:val="24"/>
          <w:lang w:val="es-ES" w:eastAsia="es-ES" w:bidi="es-ES"/>
        </w:rPr>
        <w:t xml:space="preserve"> sobre los puntos del </w:t>
      </w:r>
      <w:r w:rsidR="00F755C9" w:rsidRPr="00F755C9">
        <w:rPr>
          <w:rFonts w:cs="Arial"/>
          <w:i/>
          <w:sz w:val="24"/>
          <w:szCs w:val="24"/>
          <w:lang w:val="es-ES" w:eastAsia="es-ES" w:bidi="es-ES"/>
        </w:rPr>
        <w:t>tránsito</w:t>
      </w:r>
      <w:r w:rsidRPr="00F755C9">
        <w:rPr>
          <w:rFonts w:cs="Arial"/>
          <w:i/>
          <w:sz w:val="24"/>
          <w:szCs w:val="24"/>
          <w:lang w:val="es-ES" w:eastAsia="es-ES" w:bidi="es-ES"/>
        </w:rPr>
        <w:t xml:space="preserve"> de </w:t>
      </w:r>
      <w:r w:rsidR="00F755C9" w:rsidRPr="00F755C9">
        <w:rPr>
          <w:rFonts w:cs="Arial"/>
          <w:i/>
          <w:sz w:val="24"/>
          <w:szCs w:val="24"/>
          <w:lang w:val="es-ES" w:eastAsia="es-ES" w:bidi="es-ES"/>
        </w:rPr>
        <w:t>régimen</w:t>
      </w:r>
      <w:r w:rsidRPr="00F755C9">
        <w:rPr>
          <w:rFonts w:cs="Arial"/>
          <w:i/>
          <w:sz w:val="24"/>
          <w:szCs w:val="24"/>
          <w:lang w:val="es-ES" w:eastAsia="es-ES" w:bidi="es-ES"/>
        </w:rPr>
        <w:t xml:space="preserve"> son indicativos de que la </w:t>
      </w:r>
      <w:r w:rsidR="00F755C9" w:rsidRPr="00F755C9">
        <w:rPr>
          <w:rFonts w:cs="Arial"/>
          <w:i/>
          <w:sz w:val="24"/>
          <w:szCs w:val="24"/>
          <w:lang w:val="es-ES" w:eastAsia="es-ES" w:bidi="es-ES"/>
        </w:rPr>
        <w:t>decisión</w:t>
      </w:r>
      <w:r w:rsidRPr="00F755C9">
        <w:rPr>
          <w:rFonts w:cs="Arial"/>
          <w:i/>
          <w:sz w:val="24"/>
          <w:szCs w:val="24"/>
          <w:lang w:val="es-ES" w:eastAsia="es-ES" w:bidi="es-ES"/>
        </w:rPr>
        <w:t xml:space="preserve"> no estuvo precedida de la </w:t>
      </w:r>
      <w:r w:rsidR="00F755C9" w:rsidRPr="00F755C9">
        <w:rPr>
          <w:rFonts w:cs="Arial"/>
          <w:i/>
          <w:sz w:val="24"/>
          <w:szCs w:val="24"/>
          <w:lang w:val="es-ES" w:eastAsia="es-ES" w:bidi="es-ES"/>
        </w:rPr>
        <w:t>comprensión</w:t>
      </w:r>
      <w:r w:rsidRPr="00F755C9">
        <w:rPr>
          <w:rFonts w:cs="Arial"/>
          <w:i/>
          <w:sz w:val="24"/>
          <w:szCs w:val="24"/>
          <w:lang w:val="es-ES" w:eastAsia="es-ES" w:bidi="es-ES"/>
        </w:rPr>
        <w:t xml:space="preserve"> suficiente, y menos del real consentimiento para adoptarla. </w:t>
      </w:r>
    </w:p>
    <w:p w:rsidR="00F755C9" w:rsidRPr="00F755C9" w:rsidRDefault="00F755C9" w:rsidP="00F755C9">
      <w:pPr>
        <w:tabs>
          <w:tab w:val="left" w:pos="915"/>
        </w:tabs>
        <w:spacing w:after="0" w:line="240" w:lineRule="auto"/>
        <w:ind w:left="851" w:right="1182"/>
        <w:jc w:val="both"/>
        <w:rPr>
          <w:rFonts w:cs="Arial"/>
          <w:i/>
          <w:sz w:val="24"/>
          <w:szCs w:val="24"/>
          <w:lang w:val="es-ES_tradnl" w:eastAsia="es-ES" w:bidi="es-ES"/>
        </w:rPr>
      </w:pPr>
    </w:p>
    <w:p w:rsidR="00AC7859" w:rsidRPr="00F755C9" w:rsidRDefault="00AC7859" w:rsidP="00F755C9">
      <w:pPr>
        <w:tabs>
          <w:tab w:val="left" w:pos="915"/>
        </w:tabs>
        <w:spacing w:after="0" w:line="240" w:lineRule="auto"/>
        <w:ind w:left="851" w:right="1182"/>
        <w:jc w:val="both"/>
        <w:rPr>
          <w:rFonts w:cs="Arial"/>
          <w:i/>
          <w:sz w:val="24"/>
          <w:szCs w:val="24"/>
          <w:lang w:val="es-ES" w:eastAsia="es-ES" w:bidi="es-ES"/>
        </w:rPr>
      </w:pPr>
      <w:r w:rsidRPr="00F755C9">
        <w:rPr>
          <w:rFonts w:cs="Arial"/>
          <w:i/>
          <w:sz w:val="24"/>
          <w:szCs w:val="24"/>
          <w:lang w:val="es-ES" w:eastAsia="es-ES" w:bidi="es-ES"/>
        </w:rPr>
        <w:t xml:space="preserve">Es evidente que cualquier </w:t>
      </w:r>
      <w:r w:rsidR="00F755C9" w:rsidRPr="00F755C9">
        <w:rPr>
          <w:rFonts w:cs="Arial"/>
          <w:i/>
          <w:sz w:val="24"/>
          <w:szCs w:val="24"/>
          <w:lang w:val="es-ES" w:eastAsia="es-ES" w:bidi="es-ES"/>
        </w:rPr>
        <w:t>determinación</w:t>
      </w:r>
      <w:r w:rsidRPr="00F755C9">
        <w:rPr>
          <w:rFonts w:cs="Arial"/>
          <w:i/>
          <w:sz w:val="24"/>
          <w:szCs w:val="24"/>
          <w:lang w:val="es-ES" w:eastAsia="es-ES" w:bidi="es-ES"/>
        </w:rPr>
        <w:t xml:space="preserve"> personal de la </w:t>
      </w:r>
      <w:r w:rsidR="00F755C9" w:rsidRPr="00F755C9">
        <w:rPr>
          <w:rFonts w:cs="Arial"/>
          <w:i/>
          <w:sz w:val="24"/>
          <w:szCs w:val="24"/>
          <w:lang w:val="es-ES" w:eastAsia="es-ES" w:bidi="es-ES"/>
        </w:rPr>
        <w:t>índole</w:t>
      </w:r>
      <w:r w:rsidRPr="00F755C9">
        <w:rPr>
          <w:rFonts w:cs="Arial"/>
          <w:i/>
          <w:sz w:val="24"/>
          <w:szCs w:val="24"/>
          <w:lang w:val="es-ES" w:eastAsia="es-ES" w:bidi="es-ES"/>
        </w:rPr>
        <w:t xml:space="preserve"> que </w:t>
      </w:r>
      <w:r w:rsidR="00F755C9" w:rsidRPr="00F755C9">
        <w:rPr>
          <w:rFonts w:cs="Arial"/>
          <w:i/>
          <w:sz w:val="24"/>
          <w:szCs w:val="24"/>
          <w:lang w:val="es-ES" w:eastAsia="es-ES" w:bidi="es-ES"/>
        </w:rPr>
        <w:t>aquí</w:t>
      </w:r>
      <w:r w:rsidRPr="00F755C9">
        <w:rPr>
          <w:rFonts w:cs="Arial"/>
          <w:i/>
          <w:sz w:val="24"/>
          <w:szCs w:val="24"/>
          <w:lang w:val="es-ES" w:eastAsia="es-ES" w:bidi="es-ES"/>
        </w:rPr>
        <w:t xml:space="preserve">́ se discute, es eficaz, cuando existe un consentimiento informado; en materia de seguridad social, el juez no puede ignorar que por la trascendencia de los derechos pensionales, la </w:t>
      </w:r>
      <w:r w:rsidR="00F755C9" w:rsidRPr="00F755C9">
        <w:rPr>
          <w:rFonts w:cs="Arial"/>
          <w:i/>
          <w:sz w:val="24"/>
          <w:szCs w:val="24"/>
          <w:lang w:val="es-ES" w:eastAsia="es-ES" w:bidi="es-ES"/>
        </w:rPr>
        <w:t>información</w:t>
      </w:r>
      <w:r w:rsidRPr="00F755C9">
        <w:rPr>
          <w:rFonts w:cs="Arial"/>
          <w:i/>
          <w:sz w:val="24"/>
          <w:szCs w:val="24"/>
          <w:lang w:val="es-ES" w:eastAsia="es-ES" w:bidi="es-ES"/>
        </w:rPr>
        <w:t xml:space="preserve">, en este caso, del traslado de </w:t>
      </w:r>
      <w:r w:rsidR="00F755C9" w:rsidRPr="00F755C9">
        <w:rPr>
          <w:rFonts w:cs="Arial"/>
          <w:i/>
          <w:sz w:val="24"/>
          <w:szCs w:val="24"/>
          <w:lang w:val="es-ES" w:eastAsia="es-ES" w:bidi="es-ES"/>
        </w:rPr>
        <w:t>régimen</w:t>
      </w:r>
      <w:r w:rsidRPr="00F755C9">
        <w:rPr>
          <w:rFonts w:cs="Arial"/>
          <w:i/>
          <w:sz w:val="24"/>
          <w:szCs w:val="24"/>
          <w:lang w:val="es-ES" w:eastAsia="es-ES" w:bidi="es-ES"/>
        </w:rPr>
        <w:t xml:space="preserve">, debe ser de transparencia </w:t>
      </w:r>
      <w:r w:rsidR="00F755C9" w:rsidRPr="00F755C9">
        <w:rPr>
          <w:rFonts w:cs="Arial"/>
          <w:i/>
          <w:sz w:val="24"/>
          <w:szCs w:val="24"/>
          <w:lang w:val="es-ES" w:eastAsia="es-ES" w:bidi="es-ES"/>
        </w:rPr>
        <w:t>máxima</w:t>
      </w:r>
      <w:proofErr w:type="gramStart"/>
      <w:r w:rsidRPr="00F755C9">
        <w:rPr>
          <w:rFonts w:cs="Arial"/>
          <w:i/>
          <w:sz w:val="24"/>
          <w:szCs w:val="24"/>
          <w:lang w:val="es-ES" w:eastAsia="es-ES" w:bidi="es-ES"/>
        </w:rPr>
        <w:t>.“</w:t>
      </w:r>
      <w:proofErr w:type="gramEnd"/>
      <w:r w:rsidRPr="00F755C9">
        <w:rPr>
          <w:rFonts w:cs="Arial"/>
          <w:i/>
          <w:sz w:val="24"/>
          <w:szCs w:val="24"/>
          <w:lang w:val="es-ES" w:eastAsia="es-ES" w:bidi="es-ES"/>
        </w:rPr>
        <w:t xml:space="preserve">  (Corte Suprema de Justicia, Sala de Casación Laboral, rad. 46292, 3 de septiembre de 2014).</w:t>
      </w:r>
    </w:p>
    <w:p w:rsidR="00F755C9" w:rsidRDefault="00F755C9" w:rsidP="001D7A0A">
      <w:pPr>
        <w:tabs>
          <w:tab w:val="left" w:pos="915"/>
        </w:tabs>
        <w:spacing w:after="0" w:line="240" w:lineRule="auto"/>
        <w:jc w:val="both"/>
        <w:rPr>
          <w:rFonts w:cs="Arial"/>
          <w:sz w:val="24"/>
          <w:szCs w:val="24"/>
          <w:lang w:val="es-ES_tradnl" w:eastAsia="es-ES" w:bidi="es-ES"/>
        </w:rPr>
      </w:pPr>
    </w:p>
    <w:p w:rsidR="00AC7859" w:rsidRPr="00AC7859" w:rsidRDefault="00AC7859" w:rsidP="001D7A0A">
      <w:pPr>
        <w:tabs>
          <w:tab w:val="left" w:pos="915"/>
        </w:tabs>
        <w:spacing w:after="0" w:line="240" w:lineRule="auto"/>
        <w:jc w:val="both"/>
        <w:rPr>
          <w:rFonts w:cs="Arial"/>
          <w:sz w:val="24"/>
          <w:szCs w:val="24"/>
          <w:lang w:val="es-ES_tradnl" w:eastAsia="es-ES" w:bidi="es-ES"/>
        </w:rPr>
      </w:pPr>
      <w:r w:rsidRPr="00AC7859">
        <w:rPr>
          <w:rFonts w:cs="Arial"/>
          <w:sz w:val="24"/>
          <w:szCs w:val="24"/>
          <w:lang w:val="es-ES_tradnl" w:eastAsia="es-ES" w:bidi="es-ES"/>
        </w:rPr>
        <w:t xml:space="preserve">La corrección constitucional con efectos </w:t>
      </w:r>
      <w:r w:rsidRPr="00AC7859">
        <w:rPr>
          <w:rFonts w:cs="Arial"/>
          <w:i/>
          <w:sz w:val="24"/>
          <w:szCs w:val="24"/>
          <w:lang w:val="es-ES_tradnl" w:eastAsia="es-ES" w:bidi="es-ES"/>
        </w:rPr>
        <w:t xml:space="preserve">erga omnes </w:t>
      </w:r>
      <w:r w:rsidRPr="00AC7859">
        <w:rPr>
          <w:rFonts w:cs="Arial"/>
          <w:sz w:val="24"/>
          <w:szCs w:val="24"/>
          <w:lang w:val="es-ES_tradnl" w:eastAsia="es-ES" w:bidi="es-ES"/>
        </w:rPr>
        <w:t xml:space="preserve">no resultó viable por conducto de lo decidido en la sentencia C-081 de 2018 </w:t>
      </w:r>
      <w:r w:rsidR="00C34DA8">
        <w:rPr>
          <w:rFonts w:cs="Arial"/>
          <w:sz w:val="24"/>
          <w:szCs w:val="24"/>
          <w:lang w:val="es-ES_tradnl" w:eastAsia="es-ES" w:bidi="es-ES"/>
        </w:rPr>
        <w:t>por el cual</w:t>
      </w:r>
      <w:r w:rsidRPr="00AC7859">
        <w:rPr>
          <w:rFonts w:cs="Arial"/>
          <w:sz w:val="24"/>
          <w:szCs w:val="24"/>
          <w:lang w:val="es-ES_tradnl" w:eastAsia="es-ES" w:bidi="es-ES"/>
        </w:rPr>
        <w:t xml:space="preserve"> </w:t>
      </w:r>
      <w:proofErr w:type="gramStart"/>
      <w:r w:rsidRPr="00AC7859">
        <w:rPr>
          <w:rFonts w:cs="Arial"/>
          <w:sz w:val="24"/>
          <w:szCs w:val="24"/>
          <w:lang w:val="es-ES_tradnl" w:eastAsia="es-ES" w:bidi="es-ES"/>
        </w:rPr>
        <w:t>la</w:t>
      </w:r>
      <w:proofErr w:type="gramEnd"/>
      <w:r w:rsidRPr="00AC7859">
        <w:rPr>
          <w:rFonts w:cs="Arial"/>
          <w:sz w:val="24"/>
          <w:szCs w:val="24"/>
          <w:lang w:val="es-ES_tradnl" w:eastAsia="es-ES" w:bidi="es-ES"/>
        </w:rPr>
        <w:t xml:space="preserve"> H. Corte Constitucional </w:t>
      </w:r>
      <w:r w:rsidR="00C34DA8">
        <w:rPr>
          <w:rFonts w:cs="Arial"/>
          <w:sz w:val="24"/>
          <w:szCs w:val="24"/>
          <w:lang w:val="es-ES_tradnl" w:eastAsia="es-ES" w:bidi="es-ES"/>
        </w:rPr>
        <w:t xml:space="preserve">se </w:t>
      </w:r>
      <w:r w:rsidRPr="00AC7859">
        <w:rPr>
          <w:rFonts w:cs="Arial"/>
          <w:sz w:val="24"/>
          <w:szCs w:val="24"/>
          <w:lang w:val="es-ES_tradnl" w:eastAsia="es-ES" w:bidi="es-ES"/>
        </w:rPr>
        <w:t>declaró inhibida para emitir un pronunciamiento de fondo sobre la constitucionalidad del artículo 2 de la Ley 797 de 2003 en los siguientes términos:</w:t>
      </w:r>
    </w:p>
    <w:p w:rsidR="00AC7859" w:rsidRPr="00AC7859" w:rsidRDefault="00AC7859" w:rsidP="001D7A0A">
      <w:pPr>
        <w:tabs>
          <w:tab w:val="left" w:pos="915"/>
        </w:tabs>
        <w:spacing w:after="0" w:line="240" w:lineRule="auto"/>
        <w:jc w:val="both"/>
        <w:rPr>
          <w:rFonts w:cs="Arial"/>
          <w:sz w:val="24"/>
          <w:szCs w:val="24"/>
          <w:lang w:val="es-ES_tradnl" w:eastAsia="es-ES" w:bidi="es-ES"/>
        </w:rPr>
      </w:pPr>
    </w:p>
    <w:p w:rsidR="00AC7859" w:rsidRPr="00C34DA8" w:rsidRDefault="00AC7859" w:rsidP="00C34DA8">
      <w:pPr>
        <w:tabs>
          <w:tab w:val="left" w:pos="915"/>
        </w:tabs>
        <w:spacing w:after="0" w:line="240" w:lineRule="auto"/>
        <w:ind w:left="851" w:right="1182"/>
        <w:jc w:val="both"/>
        <w:rPr>
          <w:rFonts w:cs="Arial"/>
          <w:i/>
          <w:sz w:val="24"/>
          <w:szCs w:val="24"/>
          <w:lang w:val="es-ES_tradnl" w:eastAsia="es-ES" w:bidi="es-ES"/>
        </w:rPr>
      </w:pPr>
      <w:r w:rsidRPr="00C34DA8">
        <w:rPr>
          <w:rFonts w:cs="Arial"/>
          <w:i/>
          <w:sz w:val="24"/>
          <w:szCs w:val="24"/>
          <w:lang w:val="es-ES_tradnl" w:eastAsia="es-ES" w:bidi="es-ES"/>
        </w:rPr>
        <w:t>“</w:t>
      </w:r>
      <w:r w:rsidRPr="00C34DA8">
        <w:rPr>
          <w:rFonts w:cs="Arial"/>
          <w:i/>
          <w:sz w:val="24"/>
          <w:szCs w:val="24"/>
          <w:lang w:val="es-ES" w:eastAsia="es-ES" w:bidi="es-ES"/>
        </w:rPr>
        <w:t>Los accionantes consideraban que la norma incurría en violación de los derechos a la igualdad y a la seguridad social porque “</w:t>
      </w:r>
      <w:r w:rsidRPr="00C34DA8">
        <w:rPr>
          <w:rFonts w:cs="Arial"/>
          <w:i/>
          <w:iCs/>
          <w:sz w:val="24"/>
          <w:szCs w:val="24"/>
          <w:lang w:val="es-ES" w:eastAsia="es-ES" w:bidi="es-ES"/>
        </w:rPr>
        <w:t>presenta una extralimitación desproporcionada e irracional</w:t>
      </w:r>
      <w:r w:rsidRPr="00C34DA8">
        <w:rPr>
          <w:rFonts w:cs="Arial"/>
          <w:i/>
          <w:sz w:val="24"/>
          <w:szCs w:val="24"/>
          <w:lang w:val="es-ES" w:eastAsia="es-ES" w:bidi="es-ES"/>
        </w:rPr>
        <w:t>” que afectaba a personas en situación de debilidad manifiesta – personas mayores de 50 años que no tienen empleo ni ingresos suficientes- puesto que a pesar de ser un grupo especialmente protegido, no podían acceder al programa estatal que subsidiaba los aportes a pensión en casos en los que sus titulares no pueden seguir cotizando, debido a la prohibición de cambio de régimen.</w:t>
      </w:r>
    </w:p>
    <w:p w:rsidR="00AC7859" w:rsidRPr="00C34DA8" w:rsidRDefault="00AC7859" w:rsidP="00C34DA8">
      <w:pPr>
        <w:tabs>
          <w:tab w:val="left" w:pos="915"/>
        </w:tabs>
        <w:spacing w:after="0" w:line="240" w:lineRule="auto"/>
        <w:ind w:left="851" w:right="1182"/>
        <w:jc w:val="both"/>
        <w:rPr>
          <w:rFonts w:cs="Arial"/>
          <w:i/>
          <w:sz w:val="24"/>
          <w:szCs w:val="24"/>
          <w:lang w:val="es-ES_tradnl" w:eastAsia="es-ES" w:bidi="es-ES"/>
        </w:rPr>
      </w:pPr>
    </w:p>
    <w:p w:rsidR="00AC7859" w:rsidRPr="00C34DA8" w:rsidRDefault="00AC7859" w:rsidP="00C34DA8">
      <w:pPr>
        <w:tabs>
          <w:tab w:val="left" w:pos="915"/>
        </w:tabs>
        <w:spacing w:after="0" w:line="240" w:lineRule="auto"/>
        <w:ind w:left="851" w:right="1182"/>
        <w:jc w:val="both"/>
        <w:rPr>
          <w:rFonts w:cs="Arial"/>
          <w:i/>
          <w:sz w:val="24"/>
          <w:szCs w:val="24"/>
          <w:lang w:val="es-ES" w:eastAsia="es-ES" w:bidi="es-ES"/>
        </w:rPr>
      </w:pPr>
      <w:r w:rsidRPr="00C34DA8">
        <w:rPr>
          <w:rFonts w:cs="Arial"/>
          <w:i/>
          <w:sz w:val="24"/>
          <w:szCs w:val="24"/>
          <w:lang w:val="es-ES" w:eastAsia="es-ES" w:bidi="es-ES"/>
        </w:rPr>
        <w:t>Conforme a lo expuesto, al momento de proferirse este fallo los cargos que sustentaron la demanda de inconstitucionalidad (desconocimiento de los derechos a la igualdad y a la seguridad social) se tornan inocuos porque la norma objeto de censura, referida a la limitación en el acceso al subsidio de los beneficiarios que se encuentran en el RAIS, producto de la interacción de la norma acusada con el subsistema de la subvención de los aportes a pensión, ya no tiene el mismo efecto normativo que tenía al momento de admitirse la demanda. En efecto, tal y como se expuso previamente, la prohibición de cambio de régimen se imponía como una barrera para las personas que requieren el auxilio, están afiliados en el RAIS y les falten diez (10) años o menos para tener derecho a la pensión de vejez, ya agotó plenamente su contenido al haberse cerrado las afiliaciones al programa de asistencia estatal.” (Corte Constitucional, sentencia C-081 de 2018).</w:t>
      </w:r>
    </w:p>
    <w:p w:rsidR="00AC7859" w:rsidRDefault="00AC7859" w:rsidP="00C34DA8">
      <w:pPr>
        <w:tabs>
          <w:tab w:val="left" w:pos="915"/>
        </w:tabs>
        <w:spacing w:after="0" w:line="240" w:lineRule="auto"/>
        <w:ind w:left="851" w:right="1182"/>
        <w:jc w:val="both"/>
        <w:rPr>
          <w:rFonts w:cs="Arial"/>
          <w:i/>
          <w:sz w:val="24"/>
          <w:szCs w:val="24"/>
          <w:lang w:val="es-ES" w:eastAsia="es-ES" w:bidi="es-ES"/>
        </w:rPr>
      </w:pPr>
    </w:p>
    <w:p w:rsidR="00C34DA8" w:rsidRPr="00C34DA8" w:rsidRDefault="00C34DA8" w:rsidP="00C34DA8">
      <w:pPr>
        <w:tabs>
          <w:tab w:val="left" w:pos="915"/>
        </w:tabs>
        <w:spacing w:after="0" w:line="240" w:lineRule="auto"/>
        <w:ind w:left="851" w:right="1182"/>
        <w:jc w:val="both"/>
        <w:rPr>
          <w:rFonts w:cs="Arial"/>
          <w:sz w:val="24"/>
          <w:szCs w:val="24"/>
          <w:lang w:val="es-ES" w:eastAsia="es-ES" w:bidi="es-ES"/>
        </w:rPr>
      </w:pPr>
    </w:p>
    <w:p w:rsidR="00AC7859" w:rsidRPr="00AC7859" w:rsidRDefault="00AC7859" w:rsidP="001D7A0A">
      <w:pPr>
        <w:pStyle w:val="Prrafodelista"/>
        <w:numPr>
          <w:ilvl w:val="0"/>
          <w:numId w:val="2"/>
        </w:numPr>
        <w:tabs>
          <w:tab w:val="left" w:pos="915"/>
        </w:tabs>
        <w:jc w:val="both"/>
        <w:rPr>
          <w:rFonts w:asciiTheme="minorHAnsi" w:hAnsiTheme="minorHAnsi"/>
          <w:b/>
          <w:sz w:val="24"/>
          <w:szCs w:val="24"/>
        </w:rPr>
      </w:pPr>
      <w:r w:rsidRPr="00AC7859">
        <w:rPr>
          <w:rFonts w:asciiTheme="minorHAnsi" w:hAnsiTheme="minorHAnsi"/>
          <w:b/>
          <w:sz w:val="24"/>
          <w:szCs w:val="24"/>
        </w:rPr>
        <w:t>NECESIDAD Y CONVENIENCIA DE LA INICIATIVA.</w:t>
      </w:r>
    </w:p>
    <w:p w:rsidR="00AC7859" w:rsidRPr="00AC7859" w:rsidRDefault="00AC7859" w:rsidP="001D7A0A">
      <w:pPr>
        <w:tabs>
          <w:tab w:val="left" w:pos="915"/>
        </w:tabs>
        <w:spacing w:after="0" w:line="240" w:lineRule="auto"/>
        <w:jc w:val="both"/>
        <w:rPr>
          <w:b/>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 xml:space="preserve">Uno de los problemas más sentidos en la actualidad por la población generalmente más vulnerable, está constituido por los obstáculos que debe enfrentar al momento de decidir el </w:t>
      </w:r>
      <w:r w:rsidRPr="00AC7859">
        <w:rPr>
          <w:rFonts w:cs="Arial"/>
          <w:sz w:val="24"/>
          <w:szCs w:val="24"/>
        </w:rPr>
        <w:lastRenderedPageBreak/>
        <w:t xml:space="preserve">fondo de pensiones al que quiere pertenecer. Colombia adoptó </w:t>
      </w:r>
      <w:r w:rsidR="00C34DA8">
        <w:rPr>
          <w:rFonts w:cs="Arial"/>
          <w:sz w:val="24"/>
          <w:szCs w:val="24"/>
        </w:rPr>
        <w:t xml:space="preserve">a partir de la Ley 100 de 1193 -entrando en vigencia 1° de abril </w:t>
      </w:r>
      <w:r w:rsidRPr="00AC7859">
        <w:rPr>
          <w:rFonts w:cs="Arial"/>
          <w:sz w:val="24"/>
          <w:szCs w:val="24"/>
        </w:rPr>
        <w:t>de 1994</w:t>
      </w:r>
      <w:r w:rsidR="00C34DA8">
        <w:rPr>
          <w:rFonts w:cs="Arial"/>
          <w:sz w:val="24"/>
          <w:szCs w:val="24"/>
        </w:rPr>
        <w:t>-</w:t>
      </w:r>
      <w:r w:rsidRPr="00AC7859">
        <w:rPr>
          <w:rFonts w:cs="Arial"/>
          <w:sz w:val="24"/>
          <w:szCs w:val="24"/>
        </w:rPr>
        <w:t xml:space="preserve">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w:t>
      </w:r>
    </w:p>
    <w:p w:rsidR="00C34DA8" w:rsidRPr="00AC7859" w:rsidRDefault="00C34DA8" w:rsidP="001D7A0A">
      <w:pPr>
        <w:tabs>
          <w:tab w:val="left" w:pos="915"/>
        </w:tabs>
        <w:spacing w:after="0" w:line="240" w:lineRule="auto"/>
        <w:jc w:val="both"/>
        <w:rPr>
          <w:rFonts w:cs="Arial"/>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Lamentablemente, la implementación de ese sistema no contó desde un principio con los mecanismos que garantizaran la protección de los usuarios, desde la perspectiva de la oferta adecuada en cantidad y calidad de la información que se les brindara, con el fin de que la toma de decisiones en cuanto a la afiliación o traslado a, o desde, determinado fondo de pensiones, estuviera precedida de un conocimiento completo, capaz de generar un consentimiento auténticamente informado.</w:t>
      </w:r>
    </w:p>
    <w:p w:rsidR="00C34DA8" w:rsidRPr="00AC7859" w:rsidRDefault="00C34DA8" w:rsidP="001D7A0A">
      <w:pPr>
        <w:tabs>
          <w:tab w:val="left" w:pos="915"/>
        </w:tabs>
        <w:spacing w:after="0" w:line="240" w:lineRule="auto"/>
        <w:jc w:val="both"/>
        <w:rPr>
          <w:rFonts w:cs="Arial"/>
          <w:sz w:val="24"/>
          <w:szCs w:val="24"/>
        </w:rPr>
      </w:pP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Las deficiencias en el suministro de esa información, y muchas veces su total ausencia, a lo largo de más de 22 años, han desencadenado un considerable incremento de acciones judiciales en procura del traslado de un fondo pensional a otro, con el correlativo costo económico y social, y la congestión del aparato jurisdiccional encargado de resolver las citadas controversias.</w:t>
      </w:r>
    </w:p>
    <w:p w:rsidR="00C34DA8" w:rsidRDefault="00C34DA8" w:rsidP="001D7A0A">
      <w:pPr>
        <w:tabs>
          <w:tab w:val="left" w:pos="915"/>
        </w:tabs>
        <w:spacing w:after="0" w:line="240" w:lineRule="auto"/>
        <w:jc w:val="both"/>
        <w:rPr>
          <w:rFonts w:cs="Arial"/>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Sobre las características de la información que debe brindarse a los usuarios, recientemente se pronunció la Sala de Casación Laboral</w:t>
      </w:r>
      <w:r w:rsidR="00C34DA8">
        <w:rPr>
          <w:rFonts w:cs="Arial"/>
          <w:sz w:val="24"/>
          <w:szCs w:val="24"/>
        </w:rPr>
        <w:t xml:space="preserve"> de la H. Corte Suprema de Justicia</w:t>
      </w:r>
      <w:r w:rsidRPr="00AC7859">
        <w:rPr>
          <w:rFonts w:cs="Arial"/>
          <w:sz w:val="24"/>
          <w:szCs w:val="24"/>
        </w:rPr>
        <w:t>, al decidir una demanda que, precisamente, tuvo como pretensión – exitosa -, la orden judicial de permitir un traslado de un fondo pensional a otro:</w:t>
      </w:r>
    </w:p>
    <w:p w:rsidR="00C34DA8" w:rsidRPr="00AC7859" w:rsidRDefault="00C34DA8" w:rsidP="001D7A0A">
      <w:pPr>
        <w:tabs>
          <w:tab w:val="left" w:pos="915"/>
        </w:tabs>
        <w:spacing w:after="0" w:line="240" w:lineRule="auto"/>
        <w:jc w:val="both"/>
        <w:rPr>
          <w:rFonts w:cs="Arial"/>
          <w:sz w:val="24"/>
          <w:szCs w:val="24"/>
        </w:rPr>
      </w:pPr>
    </w:p>
    <w:p w:rsidR="00AC7859" w:rsidRPr="00AC7859" w:rsidRDefault="00AC7859" w:rsidP="00C34DA8">
      <w:pPr>
        <w:tabs>
          <w:tab w:val="left" w:pos="915"/>
        </w:tabs>
        <w:spacing w:after="0" w:line="240" w:lineRule="auto"/>
        <w:ind w:left="851" w:right="1182"/>
        <w:jc w:val="both"/>
        <w:rPr>
          <w:rFonts w:cs="Arial"/>
          <w:i/>
          <w:sz w:val="24"/>
          <w:szCs w:val="24"/>
        </w:rPr>
      </w:pPr>
      <w:r w:rsidRPr="00AC7859">
        <w:rPr>
          <w:rFonts w:cs="Arial"/>
          <w:i/>
          <w:sz w:val="24"/>
          <w:szCs w:val="24"/>
        </w:rPr>
        <w:tab/>
        <w:t>“</w:t>
      </w:r>
      <w:r w:rsidRPr="00C34DA8">
        <w:rPr>
          <w:rFonts w:cs="Arial"/>
          <w:i/>
          <w:sz w:val="24"/>
          <w:szCs w:val="24"/>
          <w:u w:val="single"/>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w:t>
      </w:r>
      <w:r w:rsidRPr="00AC7859">
        <w:rPr>
          <w:rFonts w:cs="Arial"/>
          <w:i/>
          <w:sz w:val="24"/>
          <w:szCs w:val="24"/>
        </w:rPr>
        <w:t>;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r w:rsidR="00C34DA8">
        <w:rPr>
          <w:rFonts w:cs="Arial"/>
          <w:i/>
          <w:sz w:val="24"/>
          <w:szCs w:val="24"/>
        </w:rPr>
        <w:t>”</w:t>
      </w:r>
      <w:r w:rsidRPr="00AC7859">
        <w:rPr>
          <w:rFonts w:cs="Arial"/>
          <w:i/>
          <w:sz w:val="24"/>
          <w:szCs w:val="24"/>
        </w:rPr>
        <w:t>.</w:t>
      </w:r>
    </w:p>
    <w:p w:rsidR="00C34DA8" w:rsidRDefault="00C34DA8" w:rsidP="001D7A0A">
      <w:pPr>
        <w:tabs>
          <w:tab w:val="left" w:pos="915"/>
        </w:tabs>
        <w:spacing w:after="0" w:line="240" w:lineRule="auto"/>
        <w:jc w:val="both"/>
        <w:rPr>
          <w:rFonts w:cs="Arial"/>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 xml:space="preserve">De esta manera, el acto jurídico de cambio de régimen debe estar precedido de una ilustración al trabajador o usuario, como mínimo, acerca de las características, condiciones, acceso, ventajas y desventajas de cada uno de los regímenes pensionales, así como de los riesgos y consecuencias del traslado. </w:t>
      </w:r>
    </w:p>
    <w:p w:rsidR="00C34DA8" w:rsidRPr="00AC7859" w:rsidRDefault="00C34DA8" w:rsidP="001D7A0A">
      <w:pPr>
        <w:tabs>
          <w:tab w:val="left" w:pos="915"/>
        </w:tabs>
        <w:spacing w:after="0" w:line="240" w:lineRule="auto"/>
        <w:jc w:val="both"/>
        <w:rPr>
          <w:rFonts w:cs="Arial"/>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 xml:space="preserve">Por tanto, hoy en el campo de la seguridad social, existe un verdadero e insoslayable deber de obtener un consentimiento informado (CSJ SL19447-2017), entendido como un procedimiento que garantiza, antes de aceptar un ofrecimiento o un servicio, la comprensión por el usuario de </w:t>
      </w:r>
      <w:r w:rsidRPr="00AC7859">
        <w:rPr>
          <w:rFonts w:cs="Arial"/>
          <w:sz w:val="24"/>
          <w:szCs w:val="24"/>
        </w:rPr>
        <w:lastRenderedPageBreak/>
        <w:t>las condiciones, riesgos y consecuencias de su afiliación al régimen. Vale decir, que el afiliado antes de dar su consentimiento, ha recibido información clara, cierta, comprensible y oportuna.</w:t>
      </w:r>
    </w:p>
    <w:p w:rsidR="00C34DA8" w:rsidRPr="00AC7859" w:rsidRDefault="00C34DA8" w:rsidP="001D7A0A">
      <w:pPr>
        <w:tabs>
          <w:tab w:val="left" w:pos="915"/>
        </w:tabs>
        <w:spacing w:after="0" w:line="240" w:lineRule="auto"/>
        <w:jc w:val="both"/>
        <w:rPr>
          <w:rFonts w:cs="Arial"/>
          <w:sz w:val="24"/>
          <w:szCs w:val="24"/>
        </w:rPr>
      </w:pPr>
    </w:p>
    <w:p w:rsidR="00AC7859" w:rsidRDefault="00AC7859" w:rsidP="00C34DA8">
      <w:pPr>
        <w:tabs>
          <w:tab w:val="left" w:pos="915"/>
        </w:tabs>
        <w:spacing w:after="0" w:line="240" w:lineRule="auto"/>
        <w:ind w:left="851" w:right="1182"/>
        <w:jc w:val="both"/>
        <w:rPr>
          <w:rFonts w:cs="Arial"/>
          <w:i/>
          <w:sz w:val="24"/>
          <w:szCs w:val="24"/>
        </w:rPr>
      </w:pPr>
      <w:r w:rsidRPr="00C34DA8">
        <w:rPr>
          <w:rFonts w:cs="Arial"/>
          <w:i/>
          <w:sz w:val="24"/>
          <w:szCs w:val="24"/>
        </w:rPr>
        <w:tab/>
        <w:t>(…) “Por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rsidR="00C34DA8" w:rsidRPr="00C34DA8" w:rsidRDefault="00C34DA8" w:rsidP="00C34DA8">
      <w:pPr>
        <w:tabs>
          <w:tab w:val="left" w:pos="915"/>
        </w:tabs>
        <w:spacing w:after="0" w:line="240" w:lineRule="auto"/>
        <w:ind w:left="851" w:right="1182"/>
        <w:jc w:val="both"/>
        <w:rPr>
          <w:rFonts w:cs="Arial"/>
          <w:i/>
          <w:sz w:val="24"/>
          <w:szCs w:val="24"/>
        </w:rPr>
      </w:pPr>
    </w:p>
    <w:p w:rsidR="00AC7859" w:rsidRPr="00C34DA8" w:rsidRDefault="00AC7859" w:rsidP="00C34DA8">
      <w:pPr>
        <w:tabs>
          <w:tab w:val="left" w:pos="915"/>
        </w:tabs>
        <w:spacing w:after="0" w:line="240" w:lineRule="auto"/>
        <w:ind w:left="851" w:right="1182"/>
        <w:jc w:val="both"/>
        <w:rPr>
          <w:rFonts w:cs="Arial"/>
          <w:i/>
          <w:sz w:val="24"/>
          <w:szCs w:val="24"/>
        </w:rPr>
      </w:pPr>
      <w:r w:rsidRPr="00C34DA8">
        <w:rPr>
          <w:rFonts w:cs="Arial"/>
          <w:i/>
          <w:sz w:val="24"/>
          <w:szCs w:val="24"/>
        </w:rPr>
        <w:tab/>
        <w:t xml:space="preserve">(…) 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hiperregulado,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 </w:t>
      </w:r>
    </w:p>
    <w:p w:rsidR="00C34DA8" w:rsidRDefault="00C34DA8" w:rsidP="001D7A0A">
      <w:pPr>
        <w:tabs>
          <w:tab w:val="left" w:pos="915"/>
        </w:tabs>
        <w:spacing w:after="0" w:line="240" w:lineRule="auto"/>
        <w:jc w:val="both"/>
        <w:rPr>
          <w:rFonts w:cs="Arial"/>
          <w:sz w:val="24"/>
          <w:szCs w:val="24"/>
        </w:rPr>
      </w:pP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Fueron estas exigencias que la jurisdicción reclama, las que no se cumplieron desde el inicio de la puesta en vigencia del sistema. De esas manifestaciones de la Corte, no puede concluirse cosa distinta que, por lo menos hasta la expedición de la Circular 016 del 28 de abril de 2016, no se brindó a los usuarios la cantidad y calidad de información que permitiera la toma de una decisión consiente acerca del fondo pensional al que debían afiliarse, en procura de obtener el mejor provecho de sus aportes pensionales, y, con ello, un mejor nivel de vida en la vejez o la invalidez.</w:t>
      </w:r>
    </w:p>
    <w:p w:rsidR="00AC7859" w:rsidRPr="00AC7859" w:rsidRDefault="00AC7859" w:rsidP="001D7A0A">
      <w:pPr>
        <w:tabs>
          <w:tab w:val="left" w:pos="915"/>
        </w:tabs>
        <w:spacing w:after="0" w:line="240" w:lineRule="auto"/>
        <w:jc w:val="both"/>
        <w:rPr>
          <w:rFonts w:cs="Arial"/>
          <w:sz w:val="24"/>
          <w:szCs w:val="24"/>
        </w:rPr>
      </w:pP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En la búsqueda de soluciones a los problemas de los usuarios, elevamos consulta al Observatorio Laboral de la Facultad de Jurisprudencia de la Universidad del Rosario. En su valiosa contribución, esa Alma Mater considera:</w:t>
      </w:r>
    </w:p>
    <w:p w:rsidR="00C34DA8" w:rsidRPr="00AC7859" w:rsidRDefault="00C34DA8" w:rsidP="001D7A0A">
      <w:pPr>
        <w:tabs>
          <w:tab w:val="left" w:pos="915"/>
        </w:tabs>
        <w:spacing w:after="0" w:line="240" w:lineRule="auto"/>
        <w:jc w:val="both"/>
        <w:rPr>
          <w:rFonts w:cs="Arial"/>
          <w:sz w:val="24"/>
          <w:szCs w:val="24"/>
        </w:rPr>
      </w:pPr>
    </w:p>
    <w:p w:rsidR="00AC7859" w:rsidRPr="00AC7859" w:rsidRDefault="00AC7859" w:rsidP="00C34DA8">
      <w:pPr>
        <w:tabs>
          <w:tab w:val="left" w:pos="915"/>
        </w:tabs>
        <w:spacing w:after="0" w:line="240" w:lineRule="auto"/>
        <w:ind w:left="709" w:right="1182"/>
        <w:jc w:val="both"/>
        <w:rPr>
          <w:rFonts w:cs="Arial"/>
          <w:i/>
          <w:sz w:val="24"/>
          <w:szCs w:val="24"/>
        </w:rPr>
      </w:pPr>
      <w:r w:rsidRPr="00AC7859">
        <w:rPr>
          <w:rFonts w:cs="Arial"/>
          <w:i/>
          <w:sz w:val="24"/>
          <w:szCs w:val="24"/>
        </w:rPr>
        <w:t xml:space="preserve">“El fuerte debate a propósito de los traslados entre regímenes, sin mediar la doble asesoría, prevista desde la expedición de la Circular 16 de 2016 de la Superintendencia Financiera de Colombia, demanda intervención legislativa para habilitar la facultad de libre selección de régimen pensional sin restricciones que compense los 22 años de funcionamiento del modelo pensional paralelo sin disposiciones sobre el deber de asesoría para garantizar </w:t>
      </w:r>
      <w:r w:rsidRPr="00AC7859">
        <w:rPr>
          <w:rFonts w:cs="Arial"/>
          <w:i/>
          <w:sz w:val="24"/>
          <w:szCs w:val="24"/>
        </w:rPr>
        <w:lastRenderedPageBreak/>
        <w:t xml:space="preserve">los deberes de transparencia y buena </w:t>
      </w:r>
      <w:proofErr w:type="spellStart"/>
      <w:r w:rsidRPr="00AC7859">
        <w:rPr>
          <w:rFonts w:cs="Arial"/>
          <w:i/>
          <w:sz w:val="24"/>
          <w:szCs w:val="24"/>
        </w:rPr>
        <w:t>fé</w:t>
      </w:r>
      <w:proofErr w:type="spellEnd"/>
      <w:r w:rsidRPr="00AC7859">
        <w:rPr>
          <w:rFonts w:cs="Arial"/>
          <w:i/>
          <w:sz w:val="24"/>
          <w:szCs w:val="24"/>
        </w:rPr>
        <w:t xml:space="preserve"> en la información de las Administradoras de Fondos de Pensiones”.(Destacamos).</w:t>
      </w:r>
    </w:p>
    <w:p w:rsidR="00C34DA8" w:rsidRDefault="00C34DA8" w:rsidP="001D7A0A">
      <w:pPr>
        <w:tabs>
          <w:tab w:val="left" w:pos="915"/>
        </w:tabs>
        <w:spacing w:after="0" w:line="240" w:lineRule="auto"/>
        <w:jc w:val="both"/>
        <w:rPr>
          <w:rFonts w:cs="Arial"/>
          <w:sz w:val="24"/>
          <w:szCs w:val="24"/>
        </w:rPr>
      </w:pP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En términos sencillos: Si durante 22 años se produjeron afiliaciones y traslados entre fondos de pensiones, sin que se hubieran cumplido obligaciones esenciales como la completa y debida información, es de elemental equidad</w:t>
      </w:r>
      <w:r w:rsidR="007B7C1E">
        <w:rPr>
          <w:rFonts w:cs="Arial"/>
          <w:sz w:val="24"/>
          <w:szCs w:val="24"/>
        </w:rPr>
        <w:t>,</w:t>
      </w:r>
      <w:r w:rsidRPr="00AC7859">
        <w:rPr>
          <w:rFonts w:cs="Arial"/>
          <w:sz w:val="24"/>
          <w:szCs w:val="24"/>
        </w:rPr>
        <w:t xml:space="preserve"> permitir una especie de período de gracia, que compense esa dramática deficiencia, permi</w:t>
      </w:r>
      <w:r w:rsidR="007B7C1E">
        <w:rPr>
          <w:rFonts w:cs="Arial"/>
          <w:sz w:val="24"/>
          <w:szCs w:val="24"/>
        </w:rPr>
        <w:t>tiendo el traslado entre fondos</w:t>
      </w:r>
      <w:r w:rsidRPr="00AC7859">
        <w:rPr>
          <w:rFonts w:cs="Arial"/>
          <w:sz w:val="24"/>
          <w:szCs w:val="24"/>
        </w:rPr>
        <w:t xml:space="preserve"> de quienes fueron víctimas de la mencionada omisión.</w:t>
      </w:r>
    </w:p>
    <w:p w:rsidR="00AC7859" w:rsidRPr="00AC7859" w:rsidRDefault="00AC7859" w:rsidP="001D7A0A">
      <w:pPr>
        <w:tabs>
          <w:tab w:val="left" w:pos="915"/>
        </w:tabs>
        <w:spacing w:after="0" w:line="240" w:lineRule="auto"/>
        <w:jc w:val="both"/>
        <w:rPr>
          <w:rFonts w:cs="Arial"/>
          <w:sz w:val="24"/>
          <w:szCs w:val="24"/>
        </w:rPr>
      </w:pP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Ante los eventuales contra argumentos, sobre efectos no deseados del proyecto que aquí se propone, hacemos nuestras las observaciones del mismo claustro universitario consultado, sobre los siguientes aspectos:</w:t>
      </w:r>
    </w:p>
    <w:p w:rsidR="00AC7859" w:rsidRPr="00AC7859" w:rsidRDefault="00AC7859" w:rsidP="001D7A0A">
      <w:pPr>
        <w:tabs>
          <w:tab w:val="left" w:pos="915"/>
        </w:tabs>
        <w:spacing w:after="0" w:line="240" w:lineRule="auto"/>
        <w:jc w:val="both"/>
        <w:rPr>
          <w:rFonts w:cs="Arial"/>
          <w:sz w:val="24"/>
          <w:szCs w:val="24"/>
        </w:rPr>
      </w:pP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w:t>
      </w:r>
      <w:r w:rsidRPr="007B7C1E">
        <w:rPr>
          <w:rFonts w:cs="Arial"/>
          <w:b/>
          <w:sz w:val="24"/>
          <w:szCs w:val="24"/>
        </w:rPr>
        <w:t>Mito 1</w:t>
      </w:r>
      <w:r w:rsidRPr="00AC7859">
        <w:rPr>
          <w:rFonts w:cs="Arial"/>
          <w:sz w:val="24"/>
          <w:szCs w:val="24"/>
        </w:rPr>
        <w:t>: La libertad de traslado constituye competencia desleal.</w:t>
      </w: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Realidad: Resulta contraevidente considerar la libertad de selección del régimen pensional como conducta constitutiva de competencia desleal.</w:t>
      </w: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Se considera que la habilitación de traslados durante 4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rsidR="00AC7859" w:rsidRPr="00AC7859" w:rsidRDefault="00AC7859" w:rsidP="001D7A0A">
      <w:pPr>
        <w:tabs>
          <w:tab w:val="left" w:pos="915"/>
        </w:tabs>
        <w:spacing w:after="0" w:line="240" w:lineRule="auto"/>
        <w:jc w:val="both"/>
        <w:rPr>
          <w:rFonts w:cs="Arial"/>
          <w:sz w:val="24"/>
          <w:szCs w:val="24"/>
        </w:rPr>
      </w:pPr>
      <w:r w:rsidRPr="007B7C1E">
        <w:rPr>
          <w:rFonts w:cs="Arial"/>
          <w:b/>
          <w:sz w:val="24"/>
          <w:szCs w:val="24"/>
        </w:rPr>
        <w:t>Mito</w:t>
      </w:r>
      <w:r w:rsidR="007B7C1E">
        <w:rPr>
          <w:rFonts w:cs="Arial"/>
          <w:b/>
          <w:sz w:val="24"/>
          <w:szCs w:val="24"/>
        </w:rPr>
        <w:t xml:space="preserve"> 2</w:t>
      </w:r>
      <w:r w:rsidRPr="00AC7859">
        <w:rPr>
          <w:rFonts w:cs="Arial"/>
          <w:sz w:val="24"/>
          <w:szCs w:val="24"/>
        </w:rPr>
        <w:t>: Las administradoras de fondos de pensiones verían afectados sus derechos adquiridos por virtud de los traslados de régimen previsto en el artículo 84 del PND.</w:t>
      </w:r>
    </w:p>
    <w:p w:rsidR="00AC7859" w:rsidRPr="00AC7859" w:rsidRDefault="00AC7859" w:rsidP="001D7A0A">
      <w:pPr>
        <w:tabs>
          <w:tab w:val="left" w:pos="915"/>
        </w:tabs>
        <w:spacing w:after="0" w:line="240" w:lineRule="auto"/>
        <w:jc w:val="both"/>
        <w:rPr>
          <w:rFonts w:cs="Arial"/>
          <w:sz w:val="24"/>
          <w:szCs w:val="24"/>
        </w:rPr>
      </w:pPr>
      <w:r w:rsidRPr="00AC7859">
        <w:rPr>
          <w:rFonts w:cs="Arial"/>
          <w:sz w:val="24"/>
          <w:szCs w:val="24"/>
        </w:rPr>
        <w:t>Realidad: No existe ninguna situación jurídica consolidada que se afecte con la posibilidad de selección de régimen dada la ausencia del derecho de “retención de los afiliados”, ese derecho es inexistente en el ordenamiento jurídico.</w:t>
      </w:r>
    </w:p>
    <w:p w:rsidR="00AC7859" w:rsidRPr="00AC7859" w:rsidRDefault="00AC7859" w:rsidP="001D7A0A">
      <w:pPr>
        <w:tabs>
          <w:tab w:val="left" w:pos="915"/>
        </w:tabs>
        <w:spacing w:after="0" w:line="240" w:lineRule="auto"/>
        <w:jc w:val="both"/>
        <w:rPr>
          <w:rFonts w:cs="Arial"/>
          <w:sz w:val="24"/>
          <w:szCs w:val="24"/>
        </w:rPr>
      </w:pPr>
      <w:r w:rsidRPr="007B7C1E">
        <w:rPr>
          <w:rFonts w:cs="Arial"/>
          <w:b/>
          <w:sz w:val="24"/>
          <w:szCs w:val="24"/>
        </w:rPr>
        <w:t>Mito 3</w:t>
      </w:r>
      <w:r w:rsidRPr="00AC7859">
        <w:rPr>
          <w:rFonts w:cs="Arial"/>
          <w:sz w:val="24"/>
          <w:szCs w:val="24"/>
        </w:rPr>
        <w:t>: La medida es muy costosa en materia fiscal y de distribución regresiva:</w:t>
      </w:r>
    </w:p>
    <w:p w:rsidR="00AC7859" w:rsidRDefault="00AC7859" w:rsidP="001D7A0A">
      <w:pPr>
        <w:tabs>
          <w:tab w:val="left" w:pos="915"/>
        </w:tabs>
        <w:spacing w:after="0" w:line="240" w:lineRule="auto"/>
        <w:jc w:val="both"/>
        <w:rPr>
          <w:rFonts w:cs="Arial"/>
          <w:sz w:val="24"/>
          <w:szCs w:val="24"/>
        </w:rPr>
      </w:pPr>
      <w:r w:rsidRPr="00AC7859">
        <w:rPr>
          <w:rFonts w:cs="Arial"/>
          <w:sz w:val="24"/>
          <w:szCs w:val="24"/>
        </w:rPr>
        <w:t xml:space="preserve">Realidad: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 que el 80% de las pensiones a reconocer oscila entre 1 y 2 </w:t>
      </w:r>
      <w:proofErr w:type="spellStart"/>
      <w:r w:rsidRPr="00AC7859">
        <w:rPr>
          <w:rFonts w:cs="Arial"/>
          <w:sz w:val="24"/>
          <w:szCs w:val="24"/>
        </w:rPr>
        <w:t>s.m.l.m.v</w:t>
      </w:r>
      <w:proofErr w:type="spellEnd"/>
      <w:r w:rsidRPr="00AC7859">
        <w:rPr>
          <w:rFonts w:cs="Arial"/>
          <w:sz w:val="24"/>
          <w:szCs w:val="24"/>
        </w:rPr>
        <w:t>.”</w:t>
      </w:r>
    </w:p>
    <w:p w:rsidR="007B7C1E" w:rsidRPr="00AC7859" w:rsidRDefault="007B7C1E" w:rsidP="001D7A0A">
      <w:pPr>
        <w:tabs>
          <w:tab w:val="left" w:pos="915"/>
        </w:tabs>
        <w:spacing w:after="0" w:line="240" w:lineRule="auto"/>
        <w:jc w:val="both"/>
        <w:rPr>
          <w:rFonts w:cs="Arial"/>
          <w:sz w:val="24"/>
          <w:szCs w:val="24"/>
        </w:rPr>
      </w:pPr>
    </w:p>
    <w:p w:rsidR="00AC7859" w:rsidRDefault="00AC7859" w:rsidP="00E91571">
      <w:pPr>
        <w:tabs>
          <w:tab w:val="left" w:pos="915"/>
        </w:tabs>
        <w:spacing w:after="0" w:line="240" w:lineRule="auto"/>
        <w:jc w:val="both"/>
        <w:rPr>
          <w:rFonts w:cs="Arial"/>
          <w:sz w:val="24"/>
          <w:szCs w:val="24"/>
        </w:rPr>
      </w:pPr>
      <w:r w:rsidRPr="00AC7859">
        <w:rPr>
          <w:rFonts w:cs="Arial"/>
          <w:sz w:val="24"/>
          <w:szCs w:val="24"/>
        </w:rPr>
        <w:t xml:space="preserve">Estamos haciendo una propuesta legislativa que se enmarca dentro de los fines constitucionales y que restablece derechos a un sector vulnerable de la población, por ello la construcción </w:t>
      </w:r>
      <w:r w:rsidR="007B7C1E" w:rsidRPr="00AC7859">
        <w:rPr>
          <w:rFonts w:cs="Arial"/>
          <w:sz w:val="24"/>
          <w:szCs w:val="24"/>
        </w:rPr>
        <w:t>del mismo</w:t>
      </w:r>
      <w:r w:rsidR="007B7C1E">
        <w:rPr>
          <w:rFonts w:cs="Arial"/>
          <w:sz w:val="24"/>
          <w:szCs w:val="24"/>
        </w:rPr>
        <w:t xml:space="preserve"> conto con la participación de diferentes instituciones públicas y privadas, que participaron de la audiencia pública celebrada el pasado 18 de septiembre de 2019, y sirvió para nutrir con base en argumento, la presente ponencia.</w:t>
      </w:r>
      <w:r w:rsidRPr="00AC7859">
        <w:rPr>
          <w:rFonts w:cs="Arial"/>
          <w:sz w:val="24"/>
          <w:szCs w:val="24"/>
        </w:rPr>
        <w:t xml:space="preserve"> </w:t>
      </w:r>
    </w:p>
    <w:p w:rsidR="00AC7859" w:rsidRDefault="00AC7859" w:rsidP="00E91571">
      <w:pPr>
        <w:adjustRightInd w:val="0"/>
        <w:spacing w:after="0" w:line="240" w:lineRule="auto"/>
        <w:contextualSpacing/>
        <w:jc w:val="both"/>
        <w:textAlignment w:val="center"/>
        <w:rPr>
          <w:rFonts w:eastAsia="Times New Roman"/>
          <w:b/>
          <w:sz w:val="24"/>
          <w:szCs w:val="24"/>
          <w:lang w:val="es-ES_tradnl" w:eastAsia="es-CO"/>
        </w:rPr>
      </w:pPr>
    </w:p>
    <w:p w:rsidR="00E91571" w:rsidRPr="00AC7859" w:rsidRDefault="00E91571" w:rsidP="00E91571">
      <w:pPr>
        <w:adjustRightInd w:val="0"/>
        <w:spacing w:after="0" w:line="240" w:lineRule="auto"/>
        <w:contextualSpacing/>
        <w:jc w:val="both"/>
        <w:textAlignment w:val="center"/>
        <w:rPr>
          <w:rFonts w:eastAsia="Times New Roman"/>
          <w:b/>
          <w:sz w:val="24"/>
          <w:szCs w:val="24"/>
          <w:lang w:val="es-ES_tradnl" w:eastAsia="es-CO"/>
        </w:rPr>
      </w:pPr>
    </w:p>
    <w:p w:rsidR="00AC7859" w:rsidRPr="00AC7859" w:rsidRDefault="00AC7859" w:rsidP="00E91571">
      <w:pPr>
        <w:pStyle w:val="Prrafodelista"/>
        <w:numPr>
          <w:ilvl w:val="0"/>
          <w:numId w:val="2"/>
        </w:numPr>
        <w:adjustRightInd w:val="0"/>
        <w:contextualSpacing/>
        <w:textAlignment w:val="center"/>
        <w:rPr>
          <w:rFonts w:asciiTheme="minorHAnsi" w:eastAsia="Times New Roman" w:hAnsiTheme="minorHAnsi"/>
          <w:b/>
          <w:sz w:val="24"/>
          <w:szCs w:val="24"/>
          <w:lang w:eastAsia="es-CO"/>
        </w:rPr>
      </w:pPr>
      <w:r w:rsidRPr="00AC7859">
        <w:rPr>
          <w:rFonts w:asciiTheme="minorHAnsi" w:eastAsia="Times New Roman" w:hAnsiTheme="minorHAnsi"/>
          <w:b/>
          <w:sz w:val="24"/>
          <w:szCs w:val="24"/>
          <w:lang w:eastAsia="es-CO"/>
        </w:rPr>
        <w:t>PROPOSICIÓN</w:t>
      </w:r>
    </w:p>
    <w:p w:rsidR="00AC7859" w:rsidRPr="00AC7859" w:rsidRDefault="00AC7859" w:rsidP="00E91571">
      <w:pPr>
        <w:adjustRightInd w:val="0"/>
        <w:spacing w:after="0" w:line="240" w:lineRule="auto"/>
        <w:contextualSpacing/>
        <w:textAlignment w:val="center"/>
        <w:rPr>
          <w:rFonts w:eastAsia="Times New Roman" w:cs="Arial"/>
          <w:b/>
          <w:sz w:val="24"/>
          <w:szCs w:val="24"/>
          <w:lang w:eastAsia="es-CO"/>
        </w:rPr>
      </w:pPr>
    </w:p>
    <w:p w:rsidR="00AC7859" w:rsidRPr="00AC7859" w:rsidRDefault="00AC7859" w:rsidP="00E91571">
      <w:pPr>
        <w:spacing w:after="0" w:line="240" w:lineRule="auto"/>
        <w:ind w:right="127"/>
        <w:jc w:val="both"/>
        <w:rPr>
          <w:rFonts w:cs="Arial"/>
          <w:sz w:val="24"/>
          <w:szCs w:val="24"/>
        </w:rPr>
      </w:pPr>
      <w:r w:rsidRPr="00AC7859">
        <w:rPr>
          <w:rFonts w:cs="Arial"/>
          <w:sz w:val="24"/>
          <w:szCs w:val="24"/>
        </w:rPr>
        <w:t>En virtud a las consideraciones anteriormente expuestas, solicitamos a la Honorable Comisión Séptima Constitucional Permanente de la Honorable Cámara de Representantes, dar aprobació</w:t>
      </w:r>
      <w:r w:rsidR="00E91571">
        <w:rPr>
          <w:rFonts w:cs="Arial"/>
          <w:sz w:val="24"/>
          <w:szCs w:val="24"/>
        </w:rPr>
        <w:t>n</w:t>
      </w:r>
      <w:r w:rsidRPr="00AC7859">
        <w:rPr>
          <w:rFonts w:cs="Arial"/>
          <w:sz w:val="24"/>
          <w:szCs w:val="24"/>
        </w:rPr>
        <w:t xml:space="preserve"> </w:t>
      </w:r>
      <w:r w:rsidRPr="00AC7859">
        <w:rPr>
          <w:rFonts w:cs="Arial"/>
          <w:sz w:val="24"/>
          <w:szCs w:val="24"/>
        </w:rPr>
        <w:lastRenderedPageBreak/>
        <w:t>al primer debate del Proyecto de Ley 050 de 2019 Cámara “</w:t>
      </w:r>
      <w:r w:rsidRPr="00AC7859">
        <w:rPr>
          <w:rFonts w:cs="Arial"/>
          <w:i/>
          <w:sz w:val="24"/>
          <w:szCs w:val="24"/>
          <w:lang w:val="es-ES_tradnl"/>
        </w:rPr>
        <w:t>por medio de la cual se adiciona un artículo transitorio a la ley 797 de 2003 y se autoriza el cambio de régimen pensional en virtud del derecho constitucional a la pensión”</w:t>
      </w:r>
      <w:r w:rsidRPr="00AC7859">
        <w:rPr>
          <w:rFonts w:cs="Arial"/>
          <w:i/>
          <w:sz w:val="24"/>
          <w:szCs w:val="24"/>
        </w:rPr>
        <w:t xml:space="preserve">. </w:t>
      </w:r>
      <w:r w:rsidRPr="00AC7859">
        <w:rPr>
          <w:rFonts w:cs="Arial"/>
          <w:sz w:val="24"/>
          <w:szCs w:val="24"/>
        </w:rPr>
        <w:t xml:space="preserve">  </w:t>
      </w:r>
    </w:p>
    <w:p w:rsidR="00AC7859" w:rsidRPr="00AC7859" w:rsidRDefault="00AC7859" w:rsidP="00E91571">
      <w:pPr>
        <w:spacing w:after="0" w:line="240" w:lineRule="auto"/>
        <w:ind w:right="127"/>
        <w:jc w:val="both"/>
        <w:rPr>
          <w:rFonts w:cs="Arial"/>
          <w:sz w:val="24"/>
          <w:szCs w:val="24"/>
        </w:rPr>
      </w:pPr>
    </w:p>
    <w:p w:rsidR="00AC7859" w:rsidRPr="00AC7859" w:rsidRDefault="00AC7859" w:rsidP="00E91571">
      <w:pPr>
        <w:spacing w:after="0" w:line="240" w:lineRule="auto"/>
        <w:ind w:right="127"/>
        <w:jc w:val="both"/>
        <w:rPr>
          <w:rFonts w:cs="Arial"/>
          <w:sz w:val="24"/>
          <w:szCs w:val="24"/>
        </w:rPr>
      </w:pPr>
      <w:r w:rsidRPr="00AC7859">
        <w:rPr>
          <w:rFonts w:cs="Arial"/>
          <w:sz w:val="24"/>
          <w:szCs w:val="24"/>
        </w:rPr>
        <w:t>Cordialmente,</w:t>
      </w:r>
    </w:p>
    <w:p w:rsidR="00AC7859" w:rsidRDefault="00AC7859" w:rsidP="00E91571">
      <w:pPr>
        <w:spacing w:after="0" w:line="240" w:lineRule="auto"/>
        <w:ind w:right="127"/>
        <w:jc w:val="both"/>
        <w:rPr>
          <w:rFonts w:cs="Arial"/>
          <w:sz w:val="24"/>
          <w:szCs w:val="24"/>
        </w:rPr>
      </w:pPr>
    </w:p>
    <w:p w:rsidR="00E91571" w:rsidRDefault="00E91571" w:rsidP="00E91571">
      <w:pPr>
        <w:spacing w:after="0" w:line="240" w:lineRule="auto"/>
        <w:ind w:right="127"/>
        <w:jc w:val="both"/>
        <w:rPr>
          <w:rFonts w:cs="Arial"/>
          <w:sz w:val="24"/>
          <w:szCs w:val="24"/>
        </w:rPr>
      </w:pPr>
    </w:p>
    <w:p w:rsidR="00E91571" w:rsidRPr="00AC7859" w:rsidRDefault="00E91571" w:rsidP="00E91571">
      <w:pPr>
        <w:spacing w:after="0" w:line="240" w:lineRule="auto"/>
        <w:ind w:right="127"/>
        <w:jc w:val="both"/>
        <w:rPr>
          <w:rFonts w:cs="Arial"/>
          <w:sz w:val="24"/>
          <w:szCs w:val="24"/>
        </w:rPr>
      </w:pPr>
    </w:p>
    <w:p w:rsidR="00AC7859" w:rsidRPr="00AC7859" w:rsidRDefault="00AC7859" w:rsidP="00E91571">
      <w:pPr>
        <w:spacing w:after="0" w:line="240" w:lineRule="auto"/>
        <w:jc w:val="both"/>
        <w:rPr>
          <w:rFonts w:cs="Arial"/>
          <w:b/>
          <w:sz w:val="24"/>
          <w:szCs w:val="24"/>
        </w:rPr>
      </w:pPr>
      <w:r w:rsidRPr="00AC7859">
        <w:rPr>
          <w:rFonts w:cs="Arial"/>
          <w:b/>
          <w:sz w:val="24"/>
          <w:szCs w:val="24"/>
        </w:rPr>
        <w:t>MARIA CRISTINA SOTO DE GOMEZ</w:t>
      </w:r>
      <w:r w:rsidRPr="00AC7859">
        <w:rPr>
          <w:rFonts w:cs="Arial"/>
          <w:b/>
          <w:sz w:val="24"/>
          <w:szCs w:val="24"/>
        </w:rPr>
        <w:tab/>
        <w:t xml:space="preserve">        </w:t>
      </w:r>
    </w:p>
    <w:p w:rsidR="00AC7859" w:rsidRPr="00AC7859" w:rsidRDefault="00AC7859" w:rsidP="00E91571">
      <w:pPr>
        <w:spacing w:after="0" w:line="240" w:lineRule="auto"/>
        <w:jc w:val="both"/>
        <w:rPr>
          <w:rFonts w:cs="Arial"/>
          <w:sz w:val="24"/>
          <w:szCs w:val="24"/>
        </w:rPr>
      </w:pPr>
      <w:r w:rsidRPr="00AC7859">
        <w:rPr>
          <w:rFonts w:cs="Arial"/>
          <w:sz w:val="24"/>
          <w:szCs w:val="24"/>
        </w:rPr>
        <w:t>Representante a la cámara</w:t>
      </w:r>
      <w:r w:rsidRPr="00AC7859">
        <w:rPr>
          <w:rFonts w:cs="Arial"/>
          <w:sz w:val="24"/>
          <w:szCs w:val="24"/>
        </w:rPr>
        <w:tab/>
        <w:t xml:space="preserve">                                </w:t>
      </w:r>
    </w:p>
    <w:p w:rsidR="00AC7859" w:rsidRPr="00E91571" w:rsidRDefault="00AC7859" w:rsidP="00E91571">
      <w:pPr>
        <w:spacing w:after="0" w:line="240" w:lineRule="auto"/>
        <w:jc w:val="both"/>
        <w:rPr>
          <w:rFonts w:cs="Arial"/>
          <w:sz w:val="24"/>
          <w:szCs w:val="24"/>
        </w:rPr>
      </w:pPr>
      <w:r w:rsidRPr="00AC7859">
        <w:rPr>
          <w:rFonts w:cs="Arial"/>
          <w:sz w:val="24"/>
          <w:szCs w:val="24"/>
        </w:rPr>
        <w:t xml:space="preserve">Coordinadora Ponente </w:t>
      </w:r>
      <w:r w:rsidRPr="00AC7859">
        <w:rPr>
          <w:rFonts w:cs="Arial"/>
          <w:sz w:val="24"/>
          <w:szCs w:val="24"/>
        </w:rPr>
        <w:tab/>
      </w:r>
      <w:r w:rsidRPr="00AC7859">
        <w:rPr>
          <w:rFonts w:cs="Arial"/>
          <w:sz w:val="24"/>
          <w:szCs w:val="24"/>
        </w:rPr>
        <w:tab/>
      </w:r>
      <w:r w:rsidRPr="00AC7859">
        <w:rPr>
          <w:rFonts w:cs="Arial"/>
          <w:sz w:val="24"/>
          <w:szCs w:val="24"/>
        </w:rPr>
        <w:tab/>
        <w:t xml:space="preserve">        </w:t>
      </w:r>
    </w:p>
    <w:p w:rsidR="00AC7859" w:rsidRDefault="00AC7859" w:rsidP="00E91571">
      <w:pPr>
        <w:adjustRightInd w:val="0"/>
        <w:spacing w:after="0" w:line="240" w:lineRule="auto"/>
        <w:contextualSpacing/>
        <w:jc w:val="both"/>
        <w:textAlignment w:val="center"/>
        <w:rPr>
          <w:rFonts w:eastAsia="Times New Roman"/>
          <w:b/>
          <w:sz w:val="24"/>
          <w:szCs w:val="24"/>
          <w:lang w:val="es-ES_tradnl" w:eastAsia="es-CO"/>
        </w:rPr>
      </w:pPr>
    </w:p>
    <w:p w:rsidR="00E91571" w:rsidRPr="00AC7859" w:rsidRDefault="00E91571" w:rsidP="00E91571">
      <w:pPr>
        <w:adjustRightInd w:val="0"/>
        <w:spacing w:after="0" w:line="240" w:lineRule="auto"/>
        <w:contextualSpacing/>
        <w:jc w:val="both"/>
        <w:textAlignment w:val="center"/>
        <w:rPr>
          <w:rFonts w:eastAsia="Times New Roman"/>
          <w:b/>
          <w:sz w:val="24"/>
          <w:szCs w:val="24"/>
          <w:lang w:val="es-ES_tradnl" w:eastAsia="es-CO"/>
        </w:rPr>
      </w:pPr>
    </w:p>
    <w:p w:rsidR="00AC7859" w:rsidRPr="00AC7859" w:rsidRDefault="00AC7859" w:rsidP="00E91571">
      <w:pPr>
        <w:pStyle w:val="Prrafodelista"/>
        <w:numPr>
          <w:ilvl w:val="0"/>
          <w:numId w:val="2"/>
        </w:numPr>
        <w:adjustRightInd w:val="0"/>
        <w:contextualSpacing/>
        <w:jc w:val="both"/>
        <w:textAlignment w:val="center"/>
        <w:rPr>
          <w:rFonts w:asciiTheme="minorHAnsi" w:eastAsia="Times New Roman" w:hAnsiTheme="minorHAnsi"/>
          <w:b/>
          <w:sz w:val="24"/>
          <w:szCs w:val="24"/>
          <w:lang w:val="es-ES_tradnl" w:eastAsia="es-CO"/>
        </w:rPr>
      </w:pPr>
      <w:r w:rsidRPr="00AC7859">
        <w:rPr>
          <w:rFonts w:asciiTheme="minorHAnsi" w:hAnsiTheme="minorHAnsi"/>
          <w:b/>
          <w:sz w:val="24"/>
          <w:szCs w:val="24"/>
        </w:rPr>
        <w:t>PLIEGO DE MODIFICACIONES.</w:t>
      </w:r>
    </w:p>
    <w:p w:rsidR="00AC7859" w:rsidRPr="00AC7859" w:rsidRDefault="00AC7859" w:rsidP="00E91571">
      <w:pPr>
        <w:adjustRightInd w:val="0"/>
        <w:spacing w:after="0" w:line="240" w:lineRule="auto"/>
        <w:contextualSpacing/>
        <w:jc w:val="both"/>
        <w:textAlignment w:val="center"/>
        <w:rPr>
          <w:b/>
          <w:sz w:val="24"/>
          <w:szCs w:val="24"/>
        </w:rPr>
      </w:pPr>
    </w:p>
    <w:tbl>
      <w:tblPr>
        <w:tblStyle w:val="Tablaconcuadrcula"/>
        <w:tblW w:w="9497" w:type="dxa"/>
        <w:tblInd w:w="279" w:type="dxa"/>
        <w:tblLook w:val="04A0" w:firstRow="1" w:lastRow="0" w:firstColumn="1" w:lastColumn="0" w:noHBand="0" w:noVBand="1"/>
      </w:tblPr>
      <w:tblGrid>
        <w:gridCol w:w="3544"/>
        <w:gridCol w:w="3260"/>
        <w:gridCol w:w="2693"/>
      </w:tblGrid>
      <w:tr w:rsidR="00AC7859" w:rsidRPr="00AC7859" w:rsidTr="0071555C">
        <w:tc>
          <w:tcPr>
            <w:tcW w:w="3544" w:type="dxa"/>
          </w:tcPr>
          <w:p w:rsidR="00AC7859" w:rsidRPr="00AC7859" w:rsidRDefault="00AC7859" w:rsidP="00E91571">
            <w:pPr>
              <w:pStyle w:val="Prrafodelista"/>
              <w:adjustRightInd w:val="0"/>
              <w:ind w:left="0" w:firstLine="0"/>
              <w:contextualSpacing/>
              <w:jc w:val="center"/>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TEXTO RADICADO</w:t>
            </w:r>
          </w:p>
        </w:tc>
        <w:tc>
          <w:tcPr>
            <w:tcW w:w="3260" w:type="dxa"/>
          </w:tcPr>
          <w:p w:rsidR="00AC7859" w:rsidRPr="00AC7859" w:rsidRDefault="00AC7859" w:rsidP="00E91571">
            <w:pPr>
              <w:pStyle w:val="Prrafodelista"/>
              <w:adjustRightInd w:val="0"/>
              <w:ind w:left="0" w:firstLine="0"/>
              <w:contextualSpacing/>
              <w:jc w:val="center"/>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TEXTO PROPUESTO</w:t>
            </w:r>
          </w:p>
        </w:tc>
        <w:tc>
          <w:tcPr>
            <w:tcW w:w="2693" w:type="dxa"/>
          </w:tcPr>
          <w:p w:rsidR="00AC7859" w:rsidRPr="00AC7859" w:rsidRDefault="00AC7859" w:rsidP="00E91571">
            <w:pPr>
              <w:pStyle w:val="Prrafodelista"/>
              <w:adjustRightInd w:val="0"/>
              <w:ind w:left="0" w:firstLine="0"/>
              <w:contextualSpacing/>
              <w:jc w:val="center"/>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JUSTIFICACION</w:t>
            </w:r>
          </w:p>
        </w:tc>
      </w:tr>
      <w:tr w:rsidR="00AC7859" w:rsidRPr="00AC7859" w:rsidTr="0071555C">
        <w:tc>
          <w:tcPr>
            <w:tcW w:w="3544" w:type="dxa"/>
          </w:tcPr>
          <w:p w:rsidR="00AC7859" w:rsidRPr="00AC7859" w:rsidRDefault="00AC7859" w:rsidP="00E91571">
            <w:pPr>
              <w:pStyle w:val="Prrafodelista"/>
              <w:adjustRightInd w:val="0"/>
              <w:ind w:left="18" w:hanging="59"/>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“Por medio del cual se adiciona un artículo transitorio a la ley 797 de 2003 y se autoriza el cambio de régimen pensional en virtud del derecho constitucional a la pensión”</w:t>
            </w:r>
          </w:p>
        </w:tc>
        <w:tc>
          <w:tcPr>
            <w:tcW w:w="3260"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sz w:val="24"/>
                <w:szCs w:val="24"/>
                <w:lang w:val="es-ES_tradnl" w:eastAsia="es-CO"/>
              </w:rPr>
              <w:t xml:space="preserve">“Por </w:t>
            </w:r>
            <w:r w:rsidRPr="00AC7859">
              <w:rPr>
                <w:rFonts w:asciiTheme="minorHAnsi" w:eastAsia="Times New Roman" w:hAnsiTheme="minorHAnsi"/>
                <w:sz w:val="24"/>
                <w:szCs w:val="24"/>
                <w:u w:val="single"/>
                <w:lang w:val="es-ES_tradnl" w:eastAsia="es-CO"/>
              </w:rPr>
              <w:t>la cual se adiciona un parágrafo transitorio al artículo 2 de la Ley 797 de 2003 que modificó el literal e) del artículo 2) de la Ley 100 de 1993”</w:t>
            </w:r>
          </w:p>
        </w:tc>
        <w:tc>
          <w:tcPr>
            <w:tcW w:w="2693"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Por técnica legislativa y para mayor claridad se modifica el título.</w:t>
            </w:r>
          </w:p>
        </w:tc>
      </w:tr>
      <w:tr w:rsidR="00AC7859" w:rsidRPr="00AC7859" w:rsidTr="0071555C">
        <w:tc>
          <w:tcPr>
            <w:tcW w:w="3544" w:type="dxa"/>
          </w:tcPr>
          <w:p w:rsidR="00AC7859" w:rsidRPr="00AC7859" w:rsidRDefault="00AC7859" w:rsidP="00E91571">
            <w:pPr>
              <w:pStyle w:val="Prrafodelista"/>
              <w:adjustRightInd w:val="0"/>
              <w:ind w:left="0" w:hanging="59"/>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 xml:space="preserve">Artículo 1° Transitorio. </w:t>
            </w:r>
            <w:r w:rsidRPr="00AC7859">
              <w:rPr>
                <w:rFonts w:asciiTheme="minorHAnsi" w:eastAsia="Times New Roman" w:hAnsiTheme="minorHAnsi"/>
                <w:sz w:val="24"/>
                <w:szCs w:val="24"/>
                <w:lang w:val="es-ES_tradnl" w:eastAsia="es-CO"/>
              </w:rPr>
              <w:t>Dentro de los seis (6) meses siguientes a la promulgación de la presente ley, se permite el traslado de afiliados entre Fondos de Pensiones, siempre que haya</w:t>
            </w:r>
            <w:bookmarkStart w:id="0" w:name="_GoBack"/>
            <w:bookmarkEnd w:id="0"/>
            <w:r w:rsidRPr="00AC7859">
              <w:rPr>
                <w:rFonts w:asciiTheme="minorHAnsi" w:eastAsia="Times New Roman" w:hAnsiTheme="minorHAnsi"/>
                <w:sz w:val="24"/>
                <w:szCs w:val="24"/>
                <w:lang w:val="es-ES_tradnl" w:eastAsia="es-CO"/>
              </w:rPr>
              <w:t>n cotizado un mínimo de 750 semanas, sean hombres mayores de 52 o mujeres mayores de 50 años.</w:t>
            </w:r>
          </w:p>
        </w:tc>
        <w:tc>
          <w:tcPr>
            <w:tcW w:w="3260"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 xml:space="preserve">Artículo 1° </w:t>
            </w:r>
            <w:r w:rsidRPr="00AC7859">
              <w:rPr>
                <w:rFonts w:asciiTheme="minorHAnsi" w:eastAsia="Times New Roman" w:hAnsiTheme="minorHAnsi"/>
                <w:sz w:val="24"/>
                <w:szCs w:val="24"/>
                <w:u w:val="single"/>
                <w:lang w:val="es-ES_tradnl" w:eastAsia="es-CO"/>
              </w:rPr>
              <w:t>Adiciónese un parágrafo transitorio al artículo 2 de la Ley 797 de 2003 que modificó el literal e) del artículo 2) de la Ley 100 de 1993.</w:t>
            </w:r>
          </w:p>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b/>
                <w:sz w:val="24"/>
                <w:szCs w:val="24"/>
                <w:lang w:val="es-ES_tradnl" w:eastAsia="es-CO"/>
              </w:rPr>
            </w:pPr>
          </w:p>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 xml:space="preserve">Parágrafo transitorio. </w:t>
            </w:r>
            <w:r w:rsidRPr="00AC7859">
              <w:rPr>
                <w:rFonts w:asciiTheme="minorHAnsi" w:eastAsia="Times New Roman" w:hAnsiTheme="minorHAnsi"/>
                <w:sz w:val="24"/>
                <w:szCs w:val="24"/>
                <w:lang w:val="es-ES_tradnl" w:eastAsia="es-CO"/>
              </w:rPr>
              <w:t xml:space="preserve">Dentro de los seis (6) meses siguientes a la promulgación de la presente ley, se permite el traslado de afiliados entre Fondos de Pensiones, siempre que hayan cotizado un mínimo de 750 semanas, sean hombres mayores de 52 </w:t>
            </w:r>
            <w:r w:rsidRPr="00AC7859">
              <w:rPr>
                <w:rFonts w:asciiTheme="minorHAnsi" w:eastAsia="Times New Roman" w:hAnsiTheme="minorHAnsi"/>
                <w:sz w:val="24"/>
                <w:szCs w:val="24"/>
                <w:u w:val="single"/>
                <w:lang w:val="es-ES_tradnl" w:eastAsia="es-CO"/>
              </w:rPr>
              <w:t xml:space="preserve">años </w:t>
            </w:r>
            <w:r w:rsidRPr="00AC7859">
              <w:rPr>
                <w:rFonts w:asciiTheme="minorHAnsi" w:eastAsia="Times New Roman" w:hAnsiTheme="minorHAnsi"/>
                <w:sz w:val="24"/>
                <w:szCs w:val="24"/>
                <w:lang w:val="es-ES_tradnl" w:eastAsia="es-CO"/>
              </w:rPr>
              <w:t xml:space="preserve"> o mujeres mayores de 50 años. </w:t>
            </w:r>
          </w:p>
        </w:tc>
        <w:tc>
          <w:tcPr>
            <w:tcW w:w="2693"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En mejoramiento del proyecto y por técnica legislativa se presenta de forma diferente la propuesta sin cambiar su objeto.</w:t>
            </w:r>
          </w:p>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sz w:val="24"/>
                <w:szCs w:val="24"/>
                <w:lang w:val="es-ES_tradnl" w:eastAsia="es-CO"/>
              </w:rPr>
            </w:pPr>
          </w:p>
        </w:tc>
      </w:tr>
      <w:tr w:rsidR="00AC7859" w:rsidRPr="00AC7859" w:rsidTr="0071555C">
        <w:tc>
          <w:tcPr>
            <w:tcW w:w="3544" w:type="dxa"/>
          </w:tcPr>
          <w:p w:rsidR="00AC7859" w:rsidRPr="00AC7859" w:rsidRDefault="00AC7859" w:rsidP="00E91571">
            <w:pPr>
              <w:pStyle w:val="Prrafodelista"/>
              <w:adjustRightInd w:val="0"/>
              <w:ind w:left="18" w:firstLine="65"/>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lang w:val="es-ES_tradnl" w:eastAsia="es-CO"/>
              </w:rPr>
              <w:t xml:space="preserve">Vigencia. </w:t>
            </w:r>
            <w:r w:rsidRPr="00AC7859">
              <w:rPr>
                <w:rFonts w:asciiTheme="minorHAnsi" w:eastAsia="Times New Roman" w:hAnsiTheme="minorHAnsi"/>
                <w:sz w:val="24"/>
                <w:szCs w:val="24"/>
                <w:lang w:val="es-ES_tradnl" w:eastAsia="es-CO"/>
              </w:rPr>
              <w:t>La presente Ley rige a partir de su promulgación y deroga las disposiciones que le sean contrarias.</w:t>
            </w:r>
          </w:p>
        </w:tc>
        <w:tc>
          <w:tcPr>
            <w:tcW w:w="3260"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b/>
                <w:sz w:val="24"/>
                <w:szCs w:val="24"/>
                <w:lang w:val="es-ES_tradnl" w:eastAsia="es-CO"/>
              </w:rPr>
            </w:pPr>
            <w:r w:rsidRPr="00AC7859">
              <w:rPr>
                <w:rFonts w:asciiTheme="minorHAnsi" w:eastAsia="Times New Roman" w:hAnsiTheme="minorHAnsi"/>
                <w:b/>
                <w:sz w:val="24"/>
                <w:szCs w:val="24"/>
                <w:u w:val="single"/>
                <w:lang w:val="es-ES_tradnl" w:eastAsia="es-CO"/>
              </w:rPr>
              <w:t>Artículo 2°</w:t>
            </w:r>
            <w:r w:rsidRPr="00AC7859">
              <w:rPr>
                <w:rFonts w:asciiTheme="minorHAnsi" w:eastAsia="Times New Roman" w:hAnsiTheme="minorHAnsi"/>
                <w:b/>
                <w:sz w:val="24"/>
                <w:szCs w:val="24"/>
                <w:lang w:val="es-ES_tradnl" w:eastAsia="es-CO"/>
              </w:rPr>
              <w:t xml:space="preserve"> Vigencia. </w:t>
            </w:r>
            <w:r w:rsidRPr="00AC7859">
              <w:rPr>
                <w:rFonts w:asciiTheme="minorHAnsi" w:eastAsia="Times New Roman" w:hAnsiTheme="minorHAnsi"/>
                <w:sz w:val="24"/>
                <w:szCs w:val="24"/>
                <w:lang w:val="es-ES_tradnl" w:eastAsia="es-CO"/>
              </w:rPr>
              <w:t>La presente Ley rige a partir de su promulgación y deroga las disposiciones que le sean contrarias.</w:t>
            </w:r>
          </w:p>
        </w:tc>
        <w:tc>
          <w:tcPr>
            <w:tcW w:w="2693" w:type="dxa"/>
          </w:tcPr>
          <w:p w:rsidR="00AC7859" w:rsidRPr="00AC7859" w:rsidRDefault="00AC7859" w:rsidP="00E91571">
            <w:pPr>
              <w:pStyle w:val="Prrafodelista"/>
              <w:adjustRightInd w:val="0"/>
              <w:ind w:left="0" w:firstLine="0"/>
              <w:contextualSpacing/>
              <w:jc w:val="both"/>
              <w:textAlignment w:val="center"/>
              <w:rPr>
                <w:rFonts w:asciiTheme="minorHAnsi" w:eastAsia="Times New Roman" w:hAnsiTheme="minorHAnsi"/>
                <w:sz w:val="24"/>
                <w:szCs w:val="24"/>
                <w:lang w:val="es-ES_tradnl" w:eastAsia="es-CO"/>
              </w:rPr>
            </w:pPr>
            <w:r w:rsidRPr="00AC7859">
              <w:rPr>
                <w:rFonts w:asciiTheme="minorHAnsi" w:eastAsia="Times New Roman" w:hAnsiTheme="minorHAnsi"/>
                <w:sz w:val="24"/>
                <w:szCs w:val="24"/>
                <w:lang w:val="es-ES_tradnl" w:eastAsia="es-CO"/>
              </w:rPr>
              <w:t xml:space="preserve">Para mayor claridad en la numeración de los artículos del presente proyecto de ley, anexo la palabra </w:t>
            </w:r>
            <w:r w:rsidRPr="00AC7859">
              <w:rPr>
                <w:rFonts w:asciiTheme="minorHAnsi" w:eastAsia="Times New Roman" w:hAnsiTheme="minorHAnsi"/>
                <w:sz w:val="24"/>
                <w:szCs w:val="24"/>
                <w:u w:val="single"/>
                <w:lang w:val="es-ES_tradnl" w:eastAsia="es-CO"/>
              </w:rPr>
              <w:t>Artículo 2°</w:t>
            </w:r>
          </w:p>
        </w:tc>
      </w:tr>
    </w:tbl>
    <w:p w:rsidR="00AC7859" w:rsidRPr="00AC7859" w:rsidRDefault="00AC7859" w:rsidP="00E91571">
      <w:pPr>
        <w:pStyle w:val="Prrafodelista"/>
        <w:adjustRightInd w:val="0"/>
        <w:ind w:left="720" w:firstLine="0"/>
        <w:contextualSpacing/>
        <w:jc w:val="both"/>
        <w:textAlignment w:val="center"/>
        <w:rPr>
          <w:rFonts w:asciiTheme="minorHAnsi" w:eastAsia="Times New Roman" w:hAnsiTheme="minorHAnsi"/>
          <w:b/>
          <w:sz w:val="24"/>
          <w:szCs w:val="24"/>
          <w:lang w:val="es-ES_tradnl" w:eastAsia="es-CO"/>
        </w:rPr>
      </w:pPr>
    </w:p>
    <w:p w:rsidR="00AC7859" w:rsidRPr="00AC7859" w:rsidRDefault="00AC7859" w:rsidP="00AC7859">
      <w:pPr>
        <w:adjustRightInd w:val="0"/>
        <w:spacing w:after="57"/>
        <w:contextualSpacing/>
        <w:textAlignment w:val="center"/>
        <w:rPr>
          <w:rFonts w:eastAsia="Times New Roman" w:cs="Arial"/>
          <w:b/>
          <w:sz w:val="24"/>
          <w:szCs w:val="24"/>
          <w:lang w:eastAsia="es-CO"/>
        </w:rPr>
      </w:pPr>
    </w:p>
    <w:p w:rsidR="00AC7859" w:rsidRPr="00AC7859" w:rsidRDefault="00AC7859" w:rsidP="00AC7859">
      <w:pPr>
        <w:pStyle w:val="Prrafodelista"/>
        <w:numPr>
          <w:ilvl w:val="0"/>
          <w:numId w:val="2"/>
        </w:numPr>
        <w:adjustRightInd w:val="0"/>
        <w:spacing w:after="57"/>
        <w:contextualSpacing/>
        <w:textAlignment w:val="center"/>
        <w:rPr>
          <w:rFonts w:asciiTheme="minorHAnsi" w:eastAsia="Times New Roman" w:hAnsiTheme="minorHAnsi"/>
          <w:b/>
          <w:bCs/>
          <w:sz w:val="24"/>
          <w:szCs w:val="24"/>
          <w:lang w:val="es-CO" w:eastAsia="es-CO"/>
        </w:rPr>
      </w:pPr>
      <w:r w:rsidRPr="00AC7859">
        <w:rPr>
          <w:rFonts w:asciiTheme="minorHAnsi" w:eastAsia="Times New Roman" w:hAnsiTheme="minorHAnsi"/>
          <w:b/>
          <w:sz w:val="24"/>
          <w:szCs w:val="24"/>
          <w:lang w:val="es-ES_tradnl" w:eastAsia="es-CO"/>
        </w:rPr>
        <w:t xml:space="preserve">TEXTO PROPUESTO PARA PRIMER DEBATE EN CÁMARA </w:t>
      </w:r>
    </w:p>
    <w:p w:rsidR="00AC7859" w:rsidRPr="00AC7859" w:rsidRDefault="00AC7859" w:rsidP="00AC7859">
      <w:pPr>
        <w:adjustRightInd w:val="0"/>
        <w:spacing w:after="57"/>
        <w:contextualSpacing/>
        <w:jc w:val="center"/>
        <w:textAlignment w:val="center"/>
        <w:rPr>
          <w:rFonts w:eastAsia="Times New Roman"/>
          <w:b/>
          <w:sz w:val="24"/>
          <w:szCs w:val="24"/>
          <w:lang w:val="es-ES_tradnl" w:eastAsia="es-CO"/>
        </w:rPr>
      </w:pPr>
    </w:p>
    <w:p w:rsidR="00AC7859" w:rsidRPr="00AC7859" w:rsidRDefault="00AC7859" w:rsidP="00AC7859">
      <w:pPr>
        <w:adjustRightInd w:val="0"/>
        <w:spacing w:after="57"/>
        <w:contextualSpacing/>
        <w:jc w:val="center"/>
        <w:textAlignment w:val="center"/>
        <w:rPr>
          <w:rFonts w:eastAsia="Times New Roman"/>
          <w:b/>
          <w:bCs/>
          <w:sz w:val="24"/>
          <w:szCs w:val="24"/>
          <w:lang w:eastAsia="es-CO"/>
        </w:rPr>
      </w:pPr>
      <w:r w:rsidRPr="00AC7859">
        <w:rPr>
          <w:rFonts w:eastAsia="Times New Roman" w:cs="Arial"/>
          <w:b/>
          <w:sz w:val="24"/>
          <w:szCs w:val="24"/>
          <w:lang w:val="es-ES_tradnl" w:eastAsia="es-CO"/>
        </w:rPr>
        <w:t>“POR LA CUAL SE ADICIONA UN PARÁGRAFO TRANSITORIO AL ARTÍCULO 2 DE LA LEY 797 DE 2003 QUE MODIFICÓ EL LITERAL E) DEL ARTÍCULO 2) DE LA LEY 100 DE 1993”</w:t>
      </w:r>
    </w:p>
    <w:p w:rsidR="00AC7859" w:rsidRPr="00AC7859" w:rsidRDefault="00AC7859" w:rsidP="00AC7859">
      <w:pPr>
        <w:adjustRightInd w:val="0"/>
        <w:spacing w:after="57" w:line="276" w:lineRule="auto"/>
        <w:contextualSpacing/>
        <w:jc w:val="both"/>
        <w:textAlignment w:val="center"/>
        <w:rPr>
          <w:rFonts w:eastAsia="Times New Roman" w:cs="Arial"/>
          <w:sz w:val="24"/>
          <w:szCs w:val="24"/>
          <w:lang w:val="es-ES_tradnl" w:eastAsia="es-CO"/>
        </w:rPr>
      </w:pPr>
    </w:p>
    <w:p w:rsidR="00AC7859" w:rsidRPr="00AC7859" w:rsidRDefault="00AC7859" w:rsidP="00AC7859">
      <w:pPr>
        <w:adjustRightInd w:val="0"/>
        <w:spacing w:after="57" w:line="276" w:lineRule="auto"/>
        <w:contextualSpacing/>
        <w:jc w:val="center"/>
        <w:textAlignment w:val="center"/>
        <w:rPr>
          <w:rFonts w:eastAsia="Times New Roman" w:cs="Arial"/>
          <w:sz w:val="24"/>
          <w:szCs w:val="24"/>
          <w:lang w:val="es-ES_tradnl" w:eastAsia="es-CO"/>
        </w:rPr>
      </w:pPr>
      <w:r w:rsidRPr="00AC7859">
        <w:rPr>
          <w:rFonts w:eastAsia="Times New Roman" w:cs="Arial"/>
          <w:sz w:val="24"/>
          <w:szCs w:val="24"/>
          <w:lang w:val="es-ES_tradnl" w:eastAsia="es-CO"/>
        </w:rPr>
        <w:t>EL CONGRESO DE LA REPÚBLICA</w:t>
      </w:r>
    </w:p>
    <w:p w:rsidR="00AC7859" w:rsidRPr="00AC7859" w:rsidRDefault="00AC7859" w:rsidP="00AC7859">
      <w:pPr>
        <w:adjustRightInd w:val="0"/>
        <w:spacing w:after="57" w:line="276" w:lineRule="auto"/>
        <w:contextualSpacing/>
        <w:jc w:val="center"/>
        <w:textAlignment w:val="center"/>
        <w:rPr>
          <w:rFonts w:eastAsia="Times New Roman" w:cs="Arial"/>
          <w:sz w:val="24"/>
          <w:szCs w:val="24"/>
          <w:lang w:eastAsia="es-CO"/>
        </w:rPr>
      </w:pPr>
      <w:r w:rsidRPr="00AC7859">
        <w:rPr>
          <w:rFonts w:eastAsia="Times New Roman" w:cs="Arial"/>
          <w:sz w:val="24"/>
          <w:szCs w:val="24"/>
          <w:lang w:eastAsia="es-CO"/>
        </w:rPr>
        <w:t>DECRETA</w:t>
      </w:r>
    </w:p>
    <w:p w:rsidR="00AC7859" w:rsidRPr="00AC7859" w:rsidRDefault="00AC7859" w:rsidP="00AC7859">
      <w:pPr>
        <w:adjustRightInd w:val="0"/>
        <w:spacing w:after="57" w:line="276" w:lineRule="auto"/>
        <w:contextualSpacing/>
        <w:jc w:val="center"/>
        <w:textAlignment w:val="center"/>
        <w:rPr>
          <w:rFonts w:eastAsia="Times New Roman" w:cs="Arial"/>
          <w:b/>
          <w:sz w:val="24"/>
          <w:szCs w:val="24"/>
          <w:lang w:val="es-ES_tradnl"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r w:rsidRPr="00AC7859">
        <w:rPr>
          <w:rFonts w:eastAsia="Times New Roman" w:cs="Arial"/>
          <w:b/>
          <w:sz w:val="24"/>
          <w:szCs w:val="24"/>
          <w:lang w:val="es-ES_tradnl" w:eastAsia="es-CO"/>
        </w:rPr>
        <w:t>Artículo 1°</w:t>
      </w:r>
      <w:r w:rsidRPr="00AC7859">
        <w:rPr>
          <w:rFonts w:eastAsia="Times New Roman" w:cs="Arial"/>
          <w:sz w:val="24"/>
          <w:szCs w:val="24"/>
          <w:lang w:val="es-ES_tradnl" w:eastAsia="es-CO"/>
        </w:rPr>
        <w:t xml:space="preserve"> Adiciónese un parágrafo transitorio al artículo 2 de la Ley 797 de 2003 que modificó el literal e) del artículo 2) de la Ley 100 de 1993.</w:t>
      </w: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r w:rsidRPr="00E91571">
        <w:rPr>
          <w:rFonts w:eastAsia="Times New Roman" w:cs="Arial"/>
          <w:b/>
          <w:sz w:val="24"/>
          <w:szCs w:val="24"/>
          <w:lang w:val="es-ES_tradnl" w:eastAsia="es-CO"/>
        </w:rPr>
        <w:t>Parágrafo transitorio</w:t>
      </w:r>
      <w:r w:rsidRPr="00AC7859">
        <w:rPr>
          <w:rFonts w:eastAsia="Times New Roman" w:cs="Arial"/>
          <w:sz w:val="24"/>
          <w:szCs w:val="24"/>
          <w:lang w:val="es-ES_tradnl" w:eastAsia="es-CO"/>
        </w:rPr>
        <w:t xml:space="preserve">. Dentro de los seis (6) meses siguientes a la promulgación de la presente ley, se permite el traslado de afiliados entre Fondos de Pensiones, siempre que hayan cotizado un mínimo de 750 semanas, </w:t>
      </w:r>
      <w:r w:rsidR="00E91571">
        <w:rPr>
          <w:rFonts w:eastAsia="Times New Roman" w:cs="Arial"/>
          <w:sz w:val="24"/>
          <w:szCs w:val="24"/>
          <w:lang w:val="es-ES_tradnl" w:eastAsia="es-CO"/>
        </w:rPr>
        <w:t>sean hombres mayores de 52 años</w:t>
      </w:r>
      <w:r w:rsidRPr="00AC7859">
        <w:rPr>
          <w:rFonts w:eastAsia="Times New Roman" w:cs="Arial"/>
          <w:sz w:val="24"/>
          <w:szCs w:val="24"/>
          <w:lang w:val="es-ES_tradnl" w:eastAsia="es-CO"/>
        </w:rPr>
        <w:t xml:space="preserve"> o mujeres mayores de 50 años.</w:t>
      </w: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r w:rsidRPr="00AC7859">
        <w:rPr>
          <w:rFonts w:eastAsia="Times New Roman" w:cs="Arial"/>
          <w:b/>
          <w:sz w:val="24"/>
          <w:szCs w:val="24"/>
          <w:lang w:val="es-ES_tradnl" w:eastAsia="es-CO"/>
        </w:rPr>
        <w:t>Artículo 2°</w:t>
      </w:r>
      <w:r w:rsidRPr="00AC7859">
        <w:rPr>
          <w:rFonts w:eastAsia="Times New Roman"/>
          <w:b/>
          <w:sz w:val="24"/>
          <w:szCs w:val="24"/>
          <w:lang w:val="es-ES_tradnl" w:eastAsia="es-CO"/>
        </w:rPr>
        <w:t xml:space="preserve">  </w:t>
      </w:r>
      <w:r w:rsidRPr="00AC7859">
        <w:rPr>
          <w:rFonts w:eastAsia="Times New Roman" w:cs="Arial"/>
          <w:b/>
          <w:sz w:val="24"/>
          <w:szCs w:val="24"/>
          <w:lang w:val="es-ES_tradnl" w:eastAsia="es-CO"/>
        </w:rPr>
        <w:t xml:space="preserve">Vigencia. </w:t>
      </w:r>
      <w:r w:rsidRPr="00AC7859">
        <w:rPr>
          <w:rFonts w:eastAsia="Times New Roman" w:cs="Arial"/>
          <w:sz w:val="24"/>
          <w:szCs w:val="24"/>
          <w:lang w:val="es-ES_tradnl" w:eastAsia="es-CO"/>
        </w:rPr>
        <w:t>La presente Ley rige a partir de su promulgación y deroga las disposiciones que le sean contrarias.</w:t>
      </w: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r w:rsidRPr="00AC7859">
        <w:rPr>
          <w:rFonts w:eastAsia="Times New Roman" w:cs="Arial"/>
          <w:b/>
          <w:sz w:val="24"/>
          <w:szCs w:val="24"/>
          <w:lang w:eastAsia="es-CO"/>
        </w:rPr>
        <w:t>MARIA CRISTINA SOTO DE GOMEZ</w:t>
      </w:r>
      <w:r w:rsidRPr="00AC7859">
        <w:rPr>
          <w:rFonts w:eastAsia="Times New Roman" w:cs="Arial"/>
          <w:sz w:val="24"/>
          <w:szCs w:val="24"/>
          <w:lang w:eastAsia="es-CO"/>
        </w:rPr>
        <w:t xml:space="preserve"> </w:t>
      </w:r>
      <w:r w:rsidRPr="00AC7859">
        <w:rPr>
          <w:rFonts w:eastAsia="Times New Roman" w:cs="Arial"/>
          <w:sz w:val="24"/>
          <w:szCs w:val="24"/>
          <w:lang w:eastAsia="es-CO"/>
        </w:rPr>
        <w:tab/>
      </w:r>
      <w:r w:rsidRPr="00AC7859">
        <w:rPr>
          <w:rFonts w:eastAsia="Times New Roman" w:cs="Arial"/>
          <w:b/>
          <w:sz w:val="24"/>
          <w:szCs w:val="24"/>
          <w:lang w:eastAsia="es-CO"/>
        </w:rPr>
        <w:t xml:space="preserve">       </w:t>
      </w: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r w:rsidRPr="00AC7859">
        <w:rPr>
          <w:rFonts w:eastAsia="Times New Roman" w:cs="Arial"/>
          <w:sz w:val="24"/>
          <w:szCs w:val="24"/>
          <w:lang w:eastAsia="es-CO"/>
        </w:rPr>
        <w:t xml:space="preserve">Representante a la Cámara  </w:t>
      </w:r>
      <w:r w:rsidRPr="00AC7859">
        <w:rPr>
          <w:rFonts w:eastAsia="Times New Roman" w:cs="Arial"/>
          <w:sz w:val="24"/>
          <w:szCs w:val="24"/>
          <w:lang w:eastAsia="es-CO"/>
        </w:rPr>
        <w:tab/>
        <w:t xml:space="preserve">                  </w:t>
      </w: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r w:rsidRPr="00AC7859">
        <w:rPr>
          <w:rFonts w:eastAsia="Times New Roman" w:cs="Arial"/>
          <w:sz w:val="24"/>
          <w:szCs w:val="24"/>
          <w:lang w:eastAsia="es-CO"/>
        </w:rPr>
        <w:t>Coordinadora Ponente</w:t>
      </w: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eastAsia="es-CO"/>
        </w:rPr>
      </w:pPr>
    </w:p>
    <w:p w:rsidR="00AC7859" w:rsidRPr="00AC7859" w:rsidRDefault="00AC7859" w:rsidP="00AC7859">
      <w:pPr>
        <w:adjustRightInd w:val="0"/>
        <w:spacing w:after="57" w:line="276" w:lineRule="auto"/>
        <w:contextualSpacing/>
        <w:textAlignment w:val="center"/>
        <w:rPr>
          <w:rFonts w:eastAsia="Times New Roman" w:cs="Arial"/>
          <w:sz w:val="24"/>
          <w:szCs w:val="24"/>
          <w:lang w:val="es-ES_tradnl" w:eastAsia="es-CO"/>
        </w:rPr>
      </w:pPr>
    </w:p>
    <w:p w:rsidR="008D261D" w:rsidRPr="00AC7859" w:rsidRDefault="008D261D">
      <w:pPr>
        <w:rPr>
          <w:sz w:val="24"/>
          <w:szCs w:val="24"/>
        </w:rPr>
      </w:pPr>
    </w:p>
    <w:sectPr w:rsidR="008D261D" w:rsidRPr="00AC7859" w:rsidSect="00583192">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F03" w:rsidRDefault="005F2F03" w:rsidP="00AC7859">
      <w:pPr>
        <w:spacing w:after="0" w:line="240" w:lineRule="auto"/>
      </w:pPr>
      <w:r>
        <w:separator/>
      </w:r>
    </w:p>
  </w:endnote>
  <w:endnote w:type="continuationSeparator" w:id="0">
    <w:p w:rsidR="005F2F03" w:rsidRDefault="005F2F03"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FF" w:rsidRDefault="005F2F03" w:rsidP="007601FF">
    <w:pPr>
      <w:pStyle w:val="Piedepgina"/>
      <w:jc w:val="center"/>
    </w:pPr>
    <w:r>
      <w:rPr>
        <w:noProof/>
        <w:lang w:eastAsia="es-CO"/>
      </w:rPr>
      <w:drawing>
        <wp:inline distT="0" distB="0" distL="0" distR="0" wp14:anchorId="69A27C89" wp14:editId="199094B9">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rsidR="007601FF" w:rsidRPr="007601FF" w:rsidRDefault="005F2F03" w:rsidP="007601FF">
    <w:pPr>
      <w:pStyle w:val="Piedepgina"/>
      <w:jc w:val="center"/>
    </w:pPr>
  </w:p>
  <w:p w:rsidR="007601FF" w:rsidRDefault="005F2F03" w:rsidP="007601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F03" w:rsidRDefault="005F2F03" w:rsidP="00AC7859">
      <w:pPr>
        <w:spacing w:after="0" w:line="240" w:lineRule="auto"/>
      </w:pPr>
      <w:r>
        <w:separator/>
      </w:r>
    </w:p>
  </w:footnote>
  <w:footnote w:type="continuationSeparator" w:id="0">
    <w:p w:rsidR="005F2F03" w:rsidRDefault="005F2F03" w:rsidP="00AC7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FF" w:rsidRDefault="005F2F03" w:rsidP="003D1ADC">
    <w:pPr>
      <w:pStyle w:val="Encabezado"/>
      <w:tabs>
        <w:tab w:val="clear" w:pos="4419"/>
        <w:tab w:val="clear" w:pos="8838"/>
        <w:tab w:val="left" w:pos="2430"/>
      </w:tabs>
      <w:jc w:val="center"/>
    </w:pPr>
    <w:r>
      <w:rPr>
        <w:noProof/>
        <w:lang w:eastAsia="es-CO"/>
      </w:rPr>
      <w:drawing>
        <wp:anchor distT="0" distB="0" distL="0" distR="0" simplePos="0" relativeHeight="251659264" behindDoc="1" locked="0" layoutInCell="1" allowOverlap="1" wp14:anchorId="003577E7" wp14:editId="1E457C10">
          <wp:simplePos x="0" y="0"/>
          <wp:positionH relativeFrom="page">
            <wp:posOffset>3168713</wp:posOffset>
          </wp:positionH>
          <wp:positionV relativeFrom="page">
            <wp:posOffset>271604</wp:posOffset>
          </wp:positionV>
          <wp:extent cx="2728666" cy="570368"/>
          <wp:effectExtent l="0" t="0" r="1905" b="1270"/>
          <wp:wrapNone/>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979" cy="5735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1D7A0A"/>
    <w:rsid w:val="002744B0"/>
    <w:rsid w:val="005F2F03"/>
    <w:rsid w:val="007B7C1E"/>
    <w:rsid w:val="008D261D"/>
    <w:rsid w:val="00AC7859"/>
    <w:rsid w:val="00C34DA8"/>
    <w:rsid w:val="00E91571"/>
    <w:rsid w:val="00EE0578"/>
    <w:rsid w:val="00F11808"/>
    <w:rsid w:val="00F755C9"/>
    <w:rsid w:val="00F96B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00_1993_pr0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BBE0-A34B-43D1-AA5A-836A3A25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4293</Words>
  <Characters>23613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Jose Garcia Brito.HR Maria Cristina Soto De Gomez</cp:lastModifiedBy>
  <cp:revision>2</cp:revision>
  <cp:lastPrinted>2019-10-01T16:20:00Z</cp:lastPrinted>
  <dcterms:created xsi:type="dcterms:W3CDTF">2019-10-01T16:23:00Z</dcterms:created>
  <dcterms:modified xsi:type="dcterms:W3CDTF">2019-10-01T16:23:00Z</dcterms:modified>
</cp:coreProperties>
</file>