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5F2C9B" w:rsidRDefault="002717D1" w:rsidP="004B0683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 w:rsidR="00E10459">
        <w:rPr>
          <w:rFonts w:ascii="Edwardian Script ITC" w:hAnsi="Edwardian Script ITC" w:cs="Monotype Corsiva"/>
          <w:b/>
          <w:bCs/>
          <w:sz w:val="36"/>
          <w:szCs w:val="36"/>
        </w:rPr>
        <w:t>8</w:t>
      </w: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-201</w:t>
      </w:r>
      <w:r w:rsidR="00E10459">
        <w:rPr>
          <w:rFonts w:ascii="Edwardian Script ITC" w:hAnsi="Edwardian Script ITC" w:cs="Monotype Corsiva"/>
          <w:b/>
          <w:bCs/>
          <w:sz w:val="36"/>
          <w:szCs w:val="36"/>
        </w:rPr>
        <w:t>9</w:t>
      </w:r>
    </w:p>
    <w:p w:rsidR="00A769D4" w:rsidRDefault="00A769D4" w:rsidP="003E193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193F" w:rsidRPr="00EF6A7F" w:rsidRDefault="002717D1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  <w:r w:rsidRPr="00207968">
        <w:rPr>
          <w:rFonts w:ascii="Arial" w:hAnsi="Arial" w:cs="Arial"/>
          <w:b/>
          <w:bCs/>
        </w:rPr>
        <w:t>TEXTO DEFINITIVO APROBADO EN PRI</w:t>
      </w:r>
      <w:r w:rsidR="005D3575" w:rsidRPr="00207968">
        <w:rPr>
          <w:rFonts w:ascii="Arial" w:hAnsi="Arial" w:cs="Arial"/>
          <w:b/>
          <w:bCs/>
        </w:rPr>
        <w:t xml:space="preserve">MER DEBATE </w:t>
      </w:r>
      <w:r w:rsidR="007B03BB" w:rsidRPr="00207968">
        <w:rPr>
          <w:rFonts w:ascii="Arial" w:hAnsi="Arial" w:cs="Arial"/>
          <w:b/>
          <w:bCs/>
        </w:rPr>
        <w:t>DE</w:t>
      </w:r>
      <w:r w:rsidR="005D3575" w:rsidRPr="00207968">
        <w:rPr>
          <w:rFonts w:ascii="Arial" w:hAnsi="Arial" w:cs="Arial"/>
          <w:b/>
          <w:bCs/>
        </w:rPr>
        <w:t xml:space="preserve">L PROYECTO DE LEY </w:t>
      </w:r>
      <w:r w:rsidR="00667394">
        <w:rPr>
          <w:rFonts w:ascii="Arial" w:hAnsi="Arial" w:cs="Arial"/>
          <w:b/>
        </w:rPr>
        <w:t>No.</w:t>
      </w:r>
      <w:r w:rsidR="00667394" w:rsidRPr="00667394">
        <w:rPr>
          <w:rFonts w:ascii="Arial" w:hAnsi="Arial" w:cs="Arial"/>
          <w:b/>
        </w:rPr>
        <w:t xml:space="preserve"> </w:t>
      </w:r>
      <w:r w:rsidR="00EF6A7F">
        <w:rPr>
          <w:rFonts w:ascii="Arial" w:hAnsi="Arial" w:cs="Arial"/>
          <w:b/>
        </w:rPr>
        <w:t>126</w:t>
      </w:r>
      <w:r w:rsidR="00667394" w:rsidRPr="00667394">
        <w:rPr>
          <w:rFonts w:ascii="Arial" w:hAnsi="Arial" w:cs="Arial"/>
          <w:b/>
        </w:rPr>
        <w:t xml:space="preserve"> DE 2019 CÁMARA </w:t>
      </w:r>
      <w:r w:rsidR="00EF6A7F" w:rsidRPr="00EF6A7F">
        <w:rPr>
          <w:rFonts w:ascii="Arial" w:hAnsi="Arial" w:cs="Arial"/>
          <w:b/>
        </w:rPr>
        <w:t>“</w:t>
      </w:r>
      <w:r w:rsidR="00EF6A7F" w:rsidRPr="00EF6A7F">
        <w:rPr>
          <w:rFonts w:ascii="Arial" w:eastAsia="Arial Unicode MS" w:hAnsi="Arial" w:cs="Arial"/>
          <w:b/>
          <w:bCs/>
          <w:lang w:eastAsia="es-CO"/>
        </w:rPr>
        <w:t>POR MEDIO DE LA CUAL SE MODIFICA Y ADICIONA LA LEY 1361 DE 2009 Y SE DICTAN OTRAS DISPOSICIONES</w:t>
      </w:r>
      <w:r w:rsidR="00EF6A7F" w:rsidRPr="00EF6A7F">
        <w:rPr>
          <w:rFonts w:ascii="Arial" w:hAnsi="Arial" w:cs="Arial"/>
          <w:b/>
        </w:rPr>
        <w:t>”</w:t>
      </w:r>
      <w:r w:rsidR="00EF6A7F" w:rsidRPr="00EF6A7F">
        <w:rPr>
          <w:b/>
        </w:rPr>
        <w:t>.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</w:rPr>
      </w:pPr>
    </w:p>
    <w:p w:rsidR="002717D1" w:rsidRPr="00207968" w:rsidRDefault="002717D1" w:rsidP="00CE617B">
      <w:pPr>
        <w:pStyle w:val="Sinespaciado"/>
        <w:jc w:val="center"/>
        <w:rPr>
          <w:rFonts w:ascii="Arial" w:hAnsi="Arial" w:cs="Arial"/>
        </w:rPr>
      </w:pPr>
      <w:r w:rsidRPr="00207968">
        <w:rPr>
          <w:rFonts w:ascii="Arial" w:hAnsi="Arial" w:cs="Arial"/>
        </w:rPr>
        <w:t xml:space="preserve">(Aprobado en la </w:t>
      </w:r>
      <w:r w:rsidR="006B757E" w:rsidRPr="00207968">
        <w:rPr>
          <w:rFonts w:ascii="Arial" w:hAnsi="Arial" w:cs="Arial"/>
        </w:rPr>
        <w:t>Sesión</w:t>
      </w:r>
      <w:r w:rsidR="00282D98">
        <w:rPr>
          <w:rFonts w:ascii="Arial" w:hAnsi="Arial" w:cs="Arial"/>
        </w:rPr>
        <w:t xml:space="preserve"> virtual </w:t>
      </w:r>
      <w:r w:rsidRPr="00207968">
        <w:rPr>
          <w:rFonts w:ascii="Arial" w:hAnsi="Arial" w:cs="Arial"/>
        </w:rPr>
        <w:t>de</w:t>
      </w:r>
      <w:r w:rsidR="006B757E" w:rsidRPr="00207968">
        <w:rPr>
          <w:rFonts w:ascii="Arial" w:hAnsi="Arial" w:cs="Arial"/>
        </w:rPr>
        <w:t xml:space="preserve">l </w:t>
      </w:r>
      <w:r w:rsidR="00DB5BF8" w:rsidRPr="00207968">
        <w:rPr>
          <w:rFonts w:ascii="Arial" w:hAnsi="Arial" w:cs="Arial"/>
        </w:rPr>
        <w:t>1</w:t>
      </w:r>
      <w:r w:rsidR="00EF6A7F">
        <w:rPr>
          <w:rFonts w:ascii="Arial" w:hAnsi="Arial" w:cs="Arial"/>
        </w:rPr>
        <w:t>8</w:t>
      </w:r>
      <w:r w:rsidRPr="00207968">
        <w:rPr>
          <w:rFonts w:ascii="Arial" w:hAnsi="Arial" w:cs="Arial"/>
        </w:rPr>
        <w:t xml:space="preserve"> de </w:t>
      </w:r>
      <w:r w:rsidR="00282D98">
        <w:rPr>
          <w:rFonts w:ascii="Arial" w:hAnsi="Arial" w:cs="Arial"/>
        </w:rPr>
        <w:t>mayo</w:t>
      </w:r>
      <w:r w:rsidR="00DB5BF8" w:rsidRPr="00207968">
        <w:rPr>
          <w:rFonts w:ascii="Arial" w:hAnsi="Arial" w:cs="Arial"/>
        </w:rPr>
        <w:t xml:space="preserve"> </w:t>
      </w:r>
      <w:r w:rsidRPr="00207968">
        <w:rPr>
          <w:rFonts w:ascii="Arial" w:hAnsi="Arial" w:cs="Arial"/>
        </w:rPr>
        <w:t>de 20</w:t>
      </w:r>
      <w:r w:rsidR="00282D98">
        <w:rPr>
          <w:rFonts w:ascii="Arial" w:hAnsi="Arial" w:cs="Arial"/>
        </w:rPr>
        <w:t>20,</w:t>
      </w:r>
      <w:r w:rsidRPr="00207968">
        <w:rPr>
          <w:rFonts w:ascii="Arial" w:hAnsi="Arial" w:cs="Arial"/>
        </w:rPr>
        <w:t xml:space="preserve"> Comisión VII </w:t>
      </w:r>
      <w:r w:rsidR="00282D98">
        <w:rPr>
          <w:rFonts w:ascii="Arial" w:hAnsi="Arial" w:cs="Arial"/>
        </w:rPr>
        <w:t xml:space="preserve">Constitucional Permanente </w:t>
      </w:r>
      <w:r w:rsidRPr="00207968">
        <w:rPr>
          <w:rFonts w:ascii="Arial" w:hAnsi="Arial" w:cs="Arial"/>
        </w:rPr>
        <w:t>de la H. Cámara de Representantes, Acta No.</w:t>
      </w:r>
      <w:r w:rsidR="006B757E" w:rsidRPr="00207968">
        <w:rPr>
          <w:rFonts w:ascii="Arial" w:hAnsi="Arial" w:cs="Arial"/>
        </w:rPr>
        <w:t xml:space="preserve"> </w:t>
      </w:r>
      <w:r w:rsidR="00282D98">
        <w:rPr>
          <w:rFonts w:ascii="Arial" w:hAnsi="Arial" w:cs="Arial"/>
        </w:rPr>
        <w:t>3</w:t>
      </w:r>
      <w:r w:rsidR="00EF6A7F">
        <w:rPr>
          <w:rFonts w:ascii="Arial" w:hAnsi="Arial" w:cs="Arial"/>
        </w:rPr>
        <w:t>9</w:t>
      </w:r>
      <w:r w:rsidRPr="00207968">
        <w:rPr>
          <w:rFonts w:ascii="Arial" w:hAnsi="Arial" w:cs="Arial"/>
        </w:rPr>
        <w:t>)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  <w:b/>
        </w:rPr>
      </w:pPr>
    </w:p>
    <w:p w:rsidR="001C7B89" w:rsidRPr="00207968" w:rsidRDefault="001C7B89" w:rsidP="00CE617B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EL CONGRESO DE COLOMBIA</w:t>
      </w:r>
    </w:p>
    <w:p w:rsidR="00CE617B" w:rsidRPr="00207968" w:rsidRDefault="00CE617B" w:rsidP="00CE617B">
      <w:pPr>
        <w:pStyle w:val="Sinespaciado"/>
        <w:jc w:val="center"/>
        <w:rPr>
          <w:rFonts w:ascii="Arial" w:hAnsi="Arial" w:cs="Arial"/>
          <w:b/>
        </w:rPr>
      </w:pPr>
    </w:p>
    <w:p w:rsidR="00EA48F0" w:rsidRPr="00207968" w:rsidRDefault="00EA48F0" w:rsidP="00EA48F0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DECRETA:</w:t>
      </w:r>
    </w:p>
    <w:p w:rsidR="00EA48F0" w:rsidRDefault="00EA48F0" w:rsidP="00EA48F0">
      <w:pPr>
        <w:pStyle w:val="Sinespaciado"/>
        <w:jc w:val="both"/>
        <w:rPr>
          <w:rFonts w:ascii="Arial" w:hAnsi="Arial" w:cs="Arial"/>
          <w:highlight w:val="yellow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/>
          <w:bCs/>
          <w:lang w:val="es-VE" w:eastAsia="es-CO"/>
        </w:rPr>
        <w:t xml:space="preserve">ARTICULO 1°: </w:t>
      </w:r>
      <w:r w:rsidRPr="00872FEB">
        <w:rPr>
          <w:rFonts w:ascii="Arial" w:eastAsia="Arial Unicode MS" w:hAnsi="Arial" w:cs="Arial"/>
          <w:bCs/>
          <w:lang w:val="es-VE" w:eastAsia="es-CO"/>
        </w:rPr>
        <w:t>Adiciónese el artículo 6° de la Ley 1361 de 2009, modificado por la Ley 1857 de 2017 el cual quedaría así: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/>
          <w:bCs/>
          <w:lang w:val="es-VE" w:eastAsia="es-CO"/>
        </w:rPr>
        <w:t xml:space="preserve">ARTÍCULO 6o. DÍA NACIONAL DE LA FAMILIA. </w:t>
      </w:r>
      <w:r w:rsidRPr="00872FEB">
        <w:rPr>
          <w:rFonts w:ascii="Arial" w:eastAsia="Arial Unicode MS" w:hAnsi="Arial" w:cs="Arial"/>
          <w:bCs/>
          <w:lang w:val="es-VE" w:eastAsia="es-CO"/>
        </w:rPr>
        <w:t>Declárese el 15 de mayo de cada año, como el “Día Nacional de la Familia”.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Cs/>
          <w:lang w:val="es-VE" w:eastAsia="es-CO"/>
        </w:rPr>
        <w:t>El Día de la Familia será también el “Día sin Redes”, para lo cual los operadores de telecomunicaciones de internet y telefonía móvil en cumplimiento a la función social que les asiste, promoverán mensajes que durante ese día inviten a los usuarios a un uso responsable de todos los medios digitales, adviertan los riesgos que conllevan y a dedicarle tiempo de calidad, a los miembros de su familia.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Cs/>
          <w:lang w:val="es-VE" w:eastAsia="es-CO"/>
        </w:rPr>
        <w:t>La Autoridad Nacional de Televisión destinará espacios institucionales para que las entidades responsables de la coordinación de la celebración del Día de la Familia y los operadores de telecomunicaciones de internet y telefonía móvil puedan desarrollar campañas pedagógicas que realcen el valor de la familia como núcleo fundamental de la sociedad y la importancia del diálogo presencial e intergeneracional entre los miembros de la familia. Estos espacios se asignarán durante los 15 días antes a la celebración de este día.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Cs/>
          <w:lang w:val="es-VE" w:eastAsia="es-CO"/>
        </w:rPr>
        <w:t>Declárese el 26 de septiembre de cada año, como el “Día Nacional de la Familia múltiple”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Cs/>
          <w:lang w:val="es-VE" w:eastAsia="es-CO"/>
        </w:rPr>
        <w:t>La Autoridad Nacional de Televisión destinará espacios institucionales para que el ICBF y el Ministerio de Salud y Protección social puedan sensibilizar  a la sociedad  sobre su existencia y los cuidados especiales que debe tener un embarazo múltiple. Estos espacios se asignarán durante los 15 días antes a la celebración de este día.</w:t>
      </w: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/>
          <w:bCs/>
          <w:lang w:val="es-VE" w:eastAsia="es-CO"/>
        </w:rPr>
        <w:t xml:space="preserve">ARTICULO 2°: </w:t>
      </w:r>
      <w:r w:rsidRPr="00872FEB">
        <w:rPr>
          <w:rFonts w:ascii="Arial" w:eastAsia="Arial Unicode MS" w:hAnsi="Arial" w:cs="Arial"/>
          <w:bCs/>
          <w:lang w:val="es-VE" w:eastAsia="es-CO"/>
        </w:rPr>
        <w:t>Modifíquese y adiciónese el artículo 8° de la Ley 1361 de 2009, el cual quedaría así: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/>
          <w:bCs/>
          <w:lang w:val="es-VE" w:eastAsia="es-CO"/>
        </w:rPr>
        <w:t>Artículo 8: FAMILIAS NUMEROSAS Y FAMILIAS MÚLTIPLES</w:t>
      </w:r>
      <w:r w:rsidRPr="00872FEB">
        <w:rPr>
          <w:rFonts w:ascii="Arial" w:eastAsia="Arial Unicode MS" w:hAnsi="Arial" w:cs="Arial"/>
          <w:bCs/>
          <w:lang w:val="es-VE" w:eastAsia="es-CO"/>
        </w:rPr>
        <w:t>. Teniendo en cuenta la importancia de la familia dentro de la sociedad, el Gobierno Nacional establecerá las estrategias y acciones necesarias a fin de proteger y apoyar a las familias numerosas y familias múltiples.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Cs/>
          <w:lang w:val="es-VE" w:eastAsia="es-CO"/>
        </w:rPr>
        <w:lastRenderedPageBreak/>
        <w:t>Se considerarán familias numerosas, aquellas familias que reúnen más de 3 hijos sin importar su edad.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Cs/>
          <w:lang w:val="es-VE" w:eastAsia="es-CO"/>
        </w:rPr>
        <w:t>Se consideran familias múltiples aquellas que gestaron dos o más hijos producto de un mismo parto.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Cs/>
          <w:lang w:val="es-VE" w:eastAsia="es-CO"/>
        </w:rPr>
        <w:t>Estos conceptos no serán excluyentes, y se aplicarán por igual los beneficios legales garantizados por el Estado, tanto a las familias numerosas como a las familias múltiples.</w:t>
      </w: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872FEB">
        <w:rPr>
          <w:rFonts w:ascii="Arial" w:eastAsia="Arial Unicode MS" w:hAnsi="Arial" w:cs="Arial"/>
          <w:b/>
          <w:bCs/>
          <w:lang w:val="es-VE" w:eastAsia="es-CO"/>
        </w:rPr>
        <w:t xml:space="preserve">ARTICULO 3°: </w:t>
      </w:r>
      <w:r w:rsidRPr="00872FEB">
        <w:rPr>
          <w:rFonts w:ascii="Arial" w:eastAsia="Arial Unicode MS" w:hAnsi="Arial" w:cs="Arial"/>
          <w:bCs/>
          <w:lang w:val="es-VE" w:eastAsia="es-CO"/>
        </w:rPr>
        <w:t xml:space="preserve">Adiciónense </w:t>
      </w:r>
      <w:r w:rsidR="00967574">
        <w:rPr>
          <w:rFonts w:ascii="Arial" w:eastAsia="Arial Unicode MS" w:hAnsi="Arial" w:cs="Arial"/>
          <w:bCs/>
          <w:lang w:val="es-VE" w:eastAsia="es-CO"/>
        </w:rPr>
        <w:t>un</w:t>
      </w:r>
      <w:r w:rsidRPr="00872FEB">
        <w:rPr>
          <w:rFonts w:ascii="Arial" w:eastAsia="Arial Unicode MS" w:hAnsi="Arial" w:cs="Arial"/>
          <w:bCs/>
          <w:lang w:val="es-VE" w:eastAsia="es-CO"/>
        </w:rPr>
        <w:t xml:space="preserve"> artículo a la ley 1361 de 2009, del siguiente tenor:</w:t>
      </w:r>
    </w:p>
    <w:p w:rsidR="00EF6A7F" w:rsidRPr="00872FEB" w:rsidRDefault="00EF6A7F" w:rsidP="00EF6A7F">
      <w:pPr>
        <w:pStyle w:val="Sinespaciado"/>
        <w:jc w:val="both"/>
        <w:rPr>
          <w:rFonts w:ascii="Arial" w:eastAsia="Arial Unicode MS" w:hAnsi="Arial" w:cs="Arial"/>
          <w:b/>
          <w:bCs/>
          <w:lang w:val="es-VE" w:eastAsia="es-CO"/>
        </w:rPr>
      </w:pPr>
    </w:p>
    <w:p w:rsidR="00EF6A7F" w:rsidRPr="000B6670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  <w:r w:rsidRPr="000B6670">
        <w:rPr>
          <w:rFonts w:ascii="Arial" w:eastAsia="Arial Unicode MS" w:hAnsi="Arial" w:cs="Arial"/>
          <w:b/>
          <w:bCs/>
          <w:lang w:eastAsia="es-CO"/>
        </w:rPr>
        <w:t xml:space="preserve">ARTÍCULO 8 </w:t>
      </w:r>
      <w:r w:rsidR="00967574">
        <w:rPr>
          <w:rFonts w:ascii="Arial" w:eastAsia="Arial Unicode MS" w:hAnsi="Arial" w:cs="Arial"/>
          <w:b/>
          <w:bCs/>
          <w:lang w:eastAsia="es-CO"/>
        </w:rPr>
        <w:t>A</w:t>
      </w:r>
      <w:r w:rsidRPr="000B6670">
        <w:rPr>
          <w:rFonts w:ascii="Arial" w:eastAsia="Arial Unicode MS" w:hAnsi="Arial" w:cs="Arial"/>
          <w:b/>
          <w:bCs/>
          <w:lang w:eastAsia="es-CO"/>
        </w:rPr>
        <w:t>:</w:t>
      </w:r>
      <w:r>
        <w:rPr>
          <w:rFonts w:ascii="Arial" w:eastAsia="Arial Unicode MS" w:hAnsi="Arial" w:cs="Arial"/>
          <w:bCs/>
          <w:lang w:eastAsia="es-CO"/>
        </w:rPr>
        <w:t xml:space="preserve"> </w:t>
      </w:r>
      <w:r w:rsidRPr="000B6670">
        <w:rPr>
          <w:rFonts w:ascii="Arial" w:eastAsia="Arial Unicode MS" w:hAnsi="Arial" w:cs="Arial"/>
          <w:bCs/>
          <w:lang w:eastAsia="es-CO"/>
        </w:rPr>
        <w:t>Las entidades prestadoras de salud implementarán un programa de seguimiento y control para familias múltiples que abarque el embarazo, nacimiento y hasta llegar a la mayoría de edad de los múltiples. Adicionalmente tomarán todas las medidas administrativas, médicas y logísticas necesarias para garantizar los derechos de los niños, adolescentes y jóvenes múltiples a la salud.</w:t>
      </w:r>
    </w:p>
    <w:p w:rsidR="00967574" w:rsidRDefault="00967574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</w:p>
    <w:p w:rsidR="00EF6A7F" w:rsidRPr="000B6670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  <w:r w:rsidRPr="000B6670">
        <w:rPr>
          <w:rFonts w:ascii="Arial" w:eastAsia="Arial Unicode MS" w:hAnsi="Arial" w:cs="Arial"/>
          <w:bCs/>
          <w:lang w:eastAsia="es-CO"/>
        </w:rPr>
        <w:t>Las entidades prestadoras de salud deberán suministrar a la familia múltiple uno o varios asesores en salud que apoye a la familia en su domicilio cuando así sea requerido. Este servicio incluye, además, plan canguro, asesoría en lactancia y alimentación complementaria, consulta pediátrica y especializada, atención psicológica, psiquiátrica, neurológica para toda la familia, aplicación de vacunas, entre otros.</w:t>
      </w:r>
    </w:p>
    <w:p w:rsidR="00967574" w:rsidRDefault="00967574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  <w:r w:rsidRPr="000B6670">
        <w:rPr>
          <w:rFonts w:ascii="Arial" w:eastAsia="Arial Unicode MS" w:hAnsi="Arial" w:cs="Arial"/>
          <w:bCs/>
          <w:lang w:eastAsia="es-CO"/>
        </w:rPr>
        <w:t>Se deberá incluir en el PAI para las familias múltiples las vacunas complementarias contra meningococo y neumococo cepa 19ª entre los 0 y 5 años de edad.</w:t>
      </w:r>
    </w:p>
    <w:p w:rsidR="00967574" w:rsidRDefault="00967574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</w:p>
    <w:p w:rsidR="00967574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  <w:r w:rsidRPr="000B6670">
        <w:rPr>
          <w:rFonts w:ascii="Arial" w:eastAsia="Arial Unicode MS" w:hAnsi="Arial" w:cs="Arial"/>
          <w:bCs/>
          <w:lang w:eastAsia="es-CO"/>
        </w:rPr>
        <w:t xml:space="preserve">Los operadores de salud públicos y privados, deberán realizar jornadas de sensibilización sobre las familias múltiples, a través de charlas, conversatorios, jornadas de vacunación, jornadas de odontología, jornadas de evaluación pediátrica y programas de planificación familiar. </w:t>
      </w:r>
    </w:p>
    <w:p w:rsidR="00967574" w:rsidRDefault="00967574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</w:p>
    <w:p w:rsidR="00EF6A7F" w:rsidRPr="000B6670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  <w:r w:rsidRPr="000B6670">
        <w:rPr>
          <w:rFonts w:ascii="Arial" w:eastAsia="Arial Unicode MS" w:hAnsi="Arial" w:cs="Arial"/>
          <w:bCs/>
          <w:lang w:eastAsia="es-CO"/>
        </w:rPr>
        <w:t xml:space="preserve">Las estrategias didácticas que se implementen para tal fin deben apuntar a la formación y educación. </w:t>
      </w:r>
    </w:p>
    <w:p w:rsidR="00967574" w:rsidRDefault="00967574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  <w:r w:rsidRPr="000B6670">
        <w:rPr>
          <w:rFonts w:ascii="Arial" w:eastAsia="Arial Unicode MS" w:hAnsi="Arial" w:cs="Arial"/>
          <w:bCs/>
          <w:lang w:eastAsia="es-CO"/>
        </w:rPr>
        <w:t>Los operadores de salud públicos y privados, deberán implementar cursos psicoprofilácticos para familias gestantes de múltiples.</w:t>
      </w: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eastAsia="es-CO"/>
        </w:rPr>
      </w:pP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  <w:r w:rsidRPr="000B6670">
        <w:rPr>
          <w:rFonts w:ascii="Arial" w:eastAsia="Arial Unicode MS" w:hAnsi="Arial" w:cs="Arial"/>
          <w:b/>
          <w:bCs/>
          <w:lang w:val="es-VE" w:eastAsia="es-CO"/>
        </w:rPr>
        <w:t xml:space="preserve">ARTÍCULO 4°. </w:t>
      </w:r>
      <w:r w:rsidRPr="000B6670">
        <w:rPr>
          <w:rFonts w:ascii="Arial" w:eastAsia="Arial Unicode MS" w:hAnsi="Arial" w:cs="Arial"/>
          <w:bCs/>
          <w:lang w:val="es-VE" w:eastAsia="es-CO"/>
        </w:rPr>
        <w:t>Vigencia. La presente ley rige a partir de la fecha de su sanción y deroga las disposiciones que le sean contrarias.</w:t>
      </w:r>
    </w:p>
    <w:p w:rsidR="00EF6A7F" w:rsidRDefault="00EF6A7F" w:rsidP="00EF6A7F">
      <w:pPr>
        <w:pStyle w:val="Sinespaciado"/>
        <w:jc w:val="both"/>
        <w:rPr>
          <w:rFonts w:ascii="Arial" w:eastAsia="Arial Unicode MS" w:hAnsi="Arial" w:cs="Arial"/>
          <w:bCs/>
          <w:lang w:val="es-VE" w:eastAsia="es-CO"/>
        </w:rPr>
      </w:pPr>
    </w:p>
    <w:p w:rsidR="00EF6A7F" w:rsidRPr="002A060B" w:rsidRDefault="00EF6A7F" w:rsidP="00EF6A7F">
      <w:pPr>
        <w:pStyle w:val="Sinespaciado"/>
        <w:rPr>
          <w:rFonts w:ascii="Arial" w:eastAsia="Arial Unicode MS" w:hAnsi="Arial" w:cs="Arial"/>
          <w:bCs/>
          <w:lang w:val="es-VE" w:eastAsia="es-CO"/>
        </w:rPr>
      </w:pPr>
    </w:p>
    <w:p w:rsidR="00EF6A7F" w:rsidRDefault="00EF6A7F" w:rsidP="00EF6A7F">
      <w:pPr>
        <w:pStyle w:val="Sinespaciado"/>
        <w:jc w:val="both"/>
        <w:rPr>
          <w:rFonts w:ascii="Arial" w:hAnsi="Arial" w:cs="Arial"/>
        </w:rPr>
      </w:pPr>
    </w:p>
    <w:p w:rsidR="00EF6A7F" w:rsidRPr="000F6F07" w:rsidRDefault="00EF6A7F" w:rsidP="00EF6A7F">
      <w:pPr>
        <w:pStyle w:val="Sinespaciado"/>
        <w:jc w:val="both"/>
        <w:rPr>
          <w:rFonts w:ascii="Arial" w:hAnsi="Arial" w:cs="Arial"/>
        </w:rPr>
      </w:pPr>
    </w:p>
    <w:p w:rsidR="00967574" w:rsidRDefault="00967574" w:rsidP="00EF6A7F">
      <w:pPr>
        <w:pStyle w:val="Sinespaciado"/>
        <w:jc w:val="both"/>
        <w:rPr>
          <w:rFonts w:ascii="Arial" w:hAnsi="Arial" w:cs="Arial"/>
          <w:b/>
        </w:rPr>
      </w:pPr>
    </w:p>
    <w:p w:rsidR="00EF6A7F" w:rsidRPr="000F6F07" w:rsidRDefault="00EF6A7F" w:rsidP="00EF6A7F">
      <w:pPr>
        <w:pStyle w:val="Sinespaciado"/>
        <w:jc w:val="both"/>
        <w:rPr>
          <w:rFonts w:ascii="Arial" w:hAnsi="Arial" w:cs="Arial"/>
          <w:b/>
        </w:rPr>
      </w:pPr>
      <w:r w:rsidRPr="000F6F07">
        <w:rPr>
          <w:rFonts w:ascii="Arial" w:hAnsi="Arial" w:cs="Arial"/>
          <w:b/>
        </w:rPr>
        <w:t>FABIÁN DÍAZ PLATA</w:t>
      </w:r>
      <w:r>
        <w:rPr>
          <w:rFonts w:ascii="Arial" w:hAnsi="Arial" w:cs="Arial"/>
          <w:b/>
        </w:rPr>
        <w:t xml:space="preserve">                                </w:t>
      </w:r>
      <w:r w:rsidR="000D7C9F">
        <w:rPr>
          <w:rFonts w:ascii="Arial" w:hAnsi="Arial" w:cs="Arial"/>
          <w:b/>
        </w:rPr>
        <w:tab/>
      </w:r>
      <w:r w:rsidR="000D7C9F">
        <w:rPr>
          <w:rFonts w:ascii="Arial" w:hAnsi="Arial" w:cs="Arial"/>
          <w:b/>
        </w:rPr>
        <w:tab/>
      </w:r>
      <w:r w:rsidR="000D7C9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JAIRO CRISTANCHO TARACHE   </w:t>
      </w:r>
    </w:p>
    <w:p w:rsidR="00437400" w:rsidRPr="00967574" w:rsidRDefault="00EF6A7F" w:rsidP="00967574">
      <w:pPr>
        <w:pStyle w:val="Sinespaciado"/>
        <w:jc w:val="both"/>
        <w:rPr>
          <w:rFonts w:ascii="Arial" w:hAnsi="Arial" w:cs="Arial"/>
        </w:rPr>
      </w:pPr>
      <w:r w:rsidRPr="00EF6A7F">
        <w:rPr>
          <w:rFonts w:ascii="Arial" w:hAnsi="Arial" w:cs="Arial"/>
        </w:rPr>
        <w:t xml:space="preserve">Coordinador Ponente                                  </w:t>
      </w:r>
      <w:r w:rsidR="000D7C9F">
        <w:rPr>
          <w:rFonts w:ascii="Arial" w:hAnsi="Arial" w:cs="Arial"/>
        </w:rPr>
        <w:tab/>
      </w:r>
      <w:r w:rsidR="000D7C9F">
        <w:rPr>
          <w:rFonts w:ascii="Arial" w:hAnsi="Arial" w:cs="Arial"/>
        </w:rPr>
        <w:tab/>
      </w:r>
      <w:r w:rsidR="000D7C9F">
        <w:rPr>
          <w:rFonts w:ascii="Arial" w:hAnsi="Arial" w:cs="Arial"/>
        </w:rPr>
        <w:tab/>
      </w:r>
      <w:r w:rsidRPr="00EF6A7F">
        <w:rPr>
          <w:rFonts w:ascii="Arial" w:hAnsi="Arial" w:cs="Arial"/>
        </w:rPr>
        <w:t>Ponente</w:t>
      </w:r>
      <w:bookmarkStart w:id="0" w:name="_GoBack"/>
      <w:bookmarkEnd w:id="0"/>
    </w:p>
    <w:sectPr w:rsidR="00437400" w:rsidRPr="00967574" w:rsidSect="00437400">
      <w:headerReference w:type="default" r:id="rId8"/>
      <w:footerReference w:type="default" r:id="rId9"/>
      <w:pgSz w:w="12240" w:h="15840" w:code="1"/>
      <w:pgMar w:top="1871" w:right="1021" w:bottom="397" w:left="158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2C" w:rsidRDefault="0076602C" w:rsidP="001A75AA">
      <w:pPr>
        <w:spacing w:after="0" w:line="240" w:lineRule="auto"/>
      </w:pPr>
      <w:r>
        <w:separator/>
      </w:r>
    </w:p>
  </w:endnote>
  <w:endnote w:type="continuationSeparator" w:id="0">
    <w:p w:rsidR="0076602C" w:rsidRDefault="0076602C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2C" w:rsidRDefault="0076602C" w:rsidP="001A75AA">
      <w:pPr>
        <w:spacing w:after="0" w:line="240" w:lineRule="auto"/>
      </w:pPr>
      <w:r>
        <w:separator/>
      </w:r>
    </w:p>
  </w:footnote>
  <w:footnote w:type="continuationSeparator" w:id="0">
    <w:p w:rsidR="0076602C" w:rsidRDefault="0076602C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0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19"/>
  </w:num>
  <w:num w:numId="17">
    <w:abstractNumId w:val="15"/>
  </w:num>
  <w:num w:numId="18">
    <w:abstractNumId w:val="13"/>
  </w:num>
  <w:num w:numId="19">
    <w:abstractNumId w:val="16"/>
  </w:num>
  <w:num w:numId="20">
    <w:abstractNumId w:val="21"/>
  </w:num>
  <w:num w:numId="21">
    <w:abstractNumId w:val="1"/>
  </w:num>
  <w:num w:numId="22">
    <w:abstractNumId w:val="9"/>
  </w:num>
  <w:num w:numId="2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3284"/>
    <w:rsid w:val="000958D4"/>
    <w:rsid w:val="000971B7"/>
    <w:rsid w:val="000A3D97"/>
    <w:rsid w:val="000B047D"/>
    <w:rsid w:val="000B41A9"/>
    <w:rsid w:val="000B5E53"/>
    <w:rsid w:val="000B7E47"/>
    <w:rsid w:val="000C69AC"/>
    <w:rsid w:val="000D2E8E"/>
    <w:rsid w:val="000D7C9F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82D98"/>
    <w:rsid w:val="0028641D"/>
    <w:rsid w:val="00295486"/>
    <w:rsid w:val="00297711"/>
    <w:rsid w:val="002A1867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E07"/>
    <w:rsid w:val="003D161F"/>
    <w:rsid w:val="003D1A97"/>
    <w:rsid w:val="003D3D21"/>
    <w:rsid w:val="003D7516"/>
    <w:rsid w:val="003D7EC1"/>
    <w:rsid w:val="003E193F"/>
    <w:rsid w:val="003E215A"/>
    <w:rsid w:val="003E3BD9"/>
    <w:rsid w:val="003E4343"/>
    <w:rsid w:val="003E5F08"/>
    <w:rsid w:val="003F0BA6"/>
    <w:rsid w:val="003F262C"/>
    <w:rsid w:val="003F43C3"/>
    <w:rsid w:val="003F538E"/>
    <w:rsid w:val="00400978"/>
    <w:rsid w:val="00402816"/>
    <w:rsid w:val="00403495"/>
    <w:rsid w:val="0040798F"/>
    <w:rsid w:val="00414583"/>
    <w:rsid w:val="004201B0"/>
    <w:rsid w:val="004239FC"/>
    <w:rsid w:val="00427AA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A1D04"/>
    <w:rsid w:val="004A2006"/>
    <w:rsid w:val="004A4C6F"/>
    <w:rsid w:val="004B0683"/>
    <w:rsid w:val="004B1160"/>
    <w:rsid w:val="004B4719"/>
    <w:rsid w:val="004B47F9"/>
    <w:rsid w:val="004B7885"/>
    <w:rsid w:val="004C3501"/>
    <w:rsid w:val="004C50F6"/>
    <w:rsid w:val="004E04C3"/>
    <w:rsid w:val="004E674B"/>
    <w:rsid w:val="004E71FD"/>
    <w:rsid w:val="004E7DF6"/>
    <w:rsid w:val="004F1CE6"/>
    <w:rsid w:val="004F215A"/>
    <w:rsid w:val="004F4B33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264E"/>
    <w:rsid w:val="00613B02"/>
    <w:rsid w:val="00622B3F"/>
    <w:rsid w:val="00622B74"/>
    <w:rsid w:val="006276D2"/>
    <w:rsid w:val="0063155D"/>
    <w:rsid w:val="0063371C"/>
    <w:rsid w:val="00637559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0801"/>
    <w:rsid w:val="006B2B87"/>
    <w:rsid w:val="006B40AC"/>
    <w:rsid w:val="006B757E"/>
    <w:rsid w:val="006C2A67"/>
    <w:rsid w:val="006C302E"/>
    <w:rsid w:val="006C370B"/>
    <w:rsid w:val="006C5489"/>
    <w:rsid w:val="006D20DB"/>
    <w:rsid w:val="006D3C55"/>
    <w:rsid w:val="006E177A"/>
    <w:rsid w:val="006E1D47"/>
    <w:rsid w:val="006E441E"/>
    <w:rsid w:val="006F021B"/>
    <w:rsid w:val="006F38A8"/>
    <w:rsid w:val="00713DC0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02C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80478F"/>
    <w:rsid w:val="008054C2"/>
    <w:rsid w:val="00807628"/>
    <w:rsid w:val="00813DA1"/>
    <w:rsid w:val="008246B5"/>
    <w:rsid w:val="008255F9"/>
    <w:rsid w:val="00830953"/>
    <w:rsid w:val="00832188"/>
    <w:rsid w:val="00832CEA"/>
    <w:rsid w:val="0084115C"/>
    <w:rsid w:val="0084327F"/>
    <w:rsid w:val="00845B12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900E3B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7574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714F"/>
    <w:rsid w:val="009C7782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1C5E"/>
    <w:rsid w:val="00A92671"/>
    <w:rsid w:val="00A9451E"/>
    <w:rsid w:val="00AA3B73"/>
    <w:rsid w:val="00AA7C24"/>
    <w:rsid w:val="00AB10D9"/>
    <w:rsid w:val="00AB1FB4"/>
    <w:rsid w:val="00AB4143"/>
    <w:rsid w:val="00AC5DB8"/>
    <w:rsid w:val="00AD05D9"/>
    <w:rsid w:val="00AD580C"/>
    <w:rsid w:val="00AE5DE7"/>
    <w:rsid w:val="00AF3851"/>
    <w:rsid w:val="00AF6350"/>
    <w:rsid w:val="00B02E63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E245B"/>
    <w:rsid w:val="00BE5C7C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C253D"/>
    <w:rsid w:val="00CD0A9B"/>
    <w:rsid w:val="00CE344D"/>
    <w:rsid w:val="00CE34C9"/>
    <w:rsid w:val="00CE5396"/>
    <w:rsid w:val="00CE617B"/>
    <w:rsid w:val="00CF1641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60FBB"/>
    <w:rsid w:val="00D7467B"/>
    <w:rsid w:val="00D761DD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B5BF8"/>
    <w:rsid w:val="00DC1A7C"/>
    <w:rsid w:val="00DC3CE2"/>
    <w:rsid w:val="00DD2204"/>
    <w:rsid w:val="00DD235F"/>
    <w:rsid w:val="00DD25D8"/>
    <w:rsid w:val="00DD2F8B"/>
    <w:rsid w:val="00DD62CA"/>
    <w:rsid w:val="00DE4A3F"/>
    <w:rsid w:val="00DE5D05"/>
    <w:rsid w:val="00E020D5"/>
    <w:rsid w:val="00E0468A"/>
    <w:rsid w:val="00E05114"/>
    <w:rsid w:val="00E10459"/>
    <w:rsid w:val="00E17403"/>
    <w:rsid w:val="00E24232"/>
    <w:rsid w:val="00E40C87"/>
    <w:rsid w:val="00E42F28"/>
    <w:rsid w:val="00E4662B"/>
    <w:rsid w:val="00E47A08"/>
    <w:rsid w:val="00E501B8"/>
    <w:rsid w:val="00E53778"/>
    <w:rsid w:val="00E5517D"/>
    <w:rsid w:val="00E61324"/>
    <w:rsid w:val="00E62CF7"/>
    <w:rsid w:val="00E67E16"/>
    <w:rsid w:val="00E71BF7"/>
    <w:rsid w:val="00E71E72"/>
    <w:rsid w:val="00E73DC8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EF6A7F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582E"/>
    <w:rsid w:val="00F53260"/>
    <w:rsid w:val="00F534FB"/>
    <w:rsid w:val="00F56B3B"/>
    <w:rsid w:val="00F570CD"/>
    <w:rsid w:val="00F67C6B"/>
    <w:rsid w:val="00F71001"/>
    <w:rsid w:val="00F71BA2"/>
    <w:rsid w:val="00F71C27"/>
    <w:rsid w:val="00F72B35"/>
    <w:rsid w:val="00F87CE8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E409D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C268-4BA3-42B2-919D-5C836A07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 Enrique González Martínez</cp:lastModifiedBy>
  <cp:revision>4</cp:revision>
  <cp:lastPrinted>2019-05-17T21:23:00Z</cp:lastPrinted>
  <dcterms:created xsi:type="dcterms:W3CDTF">2020-05-21T00:50:00Z</dcterms:created>
  <dcterms:modified xsi:type="dcterms:W3CDTF">2020-05-21T01:13:00Z</dcterms:modified>
</cp:coreProperties>
</file>