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140E" w:rsidRPr="007273FE" w:rsidRDefault="006F140E" w:rsidP="00693740">
      <w:pPr>
        <w:pStyle w:val="Sinespaciado"/>
        <w:jc w:val="both"/>
        <w:rPr>
          <w:rFonts w:ascii="Bookman Old Style" w:hAnsi="Bookman Old Style"/>
          <w:sz w:val="24"/>
          <w:szCs w:val="24"/>
        </w:rPr>
      </w:pPr>
      <w:r w:rsidRPr="007273FE">
        <w:rPr>
          <w:rFonts w:ascii="Bookman Old Style" w:hAnsi="Bookman Old Style"/>
          <w:color w:val="000000"/>
          <w:sz w:val="24"/>
          <w:szCs w:val="24"/>
          <w:lang w:eastAsia="es-CO"/>
        </w:rPr>
        <w:t xml:space="preserve">TEXTO APROBADO, </w:t>
      </w:r>
      <w:r w:rsidRPr="007273FE">
        <w:rPr>
          <w:rFonts w:ascii="Bookman Old Style" w:eastAsia="Times New Roman" w:hAnsi="Bookman Old Style"/>
          <w:bCs/>
          <w:color w:val="000000"/>
          <w:sz w:val="24"/>
          <w:szCs w:val="24"/>
          <w:lang w:eastAsia="es-CO"/>
        </w:rPr>
        <w:t>EN LA S</w:t>
      </w:r>
      <w:r w:rsidRPr="007273FE">
        <w:rPr>
          <w:rFonts w:ascii="Bookman Old Style" w:hAnsi="Bookman Old Style"/>
          <w:sz w:val="24"/>
          <w:szCs w:val="24"/>
        </w:rPr>
        <w:t xml:space="preserve">ESIÓN ORDINARIA DE LA COMISIÓN QUINTA CONSTITUCIONAL PERMANENTE DE LA CÁMARA DE REPRESENTANTES EL DÍA </w:t>
      </w:r>
      <w:r w:rsidR="00641599" w:rsidRPr="007273FE">
        <w:rPr>
          <w:rFonts w:ascii="Bookman Old Style" w:hAnsi="Bookman Old Style"/>
          <w:sz w:val="24"/>
          <w:szCs w:val="24"/>
        </w:rPr>
        <w:t>3</w:t>
      </w:r>
      <w:r w:rsidR="00FB5DA7" w:rsidRPr="007273FE">
        <w:rPr>
          <w:rFonts w:ascii="Bookman Old Style" w:hAnsi="Bookman Old Style"/>
          <w:sz w:val="24"/>
          <w:szCs w:val="24"/>
        </w:rPr>
        <w:t xml:space="preserve"> DE </w:t>
      </w:r>
      <w:r w:rsidR="00641599" w:rsidRPr="007273FE">
        <w:rPr>
          <w:rFonts w:ascii="Bookman Old Style" w:hAnsi="Bookman Old Style"/>
          <w:sz w:val="24"/>
          <w:szCs w:val="24"/>
        </w:rPr>
        <w:t>DICIEMBRE</w:t>
      </w:r>
      <w:r w:rsidR="00FB5DA7" w:rsidRPr="007273FE">
        <w:rPr>
          <w:rFonts w:ascii="Bookman Old Style" w:hAnsi="Bookman Old Style"/>
          <w:sz w:val="24"/>
          <w:szCs w:val="24"/>
        </w:rPr>
        <w:t xml:space="preserve"> DE 2019</w:t>
      </w:r>
      <w:r w:rsidRPr="007273FE">
        <w:rPr>
          <w:rFonts w:ascii="Bookman Old Style" w:hAnsi="Bookman Old Style"/>
          <w:sz w:val="24"/>
          <w:szCs w:val="24"/>
        </w:rPr>
        <w:t>.</w:t>
      </w:r>
    </w:p>
    <w:p w:rsidR="00897EEB" w:rsidRDefault="00897EEB" w:rsidP="00897EEB">
      <w:pPr>
        <w:rPr>
          <w:rFonts w:ascii="Bookman Old Style" w:hAnsi="Bookman Old Style"/>
          <w:lang w:val="es-CO" w:eastAsia="es-ES_tradnl"/>
        </w:rPr>
      </w:pPr>
    </w:p>
    <w:p w:rsidR="007273FE" w:rsidRPr="007273FE" w:rsidRDefault="007273FE" w:rsidP="007273FE">
      <w:pPr>
        <w:jc w:val="center"/>
        <w:rPr>
          <w:rFonts w:ascii="Bookman Old Style" w:hAnsi="Bookman Old Style" w:cs="Arial"/>
          <w:b/>
          <w:lang w:val="es-CO" w:eastAsia="es-ES_tradnl"/>
        </w:rPr>
      </w:pPr>
      <w:r w:rsidRPr="007273FE">
        <w:rPr>
          <w:rFonts w:ascii="Bookman Old Style" w:hAnsi="Bookman Old Style"/>
          <w:lang w:val="es-CO" w:eastAsia="es-ES_tradnl"/>
        </w:rPr>
        <w:t>PROYECTO DE LEY NO. 044 DE 2019 CÁMARA ACUMULADO CON EL PROYECTO DE LEY NO. 213 DE 2019 CÁMARA</w:t>
      </w:r>
      <w:r w:rsidR="00897EEB">
        <w:rPr>
          <w:rFonts w:ascii="Bookman Old Style" w:hAnsi="Bookman Old Style"/>
          <w:lang w:val="es-CO" w:eastAsia="es-ES_tradnl"/>
        </w:rPr>
        <w:t xml:space="preserve"> </w:t>
      </w:r>
      <w:r w:rsidRPr="007273FE">
        <w:rPr>
          <w:rFonts w:ascii="Bookman Old Style" w:hAnsi="Bookman Old Style" w:cs="Arial"/>
          <w:b/>
          <w:lang w:val="es-CO" w:eastAsia="es-ES_tradnl"/>
        </w:rPr>
        <w:t>“POR MEDIO DE LA CUAL SE PROMUEVE EL ABASTECIMIENTO, CONTINUIDAD, CONFIABILIDAD Y COBERTURA DEL GAS COMBUSTIBLE EN EL PAÍS”</w:t>
      </w:r>
    </w:p>
    <w:p w:rsidR="007273FE" w:rsidRPr="007273FE" w:rsidRDefault="007273FE" w:rsidP="00897EEB">
      <w:pPr>
        <w:rPr>
          <w:rFonts w:ascii="Bookman Old Style" w:hAnsi="Bookman Old Style" w:cs="Calibri Light"/>
          <w:b/>
          <w:lang w:val="es-CO" w:eastAsia="es-ES_tradnl"/>
        </w:rPr>
      </w:pPr>
    </w:p>
    <w:p w:rsidR="007273FE" w:rsidRPr="007273FE" w:rsidRDefault="007273FE" w:rsidP="007273FE">
      <w:pPr>
        <w:jc w:val="center"/>
        <w:rPr>
          <w:rFonts w:ascii="Bookman Old Style" w:hAnsi="Bookman Old Style" w:cs="Calibri Light"/>
          <w:b/>
          <w:lang w:val="es-CO" w:eastAsia="es-ES_tradnl"/>
        </w:rPr>
      </w:pPr>
      <w:r w:rsidRPr="007273FE">
        <w:rPr>
          <w:rFonts w:ascii="Bookman Old Style" w:hAnsi="Bookman Old Style" w:cs="Calibri Light"/>
          <w:b/>
          <w:lang w:val="es-CO" w:eastAsia="es-ES_tradnl"/>
        </w:rPr>
        <w:t>EL CONGRESO DE COLOMBIA</w:t>
      </w:r>
    </w:p>
    <w:p w:rsidR="007273FE" w:rsidRPr="007273FE" w:rsidRDefault="007273FE" w:rsidP="007273FE">
      <w:pPr>
        <w:jc w:val="center"/>
        <w:rPr>
          <w:rFonts w:ascii="Bookman Old Style" w:hAnsi="Bookman Old Style" w:cs="Calibri Light"/>
          <w:b/>
          <w:lang w:val="es-CO" w:eastAsia="es-ES_tradnl"/>
        </w:rPr>
      </w:pPr>
      <w:r w:rsidRPr="007273FE">
        <w:rPr>
          <w:rFonts w:ascii="Bookman Old Style" w:hAnsi="Bookman Old Style" w:cs="Calibri Light"/>
          <w:b/>
          <w:lang w:val="es-CO" w:eastAsia="es-ES_tradnl"/>
        </w:rPr>
        <w:t xml:space="preserve">DECRETA:  </w:t>
      </w:r>
    </w:p>
    <w:p w:rsidR="007273FE" w:rsidRPr="007273FE" w:rsidRDefault="007273FE" w:rsidP="007273FE">
      <w:pPr>
        <w:jc w:val="both"/>
        <w:rPr>
          <w:rFonts w:ascii="Bookman Old Style" w:hAnsi="Bookman Old Style" w:cs="Arial"/>
          <w:b/>
          <w:lang w:val="es-CO" w:eastAsia="es-ES_tradnl"/>
        </w:rPr>
      </w:pPr>
    </w:p>
    <w:p w:rsidR="007273FE" w:rsidRPr="007273FE" w:rsidRDefault="007273FE" w:rsidP="007273FE">
      <w:pPr>
        <w:jc w:val="both"/>
        <w:rPr>
          <w:rFonts w:ascii="Bookman Old Style" w:hAnsi="Bookman Old Style" w:cs="Arial"/>
          <w:i/>
          <w:iCs/>
          <w:lang w:val="es-CO" w:eastAsia="es-ES_tradnl"/>
        </w:rPr>
      </w:pPr>
      <w:r w:rsidRPr="007273FE">
        <w:rPr>
          <w:rFonts w:ascii="Bookman Old Style" w:hAnsi="Bookman Old Style" w:cs="Arial"/>
          <w:b/>
          <w:lang w:val="es-CO" w:eastAsia="es-ES_tradnl"/>
        </w:rPr>
        <w:t xml:space="preserve">ARTÍCULO 1. OBJETO. </w:t>
      </w:r>
      <w:r w:rsidRPr="007273FE">
        <w:rPr>
          <w:rFonts w:ascii="Bookman Old Style" w:hAnsi="Bookman Old Style" w:cs="Arial"/>
          <w:lang w:val="es-CO" w:eastAsia="es-ES_tradnl"/>
        </w:rPr>
        <w:t xml:space="preserve">Incentivar el abastecimiento de gas combustible en el país y ampliar su utilización, con el fin de generar impactos positivos en el medio ambiente, la calidad de vida, la salud de la población y el acceso al servicio público, según lo establecido en la Ley 1955 de 2019. </w:t>
      </w:r>
    </w:p>
    <w:p w:rsidR="007273FE" w:rsidRPr="007273FE" w:rsidRDefault="007273FE" w:rsidP="007273FE">
      <w:pPr>
        <w:jc w:val="both"/>
        <w:rPr>
          <w:rFonts w:ascii="Bookman Old Style" w:hAnsi="Bookman Old Style" w:cs="Arial"/>
          <w:b/>
          <w:lang w:val="es-CO" w:eastAsia="es-ES_tradnl"/>
        </w:rPr>
      </w:pPr>
    </w:p>
    <w:p w:rsidR="007273FE" w:rsidRPr="007273FE" w:rsidRDefault="007273FE" w:rsidP="007273FE">
      <w:pPr>
        <w:jc w:val="both"/>
        <w:rPr>
          <w:rFonts w:ascii="Bookman Old Style" w:hAnsi="Bookman Old Style" w:cs="Arial"/>
          <w:lang w:val="es-CO" w:eastAsia="es-ES_tradnl"/>
        </w:rPr>
      </w:pPr>
      <w:r w:rsidRPr="007273FE">
        <w:rPr>
          <w:rFonts w:ascii="Bookman Old Style" w:hAnsi="Bookman Old Style" w:cs="Arial"/>
          <w:b/>
          <w:lang w:val="es-CO" w:eastAsia="es-ES_tradnl"/>
        </w:rPr>
        <w:t xml:space="preserve">ARTÍCULO 2. DEFINICIONES. </w:t>
      </w:r>
      <w:r w:rsidRPr="007273FE">
        <w:rPr>
          <w:rFonts w:ascii="Bookman Old Style" w:hAnsi="Bookman Old Style" w:cs="Arial"/>
          <w:lang w:val="es-CO" w:eastAsia="es-ES_tradnl"/>
        </w:rPr>
        <w:t xml:space="preserve">Para efectos de la presente Ley, entiéndase por: </w:t>
      </w:r>
    </w:p>
    <w:p w:rsidR="007273FE" w:rsidRPr="007273FE" w:rsidRDefault="007273FE" w:rsidP="007273FE">
      <w:pPr>
        <w:jc w:val="both"/>
        <w:rPr>
          <w:rFonts w:ascii="Bookman Old Style" w:hAnsi="Bookman Old Style" w:cs="Arial"/>
          <w:b/>
          <w:lang w:val="es-CO" w:eastAsia="es-ES_tradnl"/>
        </w:rPr>
      </w:pPr>
    </w:p>
    <w:p w:rsidR="007273FE" w:rsidRPr="007273FE" w:rsidRDefault="007273FE" w:rsidP="007273FE">
      <w:pPr>
        <w:ind w:left="284"/>
        <w:jc w:val="both"/>
        <w:rPr>
          <w:rFonts w:ascii="Bookman Old Style" w:hAnsi="Bookman Old Style" w:cs="Arial"/>
          <w:lang w:val="es-CO" w:eastAsia="es-ES_tradnl"/>
        </w:rPr>
      </w:pPr>
      <w:r w:rsidRPr="007273FE">
        <w:rPr>
          <w:rFonts w:ascii="Bookman Old Style" w:hAnsi="Bookman Old Style" w:cs="Arial"/>
          <w:b/>
          <w:lang w:val="es-CO" w:eastAsia="es-ES_tradnl"/>
        </w:rPr>
        <w:t xml:space="preserve">Gas combustible: </w:t>
      </w:r>
      <w:r w:rsidRPr="007273FE">
        <w:rPr>
          <w:rFonts w:ascii="Bookman Old Style" w:hAnsi="Bookman Old Style" w:cs="Arial"/>
          <w:lang w:val="es-CO" w:eastAsia="es-ES_tradnl"/>
        </w:rPr>
        <w:t xml:space="preserve">Entendido como aquellos compuestos orgánicos formados principalmente por carbono e hidrógeno que conforman al Gas Natural – </w:t>
      </w:r>
      <w:proofErr w:type="spellStart"/>
      <w:r w:rsidRPr="007273FE">
        <w:rPr>
          <w:rFonts w:ascii="Bookman Old Style" w:hAnsi="Bookman Old Style" w:cs="Arial"/>
          <w:lang w:val="es-CO" w:eastAsia="es-ES_tradnl"/>
        </w:rPr>
        <w:t>GN</w:t>
      </w:r>
      <w:proofErr w:type="spellEnd"/>
      <w:r w:rsidRPr="007273FE">
        <w:rPr>
          <w:rFonts w:ascii="Bookman Old Style" w:hAnsi="Bookman Old Style" w:cs="Arial"/>
          <w:lang w:val="es-CO" w:eastAsia="es-ES_tradnl"/>
        </w:rPr>
        <w:t xml:space="preserve"> y al Gas Licuado del Petróleo - </w:t>
      </w:r>
      <w:proofErr w:type="spellStart"/>
      <w:r w:rsidRPr="007273FE">
        <w:rPr>
          <w:rFonts w:ascii="Bookman Old Style" w:hAnsi="Bookman Old Style" w:cs="Arial"/>
          <w:lang w:val="es-CO" w:eastAsia="es-ES_tradnl"/>
        </w:rPr>
        <w:t>GLP</w:t>
      </w:r>
      <w:proofErr w:type="spellEnd"/>
      <w:r w:rsidRPr="007273FE">
        <w:rPr>
          <w:rFonts w:ascii="Bookman Old Style" w:hAnsi="Bookman Old Style" w:cs="Arial"/>
          <w:lang w:val="es-CO" w:eastAsia="es-ES_tradnl"/>
        </w:rPr>
        <w:t>.</w:t>
      </w:r>
    </w:p>
    <w:p w:rsidR="007273FE" w:rsidRPr="007273FE" w:rsidRDefault="007273FE" w:rsidP="007273FE">
      <w:pPr>
        <w:ind w:left="284"/>
        <w:jc w:val="both"/>
        <w:rPr>
          <w:rFonts w:ascii="Bookman Old Style" w:hAnsi="Bookman Old Style" w:cs="Arial"/>
          <w:lang w:val="es-CO" w:eastAsia="es-ES_tradnl"/>
        </w:rPr>
      </w:pPr>
    </w:p>
    <w:p w:rsidR="007273FE" w:rsidRPr="007273FE" w:rsidRDefault="007273FE" w:rsidP="007273FE">
      <w:pPr>
        <w:ind w:left="284"/>
        <w:jc w:val="both"/>
        <w:rPr>
          <w:rFonts w:ascii="Bookman Old Style" w:hAnsi="Bookman Old Style" w:cs="Arial"/>
          <w:lang w:val="es-CO" w:eastAsia="es-ES_tradnl"/>
        </w:rPr>
      </w:pPr>
      <w:r w:rsidRPr="007273FE">
        <w:rPr>
          <w:rFonts w:ascii="Bookman Old Style" w:hAnsi="Bookman Old Style" w:cs="Arial"/>
          <w:b/>
          <w:lang w:val="es-CO" w:eastAsia="es-ES_tradnl"/>
        </w:rPr>
        <w:t xml:space="preserve">Gas Natural – </w:t>
      </w:r>
      <w:proofErr w:type="spellStart"/>
      <w:r w:rsidRPr="007273FE">
        <w:rPr>
          <w:rFonts w:ascii="Bookman Old Style" w:hAnsi="Bookman Old Style" w:cs="Arial"/>
          <w:b/>
          <w:lang w:val="es-CO" w:eastAsia="es-ES_tradnl"/>
        </w:rPr>
        <w:t>GN</w:t>
      </w:r>
      <w:proofErr w:type="spellEnd"/>
      <w:r w:rsidRPr="007273FE">
        <w:rPr>
          <w:rFonts w:ascii="Bookman Old Style" w:hAnsi="Bookman Old Style" w:cs="Arial"/>
          <w:b/>
          <w:lang w:val="es-CO" w:eastAsia="es-ES_tradnl"/>
        </w:rPr>
        <w:t>:</w:t>
      </w:r>
      <w:r w:rsidRPr="007273FE">
        <w:rPr>
          <w:rFonts w:ascii="Bookman Old Style" w:hAnsi="Bookman Old Style" w:cs="Arial"/>
          <w:lang w:val="es-CO" w:eastAsia="es-ES_tradnl"/>
        </w:rPr>
        <w:t xml:space="preserve"> Es una mezcla de gases cuyo principal componente es el metano, seguido de otros gases como el </w:t>
      </w:r>
      <w:proofErr w:type="spellStart"/>
      <w:r w:rsidRPr="007273FE">
        <w:rPr>
          <w:rFonts w:ascii="Bookman Old Style" w:hAnsi="Bookman Old Style" w:cs="Arial"/>
          <w:lang w:val="es-CO" w:eastAsia="es-ES_tradnl"/>
        </w:rPr>
        <w:t>etano</w:t>
      </w:r>
      <w:proofErr w:type="spellEnd"/>
      <w:r w:rsidRPr="007273FE">
        <w:rPr>
          <w:rFonts w:ascii="Bookman Old Style" w:hAnsi="Bookman Old Style" w:cs="Arial"/>
          <w:lang w:val="es-CO" w:eastAsia="es-ES_tradnl"/>
        </w:rPr>
        <w:t xml:space="preserve">, el dióxido de carbono y el vapor de agua, en pequeñas cantidades. </w:t>
      </w:r>
    </w:p>
    <w:p w:rsidR="007273FE" w:rsidRPr="007273FE" w:rsidRDefault="007273FE" w:rsidP="007273FE">
      <w:pPr>
        <w:ind w:left="284"/>
        <w:jc w:val="both"/>
        <w:rPr>
          <w:rFonts w:ascii="Bookman Old Style" w:hAnsi="Bookman Old Style" w:cs="Arial"/>
          <w:lang w:val="es-CO" w:eastAsia="es-ES_tradnl"/>
        </w:rPr>
      </w:pPr>
    </w:p>
    <w:p w:rsidR="007273FE" w:rsidRPr="007273FE" w:rsidRDefault="007273FE" w:rsidP="007273FE">
      <w:pPr>
        <w:ind w:left="284"/>
        <w:jc w:val="both"/>
        <w:rPr>
          <w:rFonts w:ascii="Bookman Old Style" w:hAnsi="Bookman Old Style" w:cs="Arial"/>
          <w:lang w:val="es-CO" w:eastAsia="es-ES_tradnl"/>
        </w:rPr>
      </w:pPr>
      <w:r w:rsidRPr="007273FE">
        <w:rPr>
          <w:rFonts w:ascii="Bookman Old Style" w:hAnsi="Bookman Old Style" w:cs="Arial"/>
          <w:b/>
          <w:lang w:val="es-CO" w:eastAsia="es-ES_tradnl"/>
        </w:rPr>
        <w:t xml:space="preserve">Gas Natural Licuado – </w:t>
      </w:r>
      <w:proofErr w:type="spellStart"/>
      <w:r w:rsidRPr="007273FE">
        <w:rPr>
          <w:rFonts w:ascii="Bookman Old Style" w:hAnsi="Bookman Old Style" w:cs="Arial"/>
          <w:b/>
          <w:lang w:val="es-CO" w:eastAsia="es-ES_tradnl"/>
        </w:rPr>
        <w:t>GNL</w:t>
      </w:r>
      <w:proofErr w:type="spellEnd"/>
      <w:r w:rsidRPr="007273FE">
        <w:rPr>
          <w:rFonts w:ascii="Bookman Old Style" w:hAnsi="Bookman Old Style" w:cs="Arial"/>
          <w:b/>
          <w:lang w:val="es-CO" w:eastAsia="es-ES_tradnl"/>
        </w:rPr>
        <w:t>:</w:t>
      </w:r>
      <w:r w:rsidRPr="007273FE">
        <w:rPr>
          <w:rFonts w:ascii="Bookman Old Style" w:hAnsi="Bookman Old Style" w:cs="Arial"/>
          <w:lang w:val="es-CO" w:eastAsia="es-ES_tradnl"/>
        </w:rPr>
        <w:t xml:space="preserve"> Es una mezcla de hidrocarburos, principalmente metano, cuya temperatura se reduce a través de un proceso de criogenia y se almacena térmicamente. </w:t>
      </w:r>
    </w:p>
    <w:p w:rsidR="007273FE" w:rsidRPr="007273FE" w:rsidRDefault="007273FE" w:rsidP="007273FE">
      <w:pPr>
        <w:jc w:val="both"/>
        <w:rPr>
          <w:rFonts w:ascii="Bookman Old Style" w:hAnsi="Bookman Old Style" w:cs="Arial"/>
          <w:lang w:val="es-CO" w:eastAsia="es-ES_tradnl"/>
        </w:rPr>
      </w:pPr>
    </w:p>
    <w:p w:rsidR="007273FE" w:rsidRPr="007273FE" w:rsidRDefault="007273FE" w:rsidP="007273FE">
      <w:pPr>
        <w:ind w:left="284"/>
        <w:jc w:val="both"/>
        <w:rPr>
          <w:rFonts w:ascii="Bookman Old Style" w:hAnsi="Bookman Old Style" w:cs="Arial"/>
          <w:lang w:val="es-CO" w:eastAsia="es-ES_tradnl"/>
        </w:rPr>
      </w:pPr>
      <w:r w:rsidRPr="007273FE">
        <w:rPr>
          <w:rFonts w:ascii="Bookman Old Style" w:hAnsi="Bookman Old Style" w:cs="Arial"/>
          <w:b/>
          <w:lang w:val="es-CO" w:eastAsia="es-ES_tradnl"/>
        </w:rPr>
        <w:t xml:space="preserve">Gas Licuado de Petróleo – </w:t>
      </w:r>
      <w:proofErr w:type="spellStart"/>
      <w:r w:rsidRPr="007273FE">
        <w:rPr>
          <w:rFonts w:ascii="Bookman Old Style" w:hAnsi="Bookman Old Style" w:cs="Arial"/>
          <w:b/>
          <w:lang w:val="es-CO" w:eastAsia="es-ES_tradnl"/>
        </w:rPr>
        <w:t>GLP</w:t>
      </w:r>
      <w:proofErr w:type="spellEnd"/>
      <w:r w:rsidRPr="007273FE">
        <w:rPr>
          <w:rFonts w:ascii="Bookman Old Style" w:hAnsi="Bookman Old Style" w:cs="Arial"/>
          <w:b/>
          <w:lang w:val="es-CO" w:eastAsia="es-ES_tradnl"/>
        </w:rPr>
        <w:t>:</w:t>
      </w:r>
      <w:r w:rsidRPr="007273FE">
        <w:rPr>
          <w:rFonts w:ascii="Bookman Old Style" w:hAnsi="Bookman Old Style" w:cs="Arial"/>
          <w:lang w:val="es-CO" w:eastAsia="es-ES_tradnl"/>
        </w:rPr>
        <w:t xml:space="preserve"> Es una mezcla de hidrocarburos livianos constituidos principalmente por propano y butano, extraídos del procesamiento del gas natural o del petróleo, gaseosos en condiciones atmosféricas, que se licúan fácilmente por enfriamiento o compresión.</w:t>
      </w:r>
    </w:p>
    <w:p w:rsidR="007273FE" w:rsidRPr="007273FE" w:rsidRDefault="007273FE" w:rsidP="007273FE">
      <w:pPr>
        <w:ind w:left="284"/>
        <w:jc w:val="both"/>
        <w:rPr>
          <w:rFonts w:ascii="Bookman Old Style" w:hAnsi="Bookman Old Style" w:cs="Arial"/>
          <w:lang w:val="es-CO" w:eastAsia="es-ES_tradnl"/>
        </w:rPr>
      </w:pPr>
    </w:p>
    <w:p w:rsidR="007273FE" w:rsidRPr="007273FE" w:rsidRDefault="007273FE" w:rsidP="007273FE">
      <w:pPr>
        <w:ind w:left="284"/>
        <w:jc w:val="both"/>
        <w:rPr>
          <w:rFonts w:ascii="Bookman Old Style" w:hAnsi="Bookman Old Style" w:cs="Arial"/>
          <w:lang w:val="es-CO" w:eastAsia="es-ES_tradnl"/>
        </w:rPr>
      </w:pPr>
      <w:r w:rsidRPr="007273FE">
        <w:rPr>
          <w:rFonts w:ascii="Bookman Old Style" w:hAnsi="Bookman Old Style" w:cs="Arial"/>
          <w:b/>
          <w:lang w:val="es-CO" w:eastAsia="es-ES_tradnl"/>
        </w:rPr>
        <w:t xml:space="preserve">Gas Natural Comprimido Vehicular – </w:t>
      </w:r>
      <w:proofErr w:type="spellStart"/>
      <w:r w:rsidRPr="007273FE">
        <w:rPr>
          <w:rFonts w:ascii="Bookman Old Style" w:hAnsi="Bookman Old Style" w:cs="Arial"/>
          <w:b/>
          <w:lang w:val="es-CO" w:eastAsia="es-ES_tradnl"/>
        </w:rPr>
        <w:t>GNCV</w:t>
      </w:r>
      <w:proofErr w:type="spellEnd"/>
      <w:r w:rsidRPr="007273FE">
        <w:rPr>
          <w:rFonts w:ascii="Bookman Old Style" w:hAnsi="Bookman Old Style" w:cs="Arial"/>
          <w:b/>
          <w:lang w:val="es-CO" w:eastAsia="es-ES_tradnl"/>
        </w:rPr>
        <w:t>:</w:t>
      </w:r>
      <w:r w:rsidRPr="007273FE">
        <w:rPr>
          <w:rFonts w:ascii="Bookman Old Style" w:hAnsi="Bookman Old Style" w:cs="Arial"/>
          <w:lang w:val="es-CO" w:eastAsia="es-ES_tradnl"/>
        </w:rPr>
        <w:t xml:space="preserve"> Es una mezcla de hidrocarburos, principalmente metano, conocido como Gas Natural, cuya presión se aumenta a través de un proceso de compresión y se almacena en recipientes cilíndricos de alta resistencia, para ser utilizado como combustible en vehículos automotores. </w:t>
      </w:r>
    </w:p>
    <w:p w:rsidR="007273FE" w:rsidRPr="007273FE" w:rsidRDefault="007273FE" w:rsidP="007273FE">
      <w:pPr>
        <w:ind w:left="284"/>
        <w:jc w:val="both"/>
        <w:rPr>
          <w:rFonts w:ascii="Bookman Old Style" w:hAnsi="Bookman Old Style" w:cs="Arial"/>
          <w:lang w:val="es-CO" w:eastAsia="es-ES_tradnl"/>
        </w:rPr>
      </w:pPr>
    </w:p>
    <w:p w:rsidR="007273FE" w:rsidRPr="007273FE" w:rsidRDefault="007273FE" w:rsidP="007273FE">
      <w:pPr>
        <w:ind w:left="284"/>
        <w:jc w:val="both"/>
        <w:rPr>
          <w:rFonts w:ascii="Bookman Old Style" w:hAnsi="Bookman Old Style" w:cs="Arial"/>
          <w:bCs/>
          <w:lang w:val="es-CO" w:eastAsia="es-ES_tradnl"/>
        </w:rPr>
      </w:pPr>
      <w:r w:rsidRPr="007273FE">
        <w:rPr>
          <w:rFonts w:ascii="Bookman Old Style" w:hAnsi="Bookman Old Style" w:cs="Arial"/>
          <w:b/>
          <w:bCs/>
          <w:lang w:val="es-CO" w:eastAsia="es-ES_tradnl"/>
        </w:rPr>
        <w:lastRenderedPageBreak/>
        <w:t xml:space="preserve">Gas Licuado de Petróleo Vehicular - </w:t>
      </w:r>
      <w:proofErr w:type="spellStart"/>
      <w:r w:rsidRPr="007273FE">
        <w:rPr>
          <w:rFonts w:ascii="Bookman Old Style" w:hAnsi="Bookman Old Style" w:cs="Arial"/>
          <w:b/>
          <w:bCs/>
          <w:lang w:val="es-CO" w:eastAsia="es-ES_tradnl"/>
        </w:rPr>
        <w:t>GLPV</w:t>
      </w:r>
      <w:proofErr w:type="spellEnd"/>
      <w:r w:rsidRPr="007273FE">
        <w:rPr>
          <w:rFonts w:ascii="Bookman Old Style" w:hAnsi="Bookman Old Style" w:cs="Arial"/>
          <w:b/>
          <w:bCs/>
          <w:lang w:val="es-CO" w:eastAsia="es-ES_tradnl"/>
        </w:rPr>
        <w:t>:</w:t>
      </w:r>
      <w:r w:rsidRPr="007273FE">
        <w:rPr>
          <w:rFonts w:ascii="Bookman Old Style" w:hAnsi="Bookman Old Style" w:cs="Arial"/>
          <w:bCs/>
          <w:lang w:val="es-CO" w:eastAsia="es-ES_tradnl"/>
        </w:rPr>
        <w:t xml:space="preserve"> Gas Licuado de Petróleo - </w:t>
      </w:r>
      <w:proofErr w:type="spellStart"/>
      <w:r w:rsidRPr="007273FE">
        <w:rPr>
          <w:rFonts w:ascii="Bookman Old Style" w:hAnsi="Bookman Old Style" w:cs="Arial"/>
          <w:bCs/>
          <w:lang w:val="es-CO" w:eastAsia="es-ES_tradnl"/>
        </w:rPr>
        <w:t>GLP</w:t>
      </w:r>
      <w:proofErr w:type="spellEnd"/>
      <w:r w:rsidRPr="007273FE">
        <w:rPr>
          <w:rFonts w:ascii="Bookman Old Style" w:hAnsi="Bookman Old Style" w:cs="Arial"/>
          <w:bCs/>
          <w:lang w:val="es-CO" w:eastAsia="es-ES_tradnl"/>
        </w:rPr>
        <w:t xml:space="preserve"> utilizado específicamente como carburante o combustible en vehículos automotores de circulación terrestre, de conformidad con la definición que establezca el Ministerio de Minas y Energía. </w:t>
      </w:r>
    </w:p>
    <w:p w:rsidR="007273FE" w:rsidRPr="007273FE" w:rsidRDefault="007273FE" w:rsidP="007273FE">
      <w:pPr>
        <w:ind w:left="284"/>
        <w:jc w:val="both"/>
        <w:rPr>
          <w:rFonts w:ascii="Bookman Old Style" w:hAnsi="Bookman Old Style" w:cs="Arial"/>
          <w:bCs/>
          <w:lang w:val="es-CO" w:eastAsia="es-ES_tradnl"/>
        </w:rPr>
      </w:pPr>
    </w:p>
    <w:p w:rsidR="007273FE" w:rsidRPr="007273FE" w:rsidRDefault="007273FE" w:rsidP="007273FE">
      <w:pPr>
        <w:ind w:left="284"/>
        <w:jc w:val="both"/>
        <w:rPr>
          <w:rFonts w:ascii="Bookman Old Style" w:hAnsi="Bookman Old Style" w:cs="Arial"/>
          <w:b/>
          <w:lang w:val="es-CO" w:eastAsia="es-ES_tradnl"/>
        </w:rPr>
      </w:pPr>
      <w:r w:rsidRPr="007273FE">
        <w:rPr>
          <w:rFonts w:ascii="Bookman Old Style" w:hAnsi="Bookman Old Style" w:cs="Arial"/>
          <w:b/>
          <w:bCs/>
          <w:lang w:val="es-CO" w:eastAsia="es-ES_tradnl"/>
        </w:rPr>
        <w:t xml:space="preserve">Gas Licuado de Petróleo Náutico - </w:t>
      </w:r>
      <w:proofErr w:type="spellStart"/>
      <w:r w:rsidRPr="007273FE">
        <w:rPr>
          <w:rFonts w:ascii="Bookman Old Style" w:hAnsi="Bookman Old Style" w:cs="Arial"/>
          <w:b/>
          <w:bCs/>
          <w:lang w:val="es-CO" w:eastAsia="es-ES_tradnl"/>
        </w:rPr>
        <w:t>GLPN</w:t>
      </w:r>
      <w:proofErr w:type="spellEnd"/>
      <w:r w:rsidRPr="007273FE">
        <w:rPr>
          <w:rFonts w:ascii="Bookman Old Style" w:hAnsi="Bookman Old Style" w:cs="Arial"/>
          <w:b/>
          <w:bCs/>
          <w:lang w:val="es-CO" w:eastAsia="es-ES_tradnl"/>
        </w:rPr>
        <w:t>:</w:t>
      </w:r>
      <w:r w:rsidRPr="007273FE">
        <w:rPr>
          <w:rFonts w:ascii="Bookman Old Style" w:hAnsi="Bookman Old Style"/>
          <w:lang w:val="es-CO" w:eastAsia="es-ES_tradnl"/>
        </w:rPr>
        <w:t xml:space="preserve"> </w:t>
      </w:r>
      <w:r w:rsidRPr="007273FE">
        <w:rPr>
          <w:rFonts w:ascii="Bookman Old Style" w:hAnsi="Bookman Old Style" w:cs="Arial"/>
          <w:bCs/>
          <w:lang w:val="es-CO" w:eastAsia="es-ES_tradnl"/>
        </w:rPr>
        <w:t xml:space="preserve">Gas Licuado de Petróleo - </w:t>
      </w:r>
      <w:proofErr w:type="spellStart"/>
      <w:r w:rsidRPr="007273FE">
        <w:rPr>
          <w:rFonts w:ascii="Bookman Old Style" w:hAnsi="Bookman Old Style" w:cs="Arial"/>
          <w:bCs/>
          <w:lang w:val="es-CO" w:eastAsia="es-ES_tradnl"/>
        </w:rPr>
        <w:t>GLP</w:t>
      </w:r>
      <w:proofErr w:type="spellEnd"/>
      <w:r w:rsidRPr="007273FE">
        <w:rPr>
          <w:rFonts w:ascii="Bookman Old Style" w:hAnsi="Bookman Old Style" w:cs="Arial"/>
          <w:bCs/>
          <w:lang w:val="es-CO" w:eastAsia="es-ES_tradnl"/>
        </w:rPr>
        <w:t xml:space="preserve"> utilizado específicamente como carburante o combustible en embarcaciones marítimas o fluviales a motor, de conformidad con la definición que establezca el Ministerio de Minas y Energía.</w:t>
      </w:r>
      <w:r w:rsidRPr="007273FE">
        <w:rPr>
          <w:rFonts w:ascii="Bookman Old Style" w:hAnsi="Bookman Old Style" w:cs="Arial"/>
          <w:b/>
          <w:bCs/>
          <w:lang w:val="es-CO" w:eastAsia="es-ES_tradnl"/>
        </w:rPr>
        <w:t xml:space="preserve">  </w:t>
      </w:r>
    </w:p>
    <w:p w:rsidR="007273FE" w:rsidRPr="007273FE" w:rsidRDefault="007273FE" w:rsidP="007273FE">
      <w:pPr>
        <w:ind w:left="284"/>
        <w:jc w:val="both"/>
        <w:rPr>
          <w:rFonts w:ascii="Bookman Old Style" w:hAnsi="Bookman Old Style" w:cs="Arial"/>
          <w:b/>
          <w:lang w:val="es-CO" w:eastAsia="es-ES_tradnl"/>
        </w:rPr>
      </w:pPr>
    </w:p>
    <w:p w:rsidR="007273FE" w:rsidRPr="007273FE" w:rsidRDefault="007273FE" w:rsidP="007273FE">
      <w:pPr>
        <w:ind w:left="284"/>
        <w:jc w:val="both"/>
        <w:rPr>
          <w:rFonts w:ascii="Bookman Old Style" w:hAnsi="Bookman Old Style" w:cs="Arial"/>
          <w:b/>
          <w:lang w:val="es-CO" w:eastAsia="es-ES_tradnl"/>
        </w:rPr>
      </w:pPr>
      <w:r w:rsidRPr="007273FE">
        <w:rPr>
          <w:rFonts w:ascii="Bookman Old Style" w:hAnsi="Bookman Old Style" w:cs="Arial"/>
          <w:b/>
          <w:lang w:val="es-CO" w:eastAsia="es-ES_tradnl"/>
        </w:rPr>
        <w:t xml:space="preserve">Publicidad Exterior Visual – </w:t>
      </w:r>
      <w:proofErr w:type="spellStart"/>
      <w:r w:rsidRPr="007273FE">
        <w:rPr>
          <w:rFonts w:ascii="Bookman Old Style" w:hAnsi="Bookman Old Style" w:cs="Arial"/>
          <w:b/>
          <w:lang w:val="es-CO" w:eastAsia="es-ES_tradnl"/>
        </w:rPr>
        <w:t>PEV</w:t>
      </w:r>
      <w:proofErr w:type="spellEnd"/>
      <w:r w:rsidRPr="007273FE">
        <w:rPr>
          <w:rFonts w:ascii="Bookman Old Style" w:hAnsi="Bookman Old Style" w:cs="Arial"/>
          <w:lang w:val="es-CO" w:eastAsia="es-ES_tradnl"/>
        </w:rPr>
        <w:t>:</w:t>
      </w:r>
      <w:r w:rsidRPr="007273FE">
        <w:rPr>
          <w:rFonts w:ascii="Bookman Old Style" w:hAnsi="Bookman Old Style"/>
          <w:lang w:val="es-CO" w:eastAsia="es-ES_tradnl"/>
        </w:rPr>
        <w:t xml:space="preserve"> </w:t>
      </w:r>
      <w:r w:rsidRPr="007273FE">
        <w:rPr>
          <w:rFonts w:ascii="Bookman Old Style" w:hAnsi="Bookman Old Style" w:cs="Arial"/>
          <w:lang w:val="es-CO" w:eastAsia="es-ES_tradnl"/>
        </w:rPr>
        <w:t>Se entiende por Publicidad Exterior Visual, el medio masivo de comunicación destinado a informar o llamar la atención del público a través de elementos visuales como leyendas, inscripciones, dibujos, fotografías, signos o similares, visibles desde las vías de uso o dominio público, bien sean peatonales o vehiculares, terrestres, fluviales, marítimas o aéreas.</w:t>
      </w:r>
      <w:r w:rsidRPr="007273FE">
        <w:rPr>
          <w:rFonts w:ascii="Bookman Old Style" w:hAnsi="Bookman Old Style" w:cs="Arial"/>
          <w:b/>
          <w:lang w:val="es-CO" w:eastAsia="es-ES_tradnl"/>
        </w:rPr>
        <w:cr/>
      </w:r>
    </w:p>
    <w:p w:rsidR="007273FE" w:rsidRPr="007273FE" w:rsidRDefault="007273FE" w:rsidP="007273FE">
      <w:pPr>
        <w:jc w:val="both"/>
        <w:rPr>
          <w:rFonts w:ascii="Bookman Old Style" w:hAnsi="Bookman Old Style" w:cs="Arial"/>
          <w:lang w:val="es-CO" w:eastAsia="es-ES_tradnl"/>
        </w:rPr>
      </w:pPr>
      <w:r w:rsidRPr="007273FE">
        <w:rPr>
          <w:rFonts w:ascii="Bookman Old Style" w:hAnsi="Bookman Old Style" w:cs="Arial"/>
          <w:b/>
          <w:lang w:val="es-CO" w:eastAsia="es-ES_tradnl"/>
        </w:rPr>
        <w:t xml:space="preserve">ARTÍCULO 3. ABASTECIMIENTO Y OFERTA NACIONAL DE GAS COMBUSTIBLE. </w:t>
      </w:r>
      <w:r w:rsidRPr="007273FE">
        <w:rPr>
          <w:rFonts w:ascii="Bookman Old Style" w:hAnsi="Bookman Old Style" w:cs="Arial"/>
          <w:lang w:val="es-CO" w:eastAsia="es-ES_tradnl"/>
        </w:rPr>
        <w:t>El Gobierno Nacional dictará normas que garanticen el abastecimiento y la confiabilidad en el suministro de gas combustible en el mercado.  Para efectos de incrementar la oferta, establecerá mecanismos que viabilicen las importaciones y promuevan la producción nacional, a través de la promoción de proyectos que optimicen el aprovechamiento del gas combustible en toda la cadena productiva, procesos de transporte y usos internos, siguiendo criterios de eficiencia energética y responsabilidad ambiental. Para ello tendrá en cuenta la implementación de nuevas tecnologías e infraestructura que se encuentren disponibles.</w:t>
      </w:r>
    </w:p>
    <w:p w:rsidR="007273FE" w:rsidRPr="007273FE" w:rsidRDefault="007273FE" w:rsidP="007273FE">
      <w:pPr>
        <w:ind w:left="284"/>
        <w:jc w:val="both"/>
        <w:rPr>
          <w:rFonts w:ascii="Bookman Old Style" w:hAnsi="Bookman Old Style" w:cs="Arial"/>
          <w:lang w:val="es-CO" w:eastAsia="es-ES_tradnl"/>
        </w:rPr>
      </w:pPr>
    </w:p>
    <w:p w:rsidR="007273FE" w:rsidRPr="007273FE" w:rsidRDefault="007273FE" w:rsidP="007273FE">
      <w:pPr>
        <w:spacing w:after="120"/>
        <w:ind w:right="48"/>
        <w:jc w:val="both"/>
        <w:rPr>
          <w:rFonts w:ascii="Bookman Old Style" w:hAnsi="Bookman Old Style" w:cs="Arial"/>
          <w:iCs/>
          <w:lang w:val="es-CO" w:eastAsia="es-ES_tradnl"/>
        </w:rPr>
      </w:pPr>
      <w:r w:rsidRPr="007273FE">
        <w:rPr>
          <w:rFonts w:ascii="Bookman Old Style" w:hAnsi="Bookman Old Style" w:cs="Arial"/>
          <w:b/>
          <w:iCs/>
          <w:lang w:val="es-CO" w:eastAsia="es-ES_tradnl"/>
        </w:rPr>
        <w:t>ARTÍCULO 4. DESARROLLO DEL GAS NATURAL LICUADO Y EL GAS LICUADO DE PETRÓLEO</w:t>
      </w:r>
      <w:r w:rsidRPr="007273FE">
        <w:rPr>
          <w:rFonts w:ascii="Bookman Old Style" w:hAnsi="Bookman Old Style" w:cs="Arial"/>
          <w:iCs/>
          <w:lang w:val="es-CO" w:eastAsia="es-ES_tradnl"/>
        </w:rPr>
        <w:t xml:space="preserve">. Dentro de los doce (12) meses siguientes a la entrada en vigencia de la presente Ley, el Gobierno Nacional con el liderazgo del Ministerio de Minas y Energía y la Comisión de Regulación de Energía y Gas - </w:t>
      </w:r>
      <w:proofErr w:type="spellStart"/>
      <w:r w:rsidRPr="007273FE">
        <w:rPr>
          <w:rFonts w:ascii="Bookman Old Style" w:hAnsi="Bookman Old Style" w:cs="Arial"/>
          <w:iCs/>
          <w:lang w:val="es-CO" w:eastAsia="es-ES_tradnl"/>
        </w:rPr>
        <w:t>CREG</w:t>
      </w:r>
      <w:proofErr w:type="spellEnd"/>
      <w:r w:rsidRPr="007273FE">
        <w:rPr>
          <w:rFonts w:ascii="Bookman Old Style" w:hAnsi="Bookman Old Style" w:cs="Arial"/>
          <w:iCs/>
          <w:lang w:val="es-CO" w:eastAsia="es-ES_tradnl"/>
        </w:rPr>
        <w:t>, adoptará una política pública que establezca las condiciones para promover la masificación del uso del Gas Natural Licuado y el Gas Licuado de Petróleo. Ésta deberá incluir tanto los temas técnicos y tecnológicos, como los temas tarifarios, de infraestructura, de abastecimiento y de mercado, y deberá integrarse o complementar los demás planes, programas y políticas definidas en la presente Ley.</w:t>
      </w:r>
    </w:p>
    <w:p w:rsidR="007273FE" w:rsidRPr="007273FE" w:rsidRDefault="007273FE" w:rsidP="007273FE">
      <w:pPr>
        <w:jc w:val="both"/>
        <w:rPr>
          <w:rFonts w:ascii="Bookman Old Style" w:hAnsi="Bookman Old Style"/>
          <w:b/>
          <w:lang w:val="es-CO" w:eastAsia="es-CO"/>
        </w:rPr>
      </w:pPr>
    </w:p>
    <w:p w:rsidR="007273FE" w:rsidRPr="007273FE" w:rsidRDefault="007273FE" w:rsidP="007273FE">
      <w:pPr>
        <w:jc w:val="both"/>
        <w:rPr>
          <w:rFonts w:ascii="Bookman Old Style" w:hAnsi="Bookman Old Style"/>
          <w:lang w:val="es-CO" w:eastAsia="es-CO"/>
        </w:rPr>
      </w:pPr>
      <w:r w:rsidRPr="007273FE">
        <w:rPr>
          <w:rFonts w:ascii="Bookman Old Style" w:hAnsi="Bookman Old Style"/>
          <w:b/>
          <w:lang w:val="es-CO" w:eastAsia="es-CO"/>
        </w:rPr>
        <w:t>ARTÍCULO 5.  INNOVACIÓN E IMPLEMENTACIÓN DE NUEVOS USOS DEL GAS LICUADO DE PETRÓLEO.</w:t>
      </w:r>
      <w:r w:rsidRPr="007273FE">
        <w:rPr>
          <w:rFonts w:ascii="Bookman Old Style" w:hAnsi="Bookman Old Style"/>
          <w:lang w:val="es-CO" w:eastAsia="es-CO"/>
        </w:rPr>
        <w:t xml:space="preserve"> Para la promoción del emprendimiento, investigación y desarrollo de nuevas tecnologías e innovación del uso del gas licuado de petróleo, el ministerio de minas y </w:t>
      </w:r>
      <w:r w:rsidRPr="007273FE">
        <w:rPr>
          <w:rFonts w:ascii="Bookman Old Style" w:hAnsi="Bookman Old Style"/>
          <w:lang w:val="es-CO" w:eastAsia="es-CO"/>
        </w:rPr>
        <w:lastRenderedPageBreak/>
        <w:t>energía, podrá incentivar la promoción del uso de nuevas tecnologías, mediante la cofinanciación de ejecución de proyectos, con cargo a su presupuesto.</w:t>
      </w:r>
    </w:p>
    <w:p w:rsidR="007273FE" w:rsidRPr="007273FE" w:rsidRDefault="007273FE" w:rsidP="007273FE">
      <w:pPr>
        <w:jc w:val="both"/>
        <w:rPr>
          <w:rFonts w:ascii="Bookman Old Style" w:hAnsi="Bookman Old Style"/>
          <w:lang w:val="es-CO" w:eastAsia="es-CO"/>
        </w:rPr>
      </w:pPr>
      <w:r w:rsidRPr="007273FE">
        <w:rPr>
          <w:rFonts w:ascii="Bookman Old Style" w:hAnsi="Bookman Old Style"/>
          <w:lang w:val="es-CO" w:eastAsia="es-CO"/>
        </w:rPr>
        <w:t xml:space="preserve"> </w:t>
      </w:r>
    </w:p>
    <w:p w:rsidR="007273FE" w:rsidRPr="007273FE" w:rsidRDefault="007273FE" w:rsidP="007273FE">
      <w:pPr>
        <w:spacing w:after="120"/>
        <w:ind w:left="284" w:right="48"/>
        <w:jc w:val="both"/>
        <w:rPr>
          <w:rFonts w:ascii="Bookman Old Style" w:hAnsi="Bookman Old Style" w:cs="Arial"/>
          <w:b/>
          <w:iCs/>
          <w:lang w:val="es-CO" w:eastAsia="es-ES_tradnl"/>
        </w:rPr>
      </w:pPr>
      <w:r w:rsidRPr="007273FE">
        <w:rPr>
          <w:rFonts w:ascii="Bookman Old Style" w:hAnsi="Bookman Old Style"/>
          <w:b/>
          <w:lang w:val="es-CO" w:eastAsia="es-CO"/>
        </w:rPr>
        <w:t>PARÁGRAFO.</w:t>
      </w:r>
      <w:r w:rsidRPr="007273FE">
        <w:rPr>
          <w:rFonts w:ascii="Bookman Old Style" w:hAnsi="Bookman Old Style"/>
          <w:lang w:val="es-CO" w:eastAsia="es-CO"/>
        </w:rPr>
        <w:t xml:space="preserve"> La regulación técnica para la implementación, estandarización, seguimiento, metodologías y protocolos de nuevas tecnologías para la intervención en el uso de gas licuado, se definirá por el ministerio de minas y energía.</w:t>
      </w:r>
    </w:p>
    <w:p w:rsidR="007273FE" w:rsidRPr="007273FE" w:rsidRDefault="007273FE" w:rsidP="007273FE">
      <w:pPr>
        <w:jc w:val="both"/>
        <w:rPr>
          <w:rFonts w:ascii="Bookman Old Style" w:hAnsi="Bookman Old Style" w:cs="Arial"/>
          <w:iCs/>
          <w:lang w:val="es-CO" w:eastAsia="es-ES_tradnl"/>
        </w:rPr>
      </w:pPr>
    </w:p>
    <w:p w:rsidR="007273FE" w:rsidRPr="007273FE" w:rsidRDefault="007273FE" w:rsidP="007273FE">
      <w:pPr>
        <w:jc w:val="both"/>
        <w:rPr>
          <w:rFonts w:ascii="Bookman Old Style" w:hAnsi="Bookman Old Style"/>
          <w:lang w:val="es-CO" w:eastAsia="es-ES_tradnl"/>
        </w:rPr>
      </w:pPr>
      <w:r w:rsidRPr="007273FE">
        <w:rPr>
          <w:rFonts w:ascii="Bookman Old Style" w:hAnsi="Bookman Old Style"/>
          <w:b/>
          <w:bCs/>
          <w:lang w:eastAsia="es-ES_tradnl"/>
        </w:rPr>
        <w:t xml:space="preserve">ARTÍCULO 6. SUBSIDIOS AL CONSUMO DE </w:t>
      </w:r>
      <w:proofErr w:type="spellStart"/>
      <w:r w:rsidRPr="007273FE">
        <w:rPr>
          <w:rFonts w:ascii="Bookman Old Style" w:hAnsi="Bookman Old Style"/>
          <w:b/>
          <w:bCs/>
          <w:lang w:eastAsia="es-ES_tradnl"/>
        </w:rPr>
        <w:t>GLP</w:t>
      </w:r>
      <w:proofErr w:type="spellEnd"/>
      <w:r w:rsidRPr="007273FE">
        <w:rPr>
          <w:rFonts w:ascii="Bookman Old Style" w:hAnsi="Bookman Old Style"/>
          <w:b/>
          <w:bCs/>
          <w:lang w:eastAsia="es-ES_tradnl"/>
        </w:rPr>
        <w:t xml:space="preserve"> DISTRIBUIDO POR CILINDROS.</w:t>
      </w:r>
      <w:r w:rsidRPr="007273FE">
        <w:rPr>
          <w:rFonts w:ascii="Bookman Old Style" w:hAnsi="Bookman Old Style"/>
          <w:lang w:eastAsia="es-ES_tradnl"/>
        </w:rPr>
        <w:t xml:space="preserve"> Los usuarios de comunidades indígenas y de los </w:t>
      </w:r>
      <w:r w:rsidRPr="007273FE">
        <w:rPr>
          <w:rFonts w:ascii="Bookman Old Style" w:hAnsi="Bookman Old Style"/>
          <w:lang w:eastAsia="es-CO"/>
        </w:rPr>
        <w:t xml:space="preserve">estratos socioeconómicos 1 y 2 de los departamentos atendidos actualmente en la Ley de presupuesto, tendrán subsidios al consumo del servicio público domiciliario de </w:t>
      </w:r>
      <w:proofErr w:type="spellStart"/>
      <w:r w:rsidRPr="007273FE">
        <w:rPr>
          <w:rFonts w:ascii="Bookman Old Style" w:hAnsi="Bookman Old Style"/>
          <w:lang w:eastAsia="es-CO"/>
        </w:rPr>
        <w:t>GLP</w:t>
      </w:r>
      <w:proofErr w:type="spellEnd"/>
      <w:r w:rsidRPr="007273FE">
        <w:rPr>
          <w:rFonts w:ascii="Bookman Old Style" w:hAnsi="Bookman Old Style"/>
          <w:lang w:eastAsia="es-CO"/>
        </w:rPr>
        <w:t xml:space="preserve"> distribuido por cilindros, según los lineamientos establecidos por la Ley 142 de 1994, la Ley 1955 de 2019 y los procedimientos determinados por los Ministerios de Minas y Energía y Hacienda y Crédito Público. El monto máximo a subsidiar para el estrato 1 será el 50% y para el estrato 2 el 40% del consumo de subsistencia definido por la </w:t>
      </w:r>
      <w:proofErr w:type="spellStart"/>
      <w:r w:rsidRPr="007273FE">
        <w:rPr>
          <w:rFonts w:ascii="Bookman Old Style" w:hAnsi="Bookman Old Style"/>
          <w:lang w:eastAsia="es-CO"/>
        </w:rPr>
        <w:t>UPME</w:t>
      </w:r>
      <w:proofErr w:type="spellEnd"/>
      <w:r w:rsidRPr="007273FE">
        <w:rPr>
          <w:rFonts w:ascii="Bookman Old Style" w:hAnsi="Bookman Old Style"/>
          <w:lang w:eastAsia="es-CO"/>
        </w:rPr>
        <w:t>.</w:t>
      </w:r>
    </w:p>
    <w:p w:rsidR="007273FE" w:rsidRPr="007273FE" w:rsidRDefault="007273FE" w:rsidP="007273FE">
      <w:pPr>
        <w:rPr>
          <w:rFonts w:ascii="Bookman Old Style" w:hAnsi="Bookman Old Style"/>
          <w:lang w:val="es-CO" w:eastAsia="es-ES_tradnl"/>
        </w:rPr>
      </w:pPr>
    </w:p>
    <w:p w:rsidR="007273FE" w:rsidRDefault="007273FE" w:rsidP="007273FE">
      <w:pPr>
        <w:ind w:left="284"/>
        <w:jc w:val="both"/>
        <w:rPr>
          <w:rFonts w:ascii="Bookman Old Style" w:hAnsi="Bookman Old Style"/>
          <w:shd w:val="clear" w:color="auto" w:fill="FFFFFF"/>
          <w:lang w:eastAsia="es-ES_tradnl"/>
        </w:rPr>
      </w:pPr>
      <w:r w:rsidRPr="007273FE">
        <w:rPr>
          <w:rFonts w:ascii="Bookman Old Style" w:hAnsi="Bookman Old Style"/>
          <w:b/>
          <w:bCs/>
          <w:shd w:val="clear" w:color="auto" w:fill="FFFFFF"/>
          <w:lang w:eastAsia="es-ES_tradnl"/>
        </w:rPr>
        <w:t>PARÁGRAFO</w:t>
      </w:r>
      <w:r>
        <w:rPr>
          <w:rFonts w:ascii="Bookman Old Style" w:hAnsi="Bookman Old Style"/>
          <w:b/>
          <w:bCs/>
          <w:shd w:val="clear" w:color="auto" w:fill="FFFFFF"/>
          <w:lang w:eastAsia="es-ES_tradnl"/>
        </w:rPr>
        <w:t xml:space="preserve"> 1</w:t>
      </w:r>
      <w:r w:rsidRPr="007273FE">
        <w:rPr>
          <w:rFonts w:ascii="Bookman Old Style" w:hAnsi="Bookman Old Style"/>
          <w:b/>
          <w:bCs/>
          <w:shd w:val="clear" w:color="auto" w:fill="FFFFFF"/>
          <w:lang w:eastAsia="es-ES_tradnl"/>
        </w:rPr>
        <w:t>.</w:t>
      </w:r>
      <w:r w:rsidRPr="007273FE">
        <w:rPr>
          <w:rFonts w:ascii="Bookman Old Style" w:hAnsi="Bookman Old Style"/>
          <w:shd w:val="clear" w:color="auto" w:fill="FFFFFF"/>
          <w:lang w:eastAsia="es-ES_tradnl"/>
        </w:rPr>
        <w:t xml:space="preserve"> El Ministerio de Minas y Energía, dentro de los doce (12) meses siguientes a la fecha de entrada en vigencia de la presente Ley, elaborará un estudio o plan sobre la ampliación de la cobertura del subsidio al </w:t>
      </w:r>
      <w:proofErr w:type="spellStart"/>
      <w:r w:rsidRPr="007273FE">
        <w:rPr>
          <w:rFonts w:ascii="Bookman Old Style" w:hAnsi="Bookman Old Style"/>
          <w:shd w:val="clear" w:color="auto" w:fill="FFFFFF"/>
          <w:lang w:eastAsia="es-ES_tradnl"/>
        </w:rPr>
        <w:t>GLP</w:t>
      </w:r>
      <w:proofErr w:type="spellEnd"/>
      <w:r w:rsidRPr="007273FE">
        <w:rPr>
          <w:rFonts w:ascii="Bookman Old Style" w:hAnsi="Bookman Old Style"/>
          <w:shd w:val="clear" w:color="auto" w:fill="FFFFFF"/>
          <w:lang w:eastAsia="es-ES_tradnl"/>
        </w:rPr>
        <w:t xml:space="preserve"> distribuido en cilindros a otros departamentos del país.</w:t>
      </w:r>
    </w:p>
    <w:p w:rsidR="007273FE" w:rsidRDefault="007273FE" w:rsidP="007273FE">
      <w:pPr>
        <w:ind w:left="284"/>
        <w:jc w:val="both"/>
        <w:rPr>
          <w:rFonts w:ascii="Bookman Old Style" w:hAnsi="Bookman Old Style"/>
          <w:lang w:val="es-CO" w:eastAsia="es-ES_tradnl"/>
        </w:rPr>
      </w:pPr>
    </w:p>
    <w:p w:rsidR="007273FE" w:rsidRPr="007273FE" w:rsidRDefault="007273FE" w:rsidP="007273FE">
      <w:pPr>
        <w:ind w:left="284"/>
        <w:jc w:val="both"/>
        <w:rPr>
          <w:rFonts w:ascii="Bookman Old Style" w:hAnsi="Bookman Old Style"/>
          <w:lang w:val="es-CO" w:eastAsia="es-ES_tradnl"/>
        </w:rPr>
      </w:pPr>
      <w:r w:rsidRPr="007273FE">
        <w:rPr>
          <w:rFonts w:ascii="Bookman Old Style" w:hAnsi="Bookman Old Style"/>
          <w:b/>
          <w:bCs/>
          <w:shd w:val="clear" w:color="auto" w:fill="FFFFFF"/>
          <w:lang w:eastAsia="es-ES_tradnl"/>
        </w:rPr>
        <w:t>PARÁGRAFO</w:t>
      </w:r>
      <w:r>
        <w:rPr>
          <w:rFonts w:ascii="Bookman Old Style" w:hAnsi="Bookman Old Style"/>
          <w:b/>
          <w:bCs/>
          <w:shd w:val="clear" w:color="auto" w:fill="FFFFFF"/>
          <w:lang w:eastAsia="es-ES_tradnl"/>
        </w:rPr>
        <w:t xml:space="preserve"> 2. </w:t>
      </w:r>
      <w:r>
        <w:rPr>
          <w:rFonts w:ascii="Bookman Old Style" w:hAnsi="Bookman Old Style"/>
          <w:bCs/>
          <w:shd w:val="clear" w:color="auto" w:fill="FFFFFF"/>
          <w:lang w:eastAsia="es-ES_tradnl"/>
        </w:rPr>
        <w:t xml:space="preserve"> Tanto la designación de los recursos destinados para los subsidios referidos en el presente artículo, como las condiciones o requisitos para que la población puedan acceder a los mismos, se regirán por el principio de progresividad.</w:t>
      </w:r>
    </w:p>
    <w:p w:rsidR="007273FE" w:rsidRPr="007273FE" w:rsidRDefault="007273FE" w:rsidP="007273FE">
      <w:pPr>
        <w:jc w:val="both"/>
        <w:rPr>
          <w:rFonts w:ascii="Bookman Old Style" w:hAnsi="Bookman Old Style"/>
          <w:b/>
          <w:lang w:eastAsia="es-CO"/>
        </w:rPr>
      </w:pPr>
    </w:p>
    <w:p w:rsidR="007273FE" w:rsidRPr="007273FE" w:rsidRDefault="007273FE" w:rsidP="007273FE">
      <w:pPr>
        <w:jc w:val="both"/>
        <w:rPr>
          <w:rFonts w:ascii="Bookman Old Style" w:hAnsi="Bookman Old Style"/>
          <w:lang w:eastAsia="es-CO"/>
        </w:rPr>
      </w:pPr>
      <w:r w:rsidRPr="007273FE">
        <w:rPr>
          <w:rFonts w:ascii="Bookman Old Style" w:hAnsi="Bookman Old Style"/>
          <w:b/>
          <w:lang w:eastAsia="es-CO"/>
        </w:rPr>
        <w:t>ARTÍCULO 7. PROGRAMA DE SUSTITUCIÓN DE LEÑA, CARBÓN Y RESIDUOS POR GAS COMBUSTIBLE.</w:t>
      </w:r>
      <w:r w:rsidRPr="007273FE">
        <w:rPr>
          <w:rFonts w:ascii="Bookman Old Style" w:hAnsi="Bookman Old Style"/>
          <w:lang w:eastAsia="es-CO"/>
        </w:rPr>
        <w:t xml:space="preserve"> El Gobierno Nacional establecerá el Programa de Sustitución de Leña, Carbón y Residuos por Gas Combustible, acorde con los lineamientos incluidos en la Ley 1955 de 2019, con el fin de asegurar el acceso al servicio de gas combustible a aquellas familias que continúan cocinando con leña, carbón y residuos.</w:t>
      </w:r>
    </w:p>
    <w:p w:rsidR="007273FE" w:rsidRPr="007273FE" w:rsidRDefault="007273FE" w:rsidP="007273FE">
      <w:pPr>
        <w:jc w:val="both"/>
        <w:rPr>
          <w:rFonts w:ascii="Bookman Old Style" w:hAnsi="Bookman Old Style"/>
          <w:lang w:eastAsia="es-CO"/>
        </w:rPr>
      </w:pPr>
    </w:p>
    <w:p w:rsidR="007273FE" w:rsidRPr="007273FE" w:rsidRDefault="007273FE" w:rsidP="007273FE">
      <w:pPr>
        <w:jc w:val="both"/>
        <w:rPr>
          <w:rFonts w:ascii="Bookman Old Style" w:hAnsi="Bookman Old Style"/>
          <w:lang w:eastAsia="es-CO"/>
        </w:rPr>
      </w:pPr>
      <w:r w:rsidRPr="007273FE">
        <w:rPr>
          <w:rFonts w:ascii="Bookman Old Style" w:hAnsi="Bookman Old Style"/>
          <w:lang w:eastAsia="es-CO"/>
        </w:rPr>
        <w:t xml:space="preserve">Dicho programa será implementado por el Ministerio de Minas y Energía con apoyo del Ministerio de Ambiente y Desarrollo Sostenible dentro de los seis (6) meses siguientes a la fecha de entrada en vigencia de la presente Ley, donde el Ministerio utilizará los recursos del Fondo Especial Cuota de Fomento para Gas Natural, para ejecutar los proyectos de gas natural dirigidos al desarrollo de infraestructura y conexión de usuarios. Así mismo, </w:t>
      </w:r>
      <w:r w:rsidRPr="007273FE">
        <w:rPr>
          <w:rFonts w:ascii="Bookman Old Style" w:hAnsi="Bookman Old Style"/>
          <w:lang w:eastAsia="es-CO"/>
        </w:rPr>
        <w:lastRenderedPageBreak/>
        <w:t xml:space="preserve">el Ministerio utilizará los recursos otorgados en el Presupuesto General de la Nación a infraestructura de </w:t>
      </w:r>
      <w:proofErr w:type="spellStart"/>
      <w:r w:rsidRPr="007273FE">
        <w:rPr>
          <w:rFonts w:ascii="Bookman Old Style" w:hAnsi="Bookman Old Style"/>
          <w:lang w:eastAsia="es-CO"/>
        </w:rPr>
        <w:t>GLP</w:t>
      </w:r>
      <w:proofErr w:type="spellEnd"/>
      <w:r w:rsidRPr="007273FE">
        <w:rPr>
          <w:rFonts w:ascii="Bookman Old Style" w:hAnsi="Bookman Old Style"/>
          <w:lang w:eastAsia="es-CO"/>
        </w:rPr>
        <w:t xml:space="preserve"> por red, para ejecutar los proyectos en cilindros y redes de </w:t>
      </w:r>
      <w:proofErr w:type="spellStart"/>
      <w:r w:rsidRPr="007273FE">
        <w:rPr>
          <w:rFonts w:ascii="Bookman Old Style" w:hAnsi="Bookman Old Style"/>
          <w:lang w:eastAsia="es-CO"/>
        </w:rPr>
        <w:t>GLP</w:t>
      </w:r>
      <w:proofErr w:type="spellEnd"/>
      <w:r w:rsidRPr="007273FE">
        <w:rPr>
          <w:rFonts w:ascii="Bookman Old Style" w:hAnsi="Bookman Old Style"/>
          <w:lang w:eastAsia="es-CO"/>
        </w:rPr>
        <w:t xml:space="preserve"> que hagan parte del presente programa. Por otro lado, el Ministerio de Ambiente y Desarrollo Sostenible financiará el suministro de las estufas y demás componentes, necesarios para su funcionamiento y sostenibilidad. </w:t>
      </w:r>
    </w:p>
    <w:p w:rsidR="007273FE" w:rsidRPr="007273FE" w:rsidRDefault="007273FE" w:rsidP="007273FE">
      <w:pPr>
        <w:jc w:val="both"/>
        <w:rPr>
          <w:rFonts w:ascii="Bookman Old Style" w:hAnsi="Bookman Old Style"/>
          <w:lang w:eastAsia="es-CO"/>
        </w:rPr>
      </w:pPr>
    </w:p>
    <w:p w:rsidR="007273FE" w:rsidRPr="007273FE" w:rsidRDefault="007273FE" w:rsidP="007273FE">
      <w:pPr>
        <w:spacing w:before="100" w:beforeAutospacing="1" w:afterAutospacing="1"/>
        <w:ind w:left="284"/>
        <w:jc w:val="both"/>
        <w:rPr>
          <w:rFonts w:ascii="Bookman Old Style" w:hAnsi="Bookman Old Style"/>
          <w:lang w:eastAsia="es-CO"/>
        </w:rPr>
      </w:pPr>
      <w:r w:rsidRPr="007273FE">
        <w:rPr>
          <w:rFonts w:ascii="Bookman Old Style" w:hAnsi="Bookman Old Style"/>
          <w:b/>
          <w:lang w:eastAsia="es-CO"/>
        </w:rPr>
        <w:t xml:space="preserve">PARÁGRAFO 1. </w:t>
      </w:r>
      <w:r w:rsidRPr="007273FE">
        <w:rPr>
          <w:rFonts w:ascii="Bookman Old Style" w:eastAsia="Calibri" w:hAnsi="Bookman Old Style"/>
          <w:lang w:val="es-CO" w:eastAsia="en-US"/>
        </w:rPr>
        <w:t>El</w:t>
      </w:r>
      <w:r w:rsidRPr="007273FE">
        <w:rPr>
          <w:rFonts w:ascii="Bookman Old Style" w:hAnsi="Bookman Old Style"/>
          <w:lang w:eastAsia="es-CO"/>
        </w:rPr>
        <w:t xml:space="preserve"> Ministerio de Minas y Energía, el Ministerio de Ambiente y Desarrollo Sostenible y el Ministerio de Salud y Protección Social, trabajarán mancomunadamente en el seguimiento y control del Presente Programa, para contribuir al mejoramiento de la calidad de vida de la población, la equidad energética y la disminución de los impactos negativos en la salud y el ambiente </w:t>
      </w:r>
    </w:p>
    <w:p w:rsidR="007273FE" w:rsidRPr="007273FE" w:rsidRDefault="007273FE" w:rsidP="007273FE">
      <w:pPr>
        <w:spacing w:before="100" w:beforeAutospacing="1" w:afterAutospacing="1"/>
        <w:ind w:left="284"/>
        <w:jc w:val="both"/>
        <w:rPr>
          <w:rFonts w:ascii="Bookman Old Style" w:hAnsi="Bookman Old Style"/>
          <w:lang w:eastAsia="es-CO"/>
        </w:rPr>
      </w:pPr>
      <w:r w:rsidRPr="007273FE">
        <w:rPr>
          <w:rFonts w:ascii="Bookman Old Style" w:hAnsi="Bookman Old Style"/>
          <w:b/>
          <w:lang w:eastAsia="es-CO"/>
        </w:rPr>
        <w:t>PARÁGRAFO 2.</w:t>
      </w:r>
      <w:r w:rsidRPr="007273FE">
        <w:rPr>
          <w:rFonts w:ascii="Bookman Old Style" w:hAnsi="Bookman Old Style"/>
          <w:lang w:eastAsia="es-CO"/>
        </w:rPr>
        <w:t xml:space="preserve"> El Ministerio de Minas y Energía definirá al responsable que asegurará el mantenimiento y la revisión periódica de las redes internas, garantizando la prestación eficiente y segura del servicio. </w:t>
      </w:r>
    </w:p>
    <w:p w:rsidR="007273FE" w:rsidRPr="007273FE" w:rsidRDefault="007273FE" w:rsidP="007273FE">
      <w:pPr>
        <w:jc w:val="both"/>
        <w:rPr>
          <w:rFonts w:ascii="Bookman Old Style" w:hAnsi="Bookman Old Style" w:cs="Arial"/>
          <w:lang w:val="es-CO" w:eastAsia="es-ES_tradnl"/>
        </w:rPr>
      </w:pPr>
      <w:r w:rsidRPr="007273FE">
        <w:rPr>
          <w:rFonts w:ascii="Bookman Old Style" w:hAnsi="Bookman Old Style" w:cs="Arial"/>
          <w:b/>
          <w:lang w:val="es-CO" w:eastAsia="es-ES_tradnl"/>
        </w:rPr>
        <w:t xml:space="preserve">ARTÍCULO 8. GENERACIÓN DE ENERGÍA ELÉCTRICA CON GAS COMBUSTIBLE. </w:t>
      </w:r>
      <w:r w:rsidRPr="007273FE">
        <w:rPr>
          <w:rFonts w:ascii="Bookman Old Style" w:hAnsi="Bookman Old Style" w:cs="Arial"/>
          <w:lang w:val="es-CO" w:eastAsia="es-ES_tradnl"/>
        </w:rPr>
        <w:t xml:space="preserve">El Gobierno Nacional priorizará los proyectos de sustitución de diésel por gas combustible. </w:t>
      </w:r>
      <w:r w:rsidRPr="007273FE">
        <w:rPr>
          <w:rFonts w:ascii="Bookman Old Style" w:hAnsi="Bookman Old Style" w:cs="Arial"/>
          <w:bCs/>
          <w:lang w:val="es-CO" w:eastAsia="es-ES_tradnl"/>
        </w:rPr>
        <w:t>E</w:t>
      </w:r>
      <w:r w:rsidRPr="007273FE">
        <w:rPr>
          <w:rFonts w:ascii="Bookman Old Style" w:hAnsi="Bookman Old Style" w:cs="Arial"/>
          <w:lang w:val="es-CO" w:eastAsia="es-ES_tradnl"/>
        </w:rPr>
        <w:t>l Instituto de Planificación y Promoción de Soluciones Energéticas para las Zonas No Interconectadas (</w:t>
      </w:r>
      <w:proofErr w:type="spellStart"/>
      <w:r w:rsidRPr="007273FE">
        <w:rPr>
          <w:rFonts w:ascii="Bookman Old Style" w:hAnsi="Bookman Old Style" w:cs="Arial"/>
          <w:lang w:val="es-CO" w:eastAsia="es-ES_tradnl"/>
        </w:rPr>
        <w:t>IPSE</w:t>
      </w:r>
      <w:proofErr w:type="spellEnd"/>
      <w:r w:rsidRPr="007273FE">
        <w:rPr>
          <w:rFonts w:ascii="Bookman Old Style" w:hAnsi="Bookman Old Style" w:cs="Arial"/>
          <w:lang w:val="es-CO" w:eastAsia="es-ES_tradnl"/>
        </w:rPr>
        <w:t xml:space="preserve">) o quien haga sus veces, iniciará un plan de implementación de proyectos de sustitución de diésel por gas combustible con criterios de eficiencia económica, dentro de los doce (12) meses siguientes a la fecha de entrada en vigencia de la presente Ley y acorde con los lineamientos incluidos en el artículo 287, parágrafo 1º de la Ley 1955 de 2019. </w:t>
      </w:r>
    </w:p>
    <w:p w:rsidR="007273FE" w:rsidRPr="007273FE" w:rsidRDefault="007273FE" w:rsidP="007273FE">
      <w:pPr>
        <w:ind w:left="284"/>
        <w:jc w:val="both"/>
        <w:rPr>
          <w:rFonts w:ascii="Bookman Old Style" w:hAnsi="Bookman Old Style" w:cs="Arial"/>
          <w:b/>
          <w:bCs/>
          <w:lang w:val="es-CO" w:eastAsia="es-ES_tradnl"/>
        </w:rPr>
      </w:pPr>
    </w:p>
    <w:p w:rsidR="007273FE" w:rsidRPr="007273FE" w:rsidRDefault="007273FE" w:rsidP="007273FE">
      <w:pPr>
        <w:ind w:left="284"/>
        <w:jc w:val="both"/>
        <w:rPr>
          <w:rFonts w:ascii="Bookman Old Style" w:hAnsi="Bookman Old Style" w:cs="Arial"/>
          <w:lang w:val="es-CO" w:eastAsia="es-ES_tradnl"/>
        </w:rPr>
      </w:pPr>
      <w:r w:rsidRPr="007273FE">
        <w:rPr>
          <w:rFonts w:ascii="Bookman Old Style" w:hAnsi="Bookman Old Style" w:cs="Arial"/>
          <w:b/>
          <w:bCs/>
          <w:lang w:val="es-CO" w:eastAsia="es-ES_tradnl"/>
        </w:rPr>
        <w:t>PARÁGRAFO.</w:t>
      </w:r>
      <w:r w:rsidRPr="007273FE">
        <w:rPr>
          <w:rFonts w:ascii="Bookman Old Style" w:hAnsi="Bookman Old Style" w:cs="Arial"/>
          <w:lang w:val="es-CO" w:eastAsia="es-ES_tradnl"/>
        </w:rPr>
        <w:t xml:space="preserve"> Para efectos de impulsar los Proyectos de Sustitución de Diésel por gas combustible, el Ministerio de Minas y Energía dictará las disposiciones necesarias en lo referente a la destinación desde los Fondos de Apoyo Financiero para la Energización de las Zonas no Interconectadas - </w:t>
      </w:r>
      <w:proofErr w:type="spellStart"/>
      <w:r w:rsidRPr="007273FE">
        <w:rPr>
          <w:rFonts w:ascii="Bookman Old Style" w:hAnsi="Bookman Old Style" w:cs="Arial"/>
          <w:lang w:val="es-CO" w:eastAsia="es-ES_tradnl"/>
        </w:rPr>
        <w:t>FAZNI</w:t>
      </w:r>
      <w:proofErr w:type="spellEnd"/>
      <w:r w:rsidRPr="007273FE">
        <w:rPr>
          <w:rFonts w:ascii="Bookman Old Style" w:hAnsi="Bookman Old Style" w:cs="Arial"/>
          <w:lang w:val="es-CO" w:eastAsia="es-ES_tradnl"/>
        </w:rPr>
        <w:t xml:space="preserve"> y Zonas Rurales I</w:t>
      </w:r>
      <w:r w:rsidRPr="007273FE">
        <w:rPr>
          <w:rFonts w:ascii="Bookman Old Style" w:hAnsi="Bookman Old Style" w:cs="Arial"/>
          <w:b/>
          <w:bCs/>
          <w:shd w:val="clear" w:color="auto" w:fill="F5F5F5"/>
          <w:lang w:val="es-CO" w:eastAsia="es-ES_tradnl"/>
        </w:rPr>
        <w:t xml:space="preserve">nterconectadas – </w:t>
      </w:r>
      <w:proofErr w:type="spellStart"/>
      <w:r w:rsidRPr="007273FE">
        <w:rPr>
          <w:rFonts w:ascii="Bookman Old Style" w:hAnsi="Bookman Old Style" w:cs="Arial"/>
          <w:b/>
          <w:bCs/>
          <w:shd w:val="clear" w:color="auto" w:fill="F5F5F5"/>
          <w:lang w:val="es-CO" w:eastAsia="es-ES_tradnl"/>
        </w:rPr>
        <w:t>FAER</w:t>
      </w:r>
      <w:proofErr w:type="spellEnd"/>
      <w:r w:rsidRPr="007273FE">
        <w:rPr>
          <w:rFonts w:ascii="Bookman Old Style" w:hAnsi="Bookman Old Style" w:cs="Arial"/>
          <w:lang w:val="es-CO" w:eastAsia="es-ES_tradnl"/>
        </w:rPr>
        <w:t xml:space="preserve"> y cupos de electro combustibles</w:t>
      </w:r>
      <w:r w:rsidRPr="007273FE">
        <w:rPr>
          <w:rFonts w:ascii="Bookman Old Style" w:hAnsi="Bookman Old Style" w:cs="Arial"/>
          <w:b/>
          <w:lang w:val="es-CO" w:eastAsia="es-ES_tradnl"/>
        </w:rPr>
        <w:t>,</w:t>
      </w:r>
      <w:r w:rsidRPr="007273FE" w:rsidDel="00A32C3B">
        <w:rPr>
          <w:rFonts w:ascii="Bookman Old Style" w:hAnsi="Bookman Old Style" w:cs="Arial"/>
          <w:lang w:val="es-CO" w:eastAsia="es-ES_tradnl"/>
        </w:rPr>
        <w:t xml:space="preserve"> </w:t>
      </w:r>
      <w:r w:rsidRPr="007273FE">
        <w:rPr>
          <w:rFonts w:ascii="Bookman Old Style" w:hAnsi="Bookman Old Style" w:cs="Arial"/>
          <w:lang w:val="es-CO" w:eastAsia="es-ES_tradnl"/>
        </w:rPr>
        <w:t>para la generación de energía eléctrica.</w:t>
      </w:r>
    </w:p>
    <w:p w:rsidR="007273FE" w:rsidRPr="007273FE" w:rsidRDefault="007273FE" w:rsidP="007273FE">
      <w:pPr>
        <w:jc w:val="both"/>
        <w:rPr>
          <w:rFonts w:ascii="Bookman Old Style" w:hAnsi="Bookman Old Style" w:cs="Arial"/>
          <w:bCs/>
          <w:lang w:val="es-CO" w:eastAsia="es-ES_tradnl"/>
        </w:rPr>
      </w:pPr>
    </w:p>
    <w:p w:rsidR="007273FE" w:rsidRPr="007273FE" w:rsidRDefault="007273FE" w:rsidP="007273FE">
      <w:pPr>
        <w:jc w:val="both"/>
        <w:rPr>
          <w:rFonts w:ascii="Bookman Old Style" w:hAnsi="Bookman Old Style" w:cs="Arial"/>
          <w:lang w:val="es-CO" w:eastAsia="es-ES_tradnl"/>
        </w:rPr>
      </w:pPr>
      <w:r w:rsidRPr="007273FE">
        <w:rPr>
          <w:rFonts w:ascii="Bookman Old Style" w:hAnsi="Bookman Old Style" w:cs="Arial"/>
          <w:b/>
          <w:lang w:val="es-CO" w:eastAsia="es-ES_tradnl"/>
        </w:rPr>
        <w:t xml:space="preserve">ARTÍCULO 9. DECLARATORIA DE INTERÉS NACIONAL Y ESTRATÉGICO. </w:t>
      </w:r>
      <w:r w:rsidRPr="007273FE">
        <w:rPr>
          <w:rFonts w:ascii="Bookman Old Style" w:hAnsi="Bookman Old Style" w:cs="Arial"/>
          <w:lang w:val="es-CO" w:eastAsia="es-ES_tradnl"/>
        </w:rPr>
        <w:t xml:space="preserve">Se declara de interés nacional y estratégico para el desarrollo económico, social y ambiental del país, la masificación del uso del gas natural, el Gas Licuado de Petróleo Vehicular - </w:t>
      </w:r>
      <w:proofErr w:type="spellStart"/>
      <w:r w:rsidRPr="007273FE">
        <w:rPr>
          <w:rFonts w:ascii="Bookman Old Style" w:hAnsi="Bookman Old Style" w:cs="Arial"/>
          <w:lang w:val="es-CO" w:eastAsia="es-ES_tradnl"/>
        </w:rPr>
        <w:t>GLPV</w:t>
      </w:r>
      <w:proofErr w:type="spellEnd"/>
      <w:r w:rsidRPr="007273FE">
        <w:rPr>
          <w:rFonts w:ascii="Bookman Old Style" w:hAnsi="Bookman Old Style" w:cs="Arial"/>
          <w:lang w:val="es-CO" w:eastAsia="es-ES_tradnl"/>
        </w:rPr>
        <w:t xml:space="preserve"> y Gas Licuado de Petróleo Náutico - </w:t>
      </w:r>
      <w:proofErr w:type="spellStart"/>
      <w:r w:rsidRPr="007273FE">
        <w:rPr>
          <w:rFonts w:ascii="Bookman Old Style" w:hAnsi="Bookman Old Style" w:cs="Arial"/>
          <w:lang w:val="es-CO" w:eastAsia="es-ES_tradnl"/>
        </w:rPr>
        <w:t>GLPN</w:t>
      </w:r>
      <w:proofErr w:type="spellEnd"/>
      <w:r w:rsidRPr="007273FE">
        <w:rPr>
          <w:rFonts w:ascii="Bookman Old Style" w:hAnsi="Bookman Old Style" w:cs="Arial"/>
          <w:lang w:val="es-CO" w:eastAsia="es-ES_tradnl"/>
        </w:rPr>
        <w:t xml:space="preserve"> como combustibles automotores, atendiendo a sus múltiples beneficios ambientales, en salud, en competitividad, económicos y sociales. </w:t>
      </w:r>
    </w:p>
    <w:p w:rsidR="007273FE" w:rsidRPr="007273FE" w:rsidRDefault="007273FE" w:rsidP="007273FE">
      <w:pPr>
        <w:spacing w:after="120"/>
        <w:ind w:right="48"/>
        <w:jc w:val="both"/>
        <w:rPr>
          <w:rFonts w:ascii="Bookman Old Style" w:hAnsi="Bookman Old Style" w:cs="Arial"/>
          <w:b/>
          <w:lang w:val="es-CO" w:eastAsia="es-ES_tradnl"/>
        </w:rPr>
      </w:pPr>
    </w:p>
    <w:p w:rsidR="007273FE" w:rsidRPr="007273FE" w:rsidRDefault="007273FE" w:rsidP="007273FE">
      <w:pPr>
        <w:spacing w:after="120"/>
        <w:ind w:right="48"/>
        <w:jc w:val="both"/>
        <w:rPr>
          <w:rFonts w:ascii="Bookman Old Style" w:hAnsi="Bookman Old Style" w:cs="Arial"/>
          <w:lang w:val="es-CO" w:eastAsia="es-ES_tradnl"/>
        </w:rPr>
      </w:pPr>
      <w:r w:rsidRPr="007273FE">
        <w:rPr>
          <w:rFonts w:ascii="Bookman Old Style" w:hAnsi="Bookman Old Style" w:cs="Arial"/>
          <w:b/>
          <w:lang w:val="es-CO" w:eastAsia="es-ES_tradnl"/>
        </w:rPr>
        <w:t xml:space="preserve">ARTÍCULO 10. ESTÍMULO A LA CONVERSIÓN DE VEHÍCULOS A GAS COMBUSTIBLE. </w:t>
      </w:r>
      <w:r w:rsidRPr="007273FE">
        <w:rPr>
          <w:rFonts w:ascii="Bookman Old Style" w:hAnsi="Bookman Old Style" w:cs="Arial"/>
          <w:lang w:val="es-CO" w:eastAsia="es-ES_tradnl"/>
        </w:rPr>
        <w:t xml:space="preserve">Los kits de conversión, equipos, surtidores, tanques, dispensadores, compresores, bombas, maquinaria, repuestos y autopartes para gas natural, Gas Licuado de Petróleo Vehicular - </w:t>
      </w:r>
      <w:proofErr w:type="spellStart"/>
      <w:r w:rsidRPr="007273FE">
        <w:rPr>
          <w:rFonts w:ascii="Bookman Old Style" w:hAnsi="Bookman Old Style" w:cs="Arial"/>
          <w:lang w:val="es-CO" w:eastAsia="es-ES_tradnl"/>
        </w:rPr>
        <w:t>GLPV</w:t>
      </w:r>
      <w:proofErr w:type="spellEnd"/>
      <w:r w:rsidRPr="007273FE">
        <w:rPr>
          <w:rFonts w:ascii="Bookman Old Style" w:hAnsi="Bookman Old Style" w:cs="Arial"/>
          <w:lang w:val="es-CO" w:eastAsia="es-ES_tradnl"/>
        </w:rPr>
        <w:t xml:space="preserve"> y Gas Licuado de Petróleo Náutico - </w:t>
      </w:r>
      <w:proofErr w:type="spellStart"/>
      <w:r w:rsidRPr="007273FE">
        <w:rPr>
          <w:rFonts w:ascii="Bookman Old Style" w:hAnsi="Bookman Old Style" w:cs="Arial"/>
          <w:lang w:val="es-CO" w:eastAsia="es-ES_tradnl"/>
        </w:rPr>
        <w:t>GLPN</w:t>
      </w:r>
      <w:proofErr w:type="spellEnd"/>
      <w:r w:rsidRPr="007273FE">
        <w:rPr>
          <w:rFonts w:ascii="Bookman Old Style" w:hAnsi="Bookman Old Style" w:cs="Arial"/>
          <w:lang w:val="es-CO" w:eastAsia="es-ES_tradnl"/>
        </w:rPr>
        <w:t>, nacionales e importados, así como la adquisición de servicios dentro o fuera del territorio nacional que se destinen a inversiones y pre-inversiones para el uso de estos combustibles estarán exentos de IVA, de conformidad con el listado que establezca el Ministerio de Comercio, Industria y Turismo.</w:t>
      </w:r>
    </w:p>
    <w:p w:rsidR="007273FE" w:rsidRPr="007273FE" w:rsidRDefault="007273FE" w:rsidP="007273FE">
      <w:pPr>
        <w:jc w:val="both"/>
        <w:rPr>
          <w:rFonts w:ascii="Bookman Old Style" w:hAnsi="Bookman Old Style" w:cs="Arial"/>
          <w:lang w:eastAsia="es-ES_tradnl"/>
        </w:rPr>
      </w:pPr>
    </w:p>
    <w:p w:rsidR="007273FE" w:rsidRPr="007273FE" w:rsidRDefault="007273FE" w:rsidP="007273FE">
      <w:pPr>
        <w:jc w:val="both"/>
        <w:rPr>
          <w:rFonts w:ascii="Bookman Old Style" w:hAnsi="Bookman Old Style" w:cs="Arial"/>
          <w:lang w:val="es-CO" w:eastAsia="es-ES_tradnl"/>
        </w:rPr>
      </w:pPr>
      <w:r w:rsidRPr="007273FE">
        <w:rPr>
          <w:rFonts w:ascii="Bookman Old Style" w:hAnsi="Bookman Old Style" w:cs="Arial"/>
          <w:b/>
          <w:lang w:val="es-CO" w:eastAsia="es-ES_tradnl"/>
        </w:rPr>
        <w:t xml:space="preserve">ARTÍCULO 11. RESTRICCIÓN A LA CIRCULACIÓN VEHICULAR. </w:t>
      </w:r>
      <w:r w:rsidRPr="007273FE">
        <w:rPr>
          <w:rFonts w:ascii="Bookman Old Style" w:hAnsi="Bookman Old Style" w:cs="Arial"/>
          <w:lang w:val="es-CO" w:eastAsia="es-ES_tradnl"/>
        </w:rPr>
        <w:t xml:space="preserve">Los vehículos dedicados a gas combustible estarán exentos de las medidas de restricción a la circulación vehicular en cualquiera de las modalidades que la autoridad de tránsito local disponga (pico y placa, día sin carro, restricciones por materia ambiental, entre otros), excluyendo aquellas que se establezcan por razones de seguridad. </w:t>
      </w:r>
    </w:p>
    <w:p w:rsidR="007273FE" w:rsidRPr="007273FE" w:rsidRDefault="007273FE" w:rsidP="007273FE">
      <w:pPr>
        <w:jc w:val="both"/>
        <w:rPr>
          <w:rFonts w:ascii="Bookman Old Style" w:hAnsi="Bookman Old Style" w:cs="Arial"/>
          <w:b/>
          <w:i/>
          <w:iCs/>
          <w:lang w:val="es-CO" w:eastAsia="es-ES_tradnl"/>
        </w:rPr>
      </w:pPr>
    </w:p>
    <w:p w:rsidR="007273FE" w:rsidRPr="007273FE" w:rsidRDefault="007273FE" w:rsidP="007273FE">
      <w:pPr>
        <w:jc w:val="both"/>
        <w:rPr>
          <w:rFonts w:ascii="Bookman Old Style" w:hAnsi="Bookman Old Style" w:cs="Arial"/>
          <w:bCs/>
          <w:lang w:val="es-CO" w:eastAsia="es-ES_tradnl"/>
        </w:rPr>
      </w:pPr>
      <w:r w:rsidRPr="007273FE">
        <w:rPr>
          <w:rFonts w:ascii="Bookman Old Style" w:hAnsi="Bookman Old Style" w:cs="Arial"/>
          <w:b/>
          <w:lang w:val="es-CO" w:eastAsia="es-ES_tradnl"/>
        </w:rPr>
        <w:t>ARTÍCULO 12. IDENTIFICACIÓN DE LOS VEHÍCULOS</w:t>
      </w:r>
      <w:r w:rsidRPr="007273FE">
        <w:rPr>
          <w:rFonts w:ascii="Bookman Old Style" w:hAnsi="Bookman Old Style" w:cs="Arial"/>
          <w:bCs/>
          <w:lang w:val="es-CO" w:eastAsia="es-ES_tradnl"/>
        </w:rPr>
        <w:t>. Los fabricantes, importadores, ensambladores y comercializadores de vehículos dedicados a gas combustible deberán instalar un sistema o etiqueta de identificación visual que permita a las autoridades nacionales, territoriales y municipales identificar con facilidad a estos vehículos, con el objeto de garantizar su acceso a los incentivos definidos en la presente Ley.</w:t>
      </w:r>
    </w:p>
    <w:p w:rsidR="007273FE" w:rsidRPr="007273FE" w:rsidRDefault="007273FE" w:rsidP="007273FE">
      <w:pPr>
        <w:jc w:val="both"/>
        <w:rPr>
          <w:rFonts w:ascii="Bookman Old Style" w:hAnsi="Bookman Old Style" w:cs="Arial"/>
          <w:bCs/>
          <w:lang w:val="es-CO" w:eastAsia="es-ES_tradnl"/>
        </w:rPr>
      </w:pPr>
    </w:p>
    <w:p w:rsidR="007273FE" w:rsidRPr="007273FE" w:rsidRDefault="007273FE" w:rsidP="007273FE">
      <w:pPr>
        <w:ind w:left="284"/>
        <w:jc w:val="both"/>
        <w:rPr>
          <w:rFonts w:ascii="Bookman Old Style" w:hAnsi="Bookman Old Style" w:cs="Arial"/>
          <w:bCs/>
          <w:lang w:val="es-CO" w:eastAsia="es-ES_tradnl"/>
        </w:rPr>
      </w:pPr>
      <w:r w:rsidRPr="007273FE">
        <w:rPr>
          <w:rFonts w:ascii="Bookman Old Style" w:hAnsi="Bookman Old Style" w:cs="Arial"/>
          <w:b/>
          <w:lang w:val="es-CO" w:eastAsia="es-ES_tradnl"/>
        </w:rPr>
        <w:t>PARÁGRAFO.</w:t>
      </w:r>
      <w:r w:rsidRPr="007273FE">
        <w:rPr>
          <w:rFonts w:ascii="Bookman Old Style" w:hAnsi="Bookman Old Style" w:cs="Arial"/>
          <w:bCs/>
          <w:lang w:val="es-CO" w:eastAsia="es-ES_tradnl"/>
        </w:rPr>
        <w:t xml:space="preserve"> El Gobierno Nacional, dentro de los doce (12)</w:t>
      </w:r>
      <w:r w:rsidRPr="007273FE">
        <w:rPr>
          <w:rFonts w:ascii="Bookman Old Style" w:hAnsi="Bookman Old Style" w:cs="Arial"/>
          <w:b/>
          <w:bCs/>
          <w:lang w:val="es-CO" w:eastAsia="es-ES_tradnl"/>
        </w:rPr>
        <w:t xml:space="preserve"> </w:t>
      </w:r>
      <w:r w:rsidRPr="007273FE">
        <w:rPr>
          <w:rFonts w:ascii="Bookman Old Style" w:hAnsi="Bookman Old Style" w:cs="Arial"/>
          <w:bCs/>
          <w:lang w:val="es-CO" w:eastAsia="es-ES_tradnl"/>
        </w:rPr>
        <w:t>meses siguientes a la entrada en vigencia de la presente Ley, deberá reglamentar las características técnicas del sistema o etiqueta de identificación a que se refiere el presente artículo.</w:t>
      </w:r>
    </w:p>
    <w:p w:rsidR="007273FE" w:rsidRPr="007273FE" w:rsidRDefault="007273FE" w:rsidP="007273FE">
      <w:pPr>
        <w:jc w:val="both"/>
        <w:rPr>
          <w:rFonts w:ascii="Bookman Old Style" w:hAnsi="Bookman Old Style" w:cs="Arial"/>
          <w:lang w:val="es-CO" w:eastAsia="es-ES_tradnl"/>
        </w:rPr>
      </w:pPr>
    </w:p>
    <w:p w:rsidR="007273FE" w:rsidRPr="007273FE" w:rsidRDefault="007273FE" w:rsidP="007273FE">
      <w:pPr>
        <w:jc w:val="both"/>
        <w:rPr>
          <w:rFonts w:ascii="Bookman Old Style" w:hAnsi="Bookman Old Style" w:cs="Arial"/>
          <w:lang w:val="es-CO" w:eastAsia="es-ES_tradnl"/>
        </w:rPr>
      </w:pPr>
      <w:r w:rsidRPr="007273FE">
        <w:rPr>
          <w:rFonts w:ascii="Bookman Old Style" w:hAnsi="Bookman Old Style" w:cs="Arial"/>
          <w:b/>
          <w:lang w:val="es-CO" w:eastAsia="es-ES_tradnl"/>
        </w:rPr>
        <w:t xml:space="preserve">ARTÍCULO 13. FORTALECIMIENTO DEL </w:t>
      </w:r>
      <w:proofErr w:type="spellStart"/>
      <w:r w:rsidRPr="007273FE">
        <w:rPr>
          <w:rFonts w:ascii="Bookman Old Style" w:hAnsi="Bookman Old Style" w:cs="Arial"/>
          <w:b/>
          <w:lang w:val="es-CO" w:eastAsia="es-ES_tradnl"/>
        </w:rPr>
        <w:t>SICOM</w:t>
      </w:r>
      <w:proofErr w:type="spellEnd"/>
      <w:r w:rsidRPr="007273FE">
        <w:rPr>
          <w:rFonts w:ascii="Bookman Old Style" w:hAnsi="Bookman Old Style" w:cs="Arial"/>
          <w:b/>
          <w:lang w:val="es-CO" w:eastAsia="es-ES_tradnl"/>
        </w:rPr>
        <w:t xml:space="preserve">. </w:t>
      </w:r>
      <w:r w:rsidRPr="007273FE">
        <w:rPr>
          <w:rFonts w:ascii="Bookman Old Style" w:hAnsi="Bookman Old Style" w:cs="Arial"/>
          <w:lang w:val="es-CO" w:eastAsia="es-ES_tradnl"/>
        </w:rPr>
        <w:t xml:space="preserve">Dentro de los </w:t>
      </w:r>
      <w:r w:rsidRPr="007273FE">
        <w:rPr>
          <w:rFonts w:ascii="Bookman Old Style" w:hAnsi="Bookman Old Style" w:cs="Arial"/>
          <w:bCs/>
          <w:lang w:val="es-CO" w:eastAsia="es-ES_tradnl"/>
        </w:rPr>
        <w:t xml:space="preserve">doce (12) </w:t>
      </w:r>
      <w:r w:rsidRPr="007273FE">
        <w:rPr>
          <w:rFonts w:ascii="Bookman Old Style" w:hAnsi="Bookman Old Style" w:cs="Arial"/>
          <w:lang w:val="es-CO" w:eastAsia="es-ES_tradnl"/>
        </w:rPr>
        <w:t>meses siguientes a la fecha de entrada en vigencia de la presente Ley, el Ministerio de Minas y Energía, en desarrollo de los lineamientos de la Ley 1955 de 2019, fortalecerá el Sistema de Información de Combustibles (</w:t>
      </w:r>
      <w:proofErr w:type="spellStart"/>
      <w:r w:rsidRPr="007273FE">
        <w:rPr>
          <w:rFonts w:ascii="Bookman Old Style" w:hAnsi="Bookman Old Style" w:cs="Arial"/>
          <w:lang w:val="es-CO" w:eastAsia="es-ES_tradnl"/>
        </w:rPr>
        <w:t>SICOM</w:t>
      </w:r>
      <w:proofErr w:type="spellEnd"/>
      <w:r w:rsidRPr="007273FE">
        <w:rPr>
          <w:rFonts w:ascii="Bookman Old Style" w:hAnsi="Bookman Old Style" w:cs="Arial"/>
          <w:lang w:val="es-CO" w:eastAsia="es-ES_tradnl"/>
        </w:rPr>
        <w:t xml:space="preserve">) para Gas Licuado de Petróleo Vehicular - </w:t>
      </w:r>
      <w:proofErr w:type="spellStart"/>
      <w:r w:rsidRPr="007273FE">
        <w:rPr>
          <w:rFonts w:ascii="Bookman Old Style" w:hAnsi="Bookman Old Style" w:cs="Arial"/>
          <w:lang w:val="es-CO" w:eastAsia="es-ES_tradnl"/>
        </w:rPr>
        <w:t>GLPV</w:t>
      </w:r>
      <w:proofErr w:type="spellEnd"/>
      <w:r w:rsidRPr="007273FE">
        <w:rPr>
          <w:rFonts w:ascii="Bookman Old Style" w:hAnsi="Bookman Old Style" w:cs="Arial"/>
          <w:lang w:val="es-CO" w:eastAsia="es-ES_tradnl"/>
        </w:rPr>
        <w:t xml:space="preserve"> y Gas Licuado de Petróleo Náutico - </w:t>
      </w:r>
      <w:proofErr w:type="spellStart"/>
      <w:r w:rsidRPr="007273FE">
        <w:rPr>
          <w:rFonts w:ascii="Bookman Old Style" w:hAnsi="Bookman Old Style" w:cs="Arial"/>
          <w:lang w:val="es-CO" w:eastAsia="es-ES_tradnl"/>
        </w:rPr>
        <w:t>GLPN</w:t>
      </w:r>
      <w:proofErr w:type="spellEnd"/>
      <w:r w:rsidRPr="007273FE">
        <w:rPr>
          <w:rFonts w:ascii="Bookman Old Style" w:hAnsi="Bookman Old Style" w:cs="Arial"/>
          <w:lang w:val="es-CO" w:eastAsia="es-ES_tradnl"/>
        </w:rPr>
        <w:t xml:space="preserve">, mediante la implementación de un sistema de control de carga que permita: I). hacer seguimiento a los agentes de abastecimiento y distribución de estos combustibles, II). </w:t>
      </w:r>
      <w:proofErr w:type="gramStart"/>
      <w:r w:rsidRPr="007273FE">
        <w:rPr>
          <w:rFonts w:ascii="Bookman Old Style" w:hAnsi="Bookman Old Style" w:cs="Arial"/>
          <w:lang w:val="es-CO" w:eastAsia="es-ES_tradnl"/>
        </w:rPr>
        <w:t>controlar</w:t>
      </w:r>
      <w:proofErr w:type="gramEnd"/>
      <w:r w:rsidRPr="007273FE">
        <w:rPr>
          <w:rFonts w:ascii="Bookman Old Style" w:hAnsi="Bookman Old Style" w:cs="Arial"/>
          <w:lang w:val="es-CO" w:eastAsia="es-ES_tradnl"/>
        </w:rPr>
        <w:t xml:space="preserve"> el cumplimiento normativo de los vehículos convertidos, los talleres de conversión, y las Estaciones de Servicio y III). </w:t>
      </w:r>
      <w:proofErr w:type="gramStart"/>
      <w:r w:rsidRPr="007273FE">
        <w:rPr>
          <w:rFonts w:ascii="Bookman Old Style" w:hAnsi="Bookman Old Style" w:cs="Arial"/>
          <w:lang w:val="es-CO" w:eastAsia="es-ES_tradnl"/>
        </w:rPr>
        <w:t>facilitar</w:t>
      </w:r>
      <w:proofErr w:type="gramEnd"/>
      <w:r w:rsidRPr="007273FE">
        <w:rPr>
          <w:rFonts w:ascii="Bookman Old Style" w:hAnsi="Bookman Old Style" w:cs="Arial"/>
          <w:lang w:val="es-CO" w:eastAsia="es-ES_tradnl"/>
        </w:rPr>
        <w:t xml:space="preserve"> que entidades privadas puedan financiar conversiones entre otros productos y establecer </w:t>
      </w:r>
      <w:r w:rsidRPr="007273FE">
        <w:rPr>
          <w:rFonts w:ascii="Bookman Old Style" w:hAnsi="Bookman Old Style" w:cs="Arial"/>
          <w:lang w:val="es-CO" w:eastAsia="es-ES_tradnl"/>
        </w:rPr>
        <w:lastRenderedPageBreak/>
        <w:t xml:space="preserve">un sistema de recaudo seguro para los agentes que financien dentro del sistema. </w:t>
      </w:r>
    </w:p>
    <w:p w:rsidR="007273FE" w:rsidRPr="007273FE" w:rsidRDefault="007273FE" w:rsidP="007273FE">
      <w:pPr>
        <w:jc w:val="both"/>
        <w:rPr>
          <w:rFonts w:ascii="Bookman Old Style" w:hAnsi="Bookman Old Style" w:cs="Arial"/>
          <w:lang w:val="es-CO" w:eastAsia="es-ES_tradnl"/>
        </w:rPr>
      </w:pPr>
    </w:p>
    <w:p w:rsidR="007273FE" w:rsidRPr="007273FE" w:rsidRDefault="007273FE" w:rsidP="007273FE">
      <w:pPr>
        <w:jc w:val="both"/>
        <w:rPr>
          <w:rFonts w:ascii="Bookman Old Style" w:hAnsi="Bookman Old Style" w:cs="Arial"/>
          <w:bCs/>
          <w:lang w:val="es-CO" w:eastAsia="es-ES_tradnl"/>
        </w:rPr>
      </w:pPr>
      <w:r w:rsidRPr="007273FE">
        <w:rPr>
          <w:rFonts w:ascii="Bookman Old Style" w:hAnsi="Bookman Old Style" w:cs="Arial"/>
          <w:b/>
          <w:lang w:val="es-CO" w:eastAsia="es-ES_tradnl"/>
        </w:rPr>
        <w:t>ARTÍCULO 14. TRANSPORTE PÚBLICO DE PASAJEROS.</w:t>
      </w:r>
      <w:r w:rsidRPr="007273FE">
        <w:rPr>
          <w:rFonts w:ascii="Bookman Old Style" w:hAnsi="Bookman Old Style" w:cs="Arial"/>
          <w:bCs/>
          <w:lang w:val="es-CO" w:eastAsia="es-ES_tradnl"/>
        </w:rPr>
        <w:t xml:space="preserve"> A partir </w:t>
      </w:r>
      <w:r w:rsidRPr="007273FE">
        <w:rPr>
          <w:rFonts w:ascii="Bookman Old Style" w:hAnsi="Bookman Old Style" w:cs="Arial"/>
          <w:lang w:val="es-CO" w:eastAsia="es-ES_tradnl"/>
        </w:rPr>
        <w:t xml:space="preserve">de los </w:t>
      </w:r>
      <w:r w:rsidRPr="007273FE">
        <w:rPr>
          <w:rFonts w:ascii="Bookman Old Style" w:hAnsi="Bookman Old Style" w:cs="Arial"/>
          <w:bCs/>
          <w:lang w:val="es-CO" w:eastAsia="es-ES_tradnl"/>
        </w:rPr>
        <w:t xml:space="preserve">doce (12) </w:t>
      </w:r>
      <w:r w:rsidRPr="007273FE">
        <w:rPr>
          <w:rFonts w:ascii="Bookman Old Style" w:hAnsi="Bookman Old Style" w:cs="Arial"/>
          <w:lang w:val="es-CO" w:eastAsia="es-ES_tradnl"/>
        </w:rPr>
        <w:t>meses siguientes a la fecha de entrada en vigencia de la presente Ley</w:t>
      </w:r>
      <w:r w:rsidRPr="007273FE">
        <w:rPr>
          <w:rFonts w:ascii="Bookman Old Style" w:hAnsi="Bookman Old Style" w:cs="Arial"/>
          <w:bCs/>
          <w:lang w:val="es-CO" w:eastAsia="es-ES_tradnl"/>
        </w:rPr>
        <w:t xml:space="preserve"> y por el término de los diez (10) años siguientes, las ciudades que cuenten con Sistemas de Transporte Estratégico, Integrado o Masivo deberán implementar políticas públicas, programas y acciones tendientes a garantizar que por lo menos el treinta por ciento (30%) de los vehículos utilizados para la operación de las flotas, operen con motores dedicados a gas combustible, cuando se pretenda aumentar la capacidad transportadora de los sistemas; cuando se requiera reemplazar un vehículo por destrucción total o parcial que imposibilite su utilización o reparación y cuando requiera reemplazarse al finalizar su vida útil.</w:t>
      </w:r>
    </w:p>
    <w:p w:rsidR="005A2453" w:rsidRPr="007273FE" w:rsidRDefault="005A2453" w:rsidP="005A2453">
      <w:pPr>
        <w:pStyle w:val="Sinespaciado"/>
      </w:pPr>
    </w:p>
    <w:p w:rsidR="005A2453" w:rsidRDefault="005A2453" w:rsidP="005A2453">
      <w:pPr>
        <w:ind w:left="284"/>
        <w:jc w:val="both"/>
        <w:rPr>
          <w:rFonts w:ascii="Bookman Old Style" w:hAnsi="Bookman Old Style"/>
          <w:bCs/>
          <w:shd w:val="clear" w:color="auto" w:fill="FFFFFF"/>
          <w:lang w:eastAsia="es-ES_tradnl"/>
        </w:rPr>
      </w:pPr>
      <w:r w:rsidRPr="007273FE">
        <w:rPr>
          <w:rFonts w:ascii="Bookman Old Style" w:hAnsi="Bookman Old Style"/>
          <w:b/>
          <w:bCs/>
          <w:shd w:val="clear" w:color="auto" w:fill="FFFFFF"/>
          <w:lang w:eastAsia="es-ES_tradnl"/>
        </w:rPr>
        <w:t>PARÁGRAFO</w:t>
      </w:r>
      <w:r>
        <w:rPr>
          <w:rFonts w:ascii="Bookman Old Style" w:hAnsi="Bookman Old Style"/>
          <w:b/>
          <w:bCs/>
          <w:shd w:val="clear" w:color="auto" w:fill="FFFFFF"/>
          <w:lang w:eastAsia="es-ES_tradnl"/>
        </w:rPr>
        <w:t xml:space="preserve"> 1. </w:t>
      </w:r>
      <w:r>
        <w:rPr>
          <w:rFonts w:ascii="Bookman Old Style" w:hAnsi="Bookman Old Style"/>
          <w:bCs/>
          <w:shd w:val="clear" w:color="auto" w:fill="FFFFFF"/>
          <w:lang w:eastAsia="es-ES_tradnl"/>
        </w:rPr>
        <w:t xml:space="preserve"> Los pliegos de condiciones de los contratos que tengan por objeto la </w:t>
      </w:r>
      <w:r w:rsidR="00B76168">
        <w:rPr>
          <w:rFonts w:ascii="Bookman Old Style" w:hAnsi="Bookman Old Style"/>
          <w:bCs/>
          <w:shd w:val="clear" w:color="auto" w:fill="FFFFFF"/>
          <w:lang w:eastAsia="es-ES_tradnl"/>
        </w:rPr>
        <w:t>concesión para la operación de e</w:t>
      </w:r>
      <w:r w:rsidR="005C450B">
        <w:rPr>
          <w:rFonts w:ascii="Bookman Old Style" w:hAnsi="Bookman Old Style"/>
          <w:bCs/>
          <w:shd w:val="clear" w:color="auto" w:fill="FFFFFF"/>
          <w:lang w:eastAsia="es-ES_tradnl"/>
        </w:rPr>
        <w:t>stos Sistemas d</w:t>
      </w:r>
      <w:r>
        <w:rPr>
          <w:rFonts w:ascii="Bookman Old Style" w:hAnsi="Bookman Old Style"/>
          <w:bCs/>
          <w:shd w:val="clear" w:color="auto" w:fill="FFFFFF"/>
          <w:lang w:eastAsia="es-ES_tradnl"/>
        </w:rPr>
        <w:t>e Transporte Estratégico, Integrado o Masivo, deberán contener la obligación para el oferente de cumplir con el porcentaje establecido en el presente artículo. Para aquel oferente que proponga un porcentaje superior a lo establecido en el presente artículo, se le otorgarán puntos adicionales en su calificación dentro del proceso licitatorio.</w:t>
      </w:r>
    </w:p>
    <w:p w:rsidR="005A2453" w:rsidRDefault="005A2453" w:rsidP="007273FE">
      <w:pPr>
        <w:ind w:left="284"/>
        <w:jc w:val="both"/>
        <w:rPr>
          <w:rFonts w:ascii="Bookman Old Style" w:hAnsi="Bookman Old Style" w:cs="Arial"/>
          <w:b/>
          <w:lang w:val="es-CO" w:eastAsia="es-ES_tradnl"/>
        </w:rPr>
      </w:pPr>
    </w:p>
    <w:p w:rsidR="007273FE" w:rsidRPr="007273FE" w:rsidRDefault="007273FE" w:rsidP="007273FE">
      <w:pPr>
        <w:ind w:left="284"/>
        <w:jc w:val="both"/>
        <w:rPr>
          <w:rFonts w:ascii="Bookman Old Style" w:hAnsi="Bookman Old Style" w:cs="Arial"/>
          <w:bCs/>
          <w:lang w:val="es-CO" w:eastAsia="es-ES_tradnl"/>
        </w:rPr>
      </w:pPr>
      <w:r w:rsidRPr="007273FE">
        <w:rPr>
          <w:rFonts w:ascii="Bookman Old Style" w:hAnsi="Bookman Old Style" w:cs="Arial"/>
          <w:b/>
          <w:lang w:val="es-CO" w:eastAsia="es-ES_tradnl"/>
        </w:rPr>
        <w:t>PARÁGRAFO</w:t>
      </w:r>
      <w:r w:rsidR="005A2453">
        <w:rPr>
          <w:rFonts w:ascii="Bookman Old Style" w:hAnsi="Bookman Old Style" w:cs="Arial"/>
          <w:b/>
          <w:lang w:val="es-CO" w:eastAsia="es-ES_tradnl"/>
        </w:rPr>
        <w:t xml:space="preserve"> 2</w:t>
      </w:r>
      <w:r w:rsidR="005C450B">
        <w:rPr>
          <w:rFonts w:ascii="Bookman Old Style" w:hAnsi="Bookman Old Style" w:cs="Arial"/>
          <w:bCs/>
          <w:lang w:val="es-CO" w:eastAsia="es-ES_tradnl"/>
        </w:rPr>
        <w:t>. Los vehículos d</w:t>
      </w:r>
      <w:r w:rsidRPr="007273FE">
        <w:rPr>
          <w:rFonts w:ascii="Bookman Old Style" w:hAnsi="Bookman Old Style" w:cs="Arial"/>
          <w:bCs/>
          <w:lang w:val="es-CO" w:eastAsia="es-ES_tradnl"/>
        </w:rPr>
        <w:t xml:space="preserve">edicados a gas combustible, que se vinculen a los sistemas de transporte en virtud de la presente Ley, podrán acceder a los beneficios de portar todo tipo de Publicidad Exterior Visual – </w:t>
      </w:r>
      <w:proofErr w:type="spellStart"/>
      <w:r w:rsidRPr="007273FE">
        <w:rPr>
          <w:rFonts w:ascii="Bookman Old Style" w:hAnsi="Bookman Old Style" w:cs="Arial"/>
          <w:bCs/>
          <w:lang w:val="es-CO" w:eastAsia="es-ES_tradnl"/>
        </w:rPr>
        <w:t>PEV</w:t>
      </w:r>
      <w:proofErr w:type="spellEnd"/>
      <w:r w:rsidRPr="007273FE">
        <w:rPr>
          <w:rFonts w:ascii="Bookman Old Style" w:hAnsi="Bookman Old Style" w:cs="Arial"/>
          <w:bCs/>
          <w:lang w:val="es-CO" w:eastAsia="es-ES_tradnl"/>
        </w:rPr>
        <w:t>, con el objeto de favorecer los modelos financieros para la adquisición de vehículos a gas combustible. Las autoridades territoriales y municipales expedirán el estatuto local de</w:t>
      </w:r>
      <w:r w:rsidRPr="007273FE" w:rsidDel="0068277B">
        <w:rPr>
          <w:rFonts w:ascii="Bookman Old Style" w:hAnsi="Bookman Old Style" w:cs="Arial"/>
          <w:bCs/>
          <w:lang w:val="es-CO" w:eastAsia="es-ES_tradnl"/>
        </w:rPr>
        <w:t xml:space="preserve"> </w:t>
      </w:r>
      <w:proofErr w:type="spellStart"/>
      <w:r w:rsidRPr="007273FE">
        <w:rPr>
          <w:rFonts w:ascii="Bookman Old Style" w:hAnsi="Bookman Old Style" w:cs="Arial"/>
          <w:bCs/>
          <w:lang w:val="es-CO" w:eastAsia="es-ES_tradnl"/>
        </w:rPr>
        <w:t>PEV</w:t>
      </w:r>
      <w:proofErr w:type="spellEnd"/>
      <w:r w:rsidRPr="007273FE">
        <w:rPr>
          <w:rFonts w:ascii="Bookman Old Style" w:hAnsi="Bookman Old Style" w:cs="Arial"/>
          <w:bCs/>
          <w:lang w:val="es-CO" w:eastAsia="es-ES_tradnl"/>
        </w:rPr>
        <w:t xml:space="preserve"> para que los sistemas de transporte puedan instalarla en los respectivos vehículos. </w:t>
      </w:r>
    </w:p>
    <w:p w:rsidR="007273FE" w:rsidRPr="007273FE" w:rsidRDefault="007273FE" w:rsidP="007273FE">
      <w:pPr>
        <w:ind w:left="284"/>
        <w:jc w:val="both"/>
        <w:rPr>
          <w:rFonts w:ascii="Bookman Old Style" w:hAnsi="Bookman Old Style" w:cs="Arial"/>
          <w:bCs/>
          <w:lang w:val="es-CO" w:eastAsia="es-ES_tradnl"/>
        </w:rPr>
      </w:pPr>
    </w:p>
    <w:p w:rsidR="007273FE" w:rsidRPr="007273FE" w:rsidRDefault="007273FE" w:rsidP="007273FE">
      <w:pPr>
        <w:ind w:left="284"/>
        <w:jc w:val="both"/>
        <w:rPr>
          <w:rFonts w:ascii="Bookman Old Style" w:hAnsi="Bookman Old Style" w:cs="Arial"/>
          <w:bCs/>
          <w:lang w:val="es-CO" w:eastAsia="es-ES_tradnl"/>
        </w:rPr>
      </w:pPr>
      <w:r w:rsidRPr="007273FE">
        <w:rPr>
          <w:rFonts w:ascii="Bookman Old Style" w:hAnsi="Bookman Old Style" w:cs="Arial"/>
          <w:b/>
          <w:bCs/>
          <w:lang w:val="es-CO" w:eastAsia="es-ES_tradnl"/>
        </w:rPr>
        <w:t xml:space="preserve">PARÁGRAFO </w:t>
      </w:r>
      <w:r w:rsidR="008C782F">
        <w:rPr>
          <w:rFonts w:ascii="Bookman Old Style" w:hAnsi="Bookman Old Style" w:cs="Arial"/>
          <w:b/>
          <w:bCs/>
          <w:lang w:val="es-CO" w:eastAsia="es-ES_tradnl"/>
        </w:rPr>
        <w:t>3</w:t>
      </w:r>
      <w:r w:rsidRPr="007273FE">
        <w:rPr>
          <w:rFonts w:ascii="Bookman Old Style" w:hAnsi="Bookman Old Style" w:cs="Arial"/>
          <w:b/>
          <w:bCs/>
          <w:lang w:val="es-CO" w:eastAsia="es-ES_tradnl"/>
        </w:rPr>
        <w:t xml:space="preserve">. </w:t>
      </w:r>
      <w:r w:rsidRPr="007273FE">
        <w:rPr>
          <w:rFonts w:ascii="Bookman Old Style" w:hAnsi="Bookman Old Style" w:cs="Arial"/>
          <w:bCs/>
          <w:lang w:val="es-CO" w:eastAsia="es-ES_tradnl"/>
        </w:rPr>
        <w:t xml:space="preserve">La anterior disposición sólo aplicará para los segmentos de vehículos a gas combustible que para la fecha en que se compren o </w:t>
      </w:r>
      <w:r w:rsidR="005A2453" w:rsidRPr="007273FE">
        <w:rPr>
          <w:rFonts w:ascii="Bookman Old Style" w:hAnsi="Bookman Old Style" w:cs="Arial"/>
          <w:bCs/>
          <w:lang w:val="es-CO" w:eastAsia="es-ES_tradnl"/>
        </w:rPr>
        <w:t>contr</w:t>
      </w:r>
      <w:r w:rsidR="005A2453">
        <w:rPr>
          <w:rFonts w:ascii="Bookman Old Style" w:hAnsi="Bookman Old Style" w:cs="Arial"/>
          <w:bCs/>
          <w:lang w:val="es-CO" w:eastAsia="es-ES_tradnl"/>
        </w:rPr>
        <w:t>a</w:t>
      </w:r>
      <w:r w:rsidR="005A2453" w:rsidRPr="007273FE">
        <w:rPr>
          <w:rFonts w:ascii="Bookman Old Style" w:hAnsi="Bookman Old Style" w:cs="Arial"/>
          <w:bCs/>
          <w:lang w:val="es-CO" w:eastAsia="es-ES_tradnl"/>
        </w:rPr>
        <w:t>ten</w:t>
      </w:r>
      <w:r w:rsidRPr="007273FE">
        <w:rPr>
          <w:rFonts w:ascii="Bookman Old Style" w:hAnsi="Bookman Old Style" w:cs="Arial"/>
          <w:bCs/>
          <w:lang w:val="es-CO" w:eastAsia="es-ES_tradnl"/>
        </w:rPr>
        <w:t>, tengan una oferta comercial en Colombia.</w:t>
      </w:r>
    </w:p>
    <w:p w:rsidR="007273FE" w:rsidRPr="007273FE" w:rsidRDefault="007273FE" w:rsidP="007273FE">
      <w:pPr>
        <w:jc w:val="both"/>
        <w:rPr>
          <w:rFonts w:ascii="Bookman Old Style" w:hAnsi="Bookman Old Style" w:cs="Arial"/>
          <w:bCs/>
          <w:lang w:val="es-CO" w:eastAsia="es-ES_tradnl"/>
        </w:rPr>
      </w:pPr>
    </w:p>
    <w:p w:rsidR="007273FE" w:rsidRPr="007273FE" w:rsidRDefault="007273FE" w:rsidP="007273FE">
      <w:pPr>
        <w:spacing w:after="20"/>
        <w:ind w:right="40"/>
        <w:jc w:val="both"/>
        <w:rPr>
          <w:rFonts w:ascii="Bookman Old Style" w:hAnsi="Bookman Old Style" w:cs="Calibri Light"/>
          <w:lang w:val="es-CO" w:eastAsia="es-CO"/>
        </w:rPr>
      </w:pPr>
      <w:r w:rsidRPr="007273FE">
        <w:rPr>
          <w:rFonts w:ascii="Bookman Old Style" w:eastAsia="Cambria" w:hAnsi="Bookman Old Style" w:cs="Arial"/>
          <w:b/>
          <w:lang w:val="es-CO" w:eastAsia="es-CO"/>
        </w:rPr>
        <w:t>ARTÍCULO 15. INICIATIVA PÚBLICA DE USO DE VEHÍCULOS A GAS COMBUSTIBLE</w:t>
      </w:r>
      <w:r w:rsidRPr="007273FE">
        <w:rPr>
          <w:rFonts w:ascii="Bookman Old Style" w:eastAsia="Cambria" w:hAnsi="Bookman Old Style" w:cs="Arial"/>
          <w:b/>
          <w:i/>
          <w:iCs/>
          <w:lang w:val="es-CO" w:eastAsia="es-CO"/>
        </w:rPr>
        <w:t>.</w:t>
      </w:r>
      <w:r w:rsidRPr="007273FE">
        <w:rPr>
          <w:rFonts w:ascii="Bookman Old Style" w:hAnsi="Bookman Old Style" w:cs="Arial"/>
          <w:b/>
          <w:bCs/>
          <w:i/>
          <w:iCs/>
          <w:lang w:val="es-CO" w:eastAsia="es-CO"/>
        </w:rPr>
        <w:t xml:space="preserve">  </w:t>
      </w:r>
      <w:r w:rsidRPr="007273FE">
        <w:rPr>
          <w:rFonts w:ascii="Bookman Old Style" w:hAnsi="Bookman Old Style" w:cs="Calibri Light"/>
          <w:lang w:val="es-CO" w:eastAsia="es-CO"/>
        </w:rPr>
        <w:t xml:space="preserve">Dentro de los doce (12) meses siguientes a la fecha de entrada en vigencia de la presente Ley, el Gobierno Nacional, los municipios de categoría 1 y especial y los prestadores del servicio público de transporte, deberán cumplir con una cuota mínima del </w:t>
      </w:r>
      <w:r w:rsidRPr="007273FE">
        <w:rPr>
          <w:rFonts w:ascii="Bookman Old Style" w:hAnsi="Bookman Old Style" w:cs="Arial"/>
          <w:bCs/>
          <w:lang w:val="es-CO" w:eastAsia="es-CO"/>
        </w:rPr>
        <w:t>treinta por ciento (</w:t>
      </w:r>
      <w:r w:rsidRPr="007273FE">
        <w:rPr>
          <w:rFonts w:ascii="Bookman Old Style" w:hAnsi="Bookman Old Style" w:cs="Calibri Light"/>
          <w:lang w:val="es-CO" w:eastAsia="es-CO"/>
        </w:rPr>
        <w:t xml:space="preserve">30%) de vehículos convertidos o dedicados a gas combustible en los vehículos que anualmente sean comprados o contratados para su uso, teniendo en cuenta las necesidades de cada entidad. </w:t>
      </w:r>
    </w:p>
    <w:p w:rsidR="007273FE" w:rsidRPr="007273FE" w:rsidRDefault="007273FE" w:rsidP="007273FE">
      <w:pPr>
        <w:spacing w:after="20"/>
        <w:ind w:right="40"/>
        <w:jc w:val="both"/>
        <w:rPr>
          <w:rFonts w:ascii="Bookman Old Style" w:hAnsi="Bookman Old Style"/>
          <w:lang w:val="es-CO" w:eastAsia="es-CO"/>
        </w:rPr>
      </w:pPr>
    </w:p>
    <w:p w:rsidR="007273FE" w:rsidRPr="007273FE" w:rsidRDefault="007273FE" w:rsidP="007273FE">
      <w:pPr>
        <w:ind w:left="284" w:right="45"/>
        <w:jc w:val="both"/>
        <w:rPr>
          <w:rFonts w:ascii="Bookman Old Style" w:hAnsi="Bookman Old Style" w:cs="Arial"/>
          <w:strike/>
          <w:lang w:val="es-CO" w:eastAsia="es-ES_tradnl"/>
        </w:rPr>
      </w:pPr>
      <w:r w:rsidRPr="007273FE">
        <w:rPr>
          <w:rFonts w:ascii="Bookman Old Style" w:hAnsi="Bookman Old Style" w:cs="Arial"/>
          <w:b/>
          <w:lang w:val="es-CO" w:eastAsia="es-ES_tradnl"/>
        </w:rPr>
        <w:t>PARÁGRAFO 1.</w:t>
      </w:r>
      <w:r w:rsidRPr="007273FE">
        <w:rPr>
          <w:rFonts w:ascii="Bookman Old Style" w:hAnsi="Bookman Old Style" w:cs="Arial"/>
          <w:b/>
          <w:bCs/>
          <w:lang w:val="es-CO" w:eastAsia="es-ES_tradnl"/>
        </w:rPr>
        <w:t xml:space="preserve"> </w:t>
      </w:r>
      <w:r w:rsidRPr="007273FE">
        <w:rPr>
          <w:rFonts w:ascii="Bookman Old Style" w:hAnsi="Bookman Old Style" w:cs="Arial"/>
          <w:lang w:val="es-CO" w:eastAsia="es-ES_tradnl"/>
        </w:rPr>
        <w:t>La anterior disposición sólo aplicará para los segmentos de vehículos a gas combustible que para la fecha en que se compren o contraten, tengan una oferta comercial en Colombia.</w:t>
      </w:r>
    </w:p>
    <w:p w:rsidR="007273FE" w:rsidRPr="007273FE" w:rsidRDefault="007273FE" w:rsidP="007273FE">
      <w:pPr>
        <w:ind w:left="284" w:right="45"/>
        <w:jc w:val="both"/>
        <w:rPr>
          <w:rFonts w:ascii="Bookman Old Style" w:hAnsi="Bookman Old Style" w:cs="Arial"/>
          <w:strike/>
          <w:lang w:val="es-CO" w:eastAsia="es-ES_tradnl"/>
        </w:rPr>
      </w:pPr>
    </w:p>
    <w:p w:rsidR="007273FE" w:rsidRDefault="007273FE" w:rsidP="007273FE">
      <w:pPr>
        <w:spacing w:after="120"/>
        <w:ind w:left="284" w:right="48"/>
        <w:jc w:val="both"/>
        <w:rPr>
          <w:rFonts w:ascii="Bookman Old Style" w:hAnsi="Bookman Old Style" w:cs="Arial"/>
          <w:lang w:val="es-CO" w:eastAsia="es-ES_tradnl"/>
        </w:rPr>
      </w:pPr>
      <w:r w:rsidRPr="007273FE">
        <w:rPr>
          <w:rFonts w:ascii="Bookman Old Style" w:hAnsi="Bookman Old Style" w:cs="Arial"/>
          <w:b/>
          <w:lang w:val="es-CO" w:eastAsia="es-ES_tradnl"/>
        </w:rPr>
        <w:t>PARÁGRAFO 2.</w:t>
      </w:r>
      <w:r w:rsidRPr="007273FE">
        <w:rPr>
          <w:rFonts w:ascii="Bookman Old Style" w:hAnsi="Bookman Old Style" w:cs="Arial"/>
          <w:lang w:val="es-CO" w:eastAsia="es-ES_tradnl"/>
        </w:rPr>
        <w:t xml:space="preserve"> Para garantizar el cumplimiento de la meta dispuesta en el presente artículo, los Ministerios de Ambiente y Desarrollo Sostenible, Transporte y Hacienda y Crédito Público, deberán estructurar un programa con sus respectivas estrategias para el logro de la iniciativa pública establecida.</w:t>
      </w:r>
    </w:p>
    <w:p w:rsidR="007273FE" w:rsidRPr="007273FE" w:rsidRDefault="007273FE" w:rsidP="007273FE">
      <w:pPr>
        <w:pStyle w:val="Sinespaciado"/>
      </w:pPr>
    </w:p>
    <w:p w:rsidR="007273FE" w:rsidRPr="007273FE" w:rsidRDefault="007273FE" w:rsidP="007273FE">
      <w:pPr>
        <w:ind w:left="284" w:right="45"/>
        <w:jc w:val="both"/>
        <w:rPr>
          <w:rFonts w:ascii="Bookman Old Style" w:hAnsi="Bookman Old Style" w:cs="Arial"/>
          <w:lang w:val="es-CO" w:eastAsia="es-ES_tradnl"/>
        </w:rPr>
      </w:pPr>
      <w:r w:rsidRPr="007273FE">
        <w:rPr>
          <w:rFonts w:ascii="Bookman Old Style" w:hAnsi="Bookman Old Style" w:cs="Arial"/>
          <w:b/>
          <w:lang w:val="es-CO" w:eastAsia="es-ES_tradnl"/>
        </w:rPr>
        <w:t>PARÁGRAFO 3.</w:t>
      </w:r>
      <w:r w:rsidRPr="007273FE">
        <w:rPr>
          <w:rFonts w:ascii="Bookman Old Style" w:hAnsi="Bookman Old Style" w:cs="Arial"/>
          <w:lang w:val="es-CO" w:eastAsia="es-ES_tradnl"/>
        </w:rPr>
        <w:t xml:space="preserve"> La Contraloría General de la República será la entidad encargada de hacer seguimiento y control al cumplimiento del presente artículo.</w:t>
      </w:r>
    </w:p>
    <w:p w:rsidR="007273FE" w:rsidRPr="007273FE" w:rsidRDefault="007273FE" w:rsidP="007273FE">
      <w:pPr>
        <w:tabs>
          <w:tab w:val="left" w:pos="8930"/>
        </w:tabs>
        <w:spacing w:after="120"/>
        <w:ind w:right="48"/>
        <w:jc w:val="both"/>
        <w:rPr>
          <w:rFonts w:ascii="Bookman Old Style" w:hAnsi="Bookman Old Style" w:cs="Arial"/>
          <w:b/>
          <w:lang w:val="es-CO" w:eastAsia="es-ES_tradnl"/>
        </w:rPr>
      </w:pPr>
    </w:p>
    <w:p w:rsidR="007273FE" w:rsidRDefault="007273FE" w:rsidP="007273FE">
      <w:pPr>
        <w:tabs>
          <w:tab w:val="left" w:pos="8930"/>
        </w:tabs>
        <w:spacing w:after="120"/>
        <w:ind w:right="48"/>
        <w:jc w:val="both"/>
        <w:rPr>
          <w:rFonts w:ascii="Bookman Old Style" w:hAnsi="Bookman Old Style" w:cs="Arial"/>
          <w:lang w:val="es-CO" w:eastAsia="es-ES_tradnl"/>
        </w:rPr>
      </w:pPr>
      <w:r w:rsidRPr="007273FE">
        <w:rPr>
          <w:rFonts w:ascii="Bookman Old Style" w:hAnsi="Bookman Old Style" w:cs="Arial"/>
          <w:b/>
          <w:lang w:val="es-CO" w:eastAsia="es-ES_tradnl"/>
        </w:rPr>
        <w:t>ARTÍCULO 16. TRANSPORTE TERRESTRE AUTOMOTOR DE CARGA.</w:t>
      </w:r>
      <w:r w:rsidRPr="007273FE">
        <w:rPr>
          <w:rFonts w:ascii="Bookman Old Style" w:hAnsi="Bookman Old Style" w:cs="Arial"/>
          <w:lang w:val="es-CO" w:eastAsia="es-ES_tradnl"/>
        </w:rPr>
        <w:t xml:space="preserve"> El Gobierno Nacional, a través de los ministerios de Minas y Energía, de Ambiente y Desarrollo Sostenible, de Transporte y de Hacienda y Crédito Público, dentro de los doce (12) meses siguientes a la entrada en vigencia de la presente Ley, deberán adoptar vía decreto, programas para promover la masificación del uso de vehículos dedicados a gas combustible en automotores de transporte terrestre de carga.</w:t>
      </w:r>
    </w:p>
    <w:p w:rsidR="007273FE" w:rsidRPr="007273FE" w:rsidRDefault="007273FE" w:rsidP="007273FE">
      <w:pPr>
        <w:pStyle w:val="Sinespaciado"/>
      </w:pPr>
    </w:p>
    <w:p w:rsidR="007273FE" w:rsidRDefault="007273FE" w:rsidP="007273FE">
      <w:pPr>
        <w:tabs>
          <w:tab w:val="left" w:pos="8930"/>
        </w:tabs>
        <w:spacing w:after="120"/>
        <w:ind w:left="284" w:right="48"/>
        <w:jc w:val="both"/>
        <w:rPr>
          <w:rFonts w:ascii="Bookman Old Style" w:hAnsi="Bookman Old Style" w:cs="Arial"/>
          <w:lang w:val="es-CO" w:eastAsia="es-ES_tradnl"/>
        </w:rPr>
      </w:pPr>
      <w:r w:rsidRPr="007273FE">
        <w:rPr>
          <w:rFonts w:ascii="Bookman Old Style" w:hAnsi="Bookman Old Style" w:cs="Arial"/>
          <w:b/>
          <w:lang w:val="es-CO" w:eastAsia="es-ES_tradnl"/>
        </w:rPr>
        <w:t>PARÁGRAFO.</w:t>
      </w:r>
      <w:r w:rsidRPr="007273FE">
        <w:rPr>
          <w:rFonts w:ascii="Bookman Old Style" w:hAnsi="Bookman Old Style" w:cs="Arial"/>
          <w:lang w:val="es-CO" w:eastAsia="es-ES_tradnl"/>
        </w:rPr>
        <w:t xml:space="preserve"> El Gobierno Nacional deberá definir programas diferenciados tanto para el transporte de carga urbana como interurbana. Estos deberán incluir incentivos especiales en los programas de renovación del parque automotor que lidera el Ministerio de Transporte, tasas compensadas o subsidiadas, subsidios cruzados, entre otros. </w:t>
      </w:r>
    </w:p>
    <w:p w:rsidR="007273FE" w:rsidRPr="007273FE" w:rsidRDefault="007273FE" w:rsidP="007273FE">
      <w:pPr>
        <w:pStyle w:val="Sinespaciado"/>
      </w:pPr>
    </w:p>
    <w:p w:rsidR="007273FE" w:rsidRPr="007273FE" w:rsidRDefault="007273FE" w:rsidP="007273FE">
      <w:pPr>
        <w:jc w:val="both"/>
        <w:rPr>
          <w:rFonts w:ascii="Bookman Old Style" w:hAnsi="Bookman Old Style" w:cs="Arial"/>
          <w:bCs/>
          <w:lang w:val="es-CO" w:eastAsia="es-ES_tradnl"/>
        </w:rPr>
      </w:pPr>
      <w:r w:rsidRPr="007273FE">
        <w:rPr>
          <w:rFonts w:ascii="Bookman Old Style" w:hAnsi="Bookman Old Style" w:cs="Arial"/>
          <w:b/>
          <w:lang w:val="es-CO" w:eastAsia="es-ES_tradnl"/>
        </w:rPr>
        <w:t>ARTÍCULO 17. TRANSPORTE ESCOLAR</w:t>
      </w:r>
      <w:r w:rsidRPr="007273FE">
        <w:rPr>
          <w:rFonts w:ascii="Bookman Old Style" w:hAnsi="Bookman Old Style" w:cs="Arial"/>
          <w:bCs/>
          <w:lang w:val="es-CO" w:eastAsia="es-ES_tradnl"/>
        </w:rPr>
        <w:t>. A partir de los doce (12) meses siguientes a la fecha de entrada en vigencia de la presente Ley, el Gobierno Nacional deberá implementar políticas públicas, programas y acciones tendientes a garantizar que por lo menos el treinta por ciento (30%) de los vehículos nuevos que se matriculen para la prestación del servicio de transporte escolar, operen con motores dedicados a gas combustible.</w:t>
      </w:r>
    </w:p>
    <w:p w:rsidR="007273FE" w:rsidRPr="007273FE" w:rsidRDefault="007273FE" w:rsidP="007273FE">
      <w:pPr>
        <w:jc w:val="both"/>
        <w:rPr>
          <w:rFonts w:ascii="Bookman Old Style" w:hAnsi="Bookman Old Style" w:cs="Arial"/>
          <w:b/>
          <w:lang w:val="es-CO" w:eastAsia="es-ES_tradnl"/>
        </w:rPr>
      </w:pPr>
    </w:p>
    <w:p w:rsidR="007273FE" w:rsidRPr="007273FE" w:rsidRDefault="007273FE" w:rsidP="007273FE">
      <w:pPr>
        <w:jc w:val="both"/>
        <w:rPr>
          <w:rFonts w:ascii="Bookman Old Style" w:hAnsi="Bookman Old Style" w:cs="Arial"/>
          <w:lang w:val="es-CO" w:eastAsia="es-ES_tradnl"/>
        </w:rPr>
      </w:pPr>
      <w:r w:rsidRPr="007273FE">
        <w:rPr>
          <w:rFonts w:ascii="Bookman Old Style" w:hAnsi="Bookman Old Style" w:cs="Arial"/>
          <w:b/>
          <w:lang w:val="es-CO" w:eastAsia="es-ES_tradnl"/>
        </w:rPr>
        <w:t xml:space="preserve">ARTÍCULO 18. IMPUESTO SOBRE VEHÍCULOS AUTOMOTORES. </w:t>
      </w:r>
      <w:r w:rsidRPr="007273FE">
        <w:rPr>
          <w:rFonts w:ascii="Bookman Old Style" w:hAnsi="Bookman Old Style" w:cs="Arial"/>
          <w:lang w:val="es-CO" w:eastAsia="es-ES_tradnl"/>
        </w:rPr>
        <w:t xml:space="preserve">Adiciónese el Parágrafo 6º, al artículo 145 de la Ley 488 de 1998, el cual quedará así: </w:t>
      </w:r>
    </w:p>
    <w:p w:rsidR="007273FE" w:rsidRPr="007273FE" w:rsidRDefault="007273FE" w:rsidP="007273FE">
      <w:pPr>
        <w:ind w:right="474"/>
        <w:jc w:val="both"/>
        <w:rPr>
          <w:rFonts w:ascii="Bookman Old Style" w:hAnsi="Bookman Old Style" w:cs="Arial"/>
          <w:b/>
          <w:lang w:val="es-CO" w:eastAsia="es-ES_tradnl"/>
        </w:rPr>
      </w:pPr>
    </w:p>
    <w:p w:rsidR="007273FE" w:rsidRPr="007273FE" w:rsidRDefault="007273FE" w:rsidP="007273FE">
      <w:pPr>
        <w:ind w:left="284"/>
        <w:jc w:val="both"/>
        <w:rPr>
          <w:rFonts w:ascii="Bookman Old Style" w:hAnsi="Bookman Old Style" w:cs="Arial"/>
          <w:bCs/>
          <w:lang w:val="es-CO" w:eastAsia="es-ES_tradnl"/>
        </w:rPr>
      </w:pPr>
      <w:r w:rsidRPr="007273FE">
        <w:rPr>
          <w:rFonts w:ascii="Bookman Old Style" w:hAnsi="Bookman Old Style" w:cs="Arial"/>
          <w:b/>
          <w:lang w:val="es-CO" w:eastAsia="es-ES_tradnl"/>
        </w:rPr>
        <w:lastRenderedPageBreak/>
        <w:t xml:space="preserve">PARÁGRAFO 6. </w:t>
      </w:r>
      <w:r w:rsidRPr="007273FE">
        <w:rPr>
          <w:rFonts w:ascii="Bookman Old Style" w:hAnsi="Bookman Old Style" w:cs="Arial"/>
          <w:bCs/>
          <w:lang w:val="es-CO" w:eastAsia="es-ES_tradnl"/>
        </w:rPr>
        <w:t>Para los vehículos dedicados a gas combustible, las tarifas aplicables no podrán superar en ningún caso, el uno por ciento (1%) del valor comercial del vehículo.</w:t>
      </w:r>
    </w:p>
    <w:p w:rsidR="007273FE" w:rsidRPr="007273FE" w:rsidRDefault="007273FE" w:rsidP="007273FE">
      <w:pPr>
        <w:ind w:left="708" w:right="474"/>
        <w:jc w:val="both"/>
        <w:rPr>
          <w:rFonts w:ascii="Bookman Old Style" w:hAnsi="Bookman Old Style" w:cs="Arial"/>
          <w:i/>
          <w:iCs/>
          <w:lang w:val="es-CO" w:eastAsia="es-ES_tradnl"/>
        </w:rPr>
      </w:pPr>
    </w:p>
    <w:p w:rsidR="007273FE" w:rsidRPr="007273FE" w:rsidRDefault="007273FE" w:rsidP="007273FE">
      <w:pPr>
        <w:ind w:right="40"/>
        <w:jc w:val="both"/>
        <w:rPr>
          <w:rFonts w:ascii="Bookman Old Style" w:eastAsia="Cambria" w:hAnsi="Bookman Old Style" w:cs="Arial"/>
          <w:strike/>
          <w:lang w:val="es-CO" w:eastAsia="es-CO"/>
        </w:rPr>
      </w:pPr>
      <w:r w:rsidRPr="007273FE">
        <w:rPr>
          <w:rFonts w:ascii="Bookman Old Style" w:eastAsia="Cambria" w:hAnsi="Bookman Old Style" w:cs="Arial"/>
          <w:b/>
          <w:lang w:val="es-CO" w:eastAsia="es-CO"/>
        </w:rPr>
        <w:t xml:space="preserve">ARTÍCULO 19. EXENCIÓN DE CERTIFICADO DE EMISIONES CONTAMINANTES </w:t>
      </w:r>
      <w:r w:rsidRPr="007273FE">
        <w:rPr>
          <w:rFonts w:ascii="Bookman Old Style" w:hAnsi="Bookman Old Style" w:cs="Arial"/>
          <w:b/>
          <w:lang w:val="es-CO" w:eastAsia="es-CO"/>
        </w:rPr>
        <w:t>Y DESCUENTO SOBRE LA REVISIÓN TÉCNICO-MECÁNICA</w:t>
      </w:r>
      <w:r w:rsidRPr="007273FE">
        <w:rPr>
          <w:rFonts w:ascii="Bookman Old Style" w:eastAsia="Cambria" w:hAnsi="Bookman Old Style" w:cs="Arial"/>
          <w:b/>
          <w:lang w:val="es-CO" w:eastAsia="es-CO"/>
        </w:rPr>
        <w:t xml:space="preserve">. </w:t>
      </w:r>
      <w:r w:rsidRPr="007273FE">
        <w:rPr>
          <w:rFonts w:ascii="Bookman Old Style" w:eastAsia="Cambria" w:hAnsi="Bookman Old Style" w:cs="Arial"/>
          <w:lang w:val="es-CO" w:eastAsia="es-CO"/>
        </w:rPr>
        <w:t xml:space="preserve">Los vehículos dedicados a gas combustible quedarán exentos por un término de diez (10) años a partir de la fecha de matrícula del automotor, de obtener el certificado de emisiones contaminantes de que habla el artículo 12 de la Ley 1383 de 2010. </w:t>
      </w:r>
    </w:p>
    <w:p w:rsidR="007273FE" w:rsidRPr="007273FE" w:rsidRDefault="007273FE" w:rsidP="007273FE">
      <w:pPr>
        <w:ind w:right="40"/>
        <w:jc w:val="both"/>
        <w:rPr>
          <w:rFonts w:ascii="Bookman Old Style" w:eastAsia="Cambria" w:hAnsi="Bookman Old Style" w:cs="Arial"/>
          <w:strike/>
          <w:lang w:val="es-CO" w:eastAsia="es-CO"/>
        </w:rPr>
      </w:pPr>
    </w:p>
    <w:p w:rsidR="007273FE" w:rsidRPr="007273FE" w:rsidRDefault="007273FE" w:rsidP="007273FE">
      <w:pPr>
        <w:ind w:right="40"/>
        <w:jc w:val="both"/>
        <w:rPr>
          <w:rFonts w:ascii="Bookman Old Style" w:eastAsia="Cambria" w:hAnsi="Bookman Old Style" w:cs="Arial"/>
          <w:lang w:val="es-CO" w:eastAsia="es-CO"/>
        </w:rPr>
      </w:pPr>
      <w:r w:rsidRPr="007273FE">
        <w:rPr>
          <w:rFonts w:ascii="Bookman Old Style" w:eastAsia="Cambria" w:hAnsi="Bookman Old Style" w:cs="Arial"/>
          <w:lang w:val="es-CO" w:eastAsia="es-CO"/>
        </w:rPr>
        <w:t xml:space="preserve">Las compañías aseguradoras del sector financiero y cooperativo establecerán un descuento del diez por ciento (10%) en las primas de los seguros </w:t>
      </w:r>
      <w:proofErr w:type="spellStart"/>
      <w:r w:rsidRPr="007273FE">
        <w:rPr>
          <w:rFonts w:ascii="Bookman Old Style" w:eastAsia="Cambria" w:hAnsi="Bookman Old Style" w:cs="Arial"/>
          <w:lang w:val="es-CO" w:eastAsia="es-CO"/>
        </w:rPr>
        <w:t>SOAT</w:t>
      </w:r>
      <w:proofErr w:type="spellEnd"/>
      <w:r w:rsidRPr="007273FE">
        <w:rPr>
          <w:rFonts w:ascii="Bookman Old Style" w:eastAsia="Cambria" w:hAnsi="Bookman Old Style" w:cs="Arial"/>
          <w:lang w:val="es-CO" w:eastAsia="es-CO"/>
        </w:rPr>
        <w:t xml:space="preserve"> (Seguro Obligatorio de Accidente de Tránsito) de los vehículos dedicados a gas combustible. El beneficio de estas primas será registrado ante la Superintendencia Financiera de Colombia para su comprobación. Así mismo, para este tipo de vehículos establecerá un descuento mínimo del treinta por ciento (30%) en el valor de la Revisión Técnico-Mecánica consagrada en los artículos 10 y 11 de la Ley 1383 de 2010. </w:t>
      </w:r>
    </w:p>
    <w:p w:rsidR="007273FE" w:rsidRPr="007273FE" w:rsidRDefault="007273FE" w:rsidP="007273FE">
      <w:pPr>
        <w:spacing w:before="60" w:beforeAutospacing="1" w:after="240" w:afterAutospacing="1"/>
        <w:ind w:left="284" w:right="40"/>
        <w:jc w:val="both"/>
        <w:rPr>
          <w:rFonts w:ascii="Bookman Old Style" w:eastAsia="Cambria" w:hAnsi="Bookman Old Style" w:cs="Arial"/>
          <w:lang w:val="es-CO" w:eastAsia="es-CO"/>
        </w:rPr>
      </w:pPr>
      <w:r w:rsidRPr="007273FE">
        <w:rPr>
          <w:rFonts w:ascii="Bookman Old Style" w:eastAsia="Cambria" w:hAnsi="Bookman Old Style" w:cs="Arial"/>
          <w:b/>
          <w:lang w:val="es-CO" w:eastAsia="es-CO"/>
        </w:rPr>
        <w:t>PARÁGRAFO.</w:t>
      </w:r>
      <w:r w:rsidRPr="007273FE">
        <w:rPr>
          <w:rFonts w:ascii="Bookman Old Style" w:eastAsia="Cambria" w:hAnsi="Bookman Old Style" w:cs="Arial"/>
          <w:lang w:val="es-CO" w:eastAsia="es-CO"/>
        </w:rPr>
        <w:t xml:space="preserve"> Dentro de los seis meses (6) siguientes a la entrada en vigencia de la presente </w:t>
      </w:r>
      <w:bookmarkStart w:id="0" w:name="_GoBack"/>
      <w:bookmarkEnd w:id="0"/>
      <w:r w:rsidRPr="007273FE">
        <w:rPr>
          <w:rFonts w:ascii="Bookman Old Style" w:eastAsia="Cambria" w:hAnsi="Bookman Old Style" w:cs="Arial"/>
          <w:lang w:val="es-CO" w:eastAsia="es-CO"/>
        </w:rPr>
        <w:t>Ley, el Gobierno Nacional, reglamentará el presente artículo.</w:t>
      </w:r>
    </w:p>
    <w:p w:rsidR="007273FE" w:rsidRPr="007273FE" w:rsidRDefault="007273FE" w:rsidP="007273FE">
      <w:pPr>
        <w:jc w:val="both"/>
        <w:rPr>
          <w:rFonts w:ascii="Bookman Old Style" w:hAnsi="Bookman Old Style" w:cs="Calibri Light"/>
          <w:lang w:val="es-CO" w:eastAsia="es-ES_tradnl"/>
        </w:rPr>
      </w:pPr>
      <w:r w:rsidRPr="007273FE">
        <w:rPr>
          <w:rFonts w:ascii="Bookman Old Style" w:hAnsi="Bookman Old Style" w:cs="Calibri Light"/>
          <w:b/>
          <w:lang w:val="es-CO" w:eastAsia="es-ES_tradnl"/>
        </w:rPr>
        <w:t>ARTÍCULO 20. CAUSACIÓN DEL IMPUESTO AL CARBONO.</w:t>
      </w:r>
      <w:r w:rsidRPr="007273FE">
        <w:rPr>
          <w:rFonts w:ascii="Bookman Old Style" w:hAnsi="Bookman Old Style" w:cs="Calibri Light"/>
          <w:lang w:val="es-CO" w:eastAsia="es-ES_tradnl"/>
        </w:rPr>
        <w:t xml:space="preserve"> Los proyectos o programas que promuevan la producción nacional de gas combustible y demuestren reducciones en las emisiones de </w:t>
      </w:r>
      <w:proofErr w:type="spellStart"/>
      <w:r w:rsidRPr="007273FE">
        <w:rPr>
          <w:rFonts w:ascii="Bookman Old Style" w:hAnsi="Bookman Old Style" w:cs="Calibri Light"/>
          <w:lang w:val="es-CO" w:eastAsia="es-ES_tradnl"/>
        </w:rPr>
        <w:t>CO2</w:t>
      </w:r>
      <w:proofErr w:type="spellEnd"/>
      <w:r w:rsidRPr="007273FE">
        <w:rPr>
          <w:rFonts w:ascii="Bookman Old Style" w:hAnsi="Bookman Old Style" w:cs="Calibri Light"/>
          <w:lang w:val="es-CO" w:eastAsia="es-ES_tradnl"/>
        </w:rPr>
        <w:t>, serán sujeto de la no causación del impuesto nacional al carbono, según lo establecido en el artículo 1.5.5.3 del Decreto 926 de 2017.</w:t>
      </w:r>
      <w:r w:rsidRPr="007273FE" w:rsidDel="00A576B2">
        <w:rPr>
          <w:rFonts w:ascii="Bookman Old Style" w:hAnsi="Bookman Old Style" w:cs="Calibri Light"/>
          <w:lang w:val="es-CO" w:eastAsia="es-ES_tradnl"/>
        </w:rPr>
        <w:t xml:space="preserve"> </w:t>
      </w:r>
    </w:p>
    <w:p w:rsidR="007273FE" w:rsidRPr="007273FE" w:rsidRDefault="007273FE" w:rsidP="007273FE">
      <w:pPr>
        <w:jc w:val="both"/>
        <w:rPr>
          <w:rFonts w:ascii="Bookman Old Style" w:hAnsi="Bookman Old Style" w:cs="Calibri Light"/>
          <w:lang w:val="es-CO" w:eastAsia="es-ES_tradnl"/>
        </w:rPr>
      </w:pPr>
    </w:p>
    <w:p w:rsidR="007273FE" w:rsidRPr="007273FE" w:rsidRDefault="007273FE" w:rsidP="007273FE">
      <w:pPr>
        <w:jc w:val="both"/>
        <w:rPr>
          <w:rFonts w:ascii="Bookman Old Style" w:eastAsia="Cambria" w:hAnsi="Bookman Old Style" w:cs="Arial"/>
          <w:lang w:val="es-CO" w:eastAsia="es-ES_tradnl"/>
        </w:rPr>
      </w:pPr>
      <w:r w:rsidRPr="007273FE">
        <w:rPr>
          <w:rFonts w:ascii="Bookman Old Style" w:eastAsia="Cambria" w:hAnsi="Bookman Old Style" w:cs="Arial"/>
          <w:b/>
          <w:bCs/>
          <w:lang w:val="es-CO" w:eastAsia="es-ES_tradnl"/>
        </w:rPr>
        <w:t>ARTÍCULO 21. INICIATIVA DE PREVENCIÓN EN SALUD.</w:t>
      </w:r>
      <w:r w:rsidRPr="007273FE">
        <w:rPr>
          <w:rFonts w:ascii="Bookman Old Style" w:eastAsia="Cambria" w:hAnsi="Bookman Old Style" w:cs="Arial"/>
          <w:lang w:val="es-CO" w:eastAsia="es-ES_tradnl"/>
        </w:rPr>
        <w:t xml:space="preserve"> El Ministerio de Salud y Protección Social, teniendo en cuenta los beneficios en salud asociados a la reducción de las emisiones contaminantes por la masificación de vehículos a gas combustible, apoyará, promoverá y patrocinará todas las iniciativas definidas en la presente Ley, y dispondrá de recursos técnicos y financieros para apoyar  la masificación de las tecnologías de vehículos a gas combustible como una política de prevención en salud pública. </w:t>
      </w:r>
      <w:r w:rsidRPr="007273FE">
        <w:rPr>
          <w:rFonts w:ascii="Bookman Old Style" w:eastAsia="Cambria" w:hAnsi="Bookman Old Style" w:cs="Arial"/>
          <w:lang w:val="es-CO" w:eastAsia="es-ES_tradnl"/>
        </w:rPr>
        <w:softHyphen/>
      </w:r>
      <w:r w:rsidRPr="007273FE">
        <w:rPr>
          <w:rFonts w:ascii="Bookman Old Style" w:eastAsia="Cambria" w:hAnsi="Bookman Old Style" w:cs="Arial"/>
          <w:lang w:val="es-CO" w:eastAsia="es-ES_tradnl"/>
        </w:rPr>
        <w:softHyphen/>
      </w:r>
    </w:p>
    <w:p w:rsidR="007273FE" w:rsidRPr="007273FE" w:rsidRDefault="007273FE" w:rsidP="007273FE">
      <w:pPr>
        <w:spacing w:before="60" w:beforeAutospacing="1" w:after="240" w:afterAutospacing="1"/>
        <w:ind w:right="40"/>
        <w:jc w:val="both"/>
        <w:rPr>
          <w:rFonts w:ascii="Bookman Old Style" w:eastAsia="Cambria" w:hAnsi="Bookman Old Style" w:cs="Arial"/>
          <w:lang w:val="es-CO" w:eastAsia="es-CO"/>
        </w:rPr>
      </w:pPr>
      <w:r w:rsidRPr="007273FE">
        <w:rPr>
          <w:rFonts w:ascii="Bookman Old Style" w:eastAsia="Cambria" w:hAnsi="Bookman Old Style" w:cs="Arial"/>
          <w:b/>
          <w:bCs/>
          <w:lang w:val="es-CO" w:eastAsia="es-CO"/>
        </w:rPr>
        <w:t>ARTÍCULO 22. SOCIALIZACIÓN.</w:t>
      </w:r>
      <w:r w:rsidRPr="007273FE">
        <w:rPr>
          <w:rFonts w:ascii="Bookman Old Style" w:eastAsia="Cambria" w:hAnsi="Bookman Old Style" w:cs="Arial"/>
          <w:lang w:val="es-CO" w:eastAsia="es-CO"/>
        </w:rPr>
        <w:t xml:space="preserve"> Los Ministerios de Minas y Energía, Ambiente y Desarrollo Sostenible, Salud y Protección Social y las demás entidades gubernamentales relacionadas con la ampliación del abastecimiento, continuidad, confiabilidad y cobertura del sector de gas combustible en el país, se encargarán de adelantar jornadas de socialización </w:t>
      </w:r>
      <w:r w:rsidRPr="007273FE">
        <w:rPr>
          <w:rFonts w:ascii="Bookman Old Style" w:eastAsia="Cambria" w:hAnsi="Bookman Old Style" w:cs="Arial"/>
          <w:lang w:val="es-CO" w:eastAsia="es-CO"/>
        </w:rPr>
        <w:lastRenderedPageBreak/>
        <w:t>en todos los municipios beneficiados a nivel nacional para generar conciencia sobre las ventajas de utilizar el gas combustible.</w:t>
      </w:r>
    </w:p>
    <w:p w:rsidR="007273FE" w:rsidRPr="007273FE" w:rsidRDefault="007273FE" w:rsidP="007273FE">
      <w:pPr>
        <w:spacing w:before="60" w:beforeAutospacing="1" w:after="240" w:afterAutospacing="1"/>
        <w:ind w:right="40"/>
        <w:jc w:val="both"/>
        <w:rPr>
          <w:rFonts w:ascii="Bookman Old Style" w:eastAsia="Cambria" w:hAnsi="Bookman Old Style" w:cs="Arial"/>
          <w:lang w:val="es-CO" w:eastAsia="es-CO"/>
        </w:rPr>
      </w:pPr>
      <w:r w:rsidRPr="007273FE">
        <w:rPr>
          <w:rFonts w:ascii="Bookman Old Style" w:hAnsi="Bookman Old Style"/>
          <w:b/>
          <w:lang w:val="es-CO" w:eastAsia="es-CO"/>
        </w:rPr>
        <w:t>ARTÍCULO 23. DISPOSICIONES COMPLEMENTARIAS.</w:t>
      </w:r>
      <w:r w:rsidRPr="007273FE">
        <w:rPr>
          <w:rFonts w:ascii="Bookman Old Style" w:hAnsi="Bookman Old Style"/>
          <w:lang w:val="es-CO" w:eastAsia="es-CO"/>
        </w:rPr>
        <w:t xml:space="preserve"> Las actividades reglamentadas por esta ley están sujetas a todas las leyes, decretos y actos administrativos relativos con la protección de los recursos naturales, del medio ambiente, de las minorías étnicas y culturales, de salubridad y de seguridad industrial, así como los convenios de la OIT 174 y 181 y de todos aquellos que la modifiquen.</w:t>
      </w:r>
    </w:p>
    <w:p w:rsidR="007273FE" w:rsidRPr="007273FE" w:rsidRDefault="007273FE" w:rsidP="00542E00">
      <w:pPr>
        <w:spacing w:before="60" w:beforeAutospacing="1" w:after="240" w:afterAutospacing="1"/>
        <w:ind w:right="40"/>
        <w:jc w:val="both"/>
        <w:rPr>
          <w:rFonts w:ascii="Bookman Old Style" w:eastAsia="Cambria" w:hAnsi="Bookman Old Style" w:cs="Arial"/>
          <w:lang w:val="es-CO" w:eastAsia="es-CO"/>
        </w:rPr>
      </w:pPr>
      <w:r w:rsidRPr="007273FE">
        <w:rPr>
          <w:rFonts w:ascii="Bookman Old Style" w:eastAsia="Cambria" w:hAnsi="Bookman Old Style" w:cs="Arial"/>
          <w:b/>
          <w:bCs/>
          <w:lang w:val="es-CO" w:eastAsia="es-CO"/>
        </w:rPr>
        <w:t>ARTÍCULO 24. VIGENCIA Y DEROGATORIAS.</w:t>
      </w:r>
      <w:r w:rsidRPr="007273FE">
        <w:rPr>
          <w:rFonts w:ascii="Bookman Old Style" w:eastAsia="Cambria" w:hAnsi="Bookman Old Style" w:cs="Arial"/>
          <w:lang w:val="es-CO" w:eastAsia="es-CO"/>
        </w:rPr>
        <w:t xml:space="preserve"> La presente Ley rige a partir de su promulgación y deroga todas las disposiciones que le sean contrarias.</w:t>
      </w:r>
    </w:p>
    <w:p w:rsidR="007273FE" w:rsidRPr="007273FE" w:rsidRDefault="007273FE" w:rsidP="007273FE">
      <w:pPr>
        <w:rPr>
          <w:rFonts w:ascii="Bookman Old Style" w:hAnsi="Bookman Old Style"/>
          <w:lang w:val="es-CO" w:eastAsia="es-CO"/>
        </w:rPr>
      </w:pPr>
      <w:r w:rsidRPr="007273FE">
        <w:rPr>
          <w:rFonts w:ascii="Bookman Old Style" w:hAnsi="Bookman Old Style"/>
          <w:lang w:val="es-CO" w:eastAsia="es-CO"/>
        </w:rPr>
        <w:t>Del Honorable Congresista,</w:t>
      </w:r>
    </w:p>
    <w:p w:rsidR="007273FE" w:rsidRPr="007273FE" w:rsidRDefault="007273FE" w:rsidP="007273FE">
      <w:pPr>
        <w:rPr>
          <w:rFonts w:ascii="Bookman Old Style" w:hAnsi="Bookman Old Style"/>
          <w:lang w:val="es-CO" w:eastAsia="es-CO"/>
        </w:rPr>
      </w:pPr>
    </w:p>
    <w:p w:rsidR="007273FE" w:rsidRPr="007273FE" w:rsidRDefault="007273FE" w:rsidP="007273FE">
      <w:pPr>
        <w:jc w:val="both"/>
        <w:rPr>
          <w:rFonts w:ascii="Bookman Old Style" w:hAnsi="Bookman Old Style" w:cs="Calibri Light"/>
          <w:lang w:val="es-CO" w:eastAsia="es-ES_tradnl"/>
        </w:rPr>
      </w:pPr>
    </w:p>
    <w:p w:rsidR="007273FE" w:rsidRPr="007273FE" w:rsidRDefault="007273FE" w:rsidP="007273FE">
      <w:pPr>
        <w:jc w:val="both"/>
        <w:rPr>
          <w:rFonts w:ascii="Bookman Old Style" w:hAnsi="Bookman Old Style" w:cs="Calibri Light"/>
          <w:lang w:val="es-CO" w:eastAsia="es-ES_tradnl"/>
        </w:rPr>
      </w:pPr>
    </w:p>
    <w:p w:rsidR="007273FE" w:rsidRPr="007273FE" w:rsidRDefault="007273FE" w:rsidP="00542E00">
      <w:pPr>
        <w:rPr>
          <w:rFonts w:ascii="Bookman Old Style" w:hAnsi="Bookman Old Style" w:cs="Calibri Light"/>
          <w:lang w:val="es-CO" w:eastAsia="es-ES_tradnl"/>
        </w:rPr>
      </w:pPr>
    </w:p>
    <w:p w:rsidR="007273FE" w:rsidRPr="007273FE" w:rsidRDefault="007273FE" w:rsidP="00542E00">
      <w:pPr>
        <w:rPr>
          <w:rFonts w:ascii="Bookman Old Style" w:hAnsi="Bookman Old Style" w:cs="Calibri Light"/>
          <w:b/>
          <w:lang w:val="es-CO" w:eastAsia="es-ES_tradnl"/>
        </w:rPr>
      </w:pPr>
      <w:r w:rsidRPr="007273FE">
        <w:rPr>
          <w:rFonts w:ascii="Bookman Old Style" w:hAnsi="Bookman Old Style" w:cs="Calibri Light"/>
          <w:b/>
          <w:lang w:val="es-CO" w:eastAsia="es-ES_tradnl"/>
        </w:rPr>
        <w:t xml:space="preserve">EDWIN GILBERTO BALLESTEROS </w:t>
      </w:r>
      <w:proofErr w:type="spellStart"/>
      <w:r w:rsidRPr="007273FE">
        <w:rPr>
          <w:rFonts w:ascii="Bookman Old Style" w:hAnsi="Bookman Old Style" w:cs="Calibri Light"/>
          <w:b/>
          <w:lang w:val="es-CO" w:eastAsia="es-ES_tradnl"/>
        </w:rPr>
        <w:t>ARCHILA</w:t>
      </w:r>
      <w:proofErr w:type="spellEnd"/>
    </w:p>
    <w:p w:rsidR="007273FE" w:rsidRPr="007273FE" w:rsidRDefault="007273FE" w:rsidP="00542E00">
      <w:pPr>
        <w:rPr>
          <w:rFonts w:ascii="Bookman Old Style" w:hAnsi="Bookman Old Style" w:cs="Calibri Light"/>
          <w:lang w:val="es-CO" w:eastAsia="es-ES_tradnl"/>
        </w:rPr>
      </w:pPr>
      <w:r w:rsidRPr="007273FE">
        <w:rPr>
          <w:rFonts w:ascii="Bookman Old Style" w:hAnsi="Bookman Old Style" w:cs="Calibri Light"/>
          <w:lang w:val="es-CO" w:eastAsia="es-ES_tradnl"/>
        </w:rPr>
        <w:t>Representante a la Cámara por Santander</w:t>
      </w:r>
    </w:p>
    <w:p w:rsidR="007273FE" w:rsidRPr="007273FE" w:rsidRDefault="007273FE" w:rsidP="00542E00">
      <w:pPr>
        <w:rPr>
          <w:rFonts w:ascii="Bookman Old Style" w:hAnsi="Bookman Old Style" w:cs="Calibri Light"/>
          <w:lang w:val="es-CO" w:eastAsia="es-ES_tradnl"/>
        </w:rPr>
      </w:pPr>
      <w:r w:rsidRPr="007273FE">
        <w:rPr>
          <w:rFonts w:ascii="Bookman Old Style" w:hAnsi="Bookman Old Style" w:cs="Calibri Light"/>
          <w:lang w:val="es-CO" w:eastAsia="es-ES_tradnl"/>
        </w:rPr>
        <w:t>Partido Centro Democrático</w:t>
      </w:r>
    </w:p>
    <w:p w:rsidR="00641599" w:rsidRPr="007273FE" w:rsidRDefault="00641599" w:rsidP="00641599">
      <w:pPr>
        <w:jc w:val="both"/>
        <w:rPr>
          <w:rFonts w:ascii="Bookman Old Style" w:hAnsi="Bookman Old Style" w:cs="Arial"/>
          <w:b/>
          <w:color w:val="000000" w:themeColor="text1"/>
        </w:rPr>
      </w:pPr>
    </w:p>
    <w:p w:rsidR="001E139C" w:rsidRPr="007273FE" w:rsidRDefault="001E139C" w:rsidP="00245858">
      <w:pPr>
        <w:pStyle w:val="Sinespaciado"/>
        <w:jc w:val="both"/>
        <w:rPr>
          <w:rFonts w:ascii="Bookman Old Style" w:hAnsi="Bookman Old Style"/>
          <w:sz w:val="24"/>
          <w:szCs w:val="24"/>
        </w:rPr>
      </w:pPr>
      <w:r w:rsidRPr="007273FE">
        <w:rPr>
          <w:rFonts w:ascii="Bookman Old Style" w:hAnsi="Bookman Old Style"/>
          <w:sz w:val="24"/>
          <w:szCs w:val="24"/>
        </w:rPr>
        <w:t>La relación completa de la aprobación en primer debate del Proyecto de Ley consta en la Acta No. 01</w:t>
      </w:r>
      <w:r w:rsidR="00245858" w:rsidRPr="007273FE">
        <w:rPr>
          <w:rFonts w:ascii="Bookman Old Style" w:hAnsi="Bookman Old Style"/>
          <w:sz w:val="24"/>
          <w:szCs w:val="24"/>
        </w:rPr>
        <w:t>5</w:t>
      </w:r>
      <w:r w:rsidRPr="007273FE">
        <w:rPr>
          <w:rFonts w:ascii="Bookman Old Style" w:hAnsi="Bookman Old Style"/>
          <w:sz w:val="24"/>
          <w:szCs w:val="24"/>
        </w:rPr>
        <w:t xml:space="preserve"> correspondiente a la sesión realizada el día </w:t>
      </w:r>
      <w:r w:rsidR="00245858" w:rsidRPr="007273FE">
        <w:rPr>
          <w:rFonts w:ascii="Bookman Old Style" w:hAnsi="Bookman Old Style"/>
          <w:sz w:val="24"/>
          <w:szCs w:val="24"/>
        </w:rPr>
        <w:t>3</w:t>
      </w:r>
      <w:r w:rsidRPr="007273FE">
        <w:rPr>
          <w:rFonts w:ascii="Bookman Old Style" w:hAnsi="Bookman Old Style"/>
          <w:sz w:val="24"/>
          <w:szCs w:val="24"/>
        </w:rPr>
        <w:t xml:space="preserve"> de </w:t>
      </w:r>
      <w:r w:rsidR="00245858" w:rsidRPr="007273FE">
        <w:rPr>
          <w:rFonts w:ascii="Bookman Old Style" w:hAnsi="Bookman Old Style"/>
          <w:sz w:val="24"/>
          <w:szCs w:val="24"/>
        </w:rPr>
        <w:t>diciembre  de</w:t>
      </w:r>
      <w:r w:rsidRPr="007273FE">
        <w:rPr>
          <w:rFonts w:ascii="Bookman Old Style" w:hAnsi="Bookman Old Style"/>
          <w:sz w:val="24"/>
          <w:szCs w:val="24"/>
        </w:rPr>
        <w:t xml:space="preserve"> 2019; el anuncio de la votación del proyecto de ley se hizo el </w:t>
      </w:r>
      <w:r w:rsidR="00245858" w:rsidRPr="007273FE">
        <w:rPr>
          <w:rFonts w:ascii="Bookman Old Style" w:hAnsi="Bookman Old Style"/>
          <w:sz w:val="24"/>
          <w:szCs w:val="24"/>
        </w:rPr>
        <w:t xml:space="preserve">día 13 de noviembre de 2019, según consta en el Acta No. 014, de acuerdo con el Artículo 8 del Acto Legislativo 1 de 2003. </w:t>
      </w:r>
    </w:p>
    <w:p w:rsidR="001E139C" w:rsidRPr="007273FE" w:rsidRDefault="001E139C" w:rsidP="001E139C">
      <w:pPr>
        <w:pStyle w:val="Sinespaciado"/>
        <w:jc w:val="both"/>
        <w:rPr>
          <w:rFonts w:ascii="Bookman Old Style" w:hAnsi="Bookman Old Style"/>
          <w:sz w:val="24"/>
          <w:szCs w:val="24"/>
        </w:rPr>
      </w:pPr>
    </w:p>
    <w:p w:rsidR="001E139C" w:rsidRPr="007273FE" w:rsidRDefault="001E139C" w:rsidP="001E139C">
      <w:pPr>
        <w:pStyle w:val="Sinespaciado"/>
        <w:jc w:val="both"/>
        <w:rPr>
          <w:rFonts w:ascii="Bookman Old Style" w:hAnsi="Bookman Old Style"/>
          <w:sz w:val="24"/>
          <w:szCs w:val="24"/>
        </w:rPr>
      </w:pPr>
    </w:p>
    <w:p w:rsidR="001E139C" w:rsidRPr="007273FE" w:rsidRDefault="001E139C" w:rsidP="001E139C">
      <w:pPr>
        <w:pStyle w:val="Sinespaciado"/>
        <w:jc w:val="both"/>
        <w:rPr>
          <w:rFonts w:ascii="Bookman Old Style" w:hAnsi="Bookman Old Style"/>
          <w:sz w:val="24"/>
          <w:szCs w:val="24"/>
        </w:rPr>
      </w:pPr>
    </w:p>
    <w:p w:rsidR="001E139C" w:rsidRPr="007273FE" w:rsidRDefault="001E139C" w:rsidP="001E139C">
      <w:pPr>
        <w:pStyle w:val="Sinespaciado"/>
        <w:jc w:val="both"/>
        <w:rPr>
          <w:rFonts w:ascii="Bookman Old Style" w:hAnsi="Bookman Old Style"/>
          <w:sz w:val="24"/>
          <w:szCs w:val="24"/>
        </w:rPr>
      </w:pPr>
    </w:p>
    <w:p w:rsidR="001E139C" w:rsidRPr="007273FE" w:rsidRDefault="001E139C" w:rsidP="001E139C">
      <w:pPr>
        <w:pStyle w:val="Sinespaciado"/>
        <w:jc w:val="both"/>
        <w:rPr>
          <w:rFonts w:ascii="Bookman Old Style" w:hAnsi="Bookman Old Style"/>
          <w:sz w:val="24"/>
          <w:szCs w:val="24"/>
        </w:rPr>
      </w:pPr>
    </w:p>
    <w:p w:rsidR="001E139C" w:rsidRPr="00897EEB" w:rsidRDefault="001E139C" w:rsidP="001E139C">
      <w:pPr>
        <w:pStyle w:val="Sinespaciado"/>
        <w:jc w:val="both"/>
        <w:rPr>
          <w:rFonts w:ascii="Bookman Old Style" w:hAnsi="Bookman Old Style"/>
          <w:b/>
          <w:sz w:val="24"/>
          <w:szCs w:val="24"/>
        </w:rPr>
      </w:pPr>
      <w:r w:rsidRPr="00897EEB">
        <w:rPr>
          <w:rFonts w:ascii="Bookman Old Style" w:hAnsi="Bookman Old Style"/>
          <w:b/>
          <w:sz w:val="24"/>
          <w:szCs w:val="24"/>
        </w:rPr>
        <w:t xml:space="preserve">JAIR JOSÉ </w:t>
      </w:r>
      <w:proofErr w:type="spellStart"/>
      <w:r w:rsidRPr="00897EEB">
        <w:rPr>
          <w:rFonts w:ascii="Bookman Old Style" w:hAnsi="Bookman Old Style"/>
          <w:b/>
          <w:sz w:val="24"/>
          <w:szCs w:val="24"/>
        </w:rPr>
        <w:t>EBRATT</w:t>
      </w:r>
      <w:proofErr w:type="spellEnd"/>
      <w:r w:rsidRPr="00897EEB">
        <w:rPr>
          <w:rFonts w:ascii="Bookman Old Style" w:hAnsi="Bookman Old Style"/>
          <w:b/>
          <w:sz w:val="24"/>
          <w:szCs w:val="24"/>
        </w:rPr>
        <w:t xml:space="preserve"> DÍAZ</w:t>
      </w:r>
    </w:p>
    <w:p w:rsidR="001E139C" w:rsidRPr="007273FE" w:rsidRDefault="001E139C" w:rsidP="001E139C">
      <w:pPr>
        <w:pStyle w:val="Sinespaciado"/>
        <w:jc w:val="both"/>
        <w:rPr>
          <w:rFonts w:ascii="Bookman Old Style" w:hAnsi="Bookman Old Style"/>
          <w:sz w:val="24"/>
          <w:szCs w:val="24"/>
        </w:rPr>
      </w:pPr>
      <w:r w:rsidRPr="007273FE">
        <w:rPr>
          <w:rFonts w:ascii="Bookman Old Style" w:hAnsi="Bookman Old Style"/>
          <w:sz w:val="24"/>
          <w:szCs w:val="24"/>
        </w:rPr>
        <w:t>Secretario Comisión Quinta</w:t>
      </w:r>
    </w:p>
    <w:p w:rsidR="001E139C" w:rsidRPr="007273FE" w:rsidRDefault="001E139C" w:rsidP="001E139C">
      <w:pPr>
        <w:pStyle w:val="Sinespaciado"/>
        <w:jc w:val="both"/>
        <w:rPr>
          <w:rFonts w:ascii="Bookman Old Style" w:hAnsi="Bookman Old Style"/>
          <w:sz w:val="24"/>
          <w:szCs w:val="24"/>
        </w:rPr>
      </w:pPr>
      <w:r w:rsidRPr="007273FE">
        <w:rPr>
          <w:rFonts w:ascii="Bookman Old Style" w:hAnsi="Bookman Old Style"/>
          <w:sz w:val="24"/>
          <w:szCs w:val="24"/>
        </w:rPr>
        <w:t>Cámara de Representantes</w:t>
      </w:r>
    </w:p>
    <w:p w:rsidR="001E139C" w:rsidRPr="007273FE" w:rsidRDefault="001E139C" w:rsidP="001E139C">
      <w:pPr>
        <w:pStyle w:val="Sinespaciado"/>
        <w:rPr>
          <w:rFonts w:ascii="Bookman Old Style" w:hAnsi="Bookman Old Style" w:cs="Tahoma"/>
          <w:b/>
          <w:sz w:val="24"/>
          <w:szCs w:val="24"/>
        </w:rPr>
      </w:pPr>
    </w:p>
    <w:p w:rsidR="00693740" w:rsidRPr="007273FE" w:rsidRDefault="00693740" w:rsidP="00693740">
      <w:pPr>
        <w:pStyle w:val="Sinespaciado"/>
        <w:jc w:val="both"/>
        <w:rPr>
          <w:rFonts w:ascii="Bookman Old Style" w:hAnsi="Bookman Old Style" w:cs="Tahoma"/>
          <w:sz w:val="24"/>
          <w:szCs w:val="24"/>
        </w:rPr>
      </w:pPr>
      <w:r w:rsidRPr="007273FE">
        <w:rPr>
          <w:rFonts w:ascii="Bookman Old Style" w:hAnsi="Bookman Old Style" w:cs="Tahoma"/>
          <w:sz w:val="24"/>
          <w:szCs w:val="24"/>
        </w:rPr>
        <w:t xml:space="preserve"> </w:t>
      </w:r>
    </w:p>
    <w:p w:rsidR="00462917" w:rsidRPr="007273FE" w:rsidRDefault="00462917" w:rsidP="00693740">
      <w:pPr>
        <w:pStyle w:val="Sinespaciado"/>
        <w:jc w:val="both"/>
        <w:rPr>
          <w:rFonts w:ascii="Bookman Old Style" w:hAnsi="Bookman Old Style"/>
          <w:sz w:val="24"/>
          <w:szCs w:val="24"/>
        </w:rPr>
      </w:pPr>
    </w:p>
    <w:sectPr w:rsidR="00462917" w:rsidRPr="007273FE">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31FE" w:rsidRDefault="00485800">
      <w:r>
        <w:separator/>
      </w:r>
    </w:p>
  </w:endnote>
  <w:endnote w:type="continuationSeparator" w:id="0">
    <w:p w:rsidR="00BA31FE" w:rsidRDefault="00485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31FE" w:rsidRDefault="00485800">
      <w:r>
        <w:separator/>
      </w:r>
    </w:p>
  </w:footnote>
  <w:footnote w:type="continuationSeparator" w:id="0">
    <w:p w:rsidR="00BA31FE" w:rsidRDefault="004858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CC4" w:rsidRDefault="006F140E" w:rsidP="008B0CC4">
    <w:pPr>
      <w:pStyle w:val="Encabezado"/>
      <w:jc w:val="center"/>
    </w:pPr>
    <w:r w:rsidRPr="00117983">
      <w:rPr>
        <w:rFonts w:ascii="Arial" w:eastAsia="Arial Unicode MS" w:hAnsi="Arial" w:cs="Arial"/>
        <w:noProof/>
        <w:spacing w:val="60"/>
        <w:lang w:val="es-CO" w:eastAsia="es-CO"/>
      </w:rPr>
      <w:drawing>
        <wp:inline distT="0" distB="0" distL="0" distR="0" wp14:anchorId="60EAB90A" wp14:editId="27C99BF6">
          <wp:extent cx="2308485" cy="715975"/>
          <wp:effectExtent l="0" t="0" r="0" b="82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8262" cy="715906"/>
                  </a:xfrm>
                  <a:prstGeom prst="rect">
                    <a:avLst/>
                  </a:prstGeom>
                  <a:noFill/>
                  <a:ln>
                    <a:noFill/>
                  </a:ln>
                </pic:spPr>
              </pic:pic>
            </a:graphicData>
          </a:graphic>
        </wp:inline>
      </w:drawing>
    </w:r>
  </w:p>
  <w:p w:rsidR="008B0CC4" w:rsidRDefault="00B86F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BE4DE5"/>
    <w:multiLevelType w:val="hybridMultilevel"/>
    <w:tmpl w:val="10560EE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215314FD"/>
    <w:multiLevelType w:val="hybridMultilevel"/>
    <w:tmpl w:val="B404A98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42463532"/>
    <w:multiLevelType w:val="hybridMultilevel"/>
    <w:tmpl w:val="2B8CED7C"/>
    <w:lvl w:ilvl="0" w:tplc="49105EC6">
      <w:start w:val="1"/>
      <w:numFmt w:val="lowerLetter"/>
      <w:lvlText w:val="%1)"/>
      <w:lvlJc w:val="left"/>
      <w:pPr>
        <w:ind w:left="644" w:hanging="360"/>
      </w:pPr>
      <w:rPr>
        <w:rFonts w:hint="default"/>
        <w:color w:val="000000" w:themeColor="text1"/>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3">
    <w:nsid w:val="47647FE5"/>
    <w:multiLevelType w:val="hybridMultilevel"/>
    <w:tmpl w:val="8C6A393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52F30776"/>
    <w:multiLevelType w:val="hybridMultilevel"/>
    <w:tmpl w:val="C0FE7C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765600EC"/>
    <w:multiLevelType w:val="hybridMultilevel"/>
    <w:tmpl w:val="070A6808"/>
    <w:lvl w:ilvl="0" w:tplc="5D8E7EA2">
      <w:start w:val="1"/>
      <w:numFmt w:val="lowerLetter"/>
      <w:lvlText w:val="%1."/>
      <w:lvlJc w:val="left"/>
      <w:pPr>
        <w:ind w:left="720" w:hanging="360"/>
      </w:pPr>
      <w:rPr>
        <w:rFonts w:ascii="Arial" w:eastAsiaTheme="minorHAnsi" w:hAnsi="Arial"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7A9A41F5"/>
    <w:multiLevelType w:val="hybridMultilevel"/>
    <w:tmpl w:val="10B8D62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6"/>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40E"/>
    <w:rsid w:val="001E139C"/>
    <w:rsid w:val="00245858"/>
    <w:rsid w:val="00300434"/>
    <w:rsid w:val="00462917"/>
    <w:rsid w:val="00485800"/>
    <w:rsid w:val="004860D8"/>
    <w:rsid w:val="004B326D"/>
    <w:rsid w:val="00542E00"/>
    <w:rsid w:val="005A2453"/>
    <w:rsid w:val="005A6A94"/>
    <w:rsid w:val="005C450B"/>
    <w:rsid w:val="00601846"/>
    <w:rsid w:val="00641599"/>
    <w:rsid w:val="00693740"/>
    <w:rsid w:val="006E43C0"/>
    <w:rsid w:val="006F140E"/>
    <w:rsid w:val="00706124"/>
    <w:rsid w:val="007273FE"/>
    <w:rsid w:val="00807B26"/>
    <w:rsid w:val="00897EEB"/>
    <w:rsid w:val="008C782F"/>
    <w:rsid w:val="00915A1E"/>
    <w:rsid w:val="00AA6BD8"/>
    <w:rsid w:val="00AB33A1"/>
    <w:rsid w:val="00B76168"/>
    <w:rsid w:val="00B86F1B"/>
    <w:rsid w:val="00BA31FE"/>
    <w:rsid w:val="00FB5DA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6E9274-019C-4883-8756-901095D18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140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Segundo nivel de viñetas,List Paragraph1,titulo 3,Párrafo de lista1,Lista vistosa - Énfasis 11,Segundo nivel de vi–etas,List Paragraph"/>
    <w:basedOn w:val="Normal"/>
    <w:link w:val="PrrafodelistaCar"/>
    <w:uiPriority w:val="34"/>
    <w:qFormat/>
    <w:rsid w:val="006F140E"/>
    <w:pPr>
      <w:spacing w:after="160" w:line="259" w:lineRule="auto"/>
      <w:ind w:left="720"/>
      <w:contextualSpacing/>
    </w:pPr>
    <w:rPr>
      <w:rFonts w:asciiTheme="minorHAnsi" w:eastAsiaTheme="minorHAnsi" w:hAnsiTheme="minorHAnsi" w:cstheme="minorBidi"/>
      <w:sz w:val="22"/>
      <w:szCs w:val="22"/>
      <w:lang w:val="en-US" w:eastAsia="en-US"/>
    </w:rPr>
  </w:style>
  <w:style w:type="character" w:customStyle="1" w:styleId="PrrafodelistaCar">
    <w:name w:val="Párrafo de lista Car"/>
    <w:aliases w:val="Segundo nivel de viñetas Car,List Paragraph1 Car,titulo 3 Car,Párrafo de lista1 Car,Lista vistosa - Énfasis 11 Car,Segundo nivel de vi–etas Car,List Paragraph Car"/>
    <w:basedOn w:val="Fuentedeprrafopredeter"/>
    <w:link w:val="Prrafodelista"/>
    <w:uiPriority w:val="34"/>
    <w:locked/>
    <w:rsid w:val="006F140E"/>
    <w:rPr>
      <w:lang w:val="en-US"/>
    </w:rPr>
  </w:style>
  <w:style w:type="paragraph" w:customStyle="1" w:styleId="xmsonormal">
    <w:name w:val="x_msonormal"/>
    <w:basedOn w:val="Normal"/>
    <w:rsid w:val="006F140E"/>
    <w:rPr>
      <w:rFonts w:eastAsiaTheme="minorHAnsi"/>
      <w:lang w:val="es-CO" w:eastAsia="es-CO"/>
    </w:rPr>
  </w:style>
  <w:style w:type="paragraph" w:styleId="Encabezado">
    <w:name w:val="header"/>
    <w:basedOn w:val="Normal"/>
    <w:link w:val="EncabezadoCar"/>
    <w:uiPriority w:val="99"/>
    <w:unhideWhenUsed/>
    <w:rsid w:val="006F140E"/>
    <w:pPr>
      <w:tabs>
        <w:tab w:val="center" w:pos="4419"/>
        <w:tab w:val="right" w:pos="8838"/>
      </w:tabs>
    </w:pPr>
  </w:style>
  <w:style w:type="character" w:customStyle="1" w:styleId="EncabezadoCar">
    <w:name w:val="Encabezado Car"/>
    <w:basedOn w:val="Fuentedeprrafopredeter"/>
    <w:link w:val="Encabezado"/>
    <w:uiPriority w:val="99"/>
    <w:rsid w:val="006F140E"/>
    <w:rPr>
      <w:rFonts w:ascii="Times New Roman" w:eastAsia="Times New Roman" w:hAnsi="Times New Roman" w:cs="Times New Roman"/>
      <w:sz w:val="24"/>
      <w:szCs w:val="24"/>
      <w:lang w:val="es-ES" w:eastAsia="es-ES"/>
    </w:rPr>
  </w:style>
  <w:style w:type="paragraph" w:styleId="Sinespaciado">
    <w:name w:val="No Spacing"/>
    <w:link w:val="SinespaciadoCar"/>
    <w:uiPriority w:val="1"/>
    <w:qFormat/>
    <w:rsid w:val="006F140E"/>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6F140E"/>
    <w:rPr>
      <w:rFonts w:ascii="Calibri" w:eastAsia="Calibri" w:hAnsi="Calibri" w:cs="Times New Roman"/>
    </w:rPr>
  </w:style>
  <w:style w:type="paragraph" w:styleId="Textodeglobo">
    <w:name w:val="Balloon Text"/>
    <w:basedOn w:val="Normal"/>
    <w:link w:val="TextodegloboCar"/>
    <w:uiPriority w:val="99"/>
    <w:semiHidden/>
    <w:unhideWhenUsed/>
    <w:rsid w:val="0048580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85800"/>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C3EC2-9C15-4DE7-B8D8-D5A0C4607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9</Pages>
  <Words>3061</Words>
  <Characters>16838</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c:creator>
  <cp:keywords/>
  <dc:description/>
  <cp:lastModifiedBy>ab</cp:lastModifiedBy>
  <cp:revision>10</cp:revision>
  <cp:lastPrinted>2019-12-04T16:11:00Z</cp:lastPrinted>
  <dcterms:created xsi:type="dcterms:W3CDTF">2019-12-03T21:34:00Z</dcterms:created>
  <dcterms:modified xsi:type="dcterms:W3CDTF">2019-12-04T16:18:00Z</dcterms:modified>
</cp:coreProperties>
</file>