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06" w:rsidRPr="00B54413" w:rsidRDefault="008A1C06" w:rsidP="00FE6DC7">
      <w:pPr>
        <w:pStyle w:val="Sinespaciado"/>
        <w:jc w:val="both"/>
        <w:rPr>
          <w:rFonts w:ascii="Arial Narrow" w:hAnsi="Arial Narrow" w:cs="Arial"/>
          <w:b/>
        </w:rPr>
      </w:pPr>
      <w:r w:rsidRPr="00B54413">
        <w:rPr>
          <w:rFonts w:ascii="Arial Narrow" w:hAnsi="Arial Narrow" w:cs="Arial"/>
          <w:b/>
          <w:color w:val="000000"/>
          <w:lang w:eastAsia="es-CO"/>
        </w:rPr>
        <w:t xml:space="preserve">TEXTO APROBADO </w:t>
      </w:r>
      <w:r w:rsidRPr="00B54413">
        <w:rPr>
          <w:rFonts w:ascii="Arial Narrow" w:eastAsia="Times New Roman" w:hAnsi="Arial Narrow" w:cs="Arial"/>
          <w:b/>
          <w:bCs/>
          <w:color w:val="000000"/>
          <w:lang w:eastAsia="es-CO"/>
        </w:rPr>
        <w:t>EN LA S</w:t>
      </w:r>
      <w:r w:rsidRPr="00B54413">
        <w:rPr>
          <w:rFonts w:ascii="Arial Narrow" w:hAnsi="Arial Narrow" w:cs="Arial"/>
          <w:b/>
        </w:rPr>
        <w:t>ESIÓN ORDINARIA DE LA COMISIÓN QUINTA CONSTITUCIONAL PERMANENTE DE LA CÁMARA DE REPRESENTANTES EL DÍA 19 DE MAYO DE 2020, REALIZADA MEDIANTE LA PLATAFORMA GOOGLE MEET.</w:t>
      </w:r>
    </w:p>
    <w:p w:rsidR="008A1C06" w:rsidRDefault="008A1C06" w:rsidP="00FE6DC7">
      <w:pPr>
        <w:pStyle w:val="Sinespaciado"/>
        <w:jc w:val="both"/>
        <w:rPr>
          <w:rFonts w:ascii="Arial Narrow" w:hAnsi="Arial Narrow" w:cs="Arial"/>
          <w:b/>
        </w:rPr>
      </w:pPr>
    </w:p>
    <w:p w:rsidR="00D04904" w:rsidRPr="00D04904" w:rsidRDefault="000907D4" w:rsidP="00FE6DC7">
      <w:pPr>
        <w:spacing w:after="5" w:line="249" w:lineRule="auto"/>
        <w:ind w:left="26" w:right="16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PROYECTO DE LEY No. 130 de 2019-Cámara: </w:t>
      </w:r>
      <w:r w:rsidR="00D04904" w:rsidRPr="00D04904">
        <w:rPr>
          <w:rFonts w:ascii="Arial Narrow" w:hAnsi="Arial Narrow" w:cs="Arial"/>
          <w:b/>
        </w:rPr>
        <w:t>“POR LA CUAL SE ESTABLECEN LAS CONDICIONES DE DISPOSICIÓN FINAL SEGURA DE LOS ACEITES LUBRICANTES USADOS Y DE LOS ACEITES INDUSTRIALES USADOS EN EL TERRITORIO NACIONAL Y SE PROHÍBE LA COMBUSTIÓN DE LOS MISMOS O SU REUTILIZACIÓN PARCIAL O TOTAL SIN TRATAMIENTO DE TRANSFORMACIÓN”</w:t>
      </w:r>
    </w:p>
    <w:p w:rsidR="00D04904" w:rsidRPr="00B54413" w:rsidRDefault="00D04904" w:rsidP="00FE6DC7">
      <w:pPr>
        <w:pStyle w:val="Sinespaciado"/>
        <w:jc w:val="center"/>
        <w:rPr>
          <w:rFonts w:ascii="Arial Narrow" w:hAnsi="Arial Narrow" w:cs="Arial"/>
          <w:b/>
        </w:rPr>
      </w:pPr>
    </w:p>
    <w:p w:rsidR="00B54413" w:rsidRPr="00A342B4" w:rsidRDefault="00B54413" w:rsidP="00FE6DC7">
      <w:pPr>
        <w:spacing w:before="24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CO"/>
        </w:rPr>
      </w:pPr>
      <w:r w:rsidRPr="00A342B4">
        <w:rPr>
          <w:rFonts w:ascii="Arial Narrow" w:eastAsia="Times New Roman" w:hAnsi="Arial Narrow" w:cs="Times New Roman"/>
          <w:b/>
          <w:sz w:val="24"/>
          <w:szCs w:val="24"/>
          <w:lang w:eastAsia="es-CO"/>
        </w:rPr>
        <w:t>EL CONGRESO DE LA REPÚBLICA DE COLOMBIA</w:t>
      </w:r>
    </w:p>
    <w:p w:rsidR="00B54413" w:rsidRDefault="00B54413" w:rsidP="00FE6DC7">
      <w:pPr>
        <w:spacing w:before="24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CO"/>
        </w:rPr>
      </w:pPr>
      <w:r w:rsidRPr="00A342B4">
        <w:rPr>
          <w:rFonts w:ascii="Arial Narrow" w:eastAsia="Times New Roman" w:hAnsi="Arial Narrow" w:cs="Times New Roman"/>
          <w:b/>
          <w:sz w:val="24"/>
          <w:szCs w:val="24"/>
          <w:lang w:eastAsia="es-CO"/>
        </w:rPr>
        <w:t>DECRETA: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1°. Objeto.</w:t>
      </w:r>
      <w:r w:rsidRPr="00C40E87">
        <w:rPr>
          <w:rFonts w:ascii="Arial" w:hAnsi="Arial" w:cs="Arial"/>
        </w:rPr>
        <w:t xml:space="preserve"> La presente ley tiene por objeto establecer los requerimientos para la disposición ambientalmente segura de los aceites lubricantes usados y de los aceites industriales usados.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2°. Ámbito de Aplicación.</w:t>
      </w:r>
      <w:r w:rsidRPr="00C40E87">
        <w:rPr>
          <w:rFonts w:ascii="Arial" w:hAnsi="Arial" w:cs="Arial"/>
        </w:rPr>
        <w:t xml:space="preserve"> Las disposiciones de la presente ley aplican a toda la cadena de valor que comprende el productor y/o importador, generador, gestor, recolector procesador final o dispositor de aceite lubricante usado y/o aceites industriales usados.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procesador final de los aceites usados a que se refiere este artículo deberá tratarlos de </w:t>
      </w:r>
      <w:proofErr w:type="gramStart"/>
      <w:r w:rsidRPr="00C40E87">
        <w:rPr>
          <w:rFonts w:ascii="Arial" w:hAnsi="Arial" w:cs="Arial"/>
        </w:rPr>
        <w:t>manera</w:t>
      </w:r>
      <w:proofErr w:type="gramEnd"/>
      <w:r w:rsidRPr="00C40E87">
        <w:rPr>
          <w:rFonts w:ascii="Arial" w:hAnsi="Arial" w:cs="Arial"/>
        </w:rPr>
        <w:t xml:space="preserve"> que solo puedan ser dispuestos mediante procesos que faciliten su completa transformación y adecuada refinación para la eliminación de todos los contaminantes y que permita que los productos obtenidos de tales refinaciones sean utilizados sin deterioro del ambiente; y de manera que no puedan verterse a fuentes hídricas o al suelo o desecharse mediante combustión directa solos o mezclados.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Se aceptarán procesos de transformación en la medida que avance la técnica y siempre que en este proceso se eliminen las impurezas, solubles e insolubles, que contiene el aceite usado y que permitan que más del 80% de los productos generados sean convertibles a bases lubricantes para conservar el principio de uso circular del residuo.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3°.</w:t>
      </w:r>
      <w:r w:rsidRPr="00C40E87">
        <w:rPr>
          <w:rFonts w:ascii="Arial" w:hAnsi="Arial" w:cs="Arial"/>
        </w:rPr>
        <w:t xml:space="preserve"> </w:t>
      </w:r>
      <w:r w:rsidRPr="00C40E87">
        <w:rPr>
          <w:rFonts w:ascii="Arial" w:hAnsi="Arial" w:cs="Arial"/>
          <w:b/>
        </w:rPr>
        <w:t>Definiciones.</w:t>
      </w:r>
      <w:r w:rsidRPr="00C40E87">
        <w:rPr>
          <w:rFonts w:ascii="Arial" w:hAnsi="Arial" w:cs="Arial"/>
        </w:rPr>
        <w:t xml:space="preserve"> Para los fines de la presente ley, se adoptan las siguientes definiciones: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Aceite lubricante terminado:</w:t>
      </w:r>
      <w:r w:rsidRPr="00C40E87">
        <w:rPr>
          <w:rFonts w:ascii="Arial" w:hAnsi="Arial" w:cs="Arial"/>
        </w:rPr>
        <w:t xml:space="preserve"> Producto formulado a partir de bases lubricantes, y que puede contener aditivos.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Aceite de Desecho o Usado: </w:t>
      </w:r>
      <w:r w:rsidRPr="00C40E87">
        <w:rPr>
          <w:rFonts w:ascii="Arial" w:hAnsi="Arial" w:cs="Arial"/>
        </w:rPr>
        <w:t xml:space="preserve">Todo aceite lubricante, de motor, de transmisión o hidráulico con base mineral o sintética de desecho que, por efectos de su utilización, se haya vuelto inadecuado para el uso asignado inicialmente. Estos aceites son considerados como residuo peligroso. 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lastRenderedPageBreak/>
        <w:t>Acopiador:</w:t>
      </w:r>
      <w:r w:rsidRPr="00C40E87">
        <w:rPr>
          <w:rFonts w:ascii="Arial" w:hAnsi="Arial" w:cs="Arial"/>
        </w:rPr>
        <w:t xml:space="preserve"> Persona natural o jurídica, de carácter público o privado, que cuenta con los permisos requeridos por la autoridad competente y que en desarrollo de su actividad acopia y almacena temporalmente aceites usados provenientes de uno o varios establecimientos generadores.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Almacenador:</w:t>
      </w:r>
      <w:r w:rsidRPr="00C40E87">
        <w:rPr>
          <w:rFonts w:ascii="Arial" w:hAnsi="Arial" w:cs="Arial"/>
        </w:rPr>
        <w:t xml:space="preserve"> Persona natural o jurídica, de carácter público o privado, que cuenta con los permisos requeridos por las autoridades competentes de conformidad con la normatividad vigente, y que en desarrollo de su actividad almacena y comercializa aceites usados.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Base lubricante: </w:t>
      </w:r>
      <w:r w:rsidRPr="00C40E87">
        <w:rPr>
          <w:rFonts w:ascii="Arial" w:hAnsi="Arial" w:cs="Arial"/>
        </w:rPr>
        <w:t xml:space="preserve">Principal constituyente del aceite lubricante, que se reúne según la legislación pertinente. Para los efectos de esta norma se trata de bases minerales tipos I y II según la clasificación API (API 1509, Apéndice E).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Procesador o Refinador:</w:t>
      </w:r>
      <w:r w:rsidRPr="00C40E87">
        <w:rPr>
          <w:rFonts w:ascii="Arial" w:hAnsi="Arial" w:cs="Arial"/>
        </w:rPr>
        <w:t xml:space="preserve"> Persona natural o jurídica, de carácter público o privado, que debidamente autorizada por la autoridad ambiental competente recibe y trata aceites usados para transformarlos de residuos a productos para su adecuado aprovechamiento mediante procesos debidamente aprobados por la autoridad ambiental competente y mediante la Licencia de Refinador por el Ministerio de Minas y Energía.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Certificado de recolección:</w:t>
      </w:r>
      <w:r w:rsidRPr="00C40E87">
        <w:rPr>
          <w:rFonts w:ascii="Arial" w:hAnsi="Arial" w:cs="Arial"/>
        </w:rPr>
        <w:t xml:space="preserve"> Documento establecido por las normas jurídicas vigentes que muestran los volúmenes de aceite usado o contaminado recolectado.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Certificado de recepción:</w:t>
      </w:r>
      <w:r w:rsidRPr="00C40E87">
        <w:rPr>
          <w:rFonts w:ascii="Arial" w:hAnsi="Arial" w:cs="Arial"/>
        </w:rPr>
        <w:t xml:space="preserve"> Documento establecido por las normas legales vigentes que prueban la entrega de aceite lubricante usado o contaminado por el recolector para el re-refinador.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  <w:b/>
        </w:rPr>
      </w:pP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Establecimiento generador: </w:t>
      </w:r>
      <w:r w:rsidRPr="00C40E87">
        <w:rPr>
          <w:rFonts w:ascii="Arial" w:hAnsi="Arial" w:cs="Arial"/>
        </w:rPr>
        <w:t xml:space="preserve">Lugar donde se realiza una actividad comercial, industrial o especial, generadora de residuos de aceite en el cual se evacúan continua o discontinuamente vertidos. Los mismos deben estar registrados como generadores ante la autoridad competente.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Generador:</w:t>
      </w:r>
      <w:r w:rsidRPr="00C40E87">
        <w:rPr>
          <w:rFonts w:ascii="Arial" w:hAnsi="Arial" w:cs="Arial"/>
        </w:rPr>
        <w:t xml:space="preserve"> Cualquier persona natural o jurídica cuya actividad produzca residuos o desechos peligrosos. Si la persona es desconocida, será la persona que está en posesión de estos residuos. El fabricante o importador de un producto o sustancia química con propiedad peligrosa, de acuerdo con el Decreto número 4741 de 2005, se equipara a un generador, en cuanto a la responsabilidad por el manejo de los embalajes y residuos del producto o sustancia.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0"/>
        <w:ind w:left="708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Importador:</w:t>
      </w:r>
      <w:r w:rsidRPr="00C40E87">
        <w:rPr>
          <w:rFonts w:ascii="Arial" w:hAnsi="Arial" w:cs="Arial"/>
        </w:rPr>
        <w:t xml:space="preserve"> Persona natural o jurídica, de carácter público o privado, que realiza la importación de aceite lubricante original o virgen para uso original o primer uso, </w:t>
      </w:r>
      <w:r w:rsidRPr="00C40E87">
        <w:rPr>
          <w:rFonts w:ascii="Arial" w:hAnsi="Arial" w:cs="Arial"/>
          <w:color w:val="000000" w:themeColor="text1"/>
          <w:lang w:val="es-ES_tradnl" w:eastAsia="es-CO"/>
        </w:rPr>
        <w:t>o de productos que contienen aceite,</w:t>
      </w:r>
      <w:r w:rsidRPr="00C40E87">
        <w:rPr>
          <w:rFonts w:ascii="Arial" w:hAnsi="Arial" w:cs="Arial"/>
          <w:b/>
          <w:color w:val="FF0000"/>
          <w:lang w:val="es-ES_tradnl" w:eastAsia="es-CO"/>
        </w:rPr>
        <w:t xml:space="preserve"> </w:t>
      </w:r>
      <w:r w:rsidRPr="00C40E87">
        <w:rPr>
          <w:rFonts w:ascii="Arial" w:hAnsi="Arial" w:cs="Arial"/>
        </w:rPr>
        <w:t xml:space="preserve">y que luego de su utilización genera como residuo peligroso aceite lubricante usado; debidamente autorizados para ejercer la actividad. 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Reciclado:</w:t>
      </w:r>
      <w:r w:rsidRPr="00C40E87">
        <w:rPr>
          <w:rFonts w:ascii="Arial" w:hAnsi="Arial" w:cs="Arial"/>
        </w:rPr>
        <w:t xml:space="preserve"> Transformación del aceite lubricante o industrial usado o contaminado, y que sus productos de transformación sean insumo para otros procesos o productos finales y que la trasformación sea total y completa.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Recolección:</w:t>
      </w:r>
      <w:r w:rsidRPr="00C40E87">
        <w:rPr>
          <w:rFonts w:ascii="Arial" w:hAnsi="Arial" w:cs="Arial"/>
        </w:rPr>
        <w:t xml:space="preserve"> Actividad de retirar el aceite usado o contaminado de su lugar de recolección y transportado a tratamiento ambientalmente adecuado por el re-refinador.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Recolector:</w:t>
      </w:r>
      <w:r w:rsidRPr="00C40E87">
        <w:rPr>
          <w:rFonts w:ascii="Arial" w:hAnsi="Arial" w:cs="Arial"/>
        </w:rPr>
        <w:t xml:space="preserve"> Persona natural o jurídica debidamente autorizada por el Ministerio de Transporte para transportar sustancias peligrosas y autorizada por el órgano ambiental competente para llevar a cabo la actividad de recolección de aceite lubricante usado o contaminado.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Re-refinado:</w:t>
      </w:r>
      <w:r w:rsidRPr="00C40E87">
        <w:rPr>
          <w:rFonts w:ascii="Arial" w:hAnsi="Arial" w:cs="Arial"/>
        </w:rPr>
        <w:t xml:space="preserve"> Categoría de proceso industrial de eliminación de contaminantes, productos de la degradación y aditivos de los aceites lubricantes usados o contaminados, dando las mismas características de los aceites básicos vírgenes de primera refinación de crudo sin hidrotratamiento. 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0"/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709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Tratamiento:</w:t>
      </w:r>
      <w:r w:rsidRPr="00C40E87">
        <w:rPr>
          <w:rFonts w:ascii="Arial" w:hAnsi="Arial" w:cs="Arial"/>
        </w:rPr>
        <w:t xml:space="preserve"> Conjunto de operaciones, procesos o técnicas mediante los cuales se modifican las características de residuos o desechos peligrosos, teniendo en cuenta el riesgo y grado de peligrosidad de los mismos, para realizar su aprovechamiento o valorización o, para minimizar los riesgos a la salud humana y el ambiente. 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4°. Aprovechamiento.</w:t>
      </w:r>
      <w:r w:rsidRPr="00C40E87">
        <w:rPr>
          <w:rFonts w:ascii="Arial" w:hAnsi="Arial" w:cs="Arial"/>
        </w:rPr>
        <w:t xml:space="preserve"> Todo aceite lubricante o industrial usado o contaminado deberá ser recogido para su aprovechamiento y gestión a través de los tratamientos avalados por el Ministerio de Ambiente y Desarrollo Sostenible o quien haga sus veces.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Ministerio de Ambiente deberá, en el término de 3 años, establecer las directrices y los planes pertinentes para que gradualmente, todo el aprovechamiento de aceites usados se haga por medio del método de reciclado conocido como re refinación, o por medio de cualquier otra tecnología que supere el desempeño de la re-refinación.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5°. Prohibición de Vertimiento de Aceite.</w:t>
      </w:r>
      <w:r w:rsidRPr="00C40E87">
        <w:rPr>
          <w:rFonts w:ascii="Arial" w:hAnsi="Arial" w:cs="Arial"/>
        </w:rPr>
        <w:t xml:space="preserve"> Se prohíbe cualquier vertido de aceites usados o contaminados en el suelo, aguas superficiales, aguas subterráneas, el mar territorial o en los sistemas de alcantarillado o de eliminación de aguas residuales. Así mismo se prohíbe acumular residuos de aceites mezclados con otras sustancias, cualquiera sea la naturaleza y lugar en que se depositen, que constituyan o puedan constituir un peligro de contaminación del suelo, de las aguas superficiales y subterráneas o pueda causar daño a los conductos subterráneos o al ambiente.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Dichos residuos deberán ser recolectados, transportados, tratados y dispuestos fuera de sus establecimientos, por un Recolector debidamente autorizado por la entidad ambiental competente.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tiempo máximo de almacenamiento de tales residuos será de 6 meses desde el momento de su recepción.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Durante ese tiempo deberán ser almacenados en condiciones que eviten mayor degradación y que impidan posteriores afectaciones al medio ambiente.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Parágrafo.</w:t>
      </w:r>
      <w:r w:rsidRPr="00C40E87">
        <w:rPr>
          <w:rFonts w:ascii="Arial" w:hAnsi="Arial" w:cs="Arial"/>
        </w:rPr>
        <w:t xml:space="preserve"> Las especificaciones de control para clasificar un aceite contaminado de uno sin contaminar serán establecidas por el re-refinador como condiciones de aceptación o rechazo según su tecnología. 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6°.</w:t>
      </w:r>
      <w:r w:rsidRPr="00C40E87">
        <w:rPr>
          <w:rFonts w:ascii="Arial" w:hAnsi="Arial" w:cs="Arial"/>
        </w:rPr>
        <w:t xml:space="preserve"> </w:t>
      </w:r>
      <w:r w:rsidRPr="00C40E87">
        <w:rPr>
          <w:rFonts w:ascii="Arial" w:hAnsi="Arial" w:cs="Arial"/>
          <w:b/>
        </w:rPr>
        <w:t>Prohibición de la Combustión o Incineración del Aceite Usado.</w:t>
      </w:r>
      <w:r w:rsidRPr="00C40E87">
        <w:rPr>
          <w:rFonts w:ascii="Arial" w:hAnsi="Arial" w:cs="Arial"/>
        </w:rPr>
        <w:t xml:space="preserve"> Prohíbase en el territorio nacional la combustión o incineración de aceite lubricante o industrial usado o contaminado incluso si ha sido sometido a deshidratación y/o a filtración primaria.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7°. Mezclas.</w:t>
      </w:r>
      <w:r w:rsidRPr="00C40E87">
        <w:rPr>
          <w:rFonts w:ascii="Arial" w:hAnsi="Arial" w:cs="Arial"/>
        </w:rPr>
        <w:t xml:space="preserve"> El aceite usado o contaminado no re-refinable, tales como emulsiones de aceite y aceites mezclados con otros contaminantes deben ser recogidos y finalmente separados de acuerdo a su naturaleza, quedando prohibida la mezcla con aceites usados o contaminados re-refinables y solo pueden ser dispuestos en hornos de disposición final que tengan sistemas de poscombustión a alta temperatura y que puedan cumplir completamente las normas sobre emisiones de dioxinas y furanos y que estén debidamente certificados por la autoridad ambiental.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</w:t>
      </w:r>
      <w:r w:rsidRPr="00C40E87">
        <w:rPr>
          <w:rFonts w:ascii="Arial" w:hAnsi="Arial" w:cs="Arial"/>
        </w:rPr>
        <w:t>: Prohíbase las mezclas de aceite usado con petróleo crudo, con combustibles marinos, y con otros hidrocarburos, bien para consumo nacional o bien para exportación.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Artículo 8°. Aseguramiento de la Recolección de Aceite Usado. </w:t>
      </w:r>
      <w:r w:rsidRPr="00C40E87">
        <w:rPr>
          <w:rFonts w:ascii="Arial" w:hAnsi="Arial" w:cs="Arial"/>
        </w:rPr>
        <w:t xml:space="preserve">El generador del aceite lubricante o industrial usado debe reunir o asegurar la recolección y dar destino final al aceite lubricante o industrial usado o contaminado de acuerdo con esta ley, en proporción al volumen total de aceite virgen comercializado o consumido.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1°.</w:t>
      </w:r>
      <w:r w:rsidRPr="00C40E87">
        <w:rPr>
          <w:rFonts w:ascii="Arial" w:hAnsi="Arial" w:cs="Arial"/>
        </w:rPr>
        <w:t xml:space="preserve"> A fin de cumplir la obligación prevista en este artículo, el productor, el importador, y el generador puede contratar empresas recolectoras registradas como gestores de residuos peligrosos ante la autoridad ambiental.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2°.</w:t>
      </w:r>
      <w:r w:rsidRPr="00C40E87">
        <w:rPr>
          <w:rFonts w:ascii="Arial" w:hAnsi="Arial" w:cs="Arial"/>
        </w:rPr>
        <w:t xml:space="preserve"> La contratación de terceros como recolectores no exime al generador, según sea el caso de la responsabilidad de la recolección y disposición legal del aceite usado o contaminado.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9°. Porcentaje Mínimo de Recolección.</w:t>
      </w:r>
      <w:r w:rsidRPr="00C40E87">
        <w:rPr>
          <w:rFonts w:ascii="Arial" w:hAnsi="Arial" w:cs="Arial"/>
        </w:rPr>
        <w:t xml:space="preserve"> El Ministerio de Ambiente y Desarrollo Sostenible establecerá, de acuerdo con las necesidades del mercado y el avance en la implementación de tecnologías y métodos de reciclaje de aceites lubricantes o industriales usados o contaminados, el porcentaje mínimo de recolección de aceite usado o contaminado que los generadores tienen obligación de disponer por los métodos de aprovechamiento definidos por esta ley o en su defecto los reconocidos por el Ministerio de Ambiente y Desarrollo Sostenible, el cual no podrá ser inferior al veinte por ciento (20%) para los dos primeros años de vigencia de esta ley y que deberá incrementarse como mínimo un cinco por ciento (5%) anual</w:t>
      </w:r>
      <w:r w:rsidR="00C40E87" w:rsidRPr="00C40E87">
        <w:rPr>
          <w:rFonts w:ascii="Arial" w:hAnsi="Arial" w:cs="Arial"/>
        </w:rPr>
        <w:t xml:space="preserve">, </w:t>
      </w:r>
      <w:r w:rsidR="00C40E87" w:rsidRPr="00C40E87">
        <w:rPr>
          <w:rFonts w:ascii="Arial" w:hAnsi="Arial" w:cs="Arial"/>
          <w:lang w:val="es-ES_tradnl" w:eastAsia="es-CO"/>
        </w:rPr>
        <w:t>hasta llegar al 80% y dependiendo de la capacidad instalada de re-refinación para aceites lubricantes e industriales usados en el país. El Ministerio de Ambiente y Desarrollo Sostenible reglamentará y comunicará estas nuevas metas mediante modificaciones a esta ley</w:t>
      </w:r>
      <w:r w:rsidR="00C40E87" w:rsidRPr="00C40E87">
        <w:rPr>
          <w:rFonts w:ascii="Arial" w:hAnsi="Arial" w:cs="Arial"/>
        </w:rPr>
        <w:t>.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Para determinar el porcentaje de recolección anual, deberá tenerse en cuenta: </w:t>
      </w:r>
    </w:p>
    <w:p w:rsidR="00D04904" w:rsidRPr="00C40E87" w:rsidRDefault="00D04904" w:rsidP="00FE6DC7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análisis del mercado de los aceites lubricantes o industriales vírgenes.  </w:t>
      </w:r>
    </w:p>
    <w:p w:rsidR="00D04904" w:rsidRPr="00C40E87" w:rsidRDefault="00D04904" w:rsidP="00FE6DC7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 evolución de la flota nacional tanto por carretera, ferrocarril, mar o aire. </w:t>
      </w:r>
    </w:p>
    <w:p w:rsidR="00D04904" w:rsidRPr="00C40E87" w:rsidRDefault="00D04904" w:rsidP="00FE6DC7">
      <w:pPr>
        <w:numPr>
          <w:ilvl w:val="0"/>
          <w:numId w:val="2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 evolución del combustible consumido por el parque de maquinarias industriales, incluyendo la agroindustria.  </w:t>
      </w:r>
    </w:p>
    <w:p w:rsidR="00D04904" w:rsidRPr="00C40E87" w:rsidRDefault="00D04904" w:rsidP="00FE6DC7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 capacidad instalada de re-refinación en el país.  </w:t>
      </w:r>
    </w:p>
    <w:p w:rsidR="00D04904" w:rsidRPr="00C40E87" w:rsidRDefault="00D04904" w:rsidP="00FE6DC7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estado del sistema de recolección y eliminación de aceite usado o contaminado.  </w:t>
      </w:r>
    </w:p>
    <w:p w:rsidR="00D04904" w:rsidRPr="00C40E87" w:rsidRDefault="00D04904" w:rsidP="00FE6DC7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Las cantidades de aceite usado o contaminado efectivamente recolectadas.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Artículo 10. Responsabilidad de los Productores, Importadores, Distribuidores, Generadores en la Recolección del Aceite Usado. </w:t>
      </w:r>
      <w:r w:rsidRPr="00C40E87">
        <w:rPr>
          <w:rFonts w:ascii="Arial" w:hAnsi="Arial" w:cs="Arial"/>
        </w:rPr>
        <w:t xml:space="preserve">Los productores, importadores y distribuidores de aceites lubricantes o industriales vírgenes así como los generadores de aceites lubricantes o industriales usados, serán responsables de garantizar que el aceite usado o contaminado sea tratado y aprovechado a través de los tratamientos definidos por esta ley o en su defecto los avalados por el Ministerio de Ambiente y Desarrollo Sostenible o quien haga sus veces.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Los productores, importadores, distribuidores y generadores también estarán obligados a disponer dichos residuos de forma adecuada con el fin de cumplir con las normas ambientales y sanitarias vigentes.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1°. Subsistencia de la responsabilidad del generador.</w:t>
      </w:r>
      <w:r w:rsidRPr="00C40E87">
        <w:rPr>
          <w:rFonts w:ascii="Arial" w:hAnsi="Arial" w:cs="Arial"/>
        </w:rPr>
        <w:t xml:space="preserve"> La responsabilidad integral del generador subsistirá hasta que el aceite usado sea completamente transformado en los términos que establece esta ley.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2°.</w:t>
      </w:r>
      <w:r w:rsidRPr="00C40E87">
        <w:rPr>
          <w:rFonts w:ascii="Arial" w:hAnsi="Arial" w:cs="Arial"/>
        </w:rPr>
        <w:t xml:space="preserve"> La contratación de terceros como recolectores no eximirá al generador de la responsabilidad de la recolección y disposición legal del aceite usado o contaminado.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11. Obligaciones del Generador del Aceite Lubricante o Industrial Usado.</w:t>
      </w:r>
      <w:r w:rsidRPr="00C40E87">
        <w:rPr>
          <w:rFonts w:ascii="Arial" w:hAnsi="Arial" w:cs="Arial"/>
        </w:rPr>
        <w:t xml:space="preserve"> En adición a las obligaciones generales establecidas en el artículo 10 del Decreto número 4741 de 2005, el generador tiene las siguientes obligaciones específicas para este tipo de residuo: </w:t>
      </w:r>
    </w:p>
    <w:p w:rsidR="00D04904" w:rsidRPr="00C40E87" w:rsidRDefault="00D04904" w:rsidP="00FE6DC7">
      <w:pPr>
        <w:spacing w:after="12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numPr>
          <w:ilvl w:val="0"/>
          <w:numId w:val="3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Garantizar la recolección de aceite lubricante o industrial usado o contaminado, en la cantidad mínima establecida por el Ministerio de Ambiente y Desarrollo Sostenible, en concordancia con el artículo 9° de esta ley, el cual puede ser almacenado hasta por 12 meses, pero siguiendo lo establecido en el parágrafo 1° del artículo 10 de Decreto número 4741 de 2005. </w:t>
      </w:r>
    </w:p>
    <w:p w:rsidR="00D04904" w:rsidRPr="00C40E87" w:rsidRDefault="00D04904" w:rsidP="00FE6DC7">
      <w:pPr>
        <w:numPr>
          <w:ilvl w:val="0"/>
          <w:numId w:val="3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Presentar a la autoridad ambiental, con una frecuencia semestral, la información mensual relativa a los volúmenes de: </w:t>
      </w:r>
    </w:p>
    <w:p w:rsidR="00D04904" w:rsidRPr="00C40E87" w:rsidRDefault="00D04904" w:rsidP="00FE6DC7">
      <w:pPr>
        <w:spacing w:after="26"/>
        <w:ind w:left="802"/>
        <w:jc w:val="both"/>
        <w:rPr>
          <w:rFonts w:ascii="Arial" w:hAnsi="Arial" w:cs="Arial"/>
        </w:rPr>
      </w:pPr>
    </w:p>
    <w:p w:rsidR="00D04904" w:rsidRPr="00C40E87" w:rsidRDefault="00D04904" w:rsidP="00FE6DC7">
      <w:pPr>
        <w:numPr>
          <w:ilvl w:val="1"/>
          <w:numId w:val="3"/>
        </w:numPr>
        <w:tabs>
          <w:tab w:val="left" w:pos="1560"/>
        </w:tabs>
        <w:spacing w:after="27" w:line="248" w:lineRule="auto"/>
        <w:ind w:left="1560" w:hanging="28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Los aceites lubricantes o industriales </w:t>
      </w:r>
      <w:r w:rsidR="00C40E87" w:rsidRPr="00C40E87">
        <w:rPr>
          <w:rFonts w:ascii="Arial" w:hAnsi="Arial" w:cs="Arial"/>
        </w:rPr>
        <w:t xml:space="preserve">comercializados, </w:t>
      </w:r>
      <w:r w:rsidRPr="00C40E87">
        <w:rPr>
          <w:rFonts w:ascii="Arial" w:hAnsi="Arial" w:cs="Arial"/>
        </w:rPr>
        <w:t xml:space="preserve">por tipo, incluidos los que están exentos de la recolección; </w:t>
      </w:r>
    </w:p>
    <w:p w:rsidR="00D04904" w:rsidRPr="00C40E87" w:rsidRDefault="00D04904" w:rsidP="00FE6DC7">
      <w:pPr>
        <w:numPr>
          <w:ilvl w:val="1"/>
          <w:numId w:val="3"/>
        </w:numPr>
        <w:tabs>
          <w:tab w:val="left" w:pos="1560"/>
        </w:tabs>
        <w:spacing w:after="3" w:line="248" w:lineRule="auto"/>
        <w:ind w:left="1560" w:hanging="28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 recolección contratada, mediante un recolector; </w:t>
      </w:r>
    </w:p>
    <w:p w:rsidR="00D04904" w:rsidRPr="00C40E87" w:rsidRDefault="00D04904" w:rsidP="00FE6DC7">
      <w:pPr>
        <w:numPr>
          <w:ilvl w:val="1"/>
          <w:numId w:val="3"/>
        </w:numPr>
        <w:tabs>
          <w:tab w:val="left" w:pos="1560"/>
        </w:tabs>
        <w:spacing w:after="26" w:line="248" w:lineRule="auto"/>
        <w:ind w:left="1560" w:hanging="28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Los certificados de disposición final correspondiente al aceite usado entregado a la planta de re-refinación para su adecuada disposición final. </w:t>
      </w:r>
    </w:p>
    <w:p w:rsidR="00D04904" w:rsidRPr="00C40E87" w:rsidRDefault="00D04904" w:rsidP="00FE6DC7">
      <w:pPr>
        <w:numPr>
          <w:ilvl w:val="0"/>
          <w:numId w:val="3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Adoptar las medidas necesarias para evitar que el aceite usado generado lubricante y/o industrial se contamine o se mezcle con productos químicos, combustibles, solventes, agua y otras sustancias, evitando la imposibilidad de reciclaje.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1°.</w:t>
      </w:r>
      <w:r w:rsidRPr="00C40E87">
        <w:rPr>
          <w:rFonts w:ascii="Arial" w:hAnsi="Arial" w:cs="Arial"/>
        </w:rPr>
        <w:t xml:space="preserve"> El generador que contrate a un tercero como recolector deberá realizar con este un contrato para la recolección, con la responsabilidad para su eliminación adecuada únicamente mediante los métodos de disposición definidos en esta ley o los aceptados por el Ministerio de Ambiente y Desarrollo Sostenible.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La autoridad ambiental deberá certificar que efectivamente se ha hecho la disposición final en los términos de esta ley.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spacing w:after="5" w:line="249" w:lineRule="auto"/>
        <w:ind w:left="77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Artículo 12. Obligaciones del Importador o Productor de Aceites Lubricantes o Industriales Terminados. </w:t>
      </w:r>
      <w:r w:rsidRPr="00C40E87">
        <w:rPr>
          <w:rFonts w:ascii="Arial" w:hAnsi="Arial" w:cs="Arial"/>
        </w:rPr>
        <w:t>Serán obligaciones de los importadores y/o productores de aceites lubricantes o industriales: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12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numPr>
          <w:ilvl w:val="0"/>
          <w:numId w:val="4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Divulgar en todos los envases de lubricantes terminados, así como informes técnicos, el destino y el camino de recuperación de los aceites lubricantes usados o contaminados reciclables o no, de acuerdo con las disposiciones de la presente ley. </w:t>
      </w:r>
    </w:p>
    <w:p w:rsidR="00D04904" w:rsidRPr="00C40E87" w:rsidRDefault="00D04904" w:rsidP="00FE6DC7">
      <w:pPr>
        <w:numPr>
          <w:ilvl w:val="0"/>
          <w:numId w:val="4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Divulgar en todos los envases de lubricantes terminados, así como en los informes de publicidad, de marketing y técnico, el daño que puede causar a la población y al medio ambiente la eliminación inadecuada de aceite usado o contaminado.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C40E87" w:rsidRDefault="00C40E87" w:rsidP="00FE6DC7">
      <w:pPr>
        <w:spacing w:after="5" w:line="249" w:lineRule="auto"/>
        <w:ind w:left="77"/>
        <w:jc w:val="both"/>
        <w:rPr>
          <w:rFonts w:ascii="Arial" w:hAnsi="Arial" w:cs="Arial"/>
          <w:b/>
        </w:rPr>
      </w:pPr>
    </w:p>
    <w:p w:rsidR="00D04904" w:rsidRPr="00C40E87" w:rsidRDefault="00D04904" w:rsidP="00FE6DC7">
      <w:pPr>
        <w:spacing w:after="5" w:line="249" w:lineRule="auto"/>
        <w:ind w:left="77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Artículo 13. Obligaciones de los Gestores. </w:t>
      </w:r>
      <w:r w:rsidRPr="00C40E87">
        <w:rPr>
          <w:rFonts w:ascii="Arial" w:hAnsi="Arial" w:cs="Arial"/>
        </w:rPr>
        <w:t xml:space="preserve">Serán obligaciones de los gestores: </w:t>
      </w:r>
    </w:p>
    <w:p w:rsidR="00D04904" w:rsidRPr="00C40E87" w:rsidRDefault="00D04904" w:rsidP="00FE6DC7">
      <w:pPr>
        <w:spacing w:after="11"/>
        <w:ind w:left="82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numPr>
          <w:ilvl w:val="0"/>
          <w:numId w:val="5"/>
        </w:numPr>
        <w:spacing w:after="3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Garantizar el manejo ambientalmente seguro. </w:t>
      </w:r>
    </w:p>
    <w:p w:rsidR="00D04904" w:rsidRPr="00C40E87" w:rsidRDefault="00D04904" w:rsidP="00FE6DC7">
      <w:pPr>
        <w:numPr>
          <w:ilvl w:val="0"/>
          <w:numId w:val="5"/>
        </w:numPr>
        <w:spacing w:after="3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Capacitar al personal encargado de la gestión y manejo en sus instalaciones. </w:t>
      </w:r>
    </w:p>
    <w:p w:rsidR="00D04904" w:rsidRPr="00C40E87" w:rsidRDefault="00D04904" w:rsidP="00FE6DC7">
      <w:pPr>
        <w:numPr>
          <w:ilvl w:val="0"/>
          <w:numId w:val="5"/>
        </w:numPr>
        <w:spacing w:after="26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Contar con el análisis de riesgos durante el manejo, almacenamiento y el plan de contingencia para atender cualquier accidente o eventualidad que se presente dentro de sus instalaciones. </w:t>
      </w:r>
    </w:p>
    <w:p w:rsidR="00D04904" w:rsidRPr="00C40E87" w:rsidRDefault="00D04904" w:rsidP="00FE6DC7">
      <w:pPr>
        <w:numPr>
          <w:ilvl w:val="0"/>
          <w:numId w:val="5"/>
        </w:numPr>
        <w:spacing w:after="26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Entregar la totalidad del aceite usado a dispositores finales que cumplan con todos los requerimientos técnicos, ambientales, de seguridad y que estén legalmente constituidos y avalados por la autoridad ambiental.  </w:t>
      </w:r>
    </w:p>
    <w:p w:rsidR="00D04904" w:rsidRPr="00C40E87" w:rsidRDefault="00D04904" w:rsidP="00FE6DC7">
      <w:pPr>
        <w:numPr>
          <w:ilvl w:val="0"/>
          <w:numId w:val="5"/>
        </w:numPr>
        <w:spacing w:after="26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Adoptar las medidas necesarias para evitar que el aceite usado se contamine o se mezcle con productos químicos, combustibles, solventes, agua y otras sustancias, imposibilitando su aprovechamiento. </w:t>
      </w:r>
    </w:p>
    <w:p w:rsidR="00D04904" w:rsidRPr="00C40E87" w:rsidRDefault="00D04904" w:rsidP="00FE6DC7">
      <w:pPr>
        <w:numPr>
          <w:ilvl w:val="0"/>
          <w:numId w:val="5"/>
        </w:numPr>
        <w:spacing w:after="3" w:line="248" w:lineRule="auto"/>
        <w:ind w:hanging="3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Garantizar control y manejo sobre toda la cadena de custodia del residuo para permitir su completa trazabilidad. </w:t>
      </w:r>
    </w:p>
    <w:p w:rsidR="00D04904" w:rsidRPr="00C40E87" w:rsidRDefault="00D04904" w:rsidP="00FE6DC7">
      <w:pPr>
        <w:spacing w:after="0"/>
        <w:ind w:left="456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spacing w:after="5" w:line="249" w:lineRule="auto"/>
        <w:ind w:left="77"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  <w:b/>
        </w:rPr>
        <w:t xml:space="preserve">Artículo 14. Obligaciones del Procesador del Aceite Lubricante y/o Industrial Usado. </w:t>
      </w:r>
    </w:p>
    <w:p w:rsidR="00D04904" w:rsidRPr="00C40E87" w:rsidRDefault="00D04904" w:rsidP="00FE6DC7">
      <w:pPr>
        <w:spacing w:after="5" w:line="249" w:lineRule="auto"/>
        <w:ind w:left="77"/>
        <w:jc w:val="both"/>
        <w:rPr>
          <w:rFonts w:ascii="Arial" w:hAnsi="Arial" w:cs="Arial"/>
          <w:b/>
        </w:rPr>
      </w:pPr>
    </w:p>
    <w:p w:rsidR="00D04904" w:rsidRPr="00C40E87" w:rsidRDefault="00D04904" w:rsidP="00FE6DC7">
      <w:pPr>
        <w:spacing w:after="5" w:line="249" w:lineRule="auto"/>
        <w:ind w:left="77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>Serán obligaciones de los procesadores:</w:t>
      </w: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spacing w:after="12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numPr>
          <w:ilvl w:val="0"/>
          <w:numId w:val="6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Recibir todo el aceite lubricante o industrial usado o contaminado exclusivamente de los recolectores/gestores o de los generadores, emitiendo el respectivo certificado de disposición final donde garantice que el residuo no fue utilizado en un ningún tipo de combustión en instalaciones propias o de terceros. </w:t>
      </w:r>
    </w:p>
    <w:p w:rsidR="00D04904" w:rsidRPr="00C40E87" w:rsidRDefault="00D04904" w:rsidP="00FE6DC7">
      <w:pPr>
        <w:numPr>
          <w:ilvl w:val="0"/>
          <w:numId w:val="6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Mantener al día y disponibles para fines de fiscalización los registros de emisión de certificados de recepción y de disposición final y de sus cadenas de custodia, así como otros documentos legales requeridos, por un período de cinco (5) años. </w:t>
      </w:r>
    </w:p>
    <w:p w:rsidR="00D04904" w:rsidRPr="00C40E87" w:rsidRDefault="00D04904" w:rsidP="00FE6DC7">
      <w:pPr>
        <w:numPr>
          <w:ilvl w:val="0"/>
          <w:numId w:val="6"/>
        </w:numPr>
        <w:spacing w:after="5" w:line="249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Presentar a la autoridad ambiental, con una frecuencia semestral, la información sobre: </w:t>
      </w:r>
    </w:p>
    <w:p w:rsidR="00D04904" w:rsidRPr="00C40E87" w:rsidRDefault="00D04904" w:rsidP="00FE6DC7">
      <w:pPr>
        <w:spacing w:after="12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numPr>
          <w:ilvl w:val="1"/>
          <w:numId w:val="6"/>
        </w:numPr>
        <w:spacing w:after="26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volumen de aceite usado o contaminado recibido de los recolectores/gestores o de los generadores; </w:t>
      </w:r>
    </w:p>
    <w:p w:rsidR="00D04904" w:rsidRPr="00C40E87" w:rsidRDefault="00D04904" w:rsidP="00FE6DC7">
      <w:pPr>
        <w:numPr>
          <w:ilvl w:val="1"/>
          <w:numId w:val="6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El volumen de productos obtenidos de su transformación producidos y comercializados; </w:t>
      </w:r>
    </w:p>
    <w:p w:rsidR="00D04904" w:rsidRPr="00C40E87" w:rsidRDefault="00D04904" w:rsidP="00FE6DC7">
      <w:pPr>
        <w:numPr>
          <w:ilvl w:val="1"/>
          <w:numId w:val="6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Certificación de la propiedad de los aceites lubricantes o industriales usados. </w:t>
      </w:r>
    </w:p>
    <w:p w:rsidR="00D04904" w:rsidRPr="00C40E87" w:rsidRDefault="00D04904" w:rsidP="00FE6DC7">
      <w:pPr>
        <w:spacing w:after="0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1°.</w:t>
      </w:r>
      <w:r w:rsidRPr="00C40E87">
        <w:rPr>
          <w:rFonts w:ascii="Arial" w:hAnsi="Arial" w:cs="Arial"/>
        </w:rPr>
        <w:t xml:space="preserve"> Los productos obtenidos de la re-refinación deben cumplir las normas ambientales exigidas según su aplicación final. </w:t>
      </w:r>
    </w:p>
    <w:p w:rsidR="00D04904" w:rsidRPr="00C40E87" w:rsidRDefault="00D04904" w:rsidP="00FE6DC7">
      <w:pPr>
        <w:spacing w:after="0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2°.</w:t>
      </w:r>
      <w:r w:rsidRPr="00C40E87">
        <w:rPr>
          <w:rFonts w:ascii="Arial" w:hAnsi="Arial" w:cs="Arial"/>
        </w:rPr>
        <w:t xml:space="preserve"> Los residuos inutilizables generados en el proceso de re-refinación serán tratados como peligrosos, salvo prueba contrario basado en informes de laboratorio debidamente acreditados por el órgano ambiental competente. </w:t>
      </w:r>
    </w:p>
    <w:p w:rsidR="00D04904" w:rsidRPr="00C40E87" w:rsidRDefault="00D04904" w:rsidP="00FE6DC7">
      <w:pPr>
        <w:spacing w:after="0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 3°.</w:t>
      </w:r>
      <w:r w:rsidRPr="00C40E87">
        <w:rPr>
          <w:rFonts w:ascii="Arial" w:hAnsi="Arial" w:cs="Arial"/>
        </w:rPr>
        <w:t xml:space="preserve"> La planta de re-refinación deberá contar con licencias de los siguientes organismos: </w:t>
      </w:r>
    </w:p>
    <w:p w:rsidR="00D04904" w:rsidRPr="00C40E87" w:rsidRDefault="00D04904" w:rsidP="00FE6DC7">
      <w:pPr>
        <w:spacing w:after="12"/>
        <w:ind w:left="79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numPr>
          <w:ilvl w:val="0"/>
          <w:numId w:val="7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Licencia Ambiental de la autoridad ambiental local para la actividad específica; </w:t>
      </w:r>
    </w:p>
    <w:p w:rsidR="00D04904" w:rsidRPr="00C40E87" w:rsidRDefault="00D04904" w:rsidP="00FE6DC7">
      <w:pPr>
        <w:numPr>
          <w:ilvl w:val="0"/>
          <w:numId w:val="7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Para el caso de re-refinador: Licencia como re-refinador del Ministerio de Minas y Energía; </w:t>
      </w:r>
    </w:p>
    <w:p w:rsidR="00D04904" w:rsidRPr="00C40E87" w:rsidRDefault="00D04904" w:rsidP="00FE6DC7">
      <w:pPr>
        <w:numPr>
          <w:ilvl w:val="0"/>
          <w:numId w:val="7"/>
        </w:numPr>
        <w:spacing w:after="3" w:line="248" w:lineRule="auto"/>
        <w:ind w:hanging="36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Certificado de aprobación para manejo de sustancias controladas y de sustancias especiales de parte del Ministerio de Justicia.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15. Obligaciones de la autoridad ambiental.</w:t>
      </w:r>
      <w:r w:rsidRPr="00C40E87">
        <w:rPr>
          <w:rFonts w:ascii="Arial" w:hAnsi="Arial" w:cs="Arial"/>
        </w:rPr>
        <w:t xml:space="preserve"> La autoridad ambiental vigilará y controlará la actividad de los generadores, gestores y procesadores del aceite usado con el objeto de comprobar el cumplimiento de lo establecido en esta ley y demás disposiciones relacionadas.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Parágrafo</w:t>
      </w:r>
      <w:r w:rsidRPr="00C40E87">
        <w:rPr>
          <w:rFonts w:ascii="Arial" w:hAnsi="Arial" w:cs="Arial"/>
        </w:rPr>
        <w:t xml:space="preserve">.  La autoridad ambiental competente, con el apoyo del Servicio Nacional de Aprendizaje (SENA), ofrecerá capacitaciones a los generadores pequeños y medianos en el procedimiento de la aplicación efectiva de la presente ley.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17. Monitoreo, control y vigilancia.</w:t>
      </w:r>
      <w:r w:rsidRPr="00C40E87">
        <w:rPr>
          <w:rFonts w:ascii="Arial" w:hAnsi="Arial" w:cs="Arial"/>
        </w:rPr>
        <w:t xml:space="preserve"> El monitoreo, control y vigilancia del cumplimiento de la presente ley estará a cargo de las autoridades competentes, según sea el caso. Lo anterior, sin perjuicio de las funciones de prevención, inspección, control y vigilancia que compete a las autoridades ambientales, sanitarias, policivas, de comercio exterior, aduanas y transporte; desde el ámbito de sus respectivas competencias.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ind w:left="34"/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18. Sanciones.</w:t>
      </w:r>
      <w:r w:rsidRPr="00C40E87">
        <w:rPr>
          <w:rFonts w:ascii="Arial" w:hAnsi="Arial" w:cs="Arial"/>
        </w:rPr>
        <w:t xml:space="preserve"> En caso de incumplimiento de lo dispuesto en la presente ley se impondrán las medidas preventivas y sancionatorias a que haya lugar, de conformidad con lo dispuesto en la Ley 1333 de 2009, o la norma que la adicione, modifique o sustituya. </w:t>
      </w:r>
    </w:p>
    <w:p w:rsidR="00D04904" w:rsidRPr="00C40E87" w:rsidRDefault="00D04904" w:rsidP="00FE6DC7">
      <w:pPr>
        <w:spacing w:after="0"/>
        <w:ind w:left="24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 </w:t>
      </w:r>
    </w:p>
    <w:p w:rsidR="00D04904" w:rsidRPr="00C40E87" w:rsidRDefault="00D04904" w:rsidP="00FE6DC7">
      <w:pPr>
        <w:jc w:val="both"/>
        <w:rPr>
          <w:rFonts w:ascii="Arial" w:hAnsi="Arial" w:cs="Arial"/>
        </w:rPr>
      </w:pPr>
      <w:r w:rsidRPr="00C40E87">
        <w:rPr>
          <w:rFonts w:ascii="Arial" w:hAnsi="Arial" w:cs="Arial"/>
          <w:b/>
        </w:rPr>
        <w:t>Artículo 19. Vigencia y derogatorias</w:t>
      </w:r>
      <w:r w:rsidRPr="00C40E87">
        <w:rPr>
          <w:rFonts w:ascii="Arial" w:hAnsi="Arial" w:cs="Arial"/>
        </w:rPr>
        <w:t xml:space="preserve">. La presente ley entra en vigencia a los doce (12) meses, contados a partir de la fecha de su publicación y deroga las normas que le sean contrarias. </w:t>
      </w:r>
    </w:p>
    <w:p w:rsidR="00D04904" w:rsidRPr="00C40E87" w:rsidRDefault="00D04904" w:rsidP="00FE6DC7">
      <w:pPr>
        <w:spacing w:after="0"/>
        <w:jc w:val="both"/>
        <w:rPr>
          <w:rFonts w:ascii="Arial" w:hAnsi="Arial" w:cs="Arial"/>
        </w:rPr>
      </w:pPr>
      <w:r w:rsidRPr="00C40E87">
        <w:rPr>
          <w:rFonts w:ascii="Arial" w:hAnsi="Arial" w:cs="Arial"/>
        </w:rPr>
        <w:t xml:space="preserve">Presentado por:  </w:t>
      </w:r>
    </w:p>
    <w:p w:rsidR="00D04904" w:rsidRPr="00C40E87" w:rsidRDefault="00D04904" w:rsidP="00FE6DC7">
      <w:pPr>
        <w:spacing w:after="0"/>
        <w:ind w:left="82"/>
        <w:jc w:val="both"/>
        <w:rPr>
          <w:rFonts w:ascii="Arial" w:hAnsi="Arial" w:cs="Arial"/>
        </w:rPr>
      </w:pPr>
    </w:p>
    <w:p w:rsidR="00D04904" w:rsidRPr="00C40E87" w:rsidRDefault="00D04904" w:rsidP="00FE6DC7">
      <w:pPr>
        <w:spacing w:after="0" w:line="240" w:lineRule="auto"/>
        <w:ind w:left="79"/>
        <w:contextualSpacing/>
        <w:jc w:val="both"/>
        <w:rPr>
          <w:rFonts w:ascii="Arial" w:hAnsi="Arial" w:cs="Arial"/>
          <w:b/>
        </w:rPr>
      </w:pPr>
    </w:p>
    <w:p w:rsidR="00D04904" w:rsidRPr="00C40E87" w:rsidRDefault="00D04904" w:rsidP="00FE6DC7">
      <w:pPr>
        <w:spacing w:after="0" w:line="240" w:lineRule="auto"/>
        <w:ind w:left="79"/>
        <w:contextualSpacing/>
        <w:jc w:val="both"/>
        <w:rPr>
          <w:rFonts w:ascii="Arial" w:hAnsi="Arial" w:cs="Arial"/>
          <w:b/>
        </w:rPr>
      </w:pPr>
    </w:p>
    <w:p w:rsidR="00D04904" w:rsidRPr="00C40E87" w:rsidRDefault="00D04904" w:rsidP="00FE6DC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  <w:b/>
        </w:rPr>
        <w:t xml:space="preserve">NICOLÁS ALBEIRO </w:t>
      </w:r>
      <w:r w:rsidR="00FE6DC7">
        <w:rPr>
          <w:rFonts w:ascii="Arial" w:hAnsi="Arial" w:cs="Arial"/>
          <w:b/>
        </w:rPr>
        <w:t xml:space="preserve">ECHEVERRY ALVARÁN          </w:t>
      </w:r>
    </w:p>
    <w:p w:rsidR="00D04904" w:rsidRPr="00C40E87" w:rsidRDefault="00D04904" w:rsidP="00FE6DC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  <w:b/>
        </w:rPr>
        <w:t>Representante a la Cámara</w:t>
      </w:r>
      <w:r w:rsidRPr="00C40E87">
        <w:rPr>
          <w:rFonts w:ascii="Arial" w:hAnsi="Arial" w:cs="Arial"/>
          <w:b/>
        </w:rPr>
        <w:tab/>
        <w:t xml:space="preserve">                           </w:t>
      </w:r>
      <w:r w:rsidRPr="00C40E87">
        <w:rPr>
          <w:rFonts w:ascii="Arial" w:hAnsi="Arial" w:cs="Arial"/>
          <w:b/>
        </w:rPr>
        <w:tab/>
      </w:r>
    </w:p>
    <w:p w:rsidR="00D04904" w:rsidRPr="00C40E87" w:rsidRDefault="00D04904" w:rsidP="00FE6DC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  <w:b/>
        </w:rPr>
        <w:t xml:space="preserve">Departamento de Antioquia </w:t>
      </w:r>
      <w:r w:rsidRPr="00C40E87">
        <w:rPr>
          <w:rFonts w:ascii="Arial" w:hAnsi="Arial" w:cs="Arial"/>
          <w:b/>
        </w:rPr>
        <w:tab/>
      </w:r>
      <w:r w:rsidRPr="00C40E87">
        <w:rPr>
          <w:rFonts w:ascii="Arial" w:hAnsi="Arial" w:cs="Arial"/>
          <w:b/>
        </w:rPr>
        <w:tab/>
      </w:r>
      <w:r w:rsidRPr="00C40E87">
        <w:rPr>
          <w:rFonts w:ascii="Arial" w:hAnsi="Arial" w:cs="Arial"/>
          <w:b/>
        </w:rPr>
        <w:tab/>
        <w:t xml:space="preserve">    </w:t>
      </w:r>
      <w:r w:rsidRPr="00C40E87">
        <w:rPr>
          <w:rFonts w:ascii="Arial" w:hAnsi="Arial" w:cs="Arial"/>
          <w:b/>
        </w:rPr>
        <w:tab/>
      </w:r>
    </w:p>
    <w:p w:rsidR="00D04904" w:rsidRPr="00C40E87" w:rsidRDefault="00D04904" w:rsidP="00FE6DC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40E87">
        <w:rPr>
          <w:rFonts w:ascii="Arial" w:hAnsi="Arial" w:cs="Arial"/>
          <w:b/>
        </w:rPr>
        <w:t>Partido Conservador Colombiano</w:t>
      </w:r>
    </w:p>
    <w:p w:rsidR="00294195" w:rsidRDefault="00294195" w:rsidP="00FE6DC7">
      <w:pPr>
        <w:pStyle w:val="Sinespaciado"/>
        <w:jc w:val="both"/>
        <w:rPr>
          <w:rFonts w:ascii="Book Antiqua" w:hAnsi="Book Antiqua" w:cs="Arial"/>
          <w:sz w:val="23"/>
          <w:szCs w:val="23"/>
          <w:lang w:val="es-ES"/>
        </w:rPr>
      </w:pPr>
    </w:p>
    <w:p w:rsidR="00B54413" w:rsidRPr="00B54413" w:rsidRDefault="00B54413" w:rsidP="00FE6DC7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La relación completa de la aprobación en primer debate del Proyecto de Ley consta en el Acta No. 02</w:t>
      </w:r>
      <w:r>
        <w:rPr>
          <w:rFonts w:ascii="Arial Narrow" w:hAnsi="Arial Narrow" w:cs="Arial"/>
          <w:sz w:val="23"/>
          <w:szCs w:val="23"/>
        </w:rPr>
        <w:t>6</w:t>
      </w:r>
      <w:r w:rsidRPr="00B54413">
        <w:rPr>
          <w:rFonts w:ascii="Arial Narrow" w:hAnsi="Arial Narrow" w:cs="Arial"/>
          <w:sz w:val="23"/>
          <w:szCs w:val="23"/>
        </w:rPr>
        <w:t xml:space="preserve"> correspondiente a la sesión realizada el día </w:t>
      </w:r>
      <w:r>
        <w:rPr>
          <w:rFonts w:ascii="Arial Narrow" w:hAnsi="Arial Narrow" w:cs="Arial"/>
          <w:sz w:val="23"/>
          <w:szCs w:val="23"/>
        </w:rPr>
        <w:t>19</w:t>
      </w:r>
      <w:r w:rsidRPr="00B54413">
        <w:rPr>
          <w:rFonts w:ascii="Arial Narrow" w:hAnsi="Arial Narrow" w:cs="Arial"/>
          <w:sz w:val="23"/>
          <w:szCs w:val="23"/>
        </w:rPr>
        <w:t xml:space="preserve"> de mayo de 2020; el anuncio de la votación del Proyecto de ley se hizo</w:t>
      </w:r>
      <w:r w:rsidR="00FE6DC7">
        <w:rPr>
          <w:rFonts w:ascii="Arial Narrow" w:hAnsi="Arial Narrow" w:cs="Arial"/>
          <w:sz w:val="23"/>
          <w:szCs w:val="23"/>
        </w:rPr>
        <w:t xml:space="preserve"> los días 29 de abril de 2020, según consta en el Acta No. 022 y</w:t>
      </w:r>
      <w:r w:rsidRPr="00B54413">
        <w:rPr>
          <w:rFonts w:ascii="Arial Narrow" w:hAnsi="Arial Narrow" w:cs="Arial"/>
          <w:sz w:val="23"/>
          <w:szCs w:val="23"/>
        </w:rPr>
        <w:t xml:space="preserve"> el día </w:t>
      </w:r>
      <w:r>
        <w:rPr>
          <w:rFonts w:ascii="Arial Narrow" w:hAnsi="Arial Narrow" w:cs="Arial"/>
          <w:sz w:val="23"/>
          <w:szCs w:val="23"/>
        </w:rPr>
        <w:t xml:space="preserve">08 </w:t>
      </w:r>
      <w:r w:rsidRPr="00B54413">
        <w:rPr>
          <w:rFonts w:ascii="Arial Narrow" w:hAnsi="Arial Narrow" w:cs="Arial"/>
          <w:sz w:val="23"/>
          <w:szCs w:val="23"/>
        </w:rPr>
        <w:t xml:space="preserve">de </w:t>
      </w:r>
      <w:r>
        <w:rPr>
          <w:rFonts w:ascii="Arial Narrow" w:hAnsi="Arial Narrow" w:cs="Arial"/>
          <w:sz w:val="23"/>
          <w:szCs w:val="23"/>
        </w:rPr>
        <w:t>mayo</w:t>
      </w:r>
      <w:r w:rsidRPr="00B54413">
        <w:rPr>
          <w:rFonts w:ascii="Arial Narrow" w:hAnsi="Arial Narrow" w:cs="Arial"/>
          <w:sz w:val="23"/>
          <w:szCs w:val="23"/>
        </w:rPr>
        <w:t xml:space="preserve"> de 2020, según consta en el acta </w:t>
      </w:r>
      <w:r>
        <w:rPr>
          <w:rFonts w:ascii="Arial Narrow" w:hAnsi="Arial Narrow" w:cs="Arial"/>
          <w:sz w:val="23"/>
          <w:szCs w:val="23"/>
        </w:rPr>
        <w:t>No. 0</w:t>
      </w:r>
      <w:r w:rsidRPr="00B54413">
        <w:rPr>
          <w:rFonts w:ascii="Arial Narrow" w:hAnsi="Arial Narrow" w:cs="Arial"/>
          <w:sz w:val="23"/>
          <w:szCs w:val="23"/>
        </w:rPr>
        <w:t>2</w:t>
      </w:r>
      <w:r>
        <w:rPr>
          <w:rFonts w:ascii="Arial Narrow" w:hAnsi="Arial Narrow" w:cs="Arial"/>
          <w:sz w:val="23"/>
          <w:szCs w:val="23"/>
        </w:rPr>
        <w:t>4</w:t>
      </w:r>
      <w:r w:rsidRPr="00B54413">
        <w:rPr>
          <w:rFonts w:ascii="Arial Narrow" w:hAnsi="Arial Narrow" w:cs="Arial"/>
          <w:sz w:val="23"/>
          <w:szCs w:val="23"/>
        </w:rPr>
        <w:t xml:space="preserve">. </w:t>
      </w:r>
    </w:p>
    <w:p w:rsidR="0045714C" w:rsidRPr="00B54413" w:rsidRDefault="0045714C" w:rsidP="00FE6DC7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49653F" w:rsidRPr="00B54413" w:rsidRDefault="0049653F" w:rsidP="00FE6DC7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45714C" w:rsidRPr="00B54413" w:rsidRDefault="0045714C" w:rsidP="00FE6DC7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bookmarkStart w:id="0" w:name="_GoBack"/>
      <w:bookmarkEnd w:id="0"/>
    </w:p>
    <w:p w:rsidR="0045714C" w:rsidRPr="00B54413" w:rsidRDefault="0045714C" w:rsidP="00FE6DC7">
      <w:pPr>
        <w:pStyle w:val="Sinespaciado"/>
        <w:jc w:val="both"/>
        <w:rPr>
          <w:rFonts w:ascii="Arial Narrow" w:hAnsi="Arial Narrow" w:cs="Arial"/>
          <w:b/>
          <w:sz w:val="23"/>
          <w:szCs w:val="23"/>
        </w:rPr>
      </w:pPr>
      <w:r w:rsidRPr="00B54413">
        <w:rPr>
          <w:rFonts w:ascii="Arial Narrow" w:hAnsi="Arial Narrow" w:cs="Arial"/>
          <w:b/>
          <w:sz w:val="23"/>
          <w:szCs w:val="23"/>
        </w:rPr>
        <w:t>JAIR JOSÉ EBRATT DÍAZ</w:t>
      </w:r>
    </w:p>
    <w:p w:rsidR="0045714C" w:rsidRPr="00B54413" w:rsidRDefault="0045714C" w:rsidP="00FE6DC7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Secretario Comisión Quinta</w:t>
      </w:r>
    </w:p>
    <w:p w:rsidR="00B745D0" w:rsidRPr="004171EF" w:rsidRDefault="0045714C" w:rsidP="00FE6DC7">
      <w:pPr>
        <w:pStyle w:val="Sinespaciado"/>
        <w:jc w:val="both"/>
        <w:rPr>
          <w:rFonts w:ascii="Book Antiqua" w:hAnsi="Book Antiqua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Cámara de Representantes</w:t>
      </w:r>
    </w:p>
    <w:sectPr w:rsidR="00B745D0" w:rsidRPr="00417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5A61"/>
    <w:multiLevelType w:val="hybridMultilevel"/>
    <w:tmpl w:val="B3C4D632"/>
    <w:lvl w:ilvl="0" w:tplc="321CE59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5D60BB8"/>
    <w:multiLevelType w:val="hybridMultilevel"/>
    <w:tmpl w:val="A1F23748"/>
    <w:lvl w:ilvl="0" w:tplc="17FA58CC">
      <w:start w:val="1"/>
      <w:numFmt w:val="decimal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42A2A">
      <w:start w:val="1"/>
      <w:numFmt w:val="lowerLetter"/>
      <w:lvlText w:val="%2.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CA76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01D10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CD2F2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3FE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2B1E2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C97D0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471DE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ED7DE5"/>
    <w:multiLevelType w:val="hybridMultilevel"/>
    <w:tmpl w:val="0194F168"/>
    <w:lvl w:ilvl="0" w:tplc="D592D41E">
      <w:start w:val="1"/>
      <w:numFmt w:val="lowerLetter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CADCE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0DA14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2D3C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EC8B96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61146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4F0AE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E9E24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AB338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6946A9"/>
    <w:multiLevelType w:val="hybridMultilevel"/>
    <w:tmpl w:val="F5765286"/>
    <w:lvl w:ilvl="0" w:tplc="508EAF4E">
      <w:start w:val="1"/>
      <w:numFmt w:val="decimal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63690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05DBC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7A90AE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8506C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E7B9E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A50AA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CB0B2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EC39E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C87379"/>
    <w:multiLevelType w:val="hybridMultilevel"/>
    <w:tmpl w:val="5C62A01A"/>
    <w:lvl w:ilvl="0" w:tplc="A1467A48">
      <w:start w:val="1"/>
      <w:numFmt w:val="decimal"/>
      <w:lvlText w:val="%1."/>
      <w:lvlJc w:val="left"/>
      <w:pPr>
        <w:ind w:left="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CEEE8">
      <w:start w:val="1"/>
      <w:numFmt w:val="lowerLetter"/>
      <w:lvlText w:val="%2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A8A6D6">
      <w:start w:val="1"/>
      <w:numFmt w:val="lowerRoman"/>
      <w:lvlText w:val="%3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6E16">
      <w:start w:val="1"/>
      <w:numFmt w:val="decimal"/>
      <w:lvlText w:val="%4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E1FDA">
      <w:start w:val="1"/>
      <w:numFmt w:val="lowerLetter"/>
      <w:lvlText w:val="%5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999E">
      <w:start w:val="1"/>
      <w:numFmt w:val="lowerRoman"/>
      <w:lvlText w:val="%6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95A8">
      <w:start w:val="1"/>
      <w:numFmt w:val="decimal"/>
      <w:lvlText w:val="%7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89432">
      <w:start w:val="1"/>
      <w:numFmt w:val="lowerLetter"/>
      <w:lvlText w:val="%8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A9B50">
      <w:start w:val="1"/>
      <w:numFmt w:val="lowerRoman"/>
      <w:lvlText w:val="%9"/>
      <w:lvlJc w:val="left"/>
      <w:pPr>
        <w:ind w:left="6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5E107B"/>
    <w:multiLevelType w:val="hybridMultilevel"/>
    <w:tmpl w:val="0B7E24A8"/>
    <w:lvl w:ilvl="0" w:tplc="8FD69D4C">
      <w:start w:val="1"/>
      <w:numFmt w:val="decimal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E80E4">
      <w:start w:val="1"/>
      <w:numFmt w:val="lowerLetter"/>
      <w:lvlText w:val="%2)"/>
      <w:lvlJc w:val="left"/>
      <w:pPr>
        <w:ind w:left="113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1F80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A2D14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A675F0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50C9C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CAA0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0040E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AEC5D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8E7735"/>
    <w:multiLevelType w:val="hybridMultilevel"/>
    <w:tmpl w:val="DCC878F8"/>
    <w:lvl w:ilvl="0" w:tplc="531272B4">
      <w:start w:val="1"/>
      <w:numFmt w:val="decimal"/>
      <w:lvlText w:val="%1.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AD62E">
      <w:start w:val="1"/>
      <w:numFmt w:val="lowerLetter"/>
      <w:lvlText w:val="%2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2EEE2">
      <w:start w:val="1"/>
      <w:numFmt w:val="lowerRoman"/>
      <w:lvlText w:val="%3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2F59C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74C46A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067E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414DC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424FC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28474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4C"/>
    <w:rsid w:val="000907D4"/>
    <w:rsid w:val="000E2385"/>
    <w:rsid w:val="001061E9"/>
    <w:rsid w:val="00151B9D"/>
    <w:rsid w:val="00195684"/>
    <w:rsid w:val="002424C8"/>
    <w:rsid w:val="002453DE"/>
    <w:rsid w:val="0028164F"/>
    <w:rsid w:val="00294195"/>
    <w:rsid w:val="002F518B"/>
    <w:rsid w:val="003B5197"/>
    <w:rsid w:val="003B6039"/>
    <w:rsid w:val="00402D68"/>
    <w:rsid w:val="004171EF"/>
    <w:rsid w:val="00417988"/>
    <w:rsid w:val="00417AE2"/>
    <w:rsid w:val="0045714C"/>
    <w:rsid w:val="0049653F"/>
    <w:rsid w:val="004C0C05"/>
    <w:rsid w:val="0068487F"/>
    <w:rsid w:val="006E3340"/>
    <w:rsid w:val="007C6D5B"/>
    <w:rsid w:val="007E1B95"/>
    <w:rsid w:val="00824025"/>
    <w:rsid w:val="008A1C06"/>
    <w:rsid w:val="009638B7"/>
    <w:rsid w:val="00B54413"/>
    <w:rsid w:val="00B745D0"/>
    <w:rsid w:val="00C40E87"/>
    <w:rsid w:val="00D04904"/>
    <w:rsid w:val="00DD2381"/>
    <w:rsid w:val="00E02387"/>
    <w:rsid w:val="00E5773C"/>
    <w:rsid w:val="00F11559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F30905-3516-40EA-A20F-60D2FB6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4571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5714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4195"/>
    <w:pPr>
      <w:ind w:left="720"/>
      <w:contextualSpacing/>
    </w:pPr>
  </w:style>
  <w:style w:type="character" w:customStyle="1" w:styleId="st">
    <w:name w:val="st"/>
    <w:basedOn w:val="Fuentedeprrafopredeter"/>
    <w:rsid w:val="0029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DA3C-41DF-4455-86B8-1610F0AD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3045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cp:lastPrinted>2018-11-21T13:57:00Z</cp:lastPrinted>
  <dcterms:created xsi:type="dcterms:W3CDTF">2020-05-28T15:50:00Z</dcterms:created>
  <dcterms:modified xsi:type="dcterms:W3CDTF">2020-05-28T15:50:00Z</dcterms:modified>
</cp:coreProperties>
</file>