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1395D" w14:textId="63FC54EE" w:rsidR="00605311" w:rsidRDefault="0052361F" w:rsidP="00605311">
      <w:pPr>
        <w:tabs>
          <w:tab w:val="center" w:pos="4419"/>
          <w:tab w:val="right" w:pos="8838"/>
        </w:tabs>
        <w:spacing w:line="360" w:lineRule="auto"/>
        <w:jc w:val="right"/>
        <w:rPr>
          <w:rFonts w:ascii="Book Antiqua" w:hAnsi="Book Antiqua"/>
          <w:b/>
        </w:rPr>
      </w:pPr>
      <w:r>
        <w:rPr>
          <w:rFonts w:ascii="Book Antiqua" w:hAnsi="Book Antiqua"/>
          <w:b/>
        </w:rPr>
        <w:t xml:space="preserve"> </w:t>
      </w:r>
      <w:r w:rsidR="00605311" w:rsidRPr="002B7E87">
        <w:rPr>
          <w:rFonts w:ascii="Book Antiqua" w:hAnsi="Book Antiqua"/>
          <w:b/>
        </w:rPr>
        <w:t xml:space="preserve">Bogotá D.C., </w:t>
      </w:r>
      <w:r w:rsidR="002E50AC" w:rsidRPr="002B7E87">
        <w:rPr>
          <w:rFonts w:ascii="Book Antiqua" w:hAnsi="Book Antiqua"/>
          <w:b/>
        </w:rPr>
        <w:t xml:space="preserve">mayo </w:t>
      </w:r>
      <w:r w:rsidR="00605311" w:rsidRPr="002B7E87">
        <w:rPr>
          <w:rFonts w:ascii="Book Antiqua" w:hAnsi="Book Antiqua"/>
          <w:b/>
        </w:rPr>
        <w:t>de 20</w:t>
      </w:r>
      <w:r w:rsidR="002E50AC" w:rsidRPr="002B7E87">
        <w:rPr>
          <w:rFonts w:ascii="Book Antiqua" w:hAnsi="Book Antiqua"/>
          <w:b/>
        </w:rPr>
        <w:t>20</w:t>
      </w:r>
    </w:p>
    <w:p w14:paraId="493D2AE7" w14:textId="4AA3BD21" w:rsidR="005F6439" w:rsidRDefault="005F6439" w:rsidP="00605311">
      <w:pPr>
        <w:tabs>
          <w:tab w:val="center" w:pos="4419"/>
          <w:tab w:val="right" w:pos="8838"/>
        </w:tabs>
        <w:spacing w:line="360" w:lineRule="auto"/>
        <w:jc w:val="right"/>
        <w:rPr>
          <w:rFonts w:ascii="Book Antiqua" w:hAnsi="Book Antiqua"/>
          <w:b/>
        </w:rPr>
      </w:pPr>
    </w:p>
    <w:p w14:paraId="069B7ECC" w14:textId="77777777" w:rsidR="005F6439" w:rsidRPr="002B7E87" w:rsidRDefault="005F6439" w:rsidP="00605311">
      <w:pPr>
        <w:tabs>
          <w:tab w:val="center" w:pos="4419"/>
          <w:tab w:val="right" w:pos="8838"/>
        </w:tabs>
        <w:spacing w:line="360" w:lineRule="auto"/>
        <w:jc w:val="right"/>
        <w:rPr>
          <w:rFonts w:ascii="Book Antiqua" w:hAnsi="Book Antiqua"/>
          <w:b/>
        </w:rPr>
      </w:pPr>
    </w:p>
    <w:p w14:paraId="6B2297F3" w14:textId="77777777" w:rsidR="00605311" w:rsidRPr="002B7E87" w:rsidRDefault="00605311" w:rsidP="00605311">
      <w:pPr>
        <w:rPr>
          <w:rFonts w:ascii="Book Antiqua" w:hAnsi="Book Antiqua"/>
        </w:rPr>
      </w:pPr>
      <w:r w:rsidRPr="002B7E87">
        <w:rPr>
          <w:rFonts w:ascii="Book Antiqua" w:hAnsi="Book Antiqua"/>
        </w:rPr>
        <w:t>Representante</w:t>
      </w:r>
    </w:p>
    <w:p w14:paraId="292C2616" w14:textId="77777777" w:rsidR="00605311" w:rsidRPr="002B7E87" w:rsidRDefault="00605311" w:rsidP="00605311">
      <w:pPr>
        <w:rPr>
          <w:rFonts w:ascii="Book Antiqua" w:hAnsi="Book Antiqua"/>
          <w:b/>
        </w:rPr>
      </w:pPr>
      <w:r w:rsidRPr="002B7E87">
        <w:rPr>
          <w:rFonts w:ascii="Book Antiqua" w:hAnsi="Book Antiqua"/>
          <w:b/>
        </w:rPr>
        <w:t>JUAN CARLOS LOZADA VARGAS</w:t>
      </w:r>
    </w:p>
    <w:p w14:paraId="1DBDE78C" w14:textId="77777777" w:rsidR="00605311" w:rsidRPr="002B7E87" w:rsidRDefault="00605311" w:rsidP="00605311">
      <w:pPr>
        <w:rPr>
          <w:rFonts w:ascii="Book Antiqua" w:hAnsi="Book Antiqua"/>
        </w:rPr>
      </w:pPr>
      <w:r w:rsidRPr="002B7E87">
        <w:rPr>
          <w:rFonts w:ascii="Book Antiqua" w:hAnsi="Book Antiqua"/>
        </w:rPr>
        <w:t>Presidente Comisión Primera</w:t>
      </w:r>
    </w:p>
    <w:p w14:paraId="19689943" w14:textId="165C097D" w:rsidR="00605311" w:rsidRDefault="00605311" w:rsidP="00605311">
      <w:pPr>
        <w:rPr>
          <w:rFonts w:ascii="Book Antiqua" w:hAnsi="Book Antiqua"/>
        </w:rPr>
      </w:pPr>
      <w:r w:rsidRPr="002B7E87">
        <w:rPr>
          <w:rFonts w:ascii="Book Antiqua" w:hAnsi="Book Antiqua"/>
        </w:rPr>
        <w:t>Cámara de Representantes</w:t>
      </w:r>
    </w:p>
    <w:p w14:paraId="63E4CEC9" w14:textId="77777777" w:rsidR="005F6439" w:rsidRPr="002B7E87" w:rsidRDefault="005F6439" w:rsidP="00605311">
      <w:pPr>
        <w:rPr>
          <w:rFonts w:ascii="Book Antiqua" w:hAnsi="Book Antiqua"/>
        </w:rPr>
      </w:pPr>
    </w:p>
    <w:p w14:paraId="5CCC6A0B" w14:textId="77777777" w:rsidR="00605311" w:rsidRPr="002B7E87" w:rsidRDefault="00605311" w:rsidP="00605311">
      <w:pPr>
        <w:spacing w:after="120"/>
        <w:rPr>
          <w:rFonts w:ascii="Book Antiqua" w:hAnsi="Book Antiqua"/>
          <w:color w:val="000000"/>
        </w:rPr>
      </w:pPr>
    </w:p>
    <w:p w14:paraId="290D0582" w14:textId="4917CDF0" w:rsidR="00605311" w:rsidRDefault="00605311" w:rsidP="00605311">
      <w:pPr>
        <w:spacing w:after="120"/>
        <w:ind w:right="49"/>
        <w:jc w:val="right"/>
        <w:textAlignment w:val="center"/>
        <w:rPr>
          <w:rFonts w:ascii="Book Antiqua" w:hAnsi="Book Antiqua"/>
          <w:color w:val="000000"/>
        </w:rPr>
      </w:pPr>
      <w:r w:rsidRPr="002B7E87">
        <w:rPr>
          <w:rFonts w:ascii="Book Antiqua" w:hAnsi="Book Antiqua"/>
          <w:b/>
          <w:color w:val="000000"/>
        </w:rPr>
        <w:t xml:space="preserve">Asunto: </w:t>
      </w:r>
      <w:r w:rsidRPr="002B7E87">
        <w:rPr>
          <w:rFonts w:ascii="Book Antiqua" w:hAnsi="Book Antiqua"/>
          <w:color w:val="000000"/>
        </w:rPr>
        <w:t xml:space="preserve">Ponencia positiva para primer debate del Proyecto de ley N° 323 de </w:t>
      </w:r>
      <w:r w:rsidR="00752825">
        <w:rPr>
          <w:rFonts w:ascii="Book Antiqua" w:hAnsi="Book Antiqua"/>
          <w:color w:val="000000"/>
        </w:rPr>
        <w:t>2020</w:t>
      </w:r>
      <w:r w:rsidRPr="002B7E87">
        <w:rPr>
          <w:rFonts w:ascii="Book Antiqua" w:hAnsi="Book Antiqua"/>
          <w:color w:val="000000"/>
        </w:rPr>
        <w:t xml:space="preserve"> Cámara.</w:t>
      </w:r>
    </w:p>
    <w:p w14:paraId="674FDFDA" w14:textId="77777777" w:rsidR="005F6439" w:rsidRPr="002B7E87" w:rsidRDefault="005F6439" w:rsidP="00605311">
      <w:pPr>
        <w:spacing w:after="120"/>
        <w:ind w:right="49"/>
        <w:jc w:val="right"/>
        <w:textAlignment w:val="center"/>
        <w:rPr>
          <w:rFonts w:ascii="Book Antiqua" w:hAnsi="Book Antiqua"/>
          <w:color w:val="000000"/>
        </w:rPr>
      </w:pPr>
    </w:p>
    <w:p w14:paraId="73991A13" w14:textId="766DAE2A" w:rsidR="00605311" w:rsidRPr="002B7E87" w:rsidRDefault="00605311" w:rsidP="00605311">
      <w:pPr>
        <w:jc w:val="both"/>
        <w:rPr>
          <w:rFonts w:ascii="Book Antiqua" w:eastAsia="Helvetica Neue" w:hAnsi="Book Antiqua"/>
          <w:i/>
          <w:color w:val="000000" w:themeColor="text1"/>
        </w:rPr>
      </w:pPr>
      <w:r w:rsidRPr="002B7E87">
        <w:rPr>
          <w:rFonts w:ascii="Book Antiqua" w:hAnsi="Book Antiqua"/>
        </w:rPr>
        <w:t xml:space="preserve">En cumplimiento del encargo recibido por parte de la honorable Mesa Directiva de la Comisión Primera de la Cámara de Representantes y de conformidad con lo establecido en el artículo 150 de la Ley 5ª de 1992, procedo a rendir Informe de Ponencia para primer debate al Proyecto de Ley </w:t>
      </w:r>
      <w:r w:rsidR="002E50AC" w:rsidRPr="002B7E87">
        <w:rPr>
          <w:rFonts w:ascii="Book Antiqua" w:hAnsi="Book Antiqua"/>
        </w:rPr>
        <w:t>N° 323</w:t>
      </w:r>
      <w:r w:rsidR="00CA1F7D">
        <w:rPr>
          <w:rFonts w:ascii="Book Antiqua" w:hAnsi="Book Antiqua"/>
        </w:rPr>
        <w:t xml:space="preserve"> de 2020</w:t>
      </w:r>
      <w:r w:rsidR="002C7964" w:rsidRPr="002C7964">
        <w:rPr>
          <w:rFonts w:ascii="Book Antiqua" w:hAnsi="Book Antiqua"/>
          <w:color w:val="000000"/>
        </w:rPr>
        <w:t xml:space="preserve"> </w:t>
      </w:r>
      <w:r w:rsidR="002C7964" w:rsidRPr="002B7E87">
        <w:rPr>
          <w:rFonts w:ascii="Book Antiqua" w:hAnsi="Book Antiqua"/>
          <w:color w:val="000000"/>
        </w:rPr>
        <w:t>Cámara</w:t>
      </w:r>
      <w:r w:rsidR="002E50AC" w:rsidRPr="002B7E87">
        <w:rPr>
          <w:rFonts w:ascii="Book Antiqua" w:hAnsi="Book Antiqua"/>
        </w:rPr>
        <w:t xml:space="preserve"> “Por medio del cual se modifican los artículos 1823 y 1824 del Decreto 410 de 1971”. </w:t>
      </w:r>
    </w:p>
    <w:p w14:paraId="538A408A" w14:textId="6EDED75F" w:rsidR="00605311" w:rsidRPr="002B7E87" w:rsidRDefault="00605311" w:rsidP="00605311">
      <w:pPr>
        <w:pStyle w:val="Textoindependiente"/>
        <w:spacing w:line="276" w:lineRule="auto"/>
        <w:jc w:val="both"/>
        <w:rPr>
          <w:rFonts w:ascii="Book Antiqua" w:hAnsi="Book Antiqua" w:cs="Arial"/>
        </w:rPr>
      </w:pPr>
      <w:r w:rsidRPr="002B7E87">
        <w:rPr>
          <w:rFonts w:ascii="Book Antiqua" w:hAnsi="Book Antiqua" w:cs="Arial"/>
        </w:rPr>
        <w:t>El presente Informe está compuesto por d</w:t>
      </w:r>
      <w:r w:rsidR="0087733C" w:rsidRPr="002B7E87">
        <w:rPr>
          <w:rFonts w:ascii="Book Antiqua" w:hAnsi="Book Antiqua" w:cs="Arial"/>
        </w:rPr>
        <w:t>i</w:t>
      </w:r>
      <w:r w:rsidRPr="002B7E87">
        <w:rPr>
          <w:rFonts w:ascii="Book Antiqua" w:hAnsi="Book Antiqua" w:cs="Arial"/>
        </w:rPr>
        <w:t>e</w:t>
      </w:r>
      <w:r w:rsidR="0087733C" w:rsidRPr="002B7E87">
        <w:rPr>
          <w:rFonts w:ascii="Book Antiqua" w:hAnsi="Book Antiqua" w:cs="Arial"/>
        </w:rPr>
        <w:t>z</w:t>
      </w:r>
      <w:r w:rsidRPr="002B7E87">
        <w:rPr>
          <w:rFonts w:ascii="Book Antiqua" w:hAnsi="Book Antiqua" w:cs="Arial"/>
        </w:rPr>
        <w:t xml:space="preserve"> (1</w:t>
      </w:r>
      <w:r w:rsidR="0087733C" w:rsidRPr="002B7E87">
        <w:rPr>
          <w:rFonts w:ascii="Book Antiqua" w:hAnsi="Book Antiqua" w:cs="Arial"/>
        </w:rPr>
        <w:t>0</w:t>
      </w:r>
      <w:r w:rsidRPr="002B7E87">
        <w:rPr>
          <w:rFonts w:ascii="Book Antiqua" w:hAnsi="Book Antiqua" w:cs="Arial"/>
        </w:rPr>
        <w:t>) apartes:</w:t>
      </w:r>
    </w:p>
    <w:p w14:paraId="77575208" w14:textId="00CF937C" w:rsidR="00A41E82" w:rsidRPr="002B7E87" w:rsidRDefault="00A41E82"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Antecedentes del proyecto</w:t>
      </w:r>
    </w:p>
    <w:p w14:paraId="79DACEDD" w14:textId="07F90591" w:rsidR="00605311" w:rsidRPr="002B7E87" w:rsidRDefault="00605311"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Objetivo</w:t>
      </w:r>
    </w:p>
    <w:p w14:paraId="5A3EE13B" w14:textId="77777777" w:rsidR="00605311" w:rsidRPr="002B7E87" w:rsidRDefault="00605311"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 xml:space="preserve">Problemas que pretende resolver el proyecto de ley </w:t>
      </w:r>
    </w:p>
    <w:p w14:paraId="39537278" w14:textId="77777777" w:rsidR="00605311" w:rsidRPr="002B7E87" w:rsidRDefault="00605311"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Cómo se resuelve el problema</w:t>
      </w:r>
    </w:p>
    <w:p w14:paraId="515B3DDC" w14:textId="77777777" w:rsidR="00605311" w:rsidRPr="002B7E87" w:rsidRDefault="00605311"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Justificación del proyecto</w:t>
      </w:r>
    </w:p>
    <w:p w14:paraId="3460F9B7" w14:textId="10C08F22" w:rsidR="00605311" w:rsidRPr="002B7E87" w:rsidRDefault="004321AE"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Análisis</w:t>
      </w:r>
      <w:r w:rsidR="002D151C" w:rsidRPr="002B7E87">
        <w:rPr>
          <w:rFonts w:ascii="Book Antiqua" w:hAnsi="Book Antiqua"/>
          <w:color w:val="000000"/>
          <w:lang w:eastAsia="es-CO"/>
        </w:rPr>
        <w:t xml:space="preserve"> </w:t>
      </w:r>
      <w:r w:rsidRPr="002B7E87">
        <w:rPr>
          <w:rFonts w:ascii="Book Antiqua" w:hAnsi="Book Antiqua"/>
          <w:color w:val="000000"/>
          <w:lang w:eastAsia="es-CO"/>
        </w:rPr>
        <w:t>jurídico</w:t>
      </w:r>
      <w:r w:rsidR="00605311" w:rsidRPr="002B7E87">
        <w:rPr>
          <w:rFonts w:ascii="Book Antiqua" w:hAnsi="Book Antiqua"/>
          <w:color w:val="000000"/>
          <w:lang w:eastAsia="es-CO"/>
        </w:rPr>
        <w:t xml:space="preserve"> </w:t>
      </w:r>
    </w:p>
    <w:p w14:paraId="44871692" w14:textId="7771806F" w:rsidR="00605311" w:rsidRPr="002B7E87" w:rsidRDefault="00D236CC"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Conflicto de intereses</w:t>
      </w:r>
      <w:r w:rsidR="00605311" w:rsidRPr="002B7E87">
        <w:rPr>
          <w:rFonts w:ascii="Book Antiqua" w:hAnsi="Book Antiqua"/>
          <w:color w:val="000000"/>
          <w:lang w:eastAsia="es-CO"/>
        </w:rPr>
        <w:t xml:space="preserve"> </w:t>
      </w:r>
    </w:p>
    <w:p w14:paraId="11436696" w14:textId="77777777" w:rsidR="00605311" w:rsidRPr="002B7E87" w:rsidRDefault="00605311"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 xml:space="preserve">Proposición </w:t>
      </w:r>
    </w:p>
    <w:p w14:paraId="61C346E8" w14:textId="77777777" w:rsidR="00605311" w:rsidRPr="002B7E87" w:rsidRDefault="00605311"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Texto Propuesto</w:t>
      </w:r>
    </w:p>
    <w:p w14:paraId="1B8417E3" w14:textId="77777777" w:rsidR="00605311" w:rsidRPr="002B7E87" w:rsidRDefault="00605311" w:rsidP="00605311">
      <w:pPr>
        <w:pStyle w:val="Prrafodelista"/>
        <w:numPr>
          <w:ilvl w:val="0"/>
          <w:numId w:val="16"/>
        </w:numPr>
        <w:spacing w:after="120"/>
        <w:jc w:val="both"/>
        <w:textAlignment w:val="center"/>
        <w:rPr>
          <w:rFonts w:ascii="Book Antiqua" w:hAnsi="Book Antiqua"/>
          <w:color w:val="000000"/>
          <w:lang w:eastAsia="es-CO"/>
        </w:rPr>
      </w:pPr>
      <w:r w:rsidRPr="002B7E87">
        <w:rPr>
          <w:rFonts w:ascii="Book Antiqua" w:hAnsi="Book Antiqua"/>
          <w:color w:val="000000"/>
          <w:lang w:eastAsia="es-CO"/>
        </w:rPr>
        <w:t>Referencias</w:t>
      </w:r>
    </w:p>
    <w:p w14:paraId="35951EA1" w14:textId="77777777" w:rsidR="00605311" w:rsidRPr="002B7E87" w:rsidRDefault="00605311" w:rsidP="00605311">
      <w:pPr>
        <w:rPr>
          <w:rFonts w:ascii="Book Antiqua" w:hAnsi="Book Antiqua"/>
        </w:rPr>
      </w:pPr>
    </w:p>
    <w:p w14:paraId="34C4E50C" w14:textId="77777777" w:rsidR="00605311" w:rsidRPr="002B7E87" w:rsidRDefault="00605311" w:rsidP="00605311">
      <w:pPr>
        <w:rPr>
          <w:rFonts w:ascii="Book Antiqua" w:hAnsi="Book Antiqua"/>
        </w:rPr>
      </w:pPr>
      <w:r w:rsidRPr="002B7E87">
        <w:rPr>
          <w:rFonts w:ascii="Book Antiqua" w:hAnsi="Book Antiqua"/>
        </w:rPr>
        <w:t xml:space="preserve">Atentamente, </w:t>
      </w:r>
    </w:p>
    <w:p w14:paraId="4406C1F0" w14:textId="77777777" w:rsidR="00605311" w:rsidRPr="002B7E87" w:rsidRDefault="00605311" w:rsidP="00605311">
      <w:pPr>
        <w:rPr>
          <w:rFonts w:ascii="Book Antiqua" w:hAnsi="Book Antiqua"/>
        </w:rPr>
      </w:pPr>
    </w:p>
    <w:p w14:paraId="524AFA04" w14:textId="7B45FCD9" w:rsidR="00605311" w:rsidRDefault="00605311" w:rsidP="00605311">
      <w:pPr>
        <w:rPr>
          <w:rFonts w:ascii="Book Antiqua" w:hAnsi="Book Antiqua"/>
        </w:rPr>
      </w:pPr>
    </w:p>
    <w:p w14:paraId="4702172E" w14:textId="36400D6A" w:rsidR="005F6439" w:rsidRDefault="005F6439" w:rsidP="00605311">
      <w:pPr>
        <w:rPr>
          <w:rFonts w:ascii="Book Antiqua" w:hAnsi="Book Antiqua"/>
        </w:rPr>
      </w:pPr>
    </w:p>
    <w:p w14:paraId="0E502282" w14:textId="77777777" w:rsidR="005F6439" w:rsidRPr="002B7E87" w:rsidRDefault="005F6439" w:rsidP="00605311">
      <w:pPr>
        <w:rPr>
          <w:rFonts w:ascii="Book Antiqua" w:hAnsi="Book Antiqua"/>
        </w:rPr>
      </w:pPr>
    </w:p>
    <w:p w14:paraId="21664AFD" w14:textId="77777777" w:rsidR="00605311" w:rsidRPr="002B7E87" w:rsidRDefault="00605311" w:rsidP="00605311">
      <w:pPr>
        <w:rPr>
          <w:rFonts w:ascii="Book Antiqua" w:hAnsi="Book Antiqua"/>
        </w:rPr>
      </w:pPr>
      <w:r w:rsidRPr="002B7E87">
        <w:rPr>
          <w:rFonts w:ascii="Book Antiqua" w:hAnsi="Book Antiqua"/>
        </w:rPr>
        <w:t>_____________________</w:t>
      </w:r>
    </w:p>
    <w:p w14:paraId="6C579616" w14:textId="77777777" w:rsidR="00605311" w:rsidRPr="002B7E87" w:rsidRDefault="00605311" w:rsidP="00605311">
      <w:pPr>
        <w:rPr>
          <w:rFonts w:ascii="Book Antiqua" w:hAnsi="Book Antiqua"/>
          <w:b/>
        </w:rPr>
      </w:pPr>
      <w:r w:rsidRPr="002B7E87">
        <w:rPr>
          <w:rFonts w:ascii="Book Antiqua" w:hAnsi="Book Antiqua"/>
          <w:b/>
        </w:rPr>
        <w:t>JUAN FERNANDO REYES KURI</w:t>
      </w:r>
    </w:p>
    <w:p w14:paraId="7725C373" w14:textId="77777777" w:rsidR="00605311" w:rsidRPr="002B7E87" w:rsidRDefault="00605311" w:rsidP="00605311">
      <w:pPr>
        <w:rPr>
          <w:rFonts w:ascii="Book Antiqua" w:hAnsi="Book Antiqua"/>
        </w:rPr>
      </w:pPr>
      <w:r w:rsidRPr="002B7E87">
        <w:rPr>
          <w:rFonts w:ascii="Book Antiqua" w:hAnsi="Book Antiqua"/>
        </w:rPr>
        <w:t>Representante a la Cámara por el Valle del Cauca</w:t>
      </w:r>
    </w:p>
    <w:p w14:paraId="7EC7FD8C" w14:textId="77777777" w:rsidR="00605311" w:rsidRPr="002B7E87" w:rsidRDefault="00605311" w:rsidP="00605311">
      <w:pPr>
        <w:rPr>
          <w:rFonts w:ascii="Book Antiqua" w:hAnsi="Book Antiqua"/>
        </w:rPr>
      </w:pPr>
      <w:r w:rsidRPr="002B7E87">
        <w:rPr>
          <w:rFonts w:ascii="Book Antiqua" w:hAnsi="Book Antiqua"/>
        </w:rPr>
        <w:lastRenderedPageBreak/>
        <w:t>Partido Liberal</w:t>
      </w:r>
    </w:p>
    <w:p w14:paraId="3AF92E3B" w14:textId="77777777" w:rsidR="00564AE8" w:rsidRPr="002B7E87" w:rsidRDefault="00564AE8" w:rsidP="00605311">
      <w:pPr>
        <w:jc w:val="center"/>
        <w:rPr>
          <w:rFonts w:ascii="Book Antiqua" w:eastAsia="Helvetica Neue" w:hAnsi="Book Antiqua"/>
          <w:b/>
        </w:rPr>
      </w:pPr>
    </w:p>
    <w:p w14:paraId="5956DDEB" w14:textId="201E500E" w:rsidR="00605311" w:rsidRPr="002B7E87" w:rsidRDefault="00605311" w:rsidP="00605311">
      <w:pPr>
        <w:jc w:val="center"/>
        <w:rPr>
          <w:rFonts w:ascii="Book Antiqua" w:eastAsia="Helvetica Neue" w:hAnsi="Book Antiqua"/>
          <w:b/>
          <w:i/>
          <w:color w:val="000000" w:themeColor="text1"/>
        </w:rPr>
      </w:pPr>
      <w:r w:rsidRPr="002B7E87">
        <w:rPr>
          <w:rFonts w:ascii="Book Antiqua" w:eastAsia="Helvetica Neue" w:hAnsi="Book Antiqua"/>
          <w:b/>
        </w:rPr>
        <w:t xml:space="preserve">INFORME DE </w:t>
      </w:r>
      <w:r w:rsidR="0052361F" w:rsidRPr="002B7E87">
        <w:rPr>
          <w:rFonts w:ascii="Book Antiqua" w:eastAsia="Helvetica Neue" w:hAnsi="Book Antiqua"/>
          <w:b/>
        </w:rPr>
        <w:t>PONENCIA PARA PRIMER DEBATE DEL PROYECTO DE LEY NO 323 DE 2020</w:t>
      </w:r>
      <w:r w:rsidR="0052361F">
        <w:rPr>
          <w:rFonts w:ascii="Book Antiqua" w:eastAsia="Helvetica Neue" w:hAnsi="Book Antiqua"/>
          <w:b/>
        </w:rPr>
        <w:t xml:space="preserve"> CÁMARA</w:t>
      </w:r>
      <w:r w:rsidR="0052361F" w:rsidRPr="002B7E87">
        <w:rPr>
          <w:rFonts w:ascii="Book Antiqua" w:eastAsia="Helvetica Neue" w:hAnsi="Book Antiqua"/>
          <w:b/>
        </w:rPr>
        <w:t xml:space="preserve"> </w:t>
      </w:r>
      <w:r w:rsidR="002F41F2" w:rsidRPr="002B7E87">
        <w:rPr>
          <w:rFonts w:ascii="Book Antiqua" w:eastAsia="Helvetica Neue" w:hAnsi="Book Antiqua"/>
          <w:b/>
        </w:rPr>
        <w:t>“POR MEDIO DEL CUAL SE MODIFICAN LOS ARTÍCULOS 1823 Y 1824 DEL DECRETO 410 DE 1971”.</w:t>
      </w:r>
    </w:p>
    <w:p w14:paraId="748C5629" w14:textId="77777777" w:rsidR="00605311" w:rsidRPr="002B7E87" w:rsidRDefault="00605311" w:rsidP="00605311">
      <w:pPr>
        <w:rPr>
          <w:rFonts w:ascii="Book Antiqua" w:eastAsia="Helvetica Neue" w:hAnsi="Book Antiqua"/>
        </w:rPr>
      </w:pPr>
    </w:p>
    <w:p w14:paraId="2BFF9EB7" w14:textId="4094C8F4" w:rsidR="00A41E82" w:rsidRPr="002B7E87" w:rsidRDefault="00A41E82" w:rsidP="00605311">
      <w:pPr>
        <w:pStyle w:val="Prrafodelista"/>
        <w:numPr>
          <w:ilvl w:val="0"/>
          <w:numId w:val="2"/>
        </w:numPr>
        <w:autoSpaceDE w:val="0"/>
        <w:autoSpaceDN w:val="0"/>
        <w:adjustRightInd w:val="0"/>
        <w:ind w:left="284"/>
        <w:jc w:val="center"/>
        <w:rPr>
          <w:rFonts w:ascii="Book Antiqua" w:eastAsiaTheme="minorHAnsi" w:hAnsi="Book Antiqua"/>
          <w:b/>
          <w:bCs/>
          <w:lang w:val="es-ES_tradnl" w:eastAsia="en-US"/>
        </w:rPr>
      </w:pPr>
      <w:r w:rsidRPr="002B7E87">
        <w:rPr>
          <w:rFonts w:ascii="Book Antiqua" w:eastAsiaTheme="minorHAnsi" w:hAnsi="Book Antiqua"/>
          <w:b/>
          <w:bCs/>
          <w:lang w:val="es-ES_tradnl" w:eastAsia="en-US"/>
        </w:rPr>
        <w:t>ANTECEDENTES DEL PROYECTO</w:t>
      </w:r>
    </w:p>
    <w:p w14:paraId="7504851E" w14:textId="77777777" w:rsidR="00D86379" w:rsidRPr="002B7E87" w:rsidRDefault="00D86379" w:rsidP="00792C80">
      <w:pPr>
        <w:autoSpaceDE w:val="0"/>
        <w:autoSpaceDN w:val="0"/>
        <w:adjustRightInd w:val="0"/>
        <w:jc w:val="both"/>
        <w:rPr>
          <w:rFonts w:ascii="Book Antiqua" w:eastAsiaTheme="minorHAnsi" w:hAnsi="Book Antiqua"/>
          <w:lang w:eastAsia="en-US"/>
        </w:rPr>
      </w:pPr>
    </w:p>
    <w:p w14:paraId="26EE121B" w14:textId="6D9F1AAE" w:rsidR="00A41E82" w:rsidRDefault="00686A86" w:rsidP="00792C80">
      <w:pPr>
        <w:autoSpaceDE w:val="0"/>
        <w:autoSpaceDN w:val="0"/>
        <w:adjustRightInd w:val="0"/>
        <w:jc w:val="both"/>
        <w:rPr>
          <w:rFonts w:ascii="Book Antiqua" w:eastAsiaTheme="minorHAnsi" w:hAnsi="Book Antiqua"/>
          <w:lang w:eastAsia="en-US"/>
        </w:rPr>
      </w:pPr>
      <w:r w:rsidRPr="002B7E87">
        <w:rPr>
          <w:rFonts w:ascii="Book Antiqua" w:eastAsiaTheme="minorHAnsi" w:hAnsi="Book Antiqua"/>
          <w:lang w:eastAsia="en-US"/>
        </w:rPr>
        <w:t>El proyecto 323 de 20</w:t>
      </w:r>
      <w:r w:rsidR="00752825">
        <w:rPr>
          <w:rFonts w:ascii="Book Antiqua" w:eastAsiaTheme="minorHAnsi" w:hAnsi="Book Antiqua"/>
          <w:lang w:eastAsia="en-US"/>
        </w:rPr>
        <w:t>20</w:t>
      </w:r>
      <w:r w:rsidRPr="002B7E87">
        <w:rPr>
          <w:rFonts w:ascii="Book Antiqua" w:eastAsiaTheme="minorHAnsi" w:hAnsi="Book Antiqua"/>
          <w:lang w:eastAsia="en-US"/>
        </w:rPr>
        <w:t xml:space="preserve"> Cámara, fue presentado </w:t>
      </w:r>
      <w:r w:rsidR="00D80AC1">
        <w:rPr>
          <w:rFonts w:ascii="Book Antiqua" w:eastAsiaTheme="minorHAnsi" w:hAnsi="Book Antiqua"/>
          <w:lang w:eastAsia="en-US"/>
        </w:rPr>
        <w:t xml:space="preserve">por </w:t>
      </w:r>
      <w:r w:rsidRPr="002B7E87">
        <w:rPr>
          <w:rFonts w:ascii="Book Antiqua" w:eastAsiaTheme="minorHAnsi" w:hAnsi="Book Antiqua"/>
          <w:lang w:eastAsia="en-US"/>
        </w:rPr>
        <w:t xml:space="preserve">el H.R Juan Fernando Reyes Kuri </w:t>
      </w:r>
      <w:r w:rsidR="009C2844" w:rsidRPr="002B7E87">
        <w:rPr>
          <w:rFonts w:ascii="Book Antiqua" w:eastAsiaTheme="minorHAnsi" w:hAnsi="Book Antiqua"/>
          <w:lang w:eastAsia="en-US"/>
        </w:rPr>
        <w:t xml:space="preserve">el día </w:t>
      </w:r>
      <w:r w:rsidR="00FC61AA" w:rsidRPr="002B7E87">
        <w:rPr>
          <w:rFonts w:ascii="Book Antiqua" w:eastAsiaTheme="minorHAnsi" w:hAnsi="Book Antiqua"/>
          <w:lang w:eastAsia="en-US"/>
        </w:rPr>
        <w:t>05 de marzo del 2020 ante la Secretaria General de la Cámara de Re</w:t>
      </w:r>
      <w:r w:rsidR="00E90322" w:rsidRPr="002B7E87">
        <w:rPr>
          <w:rFonts w:ascii="Book Antiqua" w:eastAsiaTheme="minorHAnsi" w:hAnsi="Book Antiqua"/>
          <w:lang w:eastAsia="en-US"/>
        </w:rPr>
        <w:t>presentantes.</w:t>
      </w:r>
      <w:r w:rsidR="00D86379" w:rsidRPr="002B7E87">
        <w:rPr>
          <w:rFonts w:ascii="Book Antiqua" w:eastAsiaTheme="minorHAnsi" w:hAnsi="Book Antiqua"/>
          <w:lang w:eastAsia="en-US"/>
        </w:rPr>
        <w:t xml:space="preserve"> P</w:t>
      </w:r>
      <w:r w:rsidR="00E90322" w:rsidRPr="002B7E87">
        <w:rPr>
          <w:rFonts w:ascii="Book Antiqua" w:eastAsiaTheme="minorHAnsi" w:hAnsi="Book Antiqua"/>
          <w:lang w:eastAsia="en-US"/>
        </w:rPr>
        <w:t xml:space="preserve">ublicado en la Gaceta </w:t>
      </w:r>
      <w:r w:rsidR="00DA1BB2" w:rsidRPr="002B7E87">
        <w:rPr>
          <w:rFonts w:ascii="Book Antiqua" w:eastAsiaTheme="minorHAnsi" w:hAnsi="Book Antiqua"/>
          <w:lang w:eastAsia="en-US"/>
        </w:rPr>
        <w:t xml:space="preserve">número </w:t>
      </w:r>
      <w:r w:rsidR="00E90322" w:rsidRPr="002B7E87">
        <w:rPr>
          <w:rFonts w:ascii="Book Antiqua" w:eastAsiaTheme="minorHAnsi" w:hAnsi="Book Antiqua"/>
          <w:lang w:eastAsia="en-US"/>
        </w:rPr>
        <w:t xml:space="preserve">123 </w:t>
      </w:r>
      <w:r w:rsidR="00DA1BB2" w:rsidRPr="002B7E87">
        <w:rPr>
          <w:rFonts w:ascii="Book Antiqua" w:eastAsiaTheme="minorHAnsi" w:hAnsi="Book Antiqua"/>
          <w:lang w:eastAsia="en-US"/>
        </w:rPr>
        <w:t xml:space="preserve">el 09 de marzo del 2020. </w:t>
      </w:r>
    </w:p>
    <w:p w14:paraId="5DDFF69D" w14:textId="77777777" w:rsidR="00D80AC1" w:rsidRPr="002B7E87" w:rsidRDefault="00D80AC1" w:rsidP="00792C80">
      <w:pPr>
        <w:autoSpaceDE w:val="0"/>
        <w:autoSpaceDN w:val="0"/>
        <w:adjustRightInd w:val="0"/>
        <w:jc w:val="both"/>
        <w:rPr>
          <w:rFonts w:ascii="Book Antiqua" w:eastAsiaTheme="minorHAnsi" w:hAnsi="Book Antiqua"/>
          <w:lang w:eastAsia="en-US"/>
        </w:rPr>
      </w:pPr>
    </w:p>
    <w:p w14:paraId="46D26246" w14:textId="3659BEF5" w:rsidR="00605311" w:rsidRPr="002B7E87" w:rsidRDefault="00605311" w:rsidP="00605311">
      <w:pPr>
        <w:pStyle w:val="Prrafodelista"/>
        <w:numPr>
          <w:ilvl w:val="0"/>
          <w:numId w:val="2"/>
        </w:numPr>
        <w:autoSpaceDE w:val="0"/>
        <w:autoSpaceDN w:val="0"/>
        <w:adjustRightInd w:val="0"/>
        <w:ind w:left="284"/>
        <w:jc w:val="center"/>
        <w:rPr>
          <w:rFonts w:ascii="Book Antiqua" w:eastAsiaTheme="minorHAnsi" w:hAnsi="Book Antiqua"/>
          <w:b/>
          <w:bCs/>
          <w:lang w:val="es-ES_tradnl" w:eastAsia="en-US"/>
        </w:rPr>
      </w:pPr>
      <w:r w:rsidRPr="002B7E87">
        <w:rPr>
          <w:rFonts w:ascii="Book Antiqua" w:eastAsiaTheme="minorHAnsi" w:hAnsi="Book Antiqua"/>
          <w:b/>
          <w:bCs/>
          <w:lang w:val="es-ES_tradnl" w:eastAsia="en-US"/>
        </w:rPr>
        <w:t>OBJETIVO</w:t>
      </w:r>
    </w:p>
    <w:p w14:paraId="1010E92E" w14:textId="77777777" w:rsidR="00605311" w:rsidRPr="002B7E87" w:rsidRDefault="00605311" w:rsidP="00605311">
      <w:pPr>
        <w:autoSpaceDE w:val="0"/>
        <w:autoSpaceDN w:val="0"/>
        <w:adjustRightInd w:val="0"/>
        <w:ind w:left="-76"/>
        <w:rPr>
          <w:rFonts w:ascii="Book Antiqua" w:eastAsiaTheme="minorHAnsi" w:hAnsi="Book Antiqua"/>
          <w:b/>
          <w:bCs/>
          <w:lang w:eastAsia="en-US"/>
        </w:rPr>
      </w:pPr>
    </w:p>
    <w:p w14:paraId="4B0840DC" w14:textId="4DC7B072" w:rsidR="00605311" w:rsidRPr="002B7E87" w:rsidRDefault="00B27D8C" w:rsidP="00605311">
      <w:pPr>
        <w:autoSpaceDE w:val="0"/>
        <w:autoSpaceDN w:val="0"/>
        <w:adjustRightInd w:val="0"/>
        <w:jc w:val="both"/>
        <w:rPr>
          <w:rFonts w:ascii="Book Antiqua" w:eastAsia="Helvetica Neue" w:hAnsi="Book Antiqua"/>
          <w:color w:val="000000" w:themeColor="text1"/>
        </w:rPr>
      </w:pPr>
      <w:r w:rsidRPr="002B7E87">
        <w:rPr>
          <w:rFonts w:ascii="Book Antiqua" w:eastAsia="Helvetica Neue" w:hAnsi="Book Antiqua"/>
          <w:color w:val="000000" w:themeColor="text1"/>
        </w:rPr>
        <w:t>T</w:t>
      </w:r>
      <w:r w:rsidR="006308C2" w:rsidRPr="002B7E87">
        <w:rPr>
          <w:rFonts w:ascii="Book Antiqua" w:eastAsia="Helvetica Neue" w:hAnsi="Book Antiqua"/>
          <w:color w:val="000000" w:themeColor="text1"/>
        </w:rPr>
        <w:t xml:space="preserve">iene como objetivo ajustar los artículos 1823 y 1824 del Código de Comercio, a los preceptos </w:t>
      </w:r>
      <w:r w:rsidR="00067562" w:rsidRPr="002B7E87">
        <w:rPr>
          <w:rFonts w:ascii="Book Antiqua" w:eastAsia="Helvetica Neue" w:hAnsi="Book Antiqua"/>
          <w:color w:val="000000" w:themeColor="text1"/>
        </w:rPr>
        <w:t>c</w:t>
      </w:r>
      <w:r w:rsidR="006308C2" w:rsidRPr="002B7E87">
        <w:rPr>
          <w:rFonts w:ascii="Book Antiqua" w:eastAsia="Helvetica Neue" w:hAnsi="Book Antiqua"/>
          <w:color w:val="000000" w:themeColor="text1"/>
        </w:rPr>
        <w:t xml:space="preserve">onstitucionales vigentes, en especial a lo que respecta a la autonomía de las entidades territoriales y su facultad para ordenar los territorios.  </w:t>
      </w:r>
    </w:p>
    <w:p w14:paraId="00C8DA16" w14:textId="77777777" w:rsidR="00067562" w:rsidRPr="002B7E87" w:rsidRDefault="00067562" w:rsidP="00605311">
      <w:pPr>
        <w:autoSpaceDE w:val="0"/>
        <w:autoSpaceDN w:val="0"/>
        <w:adjustRightInd w:val="0"/>
        <w:jc w:val="both"/>
        <w:rPr>
          <w:rFonts w:ascii="Book Antiqua" w:eastAsiaTheme="minorHAnsi" w:hAnsi="Book Antiqua"/>
          <w:lang w:eastAsia="en-US"/>
        </w:rPr>
      </w:pPr>
    </w:p>
    <w:p w14:paraId="16AD0420" w14:textId="77777777" w:rsidR="00605311" w:rsidRPr="002B7E87" w:rsidRDefault="00605311" w:rsidP="00605311">
      <w:pPr>
        <w:pStyle w:val="Prrafodelista"/>
        <w:numPr>
          <w:ilvl w:val="0"/>
          <w:numId w:val="2"/>
        </w:numPr>
        <w:autoSpaceDE w:val="0"/>
        <w:autoSpaceDN w:val="0"/>
        <w:adjustRightInd w:val="0"/>
        <w:ind w:left="284"/>
        <w:jc w:val="center"/>
        <w:rPr>
          <w:rFonts w:ascii="Book Antiqua" w:eastAsiaTheme="minorHAnsi" w:hAnsi="Book Antiqua"/>
          <w:b/>
          <w:bCs/>
          <w:lang w:val="es-ES_tradnl" w:eastAsia="en-US"/>
        </w:rPr>
      </w:pPr>
      <w:r w:rsidRPr="002B7E87">
        <w:rPr>
          <w:rFonts w:ascii="Book Antiqua" w:eastAsiaTheme="minorHAnsi" w:hAnsi="Book Antiqua"/>
          <w:b/>
          <w:bCs/>
          <w:lang w:val="es-ES_tradnl" w:eastAsia="en-US"/>
        </w:rPr>
        <w:t xml:space="preserve">PROBLEMA QUE PRETENDE </w:t>
      </w:r>
    </w:p>
    <w:p w14:paraId="06840F0E" w14:textId="77777777" w:rsidR="00605311" w:rsidRPr="002B7E87" w:rsidRDefault="00605311" w:rsidP="00605311">
      <w:pPr>
        <w:pStyle w:val="Prrafodelista"/>
        <w:autoSpaceDE w:val="0"/>
        <w:autoSpaceDN w:val="0"/>
        <w:adjustRightInd w:val="0"/>
        <w:ind w:left="284"/>
        <w:jc w:val="center"/>
        <w:rPr>
          <w:rFonts w:ascii="Book Antiqua" w:eastAsiaTheme="minorHAnsi" w:hAnsi="Book Antiqua"/>
          <w:b/>
          <w:bCs/>
          <w:lang w:val="es-ES_tradnl" w:eastAsia="en-US"/>
        </w:rPr>
      </w:pPr>
      <w:r w:rsidRPr="002B7E87">
        <w:rPr>
          <w:rFonts w:ascii="Book Antiqua" w:eastAsiaTheme="minorHAnsi" w:hAnsi="Book Antiqua"/>
          <w:b/>
          <w:bCs/>
          <w:lang w:val="es-ES_tradnl" w:eastAsia="en-US"/>
        </w:rPr>
        <w:t>SOLUCIONAR</w:t>
      </w:r>
    </w:p>
    <w:p w14:paraId="13422DE2" w14:textId="77777777" w:rsidR="00605311" w:rsidRPr="002B7E87" w:rsidRDefault="00605311" w:rsidP="00605311">
      <w:pPr>
        <w:pStyle w:val="Prrafodelista"/>
        <w:autoSpaceDE w:val="0"/>
        <w:autoSpaceDN w:val="0"/>
        <w:adjustRightInd w:val="0"/>
        <w:ind w:left="284"/>
        <w:jc w:val="center"/>
        <w:rPr>
          <w:rFonts w:ascii="Book Antiqua" w:eastAsiaTheme="minorHAnsi" w:hAnsi="Book Antiqua"/>
          <w:b/>
          <w:bCs/>
          <w:lang w:val="es-ES_tradnl" w:eastAsia="en-US"/>
        </w:rPr>
      </w:pPr>
    </w:p>
    <w:p w14:paraId="7514F272" w14:textId="77777777" w:rsidR="00692993" w:rsidRPr="002B7E87" w:rsidRDefault="00692993" w:rsidP="00692993">
      <w:pPr>
        <w:autoSpaceDE w:val="0"/>
        <w:autoSpaceDN w:val="0"/>
        <w:adjustRightInd w:val="0"/>
        <w:jc w:val="both"/>
        <w:rPr>
          <w:rFonts w:ascii="Book Antiqua" w:eastAsiaTheme="minorHAnsi" w:hAnsi="Book Antiqua"/>
          <w:lang w:eastAsia="en-US"/>
        </w:rPr>
      </w:pPr>
      <w:r w:rsidRPr="002B7E87">
        <w:rPr>
          <w:rFonts w:ascii="Book Antiqua" w:eastAsiaTheme="minorHAnsi" w:hAnsi="Book Antiqua"/>
          <w:lang w:eastAsia="en-US"/>
        </w:rPr>
        <w:t xml:space="preserve">La legislación actual dispone que la autoridad aeronáutica determinará las superficies de despeje y la altura máxima de las construcciones y plantaciones aledañas a donde funcionen los aeródromos civiles y militares, sin consideración alguna al desarrollo de ordenamiento urbanístico de la respectiva entidad territorial. </w:t>
      </w:r>
    </w:p>
    <w:p w14:paraId="2131D2F4" w14:textId="72FDD2E2" w:rsidR="00605311" w:rsidRDefault="00692993" w:rsidP="00692993">
      <w:pPr>
        <w:autoSpaceDE w:val="0"/>
        <w:autoSpaceDN w:val="0"/>
        <w:adjustRightInd w:val="0"/>
        <w:jc w:val="both"/>
        <w:rPr>
          <w:rFonts w:ascii="Book Antiqua" w:eastAsiaTheme="minorHAnsi" w:hAnsi="Book Antiqua"/>
          <w:lang w:eastAsia="en-US"/>
        </w:rPr>
      </w:pPr>
      <w:r w:rsidRPr="002B7E87">
        <w:rPr>
          <w:rFonts w:ascii="Book Antiqua" w:eastAsiaTheme="minorHAnsi" w:hAnsi="Book Antiqua"/>
          <w:lang w:eastAsia="en-US"/>
        </w:rPr>
        <w:t>Lo cual no es solo inconveniente, sino que se torna inconstitucional a la luz del artículo 287 de la Constitución Política que dispone que las entidades territoriales gozan de autonomía para la gestión de sus intereses</w:t>
      </w:r>
      <w:r w:rsidR="00D80AC1">
        <w:rPr>
          <w:rFonts w:ascii="Book Antiqua" w:eastAsiaTheme="minorHAnsi" w:hAnsi="Book Antiqua"/>
          <w:lang w:eastAsia="en-US"/>
        </w:rPr>
        <w:t>.</w:t>
      </w:r>
    </w:p>
    <w:p w14:paraId="0E9010C8" w14:textId="77777777" w:rsidR="00D80AC1" w:rsidRPr="002B7E87" w:rsidRDefault="00D80AC1" w:rsidP="00692993">
      <w:pPr>
        <w:autoSpaceDE w:val="0"/>
        <w:autoSpaceDN w:val="0"/>
        <w:adjustRightInd w:val="0"/>
        <w:jc w:val="both"/>
        <w:rPr>
          <w:rFonts w:ascii="Book Antiqua" w:eastAsiaTheme="minorHAnsi" w:hAnsi="Book Antiqua"/>
          <w:lang w:eastAsia="en-US"/>
        </w:rPr>
      </w:pPr>
    </w:p>
    <w:p w14:paraId="0F7691F1" w14:textId="77777777" w:rsidR="00605311" w:rsidRPr="002B7E87" w:rsidRDefault="00605311" w:rsidP="00605311">
      <w:pPr>
        <w:pStyle w:val="Prrafodelista"/>
        <w:numPr>
          <w:ilvl w:val="0"/>
          <w:numId w:val="2"/>
        </w:numPr>
        <w:autoSpaceDE w:val="0"/>
        <w:autoSpaceDN w:val="0"/>
        <w:adjustRightInd w:val="0"/>
        <w:ind w:left="284"/>
        <w:jc w:val="center"/>
        <w:rPr>
          <w:rFonts w:ascii="Book Antiqua" w:eastAsiaTheme="minorHAnsi" w:hAnsi="Book Antiqua"/>
          <w:b/>
          <w:bCs/>
          <w:lang w:val="es-ES_tradnl" w:eastAsia="en-US"/>
        </w:rPr>
      </w:pPr>
      <w:r w:rsidRPr="002B7E87">
        <w:rPr>
          <w:rFonts w:ascii="Book Antiqua" w:eastAsiaTheme="minorHAnsi" w:hAnsi="Book Antiqua"/>
          <w:b/>
          <w:bCs/>
          <w:lang w:val="es-ES_tradnl" w:eastAsia="en-US"/>
        </w:rPr>
        <w:t>CÓMO SOLUCIONA EL PROBLEMA</w:t>
      </w:r>
    </w:p>
    <w:p w14:paraId="52C97FF9" w14:textId="77777777" w:rsidR="00605311" w:rsidRPr="002B7E87" w:rsidRDefault="00605311" w:rsidP="00605311">
      <w:pPr>
        <w:pStyle w:val="Prrafodelista"/>
        <w:autoSpaceDE w:val="0"/>
        <w:autoSpaceDN w:val="0"/>
        <w:adjustRightInd w:val="0"/>
        <w:ind w:left="284"/>
        <w:rPr>
          <w:rFonts w:ascii="Book Antiqua" w:eastAsiaTheme="minorHAnsi" w:hAnsi="Book Antiqua"/>
          <w:b/>
          <w:bCs/>
          <w:lang w:val="es-ES_tradnl" w:eastAsia="en-US"/>
        </w:rPr>
      </w:pPr>
    </w:p>
    <w:p w14:paraId="42923B88" w14:textId="77620340" w:rsidR="00605311" w:rsidRPr="002B7E87" w:rsidRDefault="00605311" w:rsidP="008D77A0">
      <w:pPr>
        <w:autoSpaceDE w:val="0"/>
        <w:autoSpaceDN w:val="0"/>
        <w:adjustRightInd w:val="0"/>
        <w:jc w:val="both"/>
        <w:rPr>
          <w:rFonts w:ascii="Book Antiqua" w:eastAsiaTheme="minorHAnsi" w:hAnsi="Book Antiqua"/>
          <w:lang w:eastAsia="en-US"/>
        </w:rPr>
      </w:pPr>
      <w:r w:rsidRPr="002B7E87">
        <w:rPr>
          <w:rFonts w:ascii="Book Antiqua" w:eastAsiaTheme="minorHAnsi" w:hAnsi="Book Antiqua"/>
          <w:lang w:eastAsia="en-US"/>
        </w:rPr>
        <w:t xml:space="preserve">El proyecto de ley </w:t>
      </w:r>
      <w:r w:rsidR="008D77A0" w:rsidRPr="002B7E87">
        <w:rPr>
          <w:rFonts w:ascii="Book Antiqua" w:eastAsiaTheme="minorHAnsi" w:hAnsi="Book Antiqua"/>
          <w:lang w:eastAsia="en-US"/>
        </w:rPr>
        <w:t>propone modificar el código de comercio, devolviéndole la facultad de determinar las superficies de despeje y la altura máxima de las construcciones y plantaciones aledañas de los aeropuertos a las entidades territoriales, y obligando a que la determinación de instalación y/o operación de un aeródromo militar en cualquier territorio del país se haga atendiendo a lo dispuesto en la legislación nacional, así como los tratados internacionales ratificados por Colombia, especialmente los que constituyen el derecho internacional humanitario.</w:t>
      </w:r>
    </w:p>
    <w:p w14:paraId="4804F620" w14:textId="77777777" w:rsidR="007948CB" w:rsidRPr="002B7E87" w:rsidRDefault="007948CB" w:rsidP="008D77A0">
      <w:pPr>
        <w:autoSpaceDE w:val="0"/>
        <w:autoSpaceDN w:val="0"/>
        <w:adjustRightInd w:val="0"/>
        <w:jc w:val="both"/>
        <w:rPr>
          <w:rFonts w:ascii="Book Antiqua" w:eastAsiaTheme="minorHAnsi" w:hAnsi="Book Antiqua"/>
          <w:lang w:eastAsia="en-US"/>
        </w:rPr>
      </w:pPr>
    </w:p>
    <w:p w14:paraId="7F02B69B" w14:textId="77777777" w:rsidR="00605311" w:rsidRPr="002B7E87" w:rsidRDefault="00605311" w:rsidP="00605311">
      <w:pPr>
        <w:pStyle w:val="Prrafodelista"/>
        <w:numPr>
          <w:ilvl w:val="0"/>
          <w:numId w:val="2"/>
        </w:numPr>
        <w:autoSpaceDE w:val="0"/>
        <w:autoSpaceDN w:val="0"/>
        <w:adjustRightInd w:val="0"/>
        <w:ind w:left="426" w:hanging="425"/>
        <w:jc w:val="center"/>
        <w:rPr>
          <w:rFonts w:ascii="Book Antiqua" w:eastAsiaTheme="minorHAnsi" w:hAnsi="Book Antiqua"/>
          <w:b/>
          <w:bCs/>
          <w:lang w:val="es-ES_tradnl" w:eastAsia="en-US"/>
        </w:rPr>
      </w:pPr>
      <w:r w:rsidRPr="002B7E87">
        <w:rPr>
          <w:rFonts w:ascii="Book Antiqua" w:eastAsiaTheme="minorHAnsi" w:hAnsi="Book Antiqua"/>
          <w:b/>
          <w:bCs/>
          <w:lang w:val="es-ES_tradnl" w:eastAsia="en-US"/>
        </w:rPr>
        <w:t>JUSTIFICACIÓN DEL PROYECTO</w:t>
      </w:r>
    </w:p>
    <w:p w14:paraId="26244F39" w14:textId="77777777" w:rsidR="00605311" w:rsidRPr="002B7E87" w:rsidRDefault="00605311" w:rsidP="00605311">
      <w:pPr>
        <w:pStyle w:val="Prrafodelista"/>
        <w:autoSpaceDE w:val="0"/>
        <w:autoSpaceDN w:val="0"/>
        <w:adjustRightInd w:val="0"/>
        <w:ind w:left="426"/>
        <w:rPr>
          <w:rFonts w:ascii="Book Antiqua" w:eastAsiaTheme="minorHAnsi" w:hAnsi="Book Antiqua"/>
          <w:b/>
          <w:bCs/>
          <w:lang w:val="es-ES_tradnl" w:eastAsia="en-US"/>
        </w:rPr>
      </w:pPr>
    </w:p>
    <w:p w14:paraId="59FFFB5F" w14:textId="77777777" w:rsidR="00605311" w:rsidRPr="002B7E87" w:rsidRDefault="00605311" w:rsidP="00605311">
      <w:pPr>
        <w:pStyle w:val="Prrafodelista"/>
        <w:numPr>
          <w:ilvl w:val="1"/>
          <w:numId w:val="2"/>
        </w:numPr>
        <w:autoSpaceDE w:val="0"/>
        <w:autoSpaceDN w:val="0"/>
        <w:adjustRightInd w:val="0"/>
        <w:ind w:left="426" w:hanging="425"/>
        <w:jc w:val="both"/>
        <w:rPr>
          <w:rFonts w:ascii="Book Antiqua" w:eastAsiaTheme="minorHAnsi" w:hAnsi="Book Antiqua"/>
          <w:b/>
          <w:bCs/>
          <w:lang w:val="es-ES_tradnl" w:eastAsia="en-US"/>
        </w:rPr>
      </w:pPr>
      <w:r w:rsidRPr="002B7E87">
        <w:rPr>
          <w:rFonts w:ascii="Book Antiqua" w:eastAsiaTheme="minorHAnsi" w:hAnsi="Book Antiqua"/>
          <w:b/>
          <w:bCs/>
          <w:lang w:val="es-ES_tradnl" w:eastAsia="en-US"/>
        </w:rPr>
        <w:t>Problemática actual</w:t>
      </w:r>
    </w:p>
    <w:p w14:paraId="3B15A8A4" w14:textId="4F1B449D" w:rsidR="00516028" w:rsidRPr="002B7E87" w:rsidRDefault="00A129B1" w:rsidP="00516028">
      <w:pPr>
        <w:keepNext/>
        <w:jc w:val="both"/>
        <w:rPr>
          <w:rFonts w:ascii="Book Antiqua" w:eastAsiaTheme="minorHAnsi" w:hAnsi="Book Antiqua"/>
          <w:lang w:eastAsia="en-US"/>
        </w:rPr>
      </w:pPr>
      <w:r w:rsidRPr="002B7E87">
        <w:rPr>
          <w:rFonts w:ascii="Book Antiqua" w:eastAsiaTheme="minorHAnsi" w:hAnsi="Book Antiqua"/>
          <w:lang w:eastAsia="en-US"/>
        </w:rPr>
        <w:lastRenderedPageBreak/>
        <w:t>Dentro de l</w:t>
      </w:r>
      <w:r w:rsidR="001E248F" w:rsidRPr="002B7E87">
        <w:rPr>
          <w:rFonts w:ascii="Book Antiqua" w:eastAsiaTheme="minorHAnsi" w:hAnsi="Book Antiqua"/>
          <w:lang w:eastAsia="en-US"/>
        </w:rPr>
        <w:t>a base aérea Marco Fide</w:t>
      </w:r>
      <w:r w:rsidR="00207CE3" w:rsidRPr="002B7E87">
        <w:rPr>
          <w:rFonts w:ascii="Book Antiqua" w:eastAsiaTheme="minorHAnsi" w:hAnsi="Book Antiqua"/>
          <w:lang w:eastAsia="en-US"/>
        </w:rPr>
        <w:t>l</w:t>
      </w:r>
      <w:r w:rsidR="001E248F" w:rsidRPr="002B7E87">
        <w:rPr>
          <w:rFonts w:ascii="Book Antiqua" w:eastAsiaTheme="minorHAnsi" w:hAnsi="Book Antiqua"/>
          <w:lang w:eastAsia="en-US"/>
        </w:rPr>
        <w:t xml:space="preserve"> Suárez</w:t>
      </w:r>
      <w:r w:rsidR="00207CE3" w:rsidRPr="002B7E87">
        <w:rPr>
          <w:rFonts w:ascii="Book Antiqua" w:eastAsiaTheme="minorHAnsi" w:hAnsi="Book Antiqua"/>
          <w:lang w:eastAsia="en-US"/>
        </w:rPr>
        <w:t xml:space="preserve"> y la escuela de aviación que lleva el mismo nombre,</w:t>
      </w:r>
      <w:r w:rsidR="001E248F" w:rsidRPr="002B7E87">
        <w:rPr>
          <w:rFonts w:ascii="Book Antiqua" w:eastAsiaTheme="minorHAnsi" w:hAnsi="Book Antiqua"/>
          <w:lang w:eastAsia="en-US"/>
        </w:rPr>
        <w:t xml:space="preserve"> a partir del</w:t>
      </w:r>
      <w:r w:rsidR="00717127" w:rsidRPr="002B7E87">
        <w:rPr>
          <w:rFonts w:ascii="Book Antiqua" w:eastAsiaTheme="minorHAnsi" w:hAnsi="Book Antiqua"/>
          <w:lang w:eastAsia="en-US"/>
        </w:rPr>
        <w:t xml:space="preserve"> 2013</w:t>
      </w:r>
      <w:r w:rsidRPr="002B7E87">
        <w:rPr>
          <w:rFonts w:ascii="Book Antiqua" w:eastAsiaTheme="minorHAnsi" w:hAnsi="Book Antiqua"/>
          <w:lang w:eastAsia="en-US"/>
        </w:rPr>
        <w:t>,</w:t>
      </w:r>
      <w:r w:rsidR="00717127" w:rsidRPr="002B7E87">
        <w:rPr>
          <w:rFonts w:ascii="Book Antiqua" w:eastAsiaTheme="minorHAnsi" w:hAnsi="Book Antiqua"/>
          <w:lang w:eastAsia="en-US"/>
        </w:rPr>
        <w:t xml:space="preserve"> se instauró</w:t>
      </w:r>
      <w:r w:rsidR="009F150A" w:rsidRPr="002B7E87">
        <w:rPr>
          <w:rFonts w:ascii="Book Antiqua" w:eastAsiaTheme="minorHAnsi" w:hAnsi="Book Antiqua"/>
          <w:lang w:eastAsia="en-US"/>
        </w:rPr>
        <w:t xml:space="preserve"> el </w:t>
      </w:r>
      <w:r w:rsidR="00717127" w:rsidRPr="002B7E87">
        <w:rPr>
          <w:rFonts w:ascii="Book Antiqua" w:eastAsiaTheme="minorHAnsi" w:hAnsi="Book Antiqua"/>
          <w:lang w:eastAsia="en-US"/>
        </w:rPr>
        <w:t>comando de combate</w:t>
      </w:r>
      <w:r w:rsidR="009F150A" w:rsidRPr="002B7E87">
        <w:rPr>
          <w:rFonts w:ascii="Book Antiqua" w:eastAsiaTheme="minorHAnsi" w:hAnsi="Book Antiqua"/>
          <w:lang w:eastAsia="en-US"/>
        </w:rPr>
        <w:t xml:space="preserve"> </w:t>
      </w:r>
      <w:r w:rsidR="00717127" w:rsidRPr="002B7E87">
        <w:rPr>
          <w:rFonts w:ascii="Book Antiqua" w:eastAsiaTheme="minorHAnsi" w:hAnsi="Book Antiqua"/>
          <w:lang w:eastAsia="en-US"/>
        </w:rPr>
        <w:t xml:space="preserve">No. 7. Esto tuvo </w:t>
      </w:r>
      <w:r w:rsidR="009F150A" w:rsidRPr="002B7E87">
        <w:rPr>
          <w:rFonts w:ascii="Book Antiqua" w:eastAsiaTheme="minorHAnsi" w:hAnsi="Book Antiqua"/>
          <w:lang w:eastAsia="en-US"/>
        </w:rPr>
        <w:t>consecuencias</w:t>
      </w:r>
      <w:r w:rsidR="00717127" w:rsidRPr="002B7E87">
        <w:rPr>
          <w:rFonts w:ascii="Book Antiqua" w:eastAsiaTheme="minorHAnsi" w:hAnsi="Book Antiqua"/>
          <w:lang w:eastAsia="en-US"/>
        </w:rPr>
        <w:t xml:space="preserve"> en la forma en que Cali se organiza y planea su ordenamiento territorial</w:t>
      </w:r>
      <w:r w:rsidR="009F150A" w:rsidRPr="002B7E87">
        <w:rPr>
          <w:rFonts w:ascii="Book Antiqua" w:eastAsiaTheme="minorHAnsi" w:hAnsi="Book Antiqua"/>
          <w:lang w:eastAsia="en-US"/>
        </w:rPr>
        <w:t xml:space="preserve"> toda vez que</w:t>
      </w:r>
      <w:r w:rsidR="001F777F" w:rsidRPr="002B7E87">
        <w:rPr>
          <w:rFonts w:ascii="Book Antiqua" w:eastAsiaTheme="minorHAnsi" w:hAnsi="Book Antiqua"/>
          <w:lang w:eastAsia="en-US"/>
        </w:rPr>
        <w:t>,</w:t>
      </w:r>
      <w:r w:rsidR="00717127" w:rsidRPr="002B7E87">
        <w:rPr>
          <w:rFonts w:ascii="Book Antiqua" w:eastAsiaTheme="minorHAnsi" w:hAnsi="Book Antiqua"/>
          <w:lang w:eastAsia="en-US"/>
        </w:rPr>
        <w:t xml:space="preserve"> gracias a la influencia del comando de combate, el área de influencia de la base militar abarca, según los datos de la Alcaldía de Cali (2019) casi el 62% del área urbana de </w:t>
      </w:r>
      <w:r w:rsidR="00AF67F1" w:rsidRPr="002B7E87">
        <w:rPr>
          <w:rFonts w:ascii="Book Antiqua" w:eastAsiaTheme="minorHAnsi" w:hAnsi="Book Antiqua"/>
          <w:lang w:eastAsia="en-US"/>
        </w:rPr>
        <w:t>la ciudad</w:t>
      </w:r>
      <w:r w:rsidR="00717127" w:rsidRPr="002B7E87">
        <w:rPr>
          <w:rFonts w:ascii="Book Antiqua" w:eastAsiaTheme="minorHAnsi" w:hAnsi="Book Antiqua"/>
          <w:lang w:eastAsia="en-US"/>
        </w:rPr>
        <w:t>, como se muestra a continuación:</w:t>
      </w:r>
      <w:r w:rsidR="00E27401" w:rsidRPr="002B7E87">
        <w:rPr>
          <w:rFonts w:ascii="Book Antiqua" w:eastAsiaTheme="minorHAnsi" w:hAnsi="Book Antiqua"/>
          <w:lang w:eastAsia="en-US"/>
        </w:rPr>
        <w:t xml:space="preserve"> </w:t>
      </w:r>
    </w:p>
    <w:p w14:paraId="3C2051B0" w14:textId="3CAC5A6C" w:rsidR="008723E5" w:rsidRPr="002B7E87" w:rsidRDefault="00E27401" w:rsidP="00516028">
      <w:pPr>
        <w:keepNext/>
        <w:jc w:val="center"/>
        <w:rPr>
          <w:rFonts w:ascii="Book Antiqua" w:hAnsi="Book Antiqua"/>
        </w:rPr>
      </w:pPr>
      <w:r w:rsidRPr="002B7E87">
        <w:rPr>
          <w:rFonts w:ascii="Book Antiqua" w:hAnsi="Book Antiqua"/>
          <w:noProof/>
        </w:rPr>
        <w:drawing>
          <wp:inline distT="0" distB="0" distL="0" distR="0" wp14:anchorId="29E89FB9" wp14:editId="32EAF9FE">
            <wp:extent cx="2948940" cy="5048250"/>
            <wp:effectExtent l="0" t="0" r="3810" b="0"/>
            <wp:docPr id="3" name="Imagen 3" descr="Resultado de imagen de escuela + base aerea area de influencia en cali"/>
            <wp:cNvGraphicFramePr/>
            <a:graphic xmlns:a="http://schemas.openxmlformats.org/drawingml/2006/main">
              <a:graphicData uri="http://schemas.openxmlformats.org/drawingml/2006/picture">
                <pic:pic xmlns:pic="http://schemas.openxmlformats.org/drawingml/2006/picture">
                  <pic:nvPicPr>
                    <pic:cNvPr id="3" name="Imagen 3" descr="Resultado de imagen de escuela + base aerea area de influencia en cali"/>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5048250"/>
                    </a:xfrm>
                    <a:prstGeom prst="rect">
                      <a:avLst/>
                    </a:prstGeom>
                    <a:noFill/>
                    <a:ln>
                      <a:noFill/>
                    </a:ln>
                  </pic:spPr>
                </pic:pic>
              </a:graphicData>
            </a:graphic>
          </wp:inline>
        </w:drawing>
      </w:r>
    </w:p>
    <w:p w14:paraId="1013EEEC" w14:textId="6DB94BA2" w:rsidR="00605311" w:rsidRPr="002B7E87" w:rsidRDefault="008723E5" w:rsidP="008723E5">
      <w:pPr>
        <w:pStyle w:val="Descripcin"/>
        <w:jc w:val="center"/>
        <w:rPr>
          <w:rFonts w:ascii="Book Antiqua" w:eastAsiaTheme="minorHAnsi" w:hAnsi="Book Antiqua"/>
          <w:sz w:val="24"/>
          <w:szCs w:val="24"/>
          <w:lang w:eastAsia="en-US"/>
        </w:rPr>
      </w:pPr>
      <w:r w:rsidRPr="002B7E87">
        <w:rPr>
          <w:rFonts w:ascii="Book Antiqua" w:hAnsi="Book Antiqua"/>
          <w:sz w:val="24"/>
          <w:szCs w:val="24"/>
        </w:rPr>
        <w:t xml:space="preserve">Ilustración </w:t>
      </w:r>
      <w:r w:rsidRPr="002B7E87">
        <w:rPr>
          <w:rFonts w:ascii="Book Antiqua" w:hAnsi="Book Antiqua"/>
          <w:sz w:val="24"/>
          <w:szCs w:val="24"/>
        </w:rPr>
        <w:fldChar w:fldCharType="begin"/>
      </w:r>
      <w:r w:rsidRPr="002B7E87">
        <w:rPr>
          <w:rFonts w:ascii="Book Antiqua" w:hAnsi="Book Antiqua"/>
          <w:sz w:val="24"/>
          <w:szCs w:val="24"/>
        </w:rPr>
        <w:instrText xml:space="preserve"> SEQ Ilustración \* ARABIC </w:instrText>
      </w:r>
      <w:r w:rsidRPr="002B7E87">
        <w:rPr>
          <w:rFonts w:ascii="Book Antiqua" w:hAnsi="Book Antiqua"/>
          <w:sz w:val="24"/>
          <w:szCs w:val="24"/>
        </w:rPr>
        <w:fldChar w:fldCharType="separate"/>
      </w:r>
      <w:r w:rsidRPr="002B7E87">
        <w:rPr>
          <w:rFonts w:ascii="Book Antiqua" w:hAnsi="Book Antiqua"/>
          <w:noProof/>
          <w:sz w:val="24"/>
          <w:szCs w:val="24"/>
        </w:rPr>
        <w:t>1</w:t>
      </w:r>
      <w:r w:rsidRPr="002B7E87">
        <w:rPr>
          <w:rFonts w:ascii="Book Antiqua" w:hAnsi="Book Antiqua"/>
          <w:sz w:val="24"/>
          <w:szCs w:val="24"/>
        </w:rPr>
        <w:fldChar w:fldCharType="end"/>
      </w:r>
      <w:r w:rsidRPr="002B7E87">
        <w:rPr>
          <w:rFonts w:ascii="Book Antiqua" w:hAnsi="Book Antiqua"/>
          <w:sz w:val="24"/>
          <w:szCs w:val="24"/>
        </w:rPr>
        <w:t xml:space="preserve"> Tomado de El País Cali, 8 de septiembre de 2019.</w:t>
      </w:r>
    </w:p>
    <w:p w14:paraId="565F299D" w14:textId="36DCAFFE" w:rsidR="000B5805" w:rsidRPr="002B7E87" w:rsidRDefault="000B5805" w:rsidP="000B5805">
      <w:pPr>
        <w:jc w:val="both"/>
        <w:rPr>
          <w:rFonts w:ascii="Book Antiqua" w:eastAsiaTheme="minorHAnsi" w:hAnsi="Book Antiqua"/>
        </w:rPr>
      </w:pPr>
      <w:r w:rsidRPr="002B7E87">
        <w:rPr>
          <w:rFonts w:ascii="Book Antiqua" w:hAnsi="Book Antiqua"/>
        </w:rPr>
        <w:t>Esto significa, conforme al ordenamiento jurídico colombiano</w:t>
      </w:r>
      <w:r w:rsidRPr="002B7E87">
        <w:rPr>
          <w:rStyle w:val="Refdenotaalpie"/>
          <w:rFonts w:ascii="Book Antiqua" w:hAnsi="Book Antiqua"/>
        </w:rPr>
        <w:footnoteReference w:id="1"/>
      </w:r>
      <w:r w:rsidRPr="002B7E87">
        <w:rPr>
          <w:rFonts w:ascii="Book Antiqua" w:hAnsi="Book Antiqua"/>
        </w:rPr>
        <w:t xml:space="preserve"> que cada que se pretenda otorgar una licencia de construcción dentro de esa área de influencia se </w:t>
      </w:r>
      <w:r w:rsidRPr="002B7E87">
        <w:rPr>
          <w:rFonts w:ascii="Book Antiqua" w:hAnsi="Book Antiqua"/>
        </w:rPr>
        <w:lastRenderedPageBreak/>
        <w:t>deba contar un el concepto/ permiso de la Fuerza Aérea Colombiana, quienes, con el argumento de salvaguardar la seguridad de la operación, emiten estudios técnicos de evaluación de obstáculos. Para agosto de 2019, según el comunicado de la Fuerza Aérea Colombiana del 4 de agosto de 2019, se habían expedido hasta ese momento 502 conceptos para evaluar las construcciones de altu</w:t>
      </w:r>
      <w:r w:rsidR="002D665D" w:rsidRPr="002B7E87">
        <w:rPr>
          <w:rFonts w:ascii="Book Antiqua" w:hAnsi="Book Antiqua"/>
        </w:rPr>
        <w:t>r</w:t>
      </w:r>
      <w:r w:rsidRPr="002B7E87">
        <w:rPr>
          <w:rFonts w:ascii="Book Antiqua" w:hAnsi="Book Antiqua"/>
        </w:rPr>
        <w:t>a</w:t>
      </w:r>
      <w:r w:rsidR="002D665D" w:rsidRPr="002B7E87">
        <w:rPr>
          <w:rFonts w:ascii="Book Antiqua" w:hAnsi="Book Antiqua"/>
        </w:rPr>
        <w:t xml:space="preserve"> (</w:t>
      </w:r>
      <w:r w:rsidR="002D665D" w:rsidRPr="002B7E87">
        <w:rPr>
          <w:rFonts w:ascii="Book Antiqua" w:hAnsi="Book Antiqua"/>
          <w:noProof/>
          <w:lang w:val="es-ES"/>
        </w:rPr>
        <w:t>Fuerza Aérea Colombiana, 2019)</w:t>
      </w:r>
      <w:r w:rsidRPr="002B7E87">
        <w:rPr>
          <w:rFonts w:ascii="Book Antiqua" w:hAnsi="Book Antiqua"/>
        </w:rPr>
        <w:t xml:space="preserve">.  Este estudio técnico tiene un valor de $414.058 pesos colombianos, como se puede verificar en la página web de SUIT. </w:t>
      </w:r>
    </w:p>
    <w:p w14:paraId="1BCC5EC1" w14:textId="77777777" w:rsidR="000B5805" w:rsidRPr="002B7E87" w:rsidRDefault="000B5805" w:rsidP="000B5805">
      <w:pPr>
        <w:jc w:val="both"/>
        <w:rPr>
          <w:rFonts w:ascii="Book Antiqua" w:hAnsi="Book Antiqua"/>
        </w:rPr>
      </w:pPr>
    </w:p>
    <w:p w14:paraId="0BD2ABF0" w14:textId="47E072B1" w:rsidR="00B04B60" w:rsidRPr="00D80AC1" w:rsidRDefault="000B5805" w:rsidP="00605311">
      <w:pPr>
        <w:jc w:val="both"/>
        <w:rPr>
          <w:rFonts w:ascii="Book Antiqua" w:eastAsia="Arial" w:hAnsi="Book Antiqua"/>
          <w:lang w:eastAsia="es-CO"/>
        </w:rPr>
      </w:pPr>
      <w:r w:rsidRPr="002B7E87">
        <w:rPr>
          <w:rFonts w:ascii="Book Antiqua" w:hAnsi="Book Antiqua"/>
        </w:rPr>
        <w:t>Resulta evidente que la presencia de este comando de combate afecta de manera directa la autonomía territorial de Cali y pone enormes dificultades para la planeación a futuro de la ciudad, y su desarrollo económico, social y cultural. Sin contar con la posible violación del DIH.</w:t>
      </w:r>
    </w:p>
    <w:p w14:paraId="190C6257" w14:textId="77777777" w:rsidR="00717127" w:rsidRPr="002B7E87" w:rsidRDefault="00717127" w:rsidP="00605311">
      <w:pPr>
        <w:jc w:val="both"/>
        <w:rPr>
          <w:rFonts w:ascii="Book Antiqua" w:eastAsiaTheme="minorHAnsi" w:hAnsi="Book Antiqua"/>
          <w:lang w:eastAsia="en-US"/>
        </w:rPr>
      </w:pPr>
    </w:p>
    <w:p w14:paraId="0863FDA9" w14:textId="36C3DC35" w:rsidR="00605311" w:rsidRPr="002B7E87" w:rsidRDefault="00D61498" w:rsidP="007D2140">
      <w:pPr>
        <w:pStyle w:val="Prrafodelista"/>
        <w:numPr>
          <w:ilvl w:val="2"/>
          <w:numId w:val="2"/>
        </w:numPr>
        <w:autoSpaceDE w:val="0"/>
        <w:autoSpaceDN w:val="0"/>
        <w:adjustRightInd w:val="0"/>
        <w:jc w:val="both"/>
        <w:rPr>
          <w:rFonts w:ascii="Book Antiqua" w:eastAsiaTheme="minorHAnsi" w:hAnsi="Book Antiqua"/>
          <w:b/>
          <w:bCs/>
          <w:lang w:eastAsia="en-US"/>
        </w:rPr>
      </w:pPr>
      <w:r w:rsidRPr="002B7E87">
        <w:rPr>
          <w:rFonts w:ascii="Book Antiqua" w:eastAsiaTheme="minorHAnsi" w:hAnsi="Book Antiqua"/>
          <w:b/>
          <w:bCs/>
          <w:lang w:eastAsia="en-US"/>
        </w:rPr>
        <w:t>La acción popular de la FAC</w:t>
      </w:r>
    </w:p>
    <w:p w14:paraId="382C9830" w14:textId="77777777" w:rsidR="002C7E63" w:rsidRPr="002B7E87" w:rsidRDefault="00605311" w:rsidP="002C7E63">
      <w:pPr>
        <w:autoSpaceDE w:val="0"/>
        <w:autoSpaceDN w:val="0"/>
        <w:adjustRightInd w:val="0"/>
        <w:jc w:val="both"/>
        <w:rPr>
          <w:rFonts w:ascii="Book Antiqua" w:eastAsiaTheme="minorHAnsi" w:hAnsi="Book Antiqua"/>
          <w:lang w:eastAsia="en-US"/>
        </w:rPr>
      </w:pPr>
      <w:r w:rsidRPr="002B7E87">
        <w:rPr>
          <w:rFonts w:ascii="Book Antiqua" w:eastAsiaTheme="minorHAnsi" w:hAnsi="Book Antiqua"/>
          <w:lang w:eastAsia="en-US"/>
        </w:rPr>
        <w:t xml:space="preserve"> </w:t>
      </w:r>
    </w:p>
    <w:p w14:paraId="657ADFEA" w14:textId="20101611" w:rsidR="00605311" w:rsidRPr="002B7E87" w:rsidRDefault="002C7E63" w:rsidP="002C7E63">
      <w:pPr>
        <w:autoSpaceDE w:val="0"/>
        <w:autoSpaceDN w:val="0"/>
        <w:adjustRightInd w:val="0"/>
        <w:jc w:val="both"/>
        <w:rPr>
          <w:rFonts w:ascii="Book Antiqua" w:eastAsiaTheme="minorHAnsi" w:hAnsi="Book Antiqua"/>
          <w:lang w:eastAsia="en-US"/>
        </w:rPr>
      </w:pPr>
      <w:r w:rsidRPr="002B7E87">
        <w:rPr>
          <w:rFonts w:ascii="Book Antiqua" w:eastAsiaTheme="minorHAnsi" w:hAnsi="Book Antiqua"/>
          <w:lang w:eastAsia="en-US"/>
        </w:rPr>
        <w:t>En el año 2019, la Fuerza Aérea Colombiana interpuso una acción popular en contra del municipio de Santiago de Cali, por haber otorgado licencias de construcción para el desarrollo de proyectos de vivienda, sin contar con el concepto técnico por parte de esta entidad. El argumento principal de mencionada acción fue que los limites de obstáculos para la operación de la base aérea Marco Fidel Suarez fueron modificados por el Acuerdo No.  0373 de 2014 del Plan de Ordenamiento Territorial de Cali, norma que eliminó estas superficies en el sentido de reducirlas a un óvalo con forma de hipódromo alrededor del eje de la pista a 500 metros que no obedece a ningún criterio técnico ni normativo de aviación, ni de aeronáutica  establecido  por la organización  de  Aviación   Civil   Internacional   OACI y que a  la  fecha, esa modificación  está  generando  un  riesgo  en  la  ejecución  de  las  operaciones militares  aéreas,  toda  vez que en atención  a  la  modificación  del  POT-2014  se está  otorgando  permisos de construcción  que afectan  gravemente  el  espacio aéreo de esta base (Acción popular, 2019).</w:t>
      </w:r>
    </w:p>
    <w:p w14:paraId="242B552E" w14:textId="77777777" w:rsidR="003E1930" w:rsidRPr="002B7E87" w:rsidRDefault="003E1930" w:rsidP="002C7E63">
      <w:pPr>
        <w:autoSpaceDE w:val="0"/>
        <w:autoSpaceDN w:val="0"/>
        <w:adjustRightInd w:val="0"/>
        <w:jc w:val="both"/>
        <w:rPr>
          <w:rFonts w:ascii="Book Antiqua" w:eastAsiaTheme="minorHAnsi" w:hAnsi="Book Antiqua"/>
          <w:lang w:eastAsia="en-US"/>
        </w:rPr>
      </w:pPr>
    </w:p>
    <w:p w14:paraId="2CE7A391" w14:textId="6CB0340F" w:rsidR="003E1930" w:rsidRPr="002B7E87" w:rsidRDefault="003E1930" w:rsidP="003E1930">
      <w:pPr>
        <w:autoSpaceDE w:val="0"/>
        <w:autoSpaceDN w:val="0"/>
        <w:adjustRightInd w:val="0"/>
        <w:jc w:val="both"/>
        <w:rPr>
          <w:rFonts w:ascii="Book Antiqua" w:eastAsiaTheme="minorHAnsi" w:hAnsi="Book Antiqua"/>
          <w:lang w:eastAsia="en-US"/>
        </w:rPr>
      </w:pPr>
      <w:r w:rsidRPr="002B7E87">
        <w:rPr>
          <w:rFonts w:ascii="Book Antiqua" w:eastAsiaTheme="minorHAnsi" w:hAnsi="Book Antiqua"/>
          <w:lang w:eastAsia="en-US"/>
        </w:rPr>
        <w:t xml:space="preserve">En el desarrollo del proceso se concedió medida cautelar solicitada en la acción popular de la Fuerza Aérea Colombiana, y ordenó la suspensión provisional de las dos licencias de construcción expedidas por el curador No. 02  así como aquellas licencias de construcción que han sido otorgadas para levantar edificaciones de más de doce (12) metros de altura sobre el </w:t>
      </w:r>
      <w:r w:rsidR="00945AFD" w:rsidRPr="002B7E87">
        <w:rPr>
          <w:rFonts w:ascii="Book Antiqua" w:eastAsiaTheme="minorHAnsi" w:hAnsi="Book Antiqua"/>
          <w:lang w:eastAsia="en-US"/>
        </w:rPr>
        <w:t>área</w:t>
      </w:r>
      <w:r w:rsidRPr="002B7E87">
        <w:rPr>
          <w:rFonts w:ascii="Book Antiqua" w:eastAsiaTheme="minorHAnsi" w:hAnsi="Book Antiqua"/>
          <w:lang w:eastAsia="en-US"/>
        </w:rPr>
        <w:t xml:space="preserve"> de influencia de la base aérea, la cual se encuentra comprendida en un radio de acción de 4 kilómetros a partir de cualquier límite de la pista, y que no cuenten con el concepto técnico de evacuación de obstáculos para las construcciones en las inmediaciones de los aeródromos y </w:t>
      </w:r>
      <w:r w:rsidRPr="002B7E87">
        <w:rPr>
          <w:rFonts w:ascii="Book Antiqua" w:eastAsiaTheme="minorHAnsi" w:hAnsi="Book Antiqua"/>
          <w:lang w:eastAsia="en-US"/>
        </w:rPr>
        <w:lastRenderedPageBreak/>
        <w:t xml:space="preserve">helipuertos de la fuerza pública , expedido por la autoridad aeronáutica competente (Acción popular, 2019). </w:t>
      </w:r>
    </w:p>
    <w:p w14:paraId="4D7AB3D6" w14:textId="77777777" w:rsidR="003E1930" w:rsidRPr="002B7E87" w:rsidRDefault="003E1930" w:rsidP="003E1930">
      <w:pPr>
        <w:autoSpaceDE w:val="0"/>
        <w:autoSpaceDN w:val="0"/>
        <w:adjustRightInd w:val="0"/>
        <w:jc w:val="both"/>
        <w:rPr>
          <w:rFonts w:ascii="Book Antiqua" w:eastAsiaTheme="minorHAnsi" w:hAnsi="Book Antiqua"/>
          <w:lang w:eastAsia="en-US"/>
        </w:rPr>
      </w:pPr>
    </w:p>
    <w:p w14:paraId="3E61D84D" w14:textId="0036B96A" w:rsidR="00605311" w:rsidRPr="002B7E87" w:rsidRDefault="003E1930" w:rsidP="00605311">
      <w:pPr>
        <w:autoSpaceDE w:val="0"/>
        <w:autoSpaceDN w:val="0"/>
        <w:adjustRightInd w:val="0"/>
        <w:jc w:val="both"/>
        <w:rPr>
          <w:rFonts w:ascii="Book Antiqua" w:eastAsiaTheme="minorHAnsi" w:hAnsi="Book Antiqua"/>
          <w:lang w:eastAsia="en-US"/>
        </w:rPr>
      </w:pPr>
      <w:r w:rsidRPr="002B7E87">
        <w:rPr>
          <w:rFonts w:ascii="Book Antiqua" w:eastAsiaTheme="minorHAnsi" w:hAnsi="Book Antiqua"/>
          <w:lang w:eastAsia="en-US"/>
        </w:rPr>
        <w:t>Los fundamentos jurídicos de esta decisión fueron el convenio de Chicago; el Código de Comercio Art. 1823 y 1824; la Resolución No 1092 / 2007; el Reglamento Aeronáutico Colombiano 14; el Anexo 14 OACI; la Ley 388 /1997 – Planes de Ordenamiento Territorial, Art. 10 – numeral 3, que habla sobre aeropuertos y ordenamiento en sus áreas de influencia; el Decreto 2397/2010, entre otros. Se estima</w:t>
      </w:r>
      <w:r w:rsidR="00D80AC1">
        <w:rPr>
          <w:rFonts w:ascii="Book Antiqua" w:eastAsiaTheme="minorHAnsi" w:hAnsi="Book Antiqua"/>
          <w:lang w:eastAsia="en-US"/>
        </w:rPr>
        <w:t>, según el concejo de la ciudad,</w:t>
      </w:r>
      <w:r w:rsidRPr="002B7E87">
        <w:rPr>
          <w:rFonts w:ascii="Book Antiqua" w:eastAsiaTheme="minorHAnsi" w:hAnsi="Book Antiqua"/>
          <w:lang w:eastAsia="en-US"/>
        </w:rPr>
        <w:t xml:space="preserve"> que esta decisión ha retenido o suspendido 5.817 licencias de construcción hasta el momento (Concejo de Santiago de Cali, 2020).</w:t>
      </w:r>
    </w:p>
    <w:p w14:paraId="6E0ACE81" w14:textId="77777777" w:rsidR="00605311" w:rsidRPr="002B7E87" w:rsidRDefault="00605311" w:rsidP="00605311">
      <w:pPr>
        <w:autoSpaceDE w:val="0"/>
        <w:autoSpaceDN w:val="0"/>
        <w:adjustRightInd w:val="0"/>
        <w:jc w:val="both"/>
        <w:rPr>
          <w:rFonts w:ascii="Book Antiqua" w:eastAsiaTheme="minorHAnsi" w:hAnsi="Book Antiqua"/>
          <w:b/>
          <w:bCs/>
          <w:lang w:eastAsia="en-US"/>
        </w:rPr>
      </w:pPr>
    </w:p>
    <w:p w14:paraId="0AD6241D" w14:textId="5DDE031D" w:rsidR="003459F7" w:rsidRPr="002B7E87" w:rsidRDefault="002D151C" w:rsidP="003459F7">
      <w:pPr>
        <w:pStyle w:val="Prrafodelista"/>
        <w:numPr>
          <w:ilvl w:val="0"/>
          <w:numId w:val="2"/>
        </w:numPr>
        <w:autoSpaceDE w:val="0"/>
        <w:autoSpaceDN w:val="0"/>
        <w:adjustRightInd w:val="0"/>
        <w:ind w:left="284"/>
        <w:jc w:val="center"/>
        <w:rPr>
          <w:rFonts w:ascii="Book Antiqua" w:eastAsiaTheme="minorHAnsi" w:hAnsi="Book Antiqua"/>
          <w:lang w:val="es-ES_tradnl" w:eastAsia="en-US"/>
        </w:rPr>
      </w:pPr>
      <w:r w:rsidRPr="002B7E87">
        <w:rPr>
          <w:rFonts w:ascii="Book Antiqua" w:eastAsiaTheme="minorHAnsi" w:hAnsi="Book Antiqua"/>
          <w:b/>
          <w:bCs/>
          <w:lang w:val="es-ES_tradnl" w:eastAsia="en-US"/>
        </w:rPr>
        <w:t>ANALISIS JURIDICO</w:t>
      </w:r>
    </w:p>
    <w:p w14:paraId="292A4E2C" w14:textId="77777777" w:rsidR="000D7856" w:rsidRPr="002B7E87" w:rsidRDefault="000D7856" w:rsidP="000D7856">
      <w:pPr>
        <w:pStyle w:val="Prrafodelista"/>
        <w:autoSpaceDE w:val="0"/>
        <w:autoSpaceDN w:val="0"/>
        <w:adjustRightInd w:val="0"/>
        <w:ind w:left="284"/>
        <w:rPr>
          <w:rFonts w:ascii="Book Antiqua" w:eastAsiaTheme="minorHAnsi" w:hAnsi="Book Antiqua"/>
          <w:lang w:val="es-ES_tradnl" w:eastAsia="en-US"/>
        </w:rPr>
      </w:pPr>
    </w:p>
    <w:p w14:paraId="78A9E48C" w14:textId="1B25DFBF" w:rsidR="003459F7" w:rsidRPr="002B7E87" w:rsidRDefault="003459F7" w:rsidP="00700938">
      <w:pPr>
        <w:pStyle w:val="Prrafodelista"/>
        <w:numPr>
          <w:ilvl w:val="1"/>
          <w:numId w:val="23"/>
        </w:numPr>
        <w:autoSpaceDE w:val="0"/>
        <w:autoSpaceDN w:val="0"/>
        <w:adjustRightInd w:val="0"/>
        <w:rPr>
          <w:rFonts w:ascii="Book Antiqua" w:eastAsiaTheme="minorHAnsi" w:hAnsi="Book Antiqua"/>
          <w:lang w:val="es-ES_tradnl" w:eastAsia="en-US"/>
        </w:rPr>
      </w:pPr>
      <w:r w:rsidRPr="002B7E87">
        <w:rPr>
          <w:rFonts w:ascii="Book Antiqua" w:hAnsi="Book Antiqua"/>
          <w:b/>
          <w:bCs/>
        </w:rPr>
        <w:t xml:space="preserve">Constitución Política de Colombia </w:t>
      </w:r>
    </w:p>
    <w:p w14:paraId="451CF01E" w14:textId="4DA02BD9" w:rsidR="003459F7" w:rsidRPr="002B7E87" w:rsidRDefault="00E71BD3" w:rsidP="003459F7">
      <w:pPr>
        <w:spacing w:before="100" w:beforeAutospacing="1" w:after="100" w:afterAutospacing="1"/>
        <w:jc w:val="both"/>
        <w:rPr>
          <w:rFonts w:ascii="Book Antiqua" w:hAnsi="Book Antiqua"/>
          <w:bCs/>
        </w:rPr>
      </w:pPr>
      <w:r w:rsidRPr="002B7E87">
        <w:rPr>
          <w:rFonts w:ascii="Book Antiqua" w:hAnsi="Book Antiqua"/>
          <w:bCs/>
        </w:rPr>
        <w:t>U</w:t>
      </w:r>
      <w:r w:rsidR="003459F7" w:rsidRPr="002B7E87">
        <w:rPr>
          <w:rFonts w:ascii="Book Antiqua" w:hAnsi="Book Antiqua"/>
          <w:bCs/>
        </w:rPr>
        <w:t xml:space="preserve">na de las prioridades de la </w:t>
      </w:r>
      <w:r w:rsidRPr="002B7E87">
        <w:rPr>
          <w:rFonts w:ascii="Book Antiqua" w:hAnsi="Book Antiqua"/>
          <w:bCs/>
        </w:rPr>
        <w:t>C</w:t>
      </w:r>
      <w:r w:rsidR="003459F7" w:rsidRPr="002B7E87">
        <w:rPr>
          <w:rFonts w:ascii="Book Antiqua" w:hAnsi="Book Antiqua"/>
          <w:bCs/>
        </w:rPr>
        <w:t>onstitución</w:t>
      </w:r>
      <w:r w:rsidRPr="002B7E87">
        <w:rPr>
          <w:rFonts w:ascii="Book Antiqua" w:hAnsi="Book Antiqua"/>
          <w:bCs/>
        </w:rPr>
        <w:t xml:space="preserve"> Política de 1991</w:t>
      </w:r>
      <w:r w:rsidR="003459F7" w:rsidRPr="002B7E87">
        <w:rPr>
          <w:rFonts w:ascii="Book Antiqua" w:hAnsi="Book Antiqua"/>
          <w:bCs/>
        </w:rPr>
        <w:t xml:space="preserve"> fue garantizar la autonomía de las entidades territoriales, la cual debía materializarse desde tres puntos: la política, la administrativa y la financiera</w:t>
      </w:r>
      <w:r w:rsidR="000D0E80" w:rsidRPr="002B7E87">
        <w:rPr>
          <w:rFonts w:ascii="Book Antiqua" w:hAnsi="Book Antiqua"/>
          <w:bCs/>
        </w:rPr>
        <w:t xml:space="preserve"> (Paula Robledo Silva, 2008). </w:t>
      </w:r>
      <w:r w:rsidR="003459F7" w:rsidRPr="002B7E87">
        <w:rPr>
          <w:rFonts w:ascii="Book Antiqua" w:hAnsi="Book Antiqua"/>
          <w:bCs/>
        </w:rPr>
        <w:t xml:space="preserve">En ese sentido, se puede concluir que la autonomía es uno de los ejes estructurales del Estado, en ello, radica su importancia. </w:t>
      </w:r>
    </w:p>
    <w:p w14:paraId="02349242" w14:textId="1138AA43" w:rsidR="003459F7" w:rsidRPr="002B7E87" w:rsidRDefault="003459F7" w:rsidP="003459F7">
      <w:pPr>
        <w:spacing w:before="100" w:beforeAutospacing="1" w:after="100" w:afterAutospacing="1"/>
        <w:ind w:right="474"/>
        <w:jc w:val="both"/>
        <w:rPr>
          <w:rFonts w:ascii="Book Antiqua" w:eastAsiaTheme="minorHAnsi" w:hAnsi="Book Antiqua"/>
          <w:lang w:eastAsia="en-US"/>
        </w:rPr>
      </w:pPr>
      <w:r w:rsidRPr="002B7E87">
        <w:rPr>
          <w:rFonts w:ascii="Book Antiqua" w:hAnsi="Book Antiqua"/>
          <w:bCs/>
          <w:iCs/>
        </w:rPr>
        <w:t xml:space="preserve">La Corte Constitucional ha definido el nucleó esencial de la autonomía en los siguientes términos </w:t>
      </w:r>
      <w:r w:rsidR="00EB23BC" w:rsidRPr="002B7E87">
        <w:rPr>
          <w:rFonts w:ascii="Book Antiqua" w:hAnsi="Book Antiqua"/>
          <w:b/>
          <w:bCs/>
          <w:noProof/>
          <w:lang w:val="es-ES"/>
        </w:rPr>
        <w:t xml:space="preserve">(Sentencia C-535, 1996): </w:t>
      </w:r>
    </w:p>
    <w:p w14:paraId="35DB9BE9" w14:textId="7FC5ADC1" w:rsidR="003459F7" w:rsidRPr="002B7E87" w:rsidRDefault="003459F7" w:rsidP="003459F7">
      <w:pPr>
        <w:spacing w:before="100" w:beforeAutospacing="1" w:after="100" w:afterAutospacing="1"/>
        <w:ind w:left="284" w:right="333"/>
        <w:jc w:val="both"/>
        <w:rPr>
          <w:rFonts w:ascii="Book Antiqua" w:hAnsi="Book Antiqua"/>
          <w:bCs/>
          <w:iCs/>
        </w:rPr>
      </w:pPr>
      <w:r w:rsidRPr="002B7E87">
        <w:rPr>
          <w:rFonts w:ascii="Book Antiqua" w:hAnsi="Book Antiqua"/>
        </w:rPr>
        <w:t xml:space="preserve"> “</w:t>
      </w:r>
      <w:r w:rsidRPr="002B7E87">
        <w:rPr>
          <w:rFonts w:ascii="Book Antiqua" w:hAnsi="Book Antiqua"/>
          <w:i/>
        </w:rPr>
        <w:t xml:space="preserve">El núcleo esencial de la autonomía es indisponible por parte del Legislador, por lo cual la Constitución ha establecido una garantía institucional a la misma, pues el </w:t>
      </w:r>
      <w:r w:rsidRPr="002B7E87">
        <w:rPr>
          <w:rFonts w:ascii="Book Antiqua" w:hAnsi="Book Antiqua"/>
          <w:b/>
          <w:i/>
        </w:rPr>
        <w:t>principio autonómico es un componente esencial del orden constitucional, por lo cual su preservación es necesaria para el mantenimiento de la identidad  misma de la Carta</w:t>
      </w:r>
      <w:r w:rsidRPr="002B7E87">
        <w:rPr>
          <w:rFonts w:ascii="Book Antiqua" w:hAnsi="Book Antiqua"/>
          <w:i/>
        </w:rPr>
        <w:t xml:space="preserve">. Por ello </w:t>
      </w:r>
      <w:r w:rsidRPr="002B7E87">
        <w:rPr>
          <w:rFonts w:ascii="Book Antiqua" w:hAnsi="Book Antiqua"/>
          <w:b/>
          <w:i/>
        </w:rPr>
        <w:t>la Constitución asegura la existencia de la autonomía -y de otras instituciones y principios que gozan también de garantía institucional- estableciendo un núcleo o reducto indisponible por parte del legislador</w:t>
      </w:r>
      <w:r w:rsidRPr="002B7E87">
        <w:rPr>
          <w:rFonts w:ascii="Book Antiqua" w:hAnsi="Book Antiqua"/>
          <w:i/>
        </w:rPr>
        <w:t>. Así, si bien la autonomía territorial puede estar regulada en cierto margen por la ley, que podrá establecer las condiciones básicas de la misma, en aras de salvaguardar el interés nacional y el principio unitario, la Constitución garantiza que el núcleo esencial de la autonomía será siempre respetado.” (Negrilla fuera del texto)</w:t>
      </w:r>
    </w:p>
    <w:p w14:paraId="44F8FA63" w14:textId="77777777" w:rsidR="003459F7" w:rsidRPr="002B7E87" w:rsidRDefault="003459F7" w:rsidP="003459F7">
      <w:pPr>
        <w:jc w:val="both"/>
        <w:rPr>
          <w:rFonts w:ascii="Book Antiqua" w:eastAsiaTheme="minorHAnsi" w:hAnsi="Book Antiqua"/>
          <w:lang w:eastAsia="en-US"/>
        </w:rPr>
      </w:pPr>
      <w:r w:rsidRPr="002B7E87">
        <w:rPr>
          <w:rFonts w:ascii="Book Antiqua" w:hAnsi="Book Antiqua"/>
        </w:rPr>
        <w:t xml:space="preserve">Con base en ese precepto, el Constituyente desarrolló herramientas para el ejercicio de la autonomía territorial por parte de las autoridades departamentales y municipales según los asuntos de su competencia. Y para tal fin otorgó en los artículos 105 y 106 la facultad de las autoridades territoriales para realizar consultas populares sobre asuntos relevantes para el mismo ente territorial, y así mismo, </w:t>
      </w:r>
      <w:r w:rsidRPr="002B7E87">
        <w:rPr>
          <w:rFonts w:ascii="Book Antiqua" w:hAnsi="Book Antiqua"/>
        </w:rPr>
        <w:lastRenderedPageBreak/>
        <w:t xml:space="preserve">facultó a los habitantes de estas entidades territoriales para que pudiesen presentar proyectos sobre asuntos que son de competencia de la respectiva corporación pública. Es un desarrollo de la autonomía territorial mediante la aplicación de herramientas democráticas de participación directa. </w:t>
      </w:r>
    </w:p>
    <w:p w14:paraId="1EAA700C" w14:textId="77777777" w:rsidR="003459F7" w:rsidRPr="002B7E87" w:rsidRDefault="003459F7" w:rsidP="003459F7">
      <w:pPr>
        <w:jc w:val="both"/>
        <w:rPr>
          <w:rFonts w:ascii="Book Antiqua" w:hAnsi="Book Antiqua"/>
        </w:rPr>
      </w:pPr>
    </w:p>
    <w:p w14:paraId="60579060" w14:textId="6909EECD" w:rsidR="00B534A0" w:rsidRDefault="003459F7" w:rsidP="003459F7">
      <w:pPr>
        <w:jc w:val="both"/>
        <w:rPr>
          <w:rFonts w:ascii="Book Antiqua" w:hAnsi="Book Antiqua"/>
        </w:rPr>
      </w:pPr>
      <w:r w:rsidRPr="002B7E87">
        <w:rPr>
          <w:rFonts w:ascii="Book Antiqua" w:hAnsi="Book Antiqua"/>
        </w:rPr>
        <w:t xml:space="preserve">Pero donde obra la claridad suprema de la autonomía de las entidades territoriales en la gestión de sus intereses, es en el artículo </w:t>
      </w:r>
      <w:r w:rsidRPr="002B7E87">
        <w:rPr>
          <w:rFonts w:ascii="Book Antiqua" w:hAnsi="Book Antiqua"/>
          <w:b/>
          <w:bCs/>
        </w:rPr>
        <w:t>287 constitucional</w:t>
      </w:r>
      <w:r w:rsidRPr="002B7E87">
        <w:rPr>
          <w:rFonts w:ascii="Book Antiqua" w:hAnsi="Book Antiqua"/>
        </w:rPr>
        <w:t xml:space="preserve">, que dispone los derechos que le asisten a los entes territoriales, dentro de los mismos límites de la Constitución y la ley. </w:t>
      </w:r>
      <w:r w:rsidR="00B534A0">
        <w:rPr>
          <w:rFonts w:ascii="Book Antiqua" w:hAnsi="Book Antiqua"/>
        </w:rPr>
        <w:t xml:space="preserve">En ese sentido, la Corte Constitucional determinó </w:t>
      </w:r>
      <w:r w:rsidR="00B534A0" w:rsidRPr="002B7E87">
        <w:rPr>
          <w:rFonts w:ascii="Book Antiqua" w:hAnsi="Book Antiqua"/>
          <w:b/>
          <w:bCs/>
          <w:noProof/>
          <w:lang w:val="es-ES"/>
        </w:rPr>
        <w:t>(Sentencia C-535, 1996)</w:t>
      </w:r>
      <w:r w:rsidR="00B534A0">
        <w:rPr>
          <w:rFonts w:ascii="Book Antiqua" w:hAnsi="Book Antiqua"/>
        </w:rPr>
        <w:t xml:space="preserve">: </w:t>
      </w:r>
    </w:p>
    <w:p w14:paraId="0B994C29" w14:textId="799BB205" w:rsidR="003459F7" w:rsidRPr="00B534A0" w:rsidRDefault="00B534A0" w:rsidP="00B534A0">
      <w:pPr>
        <w:spacing w:before="100" w:beforeAutospacing="1"/>
        <w:ind w:left="567" w:right="474"/>
        <w:jc w:val="both"/>
        <w:rPr>
          <w:rFonts w:ascii="Book Antiqua" w:hAnsi="Book Antiqua"/>
          <w:bCs/>
          <w:i/>
          <w:iCs/>
        </w:rPr>
      </w:pPr>
      <w:r w:rsidRPr="00B534A0">
        <w:rPr>
          <w:rFonts w:ascii="Book Antiqua" w:hAnsi="Book Antiqua"/>
          <w:bCs/>
          <w:i/>
          <w:iCs/>
        </w:rPr>
        <w:t>“El núcleo esencial de la autonomía está constituido, entonces, en primer término, por aquellos elementos indispensables a la propia configuración del concepto, y especialmente por los poderes de acción de que gozan las entidades territoriales para poder satisfacer sus propios intereses. En este orden de ideas, es derecho de las entidades territoriales ejercer las competencias que les corresponden (CP. art. 287), pues sin ellas ninguna acción autónoma es posible. En segundo lugar encontramos, la inviolabilidad por parte del legislador, de la facultad de las entidades territoriales de gobernarse por autoridades propias (CP art. 287). Debe protegerse el derecho de cada entidad territorial a autodirigirse en sus particularidades a través del respeto de la facultad de dirección política que ostentan</w:t>
      </w:r>
      <w:r>
        <w:rPr>
          <w:rFonts w:ascii="Book Antiqua" w:hAnsi="Book Antiqua"/>
          <w:bCs/>
          <w:i/>
          <w:iCs/>
        </w:rPr>
        <w:t>”.</w:t>
      </w:r>
    </w:p>
    <w:p w14:paraId="130B8588" w14:textId="77777777" w:rsidR="003459F7" w:rsidRPr="002B7E87" w:rsidRDefault="003459F7" w:rsidP="003459F7">
      <w:pPr>
        <w:spacing w:before="100" w:beforeAutospacing="1" w:after="100" w:afterAutospacing="1"/>
        <w:jc w:val="both"/>
        <w:rPr>
          <w:rFonts w:ascii="Book Antiqua" w:hAnsi="Book Antiqua"/>
          <w:bCs/>
        </w:rPr>
      </w:pPr>
      <w:r w:rsidRPr="002B7E87">
        <w:rPr>
          <w:rFonts w:ascii="Book Antiqua" w:hAnsi="Book Antiqua"/>
          <w:bCs/>
        </w:rPr>
        <w:t xml:space="preserve">La constitución política definió la autonomía territorial, en los siguientes términos: </w:t>
      </w:r>
    </w:p>
    <w:p w14:paraId="3C0E7492" w14:textId="77777777" w:rsidR="003459F7" w:rsidRPr="002B7E87" w:rsidRDefault="003459F7" w:rsidP="003459F7">
      <w:pPr>
        <w:spacing w:before="100" w:beforeAutospacing="1" w:after="100" w:afterAutospacing="1"/>
        <w:ind w:left="567" w:right="474"/>
        <w:jc w:val="both"/>
        <w:rPr>
          <w:rFonts w:ascii="Book Antiqua" w:hAnsi="Book Antiqua"/>
          <w:bCs/>
        </w:rPr>
      </w:pPr>
      <w:r w:rsidRPr="002B7E87">
        <w:rPr>
          <w:rFonts w:ascii="Book Antiqua" w:hAnsi="Book Antiqua"/>
          <w:b/>
        </w:rPr>
        <w:t xml:space="preserve">“Artículo 287. </w:t>
      </w:r>
      <w:r w:rsidRPr="002B7E87">
        <w:rPr>
          <w:rFonts w:ascii="Book Antiqua" w:hAnsi="Book Antiqua"/>
          <w:bCs/>
          <w:i/>
        </w:rPr>
        <w:t xml:space="preserve">Las entidades territoriales gozan de autonomía para la gestión de sus intereses, y dentro de los límites de la Constitución y la ley. En tal virtud tendrán los siguientes derechos: </w:t>
      </w:r>
    </w:p>
    <w:p w14:paraId="119AC76E" w14:textId="77777777" w:rsidR="003459F7" w:rsidRPr="002B7E87" w:rsidRDefault="003459F7" w:rsidP="003459F7">
      <w:pPr>
        <w:spacing w:before="100" w:beforeAutospacing="1" w:after="100" w:afterAutospacing="1"/>
        <w:ind w:left="567" w:right="474"/>
        <w:jc w:val="both"/>
        <w:rPr>
          <w:rFonts w:ascii="Book Antiqua" w:hAnsi="Book Antiqua"/>
          <w:bCs/>
          <w:i/>
        </w:rPr>
      </w:pPr>
      <w:r w:rsidRPr="002B7E87">
        <w:rPr>
          <w:rFonts w:ascii="Book Antiqua" w:hAnsi="Book Antiqua"/>
          <w:bCs/>
          <w:i/>
        </w:rPr>
        <w:t>1. Gobernarse por autoridades propias.</w:t>
      </w:r>
    </w:p>
    <w:p w14:paraId="79E177E3" w14:textId="77777777" w:rsidR="003459F7" w:rsidRPr="002B7E87" w:rsidRDefault="003459F7" w:rsidP="003459F7">
      <w:pPr>
        <w:spacing w:before="100" w:beforeAutospacing="1" w:after="100" w:afterAutospacing="1"/>
        <w:ind w:left="567" w:right="474"/>
        <w:jc w:val="both"/>
        <w:rPr>
          <w:rFonts w:ascii="Book Antiqua" w:hAnsi="Book Antiqua"/>
          <w:bCs/>
          <w:i/>
        </w:rPr>
      </w:pPr>
      <w:r w:rsidRPr="002B7E87">
        <w:rPr>
          <w:rFonts w:ascii="Book Antiqua" w:hAnsi="Book Antiqua"/>
          <w:bCs/>
          <w:i/>
        </w:rPr>
        <w:t xml:space="preserve">2. Ejercer las competencias que les correspondan. </w:t>
      </w:r>
    </w:p>
    <w:p w14:paraId="59C130C1" w14:textId="77777777" w:rsidR="003459F7" w:rsidRPr="002B7E87" w:rsidRDefault="003459F7" w:rsidP="003459F7">
      <w:pPr>
        <w:spacing w:before="100" w:beforeAutospacing="1" w:after="100" w:afterAutospacing="1"/>
        <w:ind w:left="567" w:right="474"/>
        <w:jc w:val="both"/>
        <w:rPr>
          <w:rFonts w:ascii="Book Antiqua" w:hAnsi="Book Antiqua"/>
          <w:bCs/>
          <w:i/>
        </w:rPr>
      </w:pPr>
      <w:r w:rsidRPr="002B7E87">
        <w:rPr>
          <w:rFonts w:ascii="Book Antiqua" w:hAnsi="Book Antiqua"/>
          <w:bCs/>
          <w:i/>
        </w:rPr>
        <w:t xml:space="preserve">3. Administrar los recursos y establecer los tributos necesarios para el cumplimiento de sus funciones. </w:t>
      </w:r>
    </w:p>
    <w:p w14:paraId="63784E87" w14:textId="77777777" w:rsidR="003459F7" w:rsidRPr="002B7E87" w:rsidRDefault="003459F7" w:rsidP="003459F7">
      <w:pPr>
        <w:spacing w:before="100" w:beforeAutospacing="1" w:after="100" w:afterAutospacing="1"/>
        <w:ind w:left="567" w:right="474"/>
        <w:jc w:val="both"/>
        <w:rPr>
          <w:rFonts w:ascii="Book Antiqua" w:hAnsi="Book Antiqua"/>
          <w:bCs/>
          <w:i/>
        </w:rPr>
      </w:pPr>
      <w:r w:rsidRPr="002B7E87">
        <w:rPr>
          <w:rFonts w:ascii="Book Antiqua" w:hAnsi="Book Antiqua"/>
          <w:bCs/>
          <w:i/>
        </w:rPr>
        <w:t>4. Participar en las rentas nacionales”</w:t>
      </w:r>
    </w:p>
    <w:p w14:paraId="7AC47559" w14:textId="0BCF7156" w:rsidR="00B534A0" w:rsidRDefault="003459F7" w:rsidP="00654BC5">
      <w:pPr>
        <w:jc w:val="both"/>
        <w:rPr>
          <w:rFonts w:ascii="Book Antiqua" w:hAnsi="Book Antiqua"/>
          <w:b/>
          <w:u w:val="single"/>
        </w:rPr>
      </w:pPr>
      <w:r w:rsidRPr="002B7E87">
        <w:rPr>
          <w:rFonts w:ascii="Book Antiqua" w:hAnsi="Book Antiqua"/>
        </w:rPr>
        <w:t>En la misma línea el artículo 298 dispone: “</w:t>
      </w:r>
      <w:r w:rsidRPr="002B7E87">
        <w:rPr>
          <w:rFonts w:ascii="Book Antiqua" w:hAnsi="Book Antiqua"/>
          <w:i/>
        </w:rPr>
        <w:t xml:space="preserve">Los departamentos tienen autonomía para la administración de los asuntos seccionales y la planificación de los asuntos seccionales y la planificación y promoción del desarrollo económico y social dentro de su territorio en los términos establecidos en la Constitución. </w:t>
      </w:r>
      <w:r w:rsidRPr="002B7E87">
        <w:rPr>
          <w:rFonts w:ascii="Book Antiqua" w:hAnsi="Book Antiqua"/>
        </w:rPr>
        <w:t xml:space="preserve"> Más adelante, cuando inicia el desarrollo del régimen municipal complementa, Art. 313 Corresponde a los concejos: “(…) 2. </w:t>
      </w:r>
      <w:r w:rsidRPr="002B7E87">
        <w:rPr>
          <w:rFonts w:ascii="Book Antiqua" w:hAnsi="Book Antiqua"/>
        </w:rPr>
        <w:lastRenderedPageBreak/>
        <w:t>Adoptar los correspondientes planes y programas de desarrollo económico y social y de obras públicas… 7</w:t>
      </w:r>
      <w:r w:rsidRPr="002B7E87">
        <w:rPr>
          <w:rFonts w:ascii="Book Antiqua" w:hAnsi="Book Antiqua"/>
          <w:b/>
          <w:u w:val="single"/>
        </w:rPr>
        <w:t>. Reglamentar los usos del suelo y, dentro de los límites que fije la ley, vigilar y controlar las actividades relacionadas con la construcción y enajenación de inmuebles destinados a vivienda.”</w:t>
      </w:r>
    </w:p>
    <w:p w14:paraId="135A1413" w14:textId="77777777" w:rsidR="00B534A0" w:rsidRPr="002B7E87" w:rsidRDefault="00B534A0" w:rsidP="00654BC5">
      <w:pPr>
        <w:jc w:val="both"/>
        <w:rPr>
          <w:rFonts w:ascii="Book Antiqua" w:hAnsi="Book Antiqua"/>
          <w:b/>
          <w:u w:val="single"/>
        </w:rPr>
      </w:pPr>
    </w:p>
    <w:p w14:paraId="51DC00EE" w14:textId="3E16EED2" w:rsidR="00605311" w:rsidRPr="002B7E87" w:rsidRDefault="00700938" w:rsidP="00654BC5">
      <w:pPr>
        <w:jc w:val="both"/>
        <w:rPr>
          <w:rFonts w:ascii="Book Antiqua" w:eastAsiaTheme="minorHAnsi" w:hAnsi="Book Antiqua"/>
          <w:b/>
          <w:u w:val="single"/>
          <w:lang w:eastAsia="en-US"/>
        </w:rPr>
      </w:pPr>
      <w:r w:rsidRPr="002B7E87">
        <w:rPr>
          <w:rFonts w:ascii="Book Antiqua" w:hAnsi="Book Antiqua"/>
          <w:b/>
        </w:rPr>
        <w:t>6</w:t>
      </w:r>
      <w:r w:rsidR="00654BC5" w:rsidRPr="002B7E87">
        <w:rPr>
          <w:rFonts w:ascii="Book Antiqua" w:hAnsi="Book Antiqua"/>
          <w:b/>
        </w:rPr>
        <w:t xml:space="preserve">.2 </w:t>
      </w:r>
      <w:r w:rsidR="00663DBF" w:rsidRPr="002B7E87">
        <w:rPr>
          <w:rFonts w:ascii="Book Antiqua" w:eastAsiaTheme="minorHAnsi" w:hAnsi="Book Antiqua"/>
          <w:b/>
          <w:bCs/>
          <w:lang w:eastAsia="en-US"/>
        </w:rPr>
        <w:t>Código de Comercio</w:t>
      </w:r>
    </w:p>
    <w:p w14:paraId="68247E45" w14:textId="6BA81F5E" w:rsidR="00397D06" w:rsidRPr="002B7E87" w:rsidRDefault="00397D06" w:rsidP="00397D06">
      <w:pPr>
        <w:spacing w:before="100" w:beforeAutospacing="1" w:after="100" w:afterAutospacing="1"/>
        <w:ind w:left="-142"/>
        <w:jc w:val="both"/>
        <w:rPr>
          <w:rFonts w:ascii="Book Antiqua" w:hAnsi="Book Antiqua"/>
          <w:bCs/>
        </w:rPr>
      </w:pPr>
      <w:r w:rsidRPr="002B7E87">
        <w:rPr>
          <w:rFonts w:ascii="Book Antiqua" w:hAnsi="Book Antiqua"/>
          <w:bCs/>
        </w:rPr>
        <w:t xml:space="preserve">Las disposiciones que pretende modificar en el presente proyecto de ley van en contra de los postulados de la constitución política de 1991, de la autonomía municipal y la facultad de determinación de cómo se ordena su territorio. Esto resulta evidente, cuando el Código de Comercio dispone lo siguiente: </w:t>
      </w:r>
    </w:p>
    <w:p w14:paraId="5B0D03DE" w14:textId="77777777" w:rsidR="00397D06" w:rsidRPr="002B7E87" w:rsidRDefault="00397D06" w:rsidP="00397D06">
      <w:pPr>
        <w:spacing w:before="100" w:beforeAutospacing="1" w:after="100" w:afterAutospacing="1"/>
        <w:ind w:left="567" w:right="191"/>
        <w:jc w:val="both"/>
        <w:rPr>
          <w:rFonts w:ascii="Book Antiqua" w:hAnsi="Book Antiqua"/>
        </w:rPr>
      </w:pPr>
      <w:r w:rsidRPr="002B7E87">
        <w:rPr>
          <w:rFonts w:ascii="Book Antiqua" w:hAnsi="Book Antiqua"/>
          <w:b/>
          <w:bCs/>
        </w:rPr>
        <w:t>ARTÍCULO 1823. &lt;DEFINICIÓN DE SUPERFICIE DE DESPEJE&gt;.</w:t>
      </w:r>
      <w:r w:rsidRPr="002B7E87">
        <w:rPr>
          <w:rFonts w:ascii="Book Antiqua" w:hAnsi="Book Antiqua"/>
        </w:rPr>
        <w:t> Denomínense superficies de despegue las áreas imaginarias, oblicuas y horizontales, que se extienden sobre cada aeródromo y sus inmediaciones, en las cuales está limitada la altura de los obstáculos a la circulación aérea.</w:t>
      </w:r>
    </w:p>
    <w:p w14:paraId="1D5A3D95" w14:textId="77777777" w:rsidR="00397D06" w:rsidRPr="002B7E87" w:rsidRDefault="00397D06" w:rsidP="00397D06">
      <w:pPr>
        <w:spacing w:before="100" w:beforeAutospacing="1" w:after="100" w:afterAutospacing="1"/>
        <w:ind w:left="567" w:right="191"/>
        <w:jc w:val="both"/>
        <w:rPr>
          <w:rFonts w:ascii="Book Antiqua" w:hAnsi="Book Antiqua"/>
          <w:b/>
          <w:u w:val="single"/>
        </w:rPr>
      </w:pPr>
      <w:r w:rsidRPr="002B7E87">
        <w:rPr>
          <w:rFonts w:ascii="Book Antiqua" w:hAnsi="Book Antiqua"/>
          <w:b/>
          <w:u w:val="single"/>
        </w:rPr>
        <w:t>La autoridad aeronáutica determinará las superficies de despeje y la altura máxima de las construcciones y plantaciones bajo dichas superficies.</w:t>
      </w:r>
    </w:p>
    <w:p w14:paraId="29F9401E" w14:textId="77777777" w:rsidR="00397D06" w:rsidRPr="002B7E87" w:rsidRDefault="00397D06" w:rsidP="00397D06">
      <w:pPr>
        <w:spacing w:before="100" w:beforeAutospacing="1" w:after="100" w:afterAutospacing="1"/>
        <w:jc w:val="both"/>
        <w:rPr>
          <w:rFonts w:ascii="Book Antiqua" w:hAnsi="Book Antiqua"/>
          <w:bCs/>
        </w:rPr>
      </w:pPr>
      <w:r w:rsidRPr="002B7E87">
        <w:rPr>
          <w:rFonts w:ascii="Book Antiqua" w:hAnsi="Book Antiqua"/>
          <w:bCs/>
        </w:rPr>
        <w:t xml:space="preserve">De igual forma, el artículo 1824: </w:t>
      </w:r>
    </w:p>
    <w:p w14:paraId="5A1D8135" w14:textId="77777777" w:rsidR="00397D06" w:rsidRPr="002B7E87" w:rsidRDefault="00397D06" w:rsidP="00397D06">
      <w:pPr>
        <w:spacing w:before="100" w:beforeAutospacing="1" w:after="100" w:afterAutospacing="1"/>
        <w:ind w:left="567" w:right="191"/>
        <w:jc w:val="both"/>
        <w:rPr>
          <w:rFonts w:ascii="Book Antiqua" w:hAnsi="Book Antiqua"/>
        </w:rPr>
      </w:pPr>
      <w:r w:rsidRPr="002B7E87">
        <w:rPr>
          <w:rFonts w:ascii="Book Antiqua" w:hAnsi="Book Antiqua"/>
          <w:b/>
          <w:bCs/>
        </w:rPr>
        <w:t>ARTÍCULO 1824. &lt;PERMISO DE AUTORIDAD AERONÁUTICA PARA LEVANTAR CONSTRUCCIONES O PLANTACIONES&gt;.</w:t>
      </w:r>
      <w:r w:rsidRPr="002B7E87">
        <w:rPr>
          <w:rFonts w:ascii="Book Antiqua" w:hAnsi="Book Antiqua"/>
        </w:rPr>
        <w:t xml:space="preserve"> Dentro de las áreas a que se refiere el inciso 2o. del artículo anterior, no se podrán levantar construcciones o plantaciones </w:t>
      </w:r>
      <w:r w:rsidRPr="002B7E87">
        <w:rPr>
          <w:rFonts w:ascii="Book Antiqua" w:hAnsi="Book Antiqua"/>
          <w:b/>
          <w:u w:val="single"/>
        </w:rPr>
        <w:t>sin permiso de la autoridad aeronáutica.</w:t>
      </w:r>
    </w:p>
    <w:p w14:paraId="38F2C4F1" w14:textId="77777777" w:rsidR="00397D06" w:rsidRPr="002B7E87" w:rsidRDefault="00397D06" w:rsidP="00397D06">
      <w:pPr>
        <w:spacing w:before="100" w:beforeAutospacing="1" w:after="100" w:afterAutospacing="1"/>
        <w:ind w:right="191"/>
        <w:jc w:val="both"/>
        <w:rPr>
          <w:rFonts w:ascii="Book Antiqua" w:hAnsi="Book Antiqua"/>
          <w:bCs/>
        </w:rPr>
      </w:pPr>
      <w:r w:rsidRPr="002B7E87">
        <w:rPr>
          <w:rFonts w:ascii="Book Antiqua" w:hAnsi="Book Antiqua"/>
          <w:bCs/>
        </w:rPr>
        <w:t>De esta manera, cuando los artículos citados disponen que la autoridad aeronáutica determinará las superficies de despeje y la altura máxima de las construcciones y plantaciones, y que, además, tendrá la competencia para autorizar el levantamiento de construcciones o plantaciones, se desconoce la autonomía que tienen las entidades territoriales para ordenar su territorio, quitándoles la capacidad de ordenar, entre otras, permisos de construcción.</w:t>
      </w:r>
    </w:p>
    <w:p w14:paraId="79F07A1E" w14:textId="087EABE5" w:rsidR="00397D06" w:rsidRPr="00B662C9" w:rsidRDefault="00397D06" w:rsidP="00B662C9">
      <w:pPr>
        <w:spacing w:before="100" w:beforeAutospacing="1" w:after="100" w:afterAutospacing="1"/>
        <w:ind w:right="191"/>
        <w:jc w:val="both"/>
        <w:rPr>
          <w:rFonts w:ascii="Book Antiqua" w:hAnsi="Book Antiqua"/>
          <w:bCs/>
        </w:rPr>
      </w:pPr>
      <w:r w:rsidRPr="002B7E87">
        <w:rPr>
          <w:rFonts w:ascii="Book Antiqua" w:hAnsi="Book Antiqua"/>
          <w:bCs/>
        </w:rPr>
        <w:t>Esta es una norma adoptada mediante el Decreto 410 de 1971, expedido gracias a las facultades extraordinarias que le confirió el numeral 15 del artículo 20 de la Ley 16 de 1968. El código de comercio fue expedido durante la vigencia de la constitución de 1886, cuya visión del territorio y la división política administrativa tenía un carácter unitario y centralista, por ello no sorprende y se hace necesario adecuarlo a los postulados de la constitución de 1991.</w:t>
      </w:r>
    </w:p>
    <w:p w14:paraId="1989D90C" w14:textId="1AF6007F" w:rsidR="00397D06" w:rsidRPr="002B7E87" w:rsidRDefault="00504C25" w:rsidP="00397D06">
      <w:pPr>
        <w:jc w:val="both"/>
        <w:rPr>
          <w:rFonts w:ascii="Book Antiqua" w:hAnsi="Book Antiqua"/>
        </w:rPr>
      </w:pPr>
      <w:r w:rsidRPr="002B7E87">
        <w:rPr>
          <w:rFonts w:ascii="Book Antiqua" w:hAnsi="Book Antiqua"/>
        </w:rPr>
        <w:lastRenderedPageBreak/>
        <w:t xml:space="preserve">El </w:t>
      </w:r>
      <w:r w:rsidR="00397D06" w:rsidRPr="002B7E87">
        <w:rPr>
          <w:rFonts w:ascii="Book Antiqua" w:hAnsi="Book Antiqua"/>
        </w:rPr>
        <w:t xml:space="preserve">Código de Comercio dispuso unas facultades a la autoridad aeronáutica para determinar las superficies de despeje y la altura máxima de las construcciones y plantaciones de estas superficies. Facultad que por mandato constitucional corresponde a la entidad municipal, quien es la encargada de reglamentar los usos del suelo, y dentro de los límites que fije la ley, vigilar y controlar las actividades relacionadas con la construcción. </w:t>
      </w:r>
    </w:p>
    <w:p w14:paraId="5858567B" w14:textId="77777777" w:rsidR="00397D06" w:rsidRPr="002B7E87" w:rsidRDefault="00397D06" w:rsidP="00397D06">
      <w:pPr>
        <w:jc w:val="both"/>
        <w:rPr>
          <w:rFonts w:ascii="Book Antiqua" w:hAnsi="Book Antiqua"/>
        </w:rPr>
      </w:pPr>
    </w:p>
    <w:p w14:paraId="72262D86" w14:textId="77777777" w:rsidR="00397D06" w:rsidRPr="002B7E87" w:rsidRDefault="00397D06" w:rsidP="00397D06">
      <w:pPr>
        <w:ind w:left="284" w:right="191"/>
        <w:jc w:val="both"/>
        <w:rPr>
          <w:rFonts w:ascii="Book Antiqua" w:hAnsi="Book Antiqua"/>
          <w:i/>
        </w:rPr>
      </w:pPr>
      <w:r w:rsidRPr="002B7E87">
        <w:rPr>
          <w:rFonts w:ascii="Book Antiqua" w:hAnsi="Book Antiqua"/>
          <w:i/>
        </w:rPr>
        <w:t>.</w:t>
      </w:r>
    </w:p>
    <w:p w14:paraId="3DAD6710" w14:textId="77777777" w:rsidR="00397D06" w:rsidRPr="002B7E87" w:rsidRDefault="00397D06" w:rsidP="00397D06">
      <w:pPr>
        <w:jc w:val="both"/>
        <w:rPr>
          <w:rFonts w:ascii="Book Antiqua" w:hAnsi="Book Antiqua"/>
        </w:rPr>
      </w:pPr>
      <w:r w:rsidRPr="002B7E87">
        <w:rPr>
          <w:rFonts w:ascii="Book Antiqua" w:hAnsi="Book Antiqua"/>
        </w:rPr>
        <w:t>Luego entonces, la autonomía territorial es uno de los cimientos del Estado Social de Derecho organizado en forma de Republica unitaria y descentralizada. Hablar de la autonomía de las entidades territoriales es hablar de una clausula fundacional de la organización de Estado y por lo tanto esta autonomía debe ser respetada al ubicarse en el más alto rango constitucional.</w:t>
      </w:r>
    </w:p>
    <w:p w14:paraId="4057B48B" w14:textId="77777777" w:rsidR="00397D06" w:rsidRPr="002B7E87" w:rsidRDefault="00397D06" w:rsidP="00397D06">
      <w:pPr>
        <w:jc w:val="both"/>
        <w:rPr>
          <w:rFonts w:ascii="Book Antiqua" w:hAnsi="Book Antiqua"/>
        </w:rPr>
      </w:pPr>
    </w:p>
    <w:p w14:paraId="45923FE4" w14:textId="50215EC8" w:rsidR="00654BC5" w:rsidRPr="002B7E87" w:rsidRDefault="00654BC5" w:rsidP="00053CA5">
      <w:pPr>
        <w:pStyle w:val="Prrafodelista"/>
        <w:numPr>
          <w:ilvl w:val="1"/>
          <w:numId w:val="24"/>
        </w:numPr>
        <w:jc w:val="both"/>
        <w:rPr>
          <w:rFonts w:ascii="Book Antiqua" w:hAnsi="Book Antiqua"/>
          <w:b/>
          <w:bCs/>
        </w:rPr>
      </w:pPr>
      <w:r w:rsidRPr="002B7E87">
        <w:rPr>
          <w:rFonts w:ascii="Book Antiqua" w:hAnsi="Book Antiqua"/>
          <w:b/>
          <w:bCs/>
        </w:rPr>
        <w:t>Regulación de los usos del suelo</w:t>
      </w:r>
    </w:p>
    <w:p w14:paraId="69B2EE73" w14:textId="77777777" w:rsidR="00654BC5" w:rsidRPr="002B7E87" w:rsidRDefault="00654BC5" w:rsidP="00654BC5">
      <w:pPr>
        <w:ind w:left="-76"/>
        <w:jc w:val="both"/>
        <w:rPr>
          <w:rFonts w:ascii="Book Antiqua" w:hAnsi="Book Antiqua"/>
          <w:lang w:val="es"/>
        </w:rPr>
      </w:pPr>
    </w:p>
    <w:p w14:paraId="7FB60944" w14:textId="55277B30" w:rsidR="00397D06" w:rsidRPr="002B7E87" w:rsidRDefault="00397D06" w:rsidP="00654BC5">
      <w:pPr>
        <w:ind w:left="-76"/>
        <w:jc w:val="both"/>
        <w:rPr>
          <w:rFonts w:ascii="Book Antiqua" w:hAnsi="Book Antiqua"/>
        </w:rPr>
      </w:pPr>
      <w:r w:rsidRPr="002B7E87">
        <w:rPr>
          <w:rFonts w:ascii="Book Antiqua" w:hAnsi="Book Antiqua"/>
        </w:rPr>
        <w:t>En desarrollo de la autonomía territorial el constituyente delegó facultades para los departamentos y municipios, para que a través de sus corporaciones pudiesen definir sobre aspectos básicos de su autonomía, como la regulación de los usos del suelo. Esta regulación, debe estar delimitada por un marco normativo nacional, pero debe existir un equilibrio entre la unidad nacional y la autonomía territorial mediante un sistema de limitaciones reciprocas. Tal y como se señaló en la Sentencia C-216 de 1994</w:t>
      </w:r>
      <w:sdt>
        <w:sdtPr>
          <w:rPr>
            <w:rFonts w:ascii="Book Antiqua" w:hAnsi="Book Antiqua"/>
          </w:rPr>
          <w:id w:val="-748429841"/>
          <w:citation/>
        </w:sdtPr>
        <w:sdtEndPr/>
        <w:sdtContent>
          <w:r w:rsidRPr="002B7E87">
            <w:rPr>
              <w:rFonts w:ascii="Book Antiqua" w:hAnsi="Book Antiqua"/>
            </w:rPr>
            <w:fldChar w:fldCharType="begin"/>
          </w:r>
          <w:r w:rsidRPr="002B7E87">
            <w:rPr>
              <w:rFonts w:ascii="Book Antiqua" w:hAnsi="Book Antiqua"/>
              <w:lang w:val="es-ES"/>
            </w:rPr>
            <w:instrText xml:space="preserve"> CITATION Sen941 \l 3082 </w:instrText>
          </w:r>
          <w:r w:rsidRPr="002B7E87">
            <w:rPr>
              <w:rFonts w:ascii="Book Antiqua" w:hAnsi="Book Antiqua"/>
            </w:rPr>
            <w:fldChar w:fldCharType="separate"/>
          </w:r>
          <w:r w:rsidR="00A062B9" w:rsidRPr="002B7E87">
            <w:rPr>
              <w:rFonts w:ascii="Book Antiqua" w:hAnsi="Book Antiqua"/>
              <w:b/>
              <w:bCs/>
              <w:noProof/>
              <w:lang w:val="es-ES"/>
            </w:rPr>
            <w:t>Fuente especificada no válida.</w:t>
          </w:r>
          <w:r w:rsidRPr="002B7E87">
            <w:rPr>
              <w:rFonts w:ascii="Book Antiqua" w:hAnsi="Book Antiqua"/>
            </w:rPr>
            <w:fldChar w:fldCharType="end"/>
          </w:r>
        </w:sdtContent>
      </w:sdt>
      <w:r w:rsidRPr="002B7E87">
        <w:rPr>
          <w:rFonts w:ascii="Book Antiqua" w:hAnsi="Book Antiqua"/>
        </w:rPr>
        <w:t>:</w:t>
      </w:r>
      <w:r w:rsidRPr="002B7E87">
        <w:rPr>
          <w:rFonts w:ascii="Book Antiqua" w:hAnsi="Book Antiqua"/>
          <w:i/>
        </w:rPr>
        <w:t xml:space="preserve"> </w:t>
      </w:r>
    </w:p>
    <w:p w14:paraId="058E6E91" w14:textId="77777777" w:rsidR="00397D06" w:rsidRPr="002B7E87" w:rsidRDefault="00397D06" w:rsidP="00397D06">
      <w:pPr>
        <w:jc w:val="both"/>
        <w:rPr>
          <w:rFonts w:ascii="Book Antiqua" w:hAnsi="Book Antiqua"/>
        </w:rPr>
      </w:pPr>
    </w:p>
    <w:p w14:paraId="443463B4" w14:textId="77777777" w:rsidR="00397D06" w:rsidRPr="002B7E87" w:rsidRDefault="00397D06" w:rsidP="00397D06">
      <w:pPr>
        <w:ind w:left="284" w:right="191"/>
        <w:jc w:val="both"/>
        <w:rPr>
          <w:rFonts w:ascii="Book Antiqua" w:hAnsi="Book Antiqua"/>
          <w:i/>
        </w:rPr>
      </w:pPr>
      <w:r w:rsidRPr="002B7E87">
        <w:rPr>
          <w:rFonts w:ascii="Book Antiqua" w:hAnsi="Book Antiqua"/>
          <w:i/>
        </w:rPr>
        <w:t xml:space="preserve">“La autonomía, por una parte, se encuentra limitada en primera instancia por el principio de unidad, en virtud del cual, debe existir una uniformidad legislativa en todo lo que tenga que ver con el interés general nacional, puesto que la naturaleza del Estado unitario presume la centralización política, que exige unidad en todos los ramos de la legislación y en las decisiones de política que tengan vigencia para todo el territorio nacional, así como una administración de justicia común. La unidad, a su vez, se encuentra limitada por el núcleo esencial de la autonomía territorial (…) </w:t>
      </w:r>
    </w:p>
    <w:p w14:paraId="28E1BE9E" w14:textId="77777777" w:rsidR="00397D06" w:rsidRPr="002B7E87" w:rsidRDefault="00397D06" w:rsidP="00397D06">
      <w:pPr>
        <w:ind w:left="284" w:right="191"/>
        <w:jc w:val="both"/>
        <w:rPr>
          <w:rFonts w:ascii="Book Antiqua" w:hAnsi="Book Antiqua"/>
        </w:rPr>
      </w:pPr>
      <w:r w:rsidRPr="002B7E87">
        <w:rPr>
          <w:rFonts w:ascii="Book Antiqua" w:hAnsi="Book Antiqua"/>
          <w:i/>
        </w:rPr>
        <w:t>Esta supone la capacidad de gestionar los intereses propios; es decir, la potestad de expedir una regulación particular para lo específico de cada localidad, dentro de los parámetros de un orden unificado por la ley general”.</w:t>
      </w:r>
    </w:p>
    <w:p w14:paraId="775A7F26" w14:textId="77777777" w:rsidR="00397D06" w:rsidRPr="002B7E87" w:rsidRDefault="00397D06" w:rsidP="00397D06">
      <w:pPr>
        <w:jc w:val="both"/>
        <w:rPr>
          <w:rFonts w:ascii="Book Antiqua" w:hAnsi="Book Antiqua"/>
        </w:rPr>
      </w:pPr>
    </w:p>
    <w:p w14:paraId="65CCC725" w14:textId="77777777" w:rsidR="00397D06" w:rsidRPr="002B7E87" w:rsidRDefault="00397D06" w:rsidP="00397D06">
      <w:pPr>
        <w:jc w:val="both"/>
        <w:rPr>
          <w:rFonts w:ascii="Book Antiqua" w:hAnsi="Book Antiqua"/>
        </w:rPr>
      </w:pPr>
      <w:r w:rsidRPr="002B7E87">
        <w:rPr>
          <w:rFonts w:ascii="Book Antiqua" w:hAnsi="Book Antiqua"/>
        </w:rPr>
        <w:t xml:space="preserve">Por lo cual, la normatividad vigente de los artículos 1823 y 1824 de Código de Comercio, contraría el principio fundacional de autonomía territorial contemplado en la Constitución y así mismo, desconoce las sub-reglas jurisprudenciales sobre las limitaciones que existen para el orden nacional frente a las decisiones de regulación particular propias y exclusivas de cada territorio, y deben ser modificados para entrar en una armonía constitucional y empezar a reconocer el derecho de las entidades territoriales de autogestionarse. </w:t>
      </w:r>
    </w:p>
    <w:p w14:paraId="1BD34692" w14:textId="77777777" w:rsidR="00895520" w:rsidRPr="002B7E87" w:rsidRDefault="00895520" w:rsidP="00564AE8">
      <w:pPr>
        <w:autoSpaceDE w:val="0"/>
        <w:autoSpaceDN w:val="0"/>
        <w:adjustRightInd w:val="0"/>
        <w:rPr>
          <w:rFonts w:ascii="Book Antiqua" w:eastAsiaTheme="minorHAnsi" w:hAnsi="Book Antiqua"/>
          <w:b/>
          <w:bCs/>
          <w:lang w:eastAsia="en-US"/>
        </w:rPr>
      </w:pPr>
    </w:p>
    <w:p w14:paraId="3DB507D0" w14:textId="2C0E7F23" w:rsidR="00605311" w:rsidRDefault="00605311" w:rsidP="003E203F">
      <w:pPr>
        <w:autoSpaceDE w:val="0"/>
        <w:autoSpaceDN w:val="0"/>
        <w:adjustRightInd w:val="0"/>
        <w:rPr>
          <w:rFonts w:ascii="Book Antiqua" w:eastAsiaTheme="minorHAnsi" w:hAnsi="Book Antiqua"/>
          <w:lang w:eastAsia="en-US"/>
        </w:rPr>
      </w:pPr>
    </w:p>
    <w:p w14:paraId="433034A9" w14:textId="2B611428" w:rsidR="005F6439" w:rsidRDefault="005F6439" w:rsidP="003E203F">
      <w:pPr>
        <w:autoSpaceDE w:val="0"/>
        <w:autoSpaceDN w:val="0"/>
        <w:adjustRightInd w:val="0"/>
        <w:rPr>
          <w:rFonts w:ascii="Book Antiqua" w:eastAsiaTheme="minorHAnsi" w:hAnsi="Book Antiqua"/>
          <w:lang w:eastAsia="en-US"/>
        </w:rPr>
      </w:pPr>
    </w:p>
    <w:p w14:paraId="464F176D" w14:textId="634282B8" w:rsidR="005F6439" w:rsidRDefault="005F6439" w:rsidP="003E203F">
      <w:pPr>
        <w:autoSpaceDE w:val="0"/>
        <w:autoSpaceDN w:val="0"/>
        <w:adjustRightInd w:val="0"/>
        <w:rPr>
          <w:rFonts w:ascii="Book Antiqua" w:eastAsiaTheme="minorHAnsi" w:hAnsi="Book Antiqua"/>
          <w:lang w:eastAsia="en-US"/>
        </w:rPr>
      </w:pPr>
    </w:p>
    <w:p w14:paraId="099DA9AF" w14:textId="77777777" w:rsidR="005F6439" w:rsidRPr="002B7E87" w:rsidRDefault="005F6439" w:rsidP="003E203F">
      <w:pPr>
        <w:autoSpaceDE w:val="0"/>
        <w:autoSpaceDN w:val="0"/>
        <w:adjustRightInd w:val="0"/>
        <w:rPr>
          <w:rFonts w:ascii="Book Antiqua" w:eastAsiaTheme="minorHAnsi" w:hAnsi="Book Antiqua"/>
          <w:lang w:eastAsia="en-US"/>
        </w:rPr>
      </w:pPr>
    </w:p>
    <w:p w14:paraId="485031FF" w14:textId="58011583" w:rsidR="00803CBF" w:rsidRDefault="00803CBF" w:rsidP="00803CBF">
      <w:pPr>
        <w:pStyle w:val="Prrafodelista"/>
        <w:numPr>
          <w:ilvl w:val="0"/>
          <w:numId w:val="2"/>
        </w:numPr>
        <w:shd w:val="clear" w:color="auto" w:fill="FFFFFF"/>
        <w:jc w:val="center"/>
        <w:textAlignment w:val="center"/>
        <w:rPr>
          <w:rFonts w:ascii="Book Antiqua" w:hAnsi="Book Antiqua"/>
          <w:b/>
          <w:bCs/>
          <w:caps/>
          <w:color w:val="000000"/>
        </w:rPr>
      </w:pPr>
      <w:r w:rsidRPr="002B7E87">
        <w:rPr>
          <w:rFonts w:ascii="Book Antiqua" w:hAnsi="Book Antiqua"/>
          <w:b/>
          <w:bCs/>
          <w:caps/>
          <w:color w:val="000000"/>
        </w:rPr>
        <w:t xml:space="preserve">conflictos de interes </w:t>
      </w:r>
    </w:p>
    <w:p w14:paraId="3CA33455" w14:textId="77777777" w:rsidR="003E203F" w:rsidRPr="002B7E87" w:rsidRDefault="003E203F" w:rsidP="003E203F">
      <w:pPr>
        <w:pStyle w:val="Prrafodelista"/>
        <w:shd w:val="clear" w:color="auto" w:fill="FFFFFF"/>
        <w:ind w:left="360"/>
        <w:textAlignment w:val="center"/>
        <w:rPr>
          <w:rFonts w:ascii="Book Antiqua" w:hAnsi="Book Antiqua"/>
          <w:b/>
          <w:bCs/>
          <w:caps/>
          <w:color w:val="000000"/>
        </w:rPr>
      </w:pPr>
    </w:p>
    <w:p w14:paraId="7DB702B5" w14:textId="77777777" w:rsidR="00B662C9" w:rsidRPr="00744615" w:rsidRDefault="00B662C9" w:rsidP="00B662C9">
      <w:pPr>
        <w:jc w:val="both"/>
        <w:rPr>
          <w:rFonts w:ascii="Book Antiqua" w:hAnsi="Book Antiqua" w:cs="AppleSystemUIFont"/>
        </w:rPr>
      </w:pPr>
      <w:r w:rsidRPr="00744615">
        <w:rPr>
          <w:rFonts w:ascii="Book Antiqua" w:hAnsi="Book Antiqua" w:cs="AppleSystemUIFont"/>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w:t>
      </w:r>
    </w:p>
    <w:p w14:paraId="70EFDF6C" w14:textId="77777777" w:rsidR="00B662C9" w:rsidRPr="00744615" w:rsidRDefault="00B662C9" w:rsidP="00B662C9">
      <w:pPr>
        <w:jc w:val="both"/>
        <w:rPr>
          <w:rFonts w:ascii="Book Antiqua" w:hAnsi="Book Antiqua" w:cs="AppleSystemUIFont"/>
        </w:rPr>
      </w:pPr>
    </w:p>
    <w:p w14:paraId="3D5B343C" w14:textId="16D3523C" w:rsidR="00B662C9" w:rsidRDefault="00B662C9" w:rsidP="00B662C9">
      <w:pPr>
        <w:tabs>
          <w:tab w:val="left" w:pos="5569"/>
        </w:tabs>
        <w:jc w:val="both"/>
        <w:rPr>
          <w:rFonts w:ascii="Book Antiqua" w:hAnsi="Book Antiqua" w:cs="AppleSystemUIFont"/>
        </w:rPr>
      </w:pPr>
      <w:r w:rsidRPr="00744615">
        <w:rPr>
          <w:rFonts w:ascii="Book Antiqua" w:hAnsi="Book Antiqua" w:cs="AppleSystemUIFont"/>
        </w:rPr>
        <w:t xml:space="preserve">Frente al </w:t>
      </w:r>
      <w:r>
        <w:rPr>
          <w:rFonts w:ascii="Book Antiqua" w:hAnsi="Book Antiqua" w:cs="AppleSystemUIFont"/>
        </w:rPr>
        <w:t>P</w:t>
      </w:r>
      <w:r w:rsidRPr="00744615">
        <w:rPr>
          <w:rFonts w:ascii="Book Antiqua" w:hAnsi="Book Antiqua" w:cs="AppleSystemUIFont"/>
        </w:rPr>
        <w:t>royecto</w:t>
      </w:r>
      <w:r>
        <w:rPr>
          <w:rFonts w:ascii="Book Antiqua" w:hAnsi="Book Antiqua" w:cs="AppleSystemUIFont"/>
        </w:rPr>
        <w:t xml:space="preserve"> de Ley 323 de 2020</w:t>
      </w:r>
      <w:r w:rsidR="002C7964">
        <w:rPr>
          <w:rFonts w:ascii="Book Antiqua" w:hAnsi="Book Antiqua" w:cs="AppleSystemUIFont"/>
        </w:rPr>
        <w:t xml:space="preserve"> </w:t>
      </w:r>
      <w:r w:rsidR="002C7964" w:rsidRPr="002B7E87">
        <w:rPr>
          <w:rFonts w:ascii="Book Antiqua" w:hAnsi="Book Antiqua"/>
          <w:color w:val="000000"/>
        </w:rPr>
        <w:t>Cámara</w:t>
      </w:r>
      <w:r w:rsidRPr="00744615">
        <w:rPr>
          <w:rFonts w:ascii="Book Antiqua" w:hAnsi="Book Antiqua" w:cs="AppleSystemUIFont"/>
        </w:rPr>
        <w:t xml:space="preserve">, se considera que </w:t>
      </w:r>
      <w:r>
        <w:rPr>
          <w:rFonts w:ascii="Book Antiqua" w:hAnsi="Book Antiqua" w:cs="AppleSystemUIFont"/>
        </w:rPr>
        <w:t xml:space="preserve">pueden existir conflictos de interés relacionados con: </w:t>
      </w:r>
    </w:p>
    <w:p w14:paraId="6EEFC154" w14:textId="77777777" w:rsidR="00B662C9" w:rsidRDefault="00B662C9" w:rsidP="00B662C9">
      <w:pPr>
        <w:tabs>
          <w:tab w:val="left" w:pos="5569"/>
        </w:tabs>
        <w:jc w:val="both"/>
        <w:rPr>
          <w:rFonts w:ascii="Book Antiqua" w:hAnsi="Book Antiqua" w:cs="AppleSystemUIFont"/>
        </w:rPr>
      </w:pPr>
    </w:p>
    <w:p w14:paraId="7ED8A40E" w14:textId="77777777" w:rsidR="00B662C9" w:rsidRDefault="00B662C9" w:rsidP="00B662C9">
      <w:pPr>
        <w:pStyle w:val="Prrafodelista"/>
        <w:numPr>
          <w:ilvl w:val="0"/>
          <w:numId w:val="25"/>
        </w:numPr>
        <w:tabs>
          <w:tab w:val="left" w:pos="5569"/>
        </w:tabs>
        <w:jc w:val="both"/>
        <w:rPr>
          <w:rFonts w:ascii="Book Antiqua" w:hAnsi="Book Antiqua" w:cs="AppleSystemUIFont"/>
        </w:rPr>
      </w:pPr>
      <w:r>
        <w:rPr>
          <w:rFonts w:ascii="Book Antiqua" w:hAnsi="Book Antiqua" w:cs="AppleSystemUIFont"/>
        </w:rPr>
        <w:t>E</w:t>
      </w:r>
      <w:r w:rsidRPr="00D46B2A">
        <w:rPr>
          <w:rFonts w:ascii="Book Antiqua" w:hAnsi="Book Antiqua" w:cs="AppleSystemUIFont"/>
        </w:rPr>
        <w:t>l interés particular, actual y directo de los congresistas, de su cónyuge, compañero o compañera permanente, o parientes dentro del segundo grado de consanguinidad, segundo de afinidad o primero civil, derivados de derivados de ser propietarios, accionistas o parte de juntas directivas de empresas relacionadas con el sector de construcción</w:t>
      </w:r>
      <w:r>
        <w:rPr>
          <w:rFonts w:ascii="Book Antiqua" w:hAnsi="Book Antiqua" w:cs="AppleSystemUIFont"/>
        </w:rPr>
        <w:t xml:space="preserve">, que puedan llegar a ser </w:t>
      </w:r>
      <w:r w:rsidRPr="00D46B2A">
        <w:rPr>
          <w:rFonts w:ascii="Book Antiqua" w:hAnsi="Book Antiqua" w:cs="AppleSystemUIFont"/>
        </w:rPr>
        <w:t>beneficiadas con las modificaciones que se pretenden introducir al código de comercio</w:t>
      </w:r>
      <w:r>
        <w:rPr>
          <w:rFonts w:ascii="Book Antiqua" w:hAnsi="Book Antiqua" w:cs="AppleSystemUIFont"/>
        </w:rPr>
        <w:t>,</w:t>
      </w:r>
      <w:r w:rsidRPr="00D46B2A">
        <w:rPr>
          <w:rFonts w:ascii="Book Antiqua" w:hAnsi="Book Antiqua" w:cs="AppleSystemUIFont"/>
        </w:rPr>
        <w:t xml:space="preserve"> o incluso, si los congresistas hubiesen recibido financiación para su campaña electoral por parte de </w:t>
      </w:r>
      <w:r>
        <w:rPr>
          <w:rFonts w:ascii="Book Antiqua" w:hAnsi="Book Antiqua" w:cs="AppleSystemUIFont"/>
        </w:rPr>
        <w:t xml:space="preserve">las empresas anteriormente nombradas. </w:t>
      </w:r>
    </w:p>
    <w:p w14:paraId="581AA6B2" w14:textId="77777777" w:rsidR="00B662C9" w:rsidRDefault="00B662C9" w:rsidP="00B662C9">
      <w:pPr>
        <w:pStyle w:val="Prrafodelista"/>
        <w:tabs>
          <w:tab w:val="left" w:pos="5569"/>
        </w:tabs>
        <w:jc w:val="both"/>
        <w:rPr>
          <w:rFonts w:ascii="Book Antiqua" w:hAnsi="Book Antiqua" w:cs="AppleSystemUIFont"/>
        </w:rPr>
      </w:pPr>
    </w:p>
    <w:p w14:paraId="1179CD03" w14:textId="77777777" w:rsidR="00B662C9" w:rsidRPr="009739B5" w:rsidRDefault="00B662C9" w:rsidP="00B662C9">
      <w:pPr>
        <w:pStyle w:val="Prrafodelista"/>
        <w:numPr>
          <w:ilvl w:val="0"/>
          <w:numId w:val="25"/>
        </w:numPr>
        <w:jc w:val="both"/>
        <w:rPr>
          <w:rFonts w:ascii="Book Antiqua" w:hAnsi="Book Antiqua" w:cs="AppleSystemUIFont"/>
        </w:rPr>
      </w:pPr>
      <w:r>
        <w:rPr>
          <w:rFonts w:ascii="Book Antiqua" w:hAnsi="Book Antiqua" w:cs="AppleSystemUIFont"/>
        </w:rPr>
        <w:t>E</w:t>
      </w:r>
      <w:r w:rsidRPr="009739B5">
        <w:rPr>
          <w:rFonts w:ascii="Book Antiqua" w:hAnsi="Book Antiqua" w:cs="AppleSystemUIFont"/>
        </w:rPr>
        <w:t>l interés particular, actual y directo de los congresistas</w:t>
      </w:r>
      <w:r>
        <w:rPr>
          <w:rFonts w:ascii="Book Antiqua" w:hAnsi="Book Antiqua" w:cs="AppleSystemUIFont"/>
        </w:rPr>
        <w:t xml:space="preserve"> derivado de que </w:t>
      </w:r>
      <w:r w:rsidRPr="009739B5">
        <w:rPr>
          <w:rFonts w:ascii="Book Antiqua" w:hAnsi="Book Antiqua" w:cs="AppleSystemUIFont"/>
        </w:rPr>
        <w:t>su cónyuge, compañero o compañera permanente, o parientes dentro del segundo grado de consanguinidad, segundo de afinidad o primero civil</w:t>
      </w:r>
      <w:r>
        <w:rPr>
          <w:rFonts w:ascii="Book Antiqua" w:hAnsi="Book Antiqua" w:cs="AppleSystemUIFont"/>
        </w:rPr>
        <w:t xml:space="preserve"> ocupen cargos o hagan parte de la Fuerza Aérea Colombiana. </w:t>
      </w:r>
    </w:p>
    <w:p w14:paraId="08BAB779" w14:textId="77777777" w:rsidR="00B662C9" w:rsidRPr="00D46B2A" w:rsidRDefault="00B662C9" w:rsidP="00B662C9">
      <w:pPr>
        <w:pStyle w:val="Prrafodelista"/>
        <w:tabs>
          <w:tab w:val="left" w:pos="5569"/>
        </w:tabs>
        <w:jc w:val="both"/>
        <w:rPr>
          <w:rFonts w:ascii="Book Antiqua" w:hAnsi="Book Antiqua" w:cs="AppleSystemUIFont"/>
        </w:rPr>
      </w:pPr>
    </w:p>
    <w:p w14:paraId="7E1D4617" w14:textId="77777777" w:rsidR="00B662C9" w:rsidRDefault="00B662C9" w:rsidP="00B662C9">
      <w:pPr>
        <w:jc w:val="both"/>
        <w:rPr>
          <w:rFonts w:ascii="Book Antiqua" w:hAnsi="Book Antiqua" w:cs="AppleSystemUIFont"/>
        </w:rPr>
      </w:pPr>
    </w:p>
    <w:p w14:paraId="4416D5D8" w14:textId="77777777" w:rsidR="00B662C9" w:rsidRPr="00744615" w:rsidRDefault="00B662C9" w:rsidP="00B662C9">
      <w:pPr>
        <w:jc w:val="both"/>
        <w:rPr>
          <w:rFonts w:ascii="Book Antiqua" w:hAnsi="Book Antiqua" w:cs="AppleSystemUIFont"/>
        </w:rPr>
      </w:pPr>
      <w:r>
        <w:rPr>
          <w:rFonts w:ascii="Book Antiqua" w:hAnsi="Book Antiqua" w:cs="AppleSystemUIFont"/>
        </w:rPr>
        <w:t xml:space="preserve">Finalmente, sobre los conflictos de interés resulta importante recordar lo señalado por  </w:t>
      </w:r>
      <w:r w:rsidRPr="00744615">
        <w:rPr>
          <w:rFonts w:ascii="Book Antiqua" w:hAnsi="Book Antiqua" w:cs="AppleSystemUIFont"/>
        </w:rPr>
        <w:t>el Consejo de Estado</w:t>
      </w:r>
      <w:r>
        <w:rPr>
          <w:rFonts w:ascii="Book Antiqua" w:hAnsi="Book Antiqua" w:cs="AppleSystemUIFont"/>
        </w:rPr>
        <w:t xml:space="preserve"> </w:t>
      </w:r>
      <w:r w:rsidRPr="00744615">
        <w:rPr>
          <w:rFonts w:ascii="Book Antiqua" w:hAnsi="Book Antiqua" w:cs="AppleSystemUIFont"/>
        </w:rPr>
        <w:t xml:space="preserve">(2019): </w:t>
      </w:r>
    </w:p>
    <w:p w14:paraId="3B16921E" w14:textId="77777777" w:rsidR="00B662C9" w:rsidRPr="00744615" w:rsidRDefault="00B662C9" w:rsidP="00B662C9">
      <w:pPr>
        <w:ind w:left="284"/>
        <w:jc w:val="both"/>
        <w:rPr>
          <w:rFonts w:ascii="Book Antiqua" w:hAnsi="Book Antiqua" w:cs="AppleSystemUIFont"/>
        </w:rPr>
      </w:pPr>
    </w:p>
    <w:p w14:paraId="6BF049C9" w14:textId="77777777" w:rsidR="00B662C9" w:rsidRDefault="00B662C9" w:rsidP="00B662C9">
      <w:pPr>
        <w:ind w:left="284"/>
        <w:jc w:val="both"/>
        <w:rPr>
          <w:rFonts w:ascii="Book Antiqua" w:hAnsi="Book Antiqua" w:cs="AppleSystemUIFont"/>
        </w:rPr>
      </w:pPr>
      <w:r w:rsidRPr="00744615">
        <w:rPr>
          <w:rFonts w:ascii="Book Antiqua" w:hAnsi="Book Antiqua" w:cs="AppleSystemUIFont"/>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w:t>
      </w:r>
      <w:r w:rsidRPr="00744615">
        <w:rPr>
          <w:rFonts w:ascii="Book Antiqua" w:hAnsi="Book Antiqua" w:cs="AppleSystemUIFont"/>
        </w:rPr>
        <w:lastRenderedPageBreak/>
        <w:t>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C4B8965" w14:textId="77777777" w:rsidR="00B662C9" w:rsidRDefault="00B662C9" w:rsidP="00B662C9">
      <w:pPr>
        <w:jc w:val="both"/>
        <w:rPr>
          <w:rFonts w:ascii="Book Antiqua" w:hAnsi="Book Antiqua" w:cs="AppleSystemUIFont"/>
        </w:rPr>
      </w:pPr>
    </w:p>
    <w:p w14:paraId="78E2DEC0" w14:textId="77777777" w:rsidR="00B662C9" w:rsidRDefault="00B662C9" w:rsidP="00B662C9">
      <w:pPr>
        <w:jc w:val="both"/>
        <w:rPr>
          <w:rFonts w:ascii="Book Antiqua" w:hAnsi="Book Antiqua" w:cs="AppleSystemUIFont"/>
        </w:rPr>
      </w:pPr>
      <w:r>
        <w:rPr>
          <w:rFonts w:ascii="Book Antiqua" w:hAnsi="Book Antiqua" w:cs="AppleSystemUIFont"/>
        </w:rPr>
        <w:t xml:space="preserve">De igual forma, es pertinente señalar lo que la </w:t>
      </w:r>
      <w:r w:rsidRPr="00744615">
        <w:rPr>
          <w:rFonts w:ascii="Book Antiqua" w:hAnsi="Book Antiqua" w:cs="AppleSystemUIFont"/>
        </w:rPr>
        <w:t xml:space="preserve">Ley </w:t>
      </w:r>
      <w:r>
        <w:rPr>
          <w:rFonts w:ascii="Book Antiqua" w:hAnsi="Book Antiqua" w:cs="AppleSystemUIFont"/>
        </w:rPr>
        <w:t xml:space="preserve">5 de 1992 dispone sobre la materia en el artículo 286, </w:t>
      </w:r>
      <w:r w:rsidRPr="009D4D43">
        <w:rPr>
          <w:rFonts w:ascii="Book Antiqua" w:hAnsi="Book Antiqua" w:cs="AppleSystemUIFont"/>
        </w:rPr>
        <w:t>modificado por el artículo </w:t>
      </w:r>
      <w:hyperlink r:id="rId9" w:anchor="1" w:history="1">
        <w:r w:rsidRPr="009D4D43">
          <w:rPr>
            <w:rFonts w:ascii="Book Antiqua" w:hAnsi="Book Antiqua" w:cs="AppleSystemUIFont"/>
          </w:rPr>
          <w:t>1</w:t>
        </w:r>
      </w:hyperlink>
      <w:r w:rsidRPr="009D4D43">
        <w:rPr>
          <w:rFonts w:ascii="Book Antiqua" w:hAnsi="Book Antiqua" w:cs="AppleSystemUIFont"/>
        </w:rPr>
        <w:t> de la Ley 2003 de 2019</w:t>
      </w:r>
      <w:r>
        <w:rPr>
          <w:rFonts w:ascii="Book Antiqua" w:hAnsi="Book Antiqua" w:cs="AppleSystemUIFont"/>
        </w:rPr>
        <w:t xml:space="preserve">: </w:t>
      </w:r>
    </w:p>
    <w:p w14:paraId="32885DB8" w14:textId="77777777" w:rsidR="00B662C9" w:rsidRDefault="00B662C9" w:rsidP="00B662C9">
      <w:pPr>
        <w:jc w:val="both"/>
        <w:rPr>
          <w:rFonts w:ascii="Book Antiqua" w:hAnsi="Book Antiqua" w:cs="AppleSystemUIFont"/>
        </w:rPr>
      </w:pPr>
    </w:p>
    <w:p w14:paraId="348019F6" w14:textId="77777777" w:rsidR="00B662C9" w:rsidRPr="0056264E" w:rsidRDefault="00B662C9" w:rsidP="00B662C9">
      <w:pPr>
        <w:ind w:left="284"/>
        <w:jc w:val="both"/>
        <w:rPr>
          <w:rFonts w:ascii="Book Antiqua" w:hAnsi="Book Antiqua" w:cs="AppleSystemUIFont"/>
        </w:rPr>
      </w:pPr>
      <w:r>
        <w:rPr>
          <w:rFonts w:ascii="Book Antiqua" w:hAnsi="Book Antiqua" w:cs="AppleSystemUIFont"/>
        </w:rPr>
        <w:t>“</w:t>
      </w:r>
      <w:r w:rsidRPr="0056264E">
        <w:rPr>
          <w:rFonts w:ascii="Book Antiqua" w:hAnsi="Book Antiqua" w:cs="AppleSystemUIFont"/>
        </w:rPr>
        <w:t>Se entiende como conflicto de interés una situación donde la discusión o votación de un proyecto de ley o acto legislativo o artículo, pueda resultar en un beneficio particular, actual y directo a favor del congresista. </w:t>
      </w:r>
    </w:p>
    <w:p w14:paraId="3170BC19" w14:textId="77777777" w:rsidR="00B662C9" w:rsidRPr="0056264E" w:rsidRDefault="00B662C9" w:rsidP="00B662C9">
      <w:pPr>
        <w:ind w:left="284"/>
        <w:jc w:val="both"/>
        <w:rPr>
          <w:rFonts w:ascii="Book Antiqua" w:hAnsi="Book Antiqua" w:cs="AppleSystemUIFont"/>
        </w:rPr>
      </w:pPr>
      <w:r w:rsidRPr="0056264E">
        <w:rPr>
          <w:rFonts w:ascii="Book Antiqua" w:hAnsi="Book Antiqua" w:cs="AppleSystemUIFont"/>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CECDABB" w14:textId="77777777" w:rsidR="00B662C9" w:rsidRPr="0056264E" w:rsidRDefault="00B662C9" w:rsidP="00B662C9">
      <w:pPr>
        <w:ind w:left="284"/>
        <w:jc w:val="both"/>
        <w:rPr>
          <w:rFonts w:ascii="Book Antiqua" w:hAnsi="Book Antiqua" w:cs="AppleSystemUIFont"/>
        </w:rPr>
      </w:pPr>
      <w:r w:rsidRPr="0056264E">
        <w:rPr>
          <w:rFonts w:ascii="Book Antiqua" w:hAnsi="Book Antiqua" w:cs="AppleSystemUIFont"/>
        </w:rPr>
        <w:t>b) Beneficio actual: aquel que efectivamente se configura en las circunstancias presentes y existentes al momento en el que el congresista participa de la decisión. </w:t>
      </w:r>
    </w:p>
    <w:p w14:paraId="359014FF" w14:textId="77777777" w:rsidR="00B662C9" w:rsidRPr="0056264E" w:rsidRDefault="00B662C9" w:rsidP="00B662C9">
      <w:pPr>
        <w:ind w:left="284"/>
        <w:jc w:val="both"/>
        <w:rPr>
          <w:rFonts w:ascii="Book Antiqua" w:hAnsi="Book Antiqua" w:cs="AppleSystemUIFont"/>
        </w:rPr>
      </w:pPr>
      <w:r w:rsidRPr="0056264E">
        <w:rPr>
          <w:rFonts w:ascii="Book Antiqua" w:hAnsi="Book Antiqua" w:cs="AppleSystemUIFont"/>
        </w:rPr>
        <w:t>c) Beneficio directo: aquel que se produzca de forma específica respecto del congresista, de su cónyuge, compañero o compañera permanente, o parientes dentro del segundo grado de consanguinidad, segundo de afinidad o primero civil.</w:t>
      </w:r>
      <w:r>
        <w:rPr>
          <w:rFonts w:ascii="Book Antiqua" w:hAnsi="Book Antiqua" w:cs="AppleSystemUIFont"/>
        </w:rPr>
        <w:t>”</w:t>
      </w:r>
    </w:p>
    <w:p w14:paraId="7382450A" w14:textId="77777777" w:rsidR="00B662C9" w:rsidRPr="00744615" w:rsidRDefault="00B662C9" w:rsidP="00B662C9">
      <w:pPr>
        <w:jc w:val="both"/>
        <w:rPr>
          <w:rFonts w:ascii="Book Antiqua" w:hAnsi="Book Antiqua" w:cs="AppleSystemUIFont"/>
        </w:rPr>
      </w:pPr>
    </w:p>
    <w:p w14:paraId="679F78A2" w14:textId="77777777" w:rsidR="00B662C9" w:rsidRPr="00744615" w:rsidRDefault="00B662C9" w:rsidP="00B662C9">
      <w:pPr>
        <w:jc w:val="both"/>
        <w:rPr>
          <w:rFonts w:ascii="Book Antiqua" w:hAnsi="Book Antiqua" w:cs="AppleSystemUIFont"/>
        </w:rPr>
      </w:pPr>
      <w:r>
        <w:rPr>
          <w:rFonts w:ascii="Book Antiqua" w:hAnsi="Book Antiqua" w:cs="AppleSystemUIFont"/>
        </w:rPr>
        <w:t>Se</w:t>
      </w:r>
      <w:r w:rsidRPr="00744615">
        <w:rPr>
          <w:rFonts w:ascii="Book Antiqua" w:hAnsi="Book Antiqua" w:cs="AppleSystemUIFont"/>
        </w:rPr>
        <w:t xml:space="preserve"> recuerda que la descripción de los posibles conflictos de interés</w:t>
      </w:r>
      <w:r>
        <w:rPr>
          <w:rFonts w:ascii="Book Antiqua" w:hAnsi="Book Antiqua" w:cs="AppleSystemUIFont"/>
        </w:rPr>
        <w:t xml:space="preserve"> </w:t>
      </w:r>
      <w:r w:rsidRPr="00744615">
        <w:rPr>
          <w:rFonts w:ascii="Book Antiqua" w:hAnsi="Book Antiqua" w:cs="AppleSystemUIFont"/>
        </w:rPr>
        <w:t>que se puedan presentar frente al trámite del presente proyecto de ley</w:t>
      </w:r>
      <w:r>
        <w:rPr>
          <w:rFonts w:ascii="Book Antiqua" w:hAnsi="Book Antiqua" w:cs="AppleSystemUIFont"/>
        </w:rPr>
        <w:t xml:space="preserve">, conforme a lo dispuesto en el artículo 291 de la ley 5 de 1992 </w:t>
      </w:r>
      <w:r w:rsidRPr="00744615">
        <w:rPr>
          <w:rFonts w:ascii="Book Antiqua" w:hAnsi="Book Antiqua" w:cs="AppleSystemUIFont"/>
        </w:rPr>
        <w:t>, no exime del deber del Congresista de identificar otras causales adicionales.</w:t>
      </w:r>
    </w:p>
    <w:p w14:paraId="0839866B" w14:textId="77777777" w:rsidR="00530E89" w:rsidRPr="002B7E87" w:rsidRDefault="00530E89" w:rsidP="00605311">
      <w:pPr>
        <w:autoSpaceDE w:val="0"/>
        <w:autoSpaceDN w:val="0"/>
        <w:adjustRightInd w:val="0"/>
        <w:jc w:val="both"/>
        <w:rPr>
          <w:rFonts w:ascii="Book Antiqua" w:eastAsiaTheme="minorHAnsi" w:hAnsi="Book Antiqua"/>
          <w:lang w:eastAsia="en-US"/>
        </w:rPr>
      </w:pPr>
    </w:p>
    <w:p w14:paraId="7948D4A7" w14:textId="77777777" w:rsidR="00605311" w:rsidRPr="002B7E87" w:rsidRDefault="00605311" w:rsidP="00605311">
      <w:pPr>
        <w:pStyle w:val="Prrafodelista"/>
        <w:numPr>
          <w:ilvl w:val="0"/>
          <w:numId w:val="2"/>
        </w:numPr>
        <w:autoSpaceDE w:val="0"/>
        <w:autoSpaceDN w:val="0"/>
        <w:adjustRightInd w:val="0"/>
        <w:jc w:val="center"/>
        <w:rPr>
          <w:rFonts w:ascii="Book Antiqua" w:eastAsiaTheme="minorHAnsi" w:hAnsi="Book Antiqua"/>
          <w:b/>
          <w:bCs/>
          <w:lang w:eastAsia="en-US"/>
        </w:rPr>
      </w:pPr>
      <w:r w:rsidRPr="002B7E87">
        <w:rPr>
          <w:rFonts w:ascii="Book Antiqua" w:eastAsiaTheme="minorHAnsi" w:hAnsi="Book Antiqua"/>
          <w:b/>
          <w:bCs/>
          <w:lang w:eastAsia="en-US"/>
        </w:rPr>
        <w:t>PROPOSICIÓN</w:t>
      </w:r>
    </w:p>
    <w:p w14:paraId="7A12F1EA" w14:textId="77777777" w:rsidR="00605311" w:rsidRPr="002B7E87" w:rsidRDefault="00605311" w:rsidP="00605311">
      <w:pPr>
        <w:autoSpaceDE w:val="0"/>
        <w:autoSpaceDN w:val="0"/>
        <w:adjustRightInd w:val="0"/>
        <w:rPr>
          <w:rFonts w:ascii="Book Antiqua" w:eastAsiaTheme="minorHAnsi" w:hAnsi="Book Antiqua"/>
          <w:b/>
          <w:bCs/>
          <w:lang w:eastAsia="en-US"/>
        </w:rPr>
      </w:pPr>
    </w:p>
    <w:p w14:paraId="5B4ACF43" w14:textId="4BD2EEA3" w:rsidR="00530E89" w:rsidRPr="00B17DA8" w:rsidRDefault="00605311" w:rsidP="00530E89">
      <w:pPr>
        <w:shd w:val="clear" w:color="auto" w:fill="FFFFFF"/>
        <w:spacing w:line="276" w:lineRule="auto"/>
        <w:ind w:right="-376"/>
        <w:jc w:val="both"/>
        <w:textAlignment w:val="center"/>
        <w:rPr>
          <w:rFonts w:ascii="Arial" w:hAnsi="Arial" w:cs="Arial"/>
          <w:b/>
          <w:lang w:val="es-ES_tradnl"/>
        </w:rPr>
      </w:pPr>
      <w:r w:rsidRPr="002B7E87">
        <w:rPr>
          <w:rFonts w:ascii="Book Antiqua" w:hAnsi="Book Antiqua"/>
        </w:rPr>
        <w:t xml:space="preserve">Con fundamento en las anteriores consideraciones, de manera respetuosa solicito a la Comisión Primera de la Cámara de Representantes, dar primer debate y aprobar el </w:t>
      </w:r>
      <w:r w:rsidR="00CB6843" w:rsidRPr="002B7E87">
        <w:rPr>
          <w:rFonts w:ascii="Book Antiqua" w:hAnsi="Book Antiqua"/>
        </w:rPr>
        <w:t xml:space="preserve">Proyecto de Ley N° 323 </w:t>
      </w:r>
      <w:r w:rsidR="00752825">
        <w:rPr>
          <w:rFonts w:ascii="Book Antiqua" w:hAnsi="Book Antiqua"/>
        </w:rPr>
        <w:t>de 2020</w:t>
      </w:r>
      <w:r w:rsidR="002C7964">
        <w:rPr>
          <w:rFonts w:ascii="Book Antiqua" w:hAnsi="Book Antiqua"/>
        </w:rPr>
        <w:t xml:space="preserve"> </w:t>
      </w:r>
      <w:r w:rsidR="002C7964" w:rsidRPr="002B7E87">
        <w:rPr>
          <w:rFonts w:ascii="Book Antiqua" w:hAnsi="Book Antiqua"/>
          <w:color w:val="000000"/>
        </w:rPr>
        <w:t>Cámara</w:t>
      </w:r>
      <w:r w:rsidR="00752825">
        <w:rPr>
          <w:rFonts w:ascii="Book Antiqua" w:hAnsi="Book Antiqua"/>
        </w:rPr>
        <w:t xml:space="preserve"> </w:t>
      </w:r>
      <w:r w:rsidR="00CB6843" w:rsidRPr="002B7E87">
        <w:rPr>
          <w:rFonts w:ascii="Book Antiqua" w:hAnsi="Book Antiqua"/>
        </w:rPr>
        <w:t>“Por medio del cual se modifican los artículos 1823 y 1824 del Decreto 410 de 1971”</w:t>
      </w:r>
      <w:r w:rsidR="00530E89">
        <w:rPr>
          <w:rFonts w:ascii="Book Antiqua" w:hAnsi="Book Antiqua"/>
        </w:rPr>
        <w:t xml:space="preserve">, </w:t>
      </w:r>
      <w:r w:rsidR="00530E89" w:rsidRPr="00530E89">
        <w:rPr>
          <w:rFonts w:ascii="Book Antiqua" w:hAnsi="Book Antiqua" w:cs="Arial"/>
          <w:lang w:val="es-ES_tradnl"/>
        </w:rPr>
        <w:t xml:space="preserve">conforme al texto </w:t>
      </w:r>
      <w:r w:rsidR="00530E89">
        <w:rPr>
          <w:rFonts w:ascii="Book Antiqua" w:hAnsi="Book Antiqua"/>
        </w:rPr>
        <w:t xml:space="preserve">propuesto </w:t>
      </w:r>
      <w:r w:rsidR="00530E89" w:rsidRPr="00530E89">
        <w:rPr>
          <w:rFonts w:ascii="Book Antiqua" w:hAnsi="Book Antiqua" w:cs="Arial"/>
          <w:lang w:val="es-ES_tradnl"/>
        </w:rPr>
        <w:t>que se anexa.</w:t>
      </w:r>
    </w:p>
    <w:p w14:paraId="15230A17" w14:textId="77777777" w:rsidR="00605311" w:rsidRPr="002B7E87" w:rsidRDefault="00605311" w:rsidP="00605311">
      <w:pPr>
        <w:autoSpaceDE w:val="0"/>
        <w:autoSpaceDN w:val="0"/>
        <w:adjustRightInd w:val="0"/>
        <w:rPr>
          <w:rFonts w:ascii="Book Antiqua" w:eastAsiaTheme="minorHAnsi" w:hAnsi="Book Antiqua"/>
          <w:b/>
          <w:bCs/>
          <w:lang w:eastAsia="en-US"/>
        </w:rPr>
      </w:pPr>
    </w:p>
    <w:p w14:paraId="7C46CC2C" w14:textId="77777777" w:rsidR="00605311" w:rsidRPr="002B7E87" w:rsidRDefault="00605311" w:rsidP="00605311">
      <w:pPr>
        <w:autoSpaceDE w:val="0"/>
        <w:autoSpaceDN w:val="0"/>
        <w:adjustRightInd w:val="0"/>
        <w:rPr>
          <w:rFonts w:ascii="Book Antiqua" w:eastAsiaTheme="minorHAnsi" w:hAnsi="Book Antiqua"/>
          <w:b/>
          <w:bCs/>
          <w:lang w:eastAsia="en-US"/>
        </w:rPr>
      </w:pPr>
    </w:p>
    <w:p w14:paraId="4313C08D" w14:textId="77777777" w:rsidR="00605311" w:rsidRPr="002B7E87" w:rsidRDefault="00605311" w:rsidP="00605311">
      <w:pPr>
        <w:rPr>
          <w:rFonts w:ascii="Book Antiqua" w:hAnsi="Book Antiqua"/>
        </w:rPr>
      </w:pPr>
      <w:r w:rsidRPr="002B7E87">
        <w:rPr>
          <w:rFonts w:ascii="Book Antiqua" w:hAnsi="Book Antiqua"/>
        </w:rPr>
        <w:t xml:space="preserve">De los honorables congresistas, </w:t>
      </w:r>
    </w:p>
    <w:p w14:paraId="67CEB1C5" w14:textId="77777777" w:rsidR="00605311" w:rsidRPr="002B7E87" w:rsidRDefault="00605311" w:rsidP="00605311">
      <w:pPr>
        <w:rPr>
          <w:rFonts w:ascii="Book Antiqua" w:hAnsi="Book Antiqua"/>
        </w:rPr>
      </w:pPr>
    </w:p>
    <w:p w14:paraId="7F86B684" w14:textId="3C927FCA" w:rsidR="00605311" w:rsidRDefault="00605311" w:rsidP="00605311">
      <w:pPr>
        <w:rPr>
          <w:rFonts w:ascii="Book Antiqua" w:hAnsi="Book Antiqua"/>
        </w:rPr>
      </w:pPr>
    </w:p>
    <w:p w14:paraId="5B3D4B5D" w14:textId="77777777" w:rsidR="00B662C9" w:rsidRDefault="00B662C9" w:rsidP="00605311">
      <w:pPr>
        <w:rPr>
          <w:rFonts w:ascii="Book Antiqua" w:hAnsi="Book Antiqua"/>
        </w:rPr>
      </w:pPr>
    </w:p>
    <w:p w14:paraId="53960033" w14:textId="77777777" w:rsidR="00B662C9" w:rsidRPr="002B7E87" w:rsidRDefault="00B662C9" w:rsidP="00605311">
      <w:pPr>
        <w:rPr>
          <w:rFonts w:ascii="Book Antiqua" w:hAnsi="Book Antiqua"/>
        </w:rPr>
      </w:pPr>
    </w:p>
    <w:p w14:paraId="6E14F1FE" w14:textId="77777777" w:rsidR="00605311" w:rsidRPr="002B7E87" w:rsidRDefault="00605311" w:rsidP="00605311">
      <w:pPr>
        <w:rPr>
          <w:rFonts w:ascii="Book Antiqua" w:hAnsi="Book Antiqua"/>
          <w:b/>
        </w:rPr>
      </w:pPr>
    </w:p>
    <w:p w14:paraId="349489D8" w14:textId="77777777" w:rsidR="00605311" w:rsidRPr="002B7E87" w:rsidRDefault="00605311" w:rsidP="00605311">
      <w:pPr>
        <w:rPr>
          <w:rFonts w:ascii="Book Antiqua" w:hAnsi="Book Antiqua"/>
        </w:rPr>
      </w:pPr>
      <w:r w:rsidRPr="002B7E87">
        <w:rPr>
          <w:rFonts w:ascii="Book Antiqua" w:hAnsi="Book Antiqua"/>
        </w:rPr>
        <w:t>_______________________</w:t>
      </w:r>
    </w:p>
    <w:p w14:paraId="417904F3" w14:textId="77777777" w:rsidR="00605311" w:rsidRPr="002B7E87" w:rsidRDefault="00605311" w:rsidP="00605311">
      <w:pPr>
        <w:rPr>
          <w:rFonts w:ascii="Book Antiqua" w:hAnsi="Book Antiqua"/>
          <w:b/>
        </w:rPr>
      </w:pPr>
      <w:r w:rsidRPr="002B7E87">
        <w:rPr>
          <w:rFonts w:ascii="Book Antiqua" w:hAnsi="Book Antiqua"/>
          <w:b/>
        </w:rPr>
        <w:t>JUAN FERNANDO REYES KURI</w:t>
      </w:r>
    </w:p>
    <w:p w14:paraId="5ABFC42E" w14:textId="77777777" w:rsidR="00605311" w:rsidRPr="002B7E87" w:rsidRDefault="00605311" w:rsidP="00605311">
      <w:pPr>
        <w:rPr>
          <w:rFonts w:ascii="Book Antiqua" w:hAnsi="Book Antiqua"/>
        </w:rPr>
      </w:pPr>
      <w:r w:rsidRPr="002B7E87">
        <w:rPr>
          <w:rFonts w:ascii="Book Antiqua" w:hAnsi="Book Antiqua"/>
        </w:rPr>
        <w:t>Representante a la Cámara por el Valle del Cauca</w:t>
      </w:r>
    </w:p>
    <w:p w14:paraId="09D5F3C1" w14:textId="2A1D6D16" w:rsidR="00605311" w:rsidRPr="002B7E87" w:rsidRDefault="00605311" w:rsidP="00605311">
      <w:pPr>
        <w:rPr>
          <w:rFonts w:ascii="Book Antiqua" w:hAnsi="Book Antiqua"/>
        </w:rPr>
      </w:pPr>
      <w:r w:rsidRPr="002B7E87">
        <w:rPr>
          <w:rFonts w:ascii="Book Antiqua" w:hAnsi="Book Antiqua"/>
        </w:rPr>
        <w:t>Partido Liberal</w:t>
      </w:r>
    </w:p>
    <w:p w14:paraId="794C5782" w14:textId="00C6110A" w:rsidR="00CA61B5" w:rsidRPr="002B7E87" w:rsidRDefault="00CA61B5" w:rsidP="00605311">
      <w:pPr>
        <w:rPr>
          <w:rFonts w:ascii="Book Antiqua" w:hAnsi="Book Antiqua"/>
        </w:rPr>
      </w:pPr>
    </w:p>
    <w:p w14:paraId="0396D1B3" w14:textId="618CDD57" w:rsidR="005F6439" w:rsidRPr="005F6439" w:rsidRDefault="005F6439" w:rsidP="005F6439">
      <w:pPr>
        <w:pStyle w:val="Prrafodelista"/>
        <w:numPr>
          <w:ilvl w:val="0"/>
          <w:numId w:val="2"/>
        </w:numPr>
        <w:jc w:val="both"/>
        <w:rPr>
          <w:rFonts w:ascii="Book Antiqua" w:eastAsia="Helvetica Neue" w:hAnsi="Book Antiqua"/>
          <w:b/>
          <w:i/>
          <w:color w:val="000000" w:themeColor="text1"/>
        </w:rPr>
      </w:pPr>
      <w:r w:rsidRPr="005F6439">
        <w:rPr>
          <w:rFonts w:ascii="Book Antiqua" w:eastAsia="Helvetica Neue" w:hAnsi="Book Antiqua"/>
          <w:b/>
        </w:rPr>
        <w:t>TEXTO PROPUESTO PARA PRIMER DEBATE DEL PROYECTO DE LEY No 323 DE 2020</w:t>
      </w:r>
      <w:r w:rsidR="005D0380">
        <w:rPr>
          <w:rFonts w:ascii="Book Antiqua" w:eastAsia="Helvetica Neue" w:hAnsi="Book Antiqua"/>
          <w:b/>
        </w:rPr>
        <w:t xml:space="preserve"> CÁMARA</w:t>
      </w:r>
      <w:r w:rsidRPr="005F6439">
        <w:rPr>
          <w:rFonts w:ascii="Book Antiqua" w:eastAsia="Helvetica Neue" w:hAnsi="Book Antiqua"/>
          <w:b/>
        </w:rPr>
        <w:t>“POR MEDIO DEL CUAL SE MODIFICAN LOS ARTÍCULOS 1823 Y 1824 DEL DECRETO 410 DE 1971”.</w:t>
      </w:r>
    </w:p>
    <w:p w14:paraId="7E343904" w14:textId="77777777" w:rsidR="005F6439" w:rsidRPr="002B7E87" w:rsidRDefault="005F6439" w:rsidP="005F6439">
      <w:pPr>
        <w:pStyle w:val="Prrafodelista"/>
        <w:autoSpaceDE w:val="0"/>
        <w:autoSpaceDN w:val="0"/>
        <w:adjustRightInd w:val="0"/>
        <w:ind w:left="360"/>
        <w:rPr>
          <w:rFonts w:ascii="Book Antiqua" w:eastAsiaTheme="minorHAnsi" w:hAnsi="Book Antiqua"/>
          <w:b/>
          <w:bCs/>
          <w:lang w:eastAsia="en-US"/>
        </w:rPr>
      </w:pPr>
    </w:p>
    <w:p w14:paraId="1F7BB4D5" w14:textId="77777777" w:rsidR="00605311" w:rsidRPr="002B7E87" w:rsidRDefault="00605311" w:rsidP="00605311">
      <w:pPr>
        <w:pStyle w:val="Prrafodelista"/>
        <w:autoSpaceDE w:val="0"/>
        <w:autoSpaceDN w:val="0"/>
        <w:adjustRightInd w:val="0"/>
        <w:ind w:left="360"/>
        <w:rPr>
          <w:rFonts w:ascii="Book Antiqua" w:eastAsiaTheme="minorHAnsi" w:hAnsi="Book Antiqua"/>
          <w:b/>
          <w:lang w:eastAsia="en-US"/>
        </w:rPr>
      </w:pPr>
    </w:p>
    <w:p w14:paraId="3A9A8C74" w14:textId="37698A23" w:rsidR="00F56BF5" w:rsidRPr="002B7E87" w:rsidRDefault="00F56BF5" w:rsidP="007503B5">
      <w:pPr>
        <w:jc w:val="center"/>
        <w:rPr>
          <w:rFonts w:ascii="Book Antiqua" w:eastAsia="Helvetica Neue" w:hAnsi="Book Antiqua"/>
          <w:b/>
        </w:rPr>
      </w:pPr>
      <w:r w:rsidRPr="002B7E87">
        <w:rPr>
          <w:rFonts w:ascii="Book Antiqua" w:eastAsia="Helvetica Neue" w:hAnsi="Book Antiqua"/>
          <w:b/>
        </w:rPr>
        <w:t xml:space="preserve">PROYECTO DE LEY No </w:t>
      </w:r>
      <w:r w:rsidR="007503B5" w:rsidRPr="002B7E87">
        <w:rPr>
          <w:rFonts w:ascii="Book Antiqua" w:eastAsia="Helvetica Neue" w:hAnsi="Book Antiqua"/>
          <w:b/>
        </w:rPr>
        <w:t>323</w:t>
      </w:r>
      <w:r w:rsidRPr="002B7E87">
        <w:rPr>
          <w:rFonts w:ascii="Book Antiqua" w:eastAsia="Helvetica Neue" w:hAnsi="Book Antiqua"/>
          <w:b/>
        </w:rPr>
        <w:t xml:space="preserve"> </w:t>
      </w:r>
      <w:r w:rsidRPr="002C7964">
        <w:rPr>
          <w:rFonts w:ascii="Book Antiqua" w:eastAsia="Helvetica Neue" w:hAnsi="Book Antiqua"/>
          <w:b/>
        </w:rPr>
        <w:t>DE 2020</w:t>
      </w:r>
      <w:r w:rsidR="002C7964" w:rsidRPr="002C7964">
        <w:rPr>
          <w:rFonts w:ascii="Book Antiqua" w:eastAsia="Helvetica Neue" w:hAnsi="Book Antiqua"/>
          <w:b/>
        </w:rPr>
        <w:t xml:space="preserve"> </w:t>
      </w:r>
      <w:r w:rsidR="002C7964" w:rsidRPr="002C7964">
        <w:rPr>
          <w:rFonts w:ascii="Book Antiqua" w:hAnsi="Book Antiqua"/>
          <w:b/>
          <w:color w:val="000000"/>
        </w:rPr>
        <w:t>CÁMARA</w:t>
      </w:r>
    </w:p>
    <w:p w14:paraId="560B0C4A" w14:textId="77777777" w:rsidR="00F56BF5" w:rsidRPr="002B7E87" w:rsidRDefault="00F56BF5" w:rsidP="007503B5">
      <w:pPr>
        <w:jc w:val="center"/>
        <w:rPr>
          <w:rFonts w:ascii="Book Antiqua" w:eastAsia="Helvetica Neue" w:hAnsi="Book Antiqua"/>
          <w:b/>
        </w:rPr>
      </w:pPr>
    </w:p>
    <w:p w14:paraId="00E35E09" w14:textId="640685BC" w:rsidR="00F56BF5" w:rsidRPr="002B7E87" w:rsidRDefault="00F56BF5" w:rsidP="007503B5">
      <w:pPr>
        <w:jc w:val="center"/>
        <w:rPr>
          <w:rFonts w:ascii="Book Antiqua" w:eastAsia="Helvetica Neue" w:hAnsi="Book Antiqua"/>
          <w:b/>
        </w:rPr>
      </w:pPr>
      <w:r w:rsidRPr="002B7E87">
        <w:rPr>
          <w:rFonts w:ascii="Book Antiqua" w:eastAsia="Helvetica Neue" w:hAnsi="Book Antiqua"/>
          <w:b/>
        </w:rPr>
        <w:t>“Por medio del cual se modifican los artículos 1823 y 1824 del Decreto 410 de 1971”</w:t>
      </w:r>
    </w:p>
    <w:p w14:paraId="2D9B2902" w14:textId="77777777" w:rsidR="00F56BF5" w:rsidRPr="002B7E87" w:rsidRDefault="00F56BF5" w:rsidP="007503B5">
      <w:pPr>
        <w:jc w:val="center"/>
        <w:rPr>
          <w:rFonts w:ascii="Book Antiqua" w:eastAsia="Helvetica Neue" w:hAnsi="Book Antiqua"/>
          <w:bCs/>
        </w:rPr>
      </w:pPr>
    </w:p>
    <w:p w14:paraId="3480EBE0" w14:textId="38EB9CBA" w:rsidR="00F56BF5" w:rsidRDefault="00F56BF5" w:rsidP="007503B5">
      <w:pPr>
        <w:jc w:val="center"/>
        <w:rPr>
          <w:rFonts w:ascii="Book Antiqua" w:eastAsia="Helvetica Neue" w:hAnsi="Book Antiqua"/>
          <w:bCs/>
        </w:rPr>
      </w:pPr>
      <w:r w:rsidRPr="002B7E87">
        <w:rPr>
          <w:rFonts w:ascii="Book Antiqua" w:eastAsia="Helvetica Neue" w:hAnsi="Book Antiqua"/>
          <w:bCs/>
        </w:rPr>
        <w:t>EL CONGRESO DE COLOMBIA,</w:t>
      </w:r>
    </w:p>
    <w:p w14:paraId="41E87020" w14:textId="77777777" w:rsidR="005F6439" w:rsidRPr="002B7E87" w:rsidRDefault="005F6439" w:rsidP="007503B5">
      <w:pPr>
        <w:jc w:val="center"/>
        <w:rPr>
          <w:rFonts w:ascii="Book Antiqua" w:eastAsia="Helvetica Neue" w:hAnsi="Book Antiqua"/>
          <w:bCs/>
        </w:rPr>
      </w:pPr>
    </w:p>
    <w:p w14:paraId="50E5AD8E" w14:textId="77777777" w:rsidR="00F56BF5" w:rsidRPr="002B7E87" w:rsidRDefault="00F56BF5" w:rsidP="007503B5">
      <w:pPr>
        <w:jc w:val="center"/>
        <w:rPr>
          <w:rFonts w:ascii="Book Antiqua" w:eastAsia="Helvetica Neue" w:hAnsi="Book Antiqua"/>
          <w:bCs/>
        </w:rPr>
      </w:pPr>
      <w:r w:rsidRPr="002B7E87">
        <w:rPr>
          <w:rFonts w:ascii="Book Antiqua" w:eastAsia="Helvetica Neue" w:hAnsi="Book Antiqua"/>
          <w:bCs/>
        </w:rPr>
        <w:t>DECRETA:</w:t>
      </w:r>
    </w:p>
    <w:p w14:paraId="163FF31F" w14:textId="77777777" w:rsidR="00F56BF5" w:rsidRPr="002B7E87" w:rsidRDefault="00F56BF5" w:rsidP="00F56BF5">
      <w:pPr>
        <w:jc w:val="both"/>
        <w:rPr>
          <w:rFonts w:ascii="Book Antiqua" w:eastAsia="Helvetica Neue" w:hAnsi="Book Antiqua"/>
          <w:b/>
        </w:rPr>
      </w:pPr>
    </w:p>
    <w:p w14:paraId="2E5EB5D8" w14:textId="77777777" w:rsidR="00F56BF5" w:rsidRPr="002B7E87" w:rsidRDefault="00F56BF5" w:rsidP="00F56BF5">
      <w:pPr>
        <w:jc w:val="both"/>
        <w:rPr>
          <w:rFonts w:ascii="Book Antiqua" w:eastAsia="Helvetica Neue" w:hAnsi="Book Antiqua"/>
          <w:b/>
        </w:rPr>
      </w:pPr>
      <w:r w:rsidRPr="002B7E87">
        <w:rPr>
          <w:rFonts w:ascii="Book Antiqua" w:eastAsia="Helvetica Neue" w:hAnsi="Book Antiqua"/>
          <w:b/>
        </w:rPr>
        <w:t>ARTÍCULO 1. El artículo 1823 del Decreto 410 de 1971, quedará así:</w:t>
      </w:r>
    </w:p>
    <w:p w14:paraId="0272E12F" w14:textId="77777777" w:rsidR="00F56BF5" w:rsidRPr="002B7E87" w:rsidRDefault="00F56BF5" w:rsidP="00F56BF5">
      <w:pPr>
        <w:jc w:val="both"/>
        <w:rPr>
          <w:rFonts w:ascii="Book Antiqua" w:eastAsia="Helvetica Neue" w:hAnsi="Book Antiqua"/>
          <w:b/>
        </w:rPr>
      </w:pPr>
    </w:p>
    <w:p w14:paraId="0C358704" w14:textId="77777777" w:rsidR="00F56BF5" w:rsidRPr="002B7E87" w:rsidRDefault="00F56BF5" w:rsidP="00F56BF5">
      <w:pPr>
        <w:jc w:val="both"/>
        <w:rPr>
          <w:rFonts w:ascii="Book Antiqua" w:eastAsia="Helvetica Neue" w:hAnsi="Book Antiqua"/>
          <w:b/>
        </w:rPr>
      </w:pPr>
    </w:p>
    <w:p w14:paraId="7C896E1B" w14:textId="3BD8E74E" w:rsidR="00F56BF5" w:rsidRDefault="00F56BF5" w:rsidP="00F56BF5">
      <w:pPr>
        <w:jc w:val="both"/>
        <w:rPr>
          <w:rFonts w:ascii="Book Antiqua" w:eastAsia="Helvetica Neue" w:hAnsi="Book Antiqua"/>
          <w:bCs/>
        </w:rPr>
      </w:pPr>
      <w:r w:rsidRPr="002B7E87">
        <w:rPr>
          <w:rFonts w:ascii="Book Antiqua" w:eastAsia="Helvetica Neue" w:hAnsi="Book Antiqua"/>
          <w:b/>
        </w:rPr>
        <w:t xml:space="preserve">ARTÍCULO 1823. DEFINICIÓN DE SUPERFICIE DE DESPEGUE. </w:t>
      </w:r>
      <w:r w:rsidRPr="002B7E87">
        <w:rPr>
          <w:rFonts w:ascii="Book Antiqua" w:eastAsia="Helvetica Neue" w:hAnsi="Book Antiqua"/>
          <w:bCs/>
        </w:rPr>
        <w:t xml:space="preserve">Denomínense superficies de despegue las áreas imaginarias, oblicuas y horizontales, que se extienden sobre cada aeródromo y sus inmediaciones, en las cuales está limitada la altura de los obstáculos a la circulación aérea. </w:t>
      </w:r>
    </w:p>
    <w:p w14:paraId="0B2E6F09" w14:textId="77777777" w:rsidR="005F6439" w:rsidRPr="002B7E87" w:rsidRDefault="005F6439" w:rsidP="00F56BF5">
      <w:pPr>
        <w:jc w:val="both"/>
        <w:rPr>
          <w:rFonts w:ascii="Book Antiqua" w:eastAsia="Helvetica Neue" w:hAnsi="Book Antiqua"/>
          <w:bCs/>
        </w:rPr>
      </w:pPr>
    </w:p>
    <w:p w14:paraId="3F5207D9" w14:textId="0F665BA1" w:rsidR="00F56BF5" w:rsidRDefault="00F56BF5" w:rsidP="00F56BF5">
      <w:pPr>
        <w:jc w:val="both"/>
        <w:rPr>
          <w:rFonts w:ascii="Book Antiqua" w:eastAsia="Helvetica Neue" w:hAnsi="Book Antiqua"/>
          <w:bCs/>
        </w:rPr>
      </w:pPr>
      <w:r w:rsidRPr="002B7E87">
        <w:rPr>
          <w:rFonts w:ascii="Book Antiqua" w:eastAsia="Helvetica Neue" w:hAnsi="Book Antiqua"/>
          <w:bCs/>
        </w:rPr>
        <w:t xml:space="preserve">La entidad territorial donde esté construido o se pretenda construir un aeródromo determinará las superficies de despeje y la altura máxima de las construcciones y plantaciones bajo dichas superficies, en el respectivo plan de ordenamiento territorial en concordancia con las normas técnicas que para tal fin expida el gobierno nacional. </w:t>
      </w:r>
    </w:p>
    <w:p w14:paraId="64D5DB2B" w14:textId="77777777" w:rsidR="005F6439" w:rsidRPr="002B7E87" w:rsidRDefault="005F6439" w:rsidP="00F56BF5">
      <w:pPr>
        <w:jc w:val="both"/>
        <w:rPr>
          <w:rFonts w:ascii="Book Antiqua" w:eastAsia="Helvetica Neue" w:hAnsi="Book Antiqua"/>
          <w:bCs/>
        </w:rPr>
      </w:pPr>
    </w:p>
    <w:p w14:paraId="4903D8BD" w14:textId="60FB7CB5" w:rsidR="00F56BF5" w:rsidRDefault="00F56BF5" w:rsidP="00F56BF5">
      <w:pPr>
        <w:jc w:val="both"/>
        <w:rPr>
          <w:rFonts w:ascii="Book Antiqua" w:eastAsia="Helvetica Neue" w:hAnsi="Book Antiqua"/>
          <w:bCs/>
        </w:rPr>
      </w:pPr>
      <w:r w:rsidRPr="002B7E87">
        <w:rPr>
          <w:rFonts w:ascii="Book Antiqua" w:eastAsia="Helvetica Neue" w:hAnsi="Book Antiqua"/>
          <w:b/>
        </w:rPr>
        <w:t>PARÁGRAFO</w:t>
      </w:r>
      <w:r w:rsidRPr="002B7E87">
        <w:rPr>
          <w:rFonts w:ascii="Book Antiqua" w:eastAsia="Helvetica Neue" w:hAnsi="Book Antiqua"/>
          <w:bCs/>
        </w:rPr>
        <w:t>. Para la determinación de instalación y/o operación de un aeródromo militar en cualquier territorio del país se deberá atender a lo dispuesto en la legislación nacional, así como los tratados internacionales ratificados por Colombia, especialmente los que constituyen el derecho internacional humanitario.</w:t>
      </w:r>
    </w:p>
    <w:p w14:paraId="2AEC0718" w14:textId="77777777" w:rsidR="005F6439" w:rsidRPr="002B7E87" w:rsidRDefault="005F6439" w:rsidP="00F56BF5">
      <w:pPr>
        <w:jc w:val="both"/>
        <w:rPr>
          <w:rFonts w:ascii="Book Antiqua" w:eastAsia="Helvetica Neue" w:hAnsi="Book Antiqua"/>
          <w:bCs/>
        </w:rPr>
      </w:pPr>
    </w:p>
    <w:p w14:paraId="339E9A63" w14:textId="77777777" w:rsidR="00F56BF5" w:rsidRPr="002B7E87" w:rsidRDefault="00F56BF5" w:rsidP="00F56BF5">
      <w:pPr>
        <w:jc w:val="both"/>
        <w:rPr>
          <w:rFonts w:ascii="Book Antiqua" w:eastAsia="Helvetica Neue" w:hAnsi="Book Antiqua"/>
          <w:b/>
        </w:rPr>
      </w:pPr>
    </w:p>
    <w:p w14:paraId="669585A1" w14:textId="77777777" w:rsidR="00F56BF5" w:rsidRPr="002B7E87" w:rsidRDefault="00F56BF5" w:rsidP="00F56BF5">
      <w:pPr>
        <w:jc w:val="both"/>
        <w:rPr>
          <w:rFonts w:ascii="Book Antiqua" w:eastAsia="Helvetica Neue" w:hAnsi="Book Antiqua"/>
          <w:b/>
        </w:rPr>
      </w:pPr>
      <w:r w:rsidRPr="002B7E87">
        <w:rPr>
          <w:rFonts w:ascii="Book Antiqua" w:eastAsia="Helvetica Neue" w:hAnsi="Book Antiqua"/>
          <w:b/>
        </w:rPr>
        <w:t>ARTÍCULO 2. El artículo 1824 del Decreto 410 de 1971, quedará así:</w:t>
      </w:r>
    </w:p>
    <w:p w14:paraId="19D42CAA" w14:textId="77777777" w:rsidR="00E7349F" w:rsidRPr="002B7E87" w:rsidRDefault="00E7349F" w:rsidP="00F56BF5">
      <w:pPr>
        <w:jc w:val="both"/>
        <w:rPr>
          <w:rFonts w:ascii="Book Antiqua" w:eastAsia="Helvetica Neue" w:hAnsi="Book Antiqua"/>
          <w:b/>
        </w:rPr>
      </w:pPr>
    </w:p>
    <w:p w14:paraId="473BECE2" w14:textId="73DACD9A" w:rsidR="005F6439" w:rsidRPr="002B7E87" w:rsidRDefault="00F56BF5" w:rsidP="00F56BF5">
      <w:pPr>
        <w:jc w:val="both"/>
        <w:rPr>
          <w:rFonts w:ascii="Book Antiqua" w:eastAsia="Helvetica Neue" w:hAnsi="Book Antiqua"/>
          <w:bCs/>
        </w:rPr>
      </w:pPr>
      <w:r w:rsidRPr="002B7E87">
        <w:rPr>
          <w:rFonts w:ascii="Book Antiqua" w:eastAsia="Helvetica Neue" w:hAnsi="Book Antiqua"/>
          <w:b/>
        </w:rPr>
        <w:t xml:space="preserve">ARTÍCULO 1824. PERMISO DE LA ENTIDAD TERRITORIAL PARA LEVANTAR CONSTRUCCIONES O PLANTACIONES. </w:t>
      </w:r>
      <w:r w:rsidRPr="002B7E87">
        <w:rPr>
          <w:rFonts w:ascii="Book Antiqua" w:eastAsia="Helvetica Neue" w:hAnsi="Book Antiqua"/>
          <w:bCs/>
        </w:rPr>
        <w:t xml:space="preserve">Dentro de las áreas a que se refiere el inciso segundo. del artículo anterior, no se podrán levantar construcciones o plantaciones sin permiso de la autoridad municipal, territorial y/o administrativa respectiva, de conformidad con lo establecido en el plan de ordenamiento territorial. </w:t>
      </w:r>
    </w:p>
    <w:p w14:paraId="6538977F" w14:textId="77777777" w:rsidR="00E7349F" w:rsidRPr="002B7E87" w:rsidRDefault="00E7349F" w:rsidP="00F56BF5">
      <w:pPr>
        <w:jc w:val="both"/>
        <w:rPr>
          <w:rFonts w:ascii="Book Antiqua" w:eastAsia="Helvetica Neue" w:hAnsi="Book Antiqua"/>
          <w:b/>
        </w:rPr>
      </w:pPr>
    </w:p>
    <w:p w14:paraId="1C81D741" w14:textId="7BC23A04" w:rsidR="00605311" w:rsidRPr="002B7E87" w:rsidRDefault="00F56BF5" w:rsidP="00F56BF5">
      <w:pPr>
        <w:jc w:val="both"/>
        <w:rPr>
          <w:rFonts w:ascii="Book Antiqua" w:eastAsia="Helvetica Neue" w:hAnsi="Book Antiqua"/>
        </w:rPr>
      </w:pPr>
      <w:r w:rsidRPr="002B7E87">
        <w:rPr>
          <w:rFonts w:ascii="Book Antiqua" w:eastAsia="Helvetica Neue" w:hAnsi="Book Antiqua"/>
          <w:b/>
        </w:rPr>
        <w:t xml:space="preserve">ARTÍCULO 3. VIGENCIA. </w:t>
      </w:r>
      <w:r w:rsidRPr="002B7E87">
        <w:rPr>
          <w:rFonts w:ascii="Book Antiqua" w:eastAsia="Helvetica Neue" w:hAnsi="Book Antiqua"/>
          <w:bCs/>
        </w:rPr>
        <w:t>La presente ley rige a partir del momento de su promulgación y deroga las disposiciones que le sean contrarias.</w:t>
      </w:r>
    </w:p>
    <w:p w14:paraId="3C2B929C" w14:textId="77777777" w:rsidR="00605311" w:rsidRPr="002B7E87" w:rsidRDefault="00605311" w:rsidP="00605311">
      <w:pPr>
        <w:ind w:left="360"/>
        <w:jc w:val="both"/>
        <w:rPr>
          <w:rFonts w:ascii="Book Antiqua" w:eastAsia="Helvetica Neue" w:hAnsi="Book Antiqua"/>
        </w:rPr>
      </w:pPr>
    </w:p>
    <w:p w14:paraId="6EA434C6" w14:textId="582D4D9B" w:rsidR="00605311" w:rsidRDefault="00605311" w:rsidP="00605311">
      <w:pPr>
        <w:jc w:val="both"/>
        <w:rPr>
          <w:rFonts w:ascii="Book Antiqua" w:eastAsia="Helvetica Neue" w:hAnsi="Book Antiqua"/>
        </w:rPr>
      </w:pPr>
    </w:p>
    <w:p w14:paraId="5D0715C3" w14:textId="77777777" w:rsidR="005F6439" w:rsidRPr="002B7E87" w:rsidRDefault="005F6439" w:rsidP="00605311">
      <w:pPr>
        <w:jc w:val="both"/>
        <w:rPr>
          <w:rFonts w:ascii="Book Antiqua" w:eastAsia="Helvetica Neue" w:hAnsi="Book Antiqua"/>
        </w:rPr>
      </w:pPr>
    </w:p>
    <w:p w14:paraId="2C89826C" w14:textId="77777777" w:rsidR="00605311" w:rsidRPr="002B7E87" w:rsidRDefault="00605311" w:rsidP="00605311">
      <w:pPr>
        <w:jc w:val="both"/>
        <w:rPr>
          <w:rFonts w:ascii="Book Antiqua" w:eastAsia="Helvetica Neue" w:hAnsi="Book Antiqua"/>
        </w:rPr>
      </w:pPr>
    </w:p>
    <w:p w14:paraId="325D31B1" w14:textId="77777777" w:rsidR="00605311" w:rsidRPr="002B7E87" w:rsidRDefault="00605311" w:rsidP="00605311">
      <w:pPr>
        <w:jc w:val="both"/>
        <w:rPr>
          <w:rFonts w:ascii="Book Antiqua" w:eastAsia="Helvetica Neue" w:hAnsi="Book Antiqua"/>
        </w:rPr>
      </w:pPr>
      <w:r w:rsidRPr="002B7E87">
        <w:rPr>
          <w:rFonts w:ascii="Book Antiqua" w:eastAsia="Helvetica Neue" w:hAnsi="Book Antiqua"/>
        </w:rPr>
        <w:t>De los honorables congresistas,</w:t>
      </w:r>
    </w:p>
    <w:p w14:paraId="3C481F94" w14:textId="77777777" w:rsidR="00605311" w:rsidRPr="002B7E87" w:rsidRDefault="00605311" w:rsidP="00605311">
      <w:pPr>
        <w:jc w:val="both"/>
        <w:rPr>
          <w:rFonts w:ascii="Book Antiqua" w:eastAsia="Helvetica Neue" w:hAnsi="Book Antiqua"/>
          <w:b/>
        </w:rPr>
      </w:pPr>
    </w:p>
    <w:p w14:paraId="35F04729" w14:textId="77777777" w:rsidR="00605311" w:rsidRPr="002B7E87" w:rsidRDefault="00605311" w:rsidP="00605311">
      <w:pPr>
        <w:jc w:val="both"/>
        <w:rPr>
          <w:rFonts w:ascii="Book Antiqua" w:eastAsia="Helvetica Neue" w:hAnsi="Book Antiqua"/>
          <w:b/>
        </w:rPr>
      </w:pPr>
    </w:p>
    <w:p w14:paraId="5DE6B3EE" w14:textId="77777777" w:rsidR="00605311" w:rsidRPr="002B7E87" w:rsidRDefault="00605311" w:rsidP="00605311">
      <w:pPr>
        <w:jc w:val="both"/>
        <w:rPr>
          <w:rFonts w:ascii="Book Antiqua" w:eastAsia="Helvetica Neue" w:hAnsi="Book Antiqua"/>
          <w:b/>
        </w:rPr>
      </w:pPr>
    </w:p>
    <w:p w14:paraId="76918899" w14:textId="77777777" w:rsidR="00605311" w:rsidRPr="002B7E87" w:rsidRDefault="00605311" w:rsidP="00605311">
      <w:pPr>
        <w:jc w:val="both"/>
        <w:rPr>
          <w:rFonts w:ascii="Book Antiqua" w:eastAsia="Helvetica Neue" w:hAnsi="Book Antiqua"/>
          <w:b/>
        </w:rPr>
      </w:pPr>
    </w:p>
    <w:p w14:paraId="48325F4D" w14:textId="77777777" w:rsidR="00605311" w:rsidRPr="002B7E87" w:rsidRDefault="00605311" w:rsidP="00605311">
      <w:pPr>
        <w:jc w:val="both"/>
        <w:rPr>
          <w:rFonts w:ascii="Book Antiqua" w:eastAsia="Helvetica Neue" w:hAnsi="Book Antiqua"/>
          <w:b/>
        </w:rPr>
      </w:pPr>
    </w:p>
    <w:p w14:paraId="4F7EE16B" w14:textId="77777777" w:rsidR="00605311" w:rsidRPr="002B7E87" w:rsidRDefault="00605311" w:rsidP="00605311">
      <w:pPr>
        <w:jc w:val="both"/>
        <w:rPr>
          <w:rFonts w:ascii="Book Antiqua" w:eastAsia="Helvetica Neue" w:hAnsi="Book Antiqua"/>
          <w:b/>
        </w:rPr>
      </w:pPr>
    </w:p>
    <w:p w14:paraId="519A948C" w14:textId="77777777" w:rsidR="00605311" w:rsidRPr="002B7E87" w:rsidRDefault="00605311" w:rsidP="00605311">
      <w:pPr>
        <w:rPr>
          <w:rFonts w:ascii="Book Antiqua" w:hAnsi="Book Antiqua"/>
        </w:rPr>
      </w:pPr>
      <w:r w:rsidRPr="002B7E87">
        <w:rPr>
          <w:rFonts w:ascii="Book Antiqua" w:hAnsi="Book Antiqua"/>
        </w:rPr>
        <w:t>_______________________</w:t>
      </w:r>
    </w:p>
    <w:p w14:paraId="32418E0F" w14:textId="77777777" w:rsidR="00605311" w:rsidRPr="002B7E87" w:rsidRDefault="00605311" w:rsidP="00605311">
      <w:pPr>
        <w:rPr>
          <w:rFonts w:ascii="Book Antiqua" w:hAnsi="Book Antiqua"/>
          <w:b/>
        </w:rPr>
      </w:pPr>
      <w:r w:rsidRPr="002B7E87">
        <w:rPr>
          <w:rFonts w:ascii="Book Antiqua" w:hAnsi="Book Antiqua"/>
          <w:b/>
        </w:rPr>
        <w:t>JUAN FERNANDO REYES KURI</w:t>
      </w:r>
    </w:p>
    <w:p w14:paraId="17F3AF11" w14:textId="77777777" w:rsidR="00605311" w:rsidRPr="002B7E87" w:rsidRDefault="00605311" w:rsidP="00605311">
      <w:pPr>
        <w:rPr>
          <w:rFonts w:ascii="Book Antiqua" w:hAnsi="Book Antiqua"/>
        </w:rPr>
      </w:pPr>
      <w:r w:rsidRPr="002B7E87">
        <w:rPr>
          <w:rFonts w:ascii="Book Antiqua" w:hAnsi="Book Antiqua"/>
        </w:rPr>
        <w:t>Representante a la Cámara por el Valle del Cauca</w:t>
      </w:r>
    </w:p>
    <w:p w14:paraId="7A8FDBF0" w14:textId="77777777" w:rsidR="00605311" w:rsidRPr="002B7E87" w:rsidRDefault="00605311" w:rsidP="00605311">
      <w:pPr>
        <w:rPr>
          <w:rFonts w:ascii="Book Antiqua" w:hAnsi="Book Antiqua"/>
        </w:rPr>
      </w:pPr>
      <w:r w:rsidRPr="002B7E87">
        <w:rPr>
          <w:rFonts w:ascii="Book Antiqua" w:hAnsi="Book Antiqua"/>
        </w:rPr>
        <w:t>Partido Liberal</w:t>
      </w:r>
    </w:p>
    <w:p w14:paraId="7BF5924D" w14:textId="77777777" w:rsidR="00605311" w:rsidRPr="002B7E87" w:rsidRDefault="00605311" w:rsidP="00605311">
      <w:pPr>
        <w:ind w:left="360"/>
        <w:rPr>
          <w:rFonts w:ascii="Book Antiqua" w:eastAsia="Helvetica Neue" w:hAnsi="Book Antiqua"/>
        </w:rPr>
      </w:pPr>
    </w:p>
    <w:p w14:paraId="16FA8797" w14:textId="77777777" w:rsidR="00605311" w:rsidRPr="002B7E87" w:rsidRDefault="00605311" w:rsidP="00605311">
      <w:pPr>
        <w:ind w:left="360"/>
        <w:rPr>
          <w:rFonts w:ascii="Book Antiqua" w:eastAsia="Helvetica Neue" w:hAnsi="Book Antiqua"/>
        </w:rPr>
      </w:pPr>
    </w:p>
    <w:p w14:paraId="243069D3" w14:textId="77777777" w:rsidR="00605311" w:rsidRPr="002B7E87" w:rsidRDefault="00605311" w:rsidP="00605311">
      <w:pPr>
        <w:rPr>
          <w:rFonts w:ascii="Book Antiqua" w:eastAsia="Helvetica Neue" w:hAnsi="Book Antiqua"/>
        </w:rPr>
      </w:pPr>
    </w:p>
    <w:p w14:paraId="70587F71" w14:textId="77777777" w:rsidR="00605311" w:rsidRPr="002B7E87" w:rsidRDefault="00605311" w:rsidP="00605311">
      <w:pPr>
        <w:ind w:left="360"/>
        <w:rPr>
          <w:rFonts w:ascii="Book Antiqua" w:eastAsia="Helvetica Neue" w:hAnsi="Book Antiqua"/>
        </w:rPr>
      </w:pPr>
    </w:p>
    <w:p w14:paraId="0E1E104F" w14:textId="77777777" w:rsidR="00605311" w:rsidRPr="002B7E87" w:rsidRDefault="00605311" w:rsidP="00605311">
      <w:pPr>
        <w:autoSpaceDE w:val="0"/>
        <w:autoSpaceDN w:val="0"/>
        <w:adjustRightInd w:val="0"/>
        <w:rPr>
          <w:rFonts w:ascii="Book Antiqua" w:eastAsia="Helvetica Neue" w:hAnsi="Book Antiqua"/>
        </w:rPr>
      </w:pPr>
    </w:p>
    <w:p w14:paraId="32645CB9" w14:textId="416F6DFF" w:rsidR="00605311" w:rsidRDefault="00605311" w:rsidP="00605311">
      <w:pPr>
        <w:autoSpaceDE w:val="0"/>
        <w:autoSpaceDN w:val="0"/>
        <w:adjustRightInd w:val="0"/>
        <w:rPr>
          <w:rFonts w:ascii="Book Antiqua" w:eastAsiaTheme="minorHAnsi" w:hAnsi="Book Antiqua"/>
          <w:b/>
          <w:bCs/>
          <w:lang w:eastAsia="en-US"/>
        </w:rPr>
      </w:pPr>
    </w:p>
    <w:p w14:paraId="6ADBA042" w14:textId="069FEEE7" w:rsidR="003E203F" w:rsidRDefault="003E203F" w:rsidP="00605311">
      <w:pPr>
        <w:autoSpaceDE w:val="0"/>
        <w:autoSpaceDN w:val="0"/>
        <w:adjustRightInd w:val="0"/>
        <w:rPr>
          <w:rFonts w:ascii="Book Antiqua" w:eastAsiaTheme="minorHAnsi" w:hAnsi="Book Antiqua"/>
          <w:b/>
          <w:bCs/>
          <w:lang w:eastAsia="en-US"/>
        </w:rPr>
      </w:pPr>
    </w:p>
    <w:p w14:paraId="409CCF30" w14:textId="5AC531E9" w:rsidR="003E203F" w:rsidRDefault="003E203F" w:rsidP="00605311">
      <w:pPr>
        <w:autoSpaceDE w:val="0"/>
        <w:autoSpaceDN w:val="0"/>
        <w:adjustRightInd w:val="0"/>
        <w:rPr>
          <w:rFonts w:ascii="Book Antiqua" w:eastAsiaTheme="minorHAnsi" w:hAnsi="Book Antiqua"/>
          <w:b/>
          <w:bCs/>
          <w:lang w:eastAsia="en-US"/>
        </w:rPr>
      </w:pPr>
    </w:p>
    <w:p w14:paraId="5A18B0CD" w14:textId="00439DAA" w:rsidR="003E203F" w:rsidRDefault="003E203F" w:rsidP="00605311">
      <w:pPr>
        <w:autoSpaceDE w:val="0"/>
        <w:autoSpaceDN w:val="0"/>
        <w:adjustRightInd w:val="0"/>
        <w:rPr>
          <w:rFonts w:ascii="Book Antiqua" w:eastAsiaTheme="minorHAnsi" w:hAnsi="Book Antiqua"/>
          <w:b/>
          <w:bCs/>
          <w:lang w:eastAsia="en-US"/>
        </w:rPr>
      </w:pPr>
    </w:p>
    <w:p w14:paraId="3D043988" w14:textId="661FE7C7" w:rsidR="003E203F" w:rsidRDefault="003E203F" w:rsidP="00605311">
      <w:pPr>
        <w:autoSpaceDE w:val="0"/>
        <w:autoSpaceDN w:val="0"/>
        <w:adjustRightInd w:val="0"/>
        <w:rPr>
          <w:rFonts w:ascii="Book Antiqua" w:eastAsiaTheme="minorHAnsi" w:hAnsi="Book Antiqua"/>
          <w:b/>
          <w:bCs/>
          <w:lang w:eastAsia="en-US"/>
        </w:rPr>
      </w:pPr>
    </w:p>
    <w:p w14:paraId="710BAF8E" w14:textId="685ADADC" w:rsidR="003E203F" w:rsidRDefault="003E203F" w:rsidP="00605311">
      <w:pPr>
        <w:autoSpaceDE w:val="0"/>
        <w:autoSpaceDN w:val="0"/>
        <w:adjustRightInd w:val="0"/>
        <w:rPr>
          <w:rFonts w:ascii="Book Antiqua" w:eastAsiaTheme="minorHAnsi" w:hAnsi="Book Antiqua"/>
          <w:b/>
          <w:bCs/>
          <w:lang w:eastAsia="en-US"/>
        </w:rPr>
      </w:pPr>
    </w:p>
    <w:p w14:paraId="008B28EE" w14:textId="75ADE15D" w:rsidR="003E203F" w:rsidRDefault="003E203F" w:rsidP="00605311">
      <w:pPr>
        <w:autoSpaceDE w:val="0"/>
        <w:autoSpaceDN w:val="0"/>
        <w:adjustRightInd w:val="0"/>
        <w:rPr>
          <w:rFonts w:ascii="Book Antiqua" w:eastAsiaTheme="minorHAnsi" w:hAnsi="Book Antiqua"/>
          <w:b/>
          <w:bCs/>
          <w:lang w:eastAsia="en-US"/>
        </w:rPr>
      </w:pPr>
    </w:p>
    <w:p w14:paraId="2AABA1C0" w14:textId="15691699" w:rsidR="003E203F" w:rsidRDefault="003E203F" w:rsidP="00605311">
      <w:pPr>
        <w:autoSpaceDE w:val="0"/>
        <w:autoSpaceDN w:val="0"/>
        <w:adjustRightInd w:val="0"/>
        <w:rPr>
          <w:rFonts w:ascii="Book Antiqua" w:eastAsiaTheme="minorHAnsi" w:hAnsi="Book Antiqua"/>
          <w:b/>
          <w:bCs/>
          <w:lang w:eastAsia="en-US"/>
        </w:rPr>
      </w:pPr>
    </w:p>
    <w:p w14:paraId="7B94A8DF" w14:textId="111F632F" w:rsidR="003E203F" w:rsidRDefault="003E203F" w:rsidP="00605311">
      <w:pPr>
        <w:autoSpaceDE w:val="0"/>
        <w:autoSpaceDN w:val="0"/>
        <w:adjustRightInd w:val="0"/>
        <w:rPr>
          <w:rFonts w:ascii="Book Antiqua" w:eastAsiaTheme="minorHAnsi" w:hAnsi="Book Antiqua"/>
          <w:b/>
          <w:bCs/>
          <w:lang w:eastAsia="en-US"/>
        </w:rPr>
      </w:pPr>
    </w:p>
    <w:p w14:paraId="7C2CB266" w14:textId="59C4F953" w:rsidR="003E203F" w:rsidRDefault="003E203F" w:rsidP="00605311">
      <w:pPr>
        <w:autoSpaceDE w:val="0"/>
        <w:autoSpaceDN w:val="0"/>
        <w:adjustRightInd w:val="0"/>
        <w:rPr>
          <w:rFonts w:ascii="Book Antiqua" w:eastAsiaTheme="minorHAnsi" w:hAnsi="Book Antiqua"/>
          <w:b/>
          <w:bCs/>
          <w:lang w:eastAsia="en-US"/>
        </w:rPr>
      </w:pPr>
    </w:p>
    <w:p w14:paraId="749DD22C" w14:textId="6594C6D6" w:rsidR="003E203F" w:rsidRDefault="003E203F" w:rsidP="00605311">
      <w:pPr>
        <w:autoSpaceDE w:val="0"/>
        <w:autoSpaceDN w:val="0"/>
        <w:adjustRightInd w:val="0"/>
        <w:rPr>
          <w:rFonts w:ascii="Book Antiqua" w:eastAsiaTheme="minorHAnsi" w:hAnsi="Book Antiqua"/>
          <w:b/>
          <w:bCs/>
          <w:lang w:eastAsia="en-US"/>
        </w:rPr>
      </w:pPr>
    </w:p>
    <w:p w14:paraId="179CEC77" w14:textId="7A285A35" w:rsidR="003E203F" w:rsidRDefault="003E203F" w:rsidP="00605311">
      <w:pPr>
        <w:autoSpaceDE w:val="0"/>
        <w:autoSpaceDN w:val="0"/>
        <w:adjustRightInd w:val="0"/>
        <w:rPr>
          <w:rFonts w:ascii="Book Antiqua" w:eastAsiaTheme="minorHAnsi" w:hAnsi="Book Antiqua"/>
          <w:b/>
          <w:bCs/>
          <w:lang w:eastAsia="en-US"/>
        </w:rPr>
      </w:pPr>
    </w:p>
    <w:p w14:paraId="7919A04E" w14:textId="5981069A" w:rsidR="003E203F" w:rsidRDefault="003E203F" w:rsidP="00605311">
      <w:pPr>
        <w:autoSpaceDE w:val="0"/>
        <w:autoSpaceDN w:val="0"/>
        <w:adjustRightInd w:val="0"/>
        <w:rPr>
          <w:rFonts w:ascii="Book Antiqua" w:eastAsiaTheme="minorHAnsi" w:hAnsi="Book Antiqua"/>
          <w:b/>
          <w:bCs/>
          <w:lang w:eastAsia="en-US"/>
        </w:rPr>
      </w:pPr>
    </w:p>
    <w:p w14:paraId="45E7174A" w14:textId="4D754773" w:rsidR="00B662C9" w:rsidRDefault="00B662C9" w:rsidP="00605311">
      <w:pPr>
        <w:autoSpaceDE w:val="0"/>
        <w:autoSpaceDN w:val="0"/>
        <w:adjustRightInd w:val="0"/>
        <w:rPr>
          <w:rFonts w:ascii="Book Antiqua" w:eastAsiaTheme="minorHAnsi" w:hAnsi="Book Antiqua"/>
          <w:b/>
          <w:bCs/>
          <w:lang w:eastAsia="en-US"/>
        </w:rPr>
      </w:pPr>
    </w:p>
    <w:p w14:paraId="2742F141" w14:textId="4E2E025C" w:rsidR="00B662C9" w:rsidRDefault="00B662C9" w:rsidP="00605311">
      <w:pPr>
        <w:autoSpaceDE w:val="0"/>
        <w:autoSpaceDN w:val="0"/>
        <w:adjustRightInd w:val="0"/>
        <w:rPr>
          <w:rFonts w:ascii="Book Antiqua" w:eastAsiaTheme="minorHAnsi" w:hAnsi="Book Antiqua"/>
          <w:b/>
          <w:bCs/>
          <w:lang w:eastAsia="en-US"/>
        </w:rPr>
      </w:pPr>
    </w:p>
    <w:p w14:paraId="561D62A8" w14:textId="405E9BB3" w:rsidR="00B662C9" w:rsidRDefault="00B662C9" w:rsidP="00605311">
      <w:pPr>
        <w:autoSpaceDE w:val="0"/>
        <w:autoSpaceDN w:val="0"/>
        <w:adjustRightInd w:val="0"/>
        <w:rPr>
          <w:rFonts w:ascii="Book Antiqua" w:eastAsiaTheme="minorHAnsi" w:hAnsi="Book Antiqua"/>
          <w:b/>
          <w:bCs/>
          <w:lang w:eastAsia="en-US"/>
        </w:rPr>
      </w:pPr>
    </w:p>
    <w:p w14:paraId="4B5638D0" w14:textId="656082CD" w:rsidR="003E203F" w:rsidRDefault="003E203F" w:rsidP="00605311">
      <w:pPr>
        <w:autoSpaceDE w:val="0"/>
        <w:autoSpaceDN w:val="0"/>
        <w:adjustRightInd w:val="0"/>
        <w:rPr>
          <w:rFonts w:ascii="Book Antiqua" w:eastAsiaTheme="minorHAnsi" w:hAnsi="Book Antiqua"/>
          <w:b/>
          <w:bCs/>
          <w:lang w:eastAsia="en-US"/>
        </w:rPr>
      </w:pPr>
    </w:p>
    <w:p w14:paraId="4286E03E" w14:textId="4B558855" w:rsidR="00752825" w:rsidRDefault="00752825" w:rsidP="00605311">
      <w:pPr>
        <w:autoSpaceDE w:val="0"/>
        <w:autoSpaceDN w:val="0"/>
        <w:adjustRightInd w:val="0"/>
        <w:rPr>
          <w:rFonts w:ascii="Book Antiqua" w:eastAsiaTheme="minorHAnsi" w:hAnsi="Book Antiqua"/>
          <w:b/>
          <w:bCs/>
          <w:lang w:eastAsia="en-US"/>
        </w:rPr>
      </w:pPr>
    </w:p>
    <w:p w14:paraId="2B5C0E9B" w14:textId="77777777" w:rsidR="00752825" w:rsidRPr="002B7E87" w:rsidRDefault="00752825" w:rsidP="00605311">
      <w:pPr>
        <w:autoSpaceDE w:val="0"/>
        <w:autoSpaceDN w:val="0"/>
        <w:adjustRightInd w:val="0"/>
        <w:rPr>
          <w:rFonts w:ascii="Book Antiqua" w:eastAsiaTheme="minorHAnsi" w:hAnsi="Book Antiqua"/>
          <w:b/>
          <w:bCs/>
          <w:lang w:eastAsia="en-US"/>
        </w:rPr>
      </w:pPr>
    </w:p>
    <w:p w14:paraId="4F45FD9F" w14:textId="77777777" w:rsidR="00605311" w:rsidRPr="002B7E87" w:rsidRDefault="00605311" w:rsidP="00605311">
      <w:pPr>
        <w:autoSpaceDE w:val="0"/>
        <w:autoSpaceDN w:val="0"/>
        <w:adjustRightInd w:val="0"/>
        <w:ind w:left="284"/>
        <w:rPr>
          <w:rFonts w:ascii="Book Antiqua" w:eastAsiaTheme="minorHAnsi" w:hAnsi="Book Antiqua"/>
          <w:b/>
          <w:bCs/>
          <w:lang w:eastAsia="en-US"/>
        </w:rPr>
      </w:pPr>
    </w:p>
    <w:p w14:paraId="4B1FA37D" w14:textId="77777777" w:rsidR="00605311" w:rsidRPr="002B7E87" w:rsidRDefault="00605311" w:rsidP="00605311">
      <w:pPr>
        <w:pStyle w:val="Prrafodelista"/>
        <w:numPr>
          <w:ilvl w:val="0"/>
          <w:numId w:val="2"/>
        </w:numPr>
        <w:autoSpaceDE w:val="0"/>
        <w:autoSpaceDN w:val="0"/>
        <w:adjustRightInd w:val="0"/>
        <w:ind w:left="284"/>
        <w:jc w:val="center"/>
        <w:rPr>
          <w:rFonts w:ascii="Book Antiqua" w:eastAsiaTheme="minorHAnsi" w:hAnsi="Book Antiqua"/>
          <w:b/>
          <w:bCs/>
          <w:lang w:val="es-ES_tradnl" w:eastAsia="en-US"/>
        </w:rPr>
      </w:pPr>
      <w:r w:rsidRPr="002B7E87">
        <w:rPr>
          <w:rFonts w:ascii="Book Antiqua" w:eastAsiaTheme="minorHAnsi" w:hAnsi="Book Antiqua"/>
          <w:b/>
          <w:bCs/>
          <w:lang w:val="es-ES_tradnl" w:eastAsia="en-US"/>
        </w:rPr>
        <w:t>REFERENCIAS</w:t>
      </w:r>
    </w:p>
    <w:p w14:paraId="139619BB" w14:textId="77777777" w:rsidR="00765064" w:rsidRPr="002B7E87" w:rsidRDefault="00765064" w:rsidP="00A062B9">
      <w:pPr>
        <w:rPr>
          <w:rFonts w:ascii="Book Antiqua" w:eastAsia="Helvetica Neue" w:hAnsi="Book Antiqua" w:cs="Helvetica Neue"/>
          <w:lang w:val="es-ES"/>
        </w:rPr>
      </w:pPr>
    </w:p>
    <w:p w14:paraId="3F760894" w14:textId="6F58D3BF" w:rsidR="00D80AC1" w:rsidRDefault="00D80AC1" w:rsidP="004902C7">
      <w:pPr>
        <w:ind w:left="709" w:hanging="709"/>
        <w:jc w:val="both"/>
        <w:rPr>
          <w:rFonts w:ascii="Book Antiqua" w:eastAsia="Helvetica Neue" w:hAnsi="Book Antiqua" w:cs="Helvetica Neue"/>
          <w:lang w:val="es-ES"/>
        </w:rPr>
      </w:pPr>
      <w:r>
        <w:rPr>
          <w:rFonts w:ascii="Book Antiqua" w:eastAsia="Helvetica Neue" w:hAnsi="Book Antiqua" w:cs="Helvetica Neue"/>
          <w:lang w:val="es-ES"/>
        </w:rPr>
        <w:t xml:space="preserve">Alcaldía de Cali (2019). Cali no se detiene. Obtenido de: </w:t>
      </w:r>
      <w:hyperlink r:id="rId10" w:history="1">
        <w:r w:rsidRPr="00EC4559">
          <w:rPr>
            <w:rStyle w:val="Hipervnculo"/>
            <w:rFonts w:ascii="Book Antiqua" w:eastAsia="Helvetica Neue" w:hAnsi="Book Antiqua" w:cs="Helvetica Neue"/>
            <w:lang w:val="es-ES"/>
          </w:rPr>
          <w:t>https://www.youtube.com/watch?v=Trb5sm_rEgs</w:t>
        </w:r>
      </w:hyperlink>
    </w:p>
    <w:p w14:paraId="12946B84" w14:textId="77777777" w:rsidR="00D80AC1" w:rsidRDefault="00D80AC1" w:rsidP="004902C7">
      <w:pPr>
        <w:ind w:left="709" w:hanging="709"/>
        <w:jc w:val="both"/>
        <w:rPr>
          <w:rFonts w:ascii="Book Antiqua" w:eastAsia="Helvetica Neue" w:hAnsi="Book Antiqua" w:cs="Helvetica Neue"/>
          <w:lang w:val="es-ES"/>
        </w:rPr>
      </w:pPr>
    </w:p>
    <w:p w14:paraId="5B1979DE" w14:textId="0E51BB49" w:rsidR="00A062B9" w:rsidRPr="002B7E87" w:rsidRDefault="00765064" w:rsidP="004902C7">
      <w:pPr>
        <w:ind w:left="709" w:hanging="709"/>
        <w:jc w:val="both"/>
        <w:rPr>
          <w:rFonts w:ascii="Book Antiqua" w:eastAsia="Helvetica Neue" w:hAnsi="Book Antiqua" w:cs="Helvetica Neue"/>
          <w:lang w:val="es-ES"/>
        </w:rPr>
      </w:pPr>
      <w:r w:rsidRPr="002B7E87">
        <w:rPr>
          <w:rFonts w:ascii="Book Antiqua" w:eastAsia="Helvetica Neue" w:hAnsi="Book Antiqua" w:cs="Helvetica Neue"/>
          <w:lang w:val="es-ES"/>
        </w:rPr>
        <w:t>Acc</w:t>
      </w:r>
      <w:r w:rsidR="00A062B9" w:rsidRPr="002B7E87">
        <w:rPr>
          <w:rFonts w:ascii="Book Antiqua" w:eastAsia="Helvetica Neue" w:hAnsi="Book Antiqua" w:cs="Helvetica Neue"/>
          <w:lang w:val="es-ES"/>
        </w:rPr>
        <w:t xml:space="preserve">ión popular, Fuerza Aérea Colombiana Vs. Concejo de Cali, </w:t>
      </w:r>
      <w:r w:rsidR="00D80AC1" w:rsidRPr="002B7E87">
        <w:rPr>
          <w:rFonts w:ascii="Book Antiqua" w:eastAsia="Helvetica Neue" w:hAnsi="Book Antiqua" w:cs="Helvetica Neue"/>
          <w:lang w:val="es-ES"/>
        </w:rPr>
        <w:t>Alcaldía</w:t>
      </w:r>
      <w:r w:rsidR="00A062B9" w:rsidRPr="002B7E87">
        <w:rPr>
          <w:rFonts w:ascii="Book Antiqua" w:eastAsia="Helvetica Neue" w:hAnsi="Book Antiqua" w:cs="Helvetica Neue"/>
          <w:lang w:val="es-ES"/>
        </w:rPr>
        <w:t xml:space="preserve"> de Santiago de Cali y la Curaduría Urbana No. 2 de Cali (2019).</w:t>
      </w:r>
    </w:p>
    <w:p w14:paraId="07B9A3C1" w14:textId="77777777" w:rsidR="00765064" w:rsidRPr="002B7E87" w:rsidRDefault="00765064" w:rsidP="004902C7">
      <w:pPr>
        <w:ind w:left="709" w:hanging="709"/>
        <w:jc w:val="both"/>
        <w:rPr>
          <w:rFonts w:ascii="Book Antiqua" w:eastAsia="Helvetica Neue" w:hAnsi="Book Antiqua" w:cs="Helvetica Neue"/>
          <w:lang w:val="es-ES"/>
        </w:rPr>
      </w:pPr>
    </w:p>
    <w:p w14:paraId="72D9CF5A" w14:textId="6E9BF309" w:rsidR="00A062B9" w:rsidRPr="002B7E87" w:rsidRDefault="00A062B9" w:rsidP="00173125">
      <w:pPr>
        <w:ind w:left="709" w:hanging="709"/>
        <w:jc w:val="both"/>
        <w:rPr>
          <w:rFonts w:ascii="Book Antiqua" w:eastAsia="Helvetica Neue" w:hAnsi="Book Antiqua" w:cs="Helvetica Neue"/>
          <w:lang w:val="es-ES"/>
        </w:rPr>
      </w:pPr>
      <w:r w:rsidRPr="002B7E87">
        <w:rPr>
          <w:rFonts w:ascii="Book Antiqua" w:eastAsia="Helvetica Neue" w:hAnsi="Book Antiqua" w:cs="Helvetica Neue"/>
          <w:lang w:val="es-ES"/>
        </w:rPr>
        <w:t>Concejo de Santiago de Cali. (26 de 02 de 2020). Concejo de Cali. Obtenido de Restricción de FAC a construcciones en altura en Cali afectan a 5 mil licencias de construcción y 29 planes urbanísticos: http://www.concejodecali.gov.co/Publicaciones/restriccion_de_fac_a_construcciones_en_altura_en_cali_afectan_a_5_mil_licencias_de_construccion_y_29_planes_urbanisticos</w:t>
      </w:r>
    </w:p>
    <w:p w14:paraId="64E4F43C" w14:textId="77777777" w:rsidR="00765064" w:rsidRPr="002B7E87" w:rsidRDefault="00765064" w:rsidP="004902C7">
      <w:pPr>
        <w:ind w:left="709" w:hanging="709"/>
        <w:jc w:val="both"/>
        <w:rPr>
          <w:rFonts w:ascii="Book Antiqua" w:eastAsia="Helvetica Neue" w:hAnsi="Book Antiqua" w:cs="Helvetica Neue"/>
          <w:lang w:val="es-ES"/>
        </w:rPr>
      </w:pPr>
    </w:p>
    <w:p w14:paraId="28F49C1E" w14:textId="6B317F13" w:rsidR="00A062B9" w:rsidRPr="002B7E87" w:rsidRDefault="00A062B9" w:rsidP="004902C7">
      <w:pPr>
        <w:ind w:left="709" w:hanging="709"/>
        <w:jc w:val="both"/>
        <w:rPr>
          <w:rFonts w:ascii="Book Antiqua" w:eastAsia="Helvetica Neue" w:hAnsi="Book Antiqua" w:cs="Helvetica Neue"/>
          <w:lang w:val="es-ES"/>
        </w:rPr>
      </w:pPr>
      <w:r w:rsidRPr="002B7E87">
        <w:rPr>
          <w:rFonts w:ascii="Book Antiqua" w:eastAsia="Helvetica Neue" w:hAnsi="Book Antiqua" w:cs="Helvetica Neue"/>
          <w:lang w:val="es-ES"/>
        </w:rPr>
        <w:t>Fuerza Aérea Colombiana. (04 de Agosto de 2019). Comunicado de la Fuerza Aérea Colombiana frente a los pronunciamientos de la Alcaldía de Cali. Obtenido de https://www.fac.mil.co/comunicado-de-la-fuerza-aérea-colombiana-frente-los-pronunciamientos-de-la-alcald%C3%ADa-de-cali</w:t>
      </w:r>
    </w:p>
    <w:p w14:paraId="08354868" w14:textId="77777777" w:rsidR="00765064" w:rsidRPr="002B7E87" w:rsidRDefault="00765064" w:rsidP="00530E89">
      <w:pPr>
        <w:jc w:val="both"/>
        <w:rPr>
          <w:rFonts w:ascii="Book Antiqua" w:eastAsia="Helvetica Neue" w:hAnsi="Book Antiqua" w:cs="Helvetica Neue"/>
          <w:lang w:val="es-ES"/>
        </w:rPr>
      </w:pPr>
    </w:p>
    <w:p w14:paraId="286174F1" w14:textId="2D07A029" w:rsidR="00765064" w:rsidRPr="002B7E87" w:rsidRDefault="00A062B9" w:rsidP="00530E89">
      <w:pPr>
        <w:ind w:left="709" w:hanging="709"/>
        <w:jc w:val="both"/>
        <w:rPr>
          <w:rFonts w:ascii="Book Antiqua" w:eastAsia="Helvetica Neue" w:hAnsi="Book Antiqua" w:cs="Helvetica Neue"/>
          <w:lang w:val="es-ES"/>
        </w:rPr>
      </w:pPr>
      <w:r w:rsidRPr="002B7E87">
        <w:rPr>
          <w:rFonts w:ascii="Book Antiqua" w:eastAsia="Helvetica Neue" w:hAnsi="Book Antiqua" w:cs="Helvetica Neue"/>
          <w:lang w:val="es-ES"/>
        </w:rPr>
        <w:t>Paula Robledo Silva. (2008). El panorama territorial colombiano. Bogotá: Revista Derecho del Estado n.º 21.</w:t>
      </w:r>
    </w:p>
    <w:p w14:paraId="716D3761" w14:textId="77777777" w:rsidR="00765064" w:rsidRPr="002B7E87" w:rsidRDefault="00765064" w:rsidP="004902C7">
      <w:pPr>
        <w:ind w:left="709" w:hanging="709"/>
        <w:jc w:val="both"/>
        <w:rPr>
          <w:rFonts w:ascii="Book Antiqua" w:eastAsia="Helvetica Neue" w:hAnsi="Book Antiqua" w:cs="Helvetica Neue"/>
          <w:lang w:val="es-ES"/>
        </w:rPr>
      </w:pPr>
    </w:p>
    <w:p w14:paraId="300BAA43" w14:textId="14A5DD80" w:rsidR="00A062B9" w:rsidRPr="002B7E87" w:rsidRDefault="00A062B9" w:rsidP="004902C7">
      <w:pPr>
        <w:ind w:left="709" w:hanging="709"/>
        <w:jc w:val="both"/>
        <w:rPr>
          <w:rFonts w:ascii="Book Antiqua" w:eastAsia="Helvetica Neue" w:hAnsi="Book Antiqua" w:cs="Helvetica Neue"/>
          <w:lang w:val="es-ES"/>
        </w:rPr>
      </w:pPr>
      <w:r w:rsidRPr="002B7E87">
        <w:rPr>
          <w:rFonts w:ascii="Book Antiqua" w:eastAsia="Helvetica Neue" w:hAnsi="Book Antiqua" w:cs="Helvetica Neue"/>
          <w:lang w:val="es-ES"/>
        </w:rPr>
        <w:t xml:space="preserve">Sentencia C-535, Corte Constitucional (M.P.: Alejandro </w:t>
      </w:r>
      <w:r w:rsidR="00D80AC1" w:rsidRPr="002B7E87">
        <w:rPr>
          <w:rFonts w:ascii="Book Antiqua" w:eastAsia="Helvetica Neue" w:hAnsi="Book Antiqua" w:cs="Helvetica Neue"/>
          <w:lang w:val="es-ES"/>
        </w:rPr>
        <w:t>Martínez</w:t>
      </w:r>
      <w:r w:rsidRPr="002B7E87">
        <w:rPr>
          <w:rFonts w:ascii="Book Antiqua" w:eastAsia="Helvetica Neue" w:hAnsi="Book Antiqua" w:cs="Helvetica Neue"/>
          <w:lang w:val="es-ES"/>
        </w:rPr>
        <w:t xml:space="preserve"> Caballero 1996).</w:t>
      </w:r>
    </w:p>
    <w:p w14:paraId="109953AB" w14:textId="77777777" w:rsidR="00765064" w:rsidRPr="002B7E87" w:rsidRDefault="00765064" w:rsidP="00A062B9">
      <w:pPr>
        <w:rPr>
          <w:rFonts w:ascii="Book Antiqua" w:eastAsia="Helvetica Neue" w:hAnsi="Book Antiqua" w:cs="Helvetica Neue"/>
          <w:lang w:val="es-ES"/>
        </w:rPr>
      </w:pPr>
    </w:p>
    <w:p w14:paraId="08923D19" w14:textId="77777777" w:rsidR="00A062B9" w:rsidRPr="002B7E87" w:rsidRDefault="00A062B9" w:rsidP="000E1A58">
      <w:pPr>
        <w:rPr>
          <w:rFonts w:ascii="Book Antiqua" w:eastAsia="Helvetica Neue" w:hAnsi="Book Antiqua" w:cs="Helvetica Neue"/>
          <w:lang w:val="es-ES"/>
        </w:rPr>
      </w:pPr>
    </w:p>
    <w:p w14:paraId="507B2CBC" w14:textId="77777777" w:rsidR="00605311" w:rsidRPr="002B7E87" w:rsidRDefault="00605311" w:rsidP="00605311">
      <w:pPr>
        <w:ind w:left="360"/>
        <w:rPr>
          <w:rFonts w:ascii="Book Antiqua" w:eastAsia="Helvetica Neue" w:hAnsi="Book Antiqua" w:cs="Helvetica Neue"/>
        </w:rPr>
      </w:pPr>
    </w:p>
    <w:p w14:paraId="20700882" w14:textId="77777777" w:rsidR="00605311" w:rsidRPr="002B7E87" w:rsidRDefault="00605311" w:rsidP="00605311">
      <w:pPr>
        <w:ind w:left="360"/>
        <w:rPr>
          <w:rFonts w:ascii="Book Antiqua" w:eastAsia="Helvetica Neue" w:hAnsi="Book Antiqua" w:cs="Helvetica Neue"/>
        </w:rPr>
      </w:pPr>
    </w:p>
    <w:p w14:paraId="05031F66" w14:textId="77777777" w:rsidR="00605311" w:rsidRPr="002B7E87" w:rsidRDefault="00605311" w:rsidP="00605311">
      <w:pPr>
        <w:ind w:left="360"/>
        <w:rPr>
          <w:rFonts w:ascii="Book Antiqua" w:eastAsia="Helvetica Neue" w:hAnsi="Book Antiqua" w:cs="Helvetica Neue"/>
        </w:rPr>
      </w:pPr>
    </w:p>
    <w:p w14:paraId="63D83A0F" w14:textId="77777777" w:rsidR="00605311" w:rsidRPr="002B7E87" w:rsidRDefault="00605311" w:rsidP="00605311">
      <w:pPr>
        <w:rPr>
          <w:rFonts w:ascii="Book Antiqua" w:hAnsi="Book Antiqua"/>
        </w:rPr>
      </w:pPr>
    </w:p>
    <w:p w14:paraId="554ADB2C" w14:textId="77777777" w:rsidR="00CB4091" w:rsidRPr="002B7E87" w:rsidRDefault="00CB4091">
      <w:pPr>
        <w:rPr>
          <w:rFonts w:ascii="Book Antiqua" w:hAnsi="Book Antiqua"/>
        </w:rPr>
      </w:pPr>
    </w:p>
    <w:sectPr w:rsidR="00CB4091" w:rsidRPr="002B7E87" w:rsidSect="00787786">
      <w:headerReference w:type="default" r:id="rId11"/>
      <w:footerReference w:type="default" r:id="rId12"/>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5AA1D" w14:textId="77777777" w:rsidR="005143E7" w:rsidRDefault="005143E7" w:rsidP="00605311">
      <w:r>
        <w:separator/>
      </w:r>
    </w:p>
  </w:endnote>
  <w:endnote w:type="continuationSeparator" w:id="0">
    <w:p w14:paraId="378D7C6E" w14:textId="77777777" w:rsidR="005143E7" w:rsidRDefault="005143E7" w:rsidP="0060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pleSystemUIFont">
    <w:altName w:val="Calibri"/>
    <w:charset w:val="00"/>
    <w:family w:val="auto"/>
    <w:pitch w:val="default"/>
    <w:sig w:usb0="00000003" w:usb1="00000000" w:usb2="00000000" w:usb3="00000000" w:csb0="00000001" w:csb1="00000000"/>
  </w:font>
  <w:font w:name="Arial,Bold">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70C80" w14:textId="77777777" w:rsidR="00974D9A" w:rsidRDefault="003E203F">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0288" behindDoc="0" locked="0" layoutInCell="1" hidden="0" allowOverlap="1" wp14:anchorId="69026F62" wp14:editId="1D77F4CB">
          <wp:simplePos x="0" y="0"/>
          <wp:positionH relativeFrom="column">
            <wp:posOffset>1917065</wp:posOffset>
          </wp:positionH>
          <wp:positionV relativeFrom="paragraph">
            <wp:posOffset>-121920</wp:posOffset>
          </wp:positionV>
          <wp:extent cx="1647825" cy="609600"/>
          <wp:effectExtent l="0" t="0" r="0" b="0"/>
          <wp:wrapSquare wrapText="bothSides" distT="0" distB="0" distL="114300" distR="114300"/>
          <wp:docPr id="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47825" cy="609600"/>
                  </a:xfrm>
                  <a:prstGeom prst="rect">
                    <a:avLst/>
                  </a:prstGeom>
                  <a:ln/>
                </pic:spPr>
              </pic:pic>
            </a:graphicData>
          </a:graphic>
        </wp:anchor>
      </w:drawing>
    </w:r>
    <w:r>
      <w:t xml:space="preserve">       </w:t>
    </w:r>
    <w:r>
      <w:rPr>
        <w:lang w:val="es-ES"/>
      </w:rPr>
      <w:t xml:space="preserve">Página </w:t>
    </w:r>
    <w:r>
      <w:rPr>
        <w:b/>
        <w:bCs/>
      </w:rPr>
      <w:fldChar w:fldCharType="begin"/>
    </w:r>
    <w:r>
      <w:rPr>
        <w:b/>
        <w:bCs/>
      </w:rPr>
      <w:instrText>PAGE</w:instrText>
    </w:r>
    <w:r>
      <w:rPr>
        <w:b/>
        <w:bCs/>
      </w:rPr>
      <w:fldChar w:fldCharType="separate"/>
    </w:r>
    <w:r>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31</w:t>
    </w:r>
    <w:r>
      <w:rPr>
        <w:b/>
        <w:bCs/>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925B2" w14:textId="77777777" w:rsidR="005143E7" w:rsidRDefault="005143E7" w:rsidP="00605311">
      <w:r>
        <w:separator/>
      </w:r>
    </w:p>
  </w:footnote>
  <w:footnote w:type="continuationSeparator" w:id="0">
    <w:p w14:paraId="64CA2B1A" w14:textId="77777777" w:rsidR="005143E7" w:rsidRDefault="005143E7" w:rsidP="00605311">
      <w:r>
        <w:continuationSeparator/>
      </w:r>
    </w:p>
  </w:footnote>
  <w:footnote w:id="1">
    <w:p w14:paraId="7E3F1D72" w14:textId="77777777" w:rsidR="000B5805" w:rsidRDefault="000B5805" w:rsidP="000B5805">
      <w:pPr>
        <w:jc w:val="both"/>
        <w:rPr>
          <w:sz w:val="20"/>
          <w:szCs w:val="20"/>
        </w:rPr>
      </w:pPr>
      <w:r>
        <w:rPr>
          <w:sz w:val="20"/>
          <w:szCs w:val="20"/>
        </w:rPr>
        <w:footnoteRef/>
      </w:r>
      <w:r>
        <w:rPr>
          <w:sz w:val="20"/>
          <w:szCs w:val="20"/>
        </w:rPr>
        <w:t xml:space="preserve"> Código de Comercio de 1971 Art. 1823 y 1824; • Resolución No 1092 / 2007 Reglamento Aeronáutico Colombiano 14; Anexo 14 OACI  Primera Edición de 1951, que reglamenta el diseño y operación de aeródromos; Ley 388 /1997 – Planes de Ordenamiento Territorial, Art. 10 – numeral 3, que habla sobre aeropuertos y ordenamiento en sus áreas de influencia; Decreto 2397/2010, entre otros.</w:t>
      </w:r>
    </w:p>
    <w:p w14:paraId="56599C4B" w14:textId="77777777" w:rsidR="000B5805" w:rsidRDefault="000B5805" w:rsidP="000B5805"/>
    <w:p w14:paraId="46CDC914" w14:textId="77777777" w:rsidR="000B5805" w:rsidRDefault="000B5805" w:rsidP="000B5805"/>
    <w:p w14:paraId="5FA7EA51" w14:textId="77777777" w:rsidR="000B5805" w:rsidRDefault="000B5805" w:rsidP="000B5805"/>
    <w:p w14:paraId="47D50E66" w14:textId="77777777" w:rsidR="000B5805" w:rsidRDefault="000B5805" w:rsidP="000B5805"/>
    <w:p w14:paraId="53964B40" w14:textId="77777777" w:rsidR="000B5805" w:rsidRDefault="000B5805" w:rsidP="000B5805">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6B032" w14:textId="77777777" w:rsidR="00974D9A" w:rsidRDefault="003E203F">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275D2524" wp14:editId="3B66922C">
          <wp:simplePos x="0" y="0"/>
          <wp:positionH relativeFrom="column">
            <wp:posOffset>1822450</wp:posOffset>
          </wp:positionH>
          <wp:positionV relativeFrom="paragraph">
            <wp:posOffset>-141738</wp:posOffset>
          </wp:positionV>
          <wp:extent cx="1998345" cy="648335"/>
          <wp:effectExtent l="0" t="0" r="0" b="0"/>
          <wp:wrapSquare wrapText="bothSides" distT="0" distB="0" distL="114300" distR="114300"/>
          <wp:docPr id="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998345" cy="648335"/>
                  </a:xfrm>
                  <a:prstGeom prst="rect">
                    <a:avLst/>
                  </a:prstGeom>
                  <a:ln/>
                </pic:spPr>
              </pic:pic>
            </a:graphicData>
          </a:graphic>
          <wp14:sizeRelH relativeFrom="margin">
            <wp14:pctWidth>0</wp14:pctWidth>
          </wp14:sizeRelH>
          <wp14:sizeRelV relativeFrom="margin">
            <wp14:pctHeight>0</wp14:pctHeight>
          </wp14:sizeRelV>
        </wp:anchor>
      </w:drawing>
    </w:r>
  </w:p>
  <w:p w14:paraId="113240AA" w14:textId="77777777" w:rsidR="00974D9A" w:rsidRDefault="005143E7">
    <w:pPr>
      <w:pBdr>
        <w:top w:val="nil"/>
        <w:left w:val="nil"/>
        <w:bottom w:val="nil"/>
        <w:right w:val="nil"/>
        <w:between w:val="nil"/>
      </w:pBdr>
      <w:tabs>
        <w:tab w:val="center" w:pos="4419"/>
        <w:tab w:val="right" w:pos="8838"/>
      </w:tabs>
      <w:rPr>
        <w:color w:val="000000"/>
      </w:rPr>
    </w:pPr>
  </w:p>
  <w:p w14:paraId="4FE76CB5" w14:textId="77777777" w:rsidR="00974D9A" w:rsidRDefault="005143E7">
    <w:pPr>
      <w:pBdr>
        <w:top w:val="nil"/>
        <w:left w:val="nil"/>
        <w:bottom w:val="nil"/>
        <w:right w:val="nil"/>
        <w:between w:val="nil"/>
      </w:pBdr>
      <w:tabs>
        <w:tab w:val="center" w:pos="4419"/>
        <w:tab w:val="right" w:pos="8838"/>
      </w:tabs>
      <w:rPr>
        <w:color w:val="000000"/>
      </w:rPr>
    </w:pPr>
  </w:p>
  <w:p w14:paraId="7C42495F" w14:textId="77777777" w:rsidR="00974D9A" w:rsidRDefault="005143E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780"/>
    <w:multiLevelType w:val="multilevel"/>
    <w:tmpl w:val="9AD683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3A36FD"/>
    <w:multiLevelType w:val="hybridMultilevel"/>
    <w:tmpl w:val="862607CE"/>
    <w:lvl w:ilvl="0" w:tplc="A816D83E">
      <w:start w:val="1"/>
      <w:numFmt w:val="lowerLetter"/>
      <w:lvlText w:val="%1)"/>
      <w:lvlJc w:val="left"/>
      <w:pPr>
        <w:ind w:left="720" w:hanging="360"/>
      </w:pPr>
      <w:rPr>
        <w:rFonts w:ascii="Helvetica Neue" w:hAnsi="Helvetica Neue" w:hint="default"/>
        <w:b/>
        <w:color w:val="000000" w:themeColor="text1"/>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271526F"/>
    <w:multiLevelType w:val="hybridMultilevel"/>
    <w:tmpl w:val="9E747A4E"/>
    <w:lvl w:ilvl="0" w:tplc="93F22DA2">
      <w:start w:val="1"/>
      <w:numFmt w:val="upperRoman"/>
      <w:lvlText w:val="%1."/>
      <w:lvlJc w:val="right"/>
      <w:pPr>
        <w:ind w:left="720" w:hanging="360"/>
      </w:pPr>
      <w:rPr>
        <w:rFonts w:ascii="Arial" w:hAnsi="Arial" w:cs="Arial"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B86E32"/>
    <w:multiLevelType w:val="hybridMultilevel"/>
    <w:tmpl w:val="EC2AA454"/>
    <w:lvl w:ilvl="0" w:tplc="0888B90E">
      <w:numFmt w:val="bullet"/>
      <w:lvlText w:val=""/>
      <w:lvlJc w:val="left"/>
      <w:pPr>
        <w:ind w:left="720" w:hanging="360"/>
      </w:pPr>
      <w:rPr>
        <w:rFonts w:ascii="Symbol" w:eastAsia="Times New Roman" w:hAnsi="Symbo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0806102E"/>
    <w:multiLevelType w:val="multilevel"/>
    <w:tmpl w:val="B782AC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02747"/>
    <w:multiLevelType w:val="hybridMultilevel"/>
    <w:tmpl w:val="2E2EE604"/>
    <w:lvl w:ilvl="0" w:tplc="FDECEB08">
      <w:start w:val="1"/>
      <w:numFmt w:val="decimal"/>
      <w:lvlText w:val="%1."/>
      <w:lvlJc w:val="left"/>
      <w:pPr>
        <w:ind w:left="720" w:hanging="360"/>
      </w:pPr>
      <w:rPr>
        <w:b/>
      </w:rPr>
    </w:lvl>
    <w:lvl w:ilvl="1" w:tplc="240A0019">
      <w:start w:val="1"/>
      <w:numFmt w:val="lowerLetter"/>
      <w:lvlText w:val="%2."/>
      <w:lvlJc w:val="left"/>
      <w:pPr>
        <w:ind w:left="1440" w:hanging="360"/>
      </w:pPr>
    </w:lvl>
    <w:lvl w:ilvl="2" w:tplc="C6F688E4">
      <w:numFmt w:val="bullet"/>
      <w:lvlText w:val="-"/>
      <w:lvlJc w:val="left"/>
      <w:pPr>
        <w:ind w:left="2340" w:hanging="360"/>
      </w:pPr>
      <w:rPr>
        <w:rFonts w:ascii="Calibri" w:eastAsia="Times New Roman" w:hAnsi="Calibri" w:cs="Calibri"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05456D"/>
    <w:multiLevelType w:val="multilevel"/>
    <w:tmpl w:val="389E5A1C"/>
    <w:lvl w:ilvl="0">
      <w:start w:val="6"/>
      <w:numFmt w:val="decimal"/>
      <w:lvlText w:val="%1"/>
      <w:lvlJc w:val="left"/>
      <w:pPr>
        <w:ind w:left="360" w:hanging="360"/>
      </w:pPr>
      <w:rPr>
        <w:rFonts w:eastAsia="Times New Roman" w:hint="default"/>
        <w:b/>
        <w:sz w:val="22"/>
      </w:rPr>
    </w:lvl>
    <w:lvl w:ilvl="1">
      <w:start w:val="1"/>
      <w:numFmt w:val="decimal"/>
      <w:lvlText w:val="%1.%2"/>
      <w:lvlJc w:val="left"/>
      <w:pPr>
        <w:ind w:left="284" w:hanging="360"/>
      </w:pPr>
      <w:rPr>
        <w:rFonts w:eastAsia="Times New Roman" w:hint="default"/>
        <w:b/>
        <w:sz w:val="22"/>
      </w:rPr>
    </w:lvl>
    <w:lvl w:ilvl="2">
      <w:start w:val="1"/>
      <w:numFmt w:val="decimal"/>
      <w:lvlText w:val="%1.%2.%3"/>
      <w:lvlJc w:val="left"/>
      <w:pPr>
        <w:ind w:left="568" w:hanging="720"/>
      </w:pPr>
      <w:rPr>
        <w:rFonts w:eastAsia="Times New Roman" w:hint="default"/>
        <w:b/>
        <w:sz w:val="22"/>
      </w:rPr>
    </w:lvl>
    <w:lvl w:ilvl="3">
      <w:start w:val="1"/>
      <w:numFmt w:val="decimal"/>
      <w:lvlText w:val="%1.%2.%3.%4"/>
      <w:lvlJc w:val="left"/>
      <w:pPr>
        <w:ind w:left="852" w:hanging="1080"/>
      </w:pPr>
      <w:rPr>
        <w:rFonts w:eastAsia="Times New Roman" w:hint="default"/>
        <w:b/>
        <w:sz w:val="22"/>
      </w:rPr>
    </w:lvl>
    <w:lvl w:ilvl="4">
      <w:start w:val="1"/>
      <w:numFmt w:val="decimal"/>
      <w:lvlText w:val="%1.%2.%3.%4.%5"/>
      <w:lvlJc w:val="left"/>
      <w:pPr>
        <w:ind w:left="776" w:hanging="1080"/>
      </w:pPr>
      <w:rPr>
        <w:rFonts w:eastAsia="Times New Roman" w:hint="default"/>
        <w:b/>
        <w:sz w:val="22"/>
      </w:rPr>
    </w:lvl>
    <w:lvl w:ilvl="5">
      <w:start w:val="1"/>
      <w:numFmt w:val="decimal"/>
      <w:lvlText w:val="%1.%2.%3.%4.%5.%6"/>
      <w:lvlJc w:val="left"/>
      <w:pPr>
        <w:ind w:left="1060" w:hanging="1440"/>
      </w:pPr>
      <w:rPr>
        <w:rFonts w:eastAsia="Times New Roman" w:hint="default"/>
        <w:b/>
        <w:sz w:val="22"/>
      </w:rPr>
    </w:lvl>
    <w:lvl w:ilvl="6">
      <w:start w:val="1"/>
      <w:numFmt w:val="decimal"/>
      <w:lvlText w:val="%1.%2.%3.%4.%5.%6.%7"/>
      <w:lvlJc w:val="left"/>
      <w:pPr>
        <w:ind w:left="984" w:hanging="1440"/>
      </w:pPr>
      <w:rPr>
        <w:rFonts w:eastAsia="Times New Roman" w:hint="default"/>
        <w:b/>
        <w:sz w:val="22"/>
      </w:rPr>
    </w:lvl>
    <w:lvl w:ilvl="7">
      <w:start w:val="1"/>
      <w:numFmt w:val="decimal"/>
      <w:lvlText w:val="%1.%2.%3.%4.%5.%6.%7.%8"/>
      <w:lvlJc w:val="left"/>
      <w:pPr>
        <w:ind w:left="1268" w:hanging="1800"/>
      </w:pPr>
      <w:rPr>
        <w:rFonts w:eastAsia="Times New Roman" w:hint="default"/>
        <w:b/>
        <w:sz w:val="22"/>
      </w:rPr>
    </w:lvl>
    <w:lvl w:ilvl="8">
      <w:start w:val="1"/>
      <w:numFmt w:val="decimal"/>
      <w:lvlText w:val="%1.%2.%3.%4.%5.%6.%7.%8.%9"/>
      <w:lvlJc w:val="left"/>
      <w:pPr>
        <w:ind w:left="1192" w:hanging="1800"/>
      </w:pPr>
      <w:rPr>
        <w:rFonts w:eastAsia="Times New Roman" w:hint="default"/>
        <w:b/>
        <w:sz w:val="22"/>
      </w:rPr>
    </w:lvl>
  </w:abstractNum>
  <w:abstractNum w:abstractNumId="7" w15:restartNumberingAfterBreak="0">
    <w:nsid w:val="1EF6781E"/>
    <w:multiLevelType w:val="hybridMultilevel"/>
    <w:tmpl w:val="43522786"/>
    <w:lvl w:ilvl="0" w:tplc="280A5528">
      <w:numFmt w:val="bullet"/>
      <w:lvlText w:val="-"/>
      <w:lvlJc w:val="left"/>
      <w:pPr>
        <w:ind w:left="720" w:hanging="360"/>
      </w:pPr>
      <w:rPr>
        <w:rFonts w:ascii="Book Antiqua" w:eastAsia="Calibri" w:hAnsi="Book Antiqua" w:cs="AppleSystemUIFont"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32E5793"/>
    <w:multiLevelType w:val="hybridMultilevel"/>
    <w:tmpl w:val="F54E3DA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B3D05B4"/>
    <w:multiLevelType w:val="multilevel"/>
    <w:tmpl w:val="01F8E83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582699"/>
    <w:multiLevelType w:val="multilevel"/>
    <w:tmpl w:val="4434136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8376512"/>
    <w:multiLevelType w:val="hybridMultilevel"/>
    <w:tmpl w:val="6E38C8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8DD2507"/>
    <w:multiLevelType w:val="hybridMultilevel"/>
    <w:tmpl w:val="8760FE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FE566B4"/>
    <w:multiLevelType w:val="multilevel"/>
    <w:tmpl w:val="4434136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15E7942"/>
    <w:multiLevelType w:val="multilevel"/>
    <w:tmpl w:val="B4D6EB7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48DC6C1E"/>
    <w:multiLevelType w:val="hybridMultilevel"/>
    <w:tmpl w:val="BEE4BD10"/>
    <w:lvl w:ilvl="0" w:tplc="A8A8B96E">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C924184"/>
    <w:multiLevelType w:val="hybridMultilevel"/>
    <w:tmpl w:val="89864F72"/>
    <w:lvl w:ilvl="0" w:tplc="431ABA34">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57F3701"/>
    <w:multiLevelType w:val="hybridMultilevel"/>
    <w:tmpl w:val="FFDE9DEE"/>
    <w:lvl w:ilvl="0" w:tplc="64A43F60">
      <w:start w:val="1"/>
      <w:numFmt w:val="upperRoman"/>
      <w:lvlText w:val="%1."/>
      <w:lvlJc w:val="right"/>
      <w:pPr>
        <w:ind w:left="720" w:hanging="360"/>
      </w:pPr>
      <w:rPr>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1E853DA"/>
    <w:multiLevelType w:val="hybridMultilevel"/>
    <w:tmpl w:val="9E747A4E"/>
    <w:lvl w:ilvl="0" w:tplc="93F22DA2">
      <w:start w:val="1"/>
      <w:numFmt w:val="upperRoman"/>
      <w:lvlText w:val="%1."/>
      <w:lvlJc w:val="right"/>
      <w:pPr>
        <w:ind w:left="720" w:hanging="360"/>
      </w:pPr>
      <w:rPr>
        <w:rFonts w:ascii="Arial" w:hAnsi="Arial" w:cs="Arial"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3EE7E83"/>
    <w:multiLevelType w:val="multilevel"/>
    <w:tmpl w:val="60EEDE0A"/>
    <w:lvl w:ilvl="0">
      <w:start w:val="5"/>
      <w:numFmt w:val="decimal"/>
      <w:lvlText w:val="%1"/>
      <w:lvlJc w:val="left"/>
      <w:pPr>
        <w:ind w:left="360" w:hanging="360"/>
      </w:pPr>
      <w:rPr>
        <w:rFonts w:eastAsia="Times New Roman" w:hint="default"/>
        <w:b/>
        <w:sz w:val="22"/>
      </w:rPr>
    </w:lvl>
    <w:lvl w:ilvl="1">
      <w:start w:val="1"/>
      <w:numFmt w:val="decimal"/>
      <w:lvlText w:val="%1.%2"/>
      <w:lvlJc w:val="left"/>
      <w:pPr>
        <w:ind w:left="284" w:hanging="360"/>
      </w:pPr>
      <w:rPr>
        <w:rFonts w:eastAsia="Times New Roman" w:hint="default"/>
        <w:b/>
        <w:sz w:val="22"/>
      </w:rPr>
    </w:lvl>
    <w:lvl w:ilvl="2">
      <w:start w:val="1"/>
      <w:numFmt w:val="decimal"/>
      <w:lvlText w:val="%1.%2.%3"/>
      <w:lvlJc w:val="left"/>
      <w:pPr>
        <w:ind w:left="568" w:hanging="720"/>
      </w:pPr>
      <w:rPr>
        <w:rFonts w:eastAsia="Times New Roman" w:hint="default"/>
        <w:b/>
        <w:sz w:val="22"/>
      </w:rPr>
    </w:lvl>
    <w:lvl w:ilvl="3">
      <w:start w:val="1"/>
      <w:numFmt w:val="decimal"/>
      <w:lvlText w:val="%1.%2.%3.%4"/>
      <w:lvlJc w:val="left"/>
      <w:pPr>
        <w:ind w:left="852" w:hanging="1080"/>
      </w:pPr>
      <w:rPr>
        <w:rFonts w:eastAsia="Times New Roman" w:hint="default"/>
        <w:b/>
        <w:sz w:val="22"/>
      </w:rPr>
    </w:lvl>
    <w:lvl w:ilvl="4">
      <w:start w:val="1"/>
      <w:numFmt w:val="decimal"/>
      <w:lvlText w:val="%1.%2.%3.%4.%5"/>
      <w:lvlJc w:val="left"/>
      <w:pPr>
        <w:ind w:left="776" w:hanging="1080"/>
      </w:pPr>
      <w:rPr>
        <w:rFonts w:eastAsia="Times New Roman" w:hint="default"/>
        <w:b/>
        <w:sz w:val="22"/>
      </w:rPr>
    </w:lvl>
    <w:lvl w:ilvl="5">
      <w:start w:val="1"/>
      <w:numFmt w:val="decimal"/>
      <w:lvlText w:val="%1.%2.%3.%4.%5.%6"/>
      <w:lvlJc w:val="left"/>
      <w:pPr>
        <w:ind w:left="1060" w:hanging="1440"/>
      </w:pPr>
      <w:rPr>
        <w:rFonts w:eastAsia="Times New Roman" w:hint="default"/>
        <w:b/>
        <w:sz w:val="22"/>
      </w:rPr>
    </w:lvl>
    <w:lvl w:ilvl="6">
      <w:start w:val="1"/>
      <w:numFmt w:val="decimal"/>
      <w:lvlText w:val="%1.%2.%3.%4.%5.%6.%7"/>
      <w:lvlJc w:val="left"/>
      <w:pPr>
        <w:ind w:left="984" w:hanging="1440"/>
      </w:pPr>
      <w:rPr>
        <w:rFonts w:eastAsia="Times New Roman" w:hint="default"/>
        <w:b/>
        <w:sz w:val="22"/>
      </w:rPr>
    </w:lvl>
    <w:lvl w:ilvl="7">
      <w:start w:val="1"/>
      <w:numFmt w:val="decimal"/>
      <w:lvlText w:val="%1.%2.%3.%4.%5.%6.%7.%8"/>
      <w:lvlJc w:val="left"/>
      <w:pPr>
        <w:ind w:left="1268" w:hanging="1800"/>
      </w:pPr>
      <w:rPr>
        <w:rFonts w:eastAsia="Times New Roman" w:hint="default"/>
        <w:b/>
        <w:sz w:val="22"/>
      </w:rPr>
    </w:lvl>
    <w:lvl w:ilvl="8">
      <w:start w:val="1"/>
      <w:numFmt w:val="decimal"/>
      <w:lvlText w:val="%1.%2.%3.%4.%5.%6.%7.%8.%9"/>
      <w:lvlJc w:val="left"/>
      <w:pPr>
        <w:ind w:left="1192" w:hanging="1800"/>
      </w:pPr>
      <w:rPr>
        <w:rFonts w:eastAsia="Times New Roman" w:hint="default"/>
        <w:b/>
        <w:sz w:val="22"/>
      </w:rPr>
    </w:lvl>
  </w:abstractNum>
  <w:abstractNum w:abstractNumId="20" w15:restartNumberingAfterBreak="0">
    <w:nsid w:val="6DE06868"/>
    <w:multiLevelType w:val="hybridMultilevel"/>
    <w:tmpl w:val="7FF42938"/>
    <w:lvl w:ilvl="0" w:tplc="9542951A">
      <w:start w:val="1"/>
      <w:numFmt w:val="upperRoman"/>
      <w:lvlText w:val="%1."/>
      <w:lvlJc w:val="left"/>
      <w:pPr>
        <w:ind w:left="1080" w:hanging="720"/>
      </w:pPr>
      <w:rPr>
        <w:rFonts w:ascii="Arial,Bold" w:hAnsi="Arial,Bold"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9544B3B"/>
    <w:multiLevelType w:val="multilevel"/>
    <w:tmpl w:val="B4D6EB7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79C53F63"/>
    <w:multiLevelType w:val="hybridMultilevel"/>
    <w:tmpl w:val="528AD35A"/>
    <w:lvl w:ilvl="0" w:tplc="B9FA5E3C">
      <w:start w:val="1"/>
      <w:numFmt w:val="upperRoman"/>
      <w:lvlText w:val="%1."/>
      <w:lvlJc w:val="left"/>
      <w:pPr>
        <w:ind w:left="1146" w:hanging="720"/>
      </w:pPr>
      <w:rPr>
        <w:rFonts w:ascii="Arial" w:hAnsi="Arial" w:cs="Arial"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23" w15:restartNumberingAfterBreak="0">
    <w:nsid w:val="7E1834A1"/>
    <w:multiLevelType w:val="hybridMultilevel"/>
    <w:tmpl w:val="DB5E3E70"/>
    <w:lvl w:ilvl="0" w:tplc="7E7CFB50">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F955E4B"/>
    <w:multiLevelType w:val="hybridMultilevel"/>
    <w:tmpl w:val="4578825E"/>
    <w:lvl w:ilvl="0" w:tplc="D14A8B86">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1"/>
  </w:num>
  <w:num w:numId="2">
    <w:abstractNumId w:val="13"/>
  </w:num>
  <w:num w:numId="3">
    <w:abstractNumId w:val="23"/>
  </w:num>
  <w:num w:numId="4">
    <w:abstractNumId w:val="1"/>
  </w:num>
  <w:num w:numId="5">
    <w:abstractNumId w:val="12"/>
  </w:num>
  <w:num w:numId="6">
    <w:abstractNumId w:val="11"/>
  </w:num>
  <w:num w:numId="7">
    <w:abstractNumId w:val="14"/>
  </w:num>
  <w:num w:numId="8">
    <w:abstractNumId w:val="17"/>
  </w:num>
  <w:num w:numId="9">
    <w:abstractNumId w:val="16"/>
  </w:num>
  <w:num w:numId="10">
    <w:abstractNumId w:val="18"/>
  </w:num>
  <w:num w:numId="11">
    <w:abstractNumId w:val="20"/>
  </w:num>
  <w:num w:numId="12">
    <w:abstractNumId w:val="22"/>
  </w:num>
  <w:num w:numId="13">
    <w:abstractNumId w:val="15"/>
  </w:num>
  <w:num w:numId="14">
    <w:abstractNumId w:val="24"/>
  </w:num>
  <w:num w:numId="15">
    <w:abstractNumId w:val="2"/>
  </w:num>
  <w:num w:numId="16">
    <w:abstractNumId w:val="5"/>
  </w:num>
  <w:num w:numId="17">
    <w:abstractNumId w:val="10"/>
  </w:num>
  <w:num w:numId="18">
    <w:abstractNumId w:val="8"/>
  </w:num>
  <w:num w:numId="19">
    <w:abstractNumId w:val="3"/>
  </w:num>
  <w:num w:numId="20">
    <w:abstractNumId w:val="0"/>
  </w:num>
  <w:num w:numId="21">
    <w:abstractNumId w:val="19"/>
  </w:num>
  <w:num w:numId="22">
    <w:abstractNumId w:val="4"/>
  </w:num>
  <w:num w:numId="23">
    <w:abstractNumId w:val="6"/>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11"/>
    <w:rsid w:val="000266E5"/>
    <w:rsid w:val="000320E8"/>
    <w:rsid w:val="00053CA5"/>
    <w:rsid w:val="00067562"/>
    <w:rsid w:val="000B5805"/>
    <w:rsid w:val="000C66EF"/>
    <w:rsid w:val="000D0E80"/>
    <w:rsid w:val="000D7856"/>
    <w:rsid w:val="000E1A58"/>
    <w:rsid w:val="00173125"/>
    <w:rsid w:val="00191D6F"/>
    <w:rsid w:val="001E248F"/>
    <w:rsid w:val="001F5944"/>
    <w:rsid w:val="001F777F"/>
    <w:rsid w:val="00207CE3"/>
    <w:rsid w:val="0029594E"/>
    <w:rsid w:val="002A4952"/>
    <w:rsid w:val="002B7E87"/>
    <w:rsid w:val="002C7964"/>
    <w:rsid w:val="002C7E63"/>
    <w:rsid w:val="002D151C"/>
    <w:rsid w:val="002D665D"/>
    <w:rsid w:val="002E50AC"/>
    <w:rsid w:val="002F41F2"/>
    <w:rsid w:val="00307933"/>
    <w:rsid w:val="003459F7"/>
    <w:rsid w:val="00397D06"/>
    <w:rsid w:val="003E1930"/>
    <w:rsid w:val="003E203F"/>
    <w:rsid w:val="004321AE"/>
    <w:rsid w:val="0045108D"/>
    <w:rsid w:val="00484781"/>
    <w:rsid w:val="004902C7"/>
    <w:rsid w:val="004F1FB7"/>
    <w:rsid w:val="00504C25"/>
    <w:rsid w:val="005143E7"/>
    <w:rsid w:val="00516028"/>
    <w:rsid w:val="0052361F"/>
    <w:rsid w:val="00530E89"/>
    <w:rsid w:val="0054601A"/>
    <w:rsid w:val="00551C5F"/>
    <w:rsid w:val="00564AE8"/>
    <w:rsid w:val="005D0380"/>
    <w:rsid w:val="005F6439"/>
    <w:rsid w:val="00602A28"/>
    <w:rsid w:val="00605311"/>
    <w:rsid w:val="00614826"/>
    <w:rsid w:val="006308C2"/>
    <w:rsid w:val="0063751C"/>
    <w:rsid w:val="00654BC5"/>
    <w:rsid w:val="00663DBF"/>
    <w:rsid w:val="00686A86"/>
    <w:rsid w:val="00692993"/>
    <w:rsid w:val="006D3D2E"/>
    <w:rsid w:val="00700938"/>
    <w:rsid w:val="00717127"/>
    <w:rsid w:val="007302FD"/>
    <w:rsid w:val="007503B5"/>
    <w:rsid w:val="00752825"/>
    <w:rsid w:val="00765064"/>
    <w:rsid w:val="00792C80"/>
    <w:rsid w:val="007948CB"/>
    <w:rsid w:val="007C4299"/>
    <w:rsid w:val="00803CBF"/>
    <w:rsid w:val="008559A4"/>
    <w:rsid w:val="008723E5"/>
    <w:rsid w:val="0087733C"/>
    <w:rsid w:val="00895520"/>
    <w:rsid w:val="008D77A0"/>
    <w:rsid w:val="009143C9"/>
    <w:rsid w:val="009152D9"/>
    <w:rsid w:val="00945AFD"/>
    <w:rsid w:val="009A785C"/>
    <w:rsid w:val="009B6F20"/>
    <w:rsid w:val="009C2844"/>
    <w:rsid w:val="009D7A0B"/>
    <w:rsid w:val="009F150A"/>
    <w:rsid w:val="00A062B9"/>
    <w:rsid w:val="00A129B1"/>
    <w:rsid w:val="00A41E82"/>
    <w:rsid w:val="00A54C4E"/>
    <w:rsid w:val="00A74023"/>
    <w:rsid w:val="00AF67F1"/>
    <w:rsid w:val="00B04B60"/>
    <w:rsid w:val="00B161F9"/>
    <w:rsid w:val="00B27D8C"/>
    <w:rsid w:val="00B534A0"/>
    <w:rsid w:val="00B62959"/>
    <w:rsid w:val="00B662C9"/>
    <w:rsid w:val="00BB05C9"/>
    <w:rsid w:val="00BD610D"/>
    <w:rsid w:val="00BE715E"/>
    <w:rsid w:val="00C17B0C"/>
    <w:rsid w:val="00CA1F7D"/>
    <w:rsid w:val="00CA61B5"/>
    <w:rsid w:val="00CB4091"/>
    <w:rsid w:val="00CB6843"/>
    <w:rsid w:val="00CD1D9A"/>
    <w:rsid w:val="00D236CC"/>
    <w:rsid w:val="00D61498"/>
    <w:rsid w:val="00D7609F"/>
    <w:rsid w:val="00D80AC1"/>
    <w:rsid w:val="00D86379"/>
    <w:rsid w:val="00DA1BB2"/>
    <w:rsid w:val="00DB0D78"/>
    <w:rsid w:val="00DB5791"/>
    <w:rsid w:val="00E27401"/>
    <w:rsid w:val="00E5170C"/>
    <w:rsid w:val="00E71BD3"/>
    <w:rsid w:val="00E7349F"/>
    <w:rsid w:val="00E90322"/>
    <w:rsid w:val="00EB23BC"/>
    <w:rsid w:val="00EB731D"/>
    <w:rsid w:val="00ED3381"/>
    <w:rsid w:val="00F56BF5"/>
    <w:rsid w:val="00F57FDB"/>
    <w:rsid w:val="00FC6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AA6E"/>
  <w15:chartTrackingRefBased/>
  <w15:docId w15:val="{4356290B-E22F-4185-B441-3F548E6B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05311"/>
    <w:pPr>
      <w:keepNext/>
      <w:keepLines/>
      <w:spacing w:before="480"/>
      <w:outlineLvl w:val="0"/>
    </w:pPr>
    <w:rPr>
      <w:rFonts w:ascii="Calibri" w:eastAsia="Calibri" w:hAnsi="Calibri" w:cs="Calibri"/>
      <w:b/>
      <w:color w:val="2F5496"/>
      <w:sz w:val="28"/>
      <w:szCs w:val="28"/>
    </w:rPr>
  </w:style>
  <w:style w:type="paragraph" w:styleId="Ttulo2">
    <w:name w:val="heading 2"/>
    <w:basedOn w:val="Normal"/>
    <w:next w:val="Normal"/>
    <w:link w:val="Ttulo2Car"/>
    <w:rsid w:val="00605311"/>
    <w:pPr>
      <w:keepNext/>
      <w:keepLines/>
      <w:spacing w:before="360" w:after="80"/>
      <w:outlineLvl w:val="1"/>
    </w:pPr>
    <w:rPr>
      <w:b/>
      <w:sz w:val="36"/>
      <w:szCs w:val="36"/>
    </w:rPr>
  </w:style>
  <w:style w:type="paragraph" w:styleId="Ttulo3">
    <w:name w:val="heading 3"/>
    <w:basedOn w:val="Normal"/>
    <w:next w:val="Normal"/>
    <w:link w:val="Ttulo3Car"/>
    <w:rsid w:val="00605311"/>
    <w:pPr>
      <w:keepNext/>
      <w:keepLines/>
      <w:spacing w:before="280" w:after="80"/>
      <w:outlineLvl w:val="2"/>
    </w:pPr>
    <w:rPr>
      <w:b/>
      <w:sz w:val="28"/>
      <w:szCs w:val="28"/>
    </w:rPr>
  </w:style>
  <w:style w:type="paragraph" w:styleId="Ttulo4">
    <w:name w:val="heading 4"/>
    <w:basedOn w:val="Normal"/>
    <w:next w:val="Normal"/>
    <w:link w:val="Ttulo4Car"/>
    <w:rsid w:val="00605311"/>
    <w:pPr>
      <w:keepNext/>
      <w:keepLines/>
      <w:spacing w:before="240" w:after="40"/>
      <w:outlineLvl w:val="3"/>
    </w:pPr>
    <w:rPr>
      <w:b/>
    </w:rPr>
  </w:style>
  <w:style w:type="paragraph" w:styleId="Ttulo5">
    <w:name w:val="heading 5"/>
    <w:basedOn w:val="Normal"/>
    <w:next w:val="Normal"/>
    <w:link w:val="Ttulo5Car"/>
    <w:rsid w:val="00605311"/>
    <w:pPr>
      <w:keepNext/>
      <w:keepLines/>
      <w:spacing w:before="220" w:after="40"/>
      <w:outlineLvl w:val="4"/>
    </w:pPr>
    <w:rPr>
      <w:b/>
    </w:rPr>
  </w:style>
  <w:style w:type="paragraph" w:styleId="Ttulo6">
    <w:name w:val="heading 6"/>
    <w:basedOn w:val="Normal"/>
    <w:next w:val="Normal"/>
    <w:link w:val="Ttulo6Car"/>
    <w:rsid w:val="0060531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5311"/>
    <w:rPr>
      <w:rFonts w:ascii="Calibri" w:eastAsia="Calibri" w:hAnsi="Calibri" w:cs="Calibri"/>
      <w:b/>
      <w:color w:val="2F5496"/>
      <w:sz w:val="28"/>
      <w:szCs w:val="28"/>
      <w:lang w:val="es-ES_tradnl" w:eastAsia="es-CO"/>
    </w:rPr>
  </w:style>
  <w:style w:type="character" w:customStyle="1" w:styleId="Ttulo2Car">
    <w:name w:val="Título 2 Car"/>
    <w:basedOn w:val="Fuentedeprrafopredeter"/>
    <w:link w:val="Ttulo2"/>
    <w:rsid w:val="00605311"/>
    <w:rPr>
      <w:rFonts w:ascii="Arial" w:eastAsia="Arial" w:hAnsi="Arial" w:cs="Arial"/>
      <w:b/>
      <w:sz w:val="36"/>
      <w:szCs w:val="36"/>
      <w:lang w:val="es-ES_tradnl" w:eastAsia="es-CO"/>
    </w:rPr>
  </w:style>
  <w:style w:type="character" w:customStyle="1" w:styleId="Ttulo3Car">
    <w:name w:val="Título 3 Car"/>
    <w:basedOn w:val="Fuentedeprrafopredeter"/>
    <w:link w:val="Ttulo3"/>
    <w:rsid w:val="00605311"/>
    <w:rPr>
      <w:rFonts w:ascii="Arial" w:eastAsia="Arial" w:hAnsi="Arial" w:cs="Arial"/>
      <w:b/>
      <w:sz w:val="28"/>
      <w:szCs w:val="28"/>
      <w:lang w:val="es-ES_tradnl" w:eastAsia="es-CO"/>
    </w:rPr>
  </w:style>
  <w:style w:type="character" w:customStyle="1" w:styleId="Ttulo4Car">
    <w:name w:val="Título 4 Car"/>
    <w:basedOn w:val="Fuentedeprrafopredeter"/>
    <w:link w:val="Ttulo4"/>
    <w:rsid w:val="00605311"/>
    <w:rPr>
      <w:rFonts w:ascii="Arial" w:eastAsia="Arial" w:hAnsi="Arial" w:cs="Arial"/>
      <w:b/>
      <w:sz w:val="24"/>
      <w:szCs w:val="24"/>
      <w:lang w:val="es-ES_tradnl" w:eastAsia="es-CO"/>
    </w:rPr>
  </w:style>
  <w:style w:type="character" w:customStyle="1" w:styleId="Ttulo5Car">
    <w:name w:val="Título 5 Car"/>
    <w:basedOn w:val="Fuentedeprrafopredeter"/>
    <w:link w:val="Ttulo5"/>
    <w:rsid w:val="00605311"/>
    <w:rPr>
      <w:rFonts w:ascii="Arial" w:eastAsia="Arial" w:hAnsi="Arial" w:cs="Arial"/>
      <w:b/>
      <w:lang w:val="es-ES_tradnl" w:eastAsia="es-CO"/>
    </w:rPr>
  </w:style>
  <w:style w:type="character" w:customStyle="1" w:styleId="Ttulo6Car">
    <w:name w:val="Título 6 Car"/>
    <w:basedOn w:val="Fuentedeprrafopredeter"/>
    <w:link w:val="Ttulo6"/>
    <w:rsid w:val="00605311"/>
    <w:rPr>
      <w:rFonts w:ascii="Arial" w:eastAsia="Arial" w:hAnsi="Arial" w:cs="Arial"/>
      <w:b/>
      <w:sz w:val="20"/>
      <w:szCs w:val="20"/>
      <w:lang w:val="es-ES_tradnl" w:eastAsia="es-CO"/>
    </w:rPr>
  </w:style>
  <w:style w:type="table" w:customStyle="1" w:styleId="TableNormal">
    <w:name w:val="Table Normal"/>
    <w:rsid w:val="00605311"/>
    <w:pPr>
      <w:spacing w:after="0" w:line="276" w:lineRule="auto"/>
    </w:pPr>
    <w:rPr>
      <w:rFonts w:ascii="Arial" w:eastAsia="Arial" w:hAnsi="Arial" w:cs="Arial"/>
      <w:lang w:val="es-ES_tradnl" w:eastAsia="es-CO"/>
    </w:rPr>
    <w:tblPr>
      <w:tblCellMar>
        <w:top w:w="0" w:type="dxa"/>
        <w:left w:w="0" w:type="dxa"/>
        <w:bottom w:w="0" w:type="dxa"/>
        <w:right w:w="0" w:type="dxa"/>
      </w:tblCellMar>
    </w:tblPr>
  </w:style>
  <w:style w:type="paragraph" w:styleId="Ttulo">
    <w:name w:val="Title"/>
    <w:basedOn w:val="Normal"/>
    <w:next w:val="Normal"/>
    <w:link w:val="TtuloCar"/>
    <w:rsid w:val="00605311"/>
    <w:pPr>
      <w:keepNext/>
      <w:keepLines/>
      <w:spacing w:before="480" w:after="120"/>
    </w:pPr>
    <w:rPr>
      <w:b/>
      <w:sz w:val="72"/>
      <w:szCs w:val="72"/>
    </w:rPr>
  </w:style>
  <w:style w:type="character" w:customStyle="1" w:styleId="TtuloCar">
    <w:name w:val="Título Car"/>
    <w:basedOn w:val="Fuentedeprrafopredeter"/>
    <w:link w:val="Ttulo"/>
    <w:rsid w:val="00605311"/>
    <w:rPr>
      <w:rFonts w:ascii="Arial" w:eastAsia="Arial" w:hAnsi="Arial" w:cs="Arial"/>
      <w:b/>
      <w:sz w:val="72"/>
      <w:szCs w:val="72"/>
      <w:lang w:val="es-ES_tradnl" w:eastAsia="es-CO"/>
    </w:rPr>
  </w:style>
  <w:style w:type="paragraph" w:styleId="Subttulo">
    <w:name w:val="Subtitle"/>
    <w:basedOn w:val="Normal"/>
    <w:next w:val="Normal"/>
    <w:link w:val="SubttuloCar"/>
    <w:rsid w:val="0060531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605311"/>
    <w:rPr>
      <w:rFonts w:ascii="Georgia" w:eastAsia="Georgia" w:hAnsi="Georgia" w:cs="Georgia"/>
      <w:i/>
      <w:color w:val="666666"/>
      <w:sz w:val="48"/>
      <w:szCs w:val="48"/>
      <w:lang w:val="es-ES_tradnl" w:eastAsia="es-CO"/>
    </w:rPr>
  </w:style>
  <w:style w:type="paragraph" w:styleId="Textocomentario">
    <w:name w:val="annotation text"/>
    <w:basedOn w:val="Normal"/>
    <w:link w:val="TextocomentarioCar"/>
    <w:uiPriority w:val="99"/>
    <w:semiHidden/>
    <w:unhideWhenUsed/>
    <w:rsid w:val="00605311"/>
    <w:rPr>
      <w:sz w:val="20"/>
      <w:szCs w:val="20"/>
    </w:rPr>
  </w:style>
  <w:style w:type="character" w:customStyle="1" w:styleId="TextocomentarioCar">
    <w:name w:val="Texto comentario Car"/>
    <w:basedOn w:val="Fuentedeprrafopredeter"/>
    <w:link w:val="Textocomentario"/>
    <w:uiPriority w:val="99"/>
    <w:semiHidden/>
    <w:rsid w:val="00605311"/>
    <w:rPr>
      <w:rFonts w:ascii="Arial" w:eastAsia="Arial" w:hAnsi="Arial" w:cs="Arial"/>
      <w:sz w:val="20"/>
      <w:szCs w:val="20"/>
      <w:lang w:val="es-ES_tradnl" w:eastAsia="es-CO"/>
    </w:rPr>
  </w:style>
  <w:style w:type="character" w:styleId="Refdecomentario">
    <w:name w:val="annotation reference"/>
    <w:basedOn w:val="Fuentedeprrafopredeter"/>
    <w:uiPriority w:val="99"/>
    <w:semiHidden/>
    <w:unhideWhenUsed/>
    <w:rsid w:val="00605311"/>
    <w:rPr>
      <w:sz w:val="16"/>
      <w:szCs w:val="16"/>
    </w:rPr>
  </w:style>
  <w:style w:type="paragraph" w:styleId="Textodeglobo">
    <w:name w:val="Balloon Text"/>
    <w:basedOn w:val="Normal"/>
    <w:link w:val="TextodegloboCar"/>
    <w:uiPriority w:val="99"/>
    <w:semiHidden/>
    <w:unhideWhenUsed/>
    <w:rsid w:val="006053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5311"/>
    <w:rPr>
      <w:rFonts w:ascii="Segoe UI" w:eastAsia="Arial" w:hAnsi="Segoe UI" w:cs="Segoe UI"/>
      <w:sz w:val="18"/>
      <w:szCs w:val="18"/>
      <w:lang w:val="es-ES_tradnl" w:eastAsia="es-CO"/>
    </w:rPr>
  </w:style>
  <w:style w:type="paragraph" w:styleId="Asuntodelcomentario">
    <w:name w:val="annotation subject"/>
    <w:basedOn w:val="Textocomentario"/>
    <w:next w:val="Textocomentario"/>
    <w:link w:val="AsuntodelcomentarioCar"/>
    <w:uiPriority w:val="99"/>
    <w:semiHidden/>
    <w:unhideWhenUsed/>
    <w:rsid w:val="00605311"/>
    <w:rPr>
      <w:b/>
      <w:bCs/>
    </w:rPr>
  </w:style>
  <w:style w:type="character" w:customStyle="1" w:styleId="AsuntodelcomentarioCar">
    <w:name w:val="Asunto del comentario Car"/>
    <w:basedOn w:val="TextocomentarioCar"/>
    <w:link w:val="Asuntodelcomentario"/>
    <w:uiPriority w:val="99"/>
    <w:semiHidden/>
    <w:rsid w:val="00605311"/>
    <w:rPr>
      <w:rFonts w:ascii="Arial" w:eastAsia="Arial" w:hAnsi="Arial" w:cs="Arial"/>
      <w:b/>
      <w:bCs/>
      <w:sz w:val="20"/>
      <w:szCs w:val="20"/>
      <w:lang w:val="es-ES_tradnl" w:eastAsia="es-CO"/>
    </w:rPr>
  </w:style>
  <w:style w:type="paragraph" w:styleId="Revisin">
    <w:name w:val="Revision"/>
    <w:hidden/>
    <w:uiPriority w:val="99"/>
    <w:semiHidden/>
    <w:rsid w:val="00605311"/>
    <w:pPr>
      <w:spacing w:after="0" w:line="240" w:lineRule="auto"/>
    </w:pPr>
    <w:rPr>
      <w:rFonts w:ascii="Arial" w:eastAsia="Arial" w:hAnsi="Arial" w:cs="Arial"/>
      <w:lang w:val="es-ES_tradnl" w:eastAsia="es-CO"/>
    </w:rPr>
  </w:style>
  <w:style w:type="paragraph" w:customStyle="1" w:styleId="Default">
    <w:name w:val="Default"/>
    <w:rsid w:val="00605311"/>
    <w:pPr>
      <w:autoSpaceDE w:val="0"/>
      <w:autoSpaceDN w:val="0"/>
      <w:adjustRightInd w:val="0"/>
      <w:spacing w:after="0" w:line="240" w:lineRule="auto"/>
    </w:pPr>
    <w:rPr>
      <w:rFonts w:ascii="Calibri" w:eastAsia="Arial" w:hAnsi="Calibri" w:cs="Calibri"/>
      <w:color w:val="000000"/>
      <w:sz w:val="24"/>
      <w:szCs w:val="24"/>
      <w:lang w:eastAsia="es-CO"/>
    </w:rPr>
  </w:style>
  <w:style w:type="paragraph" w:styleId="Encabezado">
    <w:name w:val="header"/>
    <w:basedOn w:val="Normal"/>
    <w:link w:val="EncabezadoCar"/>
    <w:uiPriority w:val="99"/>
    <w:unhideWhenUsed/>
    <w:rsid w:val="00605311"/>
    <w:pPr>
      <w:tabs>
        <w:tab w:val="center" w:pos="4419"/>
        <w:tab w:val="right" w:pos="8838"/>
      </w:tabs>
    </w:pPr>
    <w:rPr>
      <w:lang w:val="es"/>
    </w:rPr>
  </w:style>
  <w:style w:type="character" w:customStyle="1" w:styleId="EncabezadoCar">
    <w:name w:val="Encabezado Car"/>
    <w:basedOn w:val="Fuentedeprrafopredeter"/>
    <w:link w:val="Encabezado"/>
    <w:uiPriority w:val="99"/>
    <w:rsid w:val="00605311"/>
    <w:rPr>
      <w:rFonts w:ascii="Arial" w:eastAsia="Arial" w:hAnsi="Arial" w:cs="Arial"/>
      <w:lang w:val="es" w:eastAsia="es-ES_tradnl"/>
    </w:rPr>
  </w:style>
  <w:style w:type="paragraph" w:styleId="Piedepgina">
    <w:name w:val="footer"/>
    <w:basedOn w:val="Normal"/>
    <w:link w:val="PiedepginaCar"/>
    <w:uiPriority w:val="99"/>
    <w:unhideWhenUsed/>
    <w:rsid w:val="00605311"/>
    <w:pPr>
      <w:tabs>
        <w:tab w:val="center" w:pos="4419"/>
        <w:tab w:val="right" w:pos="8838"/>
      </w:tabs>
    </w:pPr>
    <w:rPr>
      <w:lang w:val="es"/>
    </w:rPr>
  </w:style>
  <w:style w:type="character" w:customStyle="1" w:styleId="PiedepginaCar">
    <w:name w:val="Pie de página Car"/>
    <w:basedOn w:val="Fuentedeprrafopredeter"/>
    <w:link w:val="Piedepgina"/>
    <w:uiPriority w:val="99"/>
    <w:rsid w:val="00605311"/>
    <w:rPr>
      <w:rFonts w:ascii="Arial" w:eastAsia="Arial" w:hAnsi="Arial" w:cs="Arial"/>
      <w:lang w:val="es" w:eastAsia="es-ES_tradnl"/>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05311"/>
    <w:pPr>
      <w:ind w:left="720"/>
      <w:contextualSpacing/>
    </w:pPr>
    <w:rPr>
      <w:lang w:val="es"/>
    </w:rPr>
  </w:style>
  <w:style w:type="table" w:styleId="Tablanormal2">
    <w:name w:val="Plain Table 2"/>
    <w:basedOn w:val="Tablanormal"/>
    <w:uiPriority w:val="42"/>
    <w:rsid w:val="00605311"/>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nhideWhenUsed/>
    <w:rsid w:val="00605311"/>
    <w:pPr>
      <w:spacing w:before="100" w:beforeAutospacing="1" w:after="100" w:afterAutospacing="1"/>
    </w:pPr>
  </w:style>
  <w:style w:type="paragraph" w:customStyle="1" w:styleId="Normal1">
    <w:name w:val="Normal1"/>
    <w:rsid w:val="00605311"/>
    <w:pPr>
      <w:spacing w:after="200" w:line="288" w:lineRule="auto"/>
    </w:pPr>
    <w:rPr>
      <w:rFonts w:eastAsiaTheme="minorEastAsia"/>
      <w:lang w:val="es" w:eastAsia="es-ES"/>
    </w:rPr>
  </w:style>
  <w:style w:type="paragraph" w:styleId="Textonotaalfinal">
    <w:name w:val="endnote text"/>
    <w:basedOn w:val="Normal"/>
    <w:link w:val="TextonotaalfinalCar"/>
    <w:uiPriority w:val="99"/>
    <w:semiHidden/>
    <w:unhideWhenUsed/>
    <w:rsid w:val="00605311"/>
    <w:rPr>
      <w:sz w:val="20"/>
      <w:szCs w:val="20"/>
      <w:lang w:val="es"/>
    </w:rPr>
  </w:style>
  <w:style w:type="character" w:customStyle="1" w:styleId="TextonotaalfinalCar">
    <w:name w:val="Texto nota al final Car"/>
    <w:basedOn w:val="Fuentedeprrafopredeter"/>
    <w:link w:val="Textonotaalfinal"/>
    <w:uiPriority w:val="99"/>
    <w:semiHidden/>
    <w:rsid w:val="00605311"/>
    <w:rPr>
      <w:rFonts w:ascii="Arial" w:eastAsia="Arial" w:hAnsi="Arial" w:cs="Arial"/>
      <w:sz w:val="20"/>
      <w:szCs w:val="20"/>
      <w:lang w:val="es" w:eastAsia="es-ES_tradnl"/>
    </w:rPr>
  </w:style>
  <w:style w:type="paragraph" w:styleId="Textonotapie">
    <w:name w:val="footnote text"/>
    <w:basedOn w:val="Normal"/>
    <w:link w:val="TextonotapieCar"/>
    <w:uiPriority w:val="99"/>
    <w:semiHidden/>
    <w:unhideWhenUsed/>
    <w:rsid w:val="00605311"/>
    <w:rPr>
      <w:sz w:val="20"/>
      <w:szCs w:val="20"/>
      <w:lang w:val="es"/>
    </w:rPr>
  </w:style>
  <w:style w:type="character" w:customStyle="1" w:styleId="TextonotapieCar">
    <w:name w:val="Texto nota pie Car"/>
    <w:basedOn w:val="Fuentedeprrafopredeter"/>
    <w:link w:val="Textonotapie"/>
    <w:uiPriority w:val="99"/>
    <w:semiHidden/>
    <w:rsid w:val="00605311"/>
    <w:rPr>
      <w:rFonts w:ascii="Arial" w:eastAsia="Arial" w:hAnsi="Arial" w:cs="Arial"/>
      <w:sz w:val="20"/>
      <w:szCs w:val="20"/>
      <w:lang w:val="es" w:eastAsia="es-ES_tradnl"/>
    </w:rPr>
  </w:style>
  <w:style w:type="character" w:styleId="Refdenotaalpie">
    <w:name w:val="footnote reference"/>
    <w:basedOn w:val="Fuentedeprrafopredeter"/>
    <w:uiPriority w:val="99"/>
    <w:semiHidden/>
    <w:unhideWhenUsed/>
    <w:rsid w:val="00605311"/>
    <w:rPr>
      <w:vertAlign w:val="superscript"/>
    </w:rPr>
  </w:style>
  <w:style w:type="paragraph" w:styleId="Bibliografa">
    <w:name w:val="Bibliography"/>
    <w:basedOn w:val="Normal"/>
    <w:next w:val="Normal"/>
    <w:uiPriority w:val="37"/>
    <w:unhideWhenUsed/>
    <w:rsid w:val="00605311"/>
    <w:rPr>
      <w:lang w:val="es"/>
    </w:rPr>
  </w:style>
  <w:style w:type="character" w:customStyle="1" w:styleId="apple-converted-space">
    <w:name w:val="apple-converted-space"/>
    <w:basedOn w:val="Fuentedeprrafopredeter"/>
    <w:rsid w:val="00605311"/>
  </w:style>
  <w:style w:type="character" w:styleId="Textoennegrita">
    <w:name w:val="Strong"/>
    <w:basedOn w:val="Fuentedeprrafopredeter"/>
    <w:uiPriority w:val="22"/>
    <w:qFormat/>
    <w:rsid w:val="00605311"/>
    <w:rPr>
      <w:b/>
      <w:bCs/>
    </w:rPr>
  </w:style>
  <w:style w:type="character" w:styleId="Hipervnculo">
    <w:name w:val="Hyperlink"/>
    <w:basedOn w:val="Fuentedeprrafopredeter"/>
    <w:uiPriority w:val="99"/>
    <w:unhideWhenUsed/>
    <w:rsid w:val="00605311"/>
    <w:rPr>
      <w:color w:val="0000FF"/>
      <w:u w:val="single"/>
    </w:rPr>
  </w:style>
  <w:style w:type="table" w:styleId="Tablanormal1">
    <w:name w:val="Plain Table 1"/>
    <w:basedOn w:val="Tablanormal"/>
    <w:uiPriority w:val="41"/>
    <w:rsid w:val="00605311"/>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605311"/>
    <w:pPr>
      <w:spacing w:after="0" w:line="240" w:lineRule="auto"/>
    </w:pPr>
    <w:rPr>
      <w:rFonts w:ascii="Arial" w:eastAsia="Arial" w:hAnsi="Arial" w:cs="Arial"/>
      <w:lang w:val="es-ES_tradnl"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605311"/>
    <w:pPr>
      <w:spacing w:after="0" w:line="240" w:lineRule="auto"/>
    </w:pPr>
    <w:rPr>
      <w:rFonts w:ascii="Arial" w:eastAsia="Arial" w:hAnsi="Arial" w:cs="Arial"/>
      <w:lang w:val="es-ES_tradnl"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05311"/>
    <w:pPr>
      <w:spacing w:after="0" w:line="240" w:lineRule="auto"/>
    </w:pPr>
    <w:rPr>
      <w:rFonts w:ascii="Arial" w:eastAsia="Arial" w:hAnsi="Arial" w:cs="Arial"/>
      <w:lang w:val="es-ES_tradnl"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
    <w:link w:val="Prrafodelista"/>
    <w:uiPriority w:val="34"/>
    <w:locked/>
    <w:rsid w:val="00605311"/>
    <w:rPr>
      <w:rFonts w:ascii="Arial" w:eastAsia="Arial" w:hAnsi="Arial" w:cs="Arial"/>
      <w:lang w:val="es" w:eastAsia="es-ES_tradnl"/>
    </w:rPr>
  </w:style>
  <w:style w:type="paragraph" w:styleId="Textoindependiente">
    <w:name w:val="Body Text"/>
    <w:basedOn w:val="Normal"/>
    <w:link w:val="TextoindependienteCar"/>
    <w:uiPriority w:val="99"/>
    <w:unhideWhenUsed/>
    <w:rsid w:val="00605311"/>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605311"/>
    <w:rPr>
      <w:rFonts w:ascii="Times New Roman" w:eastAsia="Times New Roman" w:hAnsi="Times New Roman" w:cs="Times New Roman"/>
      <w:sz w:val="24"/>
      <w:szCs w:val="24"/>
      <w:lang w:val="es-ES_tradnl" w:eastAsia="es-CO"/>
    </w:rPr>
  </w:style>
  <w:style w:type="paragraph" w:styleId="Descripcin">
    <w:name w:val="caption"/>
    <w:basedOn w:val="Normal"/>
    <w:next w:val="Normal"/>
    <w:uiPriority w:val="35"/>
    <w:unhideWhenUsed/>
    <w:qFormat/>
    <w:rsid w:val="008723E5"/>
    <w:pPr>
      <w:spacing w:after="200"/>
    </w:pPr>
    <w:rPr>
      <w:i/>
      <w:iCs/>
      <w:color w:val="44546A" w:themeColor="text2"/>
      <w:sz w:val="18"/>
      <w:szCs w:val="18"/>
    </w:rPr>
  </w:style>
  <w:style w:type="character" w:styleId="Mencinsinresolver">
    <w:name w:val="Unresolved Mention"/>
    <w:basedOn w:val="Fuentedeprrafopredeter"/>
    <w:uiPriority w:val="99"/>
    <w:semiHidden/>
    <w:unhideWhenUsed/>
    <w:rsid w:val="00D80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5167">
      <w:bodyDiv w:val="1"/>
      <w:marLeft w:val="0"/>
      <w:marRight w:val="0"/>
      <w:marTop w:val="0"/>
      <w:marBottom w:val="0"/>
      <w:divBdr>
        <w:top w:val="none" w:sz="0" w:space="0" w:color="auto"/>
        <w:left w:val="none" w:sz="0" w:space="0" w:color="auto"/>
        <w:bottom w:val="none" w:sz="0" w:space="0" w:color="auto"/>
        <w:right w:val="none" w:sz="0" w:space="0" w:color="auto"/>
      </w:divBdr>
    </w:div>
    <w:div w:id="282394829">
      <w:bodyDiv w:val="1"/>
      <w:marLeft w:val="0"/>
      <w:marRight w:val="0"/>
      <w:marTop w:val="0"/>
      <w:marBottom w:val="0"/>
      <w:divBdr>
        <w:top w:val="none" w:sz="0" w:space="0" w:color="auto"/>
        <w:left w:val="none" w:sz="0" w:space="0" w:color="auto"/>
        <w:bottom w:val="none" w:sz="0" w:space="0" w:color="auto"/>
        <w:right w:val="none" w:sz="0" w:space="0" w:color="auto"/>
      </w:divBdr>
    </w:div>
    <w:div w:id="318388286">
      <w:bodyDiv w:val="1"/>
      <w:marLeft w:val="0"/>
      <w:marRight w:val="0"/>
      <w:marTop w:val="0"/>
      <w:marBottom w:val="0"/>
      <w:divBdr>
        <w:top w:val="none" w:sz="0" w:space="0" w:color="auto"/>
        <w:left w:val="none" w:sz="0" w:space="0" w:color="auto"/>
        <w:bottom w:val="none" w:sz="0" w:space="0" w:color="auto"/>
        <w:right w:val="none" w:sz="0" w:space="0" w:color="auto"/>
      </w:divBdr>
    </w:div>
    <w:div w:id="1066493661">
      <w:bodyDiv w:val="1"/>
      <w:marLeft w:val="0"/>
      <w:marRight w:val="0"/>
      <w:marTop w:val="0"/>
      <w:marBottom w:val="0"/>
      <w:divBdr>
        <w:top w:val="none" w:sz="0" w:space="0" w:color="auto"/>
        <w:left w:val="none" w:sz="0" w:space="0" w:color="auto"/>
        <w:bottom w:val="none" w:sz="0" w:space="0" w:color="auto"/>
        <w:right w:val="none" w:sz="0" w:space="0" w:color="auto"/>
      </w:divBdr>
    </w:div>
    <w:div w:id="1172186319">
      <w:bodyDiv w:val="1"/>
      <w:marLeft w:val="0"/>
      <w:marRight w:val="0"/>
      <w:marTop w:val="0"/>
      <w:marBottom w:val="0"/>
      <w:divBdr>
        <w:top w:val="none" w:sz="0" w:space="0" w:color="auto"/>
        <w:left w:val="none" w:sz="0" w:space="0" w:color="auto"/>
        <w:bottom w:val="none" w:sz="0" w:space="0" w:color="auto"/>
        <w:right w:val="none" w:sz="0" w:space="0" w:color="auto"/>
      </w:divBdr>
    </w:div>
    <w:div w:id="1256016898">
      <w:bodyDiv w:val="1"/>
      <w:marLeft w:val="0"/>
      <w:marRight w:val="0"/>
      <w:marTop w:val="0"/>
      <w:marBottom w:val="0"/>
      <w:divBdr>
        <w:top w:val="none" w:sz="0" w:space="0" w:color="auto"/>
        <w:left w:val="none" w:sz="0" w:space="0" w:color="auto"/>
        <w:bottom w:val="none" w:sz="0" w:space="0" w:color="auto"/>
        <w:right w:val="none" w:sz="0" w:space="0" w:color="auto"/>
      </w:divBdr>
    </w:div>
    <w:div w:id="1451243577">
      <w:bodyDiv w:val="1"/>
      <w:marLeft w:val="0"/>
      <w:marRight w:val="0"/>
      <w:marTop w:val="0"/>
      <w:marBottom w:val="0"/>
      <w:divBdr>
        <w:top w:val="none" w:sz="0" w:space="0" w:color="auto"/>
        <w:left w:val="none" w:sz="0" w:space="0" w:color="auto"/>
        <w:bottom w:val="none" w:sz="0" w:space="0" w:color="auto"/>
        <w:right w:val="none" w:sz="0" w:space="0" w:color="auto"/>
      </w:divBdr>
    </w:div>
    <w:div w:id="1707678949">
      <w:bodyDiv w:val="1"/>
      <w:marLeft w:val="0"/>
      <w:marRight w:val="0"/>
      <w:marTop w:val="0"/>
      <w:marBottom w:val="0"/>
      <w:divBdr>
        <w:top w:val="none" w:sz="0" w:space="0" w:color="auto"/>
        <w:left w:val="none" w:sz="0" w:space="0" w:color="auto"/>
        <w:bottom w:val="none" w:sz="0" w:space="0" w:color="auto"/>
        <w:right w:val="none" w:sz="0" w:space="0" w:color="auto"/>
      </w:divBdr>
    </w:div>
    <w:div w:id="1867520270">
      <w:bodyDiv w:val="1"/>
      <w:marLeft w:val="0"/>
      <w:marRight w:val="0"/>
      <w:marTop w:val="0"/>
      <w:marBottom w:val="0"/>
      <w:divBdr>
        <w:top w:val="none" w:sz="0" w:space="0" w:color="auto"/>
        <w:left w:val="none" w:sz="0" w:space="0" w:color="auto"/>
        <w:bottom w:val="none" w:sz="0" w:space="0" w:color="auto"/>
        <w:right w:val="none" w:sz="0" w:space="0" w:color="auto"/>
      </w:divBdr>
    </w:div>
    <w:div w:id="1901285209">
      <w:bodyDiv w:val="1"/>
      <w:marLeft w:val="0"/>
      <w:marRight w:val="0"/>
      <w:marTop w:val="0"/>
      <w:marBottom w:val="0"/>
      <w:divBdr>
        <w:top w:val="none" w:sz="0" w:space="0" w:color="auto"/>
        <w:left w:val="none" w:sz="0" w:space="0" w:color="auto"/>
        <w:bottom w:val="none" w:sz="0" w:space="0" w:color="auto"/>
        <w:right w:val="none" w:sz="0" w:space="0" w:color="auto"/>
      </w:divBdr>
    </w:div>
    <w:div w:id="21262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Trb5sm_rEgs" TargetMode="External"/><Relationship Id="rId4" Type="http://schemas.openxmlformats.org/officeDocument/2006/relationships/settings" Target="settings.xml"/><Relationship Id="rId9" Type="http://schemas.openxmlformats.org/officeDocument/2006/relationships/hyperlink" Target="http://www.secretariasenado.gov.co/senado/basedoc/ley_2003_2019.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CON14</b:Tag>
    <b:SourceType>Report</b:SourceType>
    <b:Guid>{D6A6E114-EC42-164B-BEF6-09B6EF7DD0F0}</b:Guid>
    <b:Author>
      <b:Author>
        <b:Corporate>CONPES 3816</b:Corporate>
      </b:Author>
    </b:Author>
    <b:Title>MEJORA NORMATIVA: ANÁLISIS DE IMPACTO</b:Title>
    <b:Publisher>CONSEJO NACIONAL DE POLÍTICA ECONÓMICA Y SOCIAL REPÚBLICA DE COLOMBIA DEPARTAMENTO NACIONAL DE PLANEACIÓN</b:Publisher>
    <b:City>Bogotá</b:City>
    <b:Year>2014</b:Year>
    <b:RefOrder>1</b:RefOrder>
  </b:Source>
  <b:Source>
    <b:Tag>Dep17</b:Tag>
    <b:SourceType>Report</b:SourceType>
    <b:Guid>{DADD7CD2-4C23-CF4A-AD16-5AB1A2229AD8}</b:Guid>
    <b:Author>
      <b:Author>
        <b:Corporate>Departamento Nacional de Planeación</b:Corporate>
      </b:Author>
    </b:Author>
    <b:Title>Aproximación al inventario normativo por medio del piloto Big Data regulatorio</b:Title>
    <b:City>Bogotá</b:City>
    <b:Year>2017</b:Year>
    <b:RefOrder>2</b:RefOrder>
  </b:Source>
  <b:Source>
    <b:Tag>Ins18</b:Tag>
    <b:SourceType>BookSection</b:SourceType>
    <b:Guid>{1D02F627-07A6-1745-8829-B23367017FC8}</b:Guid>
    <b:Title>Calidad institucional para el crecimiento económico y el progreso social</b:Title>
    <b:City>Bogotá</b:City>
    <b:Year>2018</b:Year>
    <b:Author>
      <b:Author>
        <b:Corporate>Molano, Moncada &amp; Barrera</b:Corporate>
      </b:Author>
      <b:BookAuthor>
        <b:NameList>
          <b:Person>
            <b:Last>(ICP)</b:Last>
            <b:First>Instituto</b:First>
            <b:Middle>de Ciencia Política Hernán Echavarría Olózaga</b:Middle>
          </b:Person>
        </b:NameList>
      </b:BookAuthor>
    </b:Author>
    <b:BookTitle>Calidad normativa y regulatoria</b:BookTitle>
    <b:Pages>35 y ss</b:Pages>
    <b:Publisher>(ICP), Instituto de Ciencia Política Hernán Echavarría Olózaga</b:Publisher>
    <b:RefOrder>3</b:RefOrder>
  </b:Source>
  <b:Source>
    <b:Tag>ElI18</b:Tag>
    <b:SourceType>Book</b:SourceType>
    <b:Guid>{381A3025-3E43-CA46-98B7-BAC1B965B8B4}</b:Guid>
    <b:Title>Informe Nacional de Competitividad (INC)</b:Title>
    <b:City>Bogotá</b:City>
    <b:Publisher>Zetta Comunicadores</b:Publisher>
    <b:Year>2018</b:Year>
    <b:Author>
      <b:Author>
        <b:Corporate>Consejo Privado de Competitividad </b:Corporate>
      </b:Author>
    </b:Author>
    <b:RefOrder>4</b:RefOrder>
  </b:Source>
  <b:Source>
    <b:Tag>Ban</b:Tag>
    <b:SourceType>InternetSite</b:SourceType>
    <b:Guid>{6CCC9C4F-97EE-BA4F-8EF0-D2E7C9C568B5}</b:Guid>
    <b:Title>Doing Busines</b:Title>
    <b:Author>
      <b:Author>
        <b:Corporate>Banco Mundial</b:Corporate>
      </b:Author>
    </b:Author>
    <b:URL>https://espanol.doingbusiness.org/es/data/exploreeconomies/colombia</b:URL>
    <b:Year>2019</b:Year>
    <b:RefOrder>5</b:RefOrder>
  </b:Source>
  <b:Source>
    <b:Tag>Cin18</b:Tag>
    <b:SourceType>InternetSite</b:SourceType>
    <b:Guid>{AD8EBD81-6A6D-7349-B0B6-EE8070AF70ED}</b:Guid>
    <b:Author>
      <b:Author>
        <b:Corporate>Cinco ideas para reducir la corrupción</b:Corporate>
      </b:Author>
    </b:Author>
    <b:Title>El tiempo</b:Title>
    <b:InternetSiteTitle>Alejandro Gaviria</b:InternetSiteTitle>
    <b:URL>https://www.eltiempo.com/politica/gobierno/cinco-ideas-para-reducir-la-corrupcion-segun-alejandro-gaviria-260100</b:URL>
    <b:Year>2018</b:Year>
    <b:Month>agosto</b:Month>
    <b:Day>25</b:Day>
    <b:RefOrder>6</b:RefOrder>
  </b:Source>
  <b:Source>
    <b:Tag>OCD16</b:Tag>
    <b:SourceType>Report</b:SourceType>
    <b:Guid>{2880A957-15BA-3D4E-B5C6-0ACF669A1B50}</b:Guid>
    <b:Author>
      <b:Author>
        <b:Corporate>OCDE</b:Corporate>
      </b:Author>
    </b:Author>
    <b:Title>Indicators of Regulatory Policy and Governance (iREG) for Latin America</b:Title>
    <b:Year>2016</b:Year>
    <b:RefOrder>7</b:RefOrder>
  </b:Source>
  <b:Source>
    <b:Tag>Dec15</b:Tag>
    <b:SourceType>Report</b:SourceType>
    <b:Guid>{4C2A9ECB-5A6C-7745-AAD6-C51143FFD541}</b:Guid>
    <b:Author>
      <b:Author>
        <b:Corporate>Decreto 1595 </b:Corporate>
      </b:Author>
    </b:Author>
    <b:Title>or el cual se dictan normas relativas al Subsistema Nacional de la Calidad y se modifica el capítulo 7 y la sección 1 del capítulo 8 del título 1 de la parte 2</b:Title>
    <b:City>Bogotá</b:City>
    <b:Year>2015</b:Year>
    <b:RefOrder>8</b:RefOrder>
  </b:Source>
  <b:Source>
    <b:Tag>Dec17</b:Tag>
    <b:SourceType>Report</b:SourceType>
    <b:Guid>{4CEBB62B-4F49-B047-8FC1-4357D3A0E6D6}</b:Guid>
    <b:Author>
      <b:Author>
        <b:Corporate>Decreto 270</b:Corporate>
      </b:Author>
    </b:Author>
    <b:Title>por el cual se modifica y se adiciona el Decreto número 1081 de 2015</b:Title>
    <b:City>Bogotá</b:City>
    <b:Year>2017</b:Year>
    <b:RefOrder>9</b:RefOrder>
  </b:Source>
  <b:Source>
    <b:Tag>Dep19</b:Tag>
    <b:SourceType>InternetSite</b:SourceType>
    <b:Guid>{2255125C-46A9-C541-8F08-22152C4C6805}</b:Guid>
    <b:Title>Portal Web DNP</b:Title>
    <b:Year>2019</b:Year>
    <b:Month>30</b:Month>
    <b:Day>septiembre</b:Day>
    <b:Author>
      <b:Author>
        <b:Corporate>Departamento Nacional de Planeación</b:Corporate>
      </b:Author>
    </b:Author>
    <b:InternetSiteTitle>Colombia estrena visualizador de producción normativa</b:InternetSiteTitle>
    <b:URL>https://www.dnp.gov.co/Paginas/Colombia-estrena-visualizador-de-produccion-normativa.aspx</b:URL>
    <b:RefOrder>10</b:RefOrder>
  </b:Source>
  <b:Source>
    <b:Tag>Sec12</b:Tag>
    <b:SourceType>InternetSite</b:SourceType>
    <b:Guid>{23F45339-8118-0E46-88BC-9E7B79149989}</b:Guid>
    <b:Author>
      <b:Author>
        <b:Corporate>Secretaría de la Función Pública del Gobierno Federal Mexicano</b:Corporate>
      </b:Author>
    </b:Author>
    <b:Title>Tala Regulatoria</b:Title>
    <b:Year>2012</b:Year>
    <b:InternetSiteTitle>Secretaría de la Función Pública del Gobierno Federal Mexicano</b:InternetSiteTitle>
    <b:URL>http://2006-2012.funcionpublica.gob.mx/index.php/unidades-administrativas/ssfp/mejor-gobierno/tala.html</b:URL>
    <b:Month>junio</b:Month>
    <b:Day>13</b:Day>
    <b:RefOrder>11</b:RefOrder>
  </b:Source>
  <b:Source>
    <b:Tag>OCD02</b:Tag>
    <b:SourceType>Report</b:SourceType>
    <b:Guid>{94142EA4-F8CA-6342-BE53-5DD92E555C56}</b:Guid>
    <b:Author>
      <b:Author>
        <b:NameList>
          <b:Person>
            <b:Last>OCDE</b:Last>
          </b:Person>
        </b:NameList>
      </b:Author>
    </b:Author>
    <b:Title>Regulatory Policies in OCDE Countries: from Inter- ventionism to Regulatory Governance. </b:Title>
    <b:Year>2002</b:Year>
    <b:City>Paris</b:City>
    <b:RefOrder>12</b:RefOrder>
  </b:Source>
  <b:Source>
    <b:Tag>For17</b:Tag>
    <b:SourceType>Book</b:SourceType>
    <b:Guid>{D5FA2235-44C3-B247-85EF-869B6E4E3895}</b:Guid>
    <b:Author>
      <b:Author>
        <b:Corporate>Foro Económico Mundial</b:Corporate>
      </b:Author>
    </b:Author>
    <b:Title>Reporte de Competitividad Global</b:Title>
    <b:Publisher>Foro Económico Global</b:Publisher>
    <b:Year>2017</b:Year>
    <b:RefOrder>13</b:RefOrder>
  </b:Source>
  <b:Source>
    <b:Tag>Dec04</b:Tag>
    <b:SourceType>Report</b:SourceType>
    <b:Guid>{F394E453-9483-8541-ACF6-915373EF947C}</b:Guid>
    <b:Author>
      <b:Author>
        <b:Corporate>Decreto 2696</b:Corporate>
      </b:Author>
    </b:Author>
    <b:Title>por el cual se definen las reglas mínimas para garantizar la divulgación y la participación en las actuaciones de las Comisiones de Regulación</b:Title>
    <b:City>Bogotá</b:City>
    <b:Year>2004</b:Year>
    <b:RefOrder>14</b:RefOrder>
  </b:Source>
  <b:Source>
    <b:Tag>Dec10</b:Tag>
    <b:SourceType>Report</b:SourceType>
    <b:Guid>{1439E6B3-6241-C140-95E1-BD151A8EF2DB}</b:Guid>
    <b:Author>
      <b:Author>
        <b:Corporate>Decreto 1345</b:Corporate>
      </b:Author>
    </b:Author>
    <b:Title>EL PRESIDENTE DE LA REPÚBLICA DE COLOMBIA,  en ejercicio de sus atribuciones constitucionales y legales, en especial las conferidas en el artículo 189 numeral 11 de la Constitución Política y el artículo 56 de la Ley 489 de 1998</b:Title>
    <b:City>Bogotá</b:City>
    <b:Year>2010</b:Year>
    <b:RefOrder>15</b:RefOrder>
  </b:Source>
  <b:Source>
    <b:Tag>Dec13</b:Tag>
    <b:SourceType>Report</b:SourceType>
    <b:Guid>{021EE013-3D71-A846-8B12-43512F256EB3}</b:Guid>
    <b:Author>
      <b:Author>
        <b:Corporate>Decreto 1844</b:Corporate>
      </b:Author>
    </b:Author>
    <b:Title>por el cual se reglamenta la facultad de coordinación del Ministerio de Comercio, Industria y Turismo, frente a la elaboración y notificación internacional de reglamentos técnicos y procedimientos de evaluación de la conformidad</b:Title>
    <b:City>Bogotá</b:City>
    <b:Year>2013</b:Year>
    <b:RefOrder>16</b:RefOrder>
  </b:Source>
  <b:Source>
    <b:Tag>Doi18</b:Tag>
    <b:SourceType>InternetSite</b:SourceType>
    <b:Guid>{9932720C-C9AA-E145-9A77-C24D69AA5BCE}</b:Guid>
    <b:Title>Banco Mundial</b:Title>
    <b:Year>2018</b:Year>
    <b:Author>
      <b:Author>
        <b:Corporate>Doing Bussines</b:Corporate>
      </b:Author>
    </b:Author>
    <b:InternetSiteTitle>Midiendo regulaciones para hacer negocios</b:InternetSiteTitle>
    <b:URL>https://espanol.doingbusiness.org/es/rankings</b:URL>
    <b:Month>Mayo</b:Month>
    <b:RefOrder>17</b:RefOrder>
  </b:Source>
</b:Sources>
</file>

<file path=customXml/itemProps1.xml><?xml version="1.0" encoding="utf-8"?>
<ds:datastoreItem xmlns:ds="http://schemas.openxmlformats.org/officeDocument/2006/customXml" ds:itemID="{FB1BDA77-6F76-4ADF-A8C9-65ED4178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3685</Words>
  <Characters>20268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Armando León Acuña</dc:creator>
  <cp:keywords/>
  <dc:description/>
  <cp:lastModifiedBy>laura</cp:lastModifiedBy>
  <cp:revision>2</cp:revision>
  <dcterms:created xsi:type="dcterms:W3CDTF">2020-06-06T02:00:00Z</dcterms:created>
  <dcterms:modified xsi:type="dcterms:W3CDTF">2020-06-06T02:00:00Z</dcterms:modified>
</cp:coreProperties>
</file>