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3DEFA" w14:textId="3B529D82" w:rsidR="00DE7D07" w:rsidRPr="0026684F" w:rsidRDefault="00DE7D07" w:rsidP="00DE7D07">
      <w:pPr>
        <w:jc w:val="center"/>
        <w:rPr>
          <w:rFonts w:ascii="Century Gothic" w:hAnsi="Century Gothic" w:cs="Times New Roman"/>
          <w:b/>
          <w:sz w:val="22"/>
        </w:rPr>
      </w:pPr>
      <w:r w:rsidRPr="0026684F">
        <w:rPr>
          <w:rFonts w:ascii="Century Gothic" w:hAnsi="Century Gothic" w:cs="Times New Roman"/>
          <w:b/>
          <w:sz w:val="22"/>
        </w:rPr>
        <w:t xml:space="preserve">INFORME DE PONENCIA PARA </w:t>
      </w:r>
      <w:r w:rsidR="002C570B">
        <w:rPr>
          <w:rFonts w:ascii="Century Gothic" w:hAnsi="Century Gothic" w:cs="Times New Roman"/>
          <w:b/>
          <w:sz w:val="22"/>
        </w:rPr>
        <w:t>PRIMER</w:t>
      </w:r>
      <w:r w:rsidRPr="0026684F">
        <w:rPr>
          <w:rFonts w:ascii="Century Gothic" w:hAnsi="Century Gothic" w:cs="Times New Roman"/>
          <w:b/>
          <w:sz w:val="22"/>
        </w:rPr>
        <w:t xml:space="preserve"> DEBATE AL PROYECTO DE LEY</w:t>
      </w:r>
      <w:r w:rsidR="0026684F">
        <w:rPr>
          <w:rFonts w:ascii="Century Gothic" w:hAnsi="Century Gothic" w:cs="Times New Roman"/>
          <w:b/>
          <w:sz w:val="22"/>
        </w:rPr>
        <w:t xml:space="preserve"> 201</w:t>
      </w:r>
      <w:r w:rsidR="002C570B">
        <w:rPr>
          <w:rFonts w:ascii="Century Gothic" w:hAnsi="Century Gothic" w:cs="Times New Roman"/>
          <w:b/>
          <w:sz w:val="22"/>
        </w:rPr>
        <w:t xml:space="preserve"> </w:t>
      </w:r>
      <w:r w:rsidR="0026684F">
        <w:rPr>
          <w:rFonts w:ascii="Century Gothic" w:hAnsi="Century Gothic" w:cs="Times New Roman"/>
          <w:b/>
          <w:sz w:val="22"/>
        </w:rPr>
        <w:t>de 2018</w:t>
      </w:r>
      <w:r w:rsidR="002C570B">
        <w:rPr>
          <w:rFonts w:ascii="Century Gothic" w:hAnsi="Century Gothic" w:cs="Times New Roman"/>
          <w:b/>
          <w:sz w:val="22"/>
        </w:rPr>
        <w:t xml:space="preserve"> CÁMARA Y 139 de</w:t>
      </w:r>
      <w:r w:rsidRPr="0026684F">
        <w:rPr>
          <w:rFonts w:ascii="Century Gothic" w:hAnsi="Century Gothic" w:cs="Times New Roman"/>
          <w:b/>
          <w:sz w:val="22"/>
        </w:rPr>
        <w:t xml:space="preserve"> 2017 SENADO</w:t>
      </w:r>
    </w:p>
    <w:p w14:paraId="357E1322" w14:textId="77777777" w:rsidR="00DE7D07" w:rsidRPr="0026684F" w:rsidRDefault="00DE7D07" w:rsidP="002C570B">
      <w:pPr>
        <w:jc w:val="center"/>
        <w:rPr>
          <w:rFonts w:ascii="Century Gothic" w:hAnsi="Century Gothic" w:cs="Times New Roman"/>
          <w:b/>
          <w:sz w:val="22"/>
        </w:rPr>
      </w:pPr>
      <w:r w:rsidRPr="0026684F">
        <w:rPr>
          <w:rFonts w:ascii="Century Gothic" w:hAnsi="Century Gothic" w:cs="Times New Roman"/>
          <w:b/>
          <w:sz w:val="22"/>
        </w:rPr>
        <w:t>“POR MEDIO DE LA CUAL SE MODIFICAN Y ADICIONAN ARTÍCULOS DE LA LEY 599 DE 2000 Y LA LEY 906 DE 2004 EN RELACIÓN CON EL DELITO DE VIOLENCIA INTRAFAMILIAR”</w:t>
      </w:r>
    </w:p>
    <w:p w14:paraId="40B0D1EC" w14:textId="77777777" w:rsidR="00DE7D07" w:rsidRPr="0026684F" w:rsidRDefault="00DE7D07" w:rsidP="00DE7D07">
      <w:pPr>
        <w:jc w:val="center"/>
        <w:rPr>
          <w:rFonts w:ascii="Century Gothic" w:hAnsi="Century Gothic" w:cs="Times New Roman"/>
          <w:b/>
          <w:sz w:val="22"/>
        </w:rPr>
      </w:pPr>
    </w:p>
    <w:p w14:paraId="68E921F3" w14:textId="60CF39B2" w:rsidR="00DE7D07" w:rsidRDefault="00DE7D07" w:rsidP="00DE7D07">
      <w:pPr>
        <w:rPr>
          <w:rFonts w:ascii="Century Gothic" w:hAnsi="Century Gothic" w:cs="Times New Roman"/>
          <w:sz w:val="22"/>
        </w:rPr>
      </w:pPr>
      <w:r w:rsidRPr="0026684F">
        <w:rPr>
          <w:rFonts w:ascii="Century Gothic" w:hAnsi="Century Gothic" w:cs="Times New Roman"/>
          <w:sz w:val="22"/>
        </w:rPr>
        <w:t>Bogotá, D.C.,</w:t>
      </w:r>
      <w:r w:rsidR="0026684F" w:rsidRPr="0026684F">
        <w:rPr>
          <w:rFonts w:ascii="Century Gothic" w:hAnsi="Century Gothic" w:cs="Times New Roman"/>
          <w:sz w:val="22"/>
        </w:rPr>
        <w:t xml:space="preserve"> 6 </w:t>
      </w:r>
      <w:r w:rsidRPr="0026684F">
        <w:rPr>
          <w:rFonts w:ascii="Century Gothic" w:hAnsi="Century Gothic" w:cs="Times New Roman"/>
          <w:sz w:val="22"/>
        </w:rPr>
        <w:t>de noviembre de 2018</w:t>
      </w:r>
      <w:r w:rsidR="0026684F">
        <w:rPr>
          <w:rFonts w:ascii="Century Gothic" w:hAnsi="Century Gothic" w:cs="Times New Roman"/>
          <w:sz w:val="22"/>
        </w:rPr>
        <w:t>.</w:t>
      </w:r>
    </w:p>
    <w:p w14:paraId="52C85DE3" w14:textId="77777777" w:rsidR="00DE7D07" w:rsidRPr="0026684F" w:rsidRDefault="00DE7D07" w:rsidP="00DE7D07">
      <w:pPr>
        <w:pStyle w:val="Sinespaciado"/>
        <w:rPr>
          <w:rFonts w:ascii="Century Gothic" w:hAnsi="Century Gothic" w:cs="Times New Roman"/>
          <w:sz w:val="22"/>
        </w:rPr>
      </w:pPr>
      <w:r w:rsidRPr="0026684F">
        <w:rPr>
          <w:rFonts w:ascii="Century Gothic" w:hAnsi="Century Gothic" w:cs="Times New Roman"/>
          <w:sz w:val="22"/>
        </w:rPr>
        <w:t>Doctor</w:t>
      </w:r>
    </w:p>
    <w:p w14:paraId="6BC6BBE8" w14:textId="77777777" w:rsidR="00DE7D07" w:rsidRPr="0026684F" w:rsidRDefault="00DE7D07" w:rsidP="00DE7D07">
      <w:pPr>
        <w:pStyle w:val="Sinespaciado"/>
        <w:tabs>
          <w:tab w:val="left" w:pos="7290"/>
        </w:tabs>
        <w:rPr>
          <w:rFonts w:ascii="Century Gothic" w:hAnsi="Century Gothic" w:cs="Times New Roman"/>
          <w:b/>
          <w:sz w:val="22"/>
        </w:rPr>
      </w:pPr>
      <w:r w:rsidRPr="0026684F">
        <w:rPr>
          <w:rFonts w:ascii="Century Gothic" w:hAnsi="Century Gothic" w:cs="Times New Roman"/>
          <w:b/>
          <w:sz w:val="22"/>
        </w:rPr>
        <w:t>SAMUEL ALEJANDRO HOYOS MEJÍA</w:t>
      </w:r>
      <w:r w:rsidRPr="0026684F">
        <w:rPr>
          <w:rFonts w:ascii="Century Gothic" w:hAnsi="Century Gothic" w:cs="Times New Roman"/>
          <w:b/>
          <w:sz w:val="22"/>
        </w:rPr>
        <w:tab/>
      </w:r>
    </w:p>
    <w:p w14:paraId="4223A972" w14:textId="77777777" w:rsidR="00DE7D07" w:rsidRPr="0026684F" w:rsidRDefault="00DE7D07" w:rsidP="00DE7D07">
      <w:pPr>
        <w:pStyle w:val="Sinespaciado"/>
        <w:rPr>
          <w:rFonts w:ascii="Century Gothic" w:hAnsi="Century Gothic" w:cs="Times New Roman"/>
          <w:sz w:val="22"/>
        </w:rPr>
      </w:pPr>
      <w:r w:rsidRPr="0026684F">
        <w:rPr>
          <w:rFonts w:ascii="Century Gothic" w:hAnsi="Century Gothic" w:cs="Times New Roman"/>
          <w:sz w:val="22"/>
        </w:rPr>
        <w:t>Presidente de la Comisión Primera Constitucional de la Cámara de Representantes</w:t>
      </w:r>
    </w:p>
    <w:p w14:paraId="6D283F1F" w14:textId="77777777" w:rsidR="00DE7D07" w:rsidRPr="0026684F" w:rsidRDefault="00DE7D07" w:rsidP="00DE7D07">
      <w:pPr>
        <w:pStyle w:val="Sinespaciado"/>
        <w:rPr>
          <w:rFonts w:ascii="Century Gothic" w:hAnsi="Century Gothic" w:cs="Times New Roman"/>
          <w:sz w:val="22"/>
        </w:rPr>
      </w:pPr>
      <w:r w:rsidRPr="0026684F">
        <w:rPr>
          <w:rFonts w:ascii="Century Gothic" w:hAnsi="Century Gothic" w:cs="Times New Roman"/>
          <w:sz w:val="22"/>
        </w:rPr>
        <w:t>Honorable Cámara de Representantes</w:t>
      </w:r>
    </w:p>
    <w:p w14:paraId="3C0A77C1" w14:textId="77777777" w:rsidR="00DE7D07" w:rsidRPr="0026684F" w:rsidRDefault="00DE7D07" w:rsidP="00DE7D07">
      <w:pPr>
        <w:pStyle w:val="Sinespaciado"/>
        <w:rPr>
          <w:rFonts w:ascii="Century Gothic" w:hAnsi="Century Gothic" w:cs="Times New Roman"/>
          <w:sz w:val="22"/>
        </w:rPr>
      </w:pPr>
      <w:r w:rsidRPr="0026684F">
        <w:rPr>
          <w:rFonts w:ascii="Century Gothic" w:hAnsi="Century Gothic" w:cs="Times New Roman"/>
          <w:sz w:val="22"/>
        </w:rPr>
        <w:t>E.</w:t>
      </w:r>
      <w:r w:rsidRPr="0026684F">
        <w:rPr>
          <w:rFonts w:ascii="Century Gothic" w:hAnsi="Century Gothic" w:cs="Times New Roman"/>
          <w:sz w:val="22"/>
        </w:rPr>
        <w:tab/>
        <w:t>S.</w:t>
      </w:r>
      <w:r w:rsidRPr="0026684F">
        <w:rPr>
          <w:rFonts w:ascii="Century Gothic" w:hAnsi="Century Gothic" w:cs="Times New Roman"/>
          <w:sz w:val="22"/>
        </w:rPr>
        <w:tab/>
        <w:t>D.</w:t>
      </w:r>
    </w:p>
    <w:p w14:paraId="78A10BBD" w14:textId="77777777" w:rsidR="00DE7D07" w:rsidRPr="0026684F" w:rsidRDefault="00DE7D07" w:rsidP="00DE7D07">
      <w:pPr>
        <w:pStyle w:val="Sinespaciado"/>
        <w:rPr>
          <w:rFonts w:ascii="Century Gothic" w:hAnsi="Century Gothic" w:cs="Times New Roman"/>
          <w:sz w:val="22"/>
        </w:rPr>
      </w:pPr>
    </w:p>
    <w:p w14:paraId="554C4FB0" w14:textId="77777777" w:rsidR="00DE7D07" w:rsidRPr="0026684F" w:rsidRDefault="00DE7D07" w:rsidP="00DE7D07">
      <w:pPr>
        <w:pStyle w:val="Sinespaciado"/>
        <w:ind w:left="1701"/>
        <w:rPr>
          <w:rFonts w:ascii="Century Gothic" w:hAnsi="Century Gothic" w:cs="Times New Roman"/>
          <w:b/>
          <w:sz w:val="22"/>
        </w:rPr>
      </w:pPr>
    </w:p>
    <w:p w14:paraId="6B9A00DB" w14:textId="37864156" w:rsidR="00DE7D07" w:rsidRPr="002C570B" w:rsidRDefault="00DE7D07" w:rsidP="00AC4289">
      <w:pPr>
        <w:pStyle w:val="Sinespaciado"/>
        <w:ind w:left="1134"/>
        <w:rPr>
          <w:rFonts w:ascii="Century Gothic" w:hAnsi="Century Gothic" w:cs="Times New Roman"/>
          <w:i/>
          <w:sz w:val="22"/>
        </w:rPr>
      </w:pPr>
      <w:r w:rsidRPr="0026684F">
        <w:rPr>
          <w:rFonts w:ascii="Century Gothic" w:hAnsi="Century Gothic" w:cs="Times New Roman"/>
          <w:b/>
          <w:sz w:val="22"/>
        </w:rPr>
        <w:t>ASUNTO</w:t>
      </w:r>
      <w:r w:rsidRPr="0026684F">
        <w:rPr>
          <w:rFonts w:ascii="Century Gothic" w:hAnsi="Century Gothic" w:cs="Times New Roman"/>
          <w:sz w:val="22"/>
        </w:rPr>
        <w:t xml:space="preserve">: Informe de ponencia para </w:t>
      </w:r>
      <w:r w:rsidR="0026684F" w:rsidRPr="0026684F">
        <w:rPr>
          <w:rFonts w:ascii="Century Gothic" w:hAnsi="Century Gothic" w:cs="Times New Roman"/>
          <w:sz w:val="22"/>
        </w:rPr>
        <w:t>primer</w:t>
      </w:r>
      <w:r w:rsidRPr="0026684F">
        <w:rPr>
          <w:rFonts w:ascii="Century Gothic" w:hAnsi="Century Gothic" w:cs="Times New Roman"/>
          <w:sz w:val="22"/>
        </w:rPr>
        <w:t xml:space="preserve"> debate </w:t>
      </w:r>
      <w:r w:rsidRPr="00BB7316">
        <w:rPr>
          <w:rFonts w:ascii="Century Gothic" w:hAnsi="Century Gothic" w:cs="Times New Roman"/>
          <w:b/>
          <w:sz w:val="22"/>
        </w:rPr>
        <w:t xml:space="preserve">al Proyecto de </w:t>
      </w:r>
      <w:r w:rsidR="00BB7316">
        <w:rPr>
          <w:rFonts w:ascii="Century Gothic" w:hAnsi="Century Gothic" w:cs="Times New Roman"/>
          <w:b/>
          <w:sz w:val="22"/>
        </w:rPr>
        <w:t>Ley número 201</w:t>
      </w:r>
      <w:r w:rsidR="00505CE4">
        <w:rPr>
          <w:rFonts w:ascii="Century Gothic" w:hAnsi="Century Gothic" w:cs="Times New Roman"/>
          <w:b/>
          <w:sz w:val="22"/>
        </w:rPr>
        <w:t xml:space="preserve"> </w:t>
      </w:r>
      <w:r w:rsidR="00BB7316">
        <w:rPr>
          <w:rFonts w:ascii="Century Gothic" w:hAnsi="Century Gothic" w:cs="Times New Roman"/>
          <w:b/>
          <w:sz w:val="22"/>
        </w:rPr>
        <w:t xml:space="preserve">de </w:t>
      </w:r>
      <w:r w:rsidR="002B6C7C" w:rsidRPr="00BB7316">
        <w:rPr>
          <w:rFonts w:ascii="Century Gothic" w:hAnsi="Century Gothic" w:cs="Times New Roman"/>
          <w:b/>
          <w:sz w:val="22"/>
        </w:rPr>
        <w:t>20</w:t>
      </w:r>
      <w:r w:rsidR="00BB7316">
        <w:rPr>
          <w:rFonts w:ascii="Century Gothic" w:hAnsi="Century Gothic" w:cs="Times New Roman"/>
          <w:b/>
          <w:sz w:val="22"/>
        </w:rPr>
        <w:t>1</w:t>
      </w:r>
      <w:r w:rsidR="002B6C7C" w:rsidRPr="00BB7316">
        <w:rPr>
          <w:rFonts w:ascii="Century Gothic" w:hAnsi="Century Gothic" w:cs="Times New Roman"/>
          <w:b/>
          <w:sz w:val="22"/>
        </w:rPr>
        <w:t xml:space="preserve">8 </w:t>
      </w:r>
      <w:r w:rsidR="00086E98" w:rsidRPr="00BB7316">
        <w:rPr>
          <w:rFonts w:ascii="Century Gothic" w:hAnsi="Century Gothic" w:cs="Times New Roman"/>
          <w:b/>
          <w:sz w:val="22"/>
        </w:rPr>
        <w:t>Cámara</w:t>
      </w:r>
      <w:r w:rsidR="002C570B" w:rsidRPr="00BB7316">
        <w:rPr>
          <w:rFonts w:ascii="Century Gothic" w:hAnsi="Century Gothic" w:cs="Times New Roman"/>
          <w:b/>
          <w:sz w:val="22"/>
        </w:rPr>
        <w:t xml:space="preserve"> y</w:t>
      </w:r>
      <w:r w:rsidR="002B6C7C" w:rsidRPr="00BB7316">
        <w:rPr>
          <w:rFonts w:ascii="Century Gothic" w:hAnsi="Century Gothic" w:cs="Times New Roman"/>
          <w:b/>
          <w:sz w:val="22"/>
        </w:rPr>
        <w:t xml:space="preserve"> 139 de 2017 Senado</w:t>
      </w:r>
      <w:r w:rsidRPr="0026684F">
        <w:rPr>
          <w:rFonts w:ascii="Century Gothic" w:hAnsi="Century Gothic" w:cs="Times New Roman"/>
          <w:sz w:val="22"/>
        </w:rPr>
        <w:t xml:space="preserve">, </w:t>
      </w:r>
      <w:r w:rsidRPr="002C570B">
        <w:rPr>
          <w:rFonts w:ascii="Century Gothic" w:hAnsi="Century Gothic" w:cs="Times New Roman"/>
          <w:i/>
          <w:sz w:val="22"/>
        </w:rPr>
        <w:t>“Por medio de la cual se modifican y adicionan artículos de la Ley 599 de 2000 y la Ley 906 de 2004 en relación con el delito de violencia intrafamiliar”</w:t>
      </w:r>
    </w:p>
    <w:p w14:paraId="0E1FBD4F" w14:textId="77777777" w:rsidR="00DE7D07" w:rsidRPr="0026684F" w:rsidRDefault="00DE7D07" w:rsidP="00DE7D07">
      <w:pPr>
        <w:pStyle w:val="Sinespaciado"/>
        <w:ind w:left="1701"/>
        <w:rPr>
          <w:rFonts w:ascii="Century Gothic" w:hAnsi="Century Gothic" w:cs="Times New Roman"/>
          <w:sz w:val="22"/>
        </w:rPr>
      </w:pPr>
    </w:p>
    <w:p w14:paraId="72AE3AF7" w14:textId="77777777" w:rsidR="00DE7D07" w:rsidRPr="0026684F" w:rsidRDefault="00DE7D07" w:rsidP="00DE7D07">
      <w:pPr>
        <w:rPr>
          <w:rFonts w:ascii="Century Gothic" w:hAnsi="Century Gothic" w:cs="Times New Roman"/>
          <w:sz w:val="22"/>
        </w:rPr>
      </w:pPr>
      <w:r w:rsidRPr="0026684F">
        <w:rPr>
          <w:rFonts w:ascii="Century Gothic" w:hAnsi="Century Gothic" w:cs="Times New Roman"/>
          <w:sz w:val="22"/>
        </w:rPr>
        <w:t xml:space="preserve">Respetado Señor Presidente, </w:t>
      </w:r>
    </w:p>
    <w:p w14:paraId="5890F8FC" w14:textId="7FC7FCE8" w:rsidR="00DE7D07" w:rsidRPr="0026684F" w:rsidRDefault="00DE7D07" w:rsidP="00DE7D07">
      <w:pPr>
        <w:rPr>
          <w:rFonts w:ascii="Century Gothic" w:hAnsi="Century Gothic" w:cs="Times New Roman"/>
          <w:sz w:val="22"/>
        </w:rPr>
      </w:pPr>
      <w:r w:rsidRPr="0026684F">
        <w:rPr>
          <w:rFonts w:ascii="Century Gothic" w:hAnsi="Century Gothic" w:cs="Times New Roman"/>
          <w:sz w:val="22"/>
        </w:rPr>
        <w:t>En cumplimiento del encargo encomendado por la Mesa Directiva de la Comisión Primera de la Cámara de Representantes y de lo dispuesto por la Ley 5 de 1992, me permito rendir informe de ponencia del Proyecto de Ley número</w:t>
      </w:r>
      <w:r w:rsidR="0026684F">
        <w:rPr>
          <w:rFonts w:ascii="Century Gothic" w:hAnsi="Century Gothic" w:cs="Times New Roman"/>
          <w:sz w:val="22"/>
        </w:rPr>
        <w:t xml:space="preserve"> 201</w:t>
      </w:r>
      <w:r w:rsidR="00BB7316">
        <w:rPr>
          <w:rFonts w:ascii="Century Gothic" w:hAnsi="Century Gothic" w:cs="Times New Roman"/>
          <w:sz w:val="22"/>
        </w:rPr>
        <w:t xml:space="preserve"> de 2018 Cámara y</w:t>
      </w:r>
      <w:r w:rsidRPr="0026684F">
        <w:rPr>
          <w:rFonts w:ascii="Century Gothic" w:hAnsi="Century Gothic" w:cs="Times New Roman"/>
          <w:sz w:val="22"/>
        </w:rPr>
        <w:t xml:space="preserve"> 139 de 2017 Senado, para su </w:t>
      </w:r>
      <w:r w:rsidR="0026684F">
        <w:rPr>
          <w:rFonts w:ascii="Century Gothic" w:hAnsi="Century Gothic" w:cs="Times New Roman"/>
          <w:sz w:val="22"/>
        </w:rPr>
        <w:t xml:space="preserve">primer </w:t>
      </w:r>
      <w:r w:rsidRPr="0026684F">
        <w:rPr>
          <w:rFonts w:ascii="Century Gothic" w:hAnsi="Century Gothic" w:cs="Times New Roman"/>
          <w:sz w:val="22"/>
        </w:rPr>
        <w:t>debate en la Comisión Primera Constitucional de la Honorable Cámara de Representantes, de conformidad con las consideraciones que se exponen a continuación.</w:t>
      </w:r>
    </w:p>
    <w:p w14:paraId="4CACB84F" w14:textId="77777777" w:rsidR="00DE7D07" w:rsidRPr="0026684F" w:rsidRDefault="00DE7D07" w:rsidP="00DE7D07">
      <w:pPr>
        <w:jc w:val="center"/>
        <w:rPr>
          <w:rFonts w:ascii="Century Gothic" w:hAnsi="Century Gothic" w:cs="Times New Roman"/>
          <w:b/>
          <w:sz w:val="22"/>
        </w:rPr>
      </w:pPr>
    </w:p>
    <w:p w14:paraId="19278398" w14:textId="65D4D406" w:rsidR="00DE7D07" w:rsidRDefault="00DE7D07" w:rsidP="0026684F">
      <w:pPr>
        <w:pStyle w:val="Ttulo1"/>
        <w:numPr>
          <w:ilvl w:val="0"/>
          <w:numId w:val="9"/>
        </w:numPr>
        <w:jc w:val="both"/>
        <w:rPr>
          <w:rFonts w:ascii="Century Gothic" w:hAnsi="Century Gothic" w:cs="Times New Roman"/>
          <w:sz w:val="22"/>
        </w:rPr>
      </w:pPr>
      <w:bookmarkStart w:id="0" w:name="_Toc522628845"/>
      <w:bookmarkStart w:id="1" w:name="_Toc527019560"/>
      <w:r w:rsidRPr="0026684F">
        <w:rPr>
          <w:rFonts w:ascii="Century Gothic" w:hAnsi="Century Gothic" w:cs="Times New Roman"/>
          <w:sz w:val="22"/>
        </w:rPr>
        <w:t>ANTECEDENTES DEL PROYECTO DE LEY</w:t>
      </w:r>
      <w:bookmarkEnd w:id="0"/>
      <w:bookmarkEnd w:id="1"/>
    </w:p>
    <w:p w14:paraId="1BF03058" w14:textId="77777777" w:rsidR="00DE7D07" w:rsidRPr="0026684F" w:rsidRDefault="00DE7D07" w:rsidP="00DE7D07">
      <w:pPr>
        <w:rPr>
          <w:rFonts w:ascii="Century Gothic" w:hAnsi="Century Gothic"/>
          <w:sz w:val="22"/>
        </w:rPr>
      </w:pPr>
      <w:bookmarkStart w:id="2" w:name="_GoBack"/>
      <w:bookmarkEnd w:id="2"/>
      <w:r w:rsidRPr="0026684F">
        <w:rPr>
          <w:rFonts w:ascii="Century Gothic" w:hAnsi="Century Gothic"/>
          <w:sz w:val="22"/>
        </w:rPr>
        <w:t xml:space="preserve">El 2 de octubre de 2017, la Fiscalía General de la Nación en ejercicio de sus facultades en materia legislativa radicó en la Secretaría del Senado de la República el Proyecto de Ley 139 de 2017 “por medio de la cual se modifican y adicionan artículos de la Ley 599 de 2000 y la Ley 906 de 2004 en relación con el delito de violencia intrafamiliar”, el cual fue publicado en la Gaceta del Congreso número 879 de 2017. </w:t>
      </w:r>
    </w:p>
    <w:p w14:paraId="687B5671" w14:textId="5C140F9D" w:rsidR="00DE7D07" w:rsidRDefault="00DE7D07" w:rsidP="00DE7D07">
      <w:pPr>
        <w:rPr>
          <w:rFonts w:ascii="Century Gothic" w:hAnsi="Century Gothic"/>
          <w:sz w:val="22"/>
        </w:rPr>
      </w:pPr>
      <w:r w:rsidRPr="0026684F">
        <w:rPr>
          <w:rFonts w:ascii="Century Gothic" w:hAnsi="Century Gothic"/>
          <w:sz w:val="22"/>
        </w:rPr>
        <w:t xml:space="preserve">El primer debate de la iniciativa se llevó a cabo en la Comisión Primera Constitucional del Senado de la República el día 6 de junio de 2018, con </w:t>
      </w:r>
      <w:r w:rsidRPr="0026684F">
        <w:rPr>
          <w:rFonts w:ascii="Century Gothic" w:hAnsi="Century Gothic"/>
          <w:sz w:val="22"/>
        </w:rPr>
        <w:lastRenderedPageBreak/>
        <w:t xml:space="preserve">fundamento en el informe de ponencia publicado en la Gaceta del Congreso número 190 de 27 de abril de 2018. Y el segundo debate se surtió el 25 de septiembre de 2018, ante la plenaria del Senado de la República de conformidad con lo expuesto en el informe de ponencia para segundo debate publicado en la Gaceta del Congreso número 407 de 12 de junio de 2018. El texto aprobado por la plenaria corresponde al publicado en la Gaceta del Congreso número 782 de 2 de octubre de 2018. </w:t>
      </w:r>
    </w:p>
    <w:p w14:paraId="08A7F179" w14:textId="78E986AE" w:rsidR="0026684F" w:rsidRDefault="0026684F" w:rsidP="00DE7D07">
      <w:pPr>
        <w:rPr>
          <w:rFonts w:ascii="Century Gothic" w:hAnsi="Century Gothic"/>
          <w:sz w:val="22"/>
        </w:rPr>
      </w:pPr>
      <w:r w:rsidRPr="0026684F">
        <w:rPr>
          <w:rFonts w:ascii="Century Gothic" w:hAnsi="Century Gothic"/>
          <w:sz w:val="22"/>
        </w:rPr>
        <w:t>Por disposición de la Mesa Directiva de la Comisión Primera Constitucional Permanente de la Cámara de Representantes, fui designada para rendir informe de ponencia en primer debate ante esta célula legislativa mediante oficio CPCP 3.1-0489 del 24 de octubre de 2018.</w:t>
      </w:r>
    </w:p>
    <w:p w14:paraId="3448EC6D" w14:textId="77777777" w:rsidR="00AC4289" w:rsidRPr="0026684F" w:rsidRDefault="00AC4289" w:rsidP="00DE7D07">
      <w:pPr>
        <w:rPr>
          <w:rFonts w:ascii="Century Gothic" w:hAnsi="Century Gothic"/>
          <w:sz w:val="22"/>
        </w:rPr>
      </w:pPr>
    </w:p>
    <w:p w14:paraId="5EB008E9" w14:textId="680B084A" w:rsidR="00DE7D07" w:rsidRDefault="00DE7D07" w:rsidP="00BB7316">
      <w:pPr>
        <w:pStyle w:val="Ttulo1"/>
        <w:numPr>
          <w:ilvl w:val="0"/>
          <w:numId w:val="9"/>
        </w:numPr>
        <w:jc w:val="both"/>
        <w:rPr>
          <w:rFonts w:ascii="Century Gothic" w:hAnsi="Century Gothic" w:cs="Times New Roman"/>
          <w:sz w:val="22"/>
        </w:rPr>
      </w:pPr>
      <w:r w:rsidRPr="0026684F">
        <w:rPr>
          <w:rFonts w:ascii="Century Gothic" w:hAnsi="Century Gothic" w:cs="Times New Roman"/>
          <w:sz w:val="22"/>
        </w:rPr>
        <w:t xml:space="preserve">OBJETO DEL PROYECTO DE LEY </w:t>
      </w:r>
    </w:p>
    <w:p w14:paraId="2252C703" w14:textId="0DC54C44" w:rsidR="00DE7D07" w:rsidRDefault="00DE7D07" w:rsidP="00DE7D07">
      <w:pPr>
        <w:pStyle w:val="Sinespaciado"/>
        <w:rPr>
          <w:rFonts w:ascii="Century Gothic" w:hAnsi="Century Gothic"/>
          <w:sz w:val="22"/>
        </w:rPr>
      </w:pPr>
      <w:r w:rsidRPr="0026684F">
        <w:rPr>
          <w:rFonts w:ascii="Century Gothic" w:hAnsi="Century Gothic"/>
          <w:sz w:val="22"/>
        </w:rPr>
        <w:t xml:space="preserve">Tal como se puso de presente en la exposición de motivos, el Proyecto de Ley </w:t>
      </w:r>
      <w:r w:rsidR="00BB7316">
        <w:rPr>
          <w:rFonts w:ascii="Century Gothic" w:hAnsi="Century Gothic"/>
          <w:sz w:val="22"/>
        </w:rPr>
        <w:t xml:space="preserve">201 de 2018 Cámara y </w:t>
      </w:r>
      <w:r w:rsidRPr="0026684F">
        <w:rPr>
          <w:rFonts w:ascii="Century Gothic" w:hAnsi="Century Gothic"/>
          <w:sz w:val="22"/>
        </w:rPr>
        <w:t>139 de 2017</w:t>
      </w:r>
      <w:r w:rsidR="0026684F">
        <w:rPr>
          <w:rFonts w:ascii="Century Gothic" w:hAnsi="Century Gothic"/>
          <w:sz w:val="22"/>
        </w:rPr>
        <w:t xml:space="preserve"> Senado</w:t>
      </w:r>
      <w:r w:rsidRPr="0026684F">
        <w:rPr>
          <w:rFonts w:ascii="Century Gothic" w:hAnsi="Century Gothic"/>
          <w:sz w:val="22"/>
        </w:rPr>
        <w:t xml:space="preserve"> “por medio de la cual se modifican y adicionan artículos de la Ley 599 de 2000 y la Ley 906 de 2004 en relación con el delito de violencia intrafamiliar”, pretende adoptar medidas suficientes para afrontar los distintos tipos de violencia que ocurren al interior de las familias</w:t>
      </w:r>
      <w:r w:rsidRPr="0026684F">
        <w:rPr>
          <w:rStyle w:val="Refdenotaalpie"/>
          <w:rFonts w:ascii="Century Gothic" w:hAnsi="Century Gothic"/>
          <w:sz w:val="22"/>
        </w:rPr>
        <w:footnoteReference w:id="1"/>
      </w:r>
      <w:r w:rsidRPr="0026684F">
        <w:rPr>
          <w:rFonts w:ascii="Century Gothic" w:hAnsi="Century Gothic"/>
          <w:sz w:val="22"/>
        </w:rPr>
        <w:t>. La iniciativa no solo precisa el tipo penal de violencia intrafamiliar, sino que plantea una serie de modificaciones al régimen procesal penal que permitirán una investigación eficiente de este delito, a la vez que protegen a las víctimas de cualquier forma de victimización secundaria en el proceso penal.</w:t>
      </w:r>
    </w:p>
    <w:p w14:paraId="1AB12023" w14:textId="77777777" w:rsidR="00AC4289" w:rsidRPr="0026684F" w:rsidRDefault="00AC4289" w:rsidP="00DE7D07">
      <w:pPr>
        <w:pStyle w:val="Sinespaciado"/>
        <w:rPr>
          <w:rFonts w:ascii="Century Gothic" w:hAnsi="Century Gothic"/>
          <w:sz w:val="22"/>
        </w:rPr>
      </w:pPr>
    </w:p>
    <w:p w14:paraId="5CA974F0" w14:textId="05A39808" w:rsidR="00DE7D07" w:rsidRPr="0026684F" w:rsidRDefault="00DE7D07" w:rsidP="00BB7316">
      <w:pPr>
        <w:pStyle w:val="Ttulo1"/>
        <w:numPr>
          <w:ilvl w:val="0"/>
          <w:numId w:val="9"/>
        </w:numPr>
        <w:jc w:val="both"/>
        <w:rPr>
          <w:rFonts w:ascii="Century Gothic" w:hAnsi="Century Gothic" w:cs="Times New Roman"/>
          <w:sz w:val="22"/>
        </w:rPr>
      </w:pPr>
      <w:r w:rsidRPr="0026684F">
        <w:rPr>
          <w:rFonts w:ascii="Century Gothic" w:hAnsi="Century Gothic" w:cs="Times New Roman"/>
          <w:sz w:val="22"/>
        </w:rPr>
        <w:t>CONSIDERACIONES GENERALES SOBRE LA INICIATIVA</w:t>
      </w:r>
    </w:p>
    <w:p w14:paraId="6BF7F387" w14:textId="77777777" w:rsidR="006931F3" w:rsidRPr="0026684F" w:rsidRDefault="00593C13" w:rsidP="00B71294">
      <w:pPr>
        <w:rPr>
          <w:rFonts w:ascii="Century Gothic" w:hAnsi="Century Gothic"/>
          <w:sz w:val="22"/>
        </w:rPr>
      </w:pPr>
      <w:r w:rsidRPr="0026684F">
        <w:rPr>
          <w:rFonts w:ascii="Century Gothic" w:hAnsi="Century Gothic"/>
          <w:sz w:val="22"/>
        </w:rPr>
        <w:t xml:space="preserve">El reconocimiento de Colombia como uno de los países </w:t>
      </w:r>
      <w:r w:rsidR="00154D3F" w:rsidRPr="0026684F">
        <w:rPr>
          <w:rFonts w:ascii="Century Gothic" w:hAnsi="Century Gothic"/>
          <w:sz w:val="22"/>
        </w:rPr>
        <w:t>más</w:t>
      </w:r>
      <w:r w:rsidRPr="0026684F">
        <w:rPr>
          <w:rFonts w:ascii="Century Gothic" w:hAnsi="Century Gothic"/>
          <w:sz w:val="22"/>
        </w:rPr>
        <w:t xml:space="preserve"> violentos del mundo ha suscitado </w:t>
      </w:r>
      <w:r w:rsidR="00154D3F" w:rsidRPr="0026684F">
        <w:rPr>
          <w:rFonts w:ascii="Century Gothic" w:hAnsi="Century Gothic"/>
          <w:sz w:val="22"/>
        </w:rPr>
        <w:t xml:space="preserve">una serie de estudios centrados en el </w:t>
      </w:r>
      <w:r w:rsidR="0094377A" w:rsidRPr="0026684F">
        <w:rPr>
          <w:rFonts w:ascii="Century Gothic" w:hAnsi="Century Gothic"/>
          <w:sz w:val="22"/>
        </w:rPr>
        <w:t>origen</w:t>
      </w:r>
      <w:r w:rsidR="00154D3F" w:rsidRPr="0026684F">
        <w:rPr>
          <w:rFonts w:ascii="Century Gothic" w:hAnsi="Century Gothic"/>
          <w:sz w:val="22"/>
        </w:rPr>
        <w:t xml:space="preserve"> de la violencia dentro de conflicto armado. </w:t>
      </w:r>
      <w:r w:rsidR="0094377A" w:rsidRPr="0026684F">
        <w:rPr>
          <w:rFonts w:ascii="Century Gothic" w:hAnsi="Century Gothic"/>
          <w:sz w:val="22"/>
        </w:rPr>
        <w:t xml:space="preserve">Sin embargo, </w:t>
      </w:r>
      <w:r w:rsidR="00FA26AA" w:rsidRPr="0026684F">
        <w:rPr>
          <w:rFonts w:ascii="Century Gothic" w:hAnsi="Century Gothic"/>
          <w:sz w:val="22"/>
        </w:rPr>
        <w:t xml:space="preserve">el análisis de </w:t>
      </w:r>
      <w:r w:rsidR="0094377A" w:rsidRPr="0026684F">
        <w:rPr>
          <w:rFonts w:ascii="Century Gothic" w:hAnsi="Century Gothic"/>
          <w:sz w:val="22"/>
        </w:rPr>
        <w:t>las actuaciones</w:t>
      </w:r>
      <w:r w:rsidR="0002731C" w:rsidRPr="0026684F">
        <w:rPr>
          <w:rFonts w:ascii="Century Gothic" w:hAnsi="Century Gothic"/>
          <w:sz w:val="22"/>
        </w:rPr>
        <w:t xml:space="preserve"> violentas en otros escenarios como el hogar</w:t>
      </w:r>
      <w:r w:rsidR="0094377A" w:rsidRPr="0026684F">
        <w:rPr>
          <w:rFonts w:ascii="Century Gothic" w:hAnsi="Century Gothic"/>
          <w:sz w:val="22"/>
        </w:rPr>
        <w:t xml:space="preserve"> </w:t>
      </w:r>
      <w:r w:rsidR="00FA26AA" w:rsidRPr="0026684F">
        <w:rPr>
          <w:rFonts w:ascii="Century Gothic" w:hAnsi="Century Gothic"/>
          <w:sz w:val="22"/>
        </w:rPr>
        <w:t>es reciente</w:t>
      </w:r>
      <w:r w:rsidR="0002731C" w:rsidRPr="0026684F">
        <w:rPr>
          <w:rFonts w:ascii="Century Gothic" w:hAnsi="Century Gothic"/>
          <w:sz w:val="22"/>
        </w:rPr>
        <w:t>. La ausencia de estudios suficientes que permit</w:t>
      </w:r>
      <w:r w:rsidR="006E3BBE" w:rsidRPr="0026684F">
        <w:rPr>
          <w:rFonts w:ascii="Century Gothic" w:hAnsi="Century Gothic"/>
          <w:sz w:val="22"/>
        </w:rPr>
        <w:t>ier</w:t>
      </w:r>
      <w:r w:rsidR="0002731C" w:rsidRPr="0026684F">
        <w:rPr>
          <w:rFonts w:ascii="Century Gothic" w:hAnsi="Century Gothic"/>
          <w:sz w:val="22"/>
        </w:rPr>
        <w:t>an analizar el fenómeno de la violencia en el núcleo de la familia</w:t>
      </w:r>
      <w:r w:rsidR="006E3BBE" w:rsidRPr="0026684F">
        <w:rPr>
          <w:rFonts w:ascii="Century Gothic" w:hAnsi="Century Gothic"/>
          <w:sz w:val="22"/>
        </w:rPr>
        <w:t xml:space="preserve"> ha repercutido en la eficacia de</w:t>
      </w:r>
      <w:r w:rsidR="00FA26AA" w:rsidRPr="0026684F">
        <w:rPr>
          <w:rFonts w:ascii="Century Gothic" w:hAnsi="Century Gothic"/>
          <w:sz w:val="22"/>
        </w:rPr>
        <w:t xml:space="preserve"> las políticas públicas implementadas para contrarrestar los índices de violencia intrafamiliar en C</w:t>
      </w:r>
      <w:r w:rsidR="0002731C" w:rsidRPr="0026684F">
        <w:rPr>
          <w:rFonts w:ascii="Century Gothic" w:hAnsi="Century Gothic"/>
          <w:sz w:val="22"/>
        </w:rPr>
        <w:t>olombia</w:t>
      </w:r>
      <w:r w:rsidR="00615A1C" w:rsidRPr="0026684F">
        <w:rPr>
          <w:rStyle w:val="Refdenotaalpie"/>
          <w:rFonts w:ascii="Century Gothic" w:hAnsi="Century Gothic"/>
          <w:sz w:val="22"/>
        </w:rPr>
        <w:footnoteReference w:id="2"/>
      </w:r>
      <w:r w:rsidR="006931F3" w:rsidRPr="0026684F">
        <w:rPr>
          <w:rFonts w:ascii="Century Gothic" w:hAnsi="Century Gothic"/>
          <w:sz w:val="22"/>
        </w:rPr>
        <w:t xml:space="preserve">, tal como lo evidencian los </w:t>
      </w:r>
      <w:r w:rsidR="00E8117A" w:rsidRPr="0026684F">
        <w:rPr>
          <w:rFonts w:ascii="Century Gothic" w:hAnsi="Century Gothic"/>
          <w:sz w:val="22"/>
        </w:rPr>
        <w:t>altos índices de investigación judicial por el deli</w:t>
      </w:r>
      <w:r w:rsidR="006931F3" w:rsidRPr="0026684F">
        <w:rPr>
          <w:rFonts w:ascii="Century Gothic" w:hAnsi="Century Gothic"/>
          <w:sz w:val="22"/>
        </w:rPr>
        <w:t>to de violencia intrafamiliar</w:t>
      </w:r>
      <w:r w:rsidR="001A5710" w:rsidRPr="0026684F">
        <w:rPr>
          <w:rFonts w:ascii="Century Gothic" w:hAnsi="Century Gothic"/>
          <w:sz w:val="22"/>
        </w:rPr>
        <w:t>.</w:t>
      </w:r>
    </w:p>
    <w:p w14:paraId="523F929E" w14:textId="77777777" w:rsidR="00AC4289" w:rsidRDefault="005934F5" w:rsidP="00B71294">
      <w:pPr>
        <w:rPr>
          <w:rFonts w:ascii="Century Gothic" w:hAnsi="Century Gothic"/>
          <w:sz w:val="22"/>
        </w:rPr>
      </w:pPr>
      <w:r w:rsidRPr="0026684F">
        <w:rPr>
          <w:rFonts w:ascii="Century Gothic" w:hAnsi="Century Gothic"/>
          <w:sz w:val="22"/>
        </w:rPr>
        <w:lastRenderedPageBreak/>
        <w:t xml:space="preserve">Por lo anterior, es necesario que en adelante el Estado reconozca los distintos elementos de la violencia que ocurre al interior de los hogares y </w:t>
      </w:r>
      <w:r w:rsidR="00FD6C74" w:rsidRPr="0026684F">
        <w:rPr>
          <w:rFonts w:ascii="Century Gothic" w:hAnsi="Century Gothic"/>
          <w:sz w:val="22"/>
        </w:rPr>
        <w:t>plantee mecanismos suficientes para controlar este fenómeno que afecta de manera importante a poblaciones históricamente discrimi</w:t>
      </w:r>
      <w:r w:rsidR="00636119" w:rsidRPr="0026684F">
        <w:rPr>
          <w:rFonts w:ascii="Century Gothic" w:hAnsi="Century Gothic"/>
          <w:sz w:val="22"/>
        </w:rPr>
        <w:t>nadas</w:t>
      </w:r>
      <w:r w:rsidR="00CE5155" w:rsidRPr="0026684F">
        <w:rPr>
          <w:rFonts w:ascii="Century Gothic" w:hAnsi="Century Gothic"/>
          <w:sz w:val="22"/>
        </w:rPr>
        <w:t>,</w:t>
      </w:r>
      <w:r w:rsidR="00636119" w:rsidRPr="0026684F">
        <w:rPr>
          <w:rFonts w:ascii="Century Gothic" w:hAnsi="Century Gothic"/>
          <w:sz w:val="22"/>
        </w:rPr>
        <w:t xml:space="preserve"> como las mujeres. </w:t>
      </w:r>
      <w:r w:rsidR="00F71B4D" w:rsidRPr="0026684F">
        <w:rPr>
          <w:rFonts w:ascii="Century Gothic" w:hAnsi="Century Gothic"/>
          <w:sz w:val="22"/>
        </w:rPr>
        <w:t xml:space="preserve">Actualmente, quienes </w:t>
      </w:r>
      <w:r w:rsidR="001D590A" w:rsidRPr="0026684F">
        <w:rPr>
          <w:rFonts w:ascii="Century Gothic" w:hAnsi="Century Gothic"/>
          <w:sz w:val="22"/>
        </w:rPr>
        <w:t xml:space="preserve">estudian </w:t>
      </w:r>
      <w:r w:rsidR="00F71B4D" w:rsidRPr="0026684F">
        <w:rPr>
          <w:rFonts w:ascii="Century Gothic" w:hAnsi="Century Gothic"/>
          <w:sz w:val="22"/>
        </w:rPr>
        <w:t xml:space="preserve">este conflicto social </w:t>
      </w:r>
      <w:r w:rsidR="00CC6B6E" w:rsidRPr="0026684F">
        <w:rPr>
          <w:rFonts w:ascii="Century Gothic" w:hAnsi="Century Gothic"/>
          <w:sz w:val="22"/>
        </w:rPr>
        <w:t>reconocen l</w:t>
      </w:r>
      <w:r w:rsidR="007F23D2" w:rsidRPr="0026684F">
        <w:rPr>
          <w:rFonts w:ascii="Century Gothic" w:hAnsi="Century Gothic"/>
          <w:sz w:val="22"/>
        </w:rPr>
        <w:t>a incidencia de esta conducta punible en asuntos como la salud mental de las personas</w:t>
      </w:r>
      <w:r w:rsidR="007F23D2" w:rsidRPr="0026684F">
        <w:rPr>
          <w:rStyle w:val="Refdenotaalpie"/>
          <w:rFonts w:ascii="Century Gothic" w:hAnsi="Century Gothic"/>
          <w:sz w:val="22"/>
        </w:rPr>
        <w:footnoteReference w:id="3"/>
      </w:r>
      <w:r w:rsidR="00AB5612" w:rsidRPr="0026684F">
        <w:rPr>
          <w:rFonts w:ascii="Century Gothic" w:hAnsi="Century Gothic"/>
          <w:sz w:val="22"/>
        </w:rPr>
        <w:t>,</w:t>
      </w:r>
      <w:r w:rsidR="007F23D2" w:rsidRPr="0026684F">
        <w:rPr>
          <w:rFonts w:ascii="Century Gothic" w:hAnsi="Century Gothic"/>
          <w:sz w:val="22"/>
        </w:rPr>
        <w:t xml:space="preserve"> la creación de círculos de violencia que pueden derivar en la comisión de otros delitos como el homicidio o el feminicidio</w:t>
      </w:r>
      <w:r w:rsidR="007F23D2" w:rsidRPr="0026684F">
        <w:rPr>
          <w:rStyle w:val="Refdenotaalpie"/>
          <w:rFonts w:ascii="Century Gothic" w:hAnsi="Century Gothic"/>
          <w:sz w:val="22"/>
        </w:rPr>
        <w:footnoteReference w:id="4"/>
      </w:r>
      <w:r w:rsidR="00AB5612" w:rsidRPr="0026684F">
        <w:rPr>
          <w:rFonts w:ascii="Century Gothic" w:hAnsi="Century Gothic"/>
          <w:sz w:val="22"/>
        </w:rPr>
        <w:t xml:space="preserve">. </w:t>
      </w:r>
    </w:p>
    <w:p w14:paraId="224661CE" w14:textId="53DF256B" w:rsidR="00B027A0" w:rsidRPr="0026684F" w:rsidRDefault="00AB5612" w:rsidP="00B71294">
      <w:pPr>
        <w:rPr>
          <w:rFonts w:ascii="Century Gothic" w:hAnsi="Century Gothic"/>
          <w:color w:val="000000"/>
          <w:sz w:val="22"/>
        </w:rPr>
      </w:pPr>
      <w:r w:rsidRPr="0026684F">
        <w:rPr>
          <w:rFonts w:ascii="Century Gothic" w:hAnsi="Century Gothic"/>
          <w:sz w:val="22"/>
        </w:rPr>
        <w:t xml:space="preserve">Adicionalmente, ponen de presente que </w:t>
      </w:r>
      <w:r w:rsidR="00717509" w:rsidRPr="0026684F">
        <w:rPr>
          <w:rFonts w:ascii="Century Gothic" w:hAnsi="Century Gothic"/>
          <w:sz w:val="22"/>
        </w:rPr>
        <w:t>e</w:t>
      </w:r>
      <w:r w:rsidR="003305BB" w:rsidRPr="0026684F">
        <w:rPr>
          <w:rFonts w:ascii="Century Gothic" w:hAnsi="Century Gothic"/>
          <w:sz w:val="22"/>
        </w:rPr>
        <w:t xml:space="preserve">l género es una de las perspectivas conceptuales a través de las cuales debe ser </w:t>
      </w:r>
      <w:r w:rsidR="001D590A" w:rsidRPr="0026684F">
        <w:rPr>
          <w:rFonts w:ascii="Century Gothic" w:hAnsi="Century Gothic"/>
          <w:sz w:val="22"/>
        </w:rPr>
        <w:t>abordad</w:t>
      </w:r>
      <w:r w:rsidR="00CE5155" w:rsidRPr="0026684F">
        <w:rPr>
          <w:rFonts w:ascii="Century Gothic" w:hAnsi="Century Gothic"/>
          <w:sz w:val="22"/>
        </w:rPr>
        <w:t>a</w:t>
      </w:r>
      <w:r w:rsidR="003305BB" w:rsidRPr="0026684F">
        <w:rPr>
          <w:rFonts w:ascii="Century Gothic" w:hAnsi="Century Gothic"/>
          <w:sz w:val="22"/>
        </w:rPr>
        <w:t xml:space="preserve"> la violencia que ocurre en los hogares, toda vez que las expresiones de violencia suelen estar relacionadas con las ideas de lo que significa ser hombre o mujer en distintos contextos</w:t>
      </w:r>
      <w:r w:rsidR="00FC3A85" w:rsidRPr="0026684F">
        <w:rPr>
          <w:rFonts w:ascii="Century Gothic" w:hAnsi="Century Gothic"/>
          <w:sz w:val="22"/>
        </w:rPr>
        <w:t>, y las dinámicas de poder que se evidencian en las familias</w:t>
      </w:r>
      <w:r w:rsidR="003305BB" w:rsidRPr="0026684F">
        <w:rPr>
          <w:rFonts w:ascii="Century Gothic" w:hAnsi="Century Gothic"/>
          <w:sz w:val="22"/>
        </w:rPr>
        <w:t xml:space="preserve">. </w:t>
      </w:r>
      <w:r w:rsidR="002C54E1" w:rsidRPr="0026684F">
        <w:rPr>
          <w:rFonts w:ascii="Century Gothic" w:hAnsi="Century Gothic"/>
          <w:sz w:val="22"/>
        </w:rPr>
        <w:t>Por lo tanto, cada una de las políticas que el Estado implemente en la materia debe estar permeada por este enfoqu</w:t>
      </w:r>
      <w:r w:rsidR="00EF2CFE" w:rsidRPr="0026684F">
        <w:rPr>
          <w:rFonts w:ascii="Century Gothic" w:hAnsi="Century Gothic"/>
          <w:sz w:val="22"/>
        </w:rPr>
        <w:t xml:space="preserve">e para garantizar la </w:t>
      </w:r>
      <w:r w:rsidR="00CE5155" w:rsidRPr="0026684F">
        <w:rPr>
          <w:rFonts w:ascii="Century Gothic" w:hAnsi="Century Gothic"/>
          <w:sz w:val="22"/>
        </w:rPr>
        <w:t>disrupción</w:t>
      </w:r>
      <w:r w:rsidR="00EF2CFE" w:rsidRPr="0026684F">
        <w:rPr>
          <w:rFonts w:ascii="Century Gothic" w:hAnsi="Century Gothic"/>
          <w:sz w:val="22"/>
        </w:rPr>
        <w:t xml:space="preserve"> de las causas de este fenómeno</w:t>
      </w:r>
      <w:r w:rsidR="007615EC" w:rsidRPr="0026684F">
        <w:rPr>
          <w:rStyle w:val="Refdenotaalpie"/>
          <w:rFonts w:ascii="Century Gothic" w:hAnsi="Century Gothic"/>
          <w:sz w:val="22"/>
        </w:rPr>
        <w:footnoteReference w:id="5"/>
      </w:r>
      <w:r w:rsidR="00361C78" w:rsidRPr="0026684F">
        <w:rPr>
          <w:rFonts w:ascii="Century Gothic" w:hAnsi="Century Gothic"/>
          <w:sz w:val="22"/>
        </w:rPr>
        <w:t xml:space="preserve">. </w:t>
      </w:r>
    </w:p>
    <w:p w14:paraId="0122D4B6" w14:textId="77777777" w:rsidR="00FF4237" w:rsidRDefault="001F7555">
      <w:pPr>
        <w:rPr>
          <w:rFonts w:ascii="Century Gothic" w:hAnsi="Century Gothic"/>
          <w:sz w:val="22"/>
        </w:rPr>
      </w:pPr>
      <w:r w:rsidRPr="0026684F">
        <w:rPr>
          <w:rFonts w:ascii="Century Gothic" w:hAnsi="Century Gothic"/>
          <w:sz w:val="22"/>
        </w:rPr>
        <w:t xml:space="preserve">En este contexto, </w:t>
      </w:r>
      <w:r w:rsidR="007F23D2" w:rsidRPr="0026684F">
        <w:rPr>
          <w:rFonts w:ascii="Century Gothic" w:hAnsi="Century Gothic"/>
          <w:sz w:val="22"/>
        </w:rPr>
        <w:t xml:space="preserve">el proyecto de ley objeto de debate propone una serie de mecanismos </w:t>
      </w:r>
      <w:r w:rsidR="00AB5612" w:rsidRPr="0026684F">
        <w:rPr>
          <w:rFonts w:ascii="Century Gothic" w:hAnsi="Century Gothic"/>
          <w:sz w:val="22"/>
        </w:rPr>
        <w:t xml:space="preserve">para </w:t>
      </w:r>
      <w:r w:rsidR="00FF4237" w:rsidRPr="0026684F">
        <w:rPr>
          <w:rFonts w:ascii="Century Gothic" w:hAnsi="Century Gothic"/>
          <w:sz w:val="22"/>
        </w:rPr>
        <w:t xml:space="preserve">el fortalecimiento de la política criminal </w:t>
      </w:r>
      <w:r w:rsidR="00472565" w:rsidRPr="0026684F">
        <w:rPr>
          <w:rFonts w:ascii="Century Gothic" w:hAnsi="Century Gothic"/>
          <w:sz w:val="22"/>
        </w:rPr>
        <w:t>relacionada con el</w:t>
      </w:r>
      <w:r w:rsidR="00FF4237" w:rsidRPr="0026684F">
        <w:rPr>
          <w:rFonts w:ascii="Century Gothic" w:hAnsi="Century Gothic"/>
          <w:sz w:val="22"/>
        </w:rPr>
        <w:t xml:space="preserve"> delito</w:t>
      </w:r>
      <w:r w:rsidR="00472565" w:rsidRPr="0026684F">
        <w:rPr>
          <w:rFonts w:ascii="Century Gothic" w:hAnsi="Century Gothic"/>
          <w:sz w:val="22"/>
        </w:rPr>
        <w:t xml:space="preserve"> de violencia intrafamiliar</w:t>
      </w:r>
      <w:r w:rsidR="00FF4237" w:rsidRPr="0026684F">
        <w:rPr>
          <w:rFonts w:ascii="Century Gothic" w:hAnsi="Century Gothic"/>
          <w:sz w:val="22"/>
        </w:rPr>
        <w:t xml:space="preserve"> a través de modificaciones sustanciales y procesales al régimen penal, las cuales están plenamente ajustadas a la Constitución.</w:t>
      </w:r>
    </w:p>
    <w:p w14:paraId="3046F86D" w14:textId="56A94FF9" w:rsidR="008C0A6D" w:rsidRPr="00BB7316" w:rsidRDefault="008C0A6D" w:rsidP="00BB7316">
      <w:pPr>
        <w:pStyle w:val="Prrafodelista"/>
        <w:numPr>
          <w:ilvl w:val="1"/>
          <w:numId w:val="9"/>
        </w:numPr>
        <w:rPr>
          <w:rFonts w:ascii="Century Gothic" w:hAnsi="Century Gothic"/>
          <w:b/>
          <w:sz w:val="22"/>
        </w:rPr>
      </w:pPr>
      <w:r w:rsidRPr="00BB7316">
        <w:rPr>
          <w:rFonts w:ascii="Century Gothic" w:hAnsi="Century Gothic"/>
          <w:b/>
          <w:sz w:val="22"/>
        </w:rPr>
        <w:t xml:space="preserve"> Es necesario fortalecer los mecanismos de investigación y judicialización de la violencia intrafamiliar</w:t>
      </w:r>
    </w:p>
    <w:p w14:paraId="2DB52AD1" w14:textId="003C3885" w:rsidR="00931B8B" w:rsidRPr="0026684F" w:rsidRDefault="008657A5" w:rsidP="00931B8B">
      <w:pPr>
        <w:rPr>
          <w:rFonts w:ascii="Century Gothic" w:hAnsi="Century Gothic"/>
          <w:sz w:val="22"/>
        </w:rPr>
      </w:pPr>
      <w:r w:rsidRPr="0026684F">
        <w:rPr>
          <w:rFonts w:ascii="Century Gothic" w:hAnsi="Century Gothic"/>
          <w:sz w:val="22"/>
        </w:rPr>
        <w:t>Esta conducta afecta de manera especial a poblaciones consideradas vulnerables por haber sido sometidas a una discriminación histórica, como las personas en condición de discapacidad, mayores de 60 años, mujeres, niños, niñas y adolescentes, quienes representan el 66% del total de víctimas reconocidas hasta el momento</w:t>
      </w:r>
      <w:r w:rsidRPr="0026684F">
        <w:rPr>
          <w:rStyle w:val="Refdenotaalpie"/>
          <w:rFonts w:ascii="Century Gothic" w:hAnsi="Century Gothic"/>
          <w:sz w:val="22"/>
        </w:rPr>
        <w:footnoteReference w:id="6"/>
      </w:r>
      <w:r w:rsidRPr="0026684F">
        <w:rPr>
          <w:rFonts w:ascii="Century Gothic" w:hAnsi="Century Gothic"/>
          <w:sz w:val="22"/>
        </w:rPr>
        <w:t>.</w:t>
      </w:r>
      <w:r w:rsidR="003909F0" w:rsidRPr="0026684F">
        <w:rPr>
          <w:rFonts w:ascii="Century Gothic" w:hAnsi="Century Gothic"/>
          <w:sz w:val="22"/>
        </w:rPr>
        <w:t xml:space="preserve"> </w:t>
      </w:r>
      <w:r w:rsidR="00FF59DD" w:rsidRPr="0026684F">
        <w:rPr>
          <w:rFonts w:ascii="Century Gothic" w:hAnsi="Century Gothic"/>
          <w:sz w:val="22"/>
        </w:rPr>
        <w:t xml:space="preserve">Con el fin de identificar las problemáticas que existen en materia de </w:t>
      </w:r>
      <w:r w:rsidR="00FF59DD" w:rsidRPr="0026684F">
        <w:rPr>
          <w:rFonts w:ascii="Century Gothic" w:hAnsi="Century Gothic"/>
          <w:sz w:val="22"/>
        </w:rPr>
        <w:lastRenderedPageBreak/>
        <w:t xml:space="preserve">política criminal para la investigación y judicialización de este delito, expondré a continuación </w:t>
      </w:r>
      <w:r w:rsidR="0000103C" w:rsidRPr="0026684F">
        <w:rPr>
          <w:rFonts w:ascii="Century Gothic" w:hAnsi="Century Gothic"/>
          <w:sz w:val="22"/>
        </w:rPr>
        <w:t>(i) las cifras sobre los casos de viol</w:t>
      </w:r>
      <w:r w:rsidR="00247889" w:rsidRPr="0026684F">
        <w:rPr>
          <w:rFonts w:ascii="Century Gothic" w:hAnsi="Century Gothic"/>
          <w:sz w:val="22"/>
        </w:rPr>
        <w:t>encia intrafamiliar en Colombia de los últimos 8 años, (ii) la relación de la violencia al interior de los hogares con delitos como</w:t>
      </w:r>
      <w:r w:rsidR="007D1EDE" w:rsidRPr="0026684F">
        <w:rPr>
          <w:rFonts w:ascii="Century Gothic" w:hAnsi="Century Gothic"/>
          <w:sz w:val="22"/>
        </w:rPr>
        <w:t xml:space="preserve"> el feminicidio, (iii) la correlación que existe entre el delito de violencia intrafamiliar y factores de discriminación, y (iv) la necesidad de lograr mecanismos de investigación que </w:t>
      </w:r>
      <w:r w:rsidR="00A24473" w:rsidRPr="0026684F">
        <w:rPr>
          <w:rFonts w:ascii="Century Gothic" w:hAnsi="Century Gothic"/>
          <w:sz w:val="22"/>
        </w:rPr>
        <w:t>garanticen</w:t>
      </w:r>
      <w:r w:rsidR="007D1EDE" w:rsidRPr="0026684F">
        <w:rPr>
          <w:rFonts w:ascii="Century Gothic" w:hAnsi="Century Gothic"/>
          <w:sz w:val="22"/>
        </w:rPr>
        <w:t xml:space="preserve"> una resolución pronta y eficaz de estos casos.</w:t>
      </w:r>
    </w:p>
    <w:p w14:paraId="1A386244" w14:textId="60C2B1D0" w:rsidR="00931B8B" w:rsidRPr="00BB7316" w:rsidRDefault="007244CC" w:rsidP="00BB7316">
      <w:pPr>
        <w:pStyle w:val="Prrafodelista"/>
        <w:numPr>
          <w:ilvl w:val="2"/>
          <w:numId w:val="9"/>
        </w:numPr>
        <w:rPr>
          <w:rFonts w:ascii="Century Gothic" w:hAnsi="Century Gothic"/>
          <w:b/>
          <w:sz w:val="22"/>
        </w:rPr>
      </w:pPr>
      <w:r w:rsidRPr="00BB7316">
        <w:rPr>
          <w:rFonts w:ascii="Century Gothic" w:hAnsi="Century Gothic"/>
          <w:b/>
          <w:sz w:val="22"/>
        </w:rPr>
        <w:t>L</w:t>
      </w:r>
      <w:r w:rsidR="00931B8B" w:rsidRPr="00BB7316">
        <w:rPr>
          <w:rFonts w:ascii="Century Gothic" w:hAnsi="Century Gothic"/>
          <w:b/>
          <w:sz w:val="22"/>
        </w:rPr>
        <w:t>a</w:t>
      </w:r>
      <w:r w:rsidRPr="00BB7316">
        <w:rPr>
          <w:rFonts w:ascii="Century Gothic" w:hAnsi="Century Gothic"/>
          <w:b/>
          <w:sz w:val="22"/>
        </w:rPr>
        <w:t xml:space="preserve"> investigación de la</w:t>
      </w:r>
      <w:r w:rsidR="00931B8B" w:rsidRPr="00BB7316">
        <w:rPr>
          <w:rFonts w:ascii="Century Gothic" w:hAnsi="Century Gothic"/>
          <w:b/>
          <w:sz w:val="22"/>
        </w:rPr>
        <w:t xml:space="preserve"> violencia intrafamiliar en Colombia</w:t>
      </w:r>
    </w:p>
    <w:p w14:paraId="001E8DBB" w14:textId="13ADA8B6" w:rsidR="007244CC" w:rsidRPr="0026684F" w:rsidRDefault="00DE718B" w:rsidP="007244CC">
      <w:pPr>
        <w:rPr>
          <w:rFonts w:ascii="Century Gothic" w:hAnsi="Century Gothic"/>
          <w:sz w:val="22"/>
        </w:rPr>
      </w:pPr>
      <w:r w:rsidRPr="0026684F">
        <w:rPr>
          <w:rFonts w:ascii="Century Gothic" w:hAnsi="Century Gothic"/>
          <w:sz w:val="22"/>
        </w:rPr>
        <w:t>En los últimos años, los casos por e</w:t>
      </w:r>
      <w:r w:rsidR="00CC5B3C" w:rsidRPr="0026684F">
        <w:rPr>
          <w:rFonts w:ascii="Century Gothic" w:hAnsi="Century Gothic"/>
          <w:sz w:val="22"/>
        </w:rPr>
        <w:t xml:space="preserve">l delito de violencia intrafamiliar en Colombia </w:t>
      </w:r>
      <w:r w:rsidRPr="0026684F">
        <w:rPr>
          <w:rFonts w:ascii="Century Gothic" w:hAnsi="Century Gothic"/>
          <w:sz w:val="22"/>
        </w:rPr>
        <w:t xml:space="preserve">representan </w:t>
      </w:r>
      <w:r w:rsidR="00CC5B3C" w:rsidRPr="0026684F">
        <w:rPr>
          <w:rFonts w:ascii="Century Gothic" w:hAnsi="Century Gothic"/>
          <w:sz w:val="22"/>
        </w:rPr>
        <w:t>entre e</w:t>
      </w:r>
      <w:r w:rsidR="00C801F8" w:rsidRPr="0026684F">
        <w:rPr>
          <w:rFonts w:ascii="Century Gothic" w:hAnsi="Century Gothic"/>
          <w:sz w:val="22"/>
        </w:rPr>
        <w:t>l</w:t>
      </w:r>
      <w:r w:rsidR="00CC5B3C" w:rsidRPr="0026684F">
        <w:rPr>
          <w:rFonts w:ascii="Century Gothic" w:hAnsi="Century Gothic"/>
          <w:sz w:val="22"/>
        </w:rPr>
        <w:t xml:space="preserve"> 8</w:t>
      </w:r>
      <w:r w:rsidR="00C801F8" w:rsidRPr="0026684F">
        <w:rPr>
          <w:rFonts w:ascii="Century Gothic" w:hAnsi="Century Gothic"/>
          <w:sz w:val="22"/>
        </w:rPr>
        <w:t>%</w:t>
      </w:r>
      <w:r w:rsidR="00CC5B3C" w:rsidRPr="0026684F">
        <w:rPr>
          <w:rFonts w:ascii="Century Gothic" w:hAnsi="Century Gothic"/>
          <w:sz w:val="22"/>
        </w:rPr>
        <w:t xml:space="preserve"> y el 12</w:t>
      </w:r>
      <w:r w:rsidR="00C801F8" w:rsidRPr="0026684F">
        <w:rPr>
          <w:rFonts w:ascii="Century Gothic" w:hAnsi="Century Gothic"/>
          <w:sz w:val="22"/>
        </w:rPr>
        <w:t>%</w:t>
      </w:r>
      <w:r w:rsidR="00CC5B3C" w:rsidRPr="0026684F">
        <w:rPr>
          <w:rFonts w:ascii="Century Gothic" w:hAnsi="Century Gothic"/>
          <w:sz w:val="22"/>
        </w:rPr>
        <w:t xml:space="preserve"> de</w:t>
      </w:r>
      <w:r w:rsidRPr="0026684F">
        <w:rPr>
          <w:rFonts w:ascii="Century Gothic" w:hAnsi="Century Gothic"/>
          <w:sz w:val="22"/>
        </w:rPr>
        <w:t>l total de casos</w:t>
      </w:r>
      <w:r w:rsidR="00CC5B3C" w:rsidRPr="0026684F">
        <w:rPr>
          <w:rFonts w:ascii="Century Gothic" w:hAnsi="Century Gothic"/>
          <w:sz w:val="22"/>
        </w:rPr>
        <w:t xml:space="preserve"> las investig</w:t>
      </w:r>
      <w:r w:rsidR="00C801F8" w:rsidRPr="0026684F">
        <w:rPr>
          <w:rFonts w:ascii="Century Gothic" w:hAnsi="Century Gothic"/>
          <w:sz w:val="22"/>
        </w:rPr>
        <w:t>aciones judicial</w:t>
      </w:r>
      <w:r w:rsidR="002B2721" w:rsidRPr="0026684F">
        <w:rPr>
          <w:rFonts w:ascii="Century Gothic" w:hAnsi="Century Gothic"/>
          <w:sz w:val="22"/>
        </w:rPr>
        <w:t>es en Colombia</w:t>
      </w:r>
      <w:r w:rsidR="00DE68AE" w:rsidRPr="0026684F">
        <w:rPr>
          <w:rStyle w:val="Refdenotaalpie"/>
          <w:rFonts w:ascii="Century Gothic" w:hAnsi="Century Gothic"/>
          <w:sz w:val="22"/>
        </w:rPr>
        <w:footnoteReference w:id="7"/>
      </w:r>
      <w:r w:rsidR="002B2721" w:rsidRPr="0026684F">
        <w:rPr>
          <w:rFonts w:ascii="Century Gothic" w:hAnsi="Century Gothic"/>
          <w:sz w:val="22"/>
        </w:rPr>
        <w:t xml:space="preserve">. Es evidente que </w:t>
      </w:r>
      <w:r w:rsidR="00445D70" w:rsidRPr="0026684F">
        <w:rPr>
          <w:rFonts w:ascii="Century Gothic" w:hAnsi="Century Gothic"/>
          <w:sz w:val="22"/>
        </w:rPr>
        <w:t xml:space="preserve">existe un incremento constante de estos </w:t>
      </w:r>
      <w:r w:rsidR="00A318EE" w:rsidRPr="0026684F">
        <w:rPr>
          <w:rFonts w:ascii="Century Gothic" w:hAnsi="Century Gothic"/>
          <w:sz w:val="22"/>
        </w:rPr>
        <w:t>casos, en contravía de los propósitos de las autoridades públic</w:t>
      </w:r>
      <w:r w:rsidR="003F2308" w:rsidRPr="0026684F">
        <w:rPr>
          <w:rFonts w:ascii="Century Gothic" w:hAnsi="Century Gothic"/>
          <w:sz w:val="22"/>
        </w:rPr>
        <w:t>as que intervienen para prevenir la ejecución de este tipo de conductas</w:t>
      </w:r>
      <w:r w:rsidR="00A318EE" w:rsidRPr="0026684F">
        <w:rPr>
          <w:rFonts w:ascii="Century Gothic" w:hAnsi="Century Gothic"/>
          <w:sz w:val="22"/>
        </w:rPr>
        <w:t>.</w:t>
      </w:r>
      <w:r w:rsidR="003F2308" w:rsidRPr="0026684F">
        <w:rPr>
          <w:rFonts w:ascii="Century Gothic" w:hAnsi="Century Gothic"/>
          <w:sz w:val="22"/>
        </w:rPr>
        <w:t xml:space="preserve"> De conformidad con los datos aportados por la Fiscalía General de la Nación</w:t>
      </w:r>
      <w:r w:rsidR="00CE5155" w:rsidRPr="0026684F">
        <w:rPr>
          <w:rFonts w:ascii="Century Gothic" w:hAnsi="Century Gothic"/>
          <w:sz w:val="22"/>
        </w:rPr>
        <w:t xml:space="preserve">, </w:t>
      </w:r>
      <w:r w:rsidR="00EB67C8">
        <w:rPr>
          <w:rFonts w:ascii="Century Gothic" w:hAnsi="Century Gothic"/>
          <w:sz w:val="22"/>
        </w:rPr>
        <w:t xml:space="preserve"> desde 2010 hast</w:t>
      </w:r>
      <w:r w:rsidR="00CE5155" w:rsidRPr="0026684F">
        <w:rPr>
          <w:rFonts w:ascii="Century Gothic" w:hAnsi="Century Gothic"/>
          <w:sz w:val="22"/>
        </w:rPr>
        <w:t xml:space="preserve">a </w:t>
      </w:r>
      <w:r w:rsidR="00EB67C8">
        <w:rPr>
          <w:rFonts w:ascii="Century Gothic" w:hAnsi="Century Gothic"/>
          <w:sz w:val="22"/>
        </w:rPr>
        <w:t xml:space="preserve"> el 10 de octubre de 2018, </w:t>
      </w:r>
      <w:r w:rsidR="00CE5155" w:rsidRPr="0026684F">
        <w:rPr>
          <w:rFonts w:ascii="Century Gothic" w:hAnsi="Century Gothic"/>
          <w:sz w:val="22"/>
        </w:rPr>
        <w:t>el ente investigador registra</w:t>
      </w:r>
      <w:r w:rsidR="001875CB" w:rsidRPr="0026684F">
        <w:rPr>
          <w:rFonts w:ascii="Century Gothic" w:hAnsi="Century Gothic"/>
          <w:sz w:val="22"/>
        </w:rPr>
        <w:t xml:space="preserve"> 70.603 casos de </w:t>
      </w:r>
      <w:r w:rsidR="00CE5155" w:rsidRPr="0026684F">
        <w:rPr>
          <w:rFonts w:ascii="Century Gothic" w:hAnsi="Century Gothic"/>
          <w:sz w:val="22"/>
        </w:rPr>
        <w:t xml:space="preserve">violencia intrafamiliar, de </w:t>
      </w:r>
      <w:r w:rsidR="001875CB" w:rsidRPr="0026684F">
        <w:rPr>
          <w:rFonts w:ascii="Century Gothic" w:hAnsi="Century Gothic"/>
          <w:sz w:val="22"/>
        </w:rPr>
        <w:t>los cuales 56.570 están activos y 14</w:t>
      </w:r>
      <w:r w:rsidR="00CE5155" w:rsidRPr="0026684F">
        <w:rPr>
          <w:rFonts w:ascii="Century Gothic" w:hAnsi="Century Gothic"/>
          <w:sz w:val="22"/>
        </w:rPr>
        <w:t>.</w:t>
      </w:r>
      <w:r w:rsidR="001875CB" w:rsidRPr="0026684F">
        <w:rPr>
          <w:rFonts w:ascii="Century Gothic" w:hAnsi="Century Gothic"/>
          <w:sz w:val="22"/>
        </w:rPr>
        <w:t>033 están inactivos</w:t>
      </w:r>
      <w:r w:rsidR="001D410F" w:rsidRPr="0026684F">
        <w:rPr>
          <w:rFonts w:ascii="Century Gothic" w:hAnsi="Century Gothic"/>
          <w:sz w:val="22"/>
        </w:rPr>
        <w:t xml:space="preserve">. </w:t>
      </w:r>
    </w:p>
    <w:p w14:paraId="2F2FF18D" w14:textId="63DD22E6" w:rsidR="00DE68AE" w:rsidRPr="0026684F" w:rsidRDefault="00830A40" w:rsidP="00DE68AE">
      <w:pPr>
        <w:jc w:val="center"/>
        <w:rPr>
          <w:rFonts w:ascii="Century Gothic" w:hAnsi="Century Gothic"/>
          <w:sz w:val="22"/>
        </w:rPr>
      </w:pPr>
      <w:r w:rsidRPr="0026684F">
        <w:rPr>
          <w:rFonts w:ascii="Century Gothic" w:hAnsi="Century Gothic"/>
          <w:noProof/>
          <w:sz w:val="22"/>
          <w:lang w:eastAsia="es-CO"/>
        </w:rPr>
        <w:drawing>
          <wp:inline distT="0" distB="0" distL="0" distR="0" wp14:anchorId="3590C732" wp14:editId="37239446">
            <wp:extent cx="5467350" cy="2867025"/>
            <wp:effectExtent l="0" t="0" r="0"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52694E" w14:textId="5E81E4BA" w:rsidR="00DE68AE" w:rsidRPr="0026684F" w:rsidRDefault="0033283D" w:rsidP="00B01FDA">
      <w:pPr>
        <w:pStyle w:val="Sinespaciado"/>
        <w:jc w:val="center"/>
        <w:rPr>
          <w:rFonts w:ascii="Century Gothic" w:hAnsi="Century Gothic"/>
          <w:sz w:val="22"/>
        </w:rPr>
      </w:pPr>
      <w:r w:rsidRPr="0026684F">
        <w:rPr>
          <w:rFonts w:ascii="Century Gothic" w:hAnsi="Century Gothic"/>
          <w:b/>
          <w:sz w:val="22"/>
        </w:rPr>
        <w:t>Grá</w:t>
      </w:r>
      <w:r w:rsidR="008C01B6" w:rsidRPr="0026684F">
        <w:rPr>
          <w:rFonts w:ascii="Century Gothic" w:hAnsi="Century Gothic"/>
          <w:b/>
          <w:sz w:val="22"/>
        </w:rPr>
        <w:t>fico</w:t>
      </w:r>
      <w:r w:rsidR="001F18BF" w:rsidRPr="0026684F">
        <w:rPr>
          <w:rFonts w:ascii="Century Gothic" w:hAnsi="Century Gothic"/>
          <w:b/>
          <w:sz w:val="22"/>
        </w:rPr>
        <w:t xml:space="preserve"> 1</w:t>
      </w:r>
      <w:r w:rsidR="00DE68AE" w:rsidRPr="0026684F">
        <w:rPr>
          <w:rFonts w:ascii="Century Gothic" w:hAnsi="Century Gothic"/>
          <w:b/>
          <w:sz w:val="22"/>
        </w:rPr>
        <w:t>.</w:t>
      </w:r>
      <w:r w:rsidR="00DE68AE" w:rsidRPr="0026684F">
        <w:rPr>
          <w:rFonts w:ascii="Century Gothic" w:hAnsi="Century Gothic"/>
          <w:sz w:val="22"/>
        </w:rPr>
        <w:t xml:space="preserve"> P</w:t>
      </w:r>
      <w:r w:rsidR="001F18BF" w:rsidRPr="0026684F">
        <w:rPr>
          <w:rFonts w:ascii="Century Gothic" w:hAnsi="Century Gothic"/>
          <w:sz w:val="22"/>
        </w:rPr>
        <w:t xml:space="preserve">articipación de casos de violencia </w:t>
      </w:r>
      <w:r w:rsidR="001A0382" w:rsidRPr="0026684F">
        <w:rPr>
          <w:rFonts w:ascii="Century Gothic" w:hAnsi="Century Gothic"/>
          <w:sz w:val="22"/>
        </w:rPr>
        <w:t>intrafamiliar</w:t>
      </w:r>
      <w:r w:rsidR="001F18BF" w:rsidRPr="0026684F">
        <w:rPr>
          <w:rFonts w:ascii="Century Gothic" w:hAnsi="Century Gothic"/>
          <w:sz w:val="22"/>
        </w:rPr>
        <w:t xml:space="preserve"> (VIF) sobre el total de casos desde 2010 hasta </w:t>
      </w:r>
      <w:r w:rsidR="001875CB" w:rsidRPr="0026684F">
        <w:rPr>
          <w:rFonts w:ascii="Century Gothic" w:hAnsi="Century Gothic"/>
          <w:sz w:val="22"/>
        </w:rPr>
        <w:t xml:space="preserve">el 10 de octubre de </w:t>
      </w:r>
      <w:r w:rsidR="001F18BF" w:rsidRPr="0026684F">
        <w:rPr>
          <w:rFonts w:ascii="Century Gothic" w:hAnsi="Century Gothic"/>
          <w:sz w:val="22"/>
        </w:rPr>
        <w:t>2018</w:t>
      </w:r>
      <w:r w:rsidR="00B01FDA" w:rsidRPr="0026684F">
        <w:rPr>
          <w:rFonts w:ascii="Century Gothic" w:hAnsi="Century Gothic"/>
          <w:sz w:val="22"/>
        </w:rPr>
        <w:t xml:space="preserve">. </w:t>
      </w:r>
      <w:r w:rsidR="00DE68AE" w:rsidRPr="0026684F">
        <w:rPr>
          <w:rFonts w:ascii="Century Gothic" w:hAnsi="Century Gothic"/>
          <w:sz w:val="22"/>
        </w:rPr>
        <w:t xml:space="preserve">Fuente: </w:t>
      </w:r>
      <w:r w:rsidR="00E3464F" w:rsidRPr="0026684F">
        <w:rPr>
          <w:rFonts w:ascii="Century Gothic" w:hAnsi="Century Gothic"/>
          <w:sz w:val="22"/>
        </w:rPr>
        <w:t>Elaboración propia con datos SPOA</w:t>
      </w:r>
      <w:r w:rsidR="004B7BB5" w:rsidRPr="0026684F">
        <w:rPr>
          <w:rFonts w:ascii="Century Gothic" w:hAnsi="Century Gothic"/>
          <w:sz w:val="22"/>
        </w:rPr>
        <w:t xml:space="preserve"> remitidos </w:t>
      </w:r>
      <w:r w:rsidR="00CE5155" w:rsidRPr="0026684F">
        <w:rPr>
          <w:rFonts w:ascii="Century Gothic" w:hAnsi="Century Gothic"/>
          <w:sz w:val="22"/>
        </w:rPr>
        <w:t>por la Fiscalía</w:t>
      </w:r>
      <w:r w:rsidR="008250BF" w:rsidRPr="0026684F">
        <w:rPr>
          <w:rFonts w:ascii="Century Gothic" w:hAnsi="Century Gothic"/>
          <w:sz w:val="22"/>
        </w:rPr>
        <w:t xml:space="preserve"> e</w:t>
      </w:r>
      <w:r w:rsidR="004B7BB5" w:rsidRPr="0026684F">
        <w:rPr>
          <w:rFonts w:ascii="Century Gothic" w:hAnsi="Century Gothic"/>
          <w:sz w:val="22"/>
        </w:rPr>
        <w:t>l 1</w:t>
      </w:r>
      <w:r w:rsidR="00CE5155" w:rsidRPr="0026684F">
        <w:rPr>
          <w:rFonts w:ascii="Century Gothic" w:hAnsi="Century Gothic"/>
          <w:sz w:val="22"/>
        </w:rPr>
        <w:t>º</w:t>
      </w:r>
      <w:r w:rsidR="004B7BB5" w:rsidRPr="0026684F">
        <w:rPr>
          <w:rFonts w:ascii="Century Gothic" w:hAnsi="Century Gothic"/>
          <w:sz w:val="22"/>
        </w:rPr>
        <w:t xml:space="preserve"> de noviembre de 2018</w:t>
      </w:r>
      <w:r w:rsidR="00E3464F" w:rsidRPr="0026684F">
        <w:rPr>
          <w:rFonts w:ascii="Century Gothic" w:hAnsi="Century Gothic"/>
          <w:sz w:val="22"/>
        </w:rPr>
        <w:t xml:space="preserve">. </w:t>
      </w:r>
    </w:p>
    <w:p w14:paraId="3D9EB2F6" w14:textId="1936A57F" w:rsidR="000C4F87" w:rsidRPr="0026684F" w:rsidRDefault="009716DD" w:rsidP="007244CC">
      <w:pPr>
        <w:rPr>
          <w:rFonts w:ascii="Century Gothic" w:hAnsi="Century Gothic"/>
          <w:sz w:val="22"/>
        </w:rPr>
      </w:pPr>
      <w:r w:rsidRPr="0026684F">
        <w:rPr>
          <w:rFonts w:ascii="Century Gothic" w:hAnsi="Century Gothic"/>
          <w:sz w:val="22"/>
        </w:rPr>
        <w:t>El 62% de l</w:t>
      </w:r>
      <w:r w:rsidR="00C72B0E" w:rsidRPr="0026684F">
        <w:rPr>
          <w:rFonts w:ascii="Century Gothic" w:hAnsi="Century Gothic"/>
          <w:sz w:val="22"/>
        </w:rPr>
        <w:t xml:space="preserve">os eventos de violencia intrafamiliar </w:t>
      </w:r>
      <w:r w:rsidR="008250BF" w:rsidRPr="0026684F">
        <w:rPr>
          <w:rFonts w:ascii="Century Gothic" w:hAnsi="Century Gothic"/>
          <w:sz w:val="22"/>
        </w:rPr>
        <w:t>está</w:t>
      </w:r>
      <w:r w:rsidR="00C72B0E" w:rsidRPr="0026684F">
        <w:rPr>
          <w:rFonts w:ascii="Century Gothic" w:hAnsi="Century Gothic"/>
          <w:sz w:val="22"/>
        </w:rPr>
        <w:t xml:space="preserve"> </w:t>
      </w:r>
      <w:r w:rsidR="008250BF" w:rsidRPr="0026684F">
        <w:rPr>
          <w:rFonts w:ascii="Century Gothic" w:hAnsi="Century Gothic"/>
          <w:sz w:val="22"/>
        </w:rPr>
        <w:t>concentrado</w:t>
      </w:r>
      <w:r w:rsidRPr="0026684F">
        <w:rPr>
          <w:rFonts w:ascii="Century Gothic" w:hAnsi="Century Gothic"/>
          <w:sz w:val="22"/>
        </w:rPr>
        <w:t xml:space="preserve"> </w:t>
      </w:r>
      <w:r w:rsidR="00DE3D36" w:rsidRPr="0026684F">
        <w:rPr>
          <w:rFonts w:ascii="Century Gothic" w:hAnsi="Century Gothic"/>
          <w:sz w:val="22"/>
        </w:rPr>
        <w:t>en 5 departamentos</w:t>
      </w:r>
      <w:r w:rsidR="008250BF" w:rsidRPr="0026684F">
        <w:rPr>
          <w:rFonts w:ascii="Century Gothic" w:hAnsi="Century Gothic"/>
          <w:sz w:val="22"/>
        </w:rPr>
        <w:t>, estos son</w:t>
      </w:r>
      <w:r w:rsidR="00CE5155" w:rsidRPr="0026684F">
        <w:rPr>
          <w:rFonts w:ascii="Century Gothic" w:hAnsi="Century Gothic"/>
          <w:sz w:val="22"/>
        </w:rPr>
        <w:t>: Antioqui</w:t>
      </w:r>
      <w:r w:rsidR="00AE2298" w:rsidRPr="0026684F">
        <w:rPr>
          <w:rFonts w:ascii="Century Gothic" w:hAnsi="Century Gothic"/>
          <w:sz w:val="22"/>
        </w:rPr>
        <w:t xml:space="preserve">a, Bogotá, Cundinamarca, Santander y Valle </w:t>
      </w:r>
      <w:r w:rsidR="00AE2298" w:rsidRPr="0026684F">
        <w:rPr>
          <w:rFonts w:ascii="Century Gothic" w:hAnsi="Century Gothic"/>
          <w:sz w:val="22"/>
        </w:rPr>
        <w:lastRenderedPageBreak/>
        <w:t xml:space="preserve">del Cauca. </w:t>
      </w:r>
      <w:r w:rsidR="00610AA2" w:rsidRPr="0026684F">
        <w:rPr>
          <w:rFonts w:ascii="Century Gothic" w:hAnsi="Century Gothic"/>
          <w:sz w:val="22"/>
        </w:rPr>
        <w:t>Bo</w:t>
      </w:r>
      <w:r w:rsidR="00AE2298" w:rsidRPr="0026684F">
        <w:rPr>
          <w:rFonts w:ascii="Century Gothic" w:hAnsi="Century Gothic"/>
          <w:sz w:val="22"/>
        </w:rPr>
        <w:t>gotá es el caso más alarmante</w:t>
      </w:r>
      <w:r w:rsidR="001875CB" w:rsidRPr="0026684F">
        <w:rPr>
          <w:rFonts w:ascii="Century Gothic" w:hAnsi="Century Gothic"/>
          <w:sz w:val="22"/>
        </w:rPr>
        <w:t xml:space="preserve"> en tanto representa el 25% del total de los casos y tiene una tendencia positiva y creciente en el tiempo</w:t>
      </w:r>
      <w:r w:rsidR="00EE7A3A" w:rsidRPr="0026684F">
        <w:rPr>
          <w:rFonts w:ascii="Century Gothic" w:hAnsi="Century Gothic"/>
          <w:sz w:val="22"/>
        </w:rPr>
        <w:t xml:space="preserve">. </w:t>
      </w:r>
    </w:p>
    <w:p w14:paraId="0C444C74" w14:textId="7A703E2E" w:rsidR="000C4F87" w:rsidRPr="0026684F" w:rsidRDefault="00830A40" w:rsidP="000C4F87">
      <w:pPr>
        <w:jc w:val="center"/>
        <w:rPr>
          <w:rFonts w:ascii="Century Gothic" w:hAnsi="Century Gothic"/>
          <w:sz w:val="22"/>
        </w:rPr>
      </w:pPr>
      <w:r w:rsidRPr="0026684F">
        <w:rPr>
          <w:rFonts w:ascii="Century Gothic" w:hAnsi="Century Gothic"/>
          <w:noProof/>
          <w:sz w:val="22"/>
          <w:lang w:eastAsia="es-CO"/>
        </w:rPr>
        <w:drawing>
          <wp:inline distT="0" distB="0" distL="0" distR="0" wp14:anchorId="3F0E728E" wp14:editId="1AF91217">
            <wp:extent cx="5457825" cy="2352675"/>
            <wp:effectExtent l="0" t="0" r="9525"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35C3C0" w14:textId="3C73C6E0" w:rsidR="00CC5B3C" w:rsidRPr="0026684F" w:rsidRDefault="0033283D" w:rsidP="000E0AD4">
      <w:pPr>
        <w:jc w:val="center"/>
        <w:rPr>
          <w:rFonts w:ascii="Century Gothic" w:hAnsi="Century Gothic"/>
          <w:sz w:val="22"/>
        </w:rPr>
      </w:pPr>
      <w:r w:rsidRPr="0026684F">
        <w:rPr>
          <w:rFonts w:ascii="Century Gothic" w:hAnsi="Century Gothic"/>
          <w:b/>
          <w:sz w:val="22"/>
        </w:rPr>
        <w:t>Gráfico</w:t>
      </w:r>
      <w:r w:rsidR="00C766A8" w:rsidRPr="0026684F">
        <w:rPr>
          <w:rFonts w:ascii="Century Gothic" w:hAnsi="Century Gothic"/>
          <w:b/>
          <w:sz w:val="22"/>
        </w:rPr>
        <w:t xml:space="preserve"> 2. </w:t>
      </w:r>
      <w:r w:rsidR="00C766A8" w:rsidRPr="0026684F">
        <w:rPr>
          <w:rFonts w:ascii="Century Gothic" w:hAnsi="Century Gothic"/>
          <w:sz w:val="22"/>
        </w:rPr>
        <w:t xml:space="preserve">Top 5 departamentos con el 62% de los casos de violencia intrafamiliar en Colombia. </w:t>
      </w:r>
      <w:r w:rsidR="0000505F" w:rsidRPr="0026684F">
        <w:rPr>
          <w:rFonts w:ascii="Century Gothic" w:hAnsi="Century Gothic"/>
          <w:sz w:val="22"/>
        </w:rPr>
        <w:t xml:space="preserve">Fuente: Elaboración propia con datos SPOA remitidos </w:t>
      </w:r>
      <w:r w:rsidR="008250BF" w:rsidRPr="0026684F">
        <w:rPr>
          <w:rFonts w:ascii="Century Gothic" w:hAnsi="Century Gothic"/>
          <w:sz w:val="22"/>
        </w:rPr>
        <w:t>por la Fiscalía e</w:t>
      </w:r>
      <w:r w:rsidR="0000505F" w:rsidRPr="0026684F">
        <w:rPr>
          <w:rFonts w:ascii="Century Gothic" w:hAnsi="Century Gothic"/>
          <w:sz w:val="22"/>
        </w:rPr>
        <w:t>l 1 de noviembre de 2018.</w:t>
      </w:r>
      <w:r w:rsidR="0067714A" w:rsidRPr="0026684F">
        <w:rPr>
          <w:rFonts w:ascii="Century Gothic" w:hAnsi="Century Gothic"/>
          <w:sz w:val="22"/>
        </w:rPr>
        <w:t xml:space="preserve"> Desde 2010 hasta el 10 de octubre de 2018</w:t>
      </w:r>
      <w:r w:rsidR="008250BF" w:rsidRPr="0026684F">
        <w:rPr>
          <w:rFonts w:ascii="Century Gothic" w:hAnsi="Century Gothic"/>
          <w:sz w:val="22"/>
        </w:rPr>
        <w:t>.</w:t>
      </w:r>
    </w:p>
    <w:p w14:paraId="173EB402" w14:textId="77777777" w:rsidR="00AC4289" w:rsidRDefault="00AC4289" w:rsidP="000E0AD4">
      <w:pPr>
        <w:rPr>
          <w:rFonts w:ascii="Century Gothic" w:hAnsi="Century Gothic"/>
          <w:sz w:val="22"/>
        </w:rPr>
      </w:pPr>
    </w:p>
    <w:p w14:paraId="30A36CC6" w14:textId="2B30891B" w:rsidR="00AB0A16" w:rsidRPr="0026684F" w:rsidRDefault="00F17727" w:rsidP="000E0AD4">
      <w:pPr>
        <w:rPr>
          <w:rFonts w:ascii="Century Gothic" w:hAnsi="Century Gothic"/>
          <w:sz w:val="22"/>
        </w:rPr>
      </w:pPr>
      <w:r w:rsidRPr="0026684F">
        <w:rPr>
          <w:rFonts w:ascii="Century Gothic" w:hAnsi="Century Gothic"/>
          <w:sz w:val="22"/>
        </w:rPr>
        <w:t>Tal como se expuso con anterioridad, el caso de Bogotá es</w:t>
      </w:r>
      <w:r w:rsidR="0037454D" w:rsidRPr="0026684F">
        <w:rPr>
          <w:rFonts w:ascii="Century Gothic" w:hAnsi="Century Gothic"/>
          <w:sz w:val="22"/>
        </w:rPr>
        <w:t xml:space="preserve"> bastante</w:t>
      </w:r>
      <w:r w:rsidRPr="0026684F">
        <w:rPr>
          <w:rFonts w:ascii="Century Gothic" w:hAnsi="Century Gothic"/>
          <w:sz w:val="22"/>
        </w:rPr>
        <w:t xml:space="preserve"> </w:t>
      </w:r>
      <w:r w:rsidR="00BB446D" w:rsidRPr="0026684F">
        <w:rPr>
          <w:rFonts w:ascii="Century Gothic" w:hAnsi="Century Gothic"/>
          <w:sz w:val="22"/>
        </w:rPr>
        <w:t>relevante</w:t>
      </w:r>
      <w:r w:rsidR="0037454D" w:rsidRPr="0026684F">
        <w:rPr>
          <w:rFonts w:ascii="Century Gothic" w:hAnsi="Century Gothic"/>
          <w:sz w:val="22"/>
        </w:rPr>
        <w:t>.</w:t>
      </w:r>
      <w:r w:rsidR="006D6892" w:rsidRPr="0026684F">
        <w:rPr>
          <w:rFonts w:ascii="Century Gothic" w:hAnsi="Century Gothic"/>
          <w:sz w:val="22"/>
        </w:rPr>
        <w:t xml:space="preserve"> En el 2017, el total de investigaciones por violencia</w:t>
      </w:r>
      <w:r w:rsidR="008250BF" w:rsidRPr="0026684F">
        <w:rPr>
          <w:rFonts w:ascii="Century Gothic" w:hAnsi="Century Gothic"/>
          <w:sz w:val="22"/>
        </w:rPr>
        <w:t xml:space="preserve"> intrafamiliar adelantadas en</w:t>
      </w:r>
      <w:r w:rsidR="006D6892" w:rsidRPr="0026684F">
        <w:rPr>
          <w:rFonts w:ascii="Century Gothic" w:hAnsi="Century Gothic"/>
          <w:sz w:val="22"/>
        </w:rPr>
        <w:t xml:space="preserve"> Bogotá representaban el 3.8% del total de casos que investiga</w:t>
      </w:r>
      <w:r w:rsidR="008250BF" w:rsidRPr="0026684F">
        <w:rPr>
          <w:rFonts w:ascii="Century Gothic" w:hAnsi="Century Gothic"/>
          <w:sz w:val="22"/>
        </w:rPr>
        <w:t>ba</w:t>
      </w:r>
      <w:r w:rsidR="006D6892" w:rsidRPr="0026684F">
        <w:rPr>
          <w:rFonts w:ascii="Century Gothic" w:hAnsi="Century Gothic"/>
          <w:sz w:val="22"/>
        </w:rPr>
        <w:t xml:space="preserve"> la Fiscalía a nivel nacional</w:t>
      </w:r>
      <w:r w:rsidR="006E2FFA" w:rsidRPr="0026684F">
        <w:rPr>
          <w:rFonts w:ascii="Century Gothic" w:hAnsi="Century Gothic"/>
          <w:sz w:val="22"/>
        </w:rPr>
        <w:t>.</w:t>
      </w:r>
      <w:r w:rsidR="000C0D94" w:rsidRPr="0026684F">
        <w:rPr>
          <w:rFonts w:ascii="Century Gothic" w:hAnsi="Century Gothic"/>
          <w:sz w:val="22"/>
        </w:rPr>
        <w:t xml:space="preserve"> En ese mismo año</w:t>
      </w:r>
      <w:r w:rsidR="008250BF" w:rsidRPr="0026684F">
        <w:rPr>
          <w:rFonts w:ascii="Century Gothic" w:hAnsi="Century Gothic"/>
          <w:sz w:val="22"/>
        </w:rPr>
        <w:t>,</w:t>
      </w:r>
      <w:r w:rsidR="000C0D94" w:rsidRPr="0026684F">
        <w:rPr>
          <w:rFonts w:ascii="Century Gothic" w:hAnsi="Century Gothic"/>
          <w:sz w:val="22"/>
        </w:rPr>
        <w:t xml:space="preserve"> la tasa de casos de violencia intrafamiliar por cada 100.000 habitantes fue de 369. </w:t>
      </w:r>
    </w:p>
    <w:p w14:paraId="0890C179" w14:textId="3FE79E8E" w:rsidR="00AB0A16" w:rsidRPr="0026684F" w:rsidRDefault="00D13065" w:rsidP="002B593A">
      <w:pPr>
        <w:jc w:val="center"/>
        <w:rPr>
          <w:rFonts w:ascii="Century Gothic" w:hAnsi="Century Gothic"/>
          <w:sz w:val="22"/>
        </w:rPr>
      </w:pPr>
      <w:r w:rsidRPr="0026684F">
        <w:rPr>
          <w:rFonts w:ascii="Century Gothic" w:hAnsi="Century Gothic"/>
          <w:noProof/>
          <w:sz w:val="22"/>
          <w:lang w:eastAsia="es-CO"/>
        </w:rPr>
        <w:lastRenderedPageBreak/>
        <w:drawing>
          <wp:inline distT="0" distB="0" distL="0" distR="0" wp14:anchorId="33BA840E" wp14:editId="2A9AB804">
            <wp:extent cx="5553075" cy="3276600"/>
            <wp:effectExtent l="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5AF4C2" w14:textId="01145FB3" w:rsidR="000E0AD4" w:rsidRPr="0026684F" w:rsidRDefault="0033283D" w:rsidP="00E7493A">
      <w:pPr>
        <w:spacing w:before="0"/>
        <w:jc w:val="center"/>
        <w:rPr>
          <w:rFonts w:ascii="Century Gothic" w:hAnsi="Century Gothic"/>
          <w:sz w:val="22"/>
        </w:rPr>
      </w:pPr>
      <w:r w:rsidRPr="0026684F">
        <w:rPr>
          <w:rFonts w:ascii="Century Gothic" w:hAnsi="Century Gothic"/>
          <w:b/>
          <w:sz w:val="22"/>
        </w:rPr>
        <w:t>Gráfico</w:t>
      </w:r>
      <w:r w:rsidR="002B593A" w:rsidRPr="0026684F">
        <w:rPr>
          <w:rFonts w:ascii="Century Gothic" w:hAnsi="Century Gothic"/>
          <w:b/>
          <w:sz w:val="22"/>
        </w:rPr>
        <w:t xml:space="preserve"> 3.</w:t>
      </w:r>
      <w:r w:rsidR="002B593A" w:rsidRPr="0026684F">
        <w:rPr>
          <w:rFonts w:ascii="Century Gothic" w:hAnsi="Century Gothic"/>
          <w:sz w:val="22"/>
        </w:rPr>
        <w:t xml:space="preserve"> Tendencia creciente en caso </w:t>
      </w:r>
      <w:r w:rsidR="00430FFA" w:rsidRPr="0026684F">
        <w:rPr>
          <w:rFonts w:ascii="Century Gothic" w:hAnsi="Century Gothic"/>
          <w:sz w:val="22"/>
        </w:rPr>
        <w:t>de</w:t>
      </w:r>
      <w:r w:rsidR="002B593A" w:rsidRPr="0026684F">
        <w:rPr>
          <w:rFonts w:ascii="Century Gothic" w:hAnsi="Century Gothic"/>
          <w:sz w:val="22"/>
        </w:rPr>
        <w:t xml:space="preserve"> violencia intrafamiliar en </w:t>
      </w:r>
      <w:r w:rsidR="0001524F" w:rsidRPr="0026684F">
        <w:rPr>
          <w:rFonts w:ascii="Century Gothic" w:hAnsi="Century Gothic"/>
          <w:sz w:val="22"/>
        </w:rPr>
        <w:t>Bogotá</w:t>
      </w:r>
      <w:r w:rsidR="002B593A" w:rsidRPr="0026684F">
        <w:rPr>
          <w:rFonts w:ascii="Century Gothic" w:hAnsi="Century Gothic"/>
          <w:sz w:val="22"/>
        </w:rPr>
        <w:t xml:space="preserve"> (2010-2018). </w:t>
      </w:r>
      <w:r w:rsidR="0000505F" w:rsidRPr="0026684F">
        <w:rPr>
          <w:rFonts w:ascii="Century Gothic" w:hAnsi="Century Gothic"/>
          <w:sz w:val="22"/>
        </w:rPr>
        <w:t>Fuente: Elaboración propia con datos SPOA remitidos el 1 de noviembre de 2018 por la Fiscalía.</w:t>
      </w:r>
      <w:r w:rsidR="0067714A" w:rsidRPr="0026684F">
        <w:rPr>
          <w:rFonts w:ascii="Century Gothic" w:hAnsi="Century Gothic"/>
          <w:sz w:val="22"/>
        </w:rPr>
        <w:t xml:space="preserve"> Desde 2010 hasta el 10 de octubre de 2018</w:t>
      </w:r>
    </w:p>
    <w:p w14:paraId="206C79FD" w14:textId="58B5FEE2" w:rsidR="00430FFA" w:rsidRPr="0026684F" w:rsidRDefault="00E7493A" w:rsidP="00430FFA">
      <w:pPr>
        <w:spacing w:before="0"/>
        <w:rPr>
          <w:rFonts w:ascii="Century Gothic" w:hAnsi="Century Gothic"/>
          <w:sz w:val="22"/>
        </w:rPr>
      </w:pPr>
      <w:r w:rsidRPr="0026684F">
        <w:rPr>
          <w:rFonts w:ascii="Century Gothic" w:hAnsi="Century Gothic"/>
          <w:sz w:val="22"/>
        </w:rPr>
        <w:t xml:space="preserve">También resultan especialmente relevantes los casos de los departamentos de Guaviare y Guainía, quienes tienen un incremento constante en los casos de violencia intrafamiliar investigados. Si </w:t>
      </w:r>
      <w:r w:rsidR="00B1707B" w:rsidRPr="0026684F">
        <w:rPr>
          <w:rFonts w:ascii="Century Gothic" w:hAnsi="Century Gothic"/>
          <w:sz w:val="22"/>
        </w:rPr>
        <w:t xml:space="preserve">bien es cierto no hacen parte de los departamentos que concentran la mayor cantidad de casos, también lo es que tienen un </w:t>
      </w:r>
      <w:r w:rsidR="00850493" w:rsidRPr="0026684F">
        <w:rPr>
          <w:rFonts w:ascii="Century Gothic" w:hAnsi="Century Gothic"/>
          <w:sz w:val="22"/>
        </w:rPr>
        <w:t>número</w:t>
      </w:r>
      <w:r w:rsidR="00B1707B" w:rsidRPr="0026684F">
        <w:rPr>
          <w:rFonts w:ascii="Century Gothic" w:hAnsi="Century Gothic"/>
          <w:sz w:val="22"/>
        </w:rPr>
        <w:t xml:space="preserve"> </w:t>
      </w:r>
      <w:r w:rsidR="00766DD8" w:rsidRPr="0026684F">
        <w:rPr>
          <w:rFonts w:ascii="Century Gothic" w:hAnsi="Century Gothic"/>
          <w:sz w:val="22"/>
        </w:rPr>
        <w:t>importante</w:t>
      </w:r>
      <w:r w:rsidR="00B1707B" w:rsidRPr="0026684F">
        <w:rPr>
          <w:rFonts w:ascii="Century Gothic" w:hAnsi="Century Gothic"/>
          <w:sz w:val="22"/>
        </w:rPr>
        <w:t xml:space="preserve"> de investigaciones por </w:t>
      </w:r>
      <w:r w:rsidR="008250BF" w:rsidRPr="0026684F">
        <w:rPr>
          <w:rFonts w:ascii="Century Gothic" w:hAnsi="Century Gothic"/>
          <w:sz w:val="22"/>
        </w:rPr>
        <w:t>el delito de violencia intrafamiliar en relación con su</w:t>
      </w:r>
      <w:r w:rsidR="00B1707B" w:rsidRPr="0026684F">
        <w:rPr>
          <w:rFonts w:ascii="Century Gothic" w:hAnsi="Century Gothic"/>
          <w:sz w:val="22"/>
        </w:rPr>
        <w:t xml:space="preserve"> densidad poblacional. </w:t>
      </w:r>
    </w:p>
    <w:p w14:paraId="7C90ABA2" w14:textId="4B2E8A9C" w:rsidR="00430FFA" w:rsidRPr="0026684F" w:rsidRDefault="00830A40" w:rsidP="00850493">
      <w:pPr>
        <w:spacing w:before="0"/>
        <w:jc w:val="center"/>
        <w:rPr>
          <w:rFonts w:ascii="Century Gothic" w:hAnsi="Century Gothic"/>
          <w:sz w:val="22"/>
        </w:rPr>
      </w:pPr>
      <w:r w:rsidRPr="0026684F">
        <w:rPr>
          <w:rFonts w:ascii="Century Gothic" w:hAnsi="Century Gothic"/>
          <w:noProof/>
          <w:sz w:val="22"/>
          <w:lang w:eastAsia="es-CO"/>
        </w:rPr>
        <w:lastRenderedPageBreak/>
        <w:drawing>
          <wp:inline distT="0" distB="0" distL="0" distR="0" wp14:anchorId="53886D5E" wp14:editId="75F33D6D">
            <wp:extent cx="5143500" cy="2752725"/>
            <wp:effectExtent l="0" t="0" r="0" b="952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15660E" w14:textId="18FD5CFF" w:rsidR="00850493" w:rsidRPr="0026684F" w:rsidRDefault="0033283D" w:rsidP="00850493">
      <w:pPr>
        <w:pStyle w:val="Sinespaciado"/>
        <w:jc w:val="center"/>
        <w:rPr>
          <w:rFonts w:ascii="Century Gothic" w:hAnsi="Century Gothic"/>
          <w:sz w:val="22"/>
        </w:rPr>
      </w:pPr>
      <w:r w:rsidRPr="0026684F">
        <w:rPr>
          <w:rFonts w:ascii="Century Gothic" w:hAnsi="Century Gothic"/>
          <w:b/>
          <w:sz w:val="22"/>
        </w:rPr>
        <w:t>Gráfico</w:t>
      </w:r>
      <w:r w:rsidR="00850493" w:rsidRPr="0026684F">
        <w:rPr>
          <w:rFonts w:ascii="Century Gothic" w:hAnsi="Century Gothic"/>
          <w:b/>
          <w:sz w:val="22"/>
        </w:rPr>
        <w:t xml:space="preserve"> 4.</w:t>
      </w:r>
      <w:r w:rsidR="00850493" w:rsidRPr="0026684F">
        <w:rPr>
          <w:rFonts w:ascii="Century Gothic" w:hAnsi="Century Gothic"/>
          <w:sz w:val="22"/>
        </w:rPr>
        <w:t xml:space="preserve"> Departamentos con tendencia lineal creciente en casos de violencia intrafamiliar (2010 – 2018). </w:t>
      </w:r>
      <w:r w:rsidR="0000505F" w:rsidRPr="0026684F">
        <w:rPr>
          <w:rFonts w:ascii="Century Gothic" w:hAnsi="Century Gothic"/>
          <w:sz w:val="22"/>
        </w:rPr>
        <w:t>Fuente: Elaboración propia con datos SPOA remitidos el 1 de noviembre de 2018 por la Fiscalía.</w:t>
      </w:r>
      <w:r w:rsidR="0067714A" w:rsidRPr="0026684F">
        <w:rPr>
          <w:rFonts w:ascii="Century Gothic" w:hAnsi="Century Gothic"/>
          <w:sz w:val="22"/>
        </w:rPr>
        <w:t xml:space="preserve"> Desde 2010 hasta el 10 de octubre de 2018</w:t>
      </w:r>
    </w:p>
    <w:p w14:paraId="30F8F8D5" w14:textId="77777777" w:rsidR="00850493" w:rsidRPr="0026684F" w:rsidRDefault="00850493" w:rsidP="001C0B00">
      <w:pPr>
        <w:spacing w:before="0"/>
        <w:rPr>
          <w:rFonts w:ascii="Century Gothic" w:hAnsi="Century Gothic"/>
          <w:sz w:val="22"/>
        </w:rPr>
      </w:pPr>
    </w:p>
    <w:p w14:paraId="5A6EE3BC" w14:textId="6BFC75DA" w:rsidR="001C0B00" w:rsidRDefault="001C0B00" w:rsidP="00DA6361">
      <w:pPr>
        <w:spacing w:before="0"/>
        <w:rPr>
          <w:rFonts w:ascii="Century Gothic" w:hAnsi="Century Gothic"/>
          <w:sz w:val="22"/>
        </w:rPr>
      </w:pPr>
      <w:r w:rsidRPr="0026684F">
        <w:rPr>
          <w:rFonts w:ascii="Century Gothic" w:hAnsi="Century Gothic"/>
          <w:sz w:val="22"/>
        </w:rPr>
        <w:t>De lo expuesto es posible concluir que el fenómeno de la violencia intrafamiliar en Colombia representa una cantidad importante de las investigacion</w:t>
      </w:r>
      <w:r w:rsidR="00C7196B" w:rsidRPr="0026684F">
        <w:rPr>
          <w:rFonts w:ascii="Century Gothic" w:hAnsi="Century Gothic"/>
          <w:sz w:val="22"/>
        </w:rPr>
        <w:t>es que se adelantan en el país</w:t>
      </w:r>
      <w:r w:rsidR="00DA6361" w:rsidRPr="0026684F">
        <w:rPr>
          <w:rFonts w:ascii="Century Gothic" w:hAnsi="Century Gothic"/>
          <w:sz w:val="22"/>
        </w:rPr>
        <w:t>.</w:t>
      </w:r>
      <w:r w:rsidR="00C7196B" w:rsidRPr="0026684F">
        <w:rPr>
          <w:rFonts w:ascii="Century Gothic" w:hAnsi="Century Gothic"/>
          <w:sz w:val="22"/>
        </w:rPr>
        <w:t xml:space="preserve"> </w:t>
      </w:r>
      <w:r w:rsidR="00DA6361" w:rsidRPr="0026684F">
        <w:rPr>
          <w:rFonts w:ascii="Century Gothic" w:hAnsi="Century Gothic"/>
          <w:sz w:val="22"/>
        </w:rPr>
        <w:t>Respecto del total de denuncias que se presentaron en Colombia desde el 2010, las interpuestas por violencia intrafamiliar representan</w:t>
      </w:r>
      <w:r w:rsidR="00525574" w:rsidRPr="0026684F">
        <w:rPr>
          <w:rFonts w:ascii="Century Gothic" w:hAnsi="Century Gothic"/>
          <w:sz w:val="22"/>
        </w:rPr>
        <w:t xml:space="preserve"> el 9,1% d</w:t>
      </w:r>
      <w:r w:rsidR="00C7196B" w:rsidRPr="0026684F">
        <w:rPr>
          <w:rFonts w:ascii="Century Gothic" w:hAnsi="Century Gothic"/>
          <w:sz w:val="22"/>
        </w:rPr>
        <w:t>e manera tal que amerita una intervención profunda en la política criminal que permita</w:t>
      </w:r>
      <w:r w:rsidR="00A46BF2" w:rsidRPr="0026684F">
        <w:rPr>
          <w:rFonts w:ascii="Century Gothic" w:hAnsi="Century Gothic"/>
          <w:sz w:val="22"/>
        </w:rPr>
        <w:t xml:space="preserve"> una judicialización efectiva. Este </w:t>
      </w:r>
      <w:r w:rsidR="0069652F" w:rsidRPr="0026684F">
        <w:rPr>
          <w:rFonts w:ascii="Century Gothic" w:hAnsi="Century Gothic"/>
          <w:sz w:val="22"/>
        </w:rPr>
        <w:t>tipo de propuestas están enfocadas en generar un</w:t>
      </w:r>
      <w:r w:rsidR="00A46BF2" w:rsidRPr="0026684F">
        <w:rPr>
          <w:rFonts w:ascii="Century Gothic" w:hAnsi="Century Gothic"/>
          <w:sz w:val="22"/>
        </w:rPr>
        <w:t xml:space="preserve"> efecto disuasivo suficiente que </w:t>
      </w:r>
      <w:r w:rsidR="006F157A" w:rsidRPr="0026684F">
        <w:rPr>
          <w:rFonts w:ascii="Century Gothic" w:hAnsi="Century Gothic"/>
          <w:sz w:val="22"/>
        </w:rPr>
        <w:t xml:space="preserve">desestimule </w:t>
      </w:r>
      <w:r w:rsidR="00A46BF2" w:rsidRPr="0026684F">
        <w:rPr>
          <w:rFonts w:ascii="Century Gothic" w:hAnsi="Century Gothic"/>
          <w:sz w:val="22"/>
        </w:rPr>
        <w:t xml:space="preserve"> </w:t>
      </w:r>
      <w:r w:rsidR="006F157A" w:rsidRPr="0026684F">
        <w:rPr>
          <w:rFonts w:ascii="Century Gothic" w:hAnsi="Century Gothic"/>
          <w:sz w:val="22"/>
        </w:rPr>
        <w:t>la comisión de este tipo de</w:t>
      </w:r>
      <w:r w:rsidR="00A46BF2" w:rsidRPr="0026684F">
        <w:rPr>
          <w:rFonts w:ascii="Century Gothic" w:hAnsi="Century Gothic"/>
          <w:sz w:val="22"/>
        </w:rPr>
        <w:t xml:space="preserve"> conductas. </w:t>
      </w:r>
    </w:p>
    <w:p w14:paraId="4F420D87" w14:textId="77777777" w:rsidR="00CD78B4" w:rsidRPr="0026684F" w:rsidRDefault="00CD78B4" w:rsidP="00DA6361">
      <w:pPr>
        <w:spacing w:before="0"/>
        <w:rPr>
          <w:rFonts w:ascii="Century Gothic" w:hAnsi="Century Gothic"/>
          <w:sz w:val="22"/>
        </w:rPr>
      </w:pPr>
    </w:p>
    <w:p w14:paraId="6B2393C3" w14:textId="4B1061E6" w:rsidR="00196F78" w:rsidRPr="00BB7316" w:rsidRDefault="00931B8B" w:rsidP="00BB7316">
      <w:pPr>
        <w:pStyle w:val="Prrafodelista"/>
        <w:numPr>
          <w:ilvl w:val="2"/>
          <w:numId w:val="9"/>
        </w:numPr>
        <w:rPr>
          <w:rFonts w:ascii="Century Gothic" w:hAnsi="Century Gothic"/>
          <w:b/>
          <w:sz w:val="22"/>
        </w:rPr>
      </w:pPr>
      <w:r w:rsidRPr="00BB7316">
        <w:rPr>
          <w:rFonts w:ascii="Century Gothic" w:hAnsi="Century Gothic"/>
          <w:b/>
          <w:sz w:val="22"/>
        </w:rPr>
        <w:t xml:space="preserve">La violencia intrafamiliar puede constituir un antecedente </w:t>
      </w:r>
      <w:r w:rsidR="000B52D8" w:rsidRPr="00BB7316">
        <w:rPr>
          <w:rFonts w:ascii="Century Gothic" w:hAnsi="Century Gothic"/>
          <w:b/>
          <w:sz w:val="22"/>
        </w:rPr>
        <w:t>de delitos como el feminicidio</w:t>
      </w:r>
      <w:r w:rsidR="00196F78" w:rsidRPr="00BB7316">
        <w:rPr>
          <w:rFonts w:ascii="Century Gothic" w:hAnsi="Century Gothic"/>
          <w:b/>
          <w:sz w:val="22"/>
        </w:rPr>
        <w:t xml:space="preserve"> </w:t>
      </w:r>
    </w:p>
    <w:p w14:paraId="4EE89254" w14:textId="500BECB9" w:rsidR="00086F1D" w:rsidRPr="0026684F" w:rsidRDefault="00100C52" w:rsidP="00BF5660">
      <w:pPr>
        <w:rPr>
          <w:rFonts w:ascii="Century Gothic" w:hAnsi="Century Gothic"/>
          <w:sz w:val="22"/>
        </w:rPr>
      </w:pPr>
      <w:r w:rsidRPr="0026684F">
        <w:rPr>
          <w:rFonts w:ascii="Century Gothic" w:hAnsi="Century Gothic"/>
          <w:sz w:val="22"/>
        </w:rPr>
        <w:t xml:space="preserve">El fenómeno de la violencia intrafamiliar </w:t>
      </w:r>
      <w:r w:rsidR="00D32A0D" w:rsidRPr="0026684F">
        <w:rPr>
          <w:rFonts w:ascii="Century Gothic" w:hAnsi="Century Gothic"/>
          <w:sz w:val="22"/>
        </w:rPr>
        <w:t>puede gene</w:t>
      </w:r>
      <w:r w:rsidR="00681C26" w:rsidRPr="0026684F">
        <w:rPr>
          <w:rFonts w:ascii="Century Gothic" w:hAnsi="Century Gothic"/>
          <w:sz w:val="22"/>
        </w:rPr>
        <w:t xml:space="preserve">rar un </w:t>
      </w:r>
      <w:r w:rsidR="00953B18" w:rsidRPr="0026684F">
        <w:rPr>
          <w:rFonts w:ascii="Century Gothic" w:hAnsi="Century Gothic"/>
          <w:sz w:val="22"/>
        </w:rPr>
        <w:t>círculo</w:t>
      </w:r>
      <w:r w:rsidR="00681C26" w:rsidRPr="0026684F">
        <w:rPr>
          <w:rFonts w:ascii="Century Gothic" w:hAnsi="Century Gothic"/>
          <w:sz w:val="22"/>
        </w:rPr>
        <w:t xml:space="preserve"> de violencia </w:t>
      </w:r>
      <w:r w:rsidR="00953B18" w:rsidRPr="0026684F">
        <w:rPr>
          <w:rFonts w:ascii="Century Gothic" w:hAnsi="Century Gothic"/>
          <w:sz w:val="22"/>
        </w:rPr>
        <w:t xml:space="preserve">que inicia con una fase de tensión, </w:t>
      </w:r>
      <w:r w:rsidR="006F157A" w:rsidRPr="0026684F">
        <w:rPr>
          <w:rFonts w:ascii="Century Gothic" w:hAnsi="Century Gothic"/>
          <w:sz w:val="22"/>
        </w:rPr>
        <w:t>avanza</w:t>
      </w:r>
      <w:r w:rsidR="00953B18" w:rsidRPr="0026684F">
        <w:rPr>
          <w:rFonts w:ascii="Century Gothic" w:hAnsi="Century Gothic"/>
          <w:sz w:val="22"/>
        </w:rPr>
        <w:t xml:space="preserve"> con la fase de agresión y continúa con la fase de </w:t>
      </w:r>
      <w:r w:rsidR="006F157A" w:rsidRPr="0026684F">
        <w:rPr>
          <w:rFonts w:ascii="Century Gothic" w:hAnsi="Century Gothic"/>
          <w:sz w:val="22"/>
        </w:rPr>
        <w:t>conciliación</w:t>
      </w:r>
      <w:r w:rsidR="00DE501E" w:rsidRPr="0026684F">
        <w:rPr>
          <w:rStyle w:val="Refdenotaalpie"/>
          <w:rFonts w:ascii="Century Gothic" w:hAnsi="Century Gothic"/>
          <w:sz w:val="22"/>
        </w:rPr>
        <w:footnoteReference w:id="8"/>
      </w:r>
      <w:r w:rsidR="00953B18" w:rsidRPr="0026684F">
        <w:rPr>
          <w:rFonts w:ascii="Century Gothic" w:hAnsi="Century Gothic"/>
          <w:sz w:val="22"/>
        </w:rPr>
        <w:t xml:space="preserve">. </w:t>
      </w:r>
      <w:r w:rsidR="00CF31C2" w:rsidRPr="0026684F">
        <w:rPr>
          <w:rFonts w:ascii="Century Gothic" w:hAnsi="Century Gothic"/>
          <w:sz w:val="22"/>
        </w:rPr>
        <w:t xml:space="preserve">La consolidación de un ciclo de esta naturaleza tiene incidencia en la configuración </w:t>
      </w:r>
      <w:r w:rsidR="00A51453" w:rsidRPr="0026684F">
        <w:rPr>
          <w:rFonts w:ascii="Century Gothic" w:hAnsi="Century Gothic"/>
          <w:sz w:val="22"/>
        </w:rPr>
        <w:t xml:space="preserve">de la reincidencia no solo con ese delito, sino con otro tipo de conductas, como el </w:t>
      </w:r>
      <w:r w:rsidR="00D54009" w:rsidRPr="0026684F">
        <w:rPr>
          <w:rFonts w:ascii="Century Gothic" w:hAnsi="Century Gothic"/>
          <w:sz w:val="22"/>
        </w:rPr>
        <w:t>feminicidio</w:t>
      </w:r>
      <w:r w:rsidR="00A51453" w:rsidRPr="0026684F">
        <w:rPr>
          <w:rFonts w:ascii="Century Gothic" w:hAnsi="Century Gothic"/>
          <w:sz w:val="22"/>
        </w:rPr>
        <w:t xml:space="preserve">, consumadas en contra de los miembros del núcleo familiar. </w:t>
      </w:r>
      <w:r w:rsidR="00D54009" w:rsidRPr="0026684F">
        <w:rPr>
          <w:rFonts w:ascii="Century Gothic" w:hAnsi="Century Gothic"/>
          <w:sz w:val="22"/>
        </w:rPr>
        <w:t>Según las cifras de la Fiscalía General de la Nación,</w:t>
      </w:r>
      <w:r w:rsidR="000A313A" w:rsidRPr="0026684F">
        <w:rPr>
          <w:rFonts w:ascii="Century Gothic" w:hAnsi="Century Gothic"/>
          <w:sz w:val="22"/>
        </w:rPr>
        <w:t xml:space="preserve"> hay un número importante de casos de violencia intrafamiliar que terminan en los </w:t>
      </w:r>
      <w:r w:rsidR="000A313A" w:rsidRPr="0026684F">
        <w:rPr>
          <w:rFonts w:ascii="Century Gothic" w:hAnsi="Century Gothic"/>
          <w:sz w:val="22"/>
        </w:rPr>
        <w:lastRenderedPageBreak/>
        <w:t>deli</w:t>
      </w:r>
      <w:r w:rsidR="00487F03" w:rsidRPr="0026684F">
        <w:rPr>
          <w:rFonts w:ascii="Century Gothic" w:hAnsi="Century Gothic"/>
          <w:sz w:val="22"/>
        </w:rPr>
        <w:t xml:space="preserve">tos de homicidio y feminicidio, </w:t>
      </w:r>
      <w:r w:rsidR="005677F6" w:rsidRPr="0026684F">
        <w:rPr>
          <w:rFonts w:ascii="Century Gothic" w:hAnsi="Century Gothic"/>
          <w:sz w:val="22"/>
        </w:rPr>
        <w:t>desde 2010 se han presentado 2</w:t>
      </w:r>
      <w:r w:rsidR="006F157A" w:rsidRPr="0026684F">
        <w:rPr>
          <w:rFonts w:ascii="Century Gothic" w:hAnsi="Century Gothic"/>
          <w:sz w:val="22"/>
        </w:rPr>
        <w:t>.</w:t>
      </w:r>
      <w:r w:rsidR="005677F6" w:rsidRPr="0026684F">
        <w:rPr>
          <w:rFonts w:ascii="Century Gothic" w:hAnsi="Century Gothic"/>
          <w:sz w:val="22"/>
        </w:rPr>
        <w:t>402 casos en donde la víctima es una mujer, que corresponden al 63% del total de casos. E</w:t>
      </w:r>
      <w:r w:rsidR="00487F03" w:rsidRPr="0026684F">
        <w:rPr>
          <w:rFonts w:ascii="Century Gothic" w:hAnsi="Century Gothic"/>
          <w:sz w:val="22"/>
        </w:rPr>
        <w:t>n lo corrido del año van 246 casos de violencia intrafamiliar que terminaron con la vida de las víctimas,</w:t>
      </w:r>
      <w:r w:rsidR="00B17947" w:rsidRPr="0026684F">
        <w:rPr>
          <w:rFonts w:ascii="Century Gothic" w:hAnsi="Century Gothic"/>
          <w:sz w:val="22"/>
        </w:rPr>
        <w:t xml:space="preserve"> de los cuales 163 casos corresponden a víctimas mujeres</w:t>
      </w:r>
      <w:r w:rsidR="006F157A" w:rsidRPr="0026684F">
        <w:rPr>
          <w:rFonts w:ascii="Century Gothic" w:hAnsi="Century Gothic"/>
          <w:sz w:val="22"/>
        </w:rPr>
        <w:t>,</w:t>
      </w:r>
      <w:r w:rsidR="00487F03" w:rsidRPr="0026684F">
        <w:rPr>
          <w:rFonts w:ascii="Century Gothic" w:hAnsi="Century Gothic"/>
          <w:sz w:val="22"/>
        </w:rPr>
        <w:t xml:space="preserve"> tal como lo revela la siguiente gráfica. </w:t>
      </w:r>
    </w:p>
    <w:p w14:paraId="4B428F56" w14:textId="658F40B5" w:rsidR="00086F1D" w:rsidRPr="0026684F" w:rsidRDefault="00830A40" w:rsidP="00BF5660">
      <w:pPr>
        <w:rPr>
          <w:rFonts w:ascii="Century Gothic" w:hAnsi="Century Gothic"/>
          <w:sz w:val="22"/>
        </w:rPr>
      </w:pPr>
      <w:r w:rsidRPr="0026684F">
        <w:rPr>
          <w:rFonts w:ascii="Century Gothic" w:hAnsi="Century Gothic"/>
          <w:noProof/>
          <w:sz w:val="22"/>
          <w:lang w:eastAsia="es-CO"/>
        </w:rPr>
        <w:drawing>
          <wp:inline distT="0" distB="0" distL="0" distR="0" wp14:anchorId="43B25B16" wp14:editId="0C62D195">
            <wp:extent cx="5612130" cy="2590165"/>
            <wp:effectExtent l="0" t="0" r="7620" b="6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897026" w14:textId="222BBFF0" w:rsidR="00086F1D" w:rsidRPr="0026684F" w:rsidRDefault="00C67F47" w:rsidP="0067714A">
      <w:pPr>
        <w:jc w:val="center"/>
        <w:rPr>
          <w:rFonts w:ascii="Century Gothic" w:hAnsi="Century Gothic"/>
          <w:sz w:val="22"/>
        </w:rPr>
      </w:pPr>
      <w:r w:rsidRPr="0026684F">
        <w:rPr>
          <w:rFonts w:ascii="Century Gothic" w:hAnsi="Century Gothic"/>
          <w:b/>
          <w:sz w:val="22"/>
        </w:rPr>
        <w:t>Gráfica</w:t>
      </w:r>
      <w:r w:rsidR="0000505F" w:rsidRPr="0026684F">
        <w:rPr>
          <w:rFonts w:ascii="Century Gothic" w:hAnsi="Century Gothic"/>
          <w:b/>
          <w:sz w:val="22"/>
        </w:rPr>
        <w:t xml:space="preserve"> 5</w:t>
      </w:r>
      <w:r w:rsidRPr="0026684F">
        <w:rPr>
          <w:rFonts w:ascii="Century Gothic" w:hAnsi="Century Gothic"/>
          <w:b/>
          <w:sz w:val="22"/>
        </w:rPr>
        <w:t>.</w:t>
      </w:r>
      <w:r w:rsidR="006F157A" w:rsidRPr="0026684F">
        <w:rPr>
          <w:rFonts w:ascii="Century Gothic" w:hAnsi="Century Gothic"/>
          <w:sz w:val="22"/>
        </w:rPr>
        <w:t xml:space="preserve"> Casos de violencia intrafamiliar</w:t>
      </w:r>
      <w:r w:rsidR="0000505F" w:rsidRPr="0026684F">
        <w:rPr>
          <w:rFonts w:ascii="Century Gothic" w:hAnsi="Century Gothic"/>
          <w:sz w:val="22"/>
        </w:rPr>
        <w:t xml:space="preserve"> que </w:t>
      </w:r>
      <w:r w:rsidR="00B12C05" w:rsidRPr="0026684F">
        <w:rPr>
          <w:rFonts w:ascii="Century Gothic" w:hAnsi="Century Gothic"/>
          <w:sz w:val="22"/>
        </w:rPr>
        <w:t>terminaron</w:t>
      </w:r>
      <w:r w:rsidR="0000505F" w:rsidRPr="0026684F">
        <w:rPr>
          <w:rFonts w:ascii="Century Gothic" w:hAnsi="Century Gothic"/>
          <w:sz w:val="22"/>
        </w:rPr>
        <w:t xml:space="preserve"> en posterior muerte de la víctima desagregado por sexo (2010 – 2014)</w:t>
      </w:r>
      <w:r w:rsidR="00B12C05" w:rsidRPr="0026684F">
        <w:rPr>
          <w:rFonts w:ascii="Century Gothic" w:hAnsi="Century Gothic"/>
          <w:sz w:val="22"/>
        </w:rPr>
        <w:t>.</w:t>
      </w:r>
      <w:r w:rsidRPr="0026684F">
        <w:rPr>
          <w:rFonts w:ascii="Century Gothic" w:hAnsi="Century Gothic"/>
          <w:sz w:val="22"/>
        </w:rPr>
        <w:t xml:space="preserve"> </w:t>
      </w:r>
      <w:r w:rsidR="0000505F" w:rsidRPr="0026684F">
        <w:rPr>
          <w:rFonts w:ascii="Century Gothic" w:hAnsi="Century Gothic"/>
          <w:sz w:val="22"/>
        </w:rPr>
        <w:t>Fuente: Elaboración propia con datos SPOA remitidos el 1 de noviembre de 2018 por la Fiscalía.</w:t>
      </w:r>
      <w:r w:rsidR="0067714A" w:rsidRPr="0026684F">
        <w:rPr>
          <w:rFonts w:ascii="Century Gothic" w:hAnsi="Century Gothic"/>
          <w:sz w:val="22"/>
        </w:rPr>
        <w:t xml:space="preserve"> Desde 2010 hasta el 10 de octubre de 2018</w:t>
      </w:r>
    </w:p>
    <w:p w14:paraId="11A05F50" w14:textId="77777777" w:rsidR="005B5B41" w:rsidRPr="0026684F" w:rsidRDefault="005B5B41" w:rsidP="005B5B41">
      <w:pPr>
        <w:rPr>
          <w:rFonts w:ascii="Century Gothic" w:hAnsi="Century Gothic" w:cs="Times New Roman"/>
          <w:sz w:val="22"/>
        </w:rPr>
      </w:pPr>
      <w:r w:rsidRPr="0026684F">
        <w:rPr>
          <w:rFonts w:ascii="Century Gothic" w:hAnsi="Century Gothic"/>
          <w:sz w:val="22"/>
        </w:rPr>
        <w:t>Adicionalmente, e</w:t>
      </w:r>
      <w:r w:rsidRPr="0026684F">
        <w:rPr>
          <w:rFonts w:ascii="Century Gothic" w:hAnsi="Century Gothic" w:cs="Times New Roman"/>
          <w:sz w:val="22"/>
        </w:rPr>
        <w:t>l INML al evaluar el riesgo mortal de mujeres víctimas de violencia de pareja advirtió que durante el 2017 atendió 6.754 casos en los que 4.072 mujeres se encuentran en riesgo grave o extremo</w:t>
      </w:r>
      <w:r w:rsidRPr="0026684F">
        <w:rPr>
          <w:rStyle w:val="Refdenotaalpie"/>
          <w:rFonts w:ascii="Century Gothic" w:hAnsi="Century Gothic" w:cs="Times New Roman"/>
          <w:sz w:val="22"/>
        </w:rPr>
        <w:footnoteReference w:id="9"/>
      </w:r>
      <w:r w:rsidRPr="0026684F">
        <w:rPr>
          <w:rFonts w:ascii="Century Gothic" w:hAnsi="Century Gothic" w:cs="Times New Roman"/>
          <w:sz w:val="22"/>
        </w:rPr>
        <w:t>. Esto significa que las personas sometidas a distintas formas de violencia al interior de sus familias son susceptibles de sufrir otro tipo de agresiones en contra de su integridad que pueden terminar incluso con la muerte,</w:t>
      </w:r>
      <w:r w:rsidRPr="0026684F">
        <w:rPr>
          <w:rFonts w:ascii="Century Gothic" w:hAnsi="Century Gothic"/>
          <w:sz w:val="22"/>
        </w:rPr>
        <w:t xml:space="preserve"> aun cuando los involucrados han surtido un proceso de conciliación o compromiso. </w:t>
      </w:r>
    </w:p>
    <w:p w14:paraId="50753D21" w14:textId="20637446" w:rsidR="00086F1D" w:rsidRPr="0026684F" w:rsidRDefault="005B5B41" w:rsidP="006F157A">
      <w:pPr>
        <w:ind w:left="708" w:right="900"/>
        <w:rPr>
          <w:rFonts w:ascii="Century Gothic" w:hAnsi="Century Gothic"/>
          <w:sz w:val="22"/>
        </w:rPr>
      </w:pPr>
      <w:r w:rsidRPr="0026684F">
        <w:rPr>
          <w:rFonts w:ascii="Century Gothic" w:hAnsi="Century Gothic"/>
          <w:sz w:val="22"/>
        </w:rPr>
        <w:t xml:space="preserve">“Se observaron casos de reincidencia en la violencia intrafamiliar en parejas que ya habían pasado por procesos anteriores de conciliación y compromiso. En ellos se evidencia más que la ingenuidad en la valoración de los casos y la procura de preservar la unidad familiar, el afán de buscar conciliaciones y evacuar el gran volumen de procesos, la limitación misma de la intervención y el control sobre las conductas, dificultando severamente el freno a </w:t>
      </w:r>
      <w:r w:rsidRPr="0026684F">
        <w:rPr>
          <w:rFonts w:ascii="Century Gothic" w:hAnsi="Century Gothic"/>
          <w:sz w:val="22"/>
        </w:rPr>
        <w:lastRenderedPageBreak/>
        <w:t xml:space="preserve">la continua violación de derechos humanos en los hogares. El segundo grupo de acuerdos, compromisos y medidas, relacionado con los tratamientos reeducativos y terapéuticos, ha sido de gran importancia para muchas parejas y personas, y parece tener una gran efectividad en el mejoramiento de las actitudes cooperativas y menos agresivas, cuando existe voluntad y disposición de las personas para con el tratamiento. El hecho de escuchar otro lenguaje, hablar confidencialmente con un profesional que brinda un apoyo, y contar con un espacio de reflexión, entre otros, resulta muy significativo para muchas personas. No obstante, aunque en todos los casos es posible y recomendable aplicar los servicios de tratamiento y terapia que ofrecen distintas instituciones, </w:t>
      </w:r>
      <w:r w:rsidRPr="0026684F">
        <w:rPr>
          <w:rFonts w:ascii="Century Gothic" w:hAnsi="Century Gothic"/>
          <w:sz w:val="22"/>
          <w:u w:val="single"/>
        </w:rPr>
        <w:t>el alcance y efectividad de los tratamientos en sí mismos presentan límites para afectar los comportamientos y las relaciones violentas</w:t>
      </w:r>
      <w:r w:rsidRPr="0026684F">
        <w:rPr>
          <w:rFonts w:ascii="Century Gothic" w:hAnsi="Century Gothic"/>
          <w:sz w:val="22"/>
        </w:rPr>
        <w:t>”</w:t>
      </w:r>
      <w:r w:rsidRPr="0026684F">
        <w:rPr>
          <w:rStyle w:val="Refdenotaalpie"/>
          <w:rFonts w:ascii="Century Gothic" w:hAnsi="Century Gothic"/>
          <w:sz w:val="22"/>
        </w:rPr>
        <w:footnoteReference w:id="10"/>
      </w:r>
      <w:r w:rsidR="006F157A" w:rsidRPr="0026684F">
        <w:rPr>
          <w:rFonts w:ascii="Century Gothic" w:hAnsi="Century Gothic"/>
          <w:sz w:val="22"/>
        </w:rPr>
        <w:t>. (subrayas añadidas)</w:t>
      </w:r>
    </w:p>
    <w:p w14:paraId="3CB6F640" w14:textId="77777777" w:rsidR="00642805" w:rsidRPr="0026684F" w:rsidRDefault="00642805" w:rsidP="00642805">
      <w:pPr>
        <w:rPr>
          <w:rFonts w:ascii="Century Gothic" w:hAnsi="Century Gothic" w:cs="Times New Roman"/>
          <w:sz w:val="22"/>
        </w:rPr>
      </w:pPr>
      <w:r w:rsidRPr="0026684F">
        <w:rPr>
          <w:rFonts w:ascii="Century Gothic" w:hAnsi="Century Gothic" w:cs="Times New Roman"/>
          <w:sz w:val="22"/>
        </w:rPr>
        <w:t>La reincidencia en conductas de violencia intrafamiliar y en violencia en pareja ha sido estudiada en países como España. Según las cifras reportadas para el 2015 en ese país al menos 60 mujeres fueron presuntamente asesinadas por sus parejas o exparejas, un 11% más que las registradas para el 2014</w:t>
      </w:r>
      <w:r w:rsidRPr="0026684F">
        <w:rPr>
          <w:rStyle w:val="Refdenotaalpie"/>
          <w:rFonts w:ascii="Century Gothic" w:hAnsi="Century Gothic" w:cs="Times New Roman"/>
          <w:sz w:val="22"/>
        </w:rPr>
        <w:footnoteReference w:id="11"/>
      </w:r>
      <w:r w:rsidRPr="0026684F">
        <w:rPr>
          <w:rFonts w:ascii="Century Gothic" w:hAnsi="Century Gothic" w:cs="Times New Roman"/>
          <w:sz w:val="22"/>
        </w:rPr>
        <w:t xml:space="preserve">. Un estudio sobre los procesos de intervención efectiva a los agresores de sus parejas determinó que: </w:t>
      </w:r>
    </w:p>
    <w:p w14:paraId="5211D83B" w14:textId="2DFB0001" w:rsidR="004F7A6A" w:rsidRPr="0026684F" w:rsidRDefault="00642805" w:rsidP="006F157A">
      <w:pPr>
        <w:ind w:left="708" w:right="900"/>
        <w:rPr>
          <w:rFonts w:ascii="Century Gothic" w:hAnsi="Century Gothic" w:cs="Times New Roman"/>
          <w:sz w:val="22"/>
        </w:rPr>
      </w:pPr>
      <w:r w:rsidRPr="0026684F">
        <w:rPr>
          <w:rFonts w:ascii="Century Gothic" w:hAnsi="Century Gothic" w:cs="Times New Roman"/>
          <w:sz w:val="22"/>
        </w:rPr>
        <w:t>“</w:t>
      </w:r>
      <w:r w:rsidRPr="0026684F">
        <w:rPr>
          <w:rFonts w:ascii="Century Gothic" w:hAnsi="Century Gothic"/>
          <w:sz w:val="22"/>
        </w:rPr>
        <w:t>En lo referente a reincidencia en [violencia contra la pareja (VCP)], las cifras van desde el 8% hasta el 60%. Hilton, Harris, Popham y Lang (2010) cifran la presencia de nuevos cargos por cualquier delito en un 90% y por delitos violentos en un 61%. Sin embargo, en el 43% de los casos había cargos por violencia en los que se desconocía la relación entre víctima y agresor, por lo que sólo el 27% era claramente reincidente en VCP y el 14% claramente no reincidente. Recientemente, Lin et al. (2009) también han encontrado cifras de reincidencia general altas en un seguimiento a 3 meses: 58,6% para sujetos en tratamiento judicial y 45% para los que sólo contaban con una OPV (20% y 13,4% respectivamente para agresión física) denotando una mayor gravedad de los sujetos en tratamiento y, p</w:t>
      </w:r>
      <w:r w:rsidR="006F157A" w:rsidRPr="0026684F">
        <w:rPr>
          <w:rFonts w:ascii="Century Gothic" w:hAnsi="Century Gothic"/>
          <w:sz w:val="22"/>
        </w:rPr>
        <w:t>or ello, una mayor reincidencia</w:t>
      </w:r>
      <w:r w:rsidRPr="0026684F">
        <w:rPr>
          <w:rFonts w:ascii="Century Gothic" w:hAnsi="Century Gothic" w:cs="Times New Roman"/>
          <w:sz w:val="22"/>
        </w:rPr>
        <w:t>”</w:t>
      </w:r>
      <w:r w:rsidRPr="0026684F">
        <w:rPr>
          <w:rStyle w:val="Refdenotaalpie"/>
          <w:rFonts w:ascii="Century Gothic" w:hAnsi="Century Gothic" w:cs="Times New Roman"/>
          <w:sz w:val="22"/>
        </w:rPr>
        <w:footnoteReference w:id="12"/>
      </w:r>
    </w:p>
    <w:p w14:paraId="11A12741" w14:textId="77777777" w:rsidR="004F7A6A" w:rsidRPr="0026684F" w:rsidRDefault="004F7A6A" w:rsidP="004F7A6A">
      <w:pPr>
        <w:rPr>
          <w:rFonts w:ascii="Century Gothic" w:hAnsi="Century Gothic" w:cs="Times New Roman"/>
          <w:sz w:val="22"/>
        </w:rPr>
      </w:pPr>
      <w:r w:rsidRPr="0026684F">
        <w:rPr>
          <w:rFonts w:ascii="Century Gothic" w:hAnsi="Century Gothic" w:cs="Times New Roman"/>
          <w:sz w:val="22"/>
        </w:rPr>
        <w:lastRenderedPageBreak/>
        <w:t xml:space="preserve">Así pues la probabilidad de que un agresor reincida en conductas que afecten la integridad de otros miembros de su núcleo familiar es bastante alta, situación que requiere una intervención de las autoridades que desincentive la reiteración del delito de violencia intrafamiliar y de otros que representan una mayor lesividad para las víctimas. </w:t>
      </w:r>
    </w:p>
    <w:p w14:paraId="6E6B9797" w14:textId="77777777" w:rsidR="00931B8B" w:rsidRPr="0026684F" w:rsidRDefault="00743E9C" w:rsidP="00BB7316">
      <w:pPr>
        <w:pStyle w:val="Prrafodelista"/>
        <w:numPr>
          <w:ilvl w:val="2"/>
          <w:numId w:val="9"/>
        </w:numPr>
        <w:rPr>
          <w:rFonts w:ascii="Century Gothic" w:hAnsi="Century Gothic"/>
          <w:b/>
          <w:sz w:val="22"/>
        </w:rPr>
      </w:pPr>
      <w:r w:rsidRPr="0026684F">
        <w:rPr>
          <w:rFonts w:ascii="Century Gothic" w:hAnsi="Century Gothic"/>
          <w:b/>
          <w:sz w:val="22"/>
        </w:rPr>
        <w:t>La violencia intrafamiliar afecta de manera recurrente a poblaciones reconocidas como sujetos de especial protección constitucional</w:t>
      </w:r>
    </w:p>
    <w:p w14:paraId="30A377CA" w14:textId="77777777" w:rsidR="000D5ED8" w:rsidRPr="0026684F" w:rsidRDefault="006D1751" w:rsidP="001468BF">
      <w:pPr>
        <w:rPr>
          <w:rFonts w:ascii="Century Gothic" w:hAnsi="Century Gothic" w:cs="Times New Roman"/>
          <w:sz w:val="22"/>
        </w:rPr>
      </w:pPr>
      <w:r w:rsidRPr="0026684F">
        <w:rPr>
          <w:rFonts w:ascii="Century Gothic" w:hAnsi="Century Gothic" w:cs="Times New Roman"/>
          <w:sz w:val="22"/>
        </w:rPr>
        <w:t>Las personas son sometidas a distintos tipos de violencia al interior de las familias</w:t>
      </w:r>
      <w:r w:rsidR="008D57C9" w:rsidRPr="0026684F">
        <w:rPr>
          <w:rFonts w:ascii="Century Gothic" w:hAnsi="Century Gothic" w:cs="Times New Roman"/>
          <w:sz w:val="22"/>
        </w:rPr>
        <w:t xml:space="preserve">, pero los grupos </w:t>
      </w:r>
      <w:r w:rsidR="009F1577" w:rsidRPr="0026684F">
        <w:rPr>
          <w:rFonts w:ascii="Century Gothic" w:hAnsi="Century Gothic" w:cs="Times New Roman"/>
          <w:sz w:val="22"/>
        </w:rPr>
        <w:t>más</w:t>
      </w:r>
      <w:r w:rsidR="008D57C9" w:rsidRPr="0026684F">
        <w:rPr>
          <w:rFonts w:ascii="Century Gothic" w:hAnsi="Century Gothic" w:cs="Times New Roman"/>
          <w:sz w:val="22"/>
        </w:rPr>
        <w:t xml:space="preserve"> afectados corresponden a los grupos poblacionales </w:t>
      </w:r>
      <w:r w:rsidR="009F1577" w:rsidRPr="0026684F">
        <w:rPr>
          <w:rFonts w:ascii="Century Gothic" w:hAnsi="Century Gothic" w:cs="Times New Roman"/>
          <w:sz w:val="22"/>
        </w:rPr>
        <w:t>más</w:t>
      </w:r>
      <w:r w:rsidR="008D57C9" w:rsidRPr="0026684F">
        <w:rPr>
          <w:rFonts w:ascii="Century Gothic" w:hAnsi="Century Gothic" w:cs="Times New Roman"/>
          <w:sz w:val="22"/>
        </w:rPr>
        <w:t xml:space="preserve"> vulnerables</w:t>
      </w:r>
      <w:r w:rsidR="00B12D4C" w:rsidRPr="0026684F">
        <w:rPr>
          <w:rFonts w:ascii="Century Gothic" w:hAnsi="Century Gothic" w:cs="Times New Roman"/>
          <w:sz w:val="22"/>
        </w:rPr>
        <w:t xml:space="preserve"> como los menores de edad, las mujeres, las personas en condición de discapacidad y las personas mayores de 60 años. </w:t>
      </w:r>
      <w:r w:rsidR="000D5ED8" w:rsidRPr="0026684F">
        <w:rPr>
          <w:rFonts w:ascii="Century Gothic" w:hAnsi="Century Gothic" w:cs="Times New Roman"/>
          <w:sz w:val="22"/>
        </w:rPr>
        <w:t xml:space="preserve">Esto significa que las medidas a adoptar deben tener en cuenta las diferencias entre estos grupos poblacionales y los diversos enfoques que se requieren. </w:t>
      </w:r>
    </w:p>
    <w:p w14:paraId="0A3744A5" w14:textId="451172B3" w:rsidR="00243344" w:rsidRPr="0026684F" w:rsidRDefault="00C02DF8" w:rsidP="00243344">
      <w:pPr>
        <w:pStyle w:val="Sinespaciado"/>
        <w:rPr>
          <w:rFonts w:ascii="Century Gothic" w:hAnsi="Century Gothic" w:cs="Times New Roman"/>
          <w:sz w:val="22"/>
        </w:rPr>
      </w:pPr>
      <w:r w:rsidRPr="0026684F">
        <w:rPr>
          <w:rFonts w:ascii="Century Gothic" w:hAnsi="Century Gothic"/>
          <w:sz w:val="22"/>
        </w:rPr>
        <w:t>Según</w:t>
      </w:r>
      <w:r w:rsidR="003C11A5" w:rsidRPr="0026684F">
        <w:rPr>
          <w:rFonts w:ascii="Century Gothic" w:hAnsi="Century Gothic"/>
          <w:sz w:val="22"/>
        </w:rPr>
        <w:t xml:space="preserve"> reportes </w:t>
      </w:r>
      <w:r w:rsidR="00243344" w:rsidRPr="0026684F">
        <w:rPr>
          <w:rFonts w:ascii="Century Gothic" w:hAnsi="Century Gothic" w:cs="Times New Roman"/>
          <w:sz w:val="22"/>
        </w:rPr>
        <w:t xml:space="preserve">del Instituto Nacional de Medicina Legal y Ciencias Forenses para el año 2017 </w:t>
      </w:r>
      <w:r w:rsidR="001A0643" w:rsidRPr="0026684F">
        <w:rPr>
          <w:rFonts w:ascii="Century Gothic" w:hAnsi="Century Gothic" w:cs="Times New Roman"/>
          <w:sz w:val="22"/>
        </w:rPr>
        <w:t xml:space="preserve">señalan que </w:t>
      </w:r>
      <w:r w:rsidR="00243344" w:rsidRPr="0026684F">
        <w:rPr>
          <w:rFonts w:ascii="Century Gothic" w:hAnsi="Century Gothic" w:cs="Times New Roman"/>
          <w:sz w:val="22"/>
        </w:rPr>
        <w:t xml:space="preserve">dicha institución atendió 27.538 casos de violencia intrafamiliar, </w:t>
      </w:r>
      <w:r w:rsidR="006F157A" w:rsidRPr="0026684F">
        <w:rPr>
          <w:rFonts w:ascii="Century Gothic" w:hAnsi="Century Gothic" w:cs="Times New Roman"/>
          <w:sz w:val="22"/>
        </w:rPr>
        <w:t>de los cuales 16.463 casos se cometieron en contra de mujeres, esto es el 59,8%</w:t>
      </w:r>
      <w:r w:rsidR="00F7071B" w:rsidRPr="0026684F">
        <w:rPr>
          <w:rFonts w:ascii="Century Gothic" w:hAnsi="Century Gothic" w:cs="Times New Roman"/>
          <w:sz w:val="22"/>
        </w:rPr>
        <w:t xml:space="preserve"> de los casos</w:t>
      </w:r>
      <w:r w:rsidR="006F157A" w:rsidRPr="0026684F">
        <w:rPr>
          <w:rFonts w:ascii="Century Gothic" w:hAnsi="Century Gothic" w:cs="Times New Roman"/>
          <w:sz w:val="22"/>
        </w:rPr>
        <w:t xml:space="preserve">, y </w:t>
      </w:r>
      <w:r w:rsidR="00243344" w:rsidRPr="0026684F">
        <w:rPr>
          <w:rFonts w:ascii="Century Gothic" w:hAnsi="Century Gothic" w:cs="Times New Roman"/>
          <w:sz w:val="22"/>
        </w:rPr>
        <w:t>distribuidos de la siguiente manera</w:t>
      </w:r>
      <w:r w:rsidR="00243344" w:rsidRPr="0026684F">
        <w:rPr>
          <w:rStyle w:val="Refdenotaalpie"/>
          <w:rFonts w:ascii="Century Gothic" w:hAnsi="Century Gothic" w:cs="Times New Roman"/>
          <w:sz w:val="22"/>
        </w:rPr>
        <w:footnoteReference w:id="13"/>
      </w:r>
      <w:r w:rsidR="00243344" w:rsidRPr="0026684F">
        <w:rPr>
          <w:rFonts w:ascii="Century Gothic" w:hAnsi="Century Gothic" w:cs="Times New Roman"/>
          <w:sz w:val="22"/>
        </w:rPr>
        <w:t xml:space="preserve">: </w:t>
      </w:r>
    </w:p>
    <w:p w14:paraId="055133A1" w14:textId="77777777" w:rsidR="00243344" w:rsidRPr="0026684F" w:rsidRDefault="00243344" w:rsidP="00243344">
      <w:pPr>
        <w:pStyle w:val="Sinespaciado"/>
        <w:rPr>
          <w:rFonts w:ascii="Century Gothic" w:hAnsi="Century Gothic" w:cs="Times New Roman"/>
          <w:sz w:val="22"/>
        </w:rPr>
      </w:pPr>
    </w:p>
    <w:p w14:paraId="1736581F" w14:textId="69001F84" w:rsidR="00243344" w:rsidRPr="0026684F" w:rsidRDefault="00F7071B" w:rsidP="00243344">
      <w:pPr>
        <w:pStyle w:val="Sinespaciado"/>
        <w:numPr>
          <w:ilvl w:val="0"/>
          <w:numId w:val="5"/>
        </w:numPr>
        <w:rPr>
          <w:rFonts w:ascii="Century Gothic" w:hAnsi="Century Gothic"/>
          <w:sz w:val="22"/>
        </w:rPr>
      </w:pPr>
      <w:r w:rsidRPr="0026684F">
        <w:rPr>
          <w:rFonts w:ascii="Century Gothic" w:hAnsi="Century Gothic"/>
          <w:sz w:val="22"/>
        </w:rPr>
        <w:t>En contra de</w:t>
      </w:r>
      <w:r w:rsidR="00243344" w:rsidRPr="0026684F">
        <w:rPr>
          <w:rFonts w:ascii="Century Gothic" w:hAnsi="Century Gothic"/>
          <w:sz w:val="22"/>
        </w:rPr>
        <w:t xml:space="preserve"> niños, las niñas y los adolescentes</w:t>
      </w:r>
      <w:r w:rsidR="00243344" w:rsidRPr="0026684F">
        <w:rPr>
          <w:rStyle w:val="Refdenotaalpie"/>
          <w:rFonts w:ascii="Century Gothic" w:hAnsi="Century Gothic"/>
          <w:sz w:val="22"/>
        </w:rPr>
        <w:footnoteReference w:id="14"/>
      </w:r>
      <w:r w:rsidR="00243344" w:rsidRPr="0026684F">
        <w:rPr>
          <w:rFonts w:ascii="Century Gothic" w:hAnsi="Century Gothic"/>
          <w:sz w:val="22"/>
        </w:rPr>
        <w:t xml:space="preserve"> fueron reportados 10.385, que corresponden al 37,7%. </w:t>
      </w:r>
    </w:p>
    <w:p w14:paraId="1ADF4C52" w14:textId="21108269" w:rsidR="00243344" w:rsidRPr="0026684F" w:rsidRDefault="00F7071B" w:rsidP="00243344">
      <w:pPr>
        <w:pStyle w:val="Sinespaciado"/>
        <w:numPr>
          <w:ilvl w:val="0"/>
          <w:numId w:val="5"/>
        </w:numPr>
        <w:rPr>
          <w:rFonts w:ascii="Century Gothic" w:hAnsi="Century Gothic"/>
          <w:sz w:val="22"/>
        </w:rPr>
      </w:pPr>
      <w:r w:rsidRPr="0026684F">
        <w:rPr>
          <w:rFonts w:ascii="Century Gothic" w:hAnsi="Century Gothic"/>
          <w:sz w:val="22"/>
        </w:rPr>
        <w:t>E</w:t>
      </w:r>
      <w:r w:rsidR="00243344" w:rsidRPr="0026684F">
        <w:rPr>
          <w:rFonts w:ascii="Century Gothic" w:hAnsi="Century Gothic"/>
          <w:sz w:val="22"/>
        </w:rPr>
        <w:t xml:space="preserve">n contra del adulto mayor fueron reportados 1.944, que corresponden al 7,1%. </w:t>
      </w:r>
    </w:p>
    <w:p w14:paraId="037F9BF7" w14:textId="368728A0" w:rsidR="00243344" w:rsidRPr="0026684F" w:rsidRDefault="00F7071B" w:rsidP="00243344">
      <w:pPr>
        <w:pStyle w:val="Sinespaciado"/>
        <w:numPr>
          <w:ilvl w:val="0"/>
          <w:numId w:val="5"/>
        </w:numPr>
        <w:rPr>
          <w:rFonts w:ascii="Century Gothic" w:hAnsi="Century Gothic"/>
          <w:sz w:val="22"/>
        </w:rPr>
      </w:pPr>
      <w:r w:rsidRPr="0026684F">
        <w:rPr>
          <w:rFonts w:ascii="Century Gothic" w:hAnsi="Century Gothic"/>
          <w:sz w:val="22"/>
        </w:rPr>
        <w:t>En contra de otro tipo de familiar</w:t>
      </w:r>
      <w:r w:rsidR="00243344" w:rsidRPr="0026684F">
        <w:rPr>
          <w:rFonts w:ascii="Century Gothic" w:hAnsi="Century Gothic"/>
          <w:sz w:val="22"/>
        </w:rPr>
        <w:t xml:space="preserve"> fueron reportados 15.209, que corresponden al 55,2%. </w:t>
      </w:r>
    </w:p>
    <w:p w14:paraId="4F0F4599" w14:textId="35113B08" w:rsidR="001468BF" w:rsidRPr="0026684F" w:rsidRDefault="00965EF9" w:rsidP="001468BF">
      <w:pPr>
        <w:rPr>
          <w:rFonts w:ascii="Century Gothic" w:hAnsi="Century Gothic" w:cs="Times New Roman"/>
          <w:sz w:val="22"/>
        </w:rPr>
      </w:pPr>
      <w:r w:rsidRPr="0026684F">
        <w:rPr>
          <w:rFonts w:ascii="Century Gothic" w:hAnsi="Century Gothic"/>
          <w:sz w:val="22"/>
        </w:rPr>
        <w:t>En materia de género, t</w:t>
      </w:r>
      <w:r w:rsidR="001468BF" w:rsidRPr="0026684F">
        <w:rPr>
          <w:rFonts w:ascii="Century Gothic" w:hAnsi="Century Gothic"/>
          <w:sz w:val="22"/>
        </w:rPr>
        <w:t>al y como lo señalaron algunas teóricas, para abordar de manera integral</w:t>
      </w:r>
      <w:r w:rsidRPr="0026684F">
        <w:rPr>
          <w:rFonts w:ascii="Century Gothic" w:hAnsi="Century Gothic"/>
          <w:sz w:val="22"/>
        </w:rPr>
        <w:t xml:space="preserve"> el fenómeno de la violencia intrafamiliar</w:t>
      </w:r>
      <w:r w:rsidR="001468BF" w:rsidRPr="0026684F">
        <w:rPr>
          <w:rFonts w:ascii="Century Gothic" w:hAnsi="Century Gothic"/>
          <w:sz w:val="22"/>
        </w:rPr>
        <w:t xml:space="preserve"> es necesario incluir los casos de violencia ocurrida en pareja que tienen lugar en contextos distintos al de la convivencia o que están </w:t>
      </w:r>
      <w:r w:rsidR="00575D02" w:rsidRPr="0026684F">
        <w:rPr>
          <w:rFonts w:ascii="Century Gothic" w:hAnsi="Century Gothic"/>
          <w:sz w:val="22"/>
        </w:rPr>
        <w:t>vinculados</w:t>
      </w:r>
      <w:r w:rsidR="001468BF" w:rsidRPr="0026684F">
        <w:rPr>
          <w:rFonts w:ascii="Century Gothic" w:hAnsi="Century Gothic"/>
          <w:sz w:val="22"/>
        </w:rPr>
        <w:t xml:space="preserve"> con una relación sentimental que terminó, es decir la violencia perpetrada por exparejas</w:t>
      </w:r>
      <w:r w:rsidR="001468BF" w:rsidRPr="0026684F">
        <w:rPr>
          <w:rStyle w:val="Refdenotaalpie"/>
          <w:rFonts w:ascii="Century Gothic" w:hAnsi="Century Gothic"/>
          <w:sz w:val="22"/>
        </w:rPr>
        <w:footnoteReference w:id="15"/>
      </w:r>
      <w:r w:rsidR="001468BF" w:rsidRPr="0026684F">
        <w:rPr>
          <w:rFonts w:ascii="Century Gothic" w:hAnsi="Century Gothic"/>
          <w:sz w:val="22"/>
        </w:rPr>
        <w:t xml:space="preserve">. Esta dinámica de vulneración </w:t>
      </w:r>
      <w:r w:rsidR="001468BF" w:rsidRPr="0026684F">
        <w:rPr>
          <w:rFonts w:ascii="Century Gothic" w:hAnsi="Century Gothic"/>
          <w:sz w:val="22"/>
        </w:rPr>
        <w:lastRenderedPageBreak/>
        <w:t>hace parte del análisis de la violencia en pareja y su importancia radica en la posibilidad de predecir la violencia futura</w:t>
      </w:r>
      <w:r w:rsidR="001468BF" w:rsidRPr="0026684F">
        <w:rPr>
          <w:rStyle w:val="Refdenotaalpie"/>
          <w:rFonts w:ascii="Century Gothic" w:hAnsi="Century Gothic"/>
          <w:sz w:val="22"/>
        </w:rPr>
        <w:footnoteReference w:id="16"/>
      </w:r>
      <w:r w:rsidR="001468BF" w:rsidRPr="0026684F">
        <w:rPr>
          <w:rFonts w:ascii="Century Gothic" w:hAnsi="Century Gothic"/>
          <w:sz w:val="22"/>
        </w:rPr>
        <w:t>, de manera que sea posible prevenir nuevas afectaciones a la víctima, que puedan llegar a ma</w:t>
      </w:r>
      <w:r w:rsidR="00F7071B" w:rsidRPr="0026684F">
        <w:rPr>
          <w:rFonts w:ascii="Century Gothic" w:hAnsi="Century Gothic"/>
          <w:sz w:val="22"/>
        </w:rPr>
        <w:t>terializar casos de feminicidio</w:t>
      </w:r>
      <w:r w:rsidR="001468BF" w:rsidRPr="0026684F">
        <w:rPr>
          <w:rFonts w:ascii="Century Gothic" w:hAnsi="Century Gothic"/>
          <w:sz w:val="22"/>
        </w:rPr>
        <w:t xml:space="preserve">. Para el año 2017 fueron reportados 50.072 casos </w:t>
      </w:r>
      <w:r w:rsidR="001C3281" w:rsidRPr="0026684F">
        <w:rPr>
          <w:rFonts w:ascii="Century Gothic" w:hAnsi="Century Gothic"/>
          <w:sz w:val="22"/>
        </w:rPr>
        <w:t>de v</w:t>
      </w:r>
      <w:r w:rsidR="000258D4" w:rsidRPr="0026684F">
        <w:rPr>
          <w:rFonts w:ascii="Century Gothic" w:hAnsi="Century Gothic"/>
          <w:sz w:val="22"/>
        </w:rPr>
        <w:t>iolencia en parejas o exparejas</w:t>
      </w:r>
      <w:r w:rsidR="001468BF" w:rsidRPr="0026684F">
        <w:rPr>
          <w:rFonts w:ascii="Century Gothic" w:hAnsi="Century Gothic"/>
          <w:sz w:val="22"/>
        </w:rPr>
        <w:t>, de los cuales 86% fueron cometidos en contra de mujeres</w:t>
      </w:r>
      <w:r w:rsidR="001468BF" w:rsidRPr="0026684F">
        <w:rPr>
          <w:rStyle w:val="Refdenotaalpie"/>
          <w:rFonts w:ascii="Century Gothic" w:hAnsi="Century Gothic" w:cs="Times New Roman"/>
          <w:sz w:val="22"/>
        </w:rPr>
        <w:footnoteReference w:id="17"/>
      </w:r>
      <w:r w:rsidR="001468BF" w:rsidRPr="0026684F">
        <w:rPr>
          <w:rFonts w:ascii="Century Gothic" w:hAnsi="Century Gothic" w:cs="Times New Roman"/>
          <w:sz w:val="22"/>
        </w:rPr>
        <w:t>.</w:t>
      </w:r>
      <w:r w:rsidR="00575D02" w:rsidRPr="0026684F">
        <w:rPr>
          <w:rFonts w:ascii="Century Gothic" w:hAnsi="Century Gothic" w:cs="Times New Roman"/>
          <w:sz w:val="22"/>
        </w:rPr>
        <w:t xml:space="preserve"> </w:t>
      </w:r>
    </w:p>
    <w:p w14:paraId="17EDCD09" w14:textId="77777777" w:rsidR="00575D02" w:rsidRPr="0026684F" w:rsidRDefault="00575D02" w:rsidP="001468BF">
      <w:pPr>
        <w:rPr>
          <w:rFonts w:ascii="Century Gothic" w:hAnsi="Century Gothic" w:cs="Times New Roman"/>
          <w:sz w:val="22"/>
        </w:rPr>
      </w:pPr>
      <w:r w:rsidRPr="0026684F">
        <w:rPr>
          <w:rFonts w:ascii="Century Gothic" w:hAnsi="Century Gothic" w:cs="Times New Roman"/>
          <w:sz w:val="22"/>
        </w:rPr>
        <w:t>La vulnerabilidad de las mujer</w:t>
      </w:r>
      <w:r w:rsidR="00F049A2" w:rsidRPr="0026684F">
        <w:rPr>
          <w:rFonts w:ascii="Century Gothic" w:hAnsi="Century Gothic" w:cs="Times New Roman"/>
          <w:sz w:val="22"/>
        </w:rPr>
        <w:t xml:space="preserve">es </w:t>
      </w:r>
      <w:r w:rsidR="003D5DB0" w:rsidRPr="0026684F">
        <w:rPr>
          <w:rFonts w:ascii="Century Gothic" w:hAnsi="Century Gothic" w:cs="Times New Roman"/>
          <w:sz w:val="22"/>
        </w:rPr>
        <w:t>al interior de sus familias y en el contexto de pareja</w:t>
      </w:r>
      <w:r w:rsidR="00F049A2" w:rsidRPr="0026684F">
        <w:rPr>
          <w:rFonts w:ascii="Century Gothic" w:hAnsi="Century Gothic" w:cs="Times New Roman"/>
          <w:sz w:val="22"/>
        </w:rPr>
        <w:t xml:space="preserve"> es evidente. </w:t>
      </w:r>
      <w:r w:rsidR="003D5DB0" w:rsidRPr="0026684F">
        <w:rPr>
          <w:rFonts w:ascii="Century Gothic" w:hAnsi="Century Gothic" w:cs="Times New Roman"/>
          <w:sz w:val="22"/>
        </w:rPr>
        <w:t xml:space="preserve">En </w:t>
      </w:r>
      <w:r w:rsidR="00FF7F3C" w:rsidRPr="0026684F">
        <w:rPr>
          <w:rFonts w:ascii="Century Gothic" w:hAnsi="Century Gothic" w:cs="Times New Roman"/>
          <w:sz w:val="22"/>
        </w:rPr>
        <w:t>el 43% de</w:t>
      </w:r>
      <w:r w:rsidR="003D5DB0" w:rsidRPr="0026684F">
        <w:rPr>
          <w:rFonts w:ascii="Century Gothic" w:hAnsi="Century Gothic" w:cs="Times New Roman"/>
          <w:sz w:val="22"/>
        </w:rPr>
        <w:t xml:space="preserve"> los casos de violencia intrafamiliar las mujeres so</w:t>
      </w:r>
      <w:r w:rsidR="003A413D" w:rsidRPr="0026684F">
        <w:rPr>
          <w:rFonts w:ascii="Century Gothic" w:hAnsi="Century Gothic" w:cs="Times New Roman"/>
          <w:sz w:val="22"/>
        </w:rPr>
        <w:t>n víctimas de las conductas, mientras</w:t>
      </w:r>
      <w:r w:rsidR="000D64F7" w:rsidRPr="0026684F">
        <w:rPr>
          <w:rFonts w:ascii="Century Gothic" w:hAnsi="Century Gothic" w:cs="Times New Roman"/>
          <w:sz w:val="22"/>
        </w:rPr>
        <w:t xml:space="preserve"> que sus agresores son hombres, como lo evidencia la siguiente gráfica. </w:t>
      </w:r>
    </w:p>
    <w:p w14:paraId="18DF8C91" w14:textId="77777777" w:rsidR="000258D4" w:rsidRPr="0026684F" w:rsidRDefault="000258D4" w:rsidP="001468BF">
      <w:pPr>
        <w:rPr>
          <w:rFonts w:ascii="Century Gothic" w:hAnsi="Century Gothic"/>
          <w:sz w:val="22"/>
        </w:rPr>
      </w:pPr>
    </w:p>
    <w:p w14:paraId="5320564A" w14:textId="052D9928" w:rsidR="000258D4" w:rsidRPr="0026684F" w:rsidRDefault="006D1854" w:rsidP="000258D4">
      <w:pPr>
        <w:jc w:val="center"/>
        <w:rPr>
          <w:rFonts w:ascii="Century Gothic" w:hAnsi="Century Gothic"/>
          <w:sz w:val="22"/>
        </w:rPr>
      </w:pPr>
      <w:r w:rsidRPr="0026684F">
        <w:rPr>
          <w:rFonts w:ascii="Century Gothic" w:hAnsi="Century Gothic"/>
          <w:noProof/>
          <w:sz w:val="22"/>
          <w:lang w:eastAsia="es-CO"/>
        </w:rPr>
        <w:drawing>
          <wp:inline distT="0" distB="0" distL="0" distR="0" wp14:anchorId="4159455C" wp14:editId="33E8EA3F">
            <wp:extent cx="5676181" cy="2777706"/>
            <wp:effectExtent l="0" t="0" r="1270" b="381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9B36E4" w14:textId="5774C11B" w:rsidR="001468BF" w:rsidRPr="0026684F" w:rsidRDefault="0039699A" w:rsidP="00400DD9">
      <w:pPr>
        <w:pStyle w:val="Sinespaciado"/>
        <w:jc w:val="center"/>
        <w:rPr>
          <w:rFonts w:ascii="Century Gothic" w:hAnsi="Century Gothic" w:cs="Times New Roman"/>
          <w:sz w:val="22"/>
        </w:rPr>
      </w:pPr>
      <w:r w:rsidRPr="0026684F">
        <w:rPr>
          <w:rFonts w:ascii="Century Gothic" w:hAnsi="Century Gothic"/>
          <w:b/>
          <w:sz w:val="22"/>
        </w:rPr>
        <w:t xml:space="preserve">Gráfico </w:t>
      </w:r>
      <w:r w:rsidR="00AC4289">
        <w:rPr>
          <w:rFonts w:ascii="Century Gothic" w:hAnsi="Century Gothic"/>
          <w:b/>
          <w:sz w:val="22"/>
        </w:rPr>
        <w:t>6</w:t>
      </w:r>
      <w:r w:rsidRPr="0026684F">
        <w:rPr>
          <w:rFonts w:ascii="Century Gothic" w:hAnsi="Century Gothic"/>
          <w:b/>
          <w:sz w:val="22"/>
        </w:rPr>
        <w:t>.</w:t>
      </w:r>
      <w:r w:rsidRPr="0026684F">
        <w:rPr>
          <w:rFonts w:ascii="Century Gothic" w:hAnsi="Century Gothic"/>
          <w:sz w:val="22"/>
        </w:rPr>
        <w:t xml:space="preserve"> Cantidad de casos de VIF por sexo y por tipo de vinculación (2010 – 2018). </w:t>
      </w:r>
      <w:r w:rsidR="008964E0" w:rsidRPr="0026684F">
        <w:rPr>
          <w:rFonts w:ascii="Century Gothic" w:hAnsi="Century Gothic"/>
          <w:sz w:val="22"/>
        </w:rPr>
        <w:t>Fuente: Elaboración propia con datos SPOA remitidos el 1 de noviembre de 2018 por la Fiscalía</w:t>
      </w:r>
      <w:r w:rsidR="00F7071B" w:rsidRPr="0026684F">
        <w:rPr>
          <w:rFonts w:ascii="Century Gothic" w:hAnsi="Century Gothic"/>
          <w:sz w:val="22"/>
        </w:rPr>
        <w:t xml:space="preserve"> General de la Nación</w:t>
      </w:r>
      <w:r w:rsidR="008964E0" w:rsidRPr="0026684F">
        <w:rPr>
          <w:rFonts w:ascii="Century Gothic" w:hAnsi="Century Gothic"/>
          <w:sz w:val="22"/>
        </w:rPr>
        <w:t>.</w:t>
      </w:r>
      <w:r w:rsidR="006D1854" w:rsidRPr="0026684F">
        <w:rPr>
          <w:rFonts w:ascii="Century Gothic" w:hAnsi="Century Gothic"/>
          <w:sz w:val="22"/>
        </w:rPr>
        <w:t xml:space="preserve"> No se tienen en cuenta los casos que sin clasificación</w:t>
      </w:r>
      <w:r w:rsidR="0067714A" w:rsidRPr="0026684F">
        <w:rPr>
          <w:rFonts w:ascii="Century Gothic" w:hAnsi="Century Gothic"/>
          <w:sz w:val="22"/>
        </w:rPr>
        <w:t>. Desde 2010 hasta el 10 de octubre de 2018</w:t>
      </w:r>
    </w:p>
    <w:p w14:paraId="4F9592C8" w14:textId="77777777" w:rsidR="001468BF" w:rsidRPr="0026684F" w:rsidRDefault="001468BF" w:rsidP="006D1751">
      <w:pPr>
        <w:pStyle w:val="Sinespaciado"/>
        <w:rPr>
          <w:rFonts w:ascii="Century Gothic" w:hAnsi="Century Gothic" w:cs="Times New Roman"/>
          <w:sz w:val="22"/>
        </w:rPr>
      </w:pPr>
    </w:p>
    <w:p w14:paraId="382CE736" w14:textId="035A75B7" w:rsidR="00A4776D" w:rsidRPr="0026684F" w:rsidRDefault="00A4776D" w:rsidP="00735AF2">
      <w:pPr>
        <w:pStyle w:val="Sinespaciado"/>
        <w:rPr>
          <w:rFonts w:ascii="Century Gothic" w:hAnsi="Century Gothic" w:cs="Times New Roman"/>
          <w:sz w:val="22"/>
        </w:rPr>
      </w:pPr>
      <w:r w:rsidRPr="0026684F">
        <w:rPr>
          <w:rFonts w:ascii="Century Gothic" w:hAnsi="Century Gothic"/>
          <w:sz w:val="22"/>
        </w:rPr>
        <w:lastRenderedPageBreak/>
        <w:t xml:space="preserve">En Colombia las mujeres son sometidas a distintas formas de violencia por parte de sus ex parejas. Cada vez son más los casos que reúnen estas características. El año pasado </w:t>
      </w:r>
      <w:r w:rsidR="006D1854" w:rsidRPr="0026684F">
        <w:rPr>
          <w:rFonts w:ascii="Century Gothic" w:hAnsi="Century Gothic"/>
          <w:sz w:val="22"/>
        </w:rPr>
        <w:t>el 42% de los casos registrados por violencia intrafamiliar tienen como agresor identificado a una expareja o exesposo.</w:t>
      </w:r>
    </w:p>
    <w:p w14:paraId="2DAED351" w14:textId="77777777" w:rsidR="00A4776D" w:rsidRPr="0026684F" w:rsidRDefault="00A4776D" w:rsidP="00735AF2">
      <w:pPr>
        <w:pStyle w:val="Sinespaciado"/>
        <w:rPr>
          <w:rFonts w:ascii="Century Gothic" w:hAnsi="Century Gothic" w:cs="Times New Roman"/>
          <w:sz w:val="22"/>
        </w:rPr>
      </w:pPr>
    </w:p>
    <w:p w14:paraId="5F42BA33" w14:textId="77777777" w:rsidR="006D1751" w:rsidRPr="0026684F" w:rsidRDefault="00735AF2" w:rsidP="00735AF2">
      <w:pPr>
        <w:pStyle w:val="Sinespaciado"/>
        <w:rPr>
          <w:rFonts w:ascii="Century Gothic" w:hAnsi="Century Gothic" w:cs="Times New Roman"/>
          <w:sz w:val="22"/>
        </w:rPr>
      </w:pPr>
      <w:r w:rsidRPr="0026684F">
        <w:rPr>
          <w:rFonts w:ascii="Century Gothic" w:hAnsi="Century Gothic" w:cs="Times New Roman"/>
          <w:sz w:val="22"/>
        </w:rPr>
        <w:t xml:space="preserve">Respecto de la violencia intrafamiliar en contra de niños, niñas y adolescentes es importante señalar que el 78.4% de los </w:t>
      </w:r>
      <w:r w:rsidRPr="0026684F">
        <w:rPr>
          <w:rFonts w:ascii="Century Gothic" w:hAnsi="Century Gothic"/>
          <w:sz w:val="22"/>
        </w:rPr>
        <w:t xml:space="preserve">10.385 casos atendidos por el INML en 2017 </w:t>
      </w:r>
      <w:r w:rsidRPr="0026684F">
        <w:rPr>
          <w:rFonts w:ascii="Century Gothic" w:hAnsi="Century Gothic" w:cs="Times New Roman"/>
          <w:sz w:val="22"/>
        </w:rPr>
        <w:t>correspondieron a conductas violentas ocurridas</w:t>
      </w:r>
      <w:r w:rsidR="006D1751" w:rsidRPr="0026684F">
        <w:rPr>
          <w:rFonts w:ascii="Century Gothic" w:hAnsi="Century Gothic" w:cs="Times New Roman"/>
          <w:sz w:val="22"/>
        </w:rPr>
        <w:t xml:space="preserve"> al interior de sus viviendas</w:t>
      </w:r>
      <w:r w:rsidR="006D1751" w:rsidRPr="0026684F">
        <w:rPr>
          <w:rStyle w:val="Refdenotaalpie"/>
          <w:rFonts w:ascii="Century Gothic" w:hAnsi="Century Gothic" w:cs="Times New Roman"/>
          <w:sz w:val="22"/>
        </w:rPr>
        <w:footnoteReference w:id="18"/>
      </w:r>
      <w:r w:rsidR="00086A88" w:rsidRPr="0026684F">
        <w:rPr>
          <w:rFonts w:ascii="Century Gothic" w:hAnsi="Century Gothic" w:cs="Times New Roman"/>
          <w:sz w:val="22"/>
        </w:rPr>
        <w:t xml:space="preserve">. Es decir, </w:t>
      </w:r>
      <w:r w:rsidR="006D1751" w:rsidRPr="0026684F">
        <w:rPr>
          <w:rFonts w:ascii="Century Gothic" w:hAnsi="Century Gothic" w:cs="Times New Roman"/>
          <w:sz w:val="22"/>
        </w:rPr>
        <w:t xml:space="preserve">en lugares en los que no hay testigos que puedan dar cuenta de la materialidad de las conductas. </w:t>
      </w:r>
      <w:r w:rsidR="00086A88" w:rsidRPr="0026684F">
        <w:rPr>
          <w:rFonts w:ascii="Century Gothic" w:hAnsi="Century Gothic" w:cs="Times New Roman"/>
          <w:sz w:val="22"/>
        </w:rPr>
        <w:t>Este número importante de casos requiere una serie de medidas especiales que garanticen la judicialización efectiva</w:t>
      </w:r>
      <w:r w:rsidR="00BC1AB2" w:rsidRPr="0026684F">
        <w:rPr>
          <w:rFonts w:ascii="Century Gothic" w:hAnsi="Century Gothic" w:cs="Times New Roman"/>
          <w:sz w:val="22"/>
        </w:rPr>
        <w:t xml:space="preserve"> de las conductas a pesar de las dificultades probatorias que puedan presentarse. </w:t>
      </w:r>
    </w:p>
    <w:p w14:paraId="1DEE16D0" w14:textId="4D9CC6D0" w:rsidR="00CC2ACB" w:rsidRPr="0026684F" w:rsidRDefault="000673FD" w:rsidP="00F043C0">
      <w:pPr>
        <w:rPr>
          <w:rFonts w:ascii="Century Gothic" w:hAnsi="Century Gothic"/>
          <w:sz w:val="22"/>
        </w:rPr>
      </w:pPr>
      <w:r w:rsidRPr="0026684F">
        <w:rPr>
          <w:rFonts w:ascii="Century Gothic" w:hAnsi="Century Gothic"/>
          <w:sz w:val="22"/>
        </w:rPr>
        <w:t xml:space="preserve">La importante correlación entre la conducta de violencia intrafamiliar y las poblaciones vulnerables permiten advertir </w:t>
      </w:r>
      <w:r w:rsidR="0085248F" w:rsidRPr="0026684F">
        <w:rPr>
          <w:rFonts w:ascii="Century Gothic" w:hAnsi="Century Gothic"/>
          <w:sz w:val="22"/>
        </w:rPr>
        <w:t>al menos dos situaciones. La primera, que el delito</w:t>
      </w:r>
      <w:r w:rsidR="00F7071B" w:rsidRPr="0026684F">
        <w:rPr>
          <w:rFonts w:ascii="Century Gothic" w:hAnsi="Century Gothic"/>
          <w:sz w:val="22"/>
        </w:rPr>
        <w:t>,</w:t>
      </w:r>
      <w:r w:rsidR="0085248F" w:rsidRPr="0026684F">
        <w:rPr>
          <w:rFonts w:ascii="Century Gothic" w:hAnsi="Century Gothic"/>
          <w:sz w:val="22"/>
        </w:rPr>
        <w:t xml:space="preserve"> tal como está contemplado en la actualidad</w:t>
      </w:r>
      <w:r w:rsidR="00F7071B" w:rsidRPr="0026684F">
        <w:rPr>
          <w:rFonts w:ascii="Century Gothic" w:hAnsi="Century Gothic"/>
          <w:sz w:val="22"/>
        </w:rPr>
        <w:t>,</w:t>
      </w:r>
      <w:r w:rsidR="0085248F" w:rsidRPr="0026684F">
        <w:rPr>
          <w:rFonts w:ascii="Century Gothic" w:hAnsi="Century Gothic"/>
          <w:sz w:val="22"/>
        </w:rPr>
        <w:t xml:space="preserve"> excluye </w:t>
      </w:r>
      <w:r w:rsidR="008519AF" w:rsidRPr="0026684F">
        <w:rPr>
          <w:rFonts w:ascii="Century Gothic" w:hAnsi="Century Gothic"/>
          <w:sz w:val="22"/>
        </w:rPr>
        <w:t>algunas situaciones de violencia que requieren de una protección especial por parte del ordenamien</w:t>
      </w:r>
      <w:r w:rsidR="008074B4" w:rsidRPr="0026684F">
        <w:rPr>
          <w:rFonts w:ascii="Century Gothic" w:hAnsi="Century Gothic"/>
          <w:sz w:val="22"/>
        </w:rPr>
        <w:t xml:space="preserve">to como la violencia ocurrida entre exparejas, o entre parejas que sostienen relaciones extramatrimoniales con vocación de permanencia, y la violencia que involucra a cuidadores que si bien no hacen parte del </w:t>
      </w:r>
      <w:r w:rsidR="00CC2ACB" w:rsidRPr="0026684F">
        <w:rPr>
          <w:rFonts w:ascii="Century Gothic" w:hAnsi="Century Gothic"/>
          <w:sz w:val="22"/>
        </w:rPr>
        <w:t>núcleo</w:t>
      </w:r>
      <w:r w:rsidR="008074B4" w:rsidRPr="0026684F">
        <w:rPr>
          <w:rFonts w:ascii="Century Gothic" w:hAnsi="Century Gothic"/>
          <w:sz w:val="22"/>
        </w:rPr>
        <w:t xml:space="preserve"> familiar </w:t>
      </w:r>
      <w:r w:rsidR="00E6141F" w:rsidRPr="0026684F">
        <w:rPr>
          <w:rFonts w:ascii="Century Gothic" w:hAnsi="Century Gothic"/>
          <w:sz w:val="22"/>
        </w:rPr>
        <w:t>adoptan dinámicas propias del mismo en calidad de agresores o de víctimas.</w:t>
      </w:r>
    </w:p>
    <w:p w14:paraId="51EDECB3" w14:textId="2BF3679A" w:rsidR="00F043C0" w:rsidRPr="0026684F" w:rsidRDefault="00CC2ACB" w:rsidP="00F043C0">
      <w:pPr>
        <w:rPr>
          <w:rFonts w:ascii="Century Gothic" w:hAnsi="Century Gothic"/>
          <w:sz w:val="22"/>
        </w:rPr>
      </w:pPr>
      <w:r w:rsidRPr="0026684F">
        <w:rPr>
          <w:rFonts w:ascii="Century Gothic" w:hAnsi="Century Gothic"/>
          <w:sz w:val="22"/>
        </w:rPr>
        <w:t xml:space="preserve">La segunda, </w:t>
      </w:r>
      <w:r w:rsidR="002663FA" w:rsidRPr="0026684F">
        <w:rPr>
          <w:rFonts w:ascii="Century Gothic" w:hAnsi="Century Gothic"/>
          <w:sz w:val="22"/>
        </w:rPr>
        <w:t>que las víctimas de violencia intrafamiliar de poblaciones vulnerables, en tanto, sujetos de especial protección constitucional, deben ser atendidas de manera especial por el ordenamiento. Las personas víctimas de este delito que</w:t>
      </w:r>
      <w:r w:rsidR="00F7071B" w:rsidRPr="0026684F">
        <w:rPr>
          <w:rFonts w:ascii="Century Gothic" w:hAnsi="Century Gothic"/>
          <w:sz w:val="22"/>
        </w:rPr>
        <w:t>,</w:t>
      </w:r>
      <w:r w:rsidR="002663FA" w:rsidRPr="0026684F">
        <w:rPr>
          <w:rFonts w:ascii="Century Gothic" w:hAnsi="Century Gothic"/>
          <w:sz w:val="22"/>
        </w:rPr>
        <w:t xml:space="preserve"> a su vez están en condición de vulnerabilidad</w:t>
      </w:r>
      <w:r w:rsidR="00F7071B" w:rsidRPr="0026684F">
        <w:rPr>
          <w:rFonts w:ascii="Century Gothic" w:hAnsi="Century Gothic"/>
          <w:sz w:val="22"/>
        </w:rPr>
        <w:t>,</w:t>
      </w:r>
      <w:r w:rsidR="002663FA" w:rsidRPr="0026684F">
        <w:rPr>
          <w:rFonts w:ascii="Century Gothic" w:hAnsi="Century Gothic"/>
          <w:sz w:val="22"/>
        </w:rPr>
        <w:t xml:space="preserve"> pueden ser sometidas a procesos de victimización </w:t>
      </w:r>
      <w:r w:rsidR="0083025C" w:rsidRPr="0026684F">
        <w:rPr>
          <w:rFonts w:ascii="Century Gothic" w:hAnsi="Century Gothic"/>
          <w:sz w:val="22"/>
        </w:rPr>
        <w:t>secundaria en el proceso penal al tener que reconocer el evento traumático y enfrentar a su agresor en juicio</w:t>
      </w:r>
      <w:r w:rsidR="00DF0243" w:rsidRPr="0026684F">
        <w:rPr>
          <w:rFonts w:ascii="Century Gothic" w:hAnsi="Century Gothic"/>
          <w:sz w:val="22"/>
        </w:rPr>
        <w:t xml:space="preserve">, situación en virtud de la cual </w:t>
      </w:r>
      <w:r w:rsidR="00F7071B" w:rsidRPr="0026684F">
        <w:rPr>
          <w:rFonts w:ascii="Century Gothic" w:hAnsi="Century Gothic"/>
          <w:sz w:val="22"/>
        </w:rPr>
        <w:t xml:space="preserve">se </w:t>
      </w:r>
      <w:r w:rsidR="00DF0243" w:rsidRPr="0026684F">
        <w:rPr>
          <w:rFonts w:ascii="Century Gothic" w:hAnsi="Century Gothic"/>
          <w:sz w:val="22"/>
        </w:rPr>
        <w:t xml:space="preserve">pueden </w:t>
      </w:r>
      <w:r w:rsidR="00F7071B" w:rsidRPr="0026684F">
        <w:rPr>
          <w:rFonts w:ascii="Century Gothic" w:hAnsi="Century Gothic"/>
          <w:sz w:val="22"/>
        </w:rPr>
        <w:t>enfrentar a</w:t>
      </w:r>
      <w:r w:rsidR="00DF0243" w:rsidRPr="0026684F">
        <w:rPr>
          <w:rFonts w:ascii="Century Gothic" w:hAnsi="Century Gothic"/>
          <w:sz w:val="22"/>
        </w:rPr>
        <w:t>l fenómeno de la retractación respecto del relato de los hechos presentado a lo largo de la investigación</w:t>
      </w:r>
      <w:r w:rsidR="00A121D6" w:rsidRPr="0026684F">
        <w:rPr>
          <w:rStyle w:val="Refdenotaalpie"/>
          <w:rFonts w:ascii="Century Gothic" w:hAnsi="Century Gothic"/>
          <w:sz w:val="22"/>
        </w:rPr>
        <w:footnoteReference w:id="19"/>
      </w:r>
      <w:r w:rsidR="00DF0243" w:rsidRPr="0026684F">
        <w:rPr>
          <w:rFonts w:ascii="Century Gothic" w:hAnsi="Century Gothic"/>
          <w:sz w:val="22"/>
        </w:rPr>
        <w:t xml:space="preserve">. </w:t>
      </w:r>
      <w:r w:rsidR="002663FA" w:rsidRPr="0026684F">
        <w:rPr>
          <w:rFonts w:ascii="Century Gothic" w:hAnsi="Century Gothic"/>
          <w:sz w:val="22"/>
        </w:rPr>
        <w:t xml:space="preserve"> </w:t>
      </w:r>
    </w:p>
    <w:p w14:paraId="2F9E5F47" w14:textId="5A8CE8B1" w:rsidR="000B52D8" w:rsidRPr="0026684F" w:rsidRDefault="000B52D8" w:rsidP="00BB7316">
      <w:pPr>
        <w:pStyle w:val="Prrafodelista"/>
        <w:numPr>
          <w:ilvl w:val="2"/>
          <w:numId w:val="9"/>
        </w:numPr>
        <w:rPr>
          <w:rFonts w:ascii="Century Gothic" w:hAnsi="Century Gothic"/>
          <w:b/>
          <w:sz w:val="22"/>
        </w:rPr>
      </w:pPr>
      <w:r w:rsidRPr="0026684F">
        <w:rPr>
          <w:rFonts w:ascii="Century Gothic" w:hAnsi="Century Gothic"/>
          <w:b/>
          <w:sz w:val="22"/>
        </w:rPr>
        <w:t xml:space="preserve">Las investigaciones por el delito de violencia intrafamiliar </w:t>
      </w:r>
      <w:r w:rsidR="006E14EB" w:rsidRPr="0026684F">
        <w:rPr>
          <w:rFonts w:ascii="Century Gothic" w:hAnsi="Century Gothic"/>
          <w:b/>
          <w:sz w:val="22"/>
        </w:rPr>
        <w:t xml:space="preserve">requieren mecanismos para lograr </w:t>
      </w:r>
      <w:r w:rsidR="00F7071B" w:rsidRPr="0026684F">
        <w:rPr>
          <w:rFonts w:ascii="Century Gothic" w:hAnsi="Century Gothic"/>
          <w:b/>
          <w:sz w:val="22"/>
        </w:rPr>
        <w:t xml:space="preserve">mayor </w:t>
      </w:r>
      <w:r w:rsidR="006E14EB" w:rsidRPr="0026684F">
        <w:rPr>
          <w:rFonts w:ascii="Century Gothic" w:hAnsi="Century Gothic"/>
          <w:b/>
          <w:sz w:val="22"/>
        </w:rPr>
        <w:t xml:space="preserve">celeridad </w:t>
      </w:r>
    </w:p>
    <w:p w14:paraId="69B9EEDF" w14:textId="455392CE" w:rsidR="00B15FFA" w:rsidRPr="0026684F" w:rsidRDefault="00797F49" w:rsidP="00B15FFA">
      <w:pPr>
        <w:rPr>
          <w:rFonts w:ascii="Century Gothic" w:hAnsi="Century Gothic"/>
          <w:sz w:val="22"/>
        </w:rPr>
      </w:pPr>
      <w:r w:rsidRPr="0026684F">
        <w:rPr>
          <w:rFonts w:ascii="Century Gothic" w:hAnsi="Century Gothic"/>
          <w:sz w:val="22"/>
        </w:rPr>
        <w:t xml:space="preserve">Debido a las dificultades que representa </w:t>
      </w:r>
      <w:r w:rsidR="00F7071B" w:rsidRPr="0026684F">
        <w:rPr>
          <w:rFonts w:ascii="Century Gothic" w:hAnsi="Century Gothic"/>
          <w:sz w:val="22"/>
        </w:rPr>
        <w:t>la investigación d</w:t>
      </w:r>
      <w:r w:rsidRPr="0026684F">
        <w:rPr>
          <w:rFonts w:ascii="Century Gothic" w:hAnsi="Century Gothic"/>
          <w:sz w:val="22"/>
        </w:rPr>
        <w:t xml:space="preserve">el delito de violencia intrafamiliar es necesario crear mecanismos procesales que garanticen </w:t>
      </w:r>
      <w:r w:rsidR="00F7071B" w:rsidRPr="0026684F">
        <w:rPr>
          <w:rFonts w:ascii="Century Gothic" w:hAnsi="Century Gothic"/>
          <w:sz w:val="22"/>
        </w:rPr>
        <w:t>su</w:t>
      </w:r>
      <w:r w:rsidRPr="0026684F">
        <w:rPr>
          <w:rFonts w:ascii="Century Gothic" w:hAnsi="Century Gothic"/>
          <w:sz w:val="22"/>
        </w:rPr>
        <w:t xml:space="preserve"> investigación ágil y una judicialización efectiva. </w:t>
      </w:r>
      <w:r w:rsidR="00243730" w:rsidRPr="0026684F">
        <w:rPr>
          <w:rFonts w:ascii="Century Gothic" w:hAnsi="Century Gothic"/>
          <w:sz w:val="22"/>
        </w:rPr>
        <w:t>La reducción d</w:t>
      </w:r>
      <w:r w:rsidR="00B31E93" w:rsidRPr="0026684F">
        <w:rPr>
          <w:rFonts w:ascii="Century Gothic" w:hAnsi="Century Gothic"/>
          <w:sz w:val="22"/>
        </w:rPr>
        <w:t>e etapas procesales a través de</w:t>
      </w:r>
      <w:r w:rsidR="00243730" w:rsidRPr="0026684F">
        <w:rPr>
          <w:rFonts w:ascii="Century Gothic" w:hAnsi="Century Gothic"/>
          <w:sz w:val="22"/>
        </w:rPr>
        <w:t xml:space="preserve"> un proceso sumar</w:t>
      </w:r>
      <w:r w:rsidR="001802A6" w:rsidRPr="0026684F">
        <w:rPr>
          <w:rFonts w:ascii="Century Gothic" w:hAnsi="Century Gothic"/>
          <w:sz w:val="22"/>
        </w:rPr>
        <w:t>io garantiza</w:t>
      </w:r>
      <w:r w:rsidR="006B54EF" w:rsidRPr="0026684F">
        <w:rPr>
          <w:rFonts w:ascii="Century Gothic" w:hAnsi="Century Gothic"/>
          <w:sz w:val="22"/>
        </w:rPr>
        <w:t>ría</w:t>
      </w:r>
      <w:r w:rsidR="001802A6" w:rsidRPr="0026684F">
        <w:rPr>
          <w:rFonts w:ascii="Century Gothic" w:hAnsi="Century Gothic"/>
          <w:sz w:val="22"/>
        </w:rPr>
        <w:t xml:space="preserve"> la adopción de medidas pertinentes</w:t>
      </w:r>
      <w:r w:rsidR="00E0508E" w:rsidRPr="0026684F">
        <w:rPr>
          <w:rFonts w:ascii="Century Gothic" w:hAnsi="Century Gothic"/>
          <w:sz w:val="22"/>
        </w:rPr>
        <w:t xml:space="preserve"> para</w:t>
      </w:r>
      <w:r w:rsidR="006B54EF" w:rsidRPr="0026684F">
        <w:rPr>
          <w:rFonts w:ascii="Century Gothic" w:hAnsi="Century Gothic"/>
          <w:sz w:val="22"/>
        </w:rPr>
        <w:t xml:space="preserve"> proteger a las víctimas</w:t>
      </w:r>
      <w:r w:rsidR="00F7071B" w:rsidRPr="0026684F">
        <w:rPr>
          <w:rFonts w:ascii="Century Gothic" w:hAnsi="Century Gothic"/>
          <w:sz w:val="22"/>
        </w:rPr>
        <w:t xml:space="preserve"> ante la sanción de los responsables</w:t>
      </w:r>
      <w:r w:rsidR="006B54EF" w:rsidRPr="0026684F">
        <w:rPr>
          <w:rFonts w:ascii="Century Gothic" w:hAnsi="Century Gothic"/>
          <w:sz w:val="22"/>
        </w:rPr>
        <w:t>, reduciría</w:t>
      </w:r>
      <w:r w:rsidR="00E0508E" w:rsidRPr="0026684F">
        <w:rPr>
          <w:rFonts w:ascii="Century Gothic" w:hAnsi="Century Gothic"/>
          <w:sz w:val="22"/>
        </w:rPr>
        <w:t xml:space="preserve"> el r</w:t>
      </w:r>
      <w:r w:rsidR="006B54EF" w:rsidRPr="0026684F">
        <w:rPr>
          <w:rFonts w:ascii="Century Gothic" w:hAnsi="Century Gothic"/>
          <w:sz w:val="22"/>
        </w:rPr>
        <w:t xml:space="preserve">iesgo </w:t>
      </w:r>
      <w:r w:rsidR="006B54EF" w:rsidRPr="0026684F">
        <w:rPr>
          <w:rFonts w:ascii="Century Gothic" w:hAnsi="Century Gothic"/>
          <w:sz w:val="22"/>
        </w:rPr>
        <w:lastRenderedPageBreak/>
        <w:t>de retractación, y produciría</w:t>
      </w:r>
      <w:r w:rsidR="00E0508E" w:rsidRPr="0026684F">
        <w:rPr>
          <w:rFonts w:ascii="Century Gothic" w:hAnsi="Century Gothic"/>
          <w:sz w:val="22"/>
        </w:rPr>
        <w:t xml:space="preserve"> efectos disuasivos en la población relacionados con la efectividad </w:t>
      </w:r>
      <w:r w:rsidR="00F7071B" w:rsidRPr="0026684F">
        <w:rPr>
          <w:rFonts w:ascii="Century Gothic" w:hAnsi="Century Gothic"/>
          <w:sz w:val="22"/>
        </w:rPr>
        <w:t>de la judicialización</w:t>
      </w:r>
      <w:r w:rsidR="00A602D0" w:rsidRPr="0026684F">
        <w:rPr>
          <w:rFonts w:ascii="Century Gothic" w:hAnsi="Century Gothic"/>
          <w:sz w:val="22"/>
        </w:rPr>
        <w:t xml:space="preserve">. </w:t>
      </w:r>
      <w:r w:rsidR="00E0508E" w:rsidRPr="0026684F">
        <w:rPr>
          <w:rFonts w:ascii="Century Gothic" w:hAnsi="Century Gothic"/>
          <w:sz w:val="22"/>
        </w:rPr>
        <w:t xml:space="preserve"> </w:t>
      </w:r>
    </w:p>
    <w:p w14:paraId="1D0DD72D" w14:textId="3C923F00" w:rsidR="00DA67DC" w:rsidRPr="0026684F" w:rsidRDefault="0082051F" w:rsidP="00DA67DC">
      <w:pPr>
        <w:jc w:val="center"/>
        <w:rPr>
          <w:rFonts w:ascii="Century Gothic" w:hAnsi="Century Gothic"/>
          <w:sz w:val="22"/>
        </w:rPr>
      </w:pPr>
      <w:r w:rsidRPr="0026684F">
        <w:rPr>
          <w:rFonts w:ascii="Century Gothic" w:hAnsi="Century Gothic"/>
          <w:noProof/>
          <w:sz w:val="22"/>
          <w:lang w:eastAsia="es-CO"/>
        </w:rPr>
        <w:drawing>
          <wp:inline distT="0" distB="0" distL="0" distR="0" wp14:anchorId="5187A5C3" wp14:editId="3233C85F">
            <wp:extent cx="4572000" cy="27432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049DFC" w14:textId="4E66CC5D" w:rsidR="00A96A89" w:rsidRPr="0026684F" w:rsidRDefault="00AC4289" w:rsidP="00DA67DC">
      <w:pPr>
        <w:jc w:val="center"/>
        <w:rPr>
          <w:rFonts w:ascii="Century Gothic" w:hAnsi="Century Gothic"/>
          <w:sz w:val="22"/>
        </w:rPr>
      </w:pPr>
      <w:r>
        <w:rPr>
          <w:rFonts w:ascii="Century Gothic" w:hAnsi="Century Gothic"/>
          <w:b/>
          <w:sz w:val="22"/>
        </w:rPr>
        <w:t>Gráfico 7</w:t>
      </w:r>
      <w:r w:rsidR="00682D13" w:rsidRPr="0026684F">
        <w:rPr>
          <w:rFonts w:ascii="Century Gothic" w:hAnsi="Century Gothic"/>
          <w:b/>
          <w:sz w:val="22"/>
        </w:rPr>
        <w:t xml:space="preserve">. </w:t>
      </w:r>
      <w:r w:rsidR="002F3537" w:rsidRPr="0026684F">
        <w:rPr>
          <w:rFonts w:ascii="Century Gothic" w:hAnsi="Century Gothic"/>
          <w:sz w:val="22"/>
        </w:rPr>
        <w:t>Casos de VIF por estado del caso (2010 – 2018)</w:t>
      </w:r>
      <w:r w:rsidR="002A4D87" w:rsidRPr="0026684F">
        <w:rPr>
          <w:rFonts w:ascii="Century Gothic" w:hAnsi="Century Gothic"/>
          <w:sz w:val="22"/>
        </w:rPr>
        <w:t>.</w:t>
      </w:r>
      <w:r w:rsidR="002A4D87" w:rsidRPr="0026684F">
        <w:rPr>
          <w:rFonts w:ascii="Century Gothic" w:hAnsi="Century Gothic"/>
          <w:b/>
          <w:sz w:val="22"/>
        </w:rPr>
        <w:t xml:space="preserve"> </w:t>
      </w:r>
      <w:r w:rsidR="00682D13" w:rsidRPr="0026684F">
        <w:rPr>
          <w:rFonts w:ascii="Century Gothic" w:hAnsi="Century Gothic"/>
          <w:sz w:val="22"/>
        </w:rPr>
        <w:t>Fuente: Elaboración propia con datos SPOA remitidos el 1 de noviembre de 2018 por la Fiscalía.</w:t>
      </w:r>
      <w:r w:rsidR="0067714A" w:rsidRPr="0026684F">
        <w:rPr>
          <w:rFonts w:ascii="Century Gothic" w:hAnsi="Century Gothic"/>
          <w:sz w:val="22"/>
        </w:rPr>
        <w:t xml:space="preserve"> Desde 2010 hasta el 10 de octubre de 2018</w:t>
      </w:r>
    </w:p>
    <w:p w14:paraId="39C89E81" w14:textId="77777777" w:rsidR="008C0A6D" w:rsidRPr="0026684F" w:rsidRDefault="008C0A6D" w:rsidP="00BB7316">
      <w:pPr>
        <w:pStyle w:val="Prrafodelista"/>
        <w:numPr>
          <w:ilvl w:val="1"/>
          <w:numId w:val="9"/>
        </w:numPr>
        <w:rPr>
          <w:rFonts w:ascii="Century Gothic" w:hAnsi="Century Gothic"/>
          <w:b/>
          <w:sz w:val="22"/>
        </w:rPr>
      </w:pPr>
      <w:r w:rsidRPr="0026684F">
        <w:rPr>
          <w:rFonts w:ascii="Century Gothic" w:hAnsi="Century Gothic"/>
          <w:b/>
          <w:sz w:val="22"/>
        </w:rPr>
        <w:t xml:space="preserve"> Contenido de la iniciativa</w:t>
      </w:r>
    </w:p>
    <w:p w14:paraId="60759227" w14:textId="74756A46" w:rsidR="00E54FA0" w:rsidRPr="0026684F" w:rsidRDefault="00E54FA0" w:rsidP="00E54FA0">
      <w:pPr>
        <w:rPr>
          <w:rFonts w:ascii="Century Gothic" w:hAnsi="Century Gothic"/>
          <w:sz w:val="22"/>
        </w:rPr>
      </w:pPr>
      <w:r w:rsidRPr="0026684F">
        <w:rPr>
          <w:rFonts w:ascii="Century Gothic" w:hAnsi="Century Gothic"/>
          <w:sz w:val="22"/>
        </w:rPr>
        <w:t xml:space="preserve">En concreto, la iniciativa objeto de debate pretende contrarrestar las problemáticas advertidas mediante </w:t>
      </w:r>
      <w:r w:rsidR="00F7071B" w:rsidRPr="0026684F">
        <w:rPr>
          <w:rFonts w:ascii="Century Gothic" w:hAnsi="Century Gothic"/>
          <w:sz w:val="22"/>
        </w:rPr>
        <w:t xml:space="preserve">la </w:t>
      </w:r>
      <w:r w:rsidRPr="0026684F">
        <w:rPr>
          <w:rFonts w:ascii="Century Gothic" w:hAnsi="Century Gothic"/>
          <w:sz w:val="22"/>
        </w:rPr>
        <w:t xml:space="preserve">puesta en marcha de las siguientes propuestas: </w:t>
      </w:r>
    </w:p>
    <w:p w14:paraId="1974D376" w14:textId="5E53A56C" w:rsidR="00E54FA0" w:rsidRPr="0026684F" w:rsidRDefault="00F7071B" w:rsidP="00F7071B">
      <w:pPr>
        <w:rPr>
          <w:rFonts w:ascii="Century Gothic" w:hAnsi="Century Gothic"/>
          <w:i/>
          <w:sz w:val="22"/>
        </w:rPr>
      </w:pPr>
      <w:r w:rsidRPr="0026684F">
        <w:rPr>
          <w:rFonts w:ascii="Century Gothic" w:hAnsi="Century Gothic"/>
          <w:b/>
          <w:i/>
          <w:sz w:val="22"/>
        </w:rPr>
        <w:t>1.</w:t>
      </w:r>
      <w:r w:rsidRPr="0026684F">
        <w:rPr>
          <w:rFonts w:ascii="Century Gothic" w:hAnsi="Century Gothic"/>
          <w:i/>
          <w:sz w:val="22"/>
        </w:rPr>
        <w:t xml:space="preserve"> </w:t>
      </w:r>
      <w:r w:rsidR="00E54FA0" w:rsidRPr="0026684F">
        <w:rPr>
          <w:rFonts w:ascii="Century Gothic" w:hAnsi="Century Gothic"/>
          <w:b/>
          <w:i/>
          <w:sz w:val="22"/>
        </w:rPr>
        <w:t>Precisa</w:t>
      </w:r>
      <w:r w:rsidRPr="0026684F">
        <w:rPr>
          <w:rFonts w:ascii="Century Gothic" w:hAnsi="Century Gothic"/>
          <w:b/>
          <w:i/>
          <w:sz w:val="22"/>
        </w:rPr>
        <w:t>r</w:t>
      </w:r>
      <w:r w:rsidR="00E54FA0" w:rsidRPr="0026684F">
        <w:rPr>
          <w:rFonts w:ascii="Century Gothic" w:hAnsi="Century Gothic"/>
          <w:b/>
          <w:i/>
          <w:sz w:val="22"/>
        </w:rPr>
        <w:t xml:space="preserve"> el tipo penal para abordar la violencia de pareja.</w:t>
      </w:r>
      <w:r w:rsidR="00E54FA0" w:rsidRPr="0026684F">
        <w:rPr>
          <w:rFonts w:ascii="Century Gothic" w:hAnsi="Century Gothic"/>
          <w:i/>
          <w:sz w:val="22"/>
        </w:rPr>
        <w:t xml:space="preserve"> </w:t>
      </w:r>
      <w:r w:rsidR="00E54FA0" w:rsidRPr="0026684F">
        <w:rPr>
          <w:rFonts w:ascii="Century Gothic" w:hAnsi="Century Gothic"/>
          <w:sz w:val="22"/>
        </w:rPr>
        <w:t xml:space="preserve">Actualmente el tipo penal de violencia intrafamiliar está asociado al hecho de que el maltrato se presente en contra de cualquier miembro del </w:t>
      </w:r>
      <w:r w:rsidR="00E54FA0" w:rsidRPr="0026684F">
        <w:rPr>
          <w:rFonts w:ascii="Century Gothic" w:hAnsi="Century Gothic"/>
          <w:i/>
          <w:sz w:val="22"/>
        </w:rPr>
        <w:t>núcleo familiar.</w:t>
      </w:r>
      <w:r w:rsidR="00E54FA0" w:rsidRPr="0026684F">
        <w:rPr>
          <w:rFonts w:ascii="Century Gothic" w:hAnsi="Century Gothic"/>
          <w:sz w:val="22"/>
        </w:rPr>
        <w:t xml:space="preserve"> Esa limitación representa serias dificultades a la hora de abordar contextos concretos que hacen parte de la violencia al interior de la familia, como los siguientes: </w:t>
      </w:r>
    </w:p>
    <w:p w14:paraId="24DF1C39" w14:textId="2A2DC0FA" w:rsidR="00E54FA0" w:rsidRPr="0026684F" w:rsidRDefault="00E54FA0" w:rsidP="00E54FA0">
      <w:pPr>
        <w:pStyle w:val="Prrafodelista"/>
        <w:numPr>
          <w:ilvl w:val="0"/>
          <w:numId w:val="7"/>
        </w:numPr>
        <w:rPr>
          <w:rFonts w:ascii="Century Gothic" w:hAnsi="Century Gothic"/>
          <w:sz w:val="22"/>
        </w:rPr>
      </w:pPr>
      <w:r w:rsidRPr="0026684F">
        <w:rPr>
          <w:rFonts w:ascii="Century Gothic" w:hAnsi="Century Gothic"/>
          <w:sz w:val="22"/>
        </w:rPr>
        <w:t xml:space="preserve">Las exparejas que habían conformado un </w:t>
      </w:r>
      <w:r w:rsidR="00C209FF" w:rsidRPr="0026684F">
        <w:rPr>
          <w:rFonts w:ascii="Century Gothic" w:hAnsi="Century Gothic"/>
          <w:sz w:val="22"/>
        </w:rPr>
        <w:t>vínculo permanente en el tiempo</w:t>
      </w:r>
    </w:p>
    <w:p w14:paraId="1E4A871C" w14:textId="385112C2" w:rsidR="00E54FA0" w:rsidRPr="0026684F" w:rsidRDefault="00E54FA0" w:rsidP="00E54FA0">
      <w:pPr>
        <w:pStyle w:val="Prrafodelista"/>
        <w:numPr>
          <w:ilvl w:val="0"/>
          <w:numId w:val="7"/>
        </w:numPr>
        <w:rPr>
          <w:rFonts w:ascii="Century Gothic" w:hAnsi="Century Gothic"/>
          <w:sz w:val="22"/>
        </w:rPr>
      </w:pPr>
      <w:r w:rsidRPr="0026684F">
        <w:rPr>
          <w:rFonts w:ascii="Century Gothic" w:hAnsi="Century Gothic"/>
          <w:sz w:val="22"/>
        </w:rPr>
        <w:t xml:space="preserve">Los padres que no conviven en el mismo lugar </w:t>
      </w:r>
    </w:p>
    <w:p w14:paraId="2C2DECD4" w14:textId="3191FB81" w:rsidR="00E54FA0" w:rsidRPr="0026684F" w:rsidRDefault="00E54FA0" w:rsidP="00E54FA0">
      <w:pPr>
        <w:pStyle w:val="Prrafodelista"/>
        <w:numPr>
          <w:ilvl w:val="0"/>
          <w:numId w:val="7"/>
        </w:numPr>
        <w:rPr>
          <w:rFonts w:ascii="Century Gothic" w:hAnsi="Century Gothic"/>
          <w:sz w:val="22"/>
        </w:rPr>
      </w:pPr>
      <w:r w:rsidRPr="0026684F">
        <w:rPr>
          <w:rFonts w:ascii="Century Gothic" w:hAnsi="Century Gothic"/>
          <w:sz w:val="22"/>
        </w:rPr>
        <w:t>Las personas encargadas del cui</w:t>
      </w:r>
      <w:r w:rsidR="00C209FF" w:rsidRPr="0026684F">
        <w:rPr>
          <w:rFonts w:ascii="Century Gothic" w:hAnsi="Century Gothic"/>
          <w:sz w:val="22"/>
        </w:rPr>
        <w:t>dado de miembros de una familia</w:t>
      </w:r>
    </w:p>
    <w:p w14:paraId="78E34892" w14:textId="2FB1CED8" w:rsidR="00E54FA0" w:rsidRPr="0026684F" w:rsidRDefault="00E54FA0" w:rsidP="00E54FA0">
      <w:pPr>
        <w:pStyle w:val="Prrafodelista"/>
        <w:numPr>
          <w:ilvl w:val="0"/>
          <w:numId w:val="7"/>
        </w:numPr>
        <w:rPr>
          <w:rFonts w:ascii="Century Gothic" w:hAnsi="Century Gothic"/>
          <w:sz w:val="22"/>
        </w:rPr>
      </w:pPr>
      <w:r w:rsidRPr="0026684F">
        <w:rPr>
          <w:rFonts w:ascii="Century Gothic" w:hAnsi="Century Gothic"/>
          <w:sz w:val="22"/>
        </w:rPr>
        <w:t>Las personas que sostienen relaciones extramatrimoniales de carácter permanente</w:t>
      </w:r>
      <w:r w:rsidR="00C209FF" w:rsidRPr="0026684F">
        <w:rPr>
          <w:rFonts w:ascii="Century Gothic" w:hAnsi="Century Gothic"/>
          <w:sz w:val="22"/>
        </w:rPr>
        <w:t>,</w:t>
      </w:r>
      <w:r w:rsidRPr="0026684F">
        <w:rPr>
          <w:rFonts w:ascii="Century Gothic" w:hAnsi="Century Gothic"/>
          <w:sz w:val="22"/>
        </w:rPr>
        <w:t xml:space="preserve"> con una clara e ine</w:t>
      </w:r>
      <w:r w:rsidR="00C209FF" w:rsidRPr="0026684F">
        <w:rPr>
          <w:rFonts w:ascii="Century Gothic" w:hAnsi="Century Gothic"/>
          <w:sz w:val="22"/>
        </w:rPr>
        <w:t>quívoca vocación de estabilidad</w:t>
      </w:r>
    </w:p>
    <w:p w14:paraId="0FB2A4A8" w14:textId="39B4EB5A" w:rsidR="002850BB" w:rsidRPr="0026684F" w:rsidRDefault="00C209FF" w:rsidP="00F7071B">
      <w:pPr>
        <w:rPr>
          <w:rFonts w:ascii="Century Gothic" w:hAnsi="Century Gothic"/>
          <w:sz w:val="22"/>
        </w:rPr>
      </w:pPr>
      <w:r w:rsidRPr="0026684F">
        <w:rPr>
          <w:rFonts w:ascii="Century Gothic" w:hAnsi="Century Gothic"/>
          <w:sz w:val="22"/>
        </w:rPr>
        <w:t>E</w:t>
      </w:r>
      <w:r w:rsidR="00E54FA0" w:rsidRPr="0026684F">
        <w:rPr>
          <w:rFonts w:ascii="Century Gothic" w:hAnsi="Century Gothic"/>
          <w:sz w:val="22"/>
        </w:rPr>
        <w:t xml:space="preserve">l texto actual del artículo 229 del Código Penal </w:t>
      </w:r>
      <w:r w:rsidRPr="0026684F">
        <w:rPr>
          <w:rFonts w:ascii="Century Gothic" w:hAnsi="Century Gothic"/>
          <w:sz w:val="22"/>
        </w:rPr>
        <w:t xml:space="preserve">no reconoce como violencia intrafamiliar aquella registrada </w:t>
      </w:r>
      <w:r w:rsidR="002850BB" w:rsidRPr="0026684F">
        <w:rPr>
          <w:rFonts w:ascii="Century Gothic" w:hAnsi="Century Gothic"/>
          <w:sz w:val="22"/>
        </w:rPr>
        <w:t xml:space="preserve">entre exparejas o con relaciones extramatrimoniales de carácter permanente, dejando un amplio grupo poblacional desprotegido. Por </w:t>
      </w:r>
      <w:r w:rsidR="002850BB" w:rsidRPr="0026684F">
        <w:rPr>
          <w:rFonts w:ascii="Century Gothic" w:hAnsi="Century Gothic"/>
          <w:sz w:val="22"/>
        </w:rPr>
        <w:lastRenderedPageBreak/>
        <w:t xml:space="preserve">ello es necesaria la inclusión de estas hipótesis como </w:t>
      </w:r>
      <w:r w:rsidRPr="0026684F">
        <w:rPr>
          <w:rFonts w:ascii="Century Gothic" w:hAnsi="Century Gothic"/>
          <w:sz w:val="22"/>
        </w:rPr>
        <w:t>hipótesis</w:t>
      </w:r>
      <w:r w:rsidR="002850BB" w:rsidRPr="0026684F">
        <w:rPr>
          <w:rFonts w:ascii="Century Gothic" w:hAnsi="Century Gothic"/>
          <w:sz w:val="22"/>
        </w:rPr>
        <w:t xml:space="preserve"> de violencia intrafamiliar que pretenden proteger a las mujeres como sujetos de especial protección constitucional. </w:t>
      </w:r>
    </w:p>
    <w:p w14:paraId="279F263D" w14:textId="55B6B2E8" w:rsidR="00E54FA0" w:rsidRPr="0026684F" w:rsidRDefault="002850BB" w:rsidP="00C209FF">
      <w:pPr>
        <w:rPr>
          <w:rFonts w:ascii="Century Gothic" w:hAnsi="Century Gothic"/>
          <w:sz w:val="22"/>
        </w:rPr>
      </w:pPr>
      <w:r w:rsidRPr="0026684F">
        <w:rPr>
          <w:rFonts w:ascii="Century Gothic" w:hAnsi="Century Gothic"/>
          <w:sz w:val="22"/>
        </w:rPr>
        <w:t xml:space="preserve">Adicionalmente, respecto de </w:t>
      </w:r>
      <w:r w:rsidR="00E54FA0" w:rsidRPr="0026684F">
        <w:rPr>
          <w:rFonts w:ascii="Century Gothic" w:hAnsi="Century Gothic"/>
          <w:sz w:val="22"/>
        </w:rPr>
        <w:t xml:space="preserve">las personas que, sin ser miembros del núcleo familiar estén encargados del cuidado de uno o varios miembros de una familia, </w:t>
      </w:r>
      <w:r w:rsidR="00C209FF" w:rsidRPr="0026684F">
        <w:rPr>
          <w:rFonts w:ascii="Century Gothic" w:hAnsi="Century Gothic"/>
          <w:sz w:val="22"/>
        </w:rPr>
        <w:t xml:space="preserve">actualmente </w:t>
      </w:r>
      <w:r w:rsidRPr="0026684F">
        <w:rPr>
          <w:rFonts w:ascii="Century Gothic" w:hAnsi="Century Gothic"/>
          <w:sz w:val="22"/>
        </w:rPr>
        <w:t>la norma contempla que pueden ser</w:t>
      </w:r>
      <w:r w:rsidR="00E54FA0" w:rsidRPr="0026684F">
        <w:rPr>
          <w:rFonts w:ascii="Century Gothic" w:hAnsi="Century Gothic"/>
          <w:sz w:val="22"/>
        </w:rPr>
        <w:t xml:space="preserve"> consideradas como sujetos activos del delito de violencia intrafamiliar</w:t>
      </w:r>
      <w:r w:rsidRPr="0026684F">
        <w:rPr>
          <w:rFonts w:ascii="Century Gothic" w:hAnsi="Century Gothic"/>
          <w:sz w:val="22"/>
        </w:rPr>
        <w:t>, pero no como víctimas</w:t>
      </w:r>
      <w:r w:rsidR="00E54FA0" w:rsidRPr="0026684F">
        <w:rPr>
          <w:rFonts w:ascii="Century Gothic" w:hAnsi="Century Gothic"/>
          <w:sz w:val="22"/>
        </w:rPr>
        <w:t xml:space="preserve">. Para el texto propuesto para tercer debate se plantea modificar la hipótesis de posibles agresores a eventuales víctimas de esta clase de comportamiento delictivo como medida para ampliar el espectro </w:t>
      </w:r>
      <w:r w:rsidR="00C209FF" w:rsidRPr="0026684F">
        <w:rPr>
          <w:rFonts w:ascii="Century Gothic" w:hAnsi="Century Gothic"/>
          <w:sz w:val="22"/>
        </w:rPr>
        <w:t>de protección de estas personas</w:t>
      </w:r>
      <w:r w:rsidR="00E54FA0" w:rsidRPr="0026684F">
        <w:rPr>
          <w:rFonts w:ascii="Century Gothic" w:hAnsi="Century Gothic"/>
          <w:sz w:val="22"/>
        </w:rPr>
        <w:t xml:space="preserve">. </w:t>
      </w:r>
    </w:p>
    <w:p w14:paraId="291A60AF" w14:textId="46FC3995" w:rsidR="00E54FA0" w:rsidRPr="0026684F" w:rsidRDefault="00E54FA0" w:rsidP="00C209FF">
      <w:pPr>
        <w:rPr>
          <w:rFonts w:ascii="Century Gothic" w:hAnsi="Century Gothic"/>
          <w:sz w:val="22"/>
        </w:rPr>
      </w:pPr>
      <w:r w:rsidRPr="0026684F">
        <w:rPr>
          <w:rFonts w:ascii="Century Gothic" w:hAnsi="Century Gothic"/>
          <w:sz w:val="22"/>
        </w:rPr>
        <w:t xml:space="preserve">En conclusión, la inclusión explícita de los escenarios en los cuales se pueden presentar actos constitutivos de violencia intrafamiliar </w:t>
      </w:r>
      <w:r w:rsidR="00C209FF" w:rsidRPr="0026684F">
        <w:rPr>
          <w:rFonts w:ascii="Century Gothic" w:hAnsi="Century Gothic"/>
          <w:sz w:val="22"/>
        </w:rPr>
        <w:t>permitirá proteger de mejor manera a las víctimas de este tipo de</w:t>
      </w:r>
      <w:r w:rsidRPr="0026684F">
        <w:rPr>
          <w:rFonts w:ascii="Century Gothic" w:hAnsi="Century Gothic"/>
          <w:sz w:val="22"/>
        </w:rPr>
        <w:t xml:space="preserve"> circunstancias o contextos familiares especiales, medida que garantizará el acceso efectivo a la justicia de todas las </w:t>
      </w:r>
      <w:r w:rsidR="00C209FF" w:rsidRPr="0026684F">
        <w:rPr>
          <w:rFonts w:ascii="Century Gothic" w:hAnsi="Century Gothic"/>
          <w:sz w:val="22"/>
        </w:rPr>
        <w:t>víctimas de violencia intrafamiliar</w:t>
      </w:r>
      <w:r w:rsidRPr="0026684F">
        <w:rPr>
          <w:rFonts w:ascii="Century Gothic" w:hAnsi="Century Gothic"/>
          <w:sz w:val="22"/>
        </w:rPr>
        <w:t xml:space="preserve">. Así mismo, se debe </w:t>
      </w:r>
      <w:r w:rsidR="00466A9D" w:rsidRPr="0026684F">
        <w:rPr>
          <w:rFonts w:ascii="Century Gothic" w:hAnsi="Century Gothic"/>
          <w:sz w:val="22"/>
        </w:rPr>
        <w:t>señalar</w:t>
      </w:r>
      <w:r w:rsidRPr="0026684F">
        <w:rPr>
          <w:rFonts w:ascii="Century Gothic" w:hAnsi="Century Gothic"/>
          <w:sz w:val="22"/>
        </w:rPr>
        <w:t xml:space="preserve"> que la consagración explícita y amplia </w:t>
      </w:r>
      <w:r w:rsidR="00EC75DB" w:rsidRPr="0026684F">
        <w:rPr>
          <w:rFonts w:ascii="Century Gothic" w:hAnsi="Century Gothic"/>
          <w:sz w:val="22"/>
        </w:rPr>
        <w:t>de circunstancias</w:t>
      </w:r>
      <w:r w:rsidR="00466A9D" w:rsidRPr="0026684F">
        <w:rPr>
          <w:rFonts w:ascii="Century Gothic" w:hAnsi="Century Gothic"/>
          <w:sz w:val="22"/>
        </w:rPr>
        <w:t xml:space="preserve"> </w:t>
      </w:r>
      <w:r w:rsidR="00EC75DB" w:rsidRPr="0026684F">
        <w:rPr>
          <w:rFonts w:ascii="Century Gothic" w:hAnsi="Century Gothic"/>
          <w:sz w:val="22"/>
        </w:rPr>
        <w:t xml:space="preserve">en las que se configura el delito </w:t>
      </w:r>
      <w:r w:rsidR="00466A9D" w:rsidRPr="0026684F">
        <w:rPr>
          <w:rFonts w:ascii="Century Gothic" w:hAnsi="Century Gothic"/>
          <w:sz w:val="22"/>
        </w:rPr>
        <w:t>de violencia intrafamiliar</w:t>
      </w:r>
      <w:r w:rsidRPr="0026684F">
        <w:rPr>
          <w:rFonts w:ascii="Century Gothic" w:hAnsi="Century Gothic"/>
          <w:sz w:val="22"/>
        </w:rPr>
        <w:t xml:space="preserve"> es una fórmula que otras legislaciones alrededor del mundo vienen implementado. Casos de este tipo de descripciones se encuentran en la Ley 20.066 de 2005 sobre violencia intrafamiliar de Chile</w:t>
      </w:r>
      <w:r w:rsidRPr="0026684F">
        <w:rPr>
          <w:rStyle w:val="Refdenotaalpie"/>
          <w:rFonts w:ascii="Century Gothic" w:hAnsi="Century Gothic"/>
          <w:sz w:val="22"/>
        </w:rPr>
        <w:footnoteReference w:id="20"/>
      </w:r>
      <w:r w:rsidRPr="0026684F">
        <w:rPr>
          <w:rFonts w:ascii="Century Gothic" w:hAnsi="Century Gothic"/>
          <w:sz w:val="22"/>
        </w:rPr>
        <w:t>.</w:t>
      </w:r>
    </w:p>
    <w:p w14:paraId="227129CC" w14:textId="08C152E7" w:rsidR="00E54FA0" w:rsidRPr="0026684F" w:rsidRDefault="00C209FF" w:rsidP="00C209FF">
      <w:pPr>
        <w:rPr>
          <w:rFonts w:ascii="Century Gothic" w:hAnsi="Century Gothic"/>
          <w:sz w:val="22"/>
        </w:rPr>
      </w:pPr>
      <w:r w:rsidRPr="0026684F">
        <w:rPr>
          <w:rFonts w:ascii="Century Gothic" w:hAnsi="Century Gothic"/>
          <w:b/>
          <w:i/>
          <w:sz w:val="22"/>
        </w:rPr>
        <w:t>2.</w:t>
      </w:r>
      <w:r w:rsidRPr="0026684F">
        <w:rPr>
          <w:rFonts w:ascii="Century Gothic" w:hAnsi="Century Gothic"/>
          <w:sz w:val="22"/>
        </w:rPr>
        <w:t xml:space="preserve"> </w:t>
      </w:r>
      <w:r w:rsidR="00E54FA0" w:rsidRPr="0026684F">
        <w:rPr>
          <w:rFonts w:ascii="Century Gothic" w:hAnsi="Century Gothic"/>
          <w:b/>
          <w:i/>
          <w:sz w:val="22"/>
        </w:rPr>
        <w:t>Sanciona</w:t>
      </w:r>
      <w:r w:rsidRPr="0026684F">
        <w:rPr>
          <w:rFonts w:ascii="Century Gothic" w:hAnsi="Century Gothic"/>
          <w:b/>
          <w:i/>
          <w:sz w:val="22"/>
        </w:rPr>
        <w:t>r</w:t>
      </w:r>
      <w:r w:rsidR="00E54FA0" w:rsidRPr="0026684F">
        <w:rPr>
          <w:rFonts w:ascii="Century Gothic" w:hAnsi="Century Gothic"/>
          <w:b/>
          <w:i/>
          <w:sz w:val="22"/>
        </w:rPr>
        <w:t xml:space="preserve"> de manera efectiva a los reincidentes de delitos cometidos contra integrantes de la familia.</w:t>
      </w:r>
      <w:r w:rsidR="00E54FA0" w:rsidRPr="0026684F">
        <w:rPr>
          <w:rFonts w:ascii="Century Gothic" w:hAnsi="Century Gothic"/>
          <w:i/>
          <w:sz w:val="22"/>
        </w:rPr>
        <w:t xml:space="preserve"> </w:t>
      </w:r>
      <w:r w:rsidR="00E54FA0" w:rsidRPr="0026684F">
        <w:rPr>
          <w:rFonts w:ascii="Century Gothic" w:hAnsi="Century Gothic"/>
          <w:sz w:val="22"/>
        </w:rPr>
        <w:t>La iniciativa contempla un agravante para los casos de reincidencia. Según el texto aprobado por la plenaria del Senado de la República, la pena se aumentará en una cuarta parte cuando las personas responsables del delito de violencia intrafamiliar tengan antecedentes penales dentro de los 5 años anteriores por el mismo delito o por cualquiera de las conductas previstas en los títulos I y IV del libro segundo del Código Penal contra un miembro de su núcleo familiar, es decir por los delitos de homicidio y feminicidio así como los delitos sexuales. Esta medida pretende evitar la comisión de conductas violentas en contra de los miembros de su núcleo familiar ante la imposición d</w:t>
      </w:r>
      <w:r w:rsidR="00E14B16" w:rsidRPr="0026684F">
        <w:rPr>
          <w:rFonts w:ascii="Century Gothic" w:hAnsi="Century Gothic"/>
          <w:sz w:val="22"/>
        </w:rPr>
        <w:t>e l</w:t>
      </w:r>
      <w:r w:rsidR="00E54FA0" w:rsidRPr="0026684F">
        <w:rPr>
          <w:rFonts w:ascii="Century Gothic" w:hAnsi="Century Gothic"/>
          <w:sz w:val="22"/>
        </w:rPr>
        <w:t xml:space="preserve">a sanción más severa en contra de los responsables, a través de la creación de una agravación punitiva. </w:t>
      </w:r>
    </w:p>
    <w:p w14:paraId="13F545A2" w14:textId="2C041C9D" w:rsidR="00E54FA0" w:rsidRPr="0026684F" w:rsidRDefault="00E54FA0" w:rsidP="00C209FF">
      <w:pPr>
        <w:rPr>
          <w:rFonts w:ascii="Century Gothic" w:hAnsi="Century Gothic"/>
          <w:sz w:val="22"/>
        </w:rPr>
      </w:pPr>
      <w:r w:rsidRPr="0026684F">
        <w:rPr>
          <w:rFonts w:ascii="Century Gothic" w:hAnsi="Century Gothic"/>
          <w:sz w:val="22"/>
        </w:rPr>
        <w:t xml:space="preserve">No obstante lo anterior, en el texto propuesto para tercer debate la circunstancia de agravación punitiva es sustituida por una regla de dosificación punitiva especial, en virtud de la cual, el sentenciador deberá imponer la pena en el cuarto máximo de movilidad previsto para el delito de violencia intrafamiliar si el agresor tiene antecedentes por esta misma conducta o por una de las contempladas en los Títulos I y IV del Código Penal. Esta regla aplicará siempre que el agresor haya sido condenado </w:t>
      </w:r>
      <w:r w:rsidR="00E14B16" w:rsidRPr="0026684F">
        <w:rPr>
          <w:rFonts w:ascii="Century Gothic" w:hAnsi="Century Gothic"/>
          <w:sz w:val="22"/>
        </w:rPr>
        <w:t xml:space="preserve">por sentencia </w:t>
      </w:r>
      <w:r w:rsidRPr="0026684F">
        <w:rPr>
          <w:rFonts w:ascii="Century Gothic" w:hAnsi="Century Gothic"/>
          <w:sz w:val="22"/>
        </w:rPr>
        <w:t xml:space="preserve">proferida dentro de los 10 años anteriores al nuevo hecho por el cual está siendo procesado. Dicha modificación, tiene como </w:t>
      </w:r>
      <w:r w:rsidRPr="0026684F">
        <w:rPr>
          <w:rFonts w:ascii="Century Gothic" w:hAnsi="Century Gothic"/>
          <w:sz w:val="22"/>
        </w:rPr>
        <w:lastRenderedPageBreak/>
        <w:t xml:space="preserve">propósito fundamental fortalecer el reproche del sistema penal para los agresores reincidentes en esta clase de comportamientos, medida que a su vez propiciará el aumento en los niveles de disuasión y prevención de esta clase de conductas punibles. </w:t>
      </w:r>
    </w:p>
    <w:p w14:paraId="2E92EDEA" w14:textId="5093E06C" w:rsidR="00E54FA0" w:rsidRPr="0026684F" w:rsidRDefault="00E14B16" w:rsidP="00C209FF">
      <w:pPr>
        <w:rPr>
          <w:rFonts w:ascii="Century Gothic" w:hAnsi="Century Gothic"/>
          <w:sz w:val="22"/>
        </w:rPr>
      </w:pPr>
      <w:r w:rsidRPr="0026684F">
        <w:rPr>
          <w:rFonts w:ascii="Century Gothic" w:hAnsi="Century Gothic"/>
          <w:sz w:val="22"/>
        </w:rPr>
        <w:t>E</w:t>
      </w:r>
      <w:r w:rsidR="00E54FA0" w:rsidRPr="0026684F">
        <w:rPr>
          <w:rFonts w:ascii="Century Gothic" w:hAnsi="Century Gothic"/>
          <w:sz w:val="22"/>
        </w:rPr>
        <w:t>sta medida no constituye ni significa un aumento en las penas actualmente vigentes y aplicables pa</w:t>
      </w:r>
      <w:r w:rsidRPr="0026684F">
        <w:rPr>
          <w:rFonts w:ascii="Century Gothic" w:hAnsi="Century Gothic"/>
          <w:sz w:val="22"/>
        </w:rPr>
        <w:t xml:space="preserve">ra este </w:t>
      </w:r>
      <w:r w:rsidR="00E54FA0" w:rsidRPr="0026684F">
        <w:rPr>
          <w:rFonts w:ascii="Century Gothic" w:hAnsi="Century Gothic"/>
          <w:sz w:val="22"/>
        </w:rPr>
        <w:t>delito. La creación de esta regla especial de dosificación punitiva está destinada a que los agresores reincidentes en este delito</w:t>
      </w:r>
      <w:r w:rsidR="00C209FF" w:rsidRPr="0026684F">
        <w:rPr>
          <w:rFonts w:ascii="Century Gothic" w:hAnsi="Century Gothic"/>
          <w:sz w:val="22"/>
        </w:rPr>
        <w:t>,</w:t>
      </w:r>
      <w:r w:rsidR="00E54FA0" w:rsidRPr="0026684F">
        <w:rPr>
          <w:rFonts w:ascii="Century Gothic" w:hAnsi="Century Gothic"/>
          <w:sz w:val="22"/>
        </w:rPr>
        <w:t xml:space="preserve"> y en otros especialmente graves, como lo son los previstos en los Títulos I y IV del Código Penal, sean sancionados mediante la imposición de la pena más alta contemplada</w:t>
      </w:r>
      <w:r w:rsidR="00C209FF" w:rsidRPr="0026684F">
        <w:rPr>
          <w:rFonts w:ascii="Century Gothic" w:hAnsi="Century Gothic"/>
          <w:sz w:val="22"/>
        </w:rPr>
        <w:t xml:space="preserve">, ubicándose </w:t>
      </w:r>
      <w:r w:rsidR="00E54FA0" w:rsidRPr="0026684F">
        <w:rPr>
          <w:rFonts w:ascii="Century Gothic" w:hAnsi="Century Gothic"/>
          <w:sz w:val="22"/>
        </w:rPr>
        <w:t xml:space="preserve">en el rango del cuarto máximo de movilidad punitiva establecido </w:t>
      </w:r>
      <w:r w:rsidR="00C209FF" w:rsidRPr="0026684F">
        <w:rPr>
          <w:rFonts w:ascii="Century Gothic" w:hAnsi="Century Gothic"/>
          <w:sz w:val="22"/>
        </w:rPr>
        <w:t xml:space="preserve">actualmente </w:t>
      </w:r>
      <w:r w:rsidR="00E54FA0" w:rsidRPr="0026684F">
        <w:rPr>
          <w:rFonts w:ascii="Century Gothic" w:hAnsi="Century Gothic"/>
          <w:sz w:val="22"/>
        </w:rPr>
        <w:t>para el del</w:t>
      </w:r>
      <w:r w:rsidR="00C209FF" w:rsidRPr="0026684F">
        <w:rPr>
          <w:rFonts w:ascii="Century Gothic" w:hAnsi="Century Gothic"/>
          <w:sz w:val="22"/>
        </w:rPr>
        <w:t>ito de violencia intrafamiliar. P</w:t>
      </w:r>
      <w:r w:rsidR="00E54FA0" w:rsidRPr="0026684F">
        <w:rPr>
          <w:rFonts w:ascii="Century Gothic" w:hAnsi="Century Gothic"/>
          <w:sz w:val="22"/>
        </w:rPr>
        <w:t>ena que oscilaría, para los supuestos en los cuales se esté judicializando a un agresor reincidente, entre los 84 y 96 meses de prisión.</w:t>
      </w:r>
    </w:p>
    <w:p w14:paraId="7333C9B2" w14:textId="77777777" w:rsidR="00E54FA0" w:rsidRPr="0026684F" w:rsidRDefault="00E54FA0" w:rsidP="00C209FF">
      <w:pPr>
        <w:rPr>
          <w:rFonts w:ascii="Century Gothic" w:hAnsi="Century Gothic"/>
          <w:sz w:val="22"/>
        </w:rPr>
      </w:pPr>
      <w:r w:rsidRPr="0026684F">
        <w:rPr>
          <w:rFonts w:ascii="Century Gothic" w:hAnsi="Century Gothic"/>
          <w:sz w:val="22"/>
        </w:rPr>
        <w:t xml:space="preserve">De igual forma, </w:t>
      </w:r>
      <w:r w:rsidR="00E14B16" w:rsidRPr="0026684F">
        <w:rPr>
          <w:rFonts w:ascii="Century Gothic" w:hAnsi="Century Gothic"/>
          <w:sz w:val="22"/>
        </w:rPr>
        <w:t xml:space="preserve">en </w:t>
      </w:r>
      <w:r w:rsidRPr="0026684F">
        <w:rPr>
          <w:rFonts w:ascii="Century Gothic" w:hAnsi="Century Gothic"/>
          <w:sz w:val="22"/>
        </w:rPr>
        <w:t>el texto propuesto para tercer debate, se plantea sustituir el lapso en el cual tendría efectos la reincidencia en esta clase de delitos de 5 años, como fue aprobado en plenaria del Senado de la República, a 10 años. Esta ligera modificación permitirá acoger un mayor número de casos en los cuales se esté ante agresores reincidentes en este tipo de delitos, medida que repercutirá positivamente en la protección de las víctimas de esta clase de comportamientos punibles.</w:t>
      </w:r>
    </w:p>
    <w:p w14:paraId="7EC38AB5" w14:textId="54DF14AC" w:rsidR="00E54FA0" w:rsidRPr="0026684F" w:rsidRDefault="00C209FF" w:rsidP="00C209FF">
      <w:pPr>
        <w:rPr>
          <w:rFonts w:ascii="Century Gothic" w:hAnsi="Century Gothic"/>
          <w:sz w:val="22"/>
        </w:rPr>
      </w:pPr>
      <w:r w:rsidRPr="0026684F">
        <w:rPr>
          <w:rFonts w:ascii="Century Gothic" w:hAnsi="Century Gothic"/>
          <w:b/>
          <w:i/>
          <w:sz w:val="22"/>
        </w:rPr>
        <w:t xml:space="preserve">3. </w:t>
      </w:r>
      <w:r w:rsidR="00E54FA0" w:rsidRPr="0026684F">
        <w:rPr>
          <w:rFonts w:ascii="Century Gothic" w:hAnsi="Century Gothic"/>
          <w:b/>
          <w:i/>
          <w:sz w:val="22"/>
        </w:rPr>
        <w:t>Protege</w:t>
      </w:r>
      <w:r w:rsidRPr="0026684F">
        <w:rPr>
          <w:rFonts w:ascii="Century Gothic" w:hAnsi="Century Gothic"/>
          <w:b/>
          <w:i/>
          <w:sz w:val="22"/>
        </w:rPr>
        <w:t>r</w:t>
      </w:r>
      <w:r w:rsidR="00E54FA0" w:rsidRPr="0026684F">
        <w:rPr>
          <w:rFonts w:ascii="Century Gothic" w:hAnsi="Century Gothic"/>
          <w:b/>
          <w:i/>
          <w:sz w:val="22"/>
        </w:rPr>
        <w:t xml:space="preserve"> el derecho a la intimidad de las víctimas.</w:t>
      </w:r>
      <w:r w:rsidR="00E54FA0" w:rsidRPr="0026684F">
        <w:rPr>
          <w:rFonts w:ascii="Century Gothic" w:hAnsi="Century Gothic"/>
          <w:i/>
          <w:sz w:val="22"/>
        </w:rPr>
        <w:t xml:space="preserve"> </w:t>
      </w:r>
      <w:r w:rsidR="00E54FA0" w:rsidRPr="0026684F">
        <w:rPr>
          <w:rFonts w:ascii="Century Gothic" w:hAnsi="Century Gothic"/>
          <w:sz w:val="22"/>
        </w:rPr>
        <w:t>Con el fin de garantizar el derecho a la intimidad de las víctimas, la iniciativa prevé que el juez tendrá la facultad de realizar audiencias cerradas al público y determinar la reserva de sus datos personales, si así lo solicitan los intervinientes en el proceso y este se adelante por uno de los delitos contra la libertad y formación sexual, violencia sexual y violencia intrafamiliar. Esta facultad judicial y prerrogativa de las víctimas e intervinientes en el trámite judicial opera en la actualidad en los procesos judiciales en los cuales la</w:t>
      </w:r>
      <w:r w:rsidRPr="0026684F">
        <w:rPr>
          <w:rFonts w:ascii="Century Gothic" w:hAnsi="Century Gothic"/>
          <w:sz w:val="22"/>
        </w:rPr>
        <w:t>s</w:t>
      </w:r>
      <w:r w:rsidR="00E54FA0" w:rsidRPr="0026684F">
        <w:rPr>
          <w:rFonts w:ascii="Century Gothic" w:hAnsi="Century Gothic"/>
          <w:sz w:val="22"/>
        </w:rPr>
        <w:t xml:space="preserve"> víctima</w:t>
      </w:r>
      <w:r w:rsidRPr="0026684F">
        <w:rPr>
          <w:rFonts w:ascii="Century Gothic" w:hAnsi="Century Gothic"/>
          <w:sz w:val="22"/>
        </w:rPr>
        <w:t>s</w:t>
      </w:r>
      <w:r w:rsidR="00E54FA0" w:rsidRPr="0026684F">
        <w:rPr>
          <w:rFonts w:ascii="Century Gothic" w:hAnsi="Century Gothic"/>
          <w:sz w:val="22"/>
        </w:rPr>
        <w:t xml:space="preserve"> de la conducta son niños, niñas y adolescentes. </w:t>
      </w:r>
    </w:p>
    <w:p w14:paraId="0DE526B6" w14:textId="1528D6BF" w:rsidR="00E54FA0" w:rsidRPr="004F0D50" w:rsidRDefault="00C209FF" w:rsidP="004F0D50">
      <w:pPr>
        <w:rPr>
          <w:rFonts w:ascii="Century Gothic" w:hAnsi="Century Gothic"/>
          <w:i/>
          <w:sz w:val="22"/>
        </w:rPr>
      </w:pPr>
      <w:r w:rsidRPr="0026684F">
        <w:rPr>
          <w:rFonts w:ascii="Century Gothic" w:hAnsi="Century Gothic"/>
          <w:b/>
          <w:i/>
          <w:sz w:val="22"/>
        </w:rPr>
        <w:t xml:space="preserve">4. </w:t>
      </w:r>
      <w:r w:rsidR="00E54FA0" w:rsidRPr="0026684F">
        <w:rPr>
          <w:rFonts w:ascii="Century Gothic" w:hAnsi="Century Gothic"/>
          <w:b/>
          <w:i/>
          <w:sz w:val="22"/>
        </w:rPr>
        <w:t>Evita</w:t>
      </w:r>
      <w:r w:rsidRPr="0026684F">
        <w:rPr>
          <w:rFonts w:ascii="Century Gothic" w:hAnsi="Century Gothic"/>
          <w:b/>
          <w:i/>
          <w:sz w:val="22"/>
        </w:rPr>
        <w:t>r</w:t>
      </w:r>
      <w:r w:rsidR="00E54FA0" w:rsidRPr="0026684F">
        <w:rPr>
          <w:rFonts w:ascii="Century Gothic" w:hAnsi="Century Gothic"/>
          <w:b/>
          <w:i/>
          <w:sz w:val="22"/>
        </w:rPr>
        <w:t xml:space="preserve"> la victimización secundaria en el proceso penal.</w:t>
      </w:r>
      <w:r w:rsidR="00E54FA0" w:rsidRPr="0026684F">
        <w:rPr>
          <w:rFonts w:ascii="Century Gothic" w:hAnsi="Century Gothic"/>
          <w:i/>
          <w:sz w:val="22"/>
        </w:rPr>
        <w:t xml:space="preserve"> </w:t>
      </w:r>
      <w:r w:rsidR="00E54FA0" w:rsidRPr="0026684F">
        <w:rPr>
          <w:rFonts w:ascii="Century Gothic" w:hAnsi="Century Gothic"/>
          <w:sz w:val="22"/>
        </w:rPr>
        <w:t xml:space="preserve">La práctica de pruebas en los procesos de violencia intrafamiliar requieren de inmediatez y de protección especial para las víctimas. Este delito ocurre sobre el cuerpo de las víctimas y en la mayoría de los casos en espacios cerrados </w:t>
      </w:r>
      <w:r w:rsidRPr="0026684F">
        <w:rPr>
          <w:rFonts w:ascii="Century Gothic" w:hAnsi="Century Gothic"/>
          <w:sz w:val="22"/>
        </w:rPr>
        <w:t xml:space="preserve">aislados </w:t>
      </w:r>
      <w:r w:rsidR="00E54FA0" w:rsidRPr="0026684F">
        <w:rPr>
          <w:rFonts w:ascii="Century Gothic" w:hAnsi="Century Gothic"/>
          <w:sz w:val="22"/>
        </w:rPr>
        <w:t xml:space="preserve">de la intervención de terceros que puedan dar cuenta de lo ocurrido. Por ello, es pertinente permitir la práctica de pruebas anticipadas. </w:t>
      </w:r>
    </w:p>
    <w:p w14:paraId="2B0ADF1F" w14:textId="3D4E09B5" w:rsidR="00CA5666" w:rsidRPr="0026684F" w:rsidRDefault="00CA5666" w:rsidP="00C209FF">
      <w:pPr>
        <w:rPr>
          <w:rFonts w:ascii="Century Gothic" w:hAnsi="Century Gothic"/>
          <w:sz w:val="22"/>
        </w:rPr>
      </w:pPr>
      <w:r w:rsidRPr="0026684F">
        <w:rPr>
          <w:rFonts w:ascii="Century Gothic" w:hAnsi="Century Gothic"/>
          <w:sz w:val="22"/>
        </w:rPr>
        <w:t xml:space="preserve">La práctica de pruebas como la testimonial en esos procesos implica un evento </w:t>
      </w:r>
      <w:r w:rsidR="00A112C2" w:rsidRPr="0026684F">
        <w:rPr>
          <w:rFonts w:ascii="Century Gothic" w:hAnsi="Century Gothic"/>
          <w:sz w:val="22"/>
        </w:rPr>
        <w:t>traumático</w:t>
      </w:r>
      <w:r w:rsidR="00C209FF" w:rsidRPr="0026684F">
        <w:rPr>
          <w:rFonts w:ascii="Century Gothic" w:hAnsi="Century Gothic"/>
          <w:sz w:val="22"/>
        </w:rPr>
        <w:t xml:space="preserve"> para la ví</w:t>
      </w:r>
      <w:r w:rsidRPr="0026684F">
        <w:rPr>
          <w:rFonts w:ascii="Century Gothic" w:hAnsi="Century Gothic"/>
          <w:sz w:val="22"/>
        </w:rPr>
        <w:t>ctima qui</w:t>
      </w:r>
      <w:r w:rsidR="0045496A" w:rsidRPr="0026684F">
        <w:rPr>
          <w:rFonts w:ascii="Century Gothic" w:hAnsi="Century Gothic"/>
          <w:sz w:val="22"/>
        </w:rPr>
        <w:t>en debe confrontar a su agresor y</w:t>
      </w:r>
      <w:r w:rsidR="00A112C2" w:rsidRPr="0026684F">
        <w:rPr>
          <w:rFonts w:ascii="Century Gothic" w:hAnsi="Century Gothic"/>
          <w:sz w:val="22"/>
        </w:rPr>
        <w:t xml:space="preserve"> recordar el momento en el que fue violentad</w:t>
      </w:r>
      <w:r w:rsidR="00696445" w:rsidRPr="0026684F">
        <w:rPr>
          <w:rFonts w:ascii="Century Gothic" w:hAnsi="Century Gothic"/>
          <w:sz w:val="22"/>
        </w:rPr>
        <w:t>a. Esta situación y su</w:t>
      </w:r>
      <w:r w:rsidR="00A112C2" w:rsidRPr="0026684F">
        <w:rPr>
          <w:rFonts w:ascii="Century Gothic" w:hAnsi="Century Gothic"/>
          <w:sz w:val="22"/>
        </w:rPr>
        <w:t xml:space="preserve"> posible manipulación puede</w:t>
      </w:r>
      <w:r w:rsidR="00696445" w:rsidRPr="0026684F">
        <w:rPr>
          <w:rFonts w:ascii="Century Gothic" w:hAnsi="Century Gothic"/>
          <w:sz w:val="22"/>
        </w:rPr>
        <w:t>n</w:t>
      </w:r>
      <w:r w:rsidR="00A112C2" w:rsidRPr="0026684F">
        <w:rPr>
          <w:rFonts w:ascii="Century Gothic" w:hAnsi="Century Gothic"/>
          <w:sz w:val="22"/>
        </w:rPr>
        <w:t xml:space="preserve"> conllevar a una retractación de la víctima en su dicho</w:t>
      </w:r>
      <w:r w:rsidR="00143BB9" w:rsidRPr="0026684F">
        <w:rPr>
          <w:rFonts w:ascii="Century Gothic" w:hAnsi="Century Gothic"/>
          <w:sz w:val="22"/>
        </w:rPr>
        <w:t>, lo q</w:t>
      </w:r>
      <w:r w:rsidR="00C209FF" w:rsidRPr="0026684F">
        <w:rPr>
          <w:rFonts w:ascii="Century Gothic" w:hAnsi="Century Gothic"/>
          <w:sz w:val="22"/>
        </w:rPr>
        <w:t>ue genera un riesgo de absoluci</w:t>
      </w:r>
      <w:r w:rsidR="00143BB9" w:rsidRPr="0026684F">
        <w:rPr>
          <w:rFonts w:ascii="Century Gothic" w:hAnsi="Century Gothic"/>
          <w:sz w:val="22"/>
        </w:rPr>
        <w:t>ón por</w:t>
      </w:r>
      <w:r w:rsidR="00696445" w:rsidRPr="0026684F">
        <w:rPr>
          <w:rFonts w:ascii="Century Gothic" w:hAnsi="Century Gothic"/>
          <w:sz w:val="22"/>
        </w:rPr>
        <w:t xml:space="preserve"> duda razonable en casos en los, a pesar de </w:t>
      </w:r>
      <w:r w:rsidR="00143BB9" w:rsidRPr="0026684F">
        <w:rPr>
          <w:rFonts w:ascii="Century Gothic" w:hAnsi="Century Gothic"/>
          <w:sz w:val="22"/>
        </w:rPr>
        <w:t>que la agresión fue contundente</w:t>
      </w:r>
      <w:r w:rsidR="00696445" w:rsidRPr="0026684F">
        <w:rPr>
          <w:rFonts w:ascii="Century Gothic" w:hAnsi="Century Gothic"/>
          <w:sz w:val="22"/>
        </w:rPr>
        <w:t xml:space="preserve">, se cuenta con </w:t>
      </w:r>
      <w:r w:rsidR="00143BB9" w:rsidRPr="0026684F">
        <w:rPr>
          <w:rFonts w:ascii="Century Gothic" w:hAnsi="Century Gothic"/>
          <w:sz w:val="22"/>
        </w:rPr>
        <w:t xml:space="preserve">pocas pruebas. </w:t>
      </w:r>
    </w:p>
    <w:p w14:paraId="3B6C5CE3" w14:textId="7E637A20" w:rsidR="00CA5666" w:rsidRPr="0026684F" w:rsidRDefault="00E54FA0" w:rsidP="00C209FF">
      <w:pPr>
        <w:rPr>
          <w:rFonts w:ascii="Century Gothic" w:hAnsi="Century Gothic"/>
          <w:sz w:val="22"/>
        </w:rPr>
      </w:pPr>
      <w:r w:rsidRPr="0026684F">
        <w:rPr>
          <w:rFonts w:ascii="Century Gothic" w:hAnsi="Century Gothic"/>
          <w:sz w:val="22"/>
        </w:rPr>
        <w:lastRenderedPageBreak/>
        <w:t>La prueba anticipada es un</w:t>
      </w:r>
      <w:r w:rsidR="00E14B16" w:rsidRPr="0026684F">
        <w:rPr>
          <w:rFonts w:ascii="Century Gothic" w:hAnsi="Century Gothic"/>
          <w:sz w:val="22"/>
        </w:rPr>
        <w:t xml:space="preserve"> instituto procesal que permite practicar pruebas fuera de la audiencia de juicio oral</w:t>
      </w:r>
      <w:r w:rsidR="00696445" w:rsidRPr="0026684F">
        <w:rPr>
          <w:rFonts w:ascii="Century Gothic" w:hAnsi="Century Gothic"/>
          <w:sz w:val="22"/>
        </w:rPr>
        <w:t>,</w:t>
      </w:r>
      <w:r w:rsidR="00E14B16" w:rsidRPr="0026684F">
        <w:rPr>
          <w:rFonts w:ascii="Century Gothic" w:hAnsi="Century Gothic"/>
          <w:sz w:val="22"/>
        </w:rPr>
        <w:t xml:space="preserve"> con una afectación reducida del derecho a la inmediación</w:t>
      </w:r>
      <w:r w:rsidRPr="0026684F">
        <w:rPr>
          <w:rFonts w:ascii="Century Gothic" w:hAnsi="Century Gothic"/>
          <w:sz w:val="22"/>
        </w:rPr>
        <w:t>.</w:t>
      </w:r>
      <w:r w:rsidR="00E40C25" w:rsidRPr="0026684F">
        <w:rPr>
          <w:rFonts w:ascii="Century Gothic" w:hAnsi="Century Gothic"/>
          <w:sz w:val="22"/>
        </w:rPr>
        <w:t xml:space="preserve"> Sin embargo, es un mecanismo subsidiario </w:t>
      </w:r>
      <w:r w:rsidR="00BD33A0" w:rsidRPr="0026684F">
        <w:rPr>
          <w:rFonts w:ascii="Century Gothic" w:hAnsi="Century Gothic"/>
          <w:sz w:val="22"/>
        </w:rPr>
        <w:t xml:space="preserve">que solo puede utilizarse ante el riesgo inminente </w:t>
      </w:r>
      <w:r w:rsidR="006E1E9A" w:rsidRPr="0026684F">
        <w:rPr>
          <w:rFonts w:ascii="Century Gothic" w:hAnsi="Century Gothic"/>
          <w:sz w:val="22"/>
        </w:rPr>
        <w:t xml:space="preserve">de </w:t>
      </w:r>
      <w:r w:rsidR="00696445" w:rsidRPr="0026684F">
        <w:rPr>
          <w:rFonts w:ascii="Century Gothic" w:hAnsi="Century Gothic"/>
          <w:sz w:val="22"/>
        </w:rPr>
        <w:t>la indisponibilidad de</w:t>
      </w:r>
      <w:r w:rsidR="006E1E9A" w:rsidRPr="0026684F">
        <w:rPr>
          <w:rFonts w:ascii="Century Gothic" w:hAnsi="Century Gothic"/>
          <w:sz w:val="22"/>
        </w:rPr>
        <w:t xml:space="preserve"> la prueba a practicar. Adicionalmente, en </w:t>
      </w:r>
      <w:r w:rsidR="00696445" w:rsidRPr="0026684F">
        <w:rPr>
          <w:rFonts w:ascii="Century Gothic" w:hAnsi="Century Gothic"/>
          <w:sz w:val="22"/>
        </w:rPr>
        <w:t>el evento</w:t>
      </w:r>
      <w:r w:rsidR="006E1E9A" w:rsidRPr="0026684F">
        <w:rPr>
          <w:rFonts w:ascii="Century Gothic" w:hAnsi="Century Gothic"/>
          <w:sz w:val="22"/>
        </w:rPr>
        <w:t xml:space="preserve"> de que la prueba </w:t>
      </w:r>
      <w:r w:rsidR="00F44776" w:rsidRPr="0026684F">
        <w:rPr>
          <w:rFonts w:ascii="Century Gothic" w:hAnsi="Century Gothic"/>
          <w:sz w:val="22"/>
        </w:rPr>
        <w:t>esté</w:t>
      </w:r>
      <w:r w:rsidR="006E1E9A" w:rsidRPr="0026684F">
        <w:rPr>
          <w:rFonts w:ascii="Century Gothic" w:hAnsi="Century Gothic"/>
          <w:sz w:val="22"/>
        </w:rPr>
        <w:t xml:space="preserve"> disponible al momento del juicio oral </w:t>
      </w:r>
      <w:r w:rsidR="00F44776" w:rsidRPr="0026684F">
        <w:rPr>
          <w:rFonts w:ascii="Century Gothic" w:hAnsi="Century Gothic"/>
          <w:sz w:val="22"/>
        </w:rPr>
        <w:t>deberá practicarse nuevamente. Lo anterior ha conllevado a que en los casos de violencia intrafamiliar</w:t>
      </w:r>
      <w:r w:rsidR="00696445" w:rsidRPr="0026684F">
        <w:rPr>
          <w:rFonts w:ascii="Century Gothic" w:hAnsi="Century Gothic"/>
          <w:sz w:val="22"/>
        </w:rPr>
        <w:t>,</w:t>
      </w:r>
      <w:r w:rsidR="00F44776" w:rsidRPr="0026684F">
        <w:rPr>
          <w:rFonts w:ascii="Century Gothic" w:hAnsi="Century Gothic"/>
          <w:sz w:val="22"/>
        </w:rPr>
        <w:t xml:space="preserve"> la Fiscalía evite la práctica</w:t>
      </w:r>
      <w:r w:rsidR="00696445" w:rsidRPr="0026684F">
        <w:rPr>
          <w:rFonts w:ascii="Century Gothic" w:hAnsi="Century Gothic"/>
          <w:sz w:val="22"/>
        </w:rPr>
        <w:t xml:space="preserve"> de</w:t>
      </w:r>
      <w:r w:rsidR="00F44776" w:rsidRPr="0026684F">
        <w:rPr>
          <w:rFonts w:ascii="Century Gothic" w:hAnsi="Century Gothic"/>
          <w:sz w:val="22"/>
        </w:rPr>
        <w:t xml:space="preserve"> pru</w:t>
      </w:r>
      <w:r w:rsidR="00696445" w:rsidRPr="0026684F">
        <w:rPr>
          <w:rFonts w:ascii="Century Gothic" w:hAnsi="Century Gothic"/>
          <w:sz w:val="22"/>
        </w:rPr>
        <w:t>ebas anticipadas</w:t>
      </w:r>
      <w:r w:rsidR="00F44776" w:rsidRPr="0026684F">
        <w:rPr>
          <w:rFonts w:ascii="Century Gothic" w:hAnsi="Century Gothic"/>
          <w:sz w:val="22"/>
        </w:rPr>
        <w:t xml:space="preserve">, en tanto, es posible que la víctima </w:t>
      </w:r>
      <w:r w:rsidR="00856E37" w:rsidRPr="0026684F">
        <w:rPr>
          <w:rFonts w:ascii="Century Gothic" w:hAnsi="Century Gothic"/>
          <w:sz w:val="22"/>
        </w:rPr>
        <w:t>esté</w:t>
      </w:r>
      <w:r w:rsidR="00F44776" w:rsidRPr="0026684F">
        <w:rPr>
          <w:rFonts w:ascii="Century Gothic" w:hAnsi="Century Gothic"/>
          <w:sz w:val="22"/>
        </w:rPr>
        <w:t xml:space="preserve"> disponible al momento del juicio </w:t>
      </w:r>
      <w:r w:rsidR="00856E37" w:rsidRPr="0026684F">
        <w:rPr>
          <w:rFonts w:ascii="Century Gothic" w:hAnsi="Century Gothic"/>
          <w:sz w:val="22"/>
        </w:rPr>
        <w:t>y deba someterse a un nuevo interrogatorio</w:t>
      </w:r>
      <w:r w:rsidR="00696445" w:rsidRPr="0026684F">
        <w:rPr>
          <w:rFonts w:ascii="Century Gothic" w:hAnsi="Century Gothic"/>
          <w:sz w:val="22"/>
        </w:rPr>
        <w:t>, afectándose así su derecho</w:t>
      </w:r>
      <w:r w:rsidR="00856E37" w:rsidRPr="0026684F">
        <w:rPr>
          <w:rFonts w:ascii="Century Gothic" w:hAnsi="Century Gothic"/>
          <w:sz w:val="22"/>
        </w:rPr>
        <w:t xml:space="preserve"> a </w:t>
      </w:r>
      <w:r w:rsidR="00696445" w:rsidRPr="0026684F">
        <w:rPr>
          <w:rFonts w:ascii="Century Gothic" w:hAnsi="Century Gothic"/>
          <w:sz w:val="22"/>
        </w:rPr>
        <w:t xml:space="preserve">la </w:t>
      </w:r>
      <w:r w:rsidR="00856E37" w:rsidRPr="0026684F">
        <w:rPr>
          <w:rFonts w:ascii="Century Gothic" w:hAnsi="Century Gothic"/>
          <w:sz w:val="22"/>
        </w:rPr>
        <w:t xml:space="preserve">no </w:t>
      </w:r>
      <w:r w:rsidR="00696445" w:rsidRPr="0026684F">
        <w:rPr>
          <w:rFonts w:ascii="Century Gothic" w:hAnsi="Century Gothic"/>
          <w:sz w:val="22"/>
        </w:rPr>
        <w:t>revictimización</w:t>
      </w:r>
      <w:r w:rsidR="00856E37" w:rsidRPr="0026684F">
        <w:rPr>
          <w:rFonts w:ascii="Century Gothic" w:hAnsi="Century Gothic"/>
          <w:sz w:val="22"/>
        </w:rPr>
        <w:t xml:space="preserve">. </w:t>
      </w:r>
    </w:p>
    <w:p w14:paraId="6B77B696" w14:textId="77777777" w:rsidR="00E54FA0" w:rsidRPr="0026684F" w:rsidRDefault="00E54FA0" w:rsidP="00C209FF">
      <w:pPr>
        <w:rPr>
          <w:rFonts w:ascii="Century Gothic" w:hAnsi="Century Gothic"/>
          <w:sz w:val="22"/>
        </w:rPr>
      </w:pPr>
      <w:r w:rsidRPr="0026684F">
        <w:rPr>
          <w:rFonts w:ascii="Century Gothic" w:hAnsi="Century Gothic"/>
          <w:sz w:val="22"/>
        </w:rPr>
        <w:t xml:space="preserve">Así mismo, su práctica en los procesos adelantados por casos constitutivos de violencia intrafamiliar no vulnera los principios de inmediación, contradicción, concentración y juez natural, ya que se seguirán observando las reglas establecidas por el artículo 284 de la Ley 906 de 2004. </w:t>
      </w:r>
    </w:p>
    <w:p w14:paraId="460467B0" w14:textId="1B4F89CE" w:rsidR="00E54FA0" w:rsidRPr="0026684F" w:rsidRDefault="00C209FF" w:rsidP="00C209FF">
      <w:pPr>
        <w:rPr>
          <w:rFonts w:ascii="Century Gothic" w:hAnsi="Century Gothic"/>
          <w:sz w:val="22"/>
        </w:rPr>
      </w:pPr>
      <w:r w:rsidRPr="0026684F">
        <w:rPr>
          <w:rFonts w:ascii="Century Gothic" w:hAnsi="Century Gothic"/>
          <w:b/>
          <w:i/>
          <w:sz w:val="22"/>
        </w:rPr>
        <w:t xml:space="preserve">5. </w:t>
      </w:r>
      <w:r w:rsidR="00E54FA0" w:rsidRPr="0026684F">
        <w:rPr>
          <w:rFonts w:ascii="Century Gothic" w:hAnsi="Century Gothic"/>
          <w:b/>
          <w:i/>
          <w:sz w:val="22"/>
        </w:rPr>
        <w:t>Dispone mecanismos de agilidad procesal</w:t>
      </w:r>
      <w:r w:rsidR="00E54FA0" w:rsidRPr="0026684F">
        <w:rPr>
          <w:rFonts w:ascii="Century Gothic" w:hAnsi="Century Gothic"/>
          <w:b/>
          <w:sz w:val="22"/>
        </w:rPr>
        <w:t>.</w:t>
      </w:r>
      <w:r w:rsidR="00E54FA0" w:rsidRPr="0026684F">
        <w:rPr>
          <w:rFonts w:ascii="Century Gothic" w:hAnsi="Century Gothic"/>
          <w:sz w:val="22"/>
        </w:rPr>
        <w:t xml:space="preserve"> Con el fin de garantizar el acceso efectivo de las víctimas a la justicia para obtener una resolución pronta y efectiva de sus casos, </w:t>
      </w:r>
      <w:r w:rsidR="00696445" w:rsidRPr="0026684F">
        <w:rPr>
          <w:rFonts w:ascii="Century Gothic" w:hAnsi="Century Gothic"/>
          <w:sz w:val="22"/>
        </w:rPr>
        <w:t xml:space="preserve">se </w:t>
      </w:r>
      <w:r w:rsidR="00E54FA0" w:rsidRPr="0026684F">
        <w:rPr>
          <w:rFonts w:ascii="Century Gothic" w:hAnsi="Century Gothic"/>
          <w:sz w:val="22"/>
        </w:rPr>
        <w:t xml:space="preserve">plantea la aplicación del procedimiento especial abreviado para el delito de violencia intrafamiliar. La inclusión del delito de violencia intrafamiliar </w:t>
      </w:r>
      <w:r w:rsidR="00696445" w:rsidRPr="0026684F">
        <w:rPr>
          <w:rFonts w:ascii="Century Gothic" w:hAnsi="Century Gothic"/>
          <w:sz w:val="22"/>
        </w:rPr>
        <w:t>en e</w:t>
      </w:r>
      <w:r w:rsidR="00E54FA0" w:rsidRPr="0026684F">
        <w:rPr>
          <w:rFonts w:ascii="Century Gothic" w:hAnsi="Century Gothic"/>
          <w:sz w:val="22"/>
        </w:rPr>
        <w:t xml:space="preserve">l ámbito de aplicación de este procedimiento especial no implica que la Fiscalía dejará de ejercer la acción penal </w:t>
      </w:r>
      <w:r w:rsidR="00696445" w:rsidRPr="0026684F">
        <w:rPr>
          <w:rFonts w:ascii="Century Gothic" w:hAnsi="Century Gothic"/>
          <w:sz w:val="22"/>
        </w:rPr>
        <w:t>en estos casos</w:t>
      </w:r>
      <w:r w:rsidR="00E54FA0" w:rsidRPr="0026684F">
        <w:rPr>
          <w:rFonts w:ascii="Century Gothic" w:hAnsi="Century Gothic"/>
          <w:sz w:val="22"/>
        </w:rPr>
        <w:t>, toda vez que expresamente se establece la prohibición de convertir la acción penal en los casos de violencia intrafamiliar. De esta forma</w:t>
      </w:r>
      <w:r w:rsidR="00696445" w:rsidRPr="0026684F">
        <w:rPr>
          <w:rFonts w:ascii="Century Gothic" w:hAnsi="Century Gothic"/>
          <w:sz w:val="22"/>
        </w:rPr>
        <w:t>,</w:t>
      </w:r>
      <w:r w:rsidR="00E54FA0" w:rsidRPr="0026684F">
        <w:rPr>
          <w:rFonts w:ascii="Century Gothic" w:hAnsi="Century Gothic"/>
          <w:sz w:val="22"/>
        </w:rPr>
        <w:t xml:space="preserve"> se protege a las víctimas de este delito ante eventuales represalias del agresor al momento de decidir adelantar el proceso penal por su cuenta</w:t>
      </w:r>
      <w:r w:rsidR="00696445" w:rsidRPr="0026684F">
        <w:rPr>
          <w:rFonts w:ascii="Century Gothic" w:hAnsi="Century Gothic"/>
          <w:sz w:val="22"/>
        </w:rPr>
        <w:t xml:space="preserve"> bajo la modalidad de acusador privado</w:t>
      </w:r>
      <w:r w:rsidR="00E54FA0" w:rsidRPr="0026684F">
        <w:rPr>
          <w:rFonts w:ascii="Century Gothic" w:hAnsi="Century Gothic"/>
          <w:sz w:val="22"/>
        </w:rPr>
        <w:t>.</w:t>
      </w:r>
    </w:p>
    <w:p w14:paraId="5B4C6FE4" w14:textId="06FFE40C" w:rsidR="00E54FA0" w:rsidRPr="0026684F" w:rsidRDefault="00E54FA0" w:rsidP="00696445">
      <w:pPr>
        <w:rPr>
          <w:rFonts w:ascii="Century Gothic" w:hAnsi="Century Gothic"/>
          <w:sz w:val="22"/>
        </w:rPr>
      </w:pPr>
      <w:r w:rsidRPr="0026684F">
        <w:rPr>
          <w:rFonts w:ascii="Century Gothic" w:hAnsi="Century Gothic"/>
          <w:sz w:val="22"/>
        </w:rPr>
        <w:t>Así mismo, incluir el delito de violencia intrafamiliar dentro de</w:t>
      </w:r>
      <w:r w:rsidR="00696445" w:rsidRPr="0026684F">
        <w:rPr>
          <w:rFonts w:ascii="Century Gothic" w:hAnsi="Century Gothic"/>
          <w:sz w:val="22"/>
        </w:rPr>
        <w:t xml:space="preserve"> la</w:t>
      </w:r>
      <w:r w:rsidRPr="0026684F">
        <w:rPr>
          <w:rFonts w:ascii="Century Gothic" w:hAnsi="Century Gothic"/>
          <w:sz w:val="22"/>
        </w:rPr>
        <w:t xml:space="preserve"> aplicación del procedimiento especial abreviado, con la prohibición de la conversión de la acción penal, favorecerá la respuesta pronta del sistema judicial en relación con la judicialización del delito de violencia intrafamiliar. Este efecto, además de tornar más eficiente la judicialización de los agresores, permitirá que las víctimas de estas conductas obtengan el restablecimiento de sus derechos de una manera más pronta </w:t>
      </w:r>
      <w:r w:rsidR="00696445" w:rsidRPr="0026684F">
        <w:rPr>
          <w:rFonts w:ascii="Century Gothic" w:hAnsi="Century Gothic"/>
          <w:sz w:val="22"/>
        </w:rPr>
        <w:t>en razón a la reducción del número de etapas procesales</w:t>
      </w:r>
      <w:r w:rsidR="00CE5155" w:rsidRPr="0026684F">
        <w:rPr>
          <w:rFonts w:ascii="Century Gothic" w:hAnsi="Century Gothic"/>
          <w:sz w:val="22"/>
        </w:rPr>
        <w:t>.</w:t>
      </w:r>
    </w:p>
    <w:p w14:paraId="34EC9892" w14:textId="77777777" w:rsidR="00CE5155" w:rsidRPr="0026684F" w:rsidRDefault="00CE5155" w:rsidP="00E54FA0">
      <w:pPr>
        <w:pStyle w:val="Prrafodelista"/>
        <w:rPr>
          <w:rFonts w:ascii="Century Gothic" w:hAnsi="Century Gothic"/>
          <w:sz w:val="22"/>
        </w:rPr>
      </w:pPr>
    </w:p>
    <w:p w14:paraId="62FCF5F9" w14:textId="77777777" w:rsidR="008C0A6D" w:rsidRPr="0026684F" w:rsidRDefault="008C0A6D" w:rsidP="00BB7316">
      <w:pPr>
        <w:pStyle w:val="Prrafodelista"/>
        <w:numPr>
          <w:ilvl w:val="1"/>
          <w:numId w:val="9"/>
        </w:numPr>
        <w:rPr>
          <w:rFonts w:ascii="Century Gothic" w:hAnsi="Century Gothic"/>
          <w:b/>
          <w:sz w:val="22"/>
        </w:rPr>
      </w:pPr>
      <w:r w:rsidRPr="0026684F">
        <w:rPr>
          <w:rFonts w:ascii="Century Gothic" w:hAnsi="Century Gothic"/>
          <w:b/>
          <w:sz w:val="22"/>
        </w:rPr>
        <w:t xml:space="preserve"> Constitucionalidad de las propuestas</w:t>
      </w:r>
    </w:p>
    <w:p w14:paraId="1D7542E7" w14:textId="77777777" w:rsidR="00B04092" w:rsidRPr="0026684F" w:rsidRDefault="00B04092" w:rsidP="00B04092">
      <w:pPr>
        <w:rPr>
          <w:rFonts w:ascii="Century Gothic" w:hAnsi="Century Gothic"/>
          <w:sz w:val="22"/>
        </w:rPr>
      </w:pPr>
      <w:r w:rsidRPr="0026684F">
        <w:rPr>
          <w:rFonts w:ascii="Century Gothic" w:hAnsi="Century Gothic"/>
          <w:sz w:val="22"/>
        </w:rPr>
        <w:t xml:space="preserve">Las propuestas planteadas por el Proyecto de Ley 139 de 2017, son suficientes para solucionar los problemas de investigación y judicialización de la violencia intrafamiliar que enfrentan los órganos de justicia, a la vez que permiten prevenir la afectación de derechos de mayor entidad de las personas. La iniciativa desarrolla los artículos 2 y 42 de la Constitución Política de Colombia y varios compromisos internacionales. </w:t>
      </w:r>
    </w:p>
    <w:p w14:paraId="36944B8B" w14:textId="2266F6D7" w:rsidR="00B04092" w:rsidRDefault="00B04092" w:rsidP="00B04092">
      <w:pPr>
        <w:rPr>
          <w:rFonts w:ascii="Century Gothic" w:hAnsi="Century Gothic"/>
          <w:sz w:val="22"/>
        </w:rPr>
      </w:pPr>
      <w:r w:rsidRPr="0026684F">
        <w:rPr>
          <w:rFonts w:ascii="Century Gothic" w:hAnsi="Century Gothic"/>
          <w:sz w:val="22"/>
        </w:rPr>
        <w:lastRenderedPageBreak/>
        <w:t>La violencia intrafamiliar es uno de los tipos de discriminación y de violencia que afecta de manera importante a las mujeres, niñas y niños en Colombia. El Estado colombiano</w:t>
      </w:r>
      <w:r w:rsidR="005154C2" w:rsidRPr="0026684F">
        <w:rPr>
          <w:rFonts w:ascii="Century Gothic" w:hAnsi="Century Gothic"/>
          <w:sz w:val="22"/>
        </w:rPr>
        <w:t>,</w:t>
      </w:r>
      <w:r w:rsidRPr="0026684F">
        <w:rPr>
          <w:rFonts w:ascii="Century Gothic" w:hAnsi="Century Gothic"/>
          <w:sz w:val="22"/>
        </w:rPr>
        <w:t xml:space="preserve"> al ratificar la </w:t>
      </w:r>
      <w:r w:rsidRPr="0026684F">
        <w:rPr>
          <w:rFonts w:ascii="Century Gothic" w:hAnsi="Century Gothic" w:cs="Times New Roman"/>
          <w:i/>
          <w:sz w:val="22"/>
        </w:rPr>
        <w:t>Convención sobre la Eliminación de Todas las Formas de Discriminación contra la Mujer</w:t>
      </w:r>
      <w:r w:rsidRPr="0026684F">
        <w:rPr>
          <w:rStyle w:val="Refdenotaalpie"/>
          <w:rFonts w:ascii="Century Gothic" w:hAnsi="Century Gothic" w:cs="Times New Roman"/>
          <w:i/>
          <w:sz w:val="22"/>
        </w:rPr>
        <w:footnoteReference w:id="21"/>
      </w:r>
      <w:r w:rsidRPr="0026684F">
        <w:rPr>
          <w:rFonts w:ascii="Century Gothic" w:hAnsi="Century Gothic"/>
          <w:sz w:val="22"/>
        </w:rPr>
        <w:t xml:space="preserve">, la </w:t>
      </w:r>
      <w:r w:rsidRPr="0026684F">
        <w:rPr>
          <w:rFonts w:ascii="Century Gothic" w:hAnsi="Century Gothic" w:cs="Times New Roman"/>
          <w:i/>
          <w:sz w:val="22"/>
        </w:rPr>
        <w:t>Convención Interamericana para Prevenir, Sancionar y Erradicar la Violencia contra la Mujer "Convención de Belem Do Para"</w:t>
      </w:r>
      <w:r w:rsidRPr="0026684F">
        <w:rPr>
          <w:rStyle w:val="Refdenotaalpie"/>
          <w:rFonts w:ascii="Century Gothic" w:hAnsi="Century Gothic" w:cs="Times New Roman"/>
          <w:i/>
          <w:sz w:val="22"/>
        </w:rPr>
        <w:footnoteReference w:id="22"/>
      </w:r>
      <w:r w:rsidRPr="0026684F">
        <w:rPr>
          <w:rFonts w:ascii="Century Gothic" w:hAnsi="Century Gothic" w:cs="Times New Roman"/>
          <w:i/>
          <w:sz w:val="22"/>
        </w:rPr>
        <w:t xml:space="preserve"> </w:t>
      </w:r>
      <w:r w:rsidRPr="0026684F">
        <w:rPr>
          <w:rFonts w:ascii="Century Gothic" w:hAnsi="Century Gothic" w:cs="Times New Roman"/>
          <w:sz w:val="22"/>
        </w:rPr>
        <w:t xml:space="preserve"> y </w:t>
      </w:r>
      <w:r w:rsidRPr="0026684F">
        <w:rPr>
          <w:rFonts w:ascii="Century Gothic" w:hAnsi="Century Gothic" w:cs="Times New Roman"/>
          <w:i/>
          <w:sz w:val="22"/>
        </w:rPr>
        <w:t>la Convención so</w:t>
      </w:r>
      <w:r w:rsidR="005154C2" w:rsidRPr="0026684F">
        <w:rPr>
          <w:rFonts w:ascii="Century Gothic" w:hAnsi="Century Gothic" w:cs="Times New Roman"/>
          <w:i/>
          <w:sz w:val="22"/>
        </w:rPr>
        <w:t>bre los Derechos del N</w:t>
      </w:r>
      <w:r w:rsidRPr="0026684F">
        <w:rPr>
          <w:rFonts w:ascii="Century Gothic" w:hAnsi="Century Gothic" w:cs="Times New Roman"/>
          <w:i/>
          <w:sz w:val="22"/>
        </w:rPr>
        <w:t>iño</w:t>
      </w:r>
      <w:r w:rsidR="005154C2" w:rsidRPr="0026684F">
        <w:rPr>
          <w:rFonts w:ascii="Century Gothic" w:hAnsi="Century Gothic" w:cs="Times New Roman"/>
          <w:sz w:val="22"/>
        </w:rPr>
        <w:t>,</w:t>
      </w:r>
      <w:r w:rsidRPr="0026684F">
        <w:rPr>
          <w:rFonts w:ascii="Century Gothic" w:hAnsi="Century Gothic" w:cs="Times New Roman"/>
          <w:sz w:val="22"/>
        </w:rPr>
        <w:t xml:space="preserve"> </w:t>
      </w:r>
      <w:r w:rsidRPr="0026684F">
        <w:rPr>
          <w:rFonts w:ascii="Century Gothic" w:hAnsi="Century Gothic"/>
          <w:sz w:val="22"/>
        </w:rPr>
        <w:t xml:space="preserve">se comprometió a garantizar el derecho de las mujeres a vivir una vida libre de violencia y de discriminación así como la protección judicial de los niños y niñas víctimas de violencia. Por lo tanto, las medidas contempladas en la iniciativa materializan varias obligaciones constitucionales adquiridas por el Estado.  </w:t>
      </w:r>
    </w:p>
    <w:p w14:paraId="63186B39" w14:textId="77777777" w:rsidR="00C022CF" w:rsidRPr="0026684F" w:rsidRDefault="00C022CF" w:rsidP="00B04092">
      <w:pPr>
        <w:rPr>
          <w:rFonts w:ascii="Century Gothic" w:hAnsi="Century Gothic"/>
          <w:sz w:val="22"/>
        </w:rPr>
      </w:pPr>
    </w:p>
    <w:p w14:paraId="7222F31A" w14:textId="02868F73" w:rsidR="000A6BB0" w:rsidRPr="0026684F" w:rsidRDefault="000A6BB0" w:rsidP="00AC4289">
      <w:pPr>
        <w:pStyle w:val="Ttulo1"/>
        <w:numPr>
          <w:ilvl w:val="0"/>
          <w:numId w:val="9"/>
        </w:numPr>
        <w:jc w:val="both"/>
        <w:rPr>
          <w:rFonts w:ascii="Century Gothic" w:hAnsi="Century Gothic"/>
          <w:sz w:val="22"/>
        </w:rPr>
      </w:pPr>
      <w:r w:rsidRPr="0026684F">
        <w:rPr>
          <w:rFonts w:ascii="Century Gothic" w:hAnsi="Century Gothic"/>
          <w:sz w:val="22"/>
        </w:rPr>
        <w:t>PLIEGO DE MODIFICACIONES</w:t>
      </w:r>
    </w:p>
    <w:p w14:paraId="41D523F5" w14:textId="77777777" w:rsidR="000A6BB0" w:rsidRPr="0026684F" w:rsidRDefault="000A6BB0" w:rsidP="000A6BB0">
      <w:pPr>
        <w:spacing w:before="0" w:after="0"/>
        <w:rPr>
          <w:rFonts w:ascii="Century Gothic" w:hAnsi="Century Gothic" w:cs="Times New Roman"/>
          <w:sz w:val="22"/>
        </w:rPr>
      </w:pPr>
      <w:r w:rsidRPr="0026684F">
        <w:rPr>
          <w:rFonts w:ascii="Century Gothic" w:hAnsi="Century Gothic" w:cs="Times New Roman"/>
          <w:sz w:val="22"/>
        </w:rPr>
        <w:t xml:space="preserve">Después de analizar el texto de la iniciativa y las distintas observaciones allegadas sobre el mismo, en calidad de ponente presento el siguiente pliego de modificaciones con el fin de armonizar la iniciativa con las sugerencias correspondientes. </w:t>
      </w:r>
    </w:p>
    <w:tbl>
      <w:tblPr>
        <w:tblStyle w:val="Tablaconcuadrcula"/>
        <w:tblW w:w="5000" w:type="pct"/>
        <w:tblLook w:val="04A0" w:firstRow="1" w:lastRow="0" w:firstColumn="1" w:lastColumn="0" w:noHBand="0" w:noVBand="1"/>
      </w:tblPr>
      <w:tblGrid>
        <w:gridCol w:w="2944"/>
        <w:gridCol w:w="2943"/>
        <w:gridCol w:w="2941"/>
      </w:tblGrid>
      <w:tr w:rsidR="000A6BB0" w:rsidRPr="0026684F" w14:paraId="1E7F45B3" w14:textId="77777777" w:rsidTr="00100C52">
        <w:trPr>
          <w:tblHeader/>
        </w:trPr>
        <w:tc>
          <w:tcPr>
            <w:tcW w:w="1667" w:type="pct"/>
            <w:shd w:val="clear" w:color="auto" w:fill="D0CECE" w:themeFill="background2" w:themeFillShade="E6"/>
            <w:vAlign w:val="center"/>
          </w:tcPr>
          <w:p w14:paraId="28D13D0E" w14:textId="77777777" w:rsidR="000A6BB0" w:rsidRPr="0026684F" w:rsidRDefault="000A6BB0" w:rsidP="00100C52">
            <w:pPr>
              <w:pStyle w:val="Sinespaciado"/>
              <w:jc w:val="center"/>
              <w:rPr>
                <w:rFonts w:ascii="Century Gothic" w:hAnsi="Century Gothic" w:cs="Times New Roman"/>
                <w:sz w:val="22"/>
              </w:rPr>
            </w:pPr>
            <w:r w:rsidRPr="0026684F">
              <w:rPr>
                <w:rFonts w:ascii="Century Gothic" w:hAnsi="Century Gothic" w:cs="Times New Roman"/>
                <w:b/>
                <w:sz w:val="22"/>
              </w:rPr>
              <w:t>Texto aprobado en plenaria Senado             Proyecto de Ley 139/17S – 201/18C</w:t>
            </w:r>
          </w:p>
        </w:tc>
        <w:tc>
          <w:tcPr>
            <w:tcW w:w="1667" w:type="pct"/>
            <w:shd w:val="clear" w:color="auto" w:fill="D0CECE" w:themeFill="background2" w:themeFillShade="E6"/>
            <w:vAlign w:val="center"/>
          </w:tcPr>
          <w:p w14:paraId="7E200DC3" w14:textId="177DF7BA" w:rsidR="000A6BB0" w:rsidRPr="0026684F" w:rsidRDefault="000A6BB0" w:rsidP="00505CE4">
            <w:pPr>
              <w:pStyle w:val="Sinespaciado"/>
              <w:jc w:val="center"/>
              <w:rPr>
                <w:rFonts w:ascii="Century Gothic" w:hAnsi="Century Gothic" w:cs="Times New Roman"/>
                <w:b/>
                <w:sz w:val="22"/>
              </w:rPr>
            </w:pPr>
            <w:r w:rsidRPr="0026684F">
              <w:rPr>
                <w:rFonts w:ascii="Century Gothic" w:hAnsi="Century Gothic" w:cs="Times New Roman"/>
                <w:b/>
                <w:sz w:val="22"/>
              </w:rPr>
              <w:t>Propuesta texto para</w:t>
            </w:r>
            <w:r w:rsidR="00C022CF">
              <w:rPr>
                <w:rFonts w:ascii="Century Gothic" w:hAnsi="Century Gothic" w:cs="Times New Roman"/>
                <w:b/>
                <w:sz w:val="22"/>
              </w:rPr>
              <w:t xml:space="preserve"> primer </w:t>
            </w:r>
            <w:r w:rsidRPr="0026684F">
              <w:rPr>
                <w:rFonts w:ascii="Century Gothic" w:hAnsi="Century Gothic" w:cs="Times New Roman"/>
                <w:b/>
                <w:sz w:val="22"/>
              </w:rPr>
              <w:t xml:space="preserve">debate </w:t>
            </w:r>
            <w:r w:rsidR="00C022CF">
              <w:rPr>
                <w:rFonts w:ascii="Century Gothic" w:hAnsi="Century Gothic" w:cs="Times New Roman"/>
                <w:b/>
                <w:sz w:val="22"/>
              </w:rPr>
              <w:t>Cámara</w:t>
            </w:r>
            <w:r w:rsidRPr="0026684F">
              <w:rPr>
                <w:rFonts w:ascii="Century Gothic" w:hAnsi="Century Gothic" w:cs="Times New Roman"/>
                <w:b/>
                <w:sz w:val="22"/>
              </w:rPr>
              <w:t xml:space="preserve">             Proyecto de Ley </w:t>
            </w:r>
            <w:r w:rsidR="00505CE4" w:rsidRPr="0026684F">
              <w:rPr>
                <w:rFonts w:ascii="Century Gothic" w:hAnsi="Century Gothic" w:cs="Times New Roman"/>
                <w:b/>
                <w:sz w:val="22"/>
              </w:rPr>
              <w:t xml:space="preserve"> 201/18C</w:t>
            </w:r>
            <w:r w:rsidR="00505CE4" w:rsidRPr="0026684F">
              <w:rPr>
                <w:rFonts w:ascii="Century Gothic" w:hAnsi="Century Gothic" w:cs="Times New Roman"/>
                <w:b/>
                <w:sz w:val="22"/>
              </w:rPr>
              <w:t xml:space="preserve"> </w:t>
            </w:r>
            <w:r w:rsidR="00505CE4">
              <w:rPr>
                <w:rFonts w:ascii="Century Gothic" w:hAnsi="Century Gothic" w:cs="Times New Roman"/>
                <w:b/>
                <w:sz w:val="22"/>
              </w:rPr>
              <w:t>-</w:t>
            </w:r>
            <w:r w:rsidRPr="0026684F">
              <w:rPr>
                <w:rFonts w:ascii="Century Gothic" w:hAnsi="Century Gothic" w:cs="Times New Roman"/>
                <w:b/>
                <w:sz w:val="22"/>
              </w:rPr>
              <w:t xml:space="preserve">139/17S </w:t>
            </w:r>
          </w:p>
        </w:tc>
        <w:tc>
          <w:tcPr>
            <w:tcW w:w="1666" w:type="pct"/>
            <w:shd w:val="clear" w:color="auto" w:fill="D0CECE" w:themeFill="background2" w:themeFillShade="E6"/>
            <w:vAlign w:val="center"/>
          </w:tcPr>
          <w:p w14:paraId="2EBCDD37" w14:textId="77777777" w:rsidR="000A6BB0" w:rsidRPr="0026684F" w:rsidRDefault="000A6BB0" w:rsidP="00100C52">
            <w:pPr>
              <w:pStyle w:val="Sinespaciado"/>
              <w:jc w:val="center"/>
              <w:rPr>
                <w:rFonts w:ascii="Century Gothic" w:hAnsi="Century Gothic" w:cs="Times New Roman"/>
                <w:b/>
                <w:sz w:val="22"/>
              </w:rPr>
            </w:pPr>
            <w:r w:rsidRPr="0026684F">
              <w:rPr>
                <w:rFonts w:ascii="Century Gothic" w:hAnsi="Century Gothic" w:cs="Times New Roman"/>
                <w:b/>
                <w:sz w:val="22"/>
              </w:rPr>
              <w:t xml:space="preserve">Justificación </w:t>
            </w:r>
          </w:p>
        </w:tc>
      </w:tr>
      <w:tr w:rsidR="000A6BB0" w:rsidRPr="0026684F" w14:paraId="12ABE487" w14:textId="77777777" w:rsidTr="00100C52">
        <w:tc>
          <w:tcPr>
            <w:tcW w:w="1667" w:type="pct"/>
          </w:tcPr>
          <w:p w14:paraId="13A198C8"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Artículo 1°.</w:t>
            </w:r>
            <w:r w:rsidRPr="0026684F">
              <w:rPr>
                <w:rFonts w:ascii="Century Gothic" w:hAnsi="Century Gothic" w:cs="Times New Roman"/>
                <w:sz w:val="22"/>
              </w:rPr>
              <w:t xml:space="preserve"> Modifíquese el artículo 229 de la Ley 559 de 2000, el cual quedará así:</w:t>
            </w:r>
          </w:p>
          <w:p w14:paraId="396EDF56" w14:textId="77777777" w:rsidR="000A6BB0" w:rsidRPr="0026684F" w:rsidRDefault="000A6BB0" w:rsidP="00100C52">
            <w:pPr>
              <w:pStyle w:val="Sinespaciado"/>
              <w:rPr>
                <w:rFonts w:ascii="Century Gothic" w:hAnsi="Century Gothic" w:cs="Times New Roman"/>
                <w:sz w:val="22"/>
              </w:rPr>
            </w:pPr>
          </w:p>
          <w:p w14:paraId="6D7AC64C"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Artículo 229. Violencia intrafamiliar.</w:t>
            </w:r>
            <w:r w:rsidRPr="0026684F">
              <w:rPr>
                <w:rFonts w:ascii="Century Gothic" w:hAnsi="Century Gothic" w:cs="Times New Roman"/>
                <w:sz w:val="22"/>
              </w:rPr>
              <w:t xml:space="preserve"> El que maltrate física o psicológicamente a cualquier miembro de su núcleo familiar incurrirá, siempre que la conducta no constituya delito sancionado con pena mayor, en prisión de cuatro (4) a ocho (8) años.</w:t>
            </w:r>
          </w:p>
          <w:p w14:paraId="1A164C92" w14:textId="77777777" w:rsidR="000A6BB0" w:rsidRPr="0026684F" w:rsidRDefault="000A6BB0" w:rsidP="00100C52">
            <w:pPr>
              <w:pStyle w:val="Sinespaciado"/>
              <w:rPr>
                <w:rFonts w:ascii="Century Gothic" w:hAnsi="Century Gothic" w:cs="Times New Roman"/>
                <w:sz w:val="22"/>
              </w:rPr>
            </w:pPr>
          </w:p>
          <w:p w14:paraId="6484335C"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lastRenderedPageBreak/>
              <w:t>La pena se aumentará de la mitad a las tres cuartas partes cuando la conducta recaiga sobre un menor, adolescente, una mujer, una persona mayor de sesenta (60) años, o que se encuentre en incapacidad o disminución física, sensorial y psicológica o quien se encuentre en estado de indefensión o en cualquier condición de inferioridad.</w:t>
            </w:r>
          </w:p>
          <w:p w14:paraId="3EB344B6" w14:textId="77777777" w:rsidR="000A6BB0" w:rsidRPr="0026684F" w:rsidRDefault="000A6BB0" w:rsidP="00100C52">
            <w:pPr>
              <w:pStyle w:val="Sinespaciado"/>
              <w:rPr>
                <w:rFonts w:ascii="Century Gothic" w:hAnsi="Century Gothic" w:cs="Times New Roman"/>
                <w:sz w:val="22"/>
              </w:rPr>
            </w:pPr>
          </w:p>
          <w:p w14:paraId="7E5FD05B"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La pena se aumentará en una cuarta parte cuando el responsable tenga antecedentes penales por haber cometido alguno de los delitos previstos en el libro segundo, Títulos I y IV del Código Penal contra un miembro de su núcleo familiar, o cuando tenga antecedentes por el delito de violencia intrafamiliar, siempre que la condena hubiese sido proferida dentro de los cinco años anteriores a la ocurrencia del nuevo hecho.</w:t>
            </w:r>
          </w:p>
          <w:p w14:paraId="3CC935E2" w14:textId="77777777" w:rsidR="000A6BB0" w:rsidRPr="0026684F" w:rsidRDefault="000A6BB0" w:rsidP="00100C52">
            <w:pPr>
              <w:pStyle w:val="Sinespaciado"/>
              <w:rPr>
                <w:rFonts w:ascii="Century Gothic" w:hAnsi="Century Gothic" w:cs="Times New Roman"/>
                <w:sz w:val="22"/>
              </w:rPr>
            </w:pPr>
          </w:p>
          <w:p w14:paraId="0E24FEA3" w14:textId="77777777" w:rsidR="000A6BB0" w:rsidRPr="0026684F" w:rsidRDefault="000A6BB0" w:rsidP="00100C52">
            <w:pPr>
              <w:pStyle w:val="Sinespaciado"/>
              <w:rPr>
                <w:rFonts w:ascii="Century Gothic" w:hAnsi="Century Gothic" w:cs="Times New Roman"/>
                <w:b/>
                <w:sz w:val="22"/>
              </w:rPr>
            </w:pPr>
          </w:p>
          <w:p w14:paraId="3C497D65" w14:textId="77777777" w:rsidR="000A6BB0" w:rsidRPr="0026684F" w:rsidRDefault="000A6BB0" w:rsidP="00100C52">
            <w:pPr>
              <w:pStyle w:val="Sinespaciado"/>
              <w:rPr>
                <w:rFonts w:ascii="Century Gothic" w:hAnsi="Century Gothic" w:cs="Times New Roman"/>
                <w:b/>
                <w:sz w:val="22"/>
              </w:rPr>
            </w:pPr>
          </w:p>
          <w:p w14:paraId="6A5C5EC9"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w:t>
            </w:r>
            <w:r w:rsidRPr="0026684F">
              <w:rPr>
                <w:rFonts w:ascii="Century Gothic" w:hAnsi="Century Gothic" w:cs="Times New Roman"/>
                <w:sz w:val="22"/>
              </w:rPr>
              <w:t xml:space="preserve"> A la misma pena quedará sometido quien realice alguna de </w:t>
            </w:r>
            <w:r w:rsidRPr="0026684F">
              <w:rPr>
                <w:rFonts w:ascii="Century Gothic" w:hAnsi="Century Gothic" w:cs="Times New Roman"/>
                <w:sz w:val="22"/>
              </w:rPr>
              <w:lastRenderedPageBreak/>
              <w:t>las conductas descritas en el tipo penal previsto en este artículo contra:</w:t>
            </w:r>
          </w:p>
          <w:p w14:paraId="74AD2FB7" w14:textId="77777777" w:rsidR="000A6BB0" w:rsidRPr="0026684F" w:rsidRDefault="000A6BB0" w:rsidP="00100C52">
            <w:pPr>
              <w:pStyle w:val="Sinespaciado"/>
              <w:rPr>
                <w:rFonts w:ascii="Century Gothic" w:hAnsi="Century Gothic" w:cs="Times New Roman"/>
                <w:sz w:val="22"/>
              </w:rPr>
            </w:pPr>
          </w:p>
          <w:p w14:paraId="330C727F"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a) Los cónyuges o compañeros permanentes, aunque se hubieren separado o divorciado;</w:t>
            </w:r>
          </w:p>
          <w:p w14:paraId="7F914514" w14:textId="77777777" w:rsidR="000A6BB0" w:rsidRPr="0026684F" w:rsidRDefault="000A6BB0" w:rsidP="00100C52">
            <w:pPr>
              <w:pStyle w:val="Sinespaciado"/>
              <w:rPr>
                <w:rFonts w:ascii="Century Gothic" w:hAnsi="Century Gothic" w:cs="Times New Roman"/>
                <w:sz w:val="22"/>
              </w:rPr>
            </w:pPr>
          </w:p>
          <w:p w14:paraId="03141365"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b) El padre y la madre de familia, aun cuando no convivan en el mismo hogar, si el maltrato se dirige contra el otro progenitor</w:t>
            </w:r>
          </w:p>
          <w:p w14:paraId="3438B85F" w14:textId="77777777" w:rsidR="000A6BB0" w:rsidRPr="0026684F" w:rsidRDefault="000A6BB0" w:rsidP="00100C52">
            <w:pPr>
              <w:pStyle w:val="Sinespaciado"/>
              <w:rPr>
                <w:rFonts w:ascii="Century Gothic" w:hAnsi="Century Gothic" w:cs="Times New Roman"/>
                <w:sz w:val="22"/>
              </w:rPr>
            </w:pPr>
          </w:p>
          <w:p w14:paraId="7F05F492"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c) Quien, no siendo miembro del núcleo familiar, sea encargado del cuidado de uno o varios miembros de una familia en su domicilio, residencia o cualquier lugar en el que se realice la conducta.</w:t>
            </w:r>
          </w:p>
          <w:p w14:paraId="228470A3" w14:textId="77777777" w:rsidR="000A6BB0" w:rsidRPr="0026684F" w:rsidRDefault="000A6BB0" w:rsidP="00100C52">
            <w:pPr>
              <w:pStyle w:val="Sinespaciado"/>
              <w:rPr>
                <w:rFonts w:ascii="Century Gothic" w:hAnsi="Century Gothic" w:cs="Times New Roman"/>
                <w:sz w:val="22"/>
              </w:rPr>
            </w:pPr>
          </w:p>
          <w:p w14:paraId="4DE1F0C2"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d) Las personas con las que se sostienen relaciones extramatrimoniales de carácter permanente que se caractericen por una clara e inequívoca vocación de estabilidad.</w:t>
            </w:r>
          </w:p>
        </w:tc>
        <w:tc>
          <w:tcPr>
            <w:tcW w:w="1667" w:type="pct"/>
          </w:tcPr>
          <w:p w14:paraId="6FDE309E"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Artículo 1°.</w:t>
            </w:r>
            <w:r w:rsidRPr="0026684F">
              <w:rPr>
                <w:rFonts w:ascii="Century Gothic" w:hAnsi="Century Gothic" w:cs="Times New Roman"/>
                <w:sz w:val="22"/>
              </w:rPr>
              <w:t xml:space="preserve"> Modifíquese el artículo 229 de la Ley 559 de 2000, el cual quedará así:</w:t>
            </w:r>
          </w:p>
          <w:p w14:paraId="39FC1E0D" w14:textId="77777777" w:rsidR="000A6BB0" w:rsidRPr="0026684F" w:rsidRDefault="000A6BB0" w:rsidP="00100C52">
            <w:pPr>
              <w:pStyle w:val="Sinespaciado"/>
              <w:rPr>
                <w:rFonts w:ascii="Century Gothic" w:hAnsi="Century Gothic" w:cs="Times New Roman"/>
                <w:sz w:val="22"/>
              </w:rPr>
            </w:pPr>
          </w:p>
          <w:p w14:paraId="1819ADEB"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Artículo 229. Violencia intrafamiliar.</w:t>
            </w:r>
            <w:r w:rsidRPr="0026684F">
              <w:rPr>
                <w:rFonts w:ascii="Century Gothic" w:hAnsi="Century Gothic" w:cs="Times New Roman"/>
                <w:sz w:val="22"/>
              </w:rPr>
              <w:t xml:space="preserve"> El que maltrate física o psicológicamente a cualquier miembro de su núcleo familiar incurrirá, siempre que la conducta no constituya delito sancionado con pena mayor, en prisión de cuatro (4) a ocho (8) años.</w:t>
            </w:r>
          </w:p>
          <w:p w14:paraId="2C31D801" w14:textId="77777777" w:rsidR="000A6BB0" w:rsidRPr="0026684F" w:rsidRDefault="000A6BB0" w:rsidP="00100C52">
            <w:pPr>
              <w:pStyle w:val="Sinespaciado"/>
              <w:rPr>
                <w:rFonts w:ascii="Century Gothic" w:hAnsi="Century Gothic" w:cs="Times New Roman"/>
                <w:sz w:val="22"/>
              </w:rPr>
            </w:pPr>
          </w:p>
          <w:p w14:paraId="0F386AB8"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lastRenderedPageBreak/>
              <w:t>La pena se aumentará de la mitad a las tres cuartas partes cuando la conducta recaiga sobre un menor, adolescente, una mujer, una persona mayor de sesenta (60) años, o que se encuentre en incapacidad o disminución física, sensorial y psicológica o quien se encuentre en estado de indefensión o en cualquier condición de inferioridad.</w:t>
            </w:r>
          </w:p>
          <w:p w14:paraId="0262CBD8" w14:textId="77777777" w:rsidR="000A6BB0" w:rsidRPr="0026684F" w:rsidRDefault="000A6BB0" w:rsidP="00100C52">
            <w:pPr>
              <w:pStyle w:val="Sinespaciado"/>
              <w:rPr>
                <w:rFonts w:ascii="Century Gothic" w:hAnsi="Century Gothic" w:cs="Times New Roman"/>
                <w:sz w:val="22"/>
              </w:rPr>
            </w:pPr>
          </w:p>
          <w:p w14:paraId="2332DD62" w14:textId="77777777" w:rsidR="000A6BB0" w:rsidRPr="0026684F" w:rsidRDefault="000A6BB0" w:rsidP="00100C52">
            <w:pPr>
              <w:pStyle w:val="Sinespaciado"/>
              <w:rPr>
                <w:rFonts w:ascii="Century Gothic" w:hAnsi="Century Gothic" w:cs="Times New Roman"/>
                <w:sz w:val="22"/>
                <w:u w:val="single"/>
              </w:rPr>
            </w:pPr>
            <w:r w:rsidRPr="0026684F">
              <w:rPr>
                <w:rFonts w:ascii="Century Gothic" w:hAnsi="Century Gothic" w:cs="Times New Roman"/>
                <w:strike/>
                <w:sz w:val="22"/>
              </w:rPr>
              <w:t>La pena se aumentará en una cuarta parte</w:t>
            </w:r>
            <w:r w:rsidRPr="0026684F">
              <w:rPr>
                <w:rFonts w:ascii="Century Gothic" w:hAnsi="Century Gothic" w:cs="Times New Roman"/>
                <w:sz w:val="22"/>
              </w:rPr>
              <w:t xml:space="preserve"> Cuando el responsable tenga antecedentes penales por haber cometido alguno de los delitos previstos en el libro segundo, Títulos I y IV del Código Penal contra un miembro de su núcleo familiar, o cuando tenga antecedentes por el delito de violencia intrafamiliar, siempre que la condena hubiese sido proferida dentro de los </w:t>
            </w:r>
            <w:r w:rsidRPr="0026684F">
              <w:rPr>
                <w:rFonts w:ascii="Century Gothic" w:hAnsi="Century Gothic" w:cs="Times New Roman"/>
                <w:sz w:val="22"/>
                <w:u w:val="single"/>
              </w:rPr>
              <w:t>diez (10)</w:t>
            </w:r>
            <w:r w:rsidRPr="0026684F">
              <w:rPr>
                <w:rFonts w:ascii="Century Gothic" w:hAnsi="Century Gothic" w:cs="Times New Roman"/>
                <w:sz w:val="22"/>
              </w:rPr>
              <w:t xml:space="preserve"> años anteriores a la ocurrencia del nuevo hecho, </w:t>
            </w:r>
            <w:r w:rsidRPr="0026684F">
              <w:rPr>
                <w:rFonts w:ascii="Century Gothic" w:hAnsi="Century Gothic" w:cs="Times New Roman"/>
                <w:sz w:val="22"/>
                <w:u w:val="single"/>
              </w:rPr>
              <w:t xml:space="preserve">el sentenciador impondrá la pena dentro del cuarto máximo del ámbito punitivo de movilidad respectivo. </w:t>
            </w:r>
          </w:p>
          <w:p w14:paraId="7163D01E" w14:textId="77777777" w:rsidR="000A6BB0" w:rsidRPr="0026684F" w:rsidRDefault="000A6BB0" w:rsidP="00100C52">
            <w:pPr>
              <w:pStyle w:val="Sinespaciado"/>
              <w:rPr>
                <w:rFonts w:ascii="Century Gothic" w:hAnsi="Century Gothic" w:cs="Times New Roman"/>
                <w:sz w:val="22"/>
                <w:u w:val="single"/>
              </w:rPr>
            </w:pPr>
          </w:p>
          <w:p w14:paraId="1D3405BD"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Parágrafo.</w:t>
            </w:r>
            <w:r w:rsidRPr="0026684F">
              <w:rPr>
                <w:rFonts w:ascii="Century Gothic" w:hAnsi="Century Gothic" w:cs="Times New Roman"/>
                <w:sz w:val="22"/>
              </w:rPr>
              <w:t xml:space="preserve"> A la misma pena quedará sometido quien realice alguna de las conductas descritas en el tipo penal previsto en este artículo contra:</w:t>
            </w:r>
          </w:p>
          <w:p w14:paraId="6FCCDA6E" w14:textId="77777777" w:rsidR="000A6BB0" w:rsidRPr="0026684F" w:rsidRDefault="000A6BB0" w:rsidP="00100C52">
            <w:pPr>
              <w:pStyle w:val="Sinespaciado"/>
              <w:rPr>
                <w:rFonts w:ascii="Century Gothic" w:hAnsi="Century Gothic" w:cs="Times New Roman"/>
                <w:sz w:val="22"/>
              </w:rPr>
            </w:pPr>
          </w:p>
          <w:p w14:paraId="20E4A5B3"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a) Los cónyuges o compañeros permanentes, aunque se hubieren separado o divorciado;</w:t>
            </w:r>
          </w:p>
          <w:p w14:paraId="7EB581B1" w14:textId="77777777" w:rsidR="000A6BB0" w:rsidRPr="0026684F" w:rsidRDefault="000A6BB0" w:rsidP="00100C52">
            <w:pPr>
              <w:pStyle w:val="Sinespaciado"/>
              <w:rPr>
                <w:rFonts w:ascii="Century Gothic" w:hAnsi="Century Gothic" w:cs="Times New Roman"/>
                <w:sz w:val="22"/>
              </w:rPr>
            </w:pPr>
          </w:p>
          <w:p w14:paraId="143D4FF3"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b) El padre y la madre de familia, aun cuando no convivan en el mismo hogar, si el maltrato se dirige contra el otro progenitor</w:t>
            </w:r>
          </w:p>
          <w:p w14:paraId="0F30DF71" w14:textId="77777777" w:rsidR="000A6BB0" w:rsidRPr="0026684F" w:rsidRDefault="000A6BB0" w:rsidP="00100C52">
            <w:pPr>
              <w:pStyle w:val="Sinespaciado"/>
              <w:rPr>
                <w:rFonts w:ascii="Century Gothic" w:hAnsi="Century Gothic" w:cs="Times New Roman"/>
                <w:sz w:val="22"/>
              </w:rPr>
            </w:pPr>
          </w:p>
          <w:p w14:paraId="60F8B470"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c) Quien, no siendo miembro del núcleo familiar, sea encargado del cuidado de uno o varios miembros de una familia en su domicilio, residencia o cualquier lugar en el que se realice la conducta.</w:t>
            </w:r>
          </w:p>
          <w:p w14:paraId="402F03FB" w14:textId="77777777" w:rsidR="000A6BB0" w:rsidRPr="0026684F" w:rsidRDefault="000A6BB0" w:rsidP="00100C52">
            <w:pPr>
              <w:pStyle w:val="Sinespaciado"/>
              <w:rPr>
                <w:rFonts w:ascii="Century Gothic" w:hAnsi="Century Gothic" w:cs="Times New Roman"/>
                <w:sz w:val="22"/>
              </w:rPr>
            </w:pPr>
          </w:p>
          <w:p w14:paraId="66B87F1C"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d) Las personas con las que se sostienen relaciones extramatrimoniales de carácter permanente que se caractericen por una clara e inequívoca vocación de estabilidad.</w:t>
            </w:r>
            <w:r w:rsidRPr="0026684F">
              <w:rPr>
                <w:rFonts w:ascii="Century Gothic" w:hAnsi="Century Gothic" w:cs="Times New Roman"/>
                <w:sz w:val="22"/>
                <w:lang w:eastAsia="es-CO"/>
              </w:rPr>
              <w:t xml:space="preserve"> </w:t>
            </w:r>
          </w:p>
        </w:tc>
        <w:tc>
          <w:tcPr>
            <w:tcW w:w="1666" w:type="pct"/>
            <w:vAlign w:val="center"/>
          </w:tcPr>
          <w:p w14:paraId="4EF14796" w14:textId="77777777" w:rsidR="000A6BB0" w:rsidRPr="0026684F" w:rsidRDefault="000A6BB0" w:rsidP="00100C52">
            <w:pPr>
              <w:pStyle w:val="Sinespaciado"/>
              <w:rPr>
                <w:rFonts w:ascii="Century Gothic" w:hAnsi="Century Gothic" w:cs="Times New Roman"/>
                <w:sz w:val="22"/>
                <w:lang w:eastAsia="es-CO"/>
              </w:rPr>
            </w:pPr>
            <w:r w:rsidRPr="0026684F">
              <w:rPr>
                <w:rFonts w:ascii="Century Gothic" w:hAnsi="Century Gothic" w:cs="Times New Roman"/>
                <w:sz w:val="22"/>
                <w:lang w:eastAsia="es-CO"/>
              </w:rPr>
              <w:lastRenderedPageBreak/>
              <w:t xml:space="preserve">El texto aprobado en segundo debate incluye una causal de agravación para el delito de violencia intrafamiliar cuando el responsable tenga antecedentes penales por haber cometido alguno de los delitos previstos en los títulos I y IV del libro segundo del Código Penal o por el delito de violencia intrafamiliar. La intención de la redacción propuesta es formular una regla distinta de dosificación punitiva, en virtud de la </w:t>
            </w:r>
            <w:r w:rsidRPr="0026684F">
              <w:rPr>
                <w:rFonts w:ascii="Century Gothic" w:hAnsi="Century Gothic" w:cs="Times New Roman"/>
                <w:sz w:val="22"/>
                <w:lang w:eastAsia="es-CO"/>
              </w:rPr>
              <w:lastRenderedPageBreak/>
              <w:t xml:space="preserve">cual, la reincidencia será considerada como una causal especial de mayor punibilidad. </w:t>
            </w:r>
          </w:p>
          <w:p w14:paraId="19542D58" w14:textId="77777777" w:rsidR="000A6BB0" w:rsidRPr="0026684F" w:rsidRDefault="000A6BB0" w:rsidP="00100C52">
            <w:pPr>
              <w:pStyle w:val="Sinespaciado"/>
              <w:rPr>
                <w:rFonts w:ascii="Century Gothic" w:hAnsi="Century Gothic" w:cs="Times New Roman"/>
                <w:sz w:val="22"/>
                <w:lang w:eastAsia="es-CO"/>
              </w:rPr>
            </w:pPr>
          </w:p>
          <w:p w14:paraId="4D5C595E" w14:textId="77777777" w:rsidR="000A6BB0" w:rsidRPr="0026684F" w:rsidRDefault="000A6BB0" w:rsidP="00100C52">
            <w:pPr>
              <w:pStyle w:val="Sinespaciado"/>
              <w:rPr>
                <w:rFonts w:ascii="Century Gothic" w:hAnsi="Century Gothic" w:cs="Times New Roman"/>
                <w:sz w:val="22"/>
                <w:lang w:eastAsia="es-CO"/>
              </w:rPr>
            </w:pPr>
            <w:r w:rsidRPr="0026684F">
              <w:rPr>
                <w:rFonts w:ascii="Century Gothic" w:hAnsi="Century Gothic" w:cs="Times New Roman"/>
                <w:sz w:val="22"/>
                <w:lang w:eastAsia="es-CO"/>
              </w:rPr>
              <w:t>Según esta nueva propuesta, el sentenciador deberá imponer la pena en el cuarto máximo del ámbito punitivo, cuando la persona haya sido condenada por los delitos contemplados en los títulos I y IV del libro segundo del Código Penal o por el delito de violencia intrafamiliar, dentro de los 10 años anteriores a la conducta investigada. En consecuencia, el texto propuesto para debate (i) amplía el concepto de reincidencia, e (ii) impone una regla más fuerte en materia de dosificación punitiva para estos casos. Veamos.</w:t>
            </w:r>
          </w:p>
          <w:p w14:paraId="6ADD412A" w14:textId="77777777" w:rsidR="000A6BB0" w:rsidRPr="0026684F" w:rsidRDefault="000A6BB0" w:rsidP="00100C52">
            <w:pPr>
              <w:pStyle w:val="Sinespaciado"/>
              <w:rPr>
                <w:rFonts w:ascii="Century Gothic" w:hAnsi="Century Gothic" w:cs="Times New Roman"/>
                <w:sz w:val="22"/>
                <w:lang w:eastAsia="es-CO"/>
              </w:rPr>
            </w:pPr>
          </w:p>
          <w:p w14:paraId="4519D62D" w14:textId="77777777" w:rsidR="000A6BB0" w:rsidRPr="0026684F" w:rsidRDefault="000A6BB0" w:rsidP="000A6BB0">
            <w:pPr>
              <w:pStyle w:val="Prrafodelista"/>
              <w:numPr>
                <w:ilvl w:val="0"/>
                <w:numId w:val="3"/>
              </w:numPr>
              <w:spacing w:before="0" w:after="0"/>
              <w:ind w:left="200" w:hanging="171"/>
              <w:rPr>
                <w:rFonts w:ascii="Century Gothic" w:hAnsi="Century Gothic" w:cs="Times New Roman"/>
                <w:sz w:val="22"/>
                <w:lang w:eastAsia="es-CO"/>
              </w:rPr>
            </w:pPr>
            <w:r w:rsidRPr="0026684F">
              <w:rPr>
                <w:rFonts w:ascii="Century Gothic" w:hAnsi="Century Gothic" w:cs="Times New Roman"/>
                <w:i/>
                <w:sz w:val="22"/>
                <w:lang w:eastAsia="es-CO"/>
              </w:rPr>
              <w:t xml:space="preserve">La iniciativa amplía el concepto de reincidencia. </w:t>
            </w:r>
            <w:r w:rsidRPr="0026684F">
              <w:rPr>
                <w:rFonts w:ascii="Century Gothic" w:hAnsi="Century Gothic" w:cs="Times New Roman"/>
                <w:sz w:val="22"/>
                <w:lang w:eastAsia="es-CO"/>
              </w:rPr>
              <w:t xml:space="preserve">En el texto propuesto la regla de dosificación punitiva será aplicada a las personas que reincidan en las conductas previstas dentro de los 10 años anteriores. Es </w:t>
            </w:r>
            <w:r w:rsidRPr="0026684F">
              <w:rPr>
                <w:rFonts w:ascii="Century Gothic" w:hAnsi="Century Gothic" w:cs="Times New Roman"/>
                <w:sz w:val="22"/>
                <w:lang w:eastAsia="es-CO"/>
              </w:rPr>
              <w:lastRenderedPageBreak/>
              <w:t>decir, duplica el término previsto en el texto aprobado en segundo debate.</w:t>
            </w:r>
          </w:p>
          <w:p w14:paraId="0B3A682C" w14:textId="77777777" w:rsidR="000A6BB0" w:rsidRPr="0026684F" w:rsidRDefault="000A6BB0" w:rsidP="00100C52">
            <w:pPr>
              <w:pStyle w:val="Prrafodelista"/>
              <w:ind w:left="200"/>
              <w:rPr>
                <w:rFonts w:ascii="Century Gothic" w:hAnsi="Century Gothic" w:cs="Times New Roman"/>
                <w:sz w:val="22"/>
                <w:lang w:eastAsia="es-CO"/>
              </w:rPr>
            </w:pPr>
          </w:p>
          <w:p w14:paraId="5ABB2212" w14:textId="77777777" w:rsidR="000A6BB0" w:rsidRPr="0026684F" w:rsidRDefault="000A6BB0" w:rsidP="000A6BB0">
            <w:pPr>
              <w:pStyle w:val="Prrafodelista"/>
              <w:numPr>
                <w:ilvl w:val="0"/>
                <w:numId w:val="3"/>
              </w:numPr>
              <w:spacing w:before="0" w:after="0"/>
              <w:ind w:left="200" w:hanging="171"/>
              <w:rPr>
                <w:rFonts w:ascii="Century Gothic" w:hAnsi="Century Gothic" w:cs="Times New Roman"/>
                <w:sz w:val="22"/>
                <w:lang w:eastAsia="es-CO"/>
              </w:rPr>
            </w:pPr>
            <w:r w:rsidRPr="0026684F">
              <w:rPr>
                <w:rFonts w:ascii="Century Gothic" w:hAnsi="Century Gothic" w:cs="Times New Roman"/>
                <w:i/>
                <w:sz w:val="22"/>
              </w:rPr>
              <w:t xml:space="preserve">El texto propuesto fortalece la respuesta punitiva para la reincidencia por delitos que afecten el núcleo familiar. </w:t>
            </w:r>
            <w:r w:rsidRPr="0026684F">
              <w:rPr>
                <w:rFonts w:ascii="Century Gothic" w:hAnsi="Century Gothic" w:cs="Times New Roman"/>
                <w:sz w:val="22"/>
              </w:rPr>
              <w:t xml:space="preserve">La pena a imponer para personas reincidentes del delito de violencia intrafamiliar y delitos en contra de miembros del núcleo familiar será superior si la reincidencia se considera como una circunstancia de mayor punibilidad y no como un agravante. </w:t>
            </w:r>
          </w:p>
          <w:p w14:paraId="5816EE52" w14:textId="77777777" w:rsidR="000A6BB0" w:rsidRPr="0026684F" w:rsidRDefault="000A6BB0" w:rsidP="00100C52">
            <w:pPr>
              <w:pStyle w:val="Prrafodelista"/>
              <w:rPr>
                <w:rFonts w:ascii="Century Gothic" w:hAnsi="Century Gothic" w:cs="Times New Roman"/>
                <w:sz w:val="22"/>
              </w:rPr>
            </w:pPr>
          </w:p>
          <w:p w14:paraId="02C19B35" w14:textId="77777777" w:rsidR="000A6BB0" w:rsidRPr="0026684F" w:rsidRDefault="000A6BB0" w:rsidP="00100C52">
            <w:pPr>
              <w:pStyle w:val="Prrafodelista"/>
              <w:ind w:left="200"/>
              <w:rPr>
                <w:rFonts w:ascii="Century Gothic" w:hAnsi="Century Gothic" w:cs="Times New Roman"/>
                <w:sz w:val="22"/>
                <w:lang w:eastAsia="es-CO"/>
              </w:rPr>
            </w:pPr>
            <w:r w:rsidRPr="0026684F">
              <w:rPr>
                <w:rFonts w:ascii="Century Gothic" w:hAnsi="Century Gothic" w:cs="Times New Roman"/>
                <w:sz w:val="22"/>
              </w:rPr>
              <w:t xml:space="preserve">A manera de ejemplo, en aplicación del agravante previsto en el texto aprobado, una persona responsable del delito de violencia intrafamiliar con antecedentes penales por el mismo delito o cualquiera de las conductas previstas en los títulos I y IV del libro segundo del Código Penal dentro de los cinco años anteriores, a la que no le resulten aplicables otras </w:t>
            </w:r>
            <w:r w:rsidRPr="0026684F">
              <w:rPr>
                <w:rFonts w:ascii="Century Gothic" w:hAnsi="Century Gothic" w:cs="Times New Roman"/>
                <w:sz w:val="22"/>
              </w:rPr>
              <w:lastRenderedPageBreak/>
              <w:t xml:space="preserve">circunstancias que modifiquen la punibilidad, sería sancionada con una pena que oscila entre 72 y 90 meses de prisión. Mientras que si en el mismo caso se aplica la regla propuesta para tercer debate la persona sería sancionada con una pena de prisión entre 84 y 96 meses de prisión. </w:t>
            </w:r>
          </w:p>
          <w:p w14:paraId="586BE471" w14:textId="77777777" w:rsidR="000A6BB0" w:rsidRPr="0026684F" w:rsidRDefault="000A6BB0" w:rsidP="00100C52">
            <w:pPr>
              <w:pStyle w:val="Prrafodelista"/>
              <w:ind w:left="200"/>
              <w:rPr>
                <w:rFonts w:ascii="Century Gothic" w:hAnsi="Century Gothic" w:cs="Times New Roman"/>
                <w:sz w:val="22"/>
              </w:rPr>
            </w:pPr>
          </w:p>
          <w:p w14:paraId="3E27B8FE" w14:textId="77777777" w:rsidR="000A6BB0" w:rsidRPr="0026684F" w:rsidRDefault="000A6BB0" w:rsidP="00100C52">
            <w:pPr>
              <w:pStyle w:val="Prrafodelista"/>
              <w:ind w:left="200"/>
              <w:rPr>
                <w:rFonts w:ascii="Century Gothic" w:hAnsi="Century Gothic" w:cs="Times New Roman"/>
                <w:sz w:val="22"/>
              </w:rPr>
            </w:pPr>
            <w:r w:rsidRPr="0026684F">
              <w:rPr>
                <w:rFonts w:ascii="Century Gothic" w:hAnsi="Century Gothic" w:cs="Times New Roman"/>
                <w:sz w:val="22"/>
              </w:rPr>
              <w:t>En ese mismo sentido, si la persona del supuesto anterior cometió la conducta en contra de una mujer, una persona en condición de discapacidad, una persona mayor de 60 años, un niño, niña o adolescente, en aplicación del agravante sería sancionada con una pena de prisión de 108 a 144 meses de prisión. Por el contrario, con la regla propuesta sería sancionado con una pena de prisión que oscila entre 144 meses y 168 meses.</w:t>
            </w:r>
          </w:p>
          <w:p w14:paraId="14F0AF02" w14:textId="77777777" w:rsidR="000A6BB0" w:rsidRPr="0026684F" w:rsidRDefault="000A6BB0" w:rsidP="00100C52">
            <w:pPr>
              <w:rPr>
                <w:rFonts w:ascii="Century Gothic" w:hAnsi="Century Gothic" w:cs="Times New Roman"/>
                <w:sz w:val="22"/>
              </w:rPr>
            </w:pPr>
          </w:p>
          <w:p w14:paraId="7076A52F" w14:textId="77777777" w:rsidR="000A6BB0" w:rsidRPr="0026684F" w:rsidRDefault="000A6BB0" w:rsidP="00100C52">
            <w:pPr>
              <w:pStyle w:val="Sinespaciado"/>
              <w:rPr>
                <w:rFonts w:ascii="Century Gothic" w:hAnsi="Century Gothic" w:cs="Times New Roman"/>
                <w:sz w:val="22"/>
                <w:lang w:eastAsia="es-CO"/>
              </w:rPr>
            </w:pPr>
            <w:r w:rsidRPr="0026684F">
              <w:rPr>
                <w:rFonts w:ascii="Century Gothic" w:hAnsi="Century Gothic" w:cs="Times New Roman"/>
                <w:sz w:val="22"/>
                <w:lang w:eastAsia="es-CO"/>
              </w:rPr>
              <w:t xml:space="preserve">De lo expuesto es posible advertir que valorar la </w:t>
            </w:r>
            <w:r w:rsidRPr="0026684F">
              <w:rPr>
                <w:rFonts w:ascii="Century Gothic" w:hAnsi="Century Gothic" w:cs="Times New Roman"/>
                <w:sz w:val="22"/>
                <w:lang w:eastAsia="es-CO"/>
              </w:rPr>
              <w:lastRenderedPageBreak/>
              <w:t>reincidencia como una situación de mayor punibilidad, tal como lo propone el texto de ponencia para tercer debate, implica la imposición de penas más gravosas a las personas que reinciden en conductas que afectan la integridad de las personas que hacen parte de su núcleo familiar, con el fin de fortalecer el efecto disuasivo y preventivo de la norma.</w:t>
            </w:r>
          </w:p>
        </w:tc>
      </w:tr>
      <w:tr w:rsidR="000A6BB0" w:rsidRPr="0026684F" w14:paraId="0895F008" w14:textId="77777777" w:rsidTr="00100C52">
        <w:tc>
          <w:tcPr>
            <w:tcW w:w="1667" w:type="pct"/>
          </w:tcPr>
          <w:p w14:paraId="676ACA9C"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Artículo 2°.</w:t>
            </w:r>
            <w:r w:rsidRPr="0026684F">
              <w:rPr>
                <w:rFonts w:ascii="Century Gothic" w:hAnsi="Century Gothic" w:cs="Times New Roman"/>
                <w:sz w:val="22"/>
              </w:rPr>
              <w:t xml:space="preserve"> Modifíquese el parágrafo del artículo 149 de la Ley 906 de 2004, el cual quedará así:</w:t>
            </w:r>
          </w:p>
          <w:p w14:paraId="06EBAC06" w14:textId="77777777" w:rsidR="000A6BB0" w:rsidRPr="0026684F" w:rsidRDefault="000A6BB0" w:rsidP="00100C52">
            <w:pPr>
              <w:pStyle w:val="Sinespaciado"/>
              <w:rPr>
                <w:rFonts w:ascii="Century Gothic" w:hAnsi="Century Gothic" w:cs="Times New Roman"/>
                <w:sz w:val="22"/>
              </w:rPr>
            </w:pPr>
          </w:p>
          <w:p w14:paraId="1A33247E"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w:t>
            </w:r>
            <w:r w:rsidRPr="0026684F">
              <w:rPr>
                <w:rFonts w:ascii="Century Gothic" w:hAnsi="Century Gothic" w:cs="Times New Roman"/>
                <w:sz w:val="22"/>
              </w:rPr>
              <w:t xml:space="preserve"> En las actuaciones procesales relativas a los delitos contra la libertad y formación sexual, violencia sexual y violencia intrafamiliar, el juez podrá, a solicitud de cualquiera de los intervinientes en el proceso, disponer la realización de audiencias cerradas al público. La negación de esta solicitud se hará mediante providencia motivada. Cuando cualquiera de los intervinientes en el </w:t>
            </w:r>
            <w:r w:rsidRPr="0026684F">
              <w:rPr>
                <w:rFonts w:ascii="Century Gothic" w:hAnsi="Century Gothic" w:cs="Times New Roman"/>
                <w:sz w:val="22"/>
              </w:rPr>
              <w:lastRenderedPageBreak/>
              <w:t>proceso lo solicite, la autoridad competente podrá determinar la reserva de identidad respecto de sus datos personales, los de sus descendientes y los de cualquier otra persona que esté bajo su guarda o custodia.</w:t>
            </w:r>
          </w:p>
        </w:tc>
        <w:tc>
          <w:tcPr>
            <w:tcW w:w="1667" w:type="pct"/>
            <w:vAlign w:val="center"/>
          </w:tcPr>
          <w:p w14:paraId="370BC619" w14:textId="77777777" w:rsidR="000A6BB0" w:rsidRPr="0026684F" w:rsidRDefault="000A6BB0" w:rsidP="00100C52">
            <w:pPr>
              <w:pStyle w:val="Sinespaciado"/>
              <w:jc w:val="center"/>
              <w:rPr>
                <w:rFonts w:ascii="Century Gothic" w:hAnsi="Century Gothic" w:cs="Times New Roman"/>
                <w:sz w:val="22"/>
              </w:rPr>
            </w:pPr>
            <w:r w:rsidRPr="0026684F">
              <w:rPr>
                <w:rFonts w:ascii="Century Gothic" w:hAnsi="Century Gothic" w:cs="Times New Roman"/>
                <w:b/>
                <w:sz w:val="22"/>
              </w:rPr>
              <w:lastRenderedPageBreak/>
              <w:t>Se propone el mismo texto aprobado en plenaria de Senado</w:t>
            </w:r>
          </w:p>
        </w:tc>
        <w:tc>
          <w:tcPr>
            <w:tcW w:w="1666" w:type="pct"/>
            <w:vAlign w:val="center"/>
          </w:tcPr>
          <w:p w14:paraId="59BB7C21" w14:textId="77777777" w:rsidR="000A6BB0" w:rsidRPr="0026684F" w:rsidRDefault="000A6BB0" w:rsidP="00100C52">
            <w:pPr>
              <w:pStyle w:val="Sinespaciado"/>
              <w:jc w:val="center"/>
              <w:rPr>
                <w:rFonts w:ascii="Century Gothic" w:hAnsi="Century Gothic" w:cs="Times New Roman"/>
                <w:b/>
                <w:sz w:val="22"/>
              </w:rPr>
            </w:pPr>
            <w:r w:rsidRPr="0026684F">
              <w:rPr>
                <w:rFonts w:ascii="Century Gothic" w:hAnsi="Century Gothic" w:cs="Times New Roman"/>
                <w:b/>
                <w:sz w:val="22"/>
              </w:rPr>
              <w:t>Se propone el mismo texto aprobado en plenaria de Senado</w:t>
            </w:r>
          </w:p>
        </w:tc>
      </w:tr>
      <w:tr w:rsidR="000A6BB0" w:rsidRPr="0026684F" w14:paraId="69BE7C5F" w14:textId="77777777" w:rsidTr="00100C52">
        <w:tc>
          <w:tcPr>
            <w:tcW w:w="1667" w:type="pct"/>
          </w:tcPr>
          <w:p w14:paraId="7B2627E9"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Artículo 3°.</w:t>
            </w:r>
            <w:r w:rsidRPr="0026684F">
              <w:rPr>
                <w:rFonts w:ascii="Century Gothic" w:hAnsi="Century Gothic" w:cs="Times New Roman"/>
                <w:sz w:val="22"/>
              </w:rPr>
              <w:t xml:space="preserve"> Modifíquese el numeral 3 y el parágrafo 3° del artículo 284 de la Ley 906 de 2004, relativo a la Prueba anticipada, los cuales quedarán así:</w:t>
            </w:r>
          </w:p>
          <w:p w14:paraId="01D62104" w14:textId="77777777" w:rsidR="000A6BB0" w:rsidRPr="0026684F" w:rsidRDefault="000A6BB0" w:rsidP="00100C52">
            <w:pPr>
              <w:pStyle w:val="Sinespaciado"/>
              <w:rPr>
                <w:rFonts w:ascii="Century Gothic" w:hAnsi="Century Gothic" w:cs="Times New Roman"/>
                <w:sz w:val="22"/>
              </w:rPr>
            </w:pPr>
          </w:p>
          <w:p w14:paraId="0EBD443D"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Artículo 284. Prueba anticipada.</w:t>
            </w:r>
            <w:r w:rsidRPr="0026684F">
              <w:rPr>
                <w:rFonts w:ascii="Century Gothic" w:hAnsi="Century Gothic" w:cs="Times New Roman"/>
                <w:sz w:val="22"/>
              </w:rPr>
              <w:t xml:space="preserve"> Durante la investigación y hasta antes de la instalación de la audiencia de juicio oral se podrá practicar anticipadamente cualquier medio de prueba pertinente, con el cumplimiento de los siguientes requisitos:</w:t>
            </w:r>
          </w:p>
          <w:p w14:paraId="0DEF8AF8" w14:textId="77777777" w:rsidR="000A6BB0" w:rsidRPr="0026684F" w:rsidRDefault="000A6BB0" w:rsidP="00100C52">
            <w:pPr>
              <w:pStyle w:val="Sinespaciado"/>
              <w:rPr>
                <w:rFonts w:ascii="Century Gothic" w:hAnsi="Century Gothic" w:cs="Times New Roman"/>
                <w:sz w:val="22"/>
              </w:rPr>
            </w:pPr>
          </w:p>
          <w:p w14:paraId="39B2F60E"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1.</w:t>
            </w:r>
            <w:r w:rsidRPr="0026684F">
              <w:rPr>
                <w:rFonts w:ascii="Century Gothic" w:hAnsi="Century Gothic" w:cs="Times New Roman"/>
                <w:sz w:val="22"/>
              </w:rPr>
              <w:t xml:space="preserve"> Que sea practicada ante el juez que cumpla funciones de control de garantías.</w:t>
            </w:r>
          </w:p>
          <w:p w14:paraId="21964623" w14:textId="77777777" w:rsidR="000A6BB0" w:rsidRPr="0026684F" w:rsidRDefault="000A6BB0" w:rsidP="00100C52">
            <w:pPr>
              <w:pStyle w:val="Sinespaciado"/>
              <w:rPr>
                <w:rFonts w:ascii="Century Gothic" w:hAnsi="Century Gothic" w:cs="Times New Roman"/>
                <w:sz w:val="22"/>
              </w:rPr>
            </w:pPr>
          </w:p>
          <w:p w14:paraId="1D0D7865"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2.</w:t>
            </w:r>
            <w:r w:rsidRPr="0026684F">
              <w:rPr>
                <w:rFonts w:ascii="Century Gothic" w:hAnsi="Century Gothic" w:cs="Times New Roman"/>
                <w:sz w:val="22"/>
              </w:rPr>
              <w:t xml:space="preserve"> Que sea solicitada por el Fiscal General o el fiscal delegado, por la defensa o por el Ministerio Público en los casos previstos en el artículo 112.</w:t>
            </w:r>
          </w:p>
          <w:p w14:paraId="28D07FB4" w14:textId="77777777" w:rsidR="000A6BB0" w:rsidRPr="0026684F" w:rsidRDefault="000A6BB0" w:rsidP="00100C52">
            <w:pPr>
              <w:pStyle w:val="Sinespaciado"/>
              <w:rPr>
                <w:rFonts w:ascii="Century Gothic" w:hAnsi="Century Gothic" w:cs="Times New Roman"/>
                <w:sz w:val="22"/>
              </w:rPr>
            </w:pPr>
          </w:p>
          <w:p w14:paraId="61BFDB07"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3.</w:t>
            </w:r>
            <w:r w:rsidRPr="0026684F">
              <w:rPr>
                <w:rFonts w:ascii="Century Gothic" w:hAnsi="Century Gothic" w:cs="Times New Roman"/>
                <w:sz w:val="22"/>
              </w:rPr>
              <w:t xml:space="preserve"> Que sea por motivos fundados y de extrema necesidad y para evitar la pérdida o alteración del medio probatorio, o que se trate de investigaciones que se adelanten por el delito de violencia intrafamiliar.</w:t>
            </w:r>
          </w:p>
          <w:p w14:paraId="1842960E" w14:textId="77777777" w:rsidR="000A6BB0" w:rsidRPr="0026684F" w:rsidRDefault="000A6BB0" w:rsidP="00100C52">
            <w:pPr>
              <w:pStyle w:val="Sinespaciado"/>
              <w:rPr>
                <w:rFonts w:ascii="Century Gothic" w:hAnsi="Century Gothic" w:cs="Times New Roman"/>
                <w:sz w:val="22"/>
              </w:rPr>
            </w:pPr>
          </w:p>
          <w:p w14:paraId="4D8349E3"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4.</w:t>
            </w:r>
            <w:r w:rsidRPr="0026684F">
              <w:rPr>
                <w:rFonts w:ascii="Century Gothic" w:hAnsi="Century Gothic" w:cs="Times New Roman"/>
                <w:sz w:val="22"/>
              </w:rPr>
              <w:t xml:space="preserve"> Que se practique en audiencia pública y con observancia de las reglas previstas para la práctica de pruebas en el juicio.</w:t>
            </w:r>
          </w:p>
          <w:p w14:paraId="40B66926" w14:textId="77777777" w:rsidR="000A6BB0" w:rsidRPr="0026684F" w:rsidRDefault="000A6BB0" w:rsidP="00100C52">
            <w:pPr>
              <w:pStyle w:val="Sinespaciado"/>
              <w:rPr>
                <w:rFonts w:ascii="Century Gothic" w:hAnsi="Century Gothic" w:cs="Times New Roman"/>
                <w:sz w:val="22"/>
              </w:rPr>
            </w:pPr>
          </w:p>
          <w:p w14:paraId="30ECAEEC"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 1°.</w:t>
            </w:r>
            <w:r w:rsidRPr="0026684F">
              <w:rPr>
                <w:rFonts w:ascii="Century Gothic" w:hAnsi="Century Gothic" w:cs="Times New Roman"/>
                <w:sz w:val="22"/>
              </w:rPr>
              <w:t xml:space="preserve"> Si la prueba anticipada es solicitada a partir de la presentación del escrito de acusación, el peticionario deberá informar de esta circunstancia al juez de conocimiento.</w:t>
            </w:r>
          </w:p>
          <w:p w14:paraId="02FF5E97" w14:textId="77777777" w:rsidR="000A6BB0" w:rsidRPr="0026684F" w:rsidRDefault="000A6BB0" w:rsidP="00100C52">
            <w:pPr>
              <w:pStyle w:val="Sinespaciado"/>
              <w:rPr>
                <w:rFonts w:ascii="Century Gothic" w:hAnsi="Century Gothic" w:cs="Times New Roman"/>
                <w:sz w:val="22"/>
              </w:rPr>
            </w:pPr>
          </w:p>
          <w:p w14:paraId="19DC8BF1"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 2°.</w:t>
            </w:r>
            <w:r w:rsidRPr="0026684F">
              <w:rPr>
                <w:rFonts w:ascii="Century Gothic" w:hAnsi="Century Gothic" w:cs="Times New Roman"/>
                <w:sz w:val="22"/>
              </w:rPr>
              <w:t xml:space="preserve">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14:paraId="3CF16229" w14:textId="77777777" w:rsidR="000A6BB0" w:rsidRPr="0026684F" w:rsidRDefault="000A6BB0" w:rsidP="00100C52">
            <w:pPr>
              <w:pStyle w:val="Sinespaciado"/>
              <w:rPr>
                <w:rFonts w:ascii="Century Gothic" w:hAnsi="Century Gothic" w:cs="Times New Roman"/>
                <w:sz w:val="22"/>
              </w:rPr>
            </w:pPr>
          </w:p>
          <w:p w14:paraId="134FA5ED"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Parágrafo 3°.</w:t>
            </w:r>
            <w:r w:rsidRPr="0026684F">
              <w:rPr>
                <w:rFonts w:ascii="Century Gothic" w:hAnsi="Century Gothic" w:cs="Times New Roman"/>
                <w:sz w:val="22"/>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evento en el cual, el juez se abstendrá de repetir la prueba anticipada cuando exista evidencia sumaria de:</w:t>
            </w:r>
          </w:p>
          <w:p w14:paraId="719D1F34" w14:textId="77777777" w:rsidR="000A6BB0" w:rsidRPr="0026684F" w:rsidRDefault="000A6BB0" w:rsidP="00100C52">
            <w:pPr>
              <w:pStyle w:val="Sinespaciado"/>
              <w:rPr>
                <w:rFonts w:ascii="Century Gothic" w:hAnsi="Century Gothic" w:cs="Times New Roman"/>
                <w:sz w:val="22"/>
              </w:rPr>
            </w:pPr>
          </w:p>
          <w:p w14:paraId="33C3113E"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a) Revictimización;</w:t>
            </w:r>
          </w:p>
          <w:p w14:paraId="5D793B08" w14:textId="77777777" w:rsidR="000A6BB0" w:rsidRPr="0026684F" w:rsidRDefault="000A6BB0" w:rsidP="00100C52">
            <w:pPr>
              <w:pStyle w:val="Sinespaciado"/>
              <w:rPr>
                <w:rFonts w:ascii="Century Gothic" w:hAnsi="Century Gothic" w:cs="Times New Roman"/>
                <w:sz w:val="22"/>
              </w:rPr>
            </w:pPr>
          </w:p>
          <w:p w14:paraId="0EDA9500"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b) Riesgo de violencia o manipulación;</w:t>
            </w:r>
          </w:p>
          <w:p w14:paraId="7292D479" w14:textId="77777777" w:rsidR="000A6BB0" w:rsidRPr="0026684F" w:rsidRDefault="000A6BB0" w:rsidP="00100C52">
            <w:pPr>
              <w:pStyle w:val="Sinespaciado"/>
              <w:rPr>
                <w:rFonts w:ascii="Century Gothic" w:hAnsi="Century Gothic" w:cs="Times New Roman"/>
                <w:sz w:val="22"/>
              </w:rPr>
            </w:pPr>
          </w:p>
          <w:p w14:paraId="05EE1DFF"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c) Afectación emocional del testigo;</w:t>
            </w:r>
          </w:p>
          <w:p w14:paraId="1B0172D1" w14:textId="77777777" w:rsidR="000A6BB0" w:rsidRPr="0026684F" w:rsidRDefault="000A6BB0" w:rsidP="00100C52">
            <w:pPr>
              <w:pStyle w:val="Sinespaciado"/>
              <w:rPr>
                <w:rFonts w:ascii="Century Gothic" w:hAnsi="Century Gothic" w:cs="Times New Roman"/>
                <w:sz w:val="22"/>
              </w:rPr>
            </w:pPr>
          </w:p>
          <w:p w14:paraId="219E71BA"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d) O dependencia económica con el agresor.</w:t>
            </w:r>
          </w:p>
          <w:p w14:paraId="567DB014" w14:textId="77777777" w:rsidR="000A6BB0" w:rsidRPr="0026684F" w:rsidRDefault="000A6BB0" w:rsidP="00100C52">
            <w:pPr>
              <w:pStyle w:val="Sinespaciado"/>
              <w:rPr>
                <w:rFonts w:ascii="Century Gothic" w:hAnsi="Century Gothic" w:cs="Times New Roman"/>
                <w:sz w:val="22"/>
              </w:rPr>
            </w:pPr>
          </w:p>
          <w:p w14:paraId="2ED8E25B"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 4°.</w:t>
            </w:r>
            <w:r w:rsidRPr="0026684F">
              <w:rPr>
                <w:rFonts w:ascii="Century Gothic" w:hAnsi="Century Gothic" w:cs="Times New Roman"/>
                <w:sz w:val="22"/>
              </w:rPr>
              <w:t xml:space="preserve"> En las investigaciones que versen sobre delitos de competencia de los jueces penales del circuito especializados, por delitos contra la Administración Pública y </w:t>
            </w:r>
            <w:r w:rsidRPr="0026684F">
              <w:rPr>
                <w:rFonts w:ascii="Century Gothic" w:hAnsi="Century Gothic" w:cs="Times New Roman"/>
                <w:sz w:val="22"/>
              </w:rPr>
              <w:lastRenderedPageBreak/>
              <w:t>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w:t>
            </w:r>
          </w:p>
          <w:p w14:paraId="517096E6" w14:textId="77777777" w:rsidR="000A6BB0" w:rsidRPr="0026684F" w:rsidRDefault="000A6BB0" w:rsidP="00100C52">
            <w:pPr>
              <w:pStyle w:val="Sinespaciado"/>
              <w:rPr>
                <w:rFonts w:ascii="Century Gothic" w:hAnsi="Century Gothic" w:cs="Times New Roman"/>
                <w:sz w:val="22"/>
              </w:rPr>
            </w:pPr>
          </w:p>
          <w:p w14:paraId="6759C739"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La prueba deberá practicarse antes de que quede en firme la decisión del Presidente de la República de conceder la extradición.</w:t>
            </w:r>
          </w:p>
        </w:tc>
        <w:tc>
          <w:tcPr>
            <w:tcW w:w="1667" w:type="pct"/>
          </w:tcPr>
          <w:p w14:paraId="7A3CD575"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Artículo 3°.</w:t>
            </w:r>
            <w:r w:rsidRPr="0026684F">
              <w:rPr>
                <w:rFonts w:ascii="Century Gothic" w:hAnsi="Century Gothic" w:cs="Times New Roman"/>
                <w:sz w:val="22"/>
              </w:rPr>
              <w:t xml:space="preserve"> Modifíquese el numeral 3 y el parágrafo 3° del artículo 284 de la Ley 906 de 2004, relativo a la Prueba anticipada, los cuales quedarán así:</w:t>
            </w:r>
          </w:p>
          <w:p w14:paraId="0AD5DE19" w14:textId="77777777" w:rsidR="000A6BB0" w:rsidRPr="0026684F" w:rsidRDefault="000A6BB0" w:rsidP="00100C52">
            <w:pPr>
              <w:pStyle w:val="Sinespaciado"/>
              <w:rPr>
                <w:rFonts w:ascii="Century Gothic" w:hAnsi="Century Gothic" w:cs="Times New Roman"/>
                <w:sz w:val="22"/>
              </w:rPr>
            </w:pPr>
          </w:p>
          <w:p w14:paraId="49B60A79"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Artículo 284. Prueba anticipada.</w:t>
            </w:r>
            <w:r w:rsidRPr="0026684F">
              <w:rPr>
                <w:rFonts w:ascii="Century Gothic" w:hAnsi="Century Gothic" w:cs="Times New Roman"/>
                <w:sz w:val="22"/>
              </w:rPr>
              <w:t xml:space="preserve"> Durante la investigación y hasta antes de la instalación de la audiencia de juicio oral se podrá practicar anticipadamente cualquier medio de prueba pertinente, con el cumplimiento de los siguientes requisitos:</w:t>
            </w:r>
          </w:p>
          <w:p w14:paraId="67BC8FEF" w14:textId="77777777" w:rsidR="000A6BB0" w:rsidRPr="0026684F" w:rsidRDefault="000A6BB0" w:rsidP="00100C52">
            <w:pPr>
              <w:pStyle w:val="Sinespaciado"/>
              <w:rPr>
                <w:rFonts w:ascii="Century Gothic" w:hAnsi="Century Gothic" w:cs="Times New Roman"/>
                <w:sz w:val="22"/>
              </w:rPr>
            </w:pPr>
          </w:p>
          <w:p w14:paraId="47EAA4B5"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1. Que sea practicada ante el juez que cumpla funciones de control de garantías.</w:t>
            </w:r>
          </w:p>
          <w:p w14:paraId="0FBD8847" w14:textId="77777777" w:rsidR="000A6BB0" w:rsidRPr="0026684F" w:rsidRDefault="000A6BB0" w:rsidP="00100C52">
            <w:pPr>
              <w:pStyle w:val="Sinespaciado"/>
              <w:rPr>
                <w:rFonts w:ascii="Century Gothic" w:hAnsi="Century Gothic" w:cs="Times New Roman"/>
                <w:sz w:val="22"/>
              </w:rPr>
            </w:pPr>
          </w:p>
          <w:p w14:paraId="7521BB12"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2. Que sea solicitada por el Fiscal General o el fiscal delegado, por la defensa o por el Ministerio Público en los casos previstos en el artículo 112.</w:t>
            </w:r>
          </w:p>
          <w:p w14:paraId="2A1292FB" w14:textId="77777777" w:rsidR="000A6BB0" w:rsidRPr="0026684F" w:rsidRDefault="000A6BB0" w:rsidP="00100C52">
            <w:pPr>
              <w:pStyle w:val="Sinespaciado"/>
              <w:rPr>
                <w:rFonts w:ascii="Century Gothic" w:hAnsi="Century Gothic" w:cs="Times New Roman"/>
                <w:sz w:val="22"/>
              </w:rPr>
            </w:pPr>
          </w:p>
          <w:p w14:paraId="259D8153"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lastRenderedPageBreak/>
              <w:t>3. Que sea por motivos fundados y de extrema necesidad y para evitar la pérdida o alteración del medio probatorio, o que se trate de investigaciones que se adelanten por el delito de violencia intrafamiliar.</w:t>
            </w:r>
          </w:p>
          <w:p w14:paraId="26771456" w14:textId="77777777" w:rsidR="000A6BB0" w:rsidRPr="0026684F" w:rsidRDefault="000A6BB0" w:rsidP="00100C52">
            <w:pPr>
              <w:pStyle w:val="Sinespaciado"/>
              <w:rPr>
                <w:rFonts w:ascii="Century Gothic" w:hAnsi="Century Gothic" w:cs="Times New Roman"/>
                <w:sz w:val="22"/>
              </w:rPr>
            </w:pPr>
          </w:p>
          <w:p w14:paraId="4153F026"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4. Que se practique en audiencia pública y con observancia de las reglas previstas para la práctica de pruebas en el juicio.</w:t>
            </w:r>
          </w:p>
          <w:p w14:paraId="4C30B187" w14:textId="77777777" w:rsidR="000A6BB0" w:rsidRPr="0026684F" w:rsidRDefault="000A6BB0" w:rsidP="00100C52">
            <w:pPr>
              <w:pStyle w:val="Sinespaciado"/>
              <w:rPr>
                <w:rFonts w:ascii="Century Gothic" w:hAnsi="Century Gothic" w:cs="Times New Roman"/>
                <w:sz w:val="22"/>
              </w:rPr>
            </w:pPr>
          </w:p>
          <w:p w14:paraId="03176C14"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 1°.</w:t>
            </w:r>
            <w:r w:rsidRPr="0026684F">
              <w:rPr>
                <w:rFonts w:ascii="Century Gothic" w:hAnsi="Century Gothic" w:cs="Times New Roman"/>
                <w:sz w:val="22"/>
              </w:rPr>
              <w:t xml:space="preserve"> Si la prueba anticipada es solicitada a partir de la presentación del escrito de acusación, el peticionario deberá informar de esta circunstancia al juez de conocimiento.</w:t>
            </w:r>
          </w:p>
          <w:p w14:paraId="3499DB30" w14:textId="77777777" w:rsidR="000A6BB0" w:rsidRPr="0026684F" w:rsidRDefault="000A6BB0" w:rsidP="00100C52">
            <w:pPr>
              <w:pStyle w:val="Sinespaciado"/>
              <w:rPr>
                <w:rFonts w:ascii="Century Gothic" w:hAnsi="Century Gothic" w:cs="Times New Roman"/>
                <w:sz w:val="22"/>
              </w:rPr>
            </w:pPr>
          </w:p>
          <w:p w14:paraId="0D7A8275"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 2°.</w:t>
            </w:r>
            <w:r w:rsidRPr="0026684F">
              <w:rPr>
                <w:rFonts w:ascii="Century Gothic" w:hAnsi="Century Gothic" w:cs="Times New Roman"/>
                <w:sz w:val="22"/>
              </w:rPr>
              <w:t xml:space="preserve">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14:paraId="2FEB6798" w14:textId="77777777" w:rsidR="000A6BB0" w:rsidRPr="0026684F" w:rsidRDefault="000A6BB0" w:rsidP="00100C52">
            <w:pPr>
              <w:pStyle w:val="Sinespaciado"/>
              <w:rPr>
                <w:rFonts w:ascii="Century Gothic" w:hAnsi="Century Gothic" w:cs="Times New Roman"/>
                <w:sz w:val="22"/>
              </w:rPr>
            </w:pPr>
          </w:p>
          <w:p w14:paraId="74F208AF"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Parágrafo 3°.</w:t>
            </w:r>
            <w:r w:rsidRPr="0026684F">
              <w:rPr>
                <w:rFonts w:ascii="Century Gothic" w:hAnsi="Century Gothic" w:cs="Times New Roman"/>
                <w:sz w:val="22"/>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evento en el cual, el juez se abstendrá de repetir la prueba anticipada cuando exista evidencia sumaria de:</w:t>
            </w:r>
          </w:p>
          <w:p w14:paraId="044412F2" w14:textId="77777777" w:rsidR="000A6BB0" w:rsidRPr="0026684F" w:rsidRDefault="000A6BB0" w:rsidP="00100C52">
            <w:pPr>
              <w:pStyle w:val="Sinespaciado"/>
              <w:rPr>
                <w:rFonts w:ascii="Century Gothic" w:hAnsi="Century Gothic" w:cs="Times New Roman"/>
                <w:sz w:val="22"/>
              </w:rPr>
            </w:pPr>
          </w:p>
          <w:p w14:paraId="42977AA5"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a) Revictimización;</w:t>
            </w:r>
          </w:p>
          <w:p w14:paraId="4848F6A4" w14:textId="77777777" w:rsidR="000A6BB0" w:rsidRPr="0026684F" w:rsidRDefault="000A6BB0" w:rsidP="00100C52">
            <w:pPr>
              <w:pStyle w:val="Sinespaciado"/>
              <w:rPr>
                <w:rFonts w:ascii="Century Gothic" w:hAnsi="Century Gothic" w:cs="Times New Roman"/>
                <w:sz w:val="22"/>
              </w:rPr>
            </w:pPr>
          </w:p>
          <w:p w14:paraId="322ABE3B"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b) Riesgo de violencia o manipulación;</w:t>
            </w:r>
          </w:p>
          <w:p w14:paraId="2CD0B04E" w14:textId="77777777" w:rsidR="000A6BB0" w:rsidRPr="0026684F" w:rsidRDefault="000A6BB0" w:rsidP="00100C52">
            <w:pPr>
              <w:pStyle w:val="Sinespaciado"/>
              <w:rPr>
                <w:rFonts w:ascii="Century Gothic" w:hAnsi="Century Gothic" w:cs="Times New Roman"/>
                <w:sz w:val="22"/>
              </w:rPr>
            </w:pPr>
          </w:p>
          <w:p w14:paraId="5D087621"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c) Afectación emocional del testigo;</w:t>
            </w:r>
          </w:p>
          <w:p w14:paraId="28A8A901" w14:textId="77777777" w:rsidR="000A6BB0" w:rsidRPr="0026684F" w:rsidRDefault="000A6BB0" w:rsidP="00100C52">
            <w:pPr>
              <w:pStyle w:val="Sinespaciado"/>
              <w:rPr>
                <w:rFonts w:ascii="Century Gothic" w:hAnsi="Century Gothic" w:cs="Times New Roman"/>
                <w:sz w:val="22"/>
              </w:rPr>
            </w:pPr>
          </w:p>
          <w:p w14:paraId="69685D1C"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d) O dependencia económica con el agresor.</w:t>
            </w:r>
          </w:p>
          <w:p w14:paraId="63C8DB87" w14:textId="77777777" w:rsidR="000A6BB0" w:rsidRPr="0026684F" w:rsidRDefault="000A6BB0" w:rsidP="00100C52">
            <w:pPr>
              <w:pStyle w:val="Sinespaciado"/>
              <w:rPr>
                <w:rFonts w:ascii="Century Gothic" w:hAnsi="Century Gothic" w:cs="Times New Roman"/>
                <w:sz w:val="22"/>
              </w:rPr>
            </w:pPr>
          </w:p>
          <w:p w14:paraId="2B9ABA83"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 4°.</w:t>
            </w:r>
            <w:r w:rsidRPr="0026684F">
              <w:rPr>
                <w:rFonts w:ascii="Century Gothic" w:hAnsi="Century Gothic" w:cs="Times New Roman"/>
                <w:sz w:val="22"/>
              </w:rPr>
              <w:t xml:space="preserve"> En las investigaciones que versen sobre delitos de competencia de los jueces penales del circuito especializados, por delitos contra la Administración Pública y </w:t>
            </w:r>
            <w:r w:rsidRPr="0026684F">
              <w:rPr>
                <w:rFonts w:ascii="Century Gothic" w:hAnsi="Century Gothic" w:cs="Times New Roman"/>
                <w:sz w:val="22"/>
              </w:rPr>
              <w:lastRenderedPageBreak/>
              <w:t>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w:t>
            </w:r>
          </w:p>
          <w:p w14:paraId="69F1FFB7" w14:textId="77777777" w:rsidR="000A6BB0" w:rsidRPr="0026684F" w:rsidRDefault="000A6BB0" w:rsidP="00100C52">
            <w:pPr>
              <w:pStyle w:val="Sinespaciado"/>
              <w:rPr>
                <w:rFonts w:ascii="Century Gothic" w:hAnsi="Century Gothic" w:cs="Times New Roman"/>
                <w:sz w:val="22"/>
              </w:rPr>
            </w:pPr>
          </w:p>
          <w:p w14:paraId="03EBFE4E"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La prueba deberá practicarse antes de que quede en firme la decisión del Presidente de la República de conceder la extradición.</w:t>
            </w:r>
          </w:p>
          <w:p w14:paraId="0F879C41" w14:textId="77777777" w:rsidR="000A6BB0" w:rsidRPr="0026684F" w:rsidRDefault="000A6BB0" w:rsidP="00100C52">
            <w:pPr>
              <w:pStyle w:val="Sinespaciado"/>
              <w:rPr>
                <w:rFonts w:ascii="Century Gothic" w:hAnsi="Century Gothic" w:cs="Times New Roman"/>
                <w:sz w:val="22"/>
              </w:rPr>
            </w:pPr>
          </w:p>
          <w:p w14:paraId="608219A4" w14:textId="77777777" w:rsidR="000A6BB0" w:rsidRPr="0026684F" w:rsidRDefault="000A6BB0" w:rsidP="00100C52">
            <w:pPr>
              <w:pStyle w:val="Sinespaciado"/>
              <w:rPr>
                <w:rFonts w:ascii="Century Gothic" w:hAnsi="Century Gothic" w:cs="Times New Roman"/>
                <w:sz w:val="22"/>
                <w:u w:val="single"/>
              </w:rPr>
            </w:pPr>
            <w:r w:rsidRPr="0026684F">
              <w:rPr>
                <w:rFonts w:ascii="Century Gothic" w:hAnsi="Century Gothic" w:cs="Times New Roman"/>
                <w:b/>
                <w:sz w:val="22"/>
                <w:u w:val="single"/>
              </w:rPr>
              <w:t>Parágrafo 5.</w:t>
            </w:r>
            <w:r w:rsidRPr="0026684F">
              <w:rPr>
                <w:rFonts w:ascii="Century Gothic" w:hAnsi="Century Gothic" w:cs="Times New Roman"/>
                <w:sz w:val="22"/>
                <w:u w:val="single"/>
              </w:rPr>
              <w:t xml:space="preserve"> La prueba testimonial anticipada se podrá practicar en todos los casos en que se adelanten investigaciones contra miembros de Grupos Delictivos Organizados y Grupos Armados Organizados. Las pruebas </w:t>
            </w:r>
            <w:r w:rsidRPr="0026684F">
              <w:rPr>
                <w:rFonts w:ascii="Century Gothic" w:hAnsi="Century Gothic" w:cs="Times New Roman"/>
                <w:sz w:val="22"/>
                <w:u w:val="single"/>
              </w:rPr>
              <w:lastRenderedPageBreak/>
              <w:t>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p w14:paraId="7A1E92F9" w14:textId="77777777" w:rsidR="000A6BB0" w:rsidRPr="0026684F" w:rsidRDefault="000A6BB0" w:rsidP="00100C52">
            <w:pPr>
              <w:pStyle w:val="Sinespaciado"/>
              <w:rPr>
                <w:rFonts w:ascii="Century Gothic" w:hAnsi="Century Gothic" w:cs="Times New Roman"/>
                <w:sz w:val="22"/>
              </w:rPr>
            </w:pPr>
          </w:p>
        </w:tc>
        <w:tc>
          <w:tcPr>
            <w:tcW w:w="1666" w:type="pct"/>
          </w:tcPr>
          <w:p w14:paraId="01F957F7" w14:textId="77777777" w:rsidR="000A6BB0" w:rsidRPr="0026684F" w:rsidRDefault="000A6BB0" w:rsidP="00100C52">
            <w:pPr>
              <w:tabs>
                <w:tab w:val="left" w:pos="1044"/>
              </w:tabs>
              <w:rPr>
                <w:rFonts w:ascii="Century Gothic" w:eastAsia="Times New Roman" w:hAnsi="Century Gothic" w:cs="Times New Roman"/>
                <w:sz w:val="22"/>
                <w:lang w:val="es-ES_tradnl"/>
              </w:rPr>
            </w:pPr>
            <w:r w:rsidRPr="0026684F">
              <w:rPr>
                <w:rFonts w:ascii="Century Gothic" w:eastAsia="Times New Roman" w:hAnsi="Century Gothic" w:cs="Times New Roman"/>
                <w:sz w:val="22"/>
                <w:lang w:val="es-ES_tradnl"/>
              </w:rPr>
              <w:lastRenderedPageBreak/>
              <w:t>Se incluyen las recientes modificaciones de la Ley 1908 de 2018, en virtud de la cual fue incluido un parágrafo 5 al artículo 284 de la Ley 906 de 2004. Lo anterior, toda vez que dicha norma fue sancionada con posterioridad al debate del presente proyecto de ley.</w:t>
            </w:r>
          </w:p>
          <w:p w14:paraId="55B05BCC" w14:textId="77777777" w:rsidR="000A6BB0" w:rsidRPr="0026684F" w:rsidRDefault="000A6BB0" w:rsidP="00100C52">
            <w:pPr>
              <w:tabs>
                <w:tab w:val="left" w:pos="1044"/>
              </w:tabs>
              <w:rPr>
                <w:rFonts w:ascii="Century Gothic" w:eastAsia="Times New Roman" w:hAnsi="Century Gothic" w:cs="Times New Roman"/>
                <w:sz w:val="22"/>
                <w:lang w:val="es-ES_tradnl"/>
              </w:rPr>
            </w:pPr>
          </w:p>
        </w:tc>
      </w:tr>
      <w:tr w:rsidR="000A6BB0" w:rsidRPr="0026684F" w14:paraId="05729CAF" w14:textId="77777777" w:rsidTr="00100C52">
        <w:tc>
          <w:tcPr>
            <w:tcW w:w="1667" w:type="pct"/>
          </w:tcPr>
          <w:p w14:paraId="4BB6427F"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Artículo 4°.</w:t>
            </w:r>
            <w:r w:rsidRPr="0026684F">
              <w:rPr>
                <w:rFonts w:ascii="Century Gothic" w:hAnsi="Century Gothic" w:cs="Times New Roman"/>
                <w:sz w:val="22"/>
              </w:rPr>
              <w:t xml:space="preserve"> Modifíquese el artículo 534 de la Ley 906 de 2004, el cual quedará así:</w:t>
            </w:r>
          </w:p>
          <w:p w14:paraId="2A21D0E3" w14:textId="77777777" w:rsidR="000A6BB0" w:rsidRPr="0026684F" w:rsidRDefault="000A6BB0" w:rsidP="00100C52">
            <w:pPr>
              <w:pStyle w:val="Sinespaciado"/>
              <w:rPr>
                <w:rFonts w:ascii="Century Gothic" w:hAnsi="Century Gothic" w:cs="Times New Roman"/>
                <w:sz w:val="22"/>
              </w:rPr>
            </w:pPr>
          </w:p>
          <w:p w14:paraId="6E576AA1"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Artículo 534. Ámbito de aplicación.</w:t>
            </w:r>
            <w:r w:rsidRPr="0026684F">
              <w:rPr>
                <w:rFonts w:ascii="Century Gothic" w:hAnsi="Century Gothic" w:cs="Times New Roman"/>
                <w:sz w:val="22"/>
              </w:rPr>
              <w:t xml:space="preserve"> El procedimiento especial abreviado de que trata el presente título se aplicará a las siguientes conductas punibles:</w:t>
            </w:r>
          </w:p>
          <w:p w14:paraId="2AA29E59" w14:textId="77777777" w:rsidR="000A6BB0" w:rsidRPr="0026684F" w:rsidRDefault="000A6BB0" w:rsidP="00100C52">
            <w:pPr>
              <w:pStyle w:val="Sinespaciado"/>
              <w:rPr>
                <w:rFonts w:ascii="Century Gothic" w:hAnsi="Century Gothic" w:cs="Times New Roman"/>
                <w:sz w:val="22"/>
              </w:rPr>
            </w:pPr>
          </w:p>
          <w:p w14:paraId="3BA1798D"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1. Las que requieren querella para el inicio de la acción penal.</w:t>
            </w:r>
          </w:p>
          <w:p w14:paraId="3CC0D90F" w14:textId="77777777" w:rsidR="000A6BB0" w:rsidRPr="0026684F" w:rsidRDefault="000A6BB0" w:rsidP="00100C52">
            <w:pPr>
              <w:pStyle w:val="Sinespaciado"/>
              <w:rPr>
                <w:rFonts w:ascii="Century Gothic" w:hAnsi="Century Gothic" w:cs="Times New Roman"/>
                <w:sz w:val="22"/>
              </w:rPr>
            </w:pPr>
          </w:p>
          <w:p w14:paraId="4D53EF30"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2.</w:t>
            </w:r>
            <w:r w:rsidRPr="0026684F">
              <w:rPr>
                <w:rFonts w:ascii="Century Gothic" w:hAnsi="Century Gothic" w:cs="Times New Roman"/>
                <w:sz w:val="22"/>
              </w:rPr>
              <w:t xml:space="preserve"> Lesiones personales a las que hacen referencia los artículos 111, 112, 113, 114, 115, 116, 118 y 120 del Código Penal; Actos de Discriminación (C. P. artículo 134A), Hostigamiento (C. P. artículo 134B), Actos de </w:t>
            </w:r>
            <w:r w:rsidRPr="0026684F">
              <w:rPr>
                <w:rFonts w:ascii="Century Gothic" w:hAnsi="Century Gothic" w:cs="Times New Roman"/>
                <w:sz w:val="22"/>
              </w:rPr>
              <w:lastRenderedPageBreak/>
              <w:t xml:space="preserve">Discriminación u Hostigamiento Agravados (C. P. artículo 134C), violencia intrafamiliar (C. P. artículo 229), inasistencia alimentaria (C. P. artículo 233) hurto (C. P. artículo 239); hurto calificado (C. P. artículo 240); hurto agravado (C. P. artículo 241), numerales del 1 al 10; estafa (C. P. artículo 246); abuso de confianza (C. P. artículo 249); 3 r·corrupción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(C.P. artículo 270); violación de derechos patrimoniales de autor y derechos conexos (C. P. artículo 271); violación a los mecanismos de protección de derechos </w:t>
            </w:r>
            <w:r w:rsidRPr="0026684F">
              <w:rPr>
                <w:rFonts w:ascii="Century Gothic" w:hAnsi="Century Gothic" w:cs="Times New Roman"/>
                <w:sz w:val="22"/>
              </w:rPr>
              <w:lastRenderedPageBreak/>
              <w:t>de autor (C. P. artículo 272); falsedad en documento privado (C.P. artículos 289 y 290); usurpación de derechos de propiedad industrial y de derechos de obtentores de variedades vegetales (C. P. artículo 306); uso ilegítimo de patentes (C. P.</w:t>
            </w:r>
            <w:r w:rsidRPr="0026684F">
              <w:rPr>
                <w:rFonts w:ascii="Century Gothic" w:hAnsi="Century Gothic"/>
                <w:sz w:val="22"/>
              </w:rPr>
              <w:t xml:space="preserve"> </w:t>
            </w:r>
            <w:r w:rsidRPr="0026684F">
              <w:rPr>
                <w:rFonts w:ascii="Century Gothic" w:hAnsi="Century Gothic" w:cs="Times New Roman"/>
                <w:sz w:val="22"/>
              </w:rPr>
              <w:t xml:space="preserve">artículo 307); violación de reserva industrial y comercial (C. P. artículo 308); ejercicio ilícito de actividad monopolística de arbitrio rentístico (C. P. artículo 312). </w:t>
            </w:r>
          </w:p>
          <w:p w14:paraId="280BDD01" w14:textId="77777777" w:rsidR="000A6BB0" w:rsidRPr="0026684F" w:rsidRDefault="000A6BB0" w:rsidP="00100C52">
            <w:pPr>
              <w:pStyle w:val="Sinespaciado"/>
              <w:rPr>
                <w:rFonts w:ascii="Century Gothic" w:hAnsi="Century Gothic" w:cs="Times New Roman"/>
                <w:sz w:val="22"/>
              </w:rPr>
            </w:pPr>
          </w:p>
          <w:p w14:paraId="6A2A3DA9"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En caso de concurso entre las conductas punibles referidas en los numerales anteriores y aquellas a las que se les aplica el procedimiento ordinario, la actuación se regirá por este último.</w:t>
            </w:r>
          </w:p>
          <w:p w14:paraId="718C757A" w14:textId="77777777" w:rsidR="000A6BB0" w:rsidRPr="0026684F" w:rsidRDefault="000A6BB0" w:rsidP="00100C52">
            <w:pPr>
              <w:pStyle w:val="Sinespaciado"/>
              <w:rPr>
                <w:rFonts w:ascii="Century Gothic" w:hAnsi="Century Gothic" w:cs="Times New Roman"/>
                <w:sz w:val="22"/>
              </w:rPr>
            </w:pPr>
          </w:p>
          <w:p w14:paraId="3483B78A"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w:t>
            </w:r>
            <w:r w:rsidRPr="0026684F">
              <w:rPr>
                <w:rFonts w:ascii="Century Gothic" w:hAnsi="Century Gothic" w:cs="Times New Roman"/>
                <w:sz w:val="22"/>
              </w:rPr>
              <w:t xml:space="preserve"> Este procedimiento aplicará también para todos los casos de flagrancia de los delitos contemplados en el presente artículo.</w:t>
            </w:r>
          </w:p>
        </w:tc>
        <w:tc>
          <w:tcPr>
            <w:tcW w:w="1667" w:type="pct"/>
          </w:tcPr>
          <w:p w14:paraId="3C250A77"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Artículo 4°.</w:t>
            </w:r>
            <w:r w:rsidRPr="0026684F">
              <w:rPr>
                <w:rFonts w:ascii="Century Gothic" w:hAnsi="Century Gothic" w:cs="Times New Roman"/>
                <w:sz w:val="22"/>
              </w:rPr>
              <w:t xml:space="preserve"> Modifíquese el artículo 534 de la Ley 906 de 2004, el cual quedará así:</w:t>
            </w:r>
          </w:p>
          <w:p w14:paraId="740F4F32" w14:textId="77777777" w:rsidR="000A6BB0" w:rsidRPr="0026684F" w:rsidRDefault="000A6BB0" w:rsidP="00100C52">
            <w:pPr>
              <w:pStyle w:val="Sinespaciado"/>
              <w:rPr>
                <w:rFonts w:ascii="Century Gothic" w:hAnsi="Century Gothic" w:cs="Times New Roman"/>
                <w:sz w:val="22"/>
              </w:rPr>
            </w:pPr>
          </w:p>
          <w:p w14:paraId="0A5E1473"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Artículo 534. Ámbito de aplicación.</w:t>
            </w:r>
            <w:r w:rsidRPr="0026684F">
              <w:rPr>
                <w:rFonts w:ascii="Century Gothic" w:hAnsi="Century Gothic" w:cs="Times New Roman"/>
                <w:sz w:val="22"/>
              </w:rPr>
              <w:t xml:space="preserve"> El procedimiento especial abreviado de que trata el presente título se aplicará a las siguientes conductas punibles:</w:t>
            </w:r>
          </w:p>
          <w:p w14:paraId="564326D0" w14:textId="77777777" w:rsidR="000A6BB0" w:rsidRPr="0026684F" w:rsidRDefault="000A6BB0" w:rsidP="00100C52">
            <w:pPr>
              <w:pStyle w:val="Sinespaciado"/>
              <w:rPr>
                <w:rFonts w:ascii="Century Gothic" w:hAnsi="Century Gothic" w:cs="Times New Roman"/>
                <w:sz w:val="22"/>
              </w:rPr>
            </w:pPr>
          </w:p>
          <w:p w14:paraId="6934EBC0"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1. Las que requieren querella para el inicio de la acción penal.</w:t>
            </w:r>
          </w:p>
          <w:p w14:paraId="2E451E0F" w14:textId="77777777" w:rsidR="000A6BB0" w:rsidRPr="0026684F" w:rsidRDefault="000A6BB0" w:rsidP="00100C52">
            <w:pPr>
              <w:pStyle w:val="Sinespaciado"/>
              <w:rPr>
                <w:rFonts w:ascii="Century Gothic" w:hAnsi="Century Gothic" w:cs="Times New Roman"/>
                <w:sz w:val="22"/>
              </w:rPr>
            </w:pPr>
          </w:p>
          <w:p w14:paraId="2C9F0236"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 xml:space="preserve">2. Lesiones personales a las que hacen referencia los artículos 111, 112, 113, 114, 115, 116, 118 y 120 del Código Penal; Actos de Discriminación (C. P. artículo 134A), Hostigamiento (C. P. artículo 134B), Actos de </w:t>
            </w:r>
            <w:r w:rsidRPr="0026684F">
              <w:rPr>
                <w:rFonts w:ascii="Century Gothic" w:hAnsi="Century Gothic" w:cs="Times New Roman"/>
                <w:sz w:val="22"/>
              </w:rPr>
              <w:lastRenderedPageBreak/>
              <w:t xml:space="preserve">Discriminación u Hostigamiento Agravados (C. P. artículo 134C), violencia intrafamiliar (C. P. artículo 229), inasistencia alimentaria (C. P. artículo 233) hurto (C. P. artículo 239); hurto calificado (C. P. artículo 240); hurto agravado (C. P. artículo 241), numerales del 1 al 10; estafa (C. P. artículo 246); abuso de confianza (C. P. artículo 249); </w:t>
            </w:r>
            <w:r w:rsidRPr="0026684F">
              <w:rPr>
                <w:rFonts w:ascii="Century Gothic" w:hAnsi="Century Gothic" w:cs="Times New Roman"/>
                <w:strike/>
                <w:sz w:val="22"/>
              </w:rPr>
              <w:t>3 r·</w:t>
            </w:r>
            <w:r w:rsidRPr="0026684F">
              <w:rPr>
                <w:rFonts w:ascii="Century Gothic" w:hAnsi="Century Gothic" w:cs="Times New Roman"/>
                <w:sz w:val="22"/>
              </w:rPr>
              <w:t xml:space="preserve">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(C.P. artículo 270); violación de derechos patrimoniales de autor y derechos conexos (C. P. artículo 271); violación a los mecanismos de protección de derechos </w:t>
            </w:r>
            <w:r w:rsidRPr="0026684F">
              <w:rPr>
                <w:rFonts w:ascii="Century Gothic" w:hAnsi="Century Gothic" w:cs="Times New Roman"/>
                <w:sz w:val="22"/>
              </w:rPr>
              <w:lastRenderedPageBreak/>
              <w:t>de autor (C. P. artículo 272); falsedad en documento privado (C.P. artículos 289 y 290); usurpación de derechos de propiedad industrial y de derechos de obtentores de variedades vegetales (C. P. artículo 306); uso ilegítimo de patentes (C. P.</w:t>
            </w:r>
            <w:r w:rsidRPr="0026684F">
              <w:rPr>
                <w:rFonts w:ascii="Century Gothic" w:hAnsi="Century Gothic"/>
                <w:sz w:val="22"/>
              </w:rPr>
              <w:t xml:space="preserve"> </w:t>
            </w:r>
            <w:r w:rsidRPr="0026684F">
              <w:rPr>
                <w:rFonts w:ascii="Century Gothic" w:hAnsi="Century Gothic" w:cs="Times New Roman"/>
                <w:sz w:val="22"/>
              </w:rPr>
              <w:t xml:space="preserve">artículo 307); violación de reserva industrial y comercial (C. P. artículo 308); ejercicio ilícito de actividad monopolística de arbitrio rentístico (C. P. artículo 312). </w:t>
            </w:r>
          </w:p>
          <w:p w14:paraId="6B24A682" w14:textId="77777777" w:rsidR="000A6BB0" w:rsidRPr="0026684F" w:rsidRDefault="000A6BB0" w:rsidP="00100C52">
            <w:pPr>
              <w:pStyle w:val="Sinespaciado"/>
              <w:rPr>
                <w:rFonts w:ascii="Century Gothic" w:hAnsi="Century Gothic" w:cs="Times New Roman"/>
                <w:sz w:val="22"/>
              </w:rPr>
            </w:pPr>
          </w:p>
          <w:p w14:paraId="7814C1B5"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t>En caso de concurso entre las conductas punibles referidas en los numerales anteriores y aquellas a las que se les aplica el procedimiento ordinario, la actuación se regirá por este último.</w:t>
            </w:r>
          </w:p>
          <w:p w14:paraId="4F583FF4" w14:textId="77777777" w:rsidR="000A6BB0" w:rsidRPr="0026684F" w:rsidRDefault="000A6BB0" w:rsidP="00100C52">
            <w:pPr>
              <w:pStyle w:val="Sinespaciado"/>
              <w:rPr>
                <w:rFonts w:ascii="Century Gothic" w:hAnsi="Century Gothic" w:cs="Times New Roman"/>
                <w:sz w:val="22"/>
              </w:rPr>
            </w:pPr>
          </w:p>
          <w:p w14:paraId="079A4F95"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Parágrafo.</w:t>
            </w:r>
            <w:r w:rsidRPr="0026684F">
              <w:rPr>
                <w:rFonts w:ascii="Century Gothic" w:hAnsi="Century Gothic" w:cs="Times New Roman"/>
                <w:sz w:val="22"/>
              </w:rPr>
              <w:t xml:space="preserve"> Este procedimiento aplicará también para todos los casos de flagrancia de los delitos contemplados en el presente artículo.</w:t>
            </w:r>
          </w:p>
        </w:tc>
        <w:tc>
          <w:tcPr>
            <w:tcW w:w="1666" w:type="pct"/>
          </w:tcPr>
          <w:p w14:paraId="45EBB5BC"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sz w:val="22"/>
              </w:rPr>
              <w:lastRenderedPageBreak/>
              <w:t xml:space="preserve">El texto aprobado en segundo debate contiene un error de digitación en el artículo 4, que consiste en la inclusión de la expresión “3r” después del delito de abuso de confianza dentro del texto. Este error es corregido en el texto propuesto para debate. </w:t>
            </w:r>
          </w:p>
          <w:p w14:paraId="7EA7C662" w14:textId="77777777" w:rsidR="000A6BB0" w:rsidRPr="0026684F" w:rsidRDefault="000A6BB0" w:rsidP="00100C52">
            <w:pPr>
              <w:pStyle w:val="Sinespaciado"/>
              <w:rPr>
                <w:rFonts w:ascii="Century Gothic" w:hAnsi="Century Gothic" w:cs="Times New Roman"/>
                <w:sz w:val="22"/>
                <w:lang w:eastAsia="es-CO"/>
              </w:rPr>
            </w:pPr>
          </w:p>
        </w:tc>
      </w:tr>
      <w:tr w:rsidR="000A6BB0" w:rsidRPr="0026684F" w14:paraId="2A1E8F76" w14:textId="77777777" w:rsidTr="00100C52">
        <w:tc>
          <w:tcPr>
            <w:tcW w:w="1667" w:type="pct"/>
          </w:tcPr>
          <w:p w14:paraId="18F19B73"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Artículo 5°.</w:t>
            </w:r>
            <w:r w:rsidRPr="0026684F">
              <w:rPr>
                <w:rFonts w:ascii="Century Gothic" w:hAnsi="Century Gothic" w:cs="Times New Roman"/>
                <w:sz w:val="22"/>
              </w:rPr>
              <w:t xml:space="preserve"> Modifíquese el artículo 550 de la Ley 906 de 2004, el cual quedará así:</w:t>
            </w:r>
          </w:p>
          <w:p w14:paraId="07E55543" w14:textId="77777777" w:rsidR="000A6BB0" w:rsidRPr="0026684F" w:rsidRDefault="000A6BB0" w:rsidP="00100C52">
            <w:pPr>
              <w:pStyle w:val="Sinespaciado"/>
              <w:rPr>
                <w:rFonts w:ascii="Century Gothic" w:hAnsi="Century Gothic" w:cs="Times New Roman"/>
                <w:sz w:val="22"/>
              </w:rPr>
            </w:pPr>
          </w:p>
          <w:p w14:paraId="04048D96"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t>Artículo 550.</w:t>
            </w:r>
            <w:r w:rsidRPr="0026684F">
              <w:rPr>
                <w:rFonts w:ascii="Century Gothic" w:hAnsi="Century Gothic" w:cs="Times New Roman"/>
                <w:sz w:val="22"/>
              </w:rPr>
              <w:t xml:space="preserve"> </w:t>
            </w:r>
            <w:r w:rsidRPr="0026684F">
              <w:rPr>
                <w:rFonts w:ascii="Century Gothic" w:hAnsi="Century Gothic" w:cs="Times New Roman"/>
                <w:b/>
                <w:sz w:val="22"/>
              </w:rPr>
              <w:t xml:space="preserve">Conductas punibles susceptibles de </w:t>
            </w:r>
            <w:r w:rsidRPr="0026684F">
              <w:rPr>
                <w:rFonts w:ascii="Century Gothic" w:hAnsi="Century Gothic" w:cs="Times New Roman"/>
                <w:b/>
                <w:sz w:val="22"/>
              </w:rPr>
              <w:lastRenderedPageBreak/>
              <w:t>conversión de la acción penal.</w:t>
            </w:r>
            <w:r w:rsidRPr="0026684F">
              <w:rPr>
                <w:rFonts w:ascii="Century Gothic" w:hAnsi="Century Gothic" w:cs="Times New Roman"/>
                <w:sz w:val="22"/>
              </w:rPr>
              <w:t xml:space="preserve"> La conversión de la acción penal de pública a privada podrá autorizarse para las conductas que se tramiten por el procedimiento especial abreviado, a excepción de aquellas que atenten contra bienes del Estado y cuando se trate del delito de violencia intrafamiliar.</w:t>
            </w:r>
          </w:p>
          <w:p w14:paraId="3DB86758" w14:textId="77777777" w:rsidR="000A6BB0" w:rsidRPr="0026684F" w:rsidRDefault="000A6BB0" w:rsidP="00100C52">
            <w:pPr>
              <w:pStyle w:val="Sinespaciado"/>
              <w:rPr>
                <w:rFonts w:ascii="Century Gothic" w:hAnsi="Century Gothic" w:cs="Times New Roman"/>
                <w:sz w:val="22"/>
              </w:rPr>
            </w:pPr>
          </w:p>
        </w:tc>
        <w:tc>
          <w:tcPr>
            <w:tcW w:w="1667" w:type="pct"/>
            <w:vAlign w:val="center"/>
          </w:tcPr>
          <w:p w14:paraId="6661691E" w14:textId="77777777" w:rsidR="000A6BB0" w:rsidRPr="0026684F" w:rsidRDefault="000A6BB0" w:rsidP="00100C52">
            <w:pPr>
              <w:pStyle w:val="Sinespaciado"/>
              <w:jc w:val="center"/>
              <w:rPr>
                <w:rFonts w:ascii="Century Gothic" w:hAnsi="Century Gothic" w:cs="Times New Roman"/>
                <w:sz w:val="22"/>
              </w:rPr>
            </w:pPr>
            <w:r w:rsidRPr="0026684F">
              <w:rPr>
                <w:rFonts w:ascii="Century Gothic" w:hAnsi="Century Gothic" w:cs="Times New Roman"/>
                <w:b/>
                <w:sz w:val="22"/>
              </w:rPr>
              <w:lastRenderedPageBreak/>
              <w:t>Se propone el mismo texto aprobado en plenaria de Senado</w:t>
            </w:r>
          </w:p>
        </w:tc>
        <w:tc>
          <w:tcPr>
            <w:tcW w:w="1666" w:type="pct"/>
            <w:vAlign w:val="center"/>
          </w:tcPr>
          <w:p w14:paraId="420A8F0C" w14:textId="77777777" w:rsidR="000A6BB0" w:rsidRPr="0026684F" w:rsidRDefault="000A6BB0" w:rsidP="00100C52">
            <w:pPr>
              <w:pStyle w:val="Sinespaciado"/>
              <w:jc w:val="center"/>
              <w:rPr>
                <w:rFonts w:ascii="Century Gothic" w:hAnsi="Century Gothic" w:cs="Times New Roman"/>
                <w:b/>
                <w:sz w:val="22"/>
              </w:rPr>
            </w:pPr>
            <w:r w:rsidRPr="0026684F">
              <w:rPr>
                <w:rFonts w:ascii="Century Gothic" w:hAnsi="Century Gothic" w:cs="Times New Roman"/>
                <w:b/>
                <w:sz w:val="22"/>
              </w:rPr>
              <w:t>Se propone el mismo texto aprobado en plenaria de Senado</w:t>
            </w:r>
          </w:p>
        </w:tc>
      </w:tr>
      <w:tr w:rsidR="000A6BB0" w:rsidRPr="0026684F" w14:paraId="1233AD47" w14:textId="77777777" w:rsidTr="00100C52">
        <w:tc>
          <w:tcPr>
            <w:tcW w:w="1667" w:type="pct"/>
          </w:tcPr>
          <w:p w14:paraId="71725C02" w14:textId="77777777" w:rsidR="000A6BB0" w:rsidRPr="0026684F" w:rsidRDefault="000A6BB0" w:rsidP="00100C52">
            <w:pPr>
              <w:pStyle w:val="Sinespaciado"/>
              <w:rPr>
                <w:rFonts w:ascii="Century Gothic" w:hAnsi="Century Gothic" w:cs="Times New Roman"/>
                <w:sz w:val="22"/>
              </w:rPr>
            </w:pPr>
            <w:r w:rsidRPr="0026684F">
              <w:rPr>
                <w:rFonts w:ascii="Century Gothic" w:hAnsi="Century Gothic" w:cs="Times New Roman"/>
                <w:b/>
                <w:sz w:val="22"/>
              </w:rPr>
              <w:lastRenderedPageBreak/>
              <w:t>Artículo 6°. Vigencia.</w:t>
            </w:r>
            <w:r w:rsidRPr="0026684F">
              <w:rPr>
                <w:rFonts w:ascii="Century Gothic" w:hAnsi="Century Gothic" w:cs="Times New Roman"/>
                <w:sz w:val="22"/>
              </w:rPr>
              <w:t xml:space="preserve"> La presente ley rige a partir de su promulgación y deroga todas las disposiciones que le sean contrarias.</w:t>
            </w:r>
          </w:p>
          <w:p w14:paraId="4B40B721" w14:textId="77777777" w:rsidR="000A6BB0" w:rsidRPr="0026684F" w:rsidRDefault="000A6BB0" w:rsidP="00100C52">
            <w:pPr>
              <w:pStyle w:val="Sinespaciado"/>
              <w:rPr>
                <w:rFonts w:ascii="Century Gothic" w:hAnsi="Century Gothic" w:cs="Times New Roman"/>
                <w:b/>
                <w:sz w:val="22"/>
              </w:rPr>
            </w:pPr>
          </w:p>
        </w:tc>
        <w:tc>
          <w:tcPr>
            <w:tcW w:w="1667" w:type="pct"/>
            <w:vAlign w:val="center"/>
          </w:tcPr>
          <w:p w14:paraId="0CBE5751" w14:textId="77777777" w:rsidR="000A6BB0" w:rsidRPr="0026684F" w:rsidRDefault="000A6BB0" w:rsidP="00100C52">
            <w:pPr>
              <w:pStyle w:val="Sinespaciado"/>
              <w:jc w:val="center"/>
              <w:rPr>
                <w:rFonts w:ascii="Century Gothic" w:hAnsi="Century Gothic" w:cs="Times New Roman"/>
                <w:sz w:val="22"/>
              </w:rPr>
            </w:pPr>
            <w:r w:rsidRPr="0026684F">
              <w:rPr>
                <w:rFonts w:ascii="Century Gothic" w:hAnsi="Century Gothic" w:cs="Times New Roman"/>
                <w:b/>
                <w:sz w:val="22"/>
              </w:rPr>
              <w:t>Se propone el mismo texto aprobado en plenaria de Senado</w:t>
            </w:r>
          </w:p>
        </w:tc>
        <w:tc>
          <w:tcPr>
            <w:tcW w:w="1666" w:type="pct"/>
            <w:vAlign w:val="center"/>
          </w:tcPr>
          <w:p w14:paraId="7D28683B" w14:textId="77777777" w:rsidR="000A6BB0" w:rsidRPr="0026684F" w:rsidRDefault="000A6BB0" w:rsidP="00100C52">
            <w:pPr>
              <w:pStyle w:val="Sinespaciado"/>
              <w:jc w:val="center"/>
              <w:rPr>
                <w:rFonts w:ascii="Century Gothic" w:hAnsi="Century Gothic" w:cs="Times New Roman"/>
                <w:b/>
                <w:sz w:val="22"/>
              </w:rPr>
            </w:pPr>
            <w:r w:rsidRPr="0026684F">
              <w:rPr>
                <w:rFonts w:ascii="Century Gothic" w:hAnsi="Century Gothic" w:cs="Times New Roman"/>
                <w:b/>
                <w:sz w:val="22"/>
              </w:rPr>
              <w:t>Se propone el mismo texto aprobado en plenaria de Senado</w:t>
            </w:r>
          </w:p>
        </w:tc>
      </w:tr>
    </w:tbl>
    <w:p w14:paraId="638B2A6C" w14:textId="77777777" w:rsidR="00B15FFA" w:rsidRPr="0026684F" w:rsidRDefault="00B15FFA" w:rsidP="00B15FFA">
      <w:pPr>
        <w:rPr>
          <w:rFonts w:ascii="Century Gothic" w:hAnsi="Century Gothic"/>
          <w:b/>
          <w:sz w:val="22"/>
        </w:rPr>
      </w:pPr>
    </w:p>
    <w:p w14:paraId="6CE762D3" w14:textId="3A640293" w:rsidR="000A6BB0" w:rsidRPr="0026684F" w:rsidRDefault="000A6BB0" w:rsidP="00505CE4">
      <w:pPr>
        <w:pStyle w:val="Ttulo1"/>
        <w:numPr>
          <w:ilvl w:val="0"/>
          <w:numId w:val="9"/>
        </w:numPr>
        <w:jc w:val="both"/>
        <w:rPr>
          <w:rFonts w:ascii="Century Gothic" w:hAnsi="Century Gothic" w:cs="Times New Roman"/>
          <w:sz w:val="22"/>
        </w:rPr>
      </w:pPr>
      <w:r w:rsidRPr="0026684F">
        <w:rPr>
          <w:rFonts w:ascii="Century Gothic" w:hAnsi="Century Gothic" w:cs="Times New Roman"/>
          <w:sz w:val="22"/>
        </w:rPr>
        <w:t>PROPOSICIÓN</w:t>
      </w:r>
    </w:p>
    <w:p w14:paraId="03C72095" w14:textId="4CF2860D" w:rsidR="000A6BB0" w:rsidRPr="0026684F" w:rsidRDefault="000A6BB0" w:rsidP="000A6BB0">
      <w:pPr>
        <w:rPr>
          <w:rFonts w:ascii="Century Gothic" w:hAnsi="Century Gothic"/>
          <w:sz w:val="22"/>
        </w:rPr>
      </w:pPr>
      <w:r w:rsidRPr="0026684F">
        <w:rPr>
          <w:rFonts w:ascii="Century Gothic" w:hAnsi="Century Gothic"/>
          <w:sz w:val="22"/>
        </w:rPr>
        <w:t xml:space="preserve">De conformidad con las razones expuestas con anterioridad, propongo a los Honorables Representantes de la Comisión Primera, dar </w:t>
      </w:r>
      <w:r w:rsidR="00AC4289">
        <w:rPr>
          <w:rFonts w:ascii="Century Gothic" w:hAnsi="Century Gothic"/>
          <w:sz w:val="22"/>
        </w:rPr>
        <w:t>primer</w:t>
      </w:r>
      <w:r w:rsidRPr="0026684F">
        <w:rPr>
          <w:rFonts w:ascii="Century Gothic" w:hAnsi="Century Gothic"/>
          <w:sz w:val="22"/>
        </w:rPr>
        <w:t xml:space="preserve"> debate al </w:t>
      </w:r>
      <w:r w:rsidRPr="00505CE4">
        <w:rPr>
          <w:rFonts w:ascii="Century Gothic" w:hAnsi="Century Gothic"/>
          <w:b/>
          <w:sz w:val="22"/>
        </w:rPr>
        <w:t>Proyecto de Ley número</w:t>
      </w:r>
      <w:r w:rsidR="00AC4289" w:rsidRPr="00505CE4">
        <w:rPr>
          <w:rFonts w:ascii="Century Gothic" w:hAnsi="Century Gothic"/>
          <w:b/>
          <w:sz w:val="22"/>
        </w:rPr>
        <w:t xml:space="preserve"> 201 de 2018 Cámara y</w:t>
      </w:r>
      <w:r w:rsidRPr="00505CE4">
        <w:rPr>
          <w:rFonts w:ascii="Century Gothic" w:hAnsi="Century Gothic"/>
          <w:b/>
          <w:sz w:val="22"/>
        </w:rPr>
        <w:t xml:space="preserve"> 139 de 2017</w:t>
      </w:r>
      <w:r w:rsidR="00AC4289" w:rsidRPr="00505CE4">
        <w:rPr>
          <w:rFonts w:ascii="Century Gothic" w:hAnsi="Century Gothic"/>
          <w:b/>
          <w:sz w:val="22"/>
        </w:rPr>
        <w:t xml:space="preserve"> Senado</w:t>
      </w:r>
      <w:r w:rsidRPr="0026684F">
        <w:rPr>
          <w:rFonts w:ascii="Century Gothic" w:hAnsi="Century Gothic"/>
          <w:sz w:val="22"/>
        </w:rPr>
        <w:t xml:space="preserve"> </w:t>
      </w:r>
      <w:r w:rsidRPr="0026684F">
        <w:rPr>
          <w:rFonts w:ascii="Century Gothic" w:hAnsi="Century Gothic" w:cs="Times New Roman"/>
          <w:sz w:val="22"/>
        </w:rPr>
        <w:t>“</w:t>
      </w:r>
      <w:r w:rsidRPr="00505CE4">
        <w:rPr>
          <w:rFonts w:ascii="Century Gothic" w:hAnsi="Century Gothic" w:cs="Times New Roman"/>
          <w:i/>
          <w:sz w:val="22"/>
        </w:rPr>
        <w:t>Por medio de la cual se modifican y adicionan artículos de la Ley 599 de 2000 y la Ley 906 de 2004 en relación con el delito de violencia intrafamiliar</w:t>
      </w:r>
      <w:r w:rsidRPr="0026684F">
        <w:rPr>
          <w:rFonts w:ascii="Century Gothic" w:hAnsi="Century Gothic" w:cs="Times New Roman"/>
          <w:sz w:val="22"/>
        </w:rPr>
        <w:t xml:space="preserve">” </w:t>
      </w:r>
      <w:r w:rsidRPr="0026684F">
        <w:rPr>
          <w:rFonts w:ascii="Century Gothic" w:hAnsi="Century Gothic"/>
          <w:sz w:val="22"/>
        </w:rPr>
        <w:t>en los términos del pliego de modificaciones propuesto.</w:t>
      </w:r>
    </w:p>
    <w:p w14:paraId="0E759324" w14:textId="29C38789" w:rsidR="000A6BB0" w:rsidRPr="0026684F" w:rsidRDefault="00505CE4" w:rsidP="000A6BB0">
      <w:pPr>
        <w:rPr>
          <w:rFonts w:ascii="Century Gothic" w:hAnsi="Century Gothic"/>
          <w:sz w:val="22"/>
        </w:rPr>
      </w:pPr>
      <w:r>
        <w:rPr>
          <w:rFonts w:ascii="Century Gothic" w:hAnsi="Century Gothic"/>
          <w:sz w:val="22"/>
        </w:rPr>
        <w:br/>
      </w:r>
      <w:r w:rsidR="000A6BB0" w:rsidRPr="0026684F">
        <w:rPr>
          <w:rFonts w:ascii="Century Gothic" w:hAnsi="Century Gothic"/>
          <w:sz w:val="22"/>
        </w:rPr>
        <w:t>De los Honorables Representantes,</w:t>
      </w:r>
    </w:p>
    <w:p w14:paraId="7863967E" w14:textId="5CF9C27B" w:rsidR="000A6BB0" w:rsidRPr="0026684F" w:rsidRDefault="00AC4289" w:rsidP="000A6BB0">
      <w:pPr>
        <w:spacing w:before="0" w:after="0"/>
        <w:rPr>
          <w:rFonts w:ascii="Century Gothic" w:hAnsi="Century Gothic"/>
          <w:b/>
          <w:sz w:val="22"/>
        </w:rPr>
      </w:pPr>
      <w:r>
        <w:rPr>
          <w:rFonts w:ascii="Century Gothic" w:hAnsi="Century Gothic"/>
          <w:b/>
          <w:sz w:val="22"/>
        </w:rPr>
        <w:br/>
      </w:r>
      <w:r w:rsidRPr="0026684F">
        <w:rPr>
          <w:rFonts w:ascii="Century Gothic" w:hAnsi="Century Gothic"/>
          <w:b/>
          <w:sz w:val="22"/>
        </w:rPr>
        <w:t>ADRIANA MAGALI MATIZ VARGAS</w:t>
      </w:r>
    </w:p>
    <w:p w14:paraId="1F915171" w14:textId="70FB4E7B" w:rsidR="000A6BB0" w:rsidRPr="0026684F" w:rsidRDefault="000A6BB0" w:rsidP="000A6BB0">
      <w:pPr>
        <w:spacing w:before="0" w:after="0"/>
        <w:rPr>
          <w:rFonts w:ascii="Century Gothic" w:hAnsi="Century Gothic"/>
          <w:sz w:val="22"/>
        </w:rPr>
      </w:pPr>
      <w:r w:rsidRPr="0026684F">
        <w:rPr>
          <w:rFonts w:ascii="Century Gothic" w:hAnsi="Century Gothic"/>
          <w:sz w:val="22"/>
        </w:rPr>
        <w:t>Representante</w:t>
      </w:r>
      <w:r w:rsidR="00505CE4">
        <w:rPr>
          <w:rFonts w:ascii="Century Gothic" w:hAnsi="Century Gothic"/>
          <w:sz w:val="22"/>
        </w:rPr>
        <w:t xml:space="preserve"> a la Cámara</w:t>
      </w:r>
    </w:p>
    <w:p w14:paraId="24EE24A9" w14:textId="77777777" w:rsidR="000A6BB0" w:rsidRPr="0026684F" w:rsidRDefault="000A6BB0" w:rsidP="000A6BB0">
      <w:pPr>
        <w:spacing w:before="0" w:after="0"/>
        <w:rPr>
          <w:rFonts w:ascii="Century Gothic" w:hAnsi="Century Gothic"/>
          <w:sz w:val="22"/>
        </w:rPr>
      </w:pPr>
      <w:r w:rsidRPr="0026684F">
        <w:rPr>
          <w:rFonts w:ascii="Century Gothic" w:hAnsi="Century Gothic"/>
          <w:sz w:val="22"/>
        </w:rPr>
        <w:t>Comisión Primera Constitucional</w:t>
      </w:r>
    </w:p>
    <w:p w14:paraId="487F0E09" w14:textId="5F2C09F1" w:rsidR="00997595" w:rsidRPr="0026684F" w:rsidRDefault="000A6BB0" w:rsidP="00AC4289">
      <w:pPr>
        <w:rPr>
          <w:rFonts w:ascii="Century Gothic" w:hAnsi="Century Gothic" w:cs="Times New Roman"/>
          <w:b/>
          <w:sz w:val="22"/>
        </w:rPr>
      </w:pPr>
      <w:r w:rsidRPr="0026684F">
        <w:rPr>
          <w:rFonts w:ascii="Century Gothic" w:hAnsi="Century Gothic"/>
          <w:sz w:val="22"/>
        </w:rPr>
        <w:br w:type="page"/>
      </w:r>
      <w:r w:rsidR="00AC4289">
        <w:rPr>
          <w:rFonts w:ascii="Century Gothic" w:hAnsi="Century Gothic"/>
          <w:b/>
          <w:sz w:val="22"/>
        </w:rPr>
        <w:lastRenderedPageBreak/>
        <w:t>T</w:t>
      </w:r>
      <w:r w:rsidR="00997595" w:rsidRPr="0026684F">
        <w:rPr>
          <w:rFonts w:ascii="Century Gothic" w:hAnsi="Century Gothic" w:cs="Times New Roman"/>
          <w:b/>
          <w:sz w:val="22"/>
        </w:rPr>
        <w:t xml:space="preserve">EXTO PROPUESTO PARA </w:t>
      </w:r>
      <w:r w:rsidR="00C022CF">
        <w:rPr>
          <w:rFonts w:ascii="Century Gothic" w:hAnsi="Century Gothic" w:cs="Times New Roman"/>
          <w:b/>
          <w:sz w:val="22"/>
        </w:rPr>
        <w:t>PRIMER</w:t>
      </w:r>
      <w:r w:rsidR="00997595" w:rsidRPr="0026684F">
        <w:rPr>
          <w:rFonts w:ascii="Century Gothic" w:hAnsi="Century Gothic" w:cs="Times New Roman"/>
          <w:b/>
          <w:sz w:val="22"/>
        </w:rPr>
        <w:t xml:space="preserve"> DEBATE, EN COMISIÓN DE LA CÁMARA DE REPRESENTANTES, DEL PROYECTO DE LEY </w:t>
      </w:r>
      <w:r w:rsidR="00C022CF">
        <w:rPr>
          <w:rFonts w:ascii="Century Gothic" w:hAnsi="Century Gothic" w:cs="Times New Roman"/>
          <w:b/>
          <w:sz w:val="22"/>
        </w:rPr>
        <w:t>201 de 2018</w:t>
      </w:r>
      <w:r w:rsidR="00AC4289">
        <w:rPr>
          <w:rFonts w:ascii="Century Gothic" w:hAnsi="Century Gothic" w:cs="Times New Roman"/>
          <w:b/>
          <w:sz w:val="22"/>
        </w:rPr>
        <w:t xml:space="preserve"> CÁMARA y</w:t>
      </w:r>
      <w:r w:rsidR="00C022CF">
        <w:rPr>
          <w:rFonts w:ascii="Century Gothic" w:hAnsi="Century Gothic" w:cs="Times New Roman"/>
          <w:b/>
          <w:sz w:val="22"/>
        </w:rPr>
        <w:t xml:space="preserve"> </w:t>
      </w:r>
      <w:r w:rsidR="00997595" w:rsidRPr="0026684F">
        <w:rPr>
          <w:rFonts w:ascii="Century Gothic" w:hAnsi="Century Gothic" w:cs="Times New Roman"/>
          <w:b/>
          <w:sz w:val="22"/>
        </w:rPr>
        <w:t>139 DE 2017 SENADO, “POR MEDIO DE LA CUAL SE MODIFICAN Y ADICIONAN ARTÍCULOS DE LA LEY 599 DE 2000 Y LA LEY 906 DE 2004 EN RELACIÓN CON EL DELITO DE VIOLENCIA INTRAFAMILIAR”</w:t>
      </w:r>
    </w:p>
    <w:p w14:paraId="387B8AF8" w14:textId="77777777" w:rsidR="00997595" w:rsidRPr="0026684F" w:rsidRDefault="00997595" w:rsidP="00997595">
      <w:pPr>
        <w:spacing w:before="0" w:after="0"/>
        <w:jc w:val="center"/>
        <w:rPr>
          <w:rFonts w:ascii="Century Gothic" w:hAnsi="Century Gothic" w:cs="Times New Roman"/>
          <w:b/>
          <w:sz w:val="22"/>
        </w:rPr>
      </w:pPr>
    </w:p>
    <w:p w14:paraId="768F2C99" w14:textId="77777777" w:rsidR="00997595" w:rsidRPr="0026684F" w:rsidRDefault="00997595" w:rsidP="00997595">
      <w:pPr>
        <w:spacing w:before="0" w:after="0"/>
        <w:jc w:val="center"/>
        <w:rPr>
          <w:rFonts w:ascii="Century Gothic" w:hAnsi="Century Gothic" w:cs="Times New Roman"/>
          <w:b/>
          <w:sz w:val="22"/>
        </w:rPr>
      </w:pPr>
      <w:r w:rsidRPr="0026684F">
        <w:rPr>
          <w:rFonts w:ascii="Century Gothic" w:hAnsi="Century Gothic" w:cs="Times New Roman"/>
          <w:b/>
          <w:sz w:val="22"/>
        </w:rPr>
        <w:t>EL CONGRESO DE LA REPÚBLICA</w:t>
      </w:r>
    </w:p>
    <w:p w14:paraId="6DAEE7FC" w14:textId="77777777" w:rsidR="00997595" w:rsidRPr="0026684F" w:rsidRDefault="00997595" w:rsidP="00997595">
      <w:pPr>
        <w:spacing w:before="0" w:after="0"/>
        <w:jc w:val="center"/>
        <w:rPr>
          <w:rFonts w:ascii="Century Gothic" w:hAnsi="Century Gothic" w:cs="Times New Roman"/>
          <w:b/>
          <w:sz w:val="22"/>
        </w:rPr>
      </w:pPr>
    </w:p>
    <w:p w14:paraId="6A0698DE" w14:textId="77777777" w:rsidR="00997595" w:rsidRPr="0026684F" w:rsidRDefault="00997595" w:rsidP="00C022CF">
      <w:pPr>
        <w:spacing w:before="0" w:after="0"/>
        <w:rPr>
          <w:rFonts w:ascii="Century Gothic" w:hAnsi="Century Gothic" w:cs="Times New Roman"/>
          <w:b/>
          <w:sz w:val="22"/>
        </w:rPr>
      </w:pPr>
    </w:p>
    <w:p w14:paraId="5D09996B" w14:textId="26B3BE4B" w:rsidR="00997595" w:rsidRPr="00C022CF" w:rsidRDefault="00997595" w:rsidP="00C022CF">
      <w:pPr>
        <w:spacing w:before="0" w:after="0"/>
        <w:jc w:val="center"/>
        <w:rPr>
          <w:rFonts w:ascii="Century Gothic" w:hAnsi="Century Gothic" w:cs="Times New Roman"/>
          <w:b/>
          <w:sz w:val="22"/>
        </w:rPr>
      </w:pPr>
      <w:r w:rsidRPr="0026684F">
        <w:rPr>
          <w:rFonts w:ascii="Century Gothic" w:hAnsi="Century Gothic" w:cs="Times New Roman"/>
          <w:b/>
          <w:sz w:val="22"/>
        </w:rPr>
        <w:t>DECRETA,</w:t>
      </w:r>
      <w:r w:rsidR="00C022CF">
        <w:rPr>
          <w:rFonts w:ascii="Century Gothic" w:hAnsi="Century Gothic" w:cs="Times New Roman"/>
          <w:b/>
          <w:sz w:val="22"/>
        </w:rPr>
        <w:br/>
      </w:r>
    </w:p>
    <w:p w14:paraId="544F9408"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Artículo 1°.</w:t>
      </w:r>
      <w:r w:rsidRPr="0026684F">
        <w:rPr>
          <w:rFonts w:ascii="Century Gothic" w:hAnsi="Century Gothic"/>
          <w:sz w:val="22"/>
        </w:rPr>
        <w:t xml:space="preserve"> Modifíquese el artículo 229 de la Ley 559 de 2000, el cual quedará así:</w:t>
      </w:r>
    </w:p>
    <w:p w14:paraId="0BEEE1E8" w14:textId="77777777" w:rsidR="00997595" w:rsidRPr="0026684F" w:rsidRDefault="00997595" w:rsidP="00997595">
      <w:pPr>
        <w:pStyle w:val="Sinespaciado"/>
        <w:rPr>
          <w:rFonts w:ascii="Century Gothic" w:hAnsi="Century Gothic"/>
          <w:sz w:val="22"/>
        </w:rPr>
      </w:pPr>
    </w:p>
    <w:p w14:paraId="665D4371"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Artículo 229. Violencia intrafamiliar.</w:t>
      </w:r>
      <w:r w:rsidRPr="0026684F">
        <w:rPr>
          <w:rFonts w:ascii="Century Gothic" w:hAnsi="Century Gothic"/>
          <w:sz w:val="22"/>
        </w:rPr>
        <w:t xml:space="preserve"> El que maltrate física o psicológicamente a cualquier miembro de su núcleo familiar incurrirá, siempre que la conducta no constituya delito sancionado con pena mayor, en prisión de cuatro (4) a ocho (8) años.</w:t>
      </w:r>
    </w:p>
    <w:p w14:paraId="22F12ECD" w14:textId="77777777" w:rsidR="00997595" w:rsidRPr="0026684F" w:rsidRDefault="00997595" w:rsidP="00997595">
      <w:pPr>
        <w:pStyle w:val="Sinespaciado"/>
        <w:rPr>
          <w:rFonts w:ascii="Century Gothic" w:hAnsi="Century Gothic"/>
          <w:sz w:val="22"/>
        </w:rPr>
      </w:pPr>
    </w:p>
    <w:p w14:paraId="199D45C4"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La pena se aumentará de la mitad a las tres cuartas partes cuando la conducta recaiga sobre un menor, adolescente, una mujer, una persona mayor de sesenta (60) años, o que se encuentre en incapacidad o disminución física, sensorial y psicológica o quien se encuentre en estado de indefensión o en cualquier condición de inferioridad.</w:t>
      </w:r>
    </w:p>
    <w:p w14:paraId="418A3B22" w14:textId="77777777" w:rsidR="00997595" w:rsidRPr="0026684F" w:rsidRDefault="00997595" w:rsidP="00997595">
      <w:pPr>
        <w:pStyle w:val="Sinespaciado"/>
        <w:rPr>
          <w:rFonts w:ascii="Century Gothic" w:hAnsi="Century Gothic"/>
          <w:sz w:val="22"/>
        </w:rPr>
      </w:pPr>
    </w:p>
    <w:p w14:paraId="6F0B5367" w14:textId="77777777" w:rsidR="00997595" w:rsidRPr="0026684F" w:rsidRDefault="00997595" w:rsidP="00997595">
      <w:pPr>
        <w:pStyle w:val="Sinespaciado"/>
        <w:rPr>
          <w:rFonts w:ascii="Century Gothic" w:hAnsi="Century Gothic"/>
          <w:sz w:val="22"/>
          <w:u w:val="single"/>
        </w:rPr>
      </w:pPr>
      <w:r w:rsidRPr="0026684F">
        <w:rPr>
          <w:rFonts w:ascii="Century Gothic" w:hAnsi="Century Gothic"/>
          <w:sz w:val="22"/>
        </w:rPr>
        <w:t>Cuando el responsable tenga antecedentes penales por haber cometido alguno de los delitos previstos en el libro segundo, Títulos I y IV del Código Penal contra un miembro de su núcleo familiar, o cuando tenga antecedentes por el delito de violencia intrafamiliar, siempre que la condena hubiese sido proferida dentro de los diez (10) años anteriores a la ocurrencia del nuevo hecho, el sentenciador impondrá la pena dentro del cuarto máximo del ámbito punitivo de movilidad respectivo.</w:t>
      </w:r>
      <w:r w:rsidRPr="0026684F">
        <w:rPr>
          <w:rFonts w:ascii="Century Gothic" w:hAnsi="Century Gothic"/>
          <w:sz w:val="22"/>
          <w:u w:val="single"/>
        </w:rPr>
        <w:t xml:space="preserve"> </w:t>
      </w:r>
    </w:p>
    <w:p w14:paraId="208B7E45" w14:textId="77777777" w:rsidR="00997595" w:rsidRPr="0026684F" w:rsidRDefault="00997595" w:rsidP="00997595">
      <w:pPr>
        <w:pStyle w:val="Sinespaciado"/>
        <w:rPr>
          <w:rFonts w:ascii="Century Gothic" w:hAnsi="Century Gothic"/>
          <w:sz w:val="22"/>
          <w:u w:val="single"/>
        </w:rPr>
      </w:pPr>
    </w:p>
    <w:p w14:paraId="2277ED9E"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Parágrafo.</w:t>
      </w:r>
      <w:r w:rsidRPr="0026684F">
        <w:rPr>
          <w:rFonts w:ascii="Century Gothic" w:hAnsi="Century Gothic"/>
          <w:sz w:val="22"/>
        </w:rPr>
        <w:t xml:space="preserve"> A la misma pena quedará sometido quien realice alguna de las conductas descritas en el tipo penal previsto en este artículo contra:</w:t>
      </w:r>
    </w:p>
    <w:p w14:paraId="6DE383FD" w14:textId="77777777" w:rsidR="00997595" w:rsidRPr="0026684F" w:rsidRDefault="00997595" w:rsidP="00997595">
      <w:pPr>
        <w:pStyle w:val="Sinespaciado"/>
        <w:rPr>
          <w:rFonts w:ascii="Century Gothic" w:hAnsi="Century Gothic"/>
          <w:sz w:val="22"/>
        </w:rPr>
      </w:pPr>
    </w:p>
    <w:p w14:paraId="4C4B6696"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a) Los cónyuges o compañeros permanentes, aunque se hubieren separado o divorciado;</w:t>
      </w:r>
    </w:p>
    <w:p w14:paraId="03AB7511" w14:textId="77777777" w:rsidR="00997595" w:rsidRPr="0026684F" w:rsidRDefault="00997595" w:rsidP="00997595">
      <w:pPr>
        <w:pStyle w:val="Sinespaciado"/>
        <w:rPr>
          <w:rFonts w:ascii="Century Gothic" w:hAnsi="Century Gothic"/>
          <w:sz w:val="22"/>
        </w:rPr>
      </w:pPr>
    </w:p>
    <w:p w14:paraId="63B6C838"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b) El padre y la madre de familia, aun cuando no convivan en el mismo hogar, si el maltrato se dirige contra el otro progenitor</w:t>
      </w:r>
    </w:p>
    <w:p w14:paraId="762BEB46" w14:textId="77777777" w:rsidR="00997595" w:rsidRPr="0026684F" w:rsidRDefault="00997595" w:rsidP="00997595">
      <w:pPr>
        <w:pStyle w:val="Sinespaciado"/>
        <w:rPr>
          <w:rFonts w:ascii="Century Gothic" w:hAnsi="Century Gothic"/>
          <w:sz w:val="22"/>
        </w:rPr>
      </w:pPr>
    </w:p>
    <w:p w14:paraId="0DEDE1F5"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c) Quien, no siendo miembro del núcleo familiar, sea encargado del cuidado de uno o varios miembros de una familia en su domicilio, residencia o cualquier lugar en el que se realice la conducta.</w:t>
      </w:r>
    </w:p>
    <w:p w14:paraId="7A021B7D" w14:textId="77777777" w:rsidR="00997595" w:rsidRPr="0026684F" w:rsidRDefault="00997595" w:rsidP="00997595">
      <w:pPr>
        <w:pStyle w:val="Sinespaciado"/>
        <w:rPr>
          <w:rFonts w:ascii="Century Gothic" w:hAnsi="Century Gothic"/>
          <w:sz w:val="22"/>
        </w:rPr>
      </w:pPr>
    </w:p>
    <w:p w14:paraId="3DE5800C" w14:textId="77777777" w:rsidR="00997595" w:rsidRPr="0026684F" w:rsidRDefault="00997595" w:rsidP="00997595">
      <w:pPr>
        <w:pStyle w:val="Sinespaciado"/>
        <w:rPr>
          <w:rFonts w:ascii="Century Gothic" w:hAnsi="Century Gothic"/>
          <w:sz w:val="22"/>
          <w:lang w:eastAsia="es-CO"/>
        </w:rPr>
      </w:pPr>
      <w:r w:rsidRPr="0026684F">
        <w:rPr>
          <w:rFonts w:ascii="Century Gothic" w:hAnsi="Century Gothic"/>
          <w:sz w:val="22"/>
        </w:rPr>
        <w:t>d) Las personas con las que se sostienen relaciones extramatrimoniales de carácter permanente que se caractericen por una clara e inequívoca vocación de estabilidad.</w:t>
      </w:r>
      <w:r w:rsidRPr="0026684F">
        <w:rPr>
          <w:rFonts w:ascii="Century Gothic" w:hAnsi="Century Gothic"/>
          <w:sz w:val="22"/>
          <w:lang w:eastAsia="es-CO"/>
        </w:rPr>
        <w:t xml:space="preserve"> </w:t>
      </w:r>
    </w:p>
    <w:p w14:paraId="286E2D18" w14:textId="77777777" w:rsidR="00997595" w:rsidRPr="0026684F" w:rsidRDefault="00997595" w:rsidP="00997595">
      <w:pPr>
        <w:pStyle w:val="Sinespaciado"/>
        <w:rPr>
          <w:rFonts w:ascii="Century Gothic" w:hAnsi="Century Gothic"/>
          <w:b/>
          <w:sz w:val="22"/>
        </w:rPr>
      </w:pPr>
    </w:p>
    <w:p w14:paraId="25C4B84E"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Artículo 2°.</w:t>
      </w:r>
      <w:r w:rsidRPr="0026684F">
        <w:rPr>
          <w:rFonts w:ascii="Century Gothic" w:hAnsi="Century Gothic"/>
          <w:sz w:val="22"/>
        </w:rPr>
        <w:t xml:space="preserve"> Modifíquese el parágrafo del artículo 149 de la Ley 906 de 2004, el cual quedará así:</w:t>
      </w:r>
    </w:p>
    <w:p w14:paraId="06DF3FDD" w14:textId="77777777" w:rsidR="00997595" w:rsidRPr="0026684F" w:rsidRDefault="00997595" w:rsidP="00997595">
      <w:pPr>
        <w:pStyle w:val="Sinespaciado"/>
        <w:rPr>
          <w:rFonts w:ascii="Century Gothic" w:hAnsi="Century Gothic"/>
          <w:sz w:val="22"/>
        </w:rPr>
      </w:pPr>
    </w:p>
    <w:p w14:paraId="3DA1A540"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Parágrafo.</w:t>
      </w:r>
      <w:r w:rsidRPr="0026684F">
        <w:rPr>
          <w:rFonts w:ascii="Century Gothic" w:hAnsi="Century Gothic"/>
          <w:sz w:val="22"/>
        </w:rPr>
        <w:t xml:space="preserve"> En las actuaciones procesales relativas a los delitos contra la libertad y formación sexual, violencia sexual y violencia intrafamiliar,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sus datos personales, los de sus descendientes y los de cualquier otra persona que esté bajo su guarda o custodia.</w:t>
      </w:r>
    </w:p>
    <w:p w14:paraId="7D4D6947" w14:textId="77777777" w:rsidR="00997595" w:rsidRPr="0026684F" w:rsidRDefault="00997595" w:rsidP="00997595">
      <w:pPr>
        <w:pStyle w:val="Sinespaciado"/>
        <w:rPr>
          <w:rFonts w:ascii="Century Gothic" w:hAnsi="Century Gothic"/>
          <w:sz w:val="22"/>
        </w:rPr>
      </w:pPr>
    </w:p>
    <w:p w14:paraId="1DCCD19D"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Artículo 3°.</w:t>
      </w:r>
      <w:r w:rsidRPr="0026684F">
        <w:rPr>
          <w:rFonts w:ascii="Century Gothic" w:hAnsi="Century Gothic"/>
          <w:sz w:val="22"/>
        </w:rPr>
        <w:t xml:space="preserve"> Modifíquese el numeral 3 y el parágrafo 3° del artículo 284 de la Ley 906 de 2004, relativo a la Prueba anticipada, los cuales quedarán así:</w:t>
      </w:r>
    </w:p>
    <w:p w14:paraId="55924196" w14:textId="77777777" w:rsidR="00997595" w:rsidRPr="0026684F" w:rsidRDefault="00997595" w:rsidP="00997595">
      <w:pPr>
        <w:pStyle w:val="Sinespaciado"/>
        <w:rPr>
          <w:rFonts w:ascii="Century Gothic" w:hAnsi="Century Gothic"/>
          <w:sz w:val="22"/>
        </w:rPr>
      </w:pPr>
    </w:p>
    <w:p w14:paraId="66EAF141"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Artículo 284. Prueba anticipada.</w:t>
      </w:r>
      <w:r w:rsidRPr="0026684F">
        <w:rPr>
          <w:rFonts w:ascii="Century Gothic" w:hAnsi="Century Gothic"/>
          <w:sz w:val="22"/>
        </w:rPr>
        <w:t xml:space="preserve"> Durante la investigación y hasta antes de la instalación de la audiencia de juicio oral se podrá practicar anticipadamente cualquier medio de prueba pertinente, con el cumplimiento de los siguientes requisitos:</w:t>
      </w:r>
    </w:p>
    <w:p w14:paraId="5E363BAE" w14:textId="77777777" w:rsidR="00997595" w:rsidRPr="0026684F" w:rsidRDefault="00997595" w:rsidP="00997595">
      <w:pPr>
        <w:pStyle w:val="Sinespaciado"/>
        <w:rPr>
          <w:rFonts w:ascii="Century Gothic" w:hAnsi="Century Gothic"/>
          <w:sz w:val="22"/>
        </w:rPr>
      </w:pPr>
    </w:p>
    <w:p w14:paraId="619C5FB8"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1. Que sea practicada ante el juez que cumpla funciones de control de garantías.</w:t>
      </w:r>
    </w:p>
    <w:p w14:paraId="47110A0F" w14:textId="77777777" w:rsidR="00997595" w:rsidRPr="0026684F" w:rsidRDefault="00997595" w:rsidP="00997595">
      <w:pPr>
        <w:pStyle w:val="Sinespaciado"/>
        <w:rPr>
          <w:rFonts w:ascii="Century Gothic" w:hAnsi="Century Gothic"/>
          <w:sz w:val="22"/>
        </w:rPr>
      </w:pPr>
    </w:p>
    <w:p w14:paraId="73BBB0B8"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2. Que sea solicitada por el Fiscal General o el fiscal delegado, por la defensa o por el Ministerio Público en los casos previstos en el artículo 112.</w:t>
      </w:r>
    </w:p>
    <w:p w14:paraId="027789CB" w14:textId="77777777" w:rsidR="00997595" w:rsidRPr="0026684F" w:rsidRDefault="00997595" w:rsidP="00997595">
      <w:pPr>
        <w:pStyle w:val="Sinespaciado"/>
        <w:rPr>
          <w:rFonts w:ascii="Century Gothic" w:hAnsi="Century Gothic"/>
          <w:sz w:val="22"/>
        </w:rPr>
      </w:pPr>
    </w:p>
    <w:p w14:paraId="3EEDE978"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3. Que sea por motivos fundados y de extrema necesidad y para evitar la pérdida o alteración del medio probatorio, o que se trate de investigaciones que se adelanten por el delito de violencia intrafamiliar.</w:t>
      </w:r>
    </w:p>
    <w:p w14:paraId="48226754" w14:textId="77777777" w:rsidR="00997595" w:rsidRPr="0026684F" w:rsidRDefault="00997595" w:rsidP="00997595">
      <w:pPr>
        <w:pStyle w:val="Sinespaciado"/>
        <w:rPr>
          <w:rFonts w:ascii="Century Gothic" w:hAnsi="Century Gothic"/>
          <w:sz w:val="22"/>
        </w:rPr>
      </w:pPr>
    </w:p>
    <w:p w14:paraId="6AE2DDFA"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4. Que se practique en audiencia pública y con observancia de las reglas previstas para la práctica de pruebas en el juicio.</w:t>
      </w:r>
    </w:p>
    <w:p w14:paraId="1C6A9F35" w14:textId="77777777" w:rsidR="00997595" w:rsidRPr="0026684F" w:rsidRDefault="00997595" w:rsidP="00997595">
      <w:pPr>
        <w:pStyle w:val="Sinespaciado"/>
        <w:rPr>
          <w:rFonts w:ascii="Century Gothic" w:hAnsi="Century Gothic"/>
          <w:sz w:val="22"/>
        </w:rPr>
      </w:pPr>
    </w:p>
    <w:p w14:paraId="416A7092"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Parágrafo 1°.</w:t>
      </w:r>
      <w:r w:rsidRPr="0026684F">
        <w:rPr>
          <w:rFonts w:ascii="Century Gothic" w:hAnsi="Century Gothic"/>
          <w:sz w:val="22"/>
        </w:rPr>
        <w:t xml:space="preserve"> Si la prueba anticipada es solicitada a partir de la presentación del escrito de acusación, el peticionario deberá informar de esta circunstancia al juez de conocimiento.</w:t>
      </w:r>
    </w:p>
    <w:p w14:paraId="2B6D7359" w14:textId="77777777" w:rsidR="00997595" w:rsidRPr="0026684F" w:rsidRDefault="00997595" w:rsidP="00997595">
      <w:pPr>
        <w:pStyle w:val="Sinespaciado"/>
        <w:rPr>
          <w:rFonts w:ascii="Century Gothic" w:hAnsi="Century Gothic"/>
          <w:sz w:val="22"/>
        </w:rPr>
      </w:pPr>
    </w:p>
    <w:p w14:paraId="20EEDCCC"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Parágrafo 2°.</w:t>
      </w:r>
      <w:r w:rsidRPr="0026684F">
        <w:rPr>
          <w:rFonts w:ascii="Century Gothic" w:hAnsi="Century Gothic"/>
          <w:sz w:val="22"/>
        </w:rPr>
        <w:t xml:space="preserve">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14:paraId="0699522F" w14:textId="77777777" w:rsidR="00997595" w:rsidRPr="0026684F" w:rsidRDefault="00997595" w:rsidP="00997595">
      <w:pPr>
        <w:pStyle w:val="Sinespaciado"/>
        <w:rPr>
          <w:rFonts w:ascii="Century Gothic" w:hAnsi="Century Gothic"/>
          <w:sz w:val="22"/>
        </w:rPr>
      </w:pPr>
    </w:p>
    <w:p w14:paraId="42F280E8"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Parágrafo 3°.</w:t>
      </w:r>
      <w:r w:rsidRPr="0026684F">
        <w:rPr>
          <w:rFonts w:ascii="Century Gothic" w:hAnsi="Century Gothic"/>
          <w:sz w:val="22"/>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evento en el cual, el juez se abstendrá de repetir la prueba anticipada cuando exista evidencia sumaria de:</w:t>
      </w:r>
    </w:p>
    <w:p w14:paraId="6C482815" w14:textId="77777777" w:rsidR="00997595" w:rsidRPr="0026684F" w:rsidRDefault="00997595" w:rsidP="00997595">
      <w:pPr>
        <w:pStyle w:val="Sinespaciado"/>
        <w:rPr>
          <w:rFonts w:ascii="Century Gothic" w:hAnsi="Century Gothic"/>
          <w:sz w:val="22"/>
        </w:rPr>
      </w:pPr>
    </w:p>
    <w:p w14:paraId="2736ABBC"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a) Revictimización;</w:t>
      </w:r>
    </w:p>
    <w:p w14:paraId="776719BE" w14:textId="77777777" w:rsidR="00997595" w:rsidRPr="0026684F" w:rsidRDefault="00997595" w:rsidP="00997595">
      <w:pPr>
        <w:pStyle w:val="Sinespaciado"/>
        <w:rPr>
          <w:rFonts w:ascii="Century Gothic" w:hAnsi="Century Gothic"/>
          <w:sz w:val="22"/>
        </w:rPr>
      </w:pPr>
    </w:p>
    <w:p w14:paraId="4953950B"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b) Riesgo de violencia o manipulación;</w:t>
      </w:r>
    </w:p>
    <w:p w14:paraId="2689AD20" w14:textId="77777777" w:rsidR="00997595" w:rsidRPr="0026684F" w:rsidRDefault="00997595" w:rsidP="00997595">
      <w:pPr>
        <w:pStyle w:val="Sinespaciado"/>
        <w:rPr>
          <w:rFonts w:ascii="Century Gothic" w:hAnsi="Century Gothic"/>
          <w:sz w:val="22"/>
        </w:rPr>
      </w:pPr>
    </w:p>
    <w:p w14:paraId="0AC36E35"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c) Afectación emocional del testigo;</w:t>
      </w:r>
    </w:p>
    <w:p w14:paraId="0667A8F8" w14:textId="77777777" w:rsidR="00997595" w:rsidRPr="0026684F" w:rsidRDefault="00997595" w:rsidP="00997595">
      <w:pPr>
        <w:pStyle w:val="Sinespaciado"/>
        <w:rPr>
          <w:rFonts w:ascii="Century Gothic" w:hAnsi="Century Gothic"/>
          <w:sz w:val="22"/>
        </w:rPr>
      </w:pPr>
    </w:p>
    <w:p w14:paraId="51C9F108"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d) O dependencia económica con el agresor.</w:t>
      </w:r>
    </w:p>
    <w:p w14:paraId="4B30AFEC" w14:textId="77777777" w:rsidR="00997595" w:rsidRPr="0026684F" w:rsidRDefault="00997595" w:rsidP="00997595">
      <w:pPr>
        <w:pStyle w:val="Sinespaciado"/>
        <w:rPr>
          <w:rFonts w:ascii="Century Gothic" w:hAnsi="Century Gothic"/>
          <w:sz w:val="22"/>
        </w:rPr>
      </w:pPr>
    </w:p>
    <w:p w14:paraId="25D9DFC8"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Parágrafo 4°.</w:t>
      </w:r>
      <w:r w:rsidRPr="0026684F">
        <w:rPr>
          <w:rFonts w:ascii="Century Gothic" w:hAnsi="Century Gothic"/>
          <w:sz w:val="22"/>
        </w:rPr>
        <w:t xml:space="preserve"> 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w:t>
      </w:r>
    </w:p>
    <w:p w14:paraId="326AB67A" w14:textId="77777777" w:rsidR="00997595" w:rsidRPr="0026684F" w:rsidRDefault="00997595" w:rsidP="00997595">
      <w:pPr>
        <w:pStyle w:val="Sinespaciado"/>
        <w:rPr>
          <w:rFonts w:ascii="Century Gothic" w:hAnsi="Century Gothic"/>
          <w:sz w:val="22"/>
        </w:rPr>
      </w:pPr>
    </w:p>
    <w:p w14:paraId="42E7305A"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La prueba deberá practicarse antes de que quede en firme la decisión del Presidente de la República de conceder la extradición.</w:t>
      </w:r>
    </w:p>
    <w:p w14:paraId="3A36B1DB" w14:textId="77777777" w:rsidR="00997595" w:rsidRPr="0026684F" w:rsidRDefault="00997595" w:rsidP="00997595">
      <w:pPr>
        <w:pStyle w:val="Sinespaciado"/>
        <w:rPr>
          <w:rFonts w:ascii="Century Gothic" w:hAnsi="Century Gothic"/>
          <w:sz w:val="22"/>
        </w:rPr>
      </w:pPr>
    </w:p>
    <w:p w14:paraId="5F51EB22"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Parágrafo 5.</w:t>
      </w:r>
      <w:r w:rsidRPr="0026684F">
        <w:rPr>
          <w:rFonts w:ascii="Century Gothic" w:hAnsi="Century Gothic"/>
          <w:sz w:val="22"/>
        </w:rPr>
        <w:t xml:space="preserve"> 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p w14:paraId="64B6699E" w14:textId="77777777" w:rsidR="00997595" w:rsidRPr="0026684F" w:rsidRDefault="00997595" w:rsidP="00997595">
      <w:pPr>
        <w:pStyle w:val="Sinespaciado"/>
        <w:rPr>
          <w:rFonts w:ascii="Century Gothic" w:hAnsi="Century Gothic"/>
          <w:sz w:val="22"/>
        </w:rPr>
      </w:pPr>
    </w:p>
    <w:p w14:paraId="44FEAC50"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Artículo 4°.</w:t>
      </w:r>
      <w:r w:rsidRPr="0026684F">
        <w:rPr>
          <w:rFonts w:ascii="Century Gothic" w:hAnsi="Century Gothic"/>
          <w:sz w:val="22"/>
        </w:rPr>
        <w:t xml:space="preserve"> Modifíquese el artículo 534 de la Ley 906 de 2004, el cual quedará así:</w:t>
      </w:r>
    </w:p>
    <w:p w14:paraId="792551B3" w14:textId="77777777" w:rsidR="00997595" w:rsidRPr="0026684F" w:rsidRDefault="00997595" w:rsidP="00997595">
      <w:pPr>
        <w:pStyle w:val="Sinespaciado"/>
        <w:rPr>
          <w:rFonts w:ascii="Century Gothic" w:hAnsi="Century Gothic"/>
          <w:sz w:val="22"/>
        </w:rPr>
      </w:pPr>
    </w:p>
    <w:p w14:paraId="27BC3BA9"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Artículo 534. Ámbito de aplicación.</w:t>
      </w:r>
      <w:r w:rsidRPr="0026684F">
        <w:rPr>
          <w:rFonts w:ascii="Century Gothic" w:hAnsi="Century Gothic"/>
          <w:sz w:val="22"/>
        </w:rPr>
        <w:t xml:space="preserve"> El procedimiento especial abreviado de que trata el presente título se aplicará a las siguientes conductas punibles:</w:t>
      </w:r>
    </w:p>
    <w:p w14:paraId="7B499124" w14:textId="77777777" w:rsidR="00997595" w:rsidRPr="0026684F" w:rsidRDefault="00997595" w:rsidP="00997595">
      <w:pPr>
        <w:pStyle w:val="Sinespaciado"/>
        <w:rPr>
          <w:rFonts w:ascii="Century Gothic" w:hAnsi="Century Gothic"/>
          <w:sz w:val="22"/>
        </w:rPr>
      </w:pPr>
    </w:p>
    <w:p w14:paraId="50520E9C"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1. Las que requieren querella para el inicio de la acción penal.</w:t>
      </w:r>
    </w:p>
    <w:p w14:paraId="77074C50" w14:textId="77777777" w:rsidR="00997595" w:rsidRPr="0026684F" w:rsidRDefault="00997595" w:rsidP="00997595">
      <w:pPr>
        <w:pStyle w:val="Sinespaciado"/>
        <w:rPr>
          <w:rFonts w:ascii="Century Gothic" w:hAnsi="Century Gothic"/>
          <w:sz w:val="22"/>
        </w:rPr>
      </w:pPr>
    </w:p>
    <w:p w14:paraId="6E078A80"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lastRenderedPageBreak/>
        <w:t xml:space="preserve">2. Lesiones personales a las que hacen referencia los artículos 111, 112, 113, 114, 115, 116, 118 y 120 del Código Penal; Actos de Discriminación (C. P. artículo 134A), Hostigamiento (C. P. artículo 134B), Actos de Discriminación u Hostigamiento Agravados (C. P. artículo 134C), violencia intrafamiliar (C. P. 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(C.P. artículo 270); violación de derechos patrimoniales de autor y derechos conexos (C. P. artículo 271); violación a los mecanismos de protección de derechos de autor (C. P. artículo 272); falsedad en documento privado (C.P. artículos 289 y 290); usurpación de derechos de propiedad industrial y de derechos de obtentores de variedades vegetales (C. P. artículo 306); uso ilegítimo de patentes (C. P. artículo 307); violación de reserva industrial y comercial (C. P. artículo 308); ejercicio ilícito de actividad monopolística de arbitrio rentístico (C. P. artículo 312). </w:t>
      </w:r>
    </w:p>
    <w:p w14:paraId="32595101" w14:textId="77777777" w:rsidR="00997595" w:rsidRPr="0026684F" w:rsidRDefault="00997595" w:rsidP="00997595">
      <w:pPr>
        <w:pStyle w:val="Sinespaciado"/>
        <w:rPr>
          <w:rFonts w:ascii="Century Gothic" w:hAnsi="Century Gothic"/>
          <w:sz w:val="22"/>
        </w:rPr>
      </w:pPr>
    </w:p>
    <w:p w14:paraId="27855A9F" w14:textId="77777777" w:rsidR="00997595" w:rsidRPr="0026684F" w:rsidRDefault="00997595" w:rsidP="00997595">
      <w:pPr>
        <w:pStyle w:val="Sinespaciado"/>
        <w:rPr>
          <w:rFonts w:ascii="Century Gothic" w:hAnsi="Century Gothic"/>
          <w:sz w:val="22"/>
        </w:rPr>
      </w:pPr>
      <w:r w:rsidRPr="0026684F">
        <w:rPr>
          <w:rFonts w:ascii="Century Gothic" w:hAnsi="Century Gothic"/>
          <w:sz w:val="22"/>
        </w:rPr>
        <w:t>En caso de concurso entre las conductas punibles referidas en los numerales anteriores y aquellas a las que se les aplica el procedimiento ordinario, la actuación se regirá por este último.</w:t>
      </w:r>
    </w:p>
    <w:p w14:paraId="41F255A3" w14:textId="77777777" w:rsidR="00997595" w:rsidRPr="0026684F" w:rsidRDefault="00997595" w:rsidP="00997595">
      <w:pPr>
        <w:pStyle w:val="Sinespaciado"/>
        <w:rPr>
          <w:rFonts w:ascii="Century Gothic" w:hAnsi="Century Gothic"/>
          <w:sz w:val="22"/>
        </w:rPr>
      </w:pPr>
    </w:p>
    <w:p w14:paraId="08CC19D2"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Parágrafo.</w:t>
      </w:r>
      <w:r w:rsidRPr="0026684F">
        <w:rPr>
          <w:rFonts w:ascii="Century Gothic" w:hAnsi="Century Gothic"/>
          <w:sz w:val="22"/>
        </w:rPr>
        <w:t xml:space="preserve"> Este procedimiento aplicará también para todos los casos de flagrancia de los delitos contemplados en el presente artículo.</w:t>
      </w:r>
    </w:p>
    <w:p w14:paraId="19074B55" w14:textId="77777777" w:rsidR="00997595" w:rsidRPr="0026684F" w:rsidRDefault="00997595" w:rsidP="00997595">
      <w:pPr>
        <w:pStyle w:val="Sinespaciado"/>
        <w:rPr>
          <w:rFonts w:ascii="Century Gothic" w:hAnsi="Century Gothic"/>
          <w:sz w:val="22"/>
        </w:rPr>
      </w:pPr>
    </w:p>
    <w:p w14:paraId="47E1BEA4"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Artículo 5°.</w:t>
      </w:r>
      <w:r w:rsidRPr="0026684F">
        <w:rPr>
          <w:rFonts w:ascii="Century Gothic" w:hAnsi="Century Gothic"/>
          <w:sz w:val="22"/>
        </w:rPr>
        <w:t xml:space="preserve"> Modifíquese el artículo 550 de la Ley 906 de 2004, el cual quedará así:</w:t>
      </w:r>
    </w:p>
    <w:p w14:paraId="3A5B6D59" w14:textId="77777777" w:rsidR="00997595" w:rsidRPr="0026684F" w:rsidRDefault="00997595" w:rsidP="00997595">
      <w:pPr>
        <w:pStyle w:val="Sinespaciado"/>
        <w:rPr>
          <w:rFonts w:ascii="Century Gothic" w:hAnsi="Century Gothic"/>
          <w:sz w:val="22"/>
        </w:rPr>
      </w:pPr>
    </w:p>
    <w:p w14:paraId="607ECC04" w14:textId="77777777" w:rsidR="00997595" w:rsidRPr="0026684F" w:rsidRDefault="00997595" w:rsidP="00997595">
      <w:pPr>
        <w:pStyle w:val="Sinespaciado"/>
        <w:rPr>
          <w:rFonts w:ascii="Century Gothic" w:hAnsi="Century Gothic"/>
          <w:sz w:val="22"/>
        </w:rPr>
      </w:pPr>
      <w:r w:rsidRPr="0026684F">
        <w:rPr>
          <w:rFonts w:ascii="Century Gothic" w:hAnsi="Century Gothic"/>
          <w:b/>
          <w:sz w:val="22"/>
        </w:rPr>
        <w:t>Artículo 550.</w:t>
      </w:r>
      <w:r w:rsidRPr="0026684F">
        <w:rPr>
          <w:rFonts w:ascii="Century Gothic" w:hAnsi="Century Gothic"/>
          <w:sz w:val="22"/>
        </w:rPr>
        <w:t xml:space="preserve"> </w:t>
      </w:r>
      <w:r w:rsidRPr="0026684F">
        <w:rPr>
          <w:rFonts w:ascii="Century Gothic" w:hAnsi="Century Gothic"/>
          <w:b/>
          <w:sz w:val="22"/>
        </w:rPr>
        <w:t>Conductas punibles susceptibles de conversión de la acción penal.</w:t>
      </w:r>
      <w:r w:rsidRPr="0026684F">
        <w:rPr>
          <w:rFonts w:ascii="Century Gothic" w:hAnsi="Century Gothic"/>
          <w:sz w:val="22"/>
        </w:rPr>
        <w:t xml:space="preserve"> La conversión de la acción penal de pública a privada podrá autorizarse para las conductas que se tramiten por el procedimiento especial abreviado, a excepción de aquellas que atenten contra bienes del Estado y cuando se trate del delito de violencia intrafamiliar.</w:t>
      </w:r>
    </w:p>
    <w:p w14:paraId="7B65A9BD" w14:textId="77777777" w:rsidR="00997595" w:rsidRPr="0026684F" w:rsidRDefault="00997595" w:rsidP="00997595">
      <w:pPr>
        <w:pStyle w:val="Sinespaciado"/>
        <w:rPr>
          <w:rFonts w:ascii="Century Gothic" w:hAnsi="Century Gothic"/>
          <w:sz w:val="22"/>
        </w:rPr>
      </w:pPr>
    </w:p>
    <w:p w14:paraId="062DB445" w14:textId="77777777" w:rsidR="000A6BB0" w:rsidRDefault="00997595" w:rsidP="00FF4237">
      <w:pPr>
        <w:pStyle w:val="Sinespaciado"/>
        <w:rPr>
          <w:rFonts w:ascii="Century Gothic" w:hAnsi="Century Gothic"/>
          <w:sz w:val="22"/>
        </w:rPr>
      </w:pPr>
      <w:r w:rsidRPr="0026684F">
        <w:rPr>
          <w:rFonts w:ascii="Century Gothic" w:hAnsi="Century Gothic"/>
          <w:b/>
          <w:sz w:val="22"/>
        </w:rPr>
        <w:t>Artículo 6°. Vigencia.</w:t>
      </w:r>
      <w:r w:rsidRPr="0026684F">
        <w:rPr>
          <w:rFonts w:ascii="Century Gothic" w:hAnsi="Century Gothic"/>
          <w:sz w:val="22"/>
        </w:rPr>
        <w:t xml:space="preserve"> La presente ley rige a partir de su promulgación y deroga todas las disposiciones que le sean contrarias.</w:t>
      </w:r>
    </w:p>
    <w:p w14:paraId="23075558" w14:textId="77777777" w:rsidR="003316B4" w:rsidRDefault="003316B4" w:rsidP="00FF4237">
      <w:pPr>
        <w:pStyle w:val="Sinespaciado"/>
        <w:rPr>
          <w:rFonts w:ascii="Century Gothic" w:hAnsi="Century Gothic"/>
          <w:sz w:val="22"/>
        </w:rPr>
      </w:pPr>
    </w:p>
    <w:p w14:paraId="6B61E290" w14:textId="405B1357" w:rsidR="003316B4" w:rsidRDefault="003316B4" w:rsidP="00FF4237">
      <w:pPr>
        <w:pStyle w:val="Sinespaciado"/>
        <w:rPr>
          <w:rFonts w:ascii="Century Gothic" w:hAnsi="Century Gothic"/>
          <w:sz w:val="22"/>
        </w:rPr>
      </w:pPr>
      <w:r>
        <w:rPr>
          <w:rFonts w:ascii="Century Gothic" w:hAnsi="Century Gothic"/>
          <w:sz w:val="22"/>
        </w:rPr>
        <w:t xml:space="preserve">De los Honorables Representantes, </w:t>
      </w:r>
    </w:p>
    <w:p w14:paraId="49403C6E" w14:textId="77777777" w:rsidR="003316B4" w:rsidRDefault="003316B4" w:rsidP="00FF4237">
      <w:pPr>
        <w:pStyle w:val="Sinespaciado"/>
        <w:rPr>
          <w:rFonts w:ascii="Century Gothic" w:hAnsi="Century Gothic"/>
          <w:sz w:val="22"/>
        </w:rPr>
      </w:pPr>
    </w:p>
    <w:p w14:paraId="0101C01C" w14:textId="360240E5" w:rsidR="003316B4" w:rsidRPr="0026684F" w:rsidRDefault="003316B4" w:rsidP="00FF4237">
      <w:pPr>
        <w:pStyle w:val="Sinespaciado"/>
        <w:rPr>
          <w:rFonts w:ascii="Century Gothic" w:hAnsi="Century Gothic"/>
          <w:sz w:val="22"/>
        </w:rPr>
      </w:pPr>
      <w:r w:rsidRPr="003316B4">
        <w:rPr>
          <w:rFonts w:ascii="Century Gothic" w:hAnsi="Century Gothic"/>
          <w:b/>
          <w:sz w:val="22"/>
        </w:rPr>
        <w:br/>
      </w:r>
      <w:r>
        <w:rPr>
          <w:rFonts w:ascii="Century Gothic" w:hAnsi="Century Gothic"/>
          <w:b/>
          <w:sz w:val="22"/>
        </w:rPr>
        <w:br/>
      </w:r>
      <w:r w:rsidRPr="003316B4">
        <w:rPr>
          <w:rFonts w:ascii="Century Gothic" w:hAnsi="Century Gothic"/>
          <w:b/>
          <w:sz w:val="22"/>
        </w:rPr>
        <w:t>ADRIANA MAGALI MATIZ VÁRGAS</w:t>
      </w:r>
      <w:r w:rsidRPr="003316B4">
        <w:rPr>
          <w:rFonts w:ascii="Century Gothic" w:hAnsi="Century Gothic"/>
          <w:b/>
          <w:sz w:val="22"/>
        </w:rPr>
        <w:tab/>
      </w:r>
      <w:r>
        <w:rPr>
          <w:rFonts w:ascii="Century Gothic" w:hAnsi="Century Gothic"/>
          <w:sz w:val="22"/>
        </w:rPr>
        <w:br/>
        <w:t xml:space="preserve">Ponente </w:t>
      </w:r>
    </w:p>
    <w:sectPr w:rsidR="003316B4" w:rsidRPr="0026684F" w:rsidSect="00BB7316">
      <w:headerReference w:type="default" r:id="rId15"/>
      <w:footerReference w:type="default" r:id="rId16"/>
      <w:pgSz w:w="12240" w:h="15840"/>
      <w:pgMar w:top="1821" w:right="1701" w:bottom="1417" w:left="1701" w:header="708" w:footer="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C9B61" w14:textId="77777777" w:rsidR="006F5FA6" w:rsidRDefault="006F5FA6" w:rsidP="00DE7D07">
      <w:pPr>
        <w:spacing w:before="0" w:after="0"/>
      </w:pPr>
      <w:r>
        <w:separator/>
      </w:r>
    </w:p>
  </w:endnote>
  <w:endnote w:type="continuationSeparator" w:id="0">
    <w:p w14:paraId="6B436E94" w14:textId="77777777" w:rsidR="006F5FA6" w:rsidRDefault="006F5FA6" w:rsidP="00DE7D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940483"/>
      <w:docPartObj>
        <w:docPartGallery w:val="Page Numbers (Bottom of Page)"/>
        <w:docPartUnique/>
      </w:docPartObj>
    </w:sdtPr>
    <w:sdtContent>
      <w:p w14:paraId="63819790" w14:textId="0C310BAB" w:rsidR="00BB7316" w:rsidRDefault="00BB7316">
        <w:pPr>
          <w:pStyle w:val="Piedepgina"/>
          <w:jc w:val="right"/>
        </w:pPr>
        <w:r>
          <w:fldChar w:fldCharType="begin"/>
        </w:r>
        <w:r>
          <w:instrText>PAGE   \* MERGEFORMAT</w:instrText>
        </w:r>
        <w:r>
          <w:fldChar w:fldCharType="separate"/>
        </w:r>
        <w:r w:rsidR="00BC38E9" w:rsidRPr="00BC38E9">
          <w:rPr>
            <w:noProof/>
            <w:lang w:val="es-ES"/>
          </w:rPr>
          <w:t>3</w:t>
        </w:r>
        <w:r>
          <w:fldChar w:fldCharType="end"/>
        </w:r>
      </w:p>
    </w:sdtContent>
  </w:sdt>
  <w:p w14:paraId="655BAA22" w14:textId="77777777" w:rsidR="00BB7316" w:rsidRPr="00467C01" w:rsidRDefault="00BB7316" w:rsidP="00BB7316">
    <w:pPr>
      <w:tabs>
        <w:tab w:val="center" w:pos="4252"/>
        <w:tab w:val="right" w:pos="8504"/>
      </w:tabs>
      <w:spacing w:before="0" w:after="0"/>
      <w:jc w:val="center"/>
      <w:rPr>
        <w:rFonts w:ascii="Century Gothic" w:eastAsia="Calibri" w:hAnsi="Century Gothic" w:cs="Times New Roman"/>
        <w:sz w:val="16"/>
        <w:lang w:val="es-ES"/>
      </w:rPr>
    </w:pPr>
    <w:proofErr w:type="spellStart"/>
    <w:r w:rsidRPr="00467C01">
      <w:rPr>
        <w:rFonts w:ascii="Century Gothic" w:eastAsia="Calibri" w:hAnsi="Century Gothic" w:cs="Times New Roman"/>
        <w:i/>
        <w:color w:val="808080"/>
        <w:sz w:val="16"/>
      </w:rPr>
      <w:t>Ediﬁcio</w:t>
    </w:r>
    <w:proofErr w:type="spellEnd"/>
    <w:r w:rsidRPr="00467C01">
      <w:rPr>
        <w:rFonts w:ascii="Century Gothic" w:eastAsia="Calibri" w:hAnsi="Century Gothic" w:cs="Times New Roman"/>
        <w:i/>
        <w:color w:val="808080"/>
        <w:sz w:val="16"/>
      </w:rPr>
      <w:t xml:space="preserve"> Nuevo del Congreso: Carrera 7 N° 8 - 68</w:t>
    </w:r>
    <w:r w:rsidRPr="00467C01">
      <w:rPr>
        <w:rFonts w:ascii="Century Gothic" w:eastAsia="Calibri" w:hAnsi="Century Gothic" w:cs="Times New Roman"/>
        <w:i/>
        <w:color w:val="808080"/>
        <w:sz w:val="16"/>
        <w:lang w:val="es-ES"/>
      </w:rPr>
      <w:t xml:space="preserve"> -oficina 432B – 433B</w:t>
    </w:r>
  </w:p>
  <w:p w14:paraId="089AB47E" w14:textId="77777777" w:rsidR="00BB7316" w:rsidRPr="00467C01" w:rsidRDefault="00BB7316" w:rsidP="00BB7316">
    <w:pPr>
      <w:tabs>
        <w:tab w:val="center" w:pos="4252"/>
        <w:tab w:val="right" w:pos="8504"/>
      </w:tabs>
      <w:spacing w:before="0" w:after="0"/>
      <w:ind w:firstLine="708"/>
      <w:jc w:val="center"/>
      <w:rPr>
        <w:rFonts w:ascii="Century Gothic" w:eastAsia="Calibri" w:hAnsi="Century Gothic" w:cs="Times New Roman"/>
        <w:i/>
        <w:color w:val="808080"/>
        <w:sz w:val="16"/>
      </w:rPr>
    </w:pPr>
    <w:r w:rsidRPr="00467C01">
      <w:rPr>
        <w:rFonts w:ascii="Century Gothic" w:eastAsia="Calibri" w:hAnsi="Century Gothic" w:cs="Times New Roman"/>
        <w:i/>
        <w:color w:val="808080"/>
        <w:sz w:val="16"/>
        <w:lang w:val="es-ES"/>
      </w:rPr>
      <w:t xml:space="preserve">Teléfono: </w:t>
    </w:r>
    <w:r w:rsidRPr="00467C01">
      <w:rPr>
        <w:rFonts w:ascii="Century Gothic" w:eastAsia="Calibri" w:hAnsi="Century Gothic" w:cs="Times New Roman"/>
        <w:i/>
        <w:color w:val="808080"/>
        <w:sz w:val="16"/>
      </w:rPr>
      <w:t xml:space="preserve">Tel (57+1) 4325100 (57+1) 4325101 (57+1) 4325102 Extensión: 3330-3357 </w:t>
    </w:r>
  </w:p>
  <w:p w14:paraId="320B0CF5" w14:textId="77777777" w:rsidR="00BB7316" w:rsidRPr="00467C01" w:rsidRDefault="00BB7316" w:rsidP="00BB7316">
    <w:pPr>
      <w:tabs>
        <w:tab w:val="center" w:pos="4252"/>
        <w:tab w:val="right" w:pos="8504"/>
      </w:tabs>
      <w:spacing w:before="0" w:after="0"/>
      <w:ind w:firstLine="708"/>
      <w:jc w:val="center"/>
      <w:rPr>
        <w:rFonts w:ascii="Century Gothic" w:eastAsia="Calibri" w:hAnsi="Century Gothic" w:cs="Times New Roman"/>
        <w:i/>
        <w:color w:val="808080"/>
        <w:sz w:val="16"/>
        <w:lang w:val="es-ES"/>
      </w:rPr>
    </w:pPr>
    <w:r w:rsidRPr="00467C01">
      <w:rPr>
        <w:rFonts w:ascii="Century Gothic" w:eastAsia="Calibri" w:hAnsi="Century Gothic" w:cs="Times New Roman"/>
        <w:i/>
        <w:color w:val="808080"/>
        <w:sz w:val="16"/>
        <w:lang w:val="es-ES"/>
      </w:rPr>
      <w:t>Correo electrónico: asistentemagalimatiz01@gmail.com</w:t>
    </w:r>
  </w:p>
  <w:p w14:paraId="6CFCDBE8" w14:textId="77777777" w:rsidR="00BB7316" w:rsidRDefault="00BB7316" w:rsidP="00BB7316">
    <w:pPr>
      <w:pStyle w:val="Piedepgina"/>
    </w:pPr>
  </w:p>
  <w:p w14:paraId="49663B95" w14:textId="77777777" w:rsidR="00BB7316" w:rsidRDefault="00BB73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10626" w14:textId="77777777" w:rsidR="006F5FA6" w:rsidRDefault="006F5FA6" w:rsidP="00DE7D07">
      <w:pPr>
        <w:spacing w:before="0" w:after="0"/>
      </w:pPr>
      <w:r>
        <w:separator/>
      </w:r>
    </w:p>
  </w:footnote>
  <w:footnote w:type="continuationSeparator" w:id="0">
    <w:p w14:paraId="77D7060B" w14:textId="77777777" w:rsidR="006F5FA6" w:rsidRDefault="006F5FA6" w:rsidP="00DE7D07">
      <w:pPr>
        <w:spacing w:before="0" w:after="0"/>
      </w:pPr>
      <w:r>
        <w:continuationSeparator/>
      </w:r>
    </w:p>
  </w:footnote>
  <w:footnote w:id="1">
    <w:p w14:paraId="08DB4267" w14:textId="77777777" w:rsidR="00100C52" w:rsidRPr="00EB787E" w:rsidRDefault="00100C52" w:rsidP="00DE7D07">
      <w:pPr>
        <w:pStyle w:val="Textonotapie"/>
      </w:pPr>
      <w:r w:rsidRPr="00EB787E">
        <w:rPr>
          <w:rStyle w:val="Refdenotaalpie"/>
        </w:rPr>
        <w:footnoteRef/>
      </w:r>
      <w:r w:rsidRPr="00EB787E">
        <w:t xml:space="preserve"> Exposición de Motivos del Proyecto de ley número 139 de 2017. Gaceta del Congreso número 879 de 3 de octubre de 2017. </w:t>
      </w:r>
    </w:p>
  </w:footnote>
  <w:footnote w:id="2">
    <w:p w14:paraId="5E8F1014" w14:textId="77777777" w:rsidR="00100C52" w:rsidRPr="00EB787E" w:rsidRDefault="00100C52" w:rsidP="00615A1C">
      <w:pPr>
        <w:pStyle w:val="Textonotapie"/>
      </w:pPr>
      <w:r w:rsidRPr="00EB787E">
        <w:rPr>
          <w:rStyle w:val="Refdenotaalpie"/>
        </w:rPr>
        <w:footnoteRef/>
      </w:r>
      <w:r w:rsidRPr="00EB787E">
        <w:t xml:space="preserve"> Javier Pineda Duque, Luisa Otero Peña. “Género, violencia intrafamiliar e intervención pública en Colombia”. revista de estudios sociales No.17. Bogotá Jan./Apr. 2004. Disponible en: </w:t>
      </w:r>
      <w:hyperlink r:id="rId1" w:history="1">
        <w:r w:rsidRPr="00EB787E">
          <w:rPr>
            <w:rStyle w:val="Hipervnculo"/>
            <w:color w:val="auto"/>
          </w:rPr>
          <w:t>http://www.scielo.org.co/scielo.php?script=sci_arttext&amp;pid=S0123-885X2004000100003</w:t>
        </w:r>
      </w:hyperlink>
      <w:r w:rsidRPr="00EB787E">
        <w:t xml:space="preserve">. </w:t>
      </w:r>
    </w:p>
  </w:footnote>
  <w:footnote w:id="3">
    <w:p w14:paraId="3168C4FB" w14:textId="77777777" w:rsidR="00100C52" w:rsidRPr="00EB787E" w:rsidRDefault="00100C52" w:rsidP="007F23D2">
      <w:pPr>
        <w:pStyle w:val="Textonotapie"/>
      </w:pPr>
      <w:r w:rsidRPr="00EB787E">
        <w:rPr>
          <w:rStyle w:val="Refdenotaalpie"/>
        </w:rPr>
        <w:footnoteRef/>
      </w:r>
      <w:r w:rsidRPr="00EB787E">
        <w:t xml:space="preserve"> “Tiene consecuencias directas no sólo para su propio bienestar, sino también para el de sus familias y comunidades. Además [del] daño que puede producir en el cuerpo las agresiones físicas, el maltrato puede tener consecuencias para la salud mental como es la pérdida de la motivación y alegría, de la capacidad de crear, innovar, depresión, y hasta intentos de suicidio”. Eda Quirós. “El impacto de la violencia intrafamiliar: Transitando de la desesperanza a la recuperación del derecho a vivir libres de violencia”. Perspectivas Psicológicas • Volúmenes 3 - 4 • Año IV. </w:t>
      </w:r>
    </w:p>
  </w:footnote>
  <w:footnote w:id="4">
    <w:p w14:paraId="1B599260" w14:textId="77777777" w:rsidR="00100C52" w:rsidRPr="00EB787E" w:rsidRDefault="00100C52" w:rsidP="007F23D2">
      <w:pPr>
        <w:pStyle w:val="Textonotapie"/>
      </w:pPr>
      <w:r w:rsidRPr="00EB787E">
        <w:rPr>
          <w:rStyle w:val="Refdenotaalpie"/>
        </w:rPr>
        <w:footnoteRef/>
      </w:r>
      <w:r w:rsidRPr="00EB787E">
        <w:t xml:space="preserve"> “Lo otro que no puede olvidarse es que las violencias que padecen las mujeres tienen realidades muy fuertes que las diferencian de las que sufren los hombres, como el que mayoritariamente sean las mujeres las que fallecen por causa de VIF, que las violencias que ellas padecen sean sistemáticas, estructurales y constantes, y que, además, provengan de diferentes espacios y de distintas instancias, incluso desde las que están llamadas a ayudarlas”. Elizabeth Castillo Vargas, “FEMINICIDIO Mujeres que mueren por violencia intrafamiliar en Colombia Estudio de casos en cinco ciudades del país”. Con el apoyo de la Federación Internacional de Planificación de la Familia - Región del Hemisferio Occidental (IPPF - RHO) Noviembre de 2007. P. 20. </w:t>
      </w:r>
    </w:p>
  </w:footnote>
  <w:footnote w:id="5">
    <w:p w14:paraId="56512166" w14:textId="77777777" w:rsidR="00100C52" w:rsidRPr="00EB787E" w:rsidRDefault="00100C52">
      <w:pPr>
        <w:pStyle w:val="Textonotapie"/>
      </w:pPr>
      <w:r w:rsidRPr="00EB787E">
        <w:rPr>
          <w:rStyle w:val="Refdenotaalpie"/>
        </w:rPr>
        <w:footnoteRef/>
      </w:r>
      <w:r w:rsidRPr="00EB787E">
        <w:t xml:space="preserve"> Javier Pineda Duque, Luisa Otero Peña. “Género, violencia intrafamiliar e intervención pública en Colombia”. revista de estudios sociales No.17. Bogotá Jan./Apr. 2004. Disponible en: </w:t>
      </w:r>
      <w:hyperlink r:id="rId2" w:history="1">
        <w:r w:rsidRPr="00EB787E">
          <w:rPr>
            <w:rStyle w:val="Hipervnculo"/>
            <w:color w:val="auto"/>
          </w:rPr>
          <w:t>http://www.scielo.org.co/scielo.php?script=sci_arttext&amp;pid=S0123-885X2004000100003</w:t>
        </w:r>
      </w:hyperlink>
      <w:r w:rsidRPr="00EB787E">
        <w:t xml:space="preserve">. </w:t>
      </w:r>
    </w:p>
  </w:footnote>
  <w:footnote w:id="6">
    <w:p w14:paraId="017B2C90" w14:textId="77777777" w:rsidR="00100C52" w:rsidRPr="00EB787E" w:rsidRDefault="00100C52" w:rsidP="008657A5">
      <w:pPr>
        <w:pStyle w:val="Textonotapie"/>
      </w:pPr>
      <w:r w:rsidRPr="00EB787E">
        <w:rPr>
          <w:rStyle w:val="Refdenotaalpie"/>
        </w:rPr>
        <w:footnoteRef/>
      </w:r>
      <w:r w:rsidRPr="00EB787E">
        <w:t xml:space="preserve"> Datos obtenidos del SPOA el 31 de octubre de 2018. </w:t>
      </w:r>
    </w:p>
  </w:footnote>
  <w:footnote w:id="7">
    <w:p w14:paraId="6D693001" w14:textId="77777777" w:rsidR="00100C52" w:rsidRPr="00EB787E" w:rsidRDefault="00100C52">
      <w:pPr>
        <w:pStyle w:val="Textonotapie"/>
      </w:pPr>
      <w:r w:rsidRPr="00EB787E">
        <w:rPr>
          <w:rStyle w:val="Refdenotaalpie"/>
        </w:rPr>
        <w:footnoteRef/>
      </w:r>
      <w:r w:rsidRPr="00EB787E">
        <w:t xml:space="preserve"> </w:t>
      </w:r>
      <w:r w:rsidR="00A01DA8">
        <w:t xml:space="preserve">Datos obtenidos del SPOA en consulta del 10 de octubre de 2018, remitidos por la Fiscalía General de la Nación en oficio con número de ORFEO 20182000005531 de 1 de noviembre de 2018. </w:t>
      </w:r>
    </w:p>
  </w:footnote>
  <w:footnote w:id="8">
    <w:p w14:paraId="77639032" w14:textId="77777777" w:rsidR="00DE501E" w:rsidRPr="00EB787E" w:rsidRDefault="00DE501E">
      <w:pPr>
        <w:pStyle w:val="Textonotapie"/>
      </w:pPr>
      <w:r w:rsidRPr="00EB787E">
        <w:rPr>
          <w:rStyle w:val="Refdenotaalpie"/>
        </w:rPr>
        <w:footnoteRef/>
      </w:r>
      <w:r w:rsidRPr="00EB787E">
        <w:t xml:space="preserve"> Ver al respecto: </w:t>
      </w:r>
      <w:hyperlink r:id="rId3" w:history="1">
        <w:r w:rsidR="0022172D" w:rsidRPr="00EB787E">
          <w:rPr>
            <w:rStyle w:val="Hipervnculo"/>
            <w:color w:val="auto"/>
          </w:rPr>
          <w:t>https://www.gob.mx/mujeressinviolencia/articulos/comprender-el-circulo-de-la-violencia-es-el-primer-paso-para-romperlo</w:t>
        </w:r>
      </w:hyperlink>
      <w:r w:rsidR="0022172D" w:rsidRPr="00EB787E">
        <w:t xml:space="preserve">. </w:t>
      </w:r>
    </w:p>
  </w:footnote>
  <w:footnote w:id="9">
    <w:p w14:paraId="419FC0E1" w14:textId="347CC02B" w:rsidR="005B5B41" w:rsidRPr="00EB787E" w:rsidRDefault="005B5B41" w:rsidP="005B5B41">
      <w:pPr>
        <w:pStyle w:val="Textonotapie"/>
      </w:pPr>
      <w:r w:rsidRPr="00EB787E">
        <w:rPr>
          <w:rStyle w:val="Refdenotaalpie"/>
        </w:rPr>
        <w:footnoteRef/>
      </w:r>
      <w:r w:rsidRPr="00EB787E">
        <w:t xml:space="preserve"> </w:t>
      </w:r>
      <w:r w:rsidR="0067714A" w:rsidRPr="00EB787E">
        <w:rPr>
          <w:rFonts w:cs="Times New Roman"/>
          <w:sz w:val="18"/>
          <w:szCs w:val="18"/>
        </w:rPr>
        <w:t>FORENSIS. “Datos para la vida 2017”. Instituto Nacional de Medicina Legal y de Ciencias Forenses. Vol.19 N° 1 Mayo 2018. Consultado el: 6 de agosto de 2018. P. 177. Disponible en: http://www.medicinalegal.gov.co/cifras-estadisticas/forensis</w:t>
      </w:r>
      <w:r w:rsidRPr="00EB787E">
        <w:rPr>
          <w:rFonts w:cs="Times New Roman"/>
          <w:sz w:val="18"/>
          <w:szCs w:val="18"/>
        </w:rPr>
        <w:t xml:space="preserve">. </w:t>
      </w:r>
      <w:r w:rsidRPr="00EB787E">
        <w:t xml:space="preserve">P. 257. </w:t>
      </w:r>
    </w:p>
  </w:footnote>
  <w:footnote w:id="10">
    <w:p w14:paraId="28B7552D" w14:textId="77777777" w:rsidR="005B5B41" w:rsidRPr="00EB787E" w:rsidRDefault="005B5B41" w:rsidP="005B5B41">
      <w:pPr>
        <w:pStyle w:val="Textonotapie"/>
      </w:pPr>
      <w:r w:rsidRPr="00EB787E">
        <w:rPr>
          <w:rStyle w:val="Refdenotaalpie"/>
        </w:rPr>
        <w:footnoteRef/>
      </w:r>
      <w:r w:rsidRPr="00EB787E">
        <w:t xml:space="preserve"> Javier Pineda Duque, Luisa Otero Peña. “Género, violencia intrafamiliar e intervención pública en Colombia”. revista de estudios sociales No.17. Bogotá Jan./Apr. 2004. Disponible en: </w:t>
      </w:r>
      <w:hyperlink r:id="rId4" w:history="1">
        <w:r w:rsidRPr="00EB787E">
          <w:rPr>
            <w:rStyle w:val="Hipervnculo"/>
            <w:color w:val="auto"/>
          </w:rPr>
          <w:t>http://www.scielo.org.co/scielo.php?script=sci_arttext&amp;pid=S0123-885X2004000100003</w:t>
        </w:r>
      </w:hyperlink>
      <w:r w:rsidRPr="00EB787E">
        <w:t xml:space="preserve">. </w:t>
      </w:r>
    </w:p>
  </w:footnote>
  <w:footnote w:id="11">
    <w:p w14:paraId="1C4B663B" w14:textId="77777777" w:rsidR="00642805" w:rsidRPr="00EB787E" w:rsidRDefault="00642805" w:rsidP="00642805">
      <w:pPr>
        <w:pStyle w:val="Textonotapie"/>
      </w:pPr>
      <w:r w:rsidRPr="00EB787E">
        <w:rPr>
          <w:rStyle w:val="Refdenotaalpie"/>
        </w:rPr>
        <w:footnoteRef/>
      </w:r>
      <w:r w:rsidRPr="00EB787E">
        <w:t xml:space="preserve"> Consejo General del Poder Judicial Sección del Observatorio Contra la Violencia Doméstica y de Género. “Informe sobre víctimas mortales de la violencia de género y de la violencia doméstica en el ámbito de la pareja o ex pareja en el año 2015”. Disponible en: </w:t>
      </w:r>
      <w:hyperlink r:id="rId5" w:history="1">
        <w:r w:rsidRPr="00EB787E">
          <w:rPr>
            <w:rStyle w:val="Hipervnculo"/>
            <w:color w:val="auto"/>
          </w:rPr>
          <w:t>http://www.poderjudicial.es/cgpj/es/Temas/Violencia-domestica-y-de-genero/El-Observatorio-contra-la-violencia-domestica-y-de-genero/</w:t>
        </w:r>
      </w:hyperlink>
      <w:r w:rsidRPr="00EB787E">
        <w:t>. P 9</w:t>
      </w:r>
    </w:p>
  </w:footnote>
  <w:footnote w:id="12">
    <w:p w14:paraId="139DB8D5" w14:textId="77777777" w:rsidR="00642805" w:rsidRPr="00EB787E" w:rsidRDefault="00642805" w:rsidP="00642805">
      <w:pPr>
        <w:pStyle w:val="Textonotapie"/>
      </w:pPr>
      <w:r w:rsidRPr="00EB787E">
        <w:rPr>
          <w:rStyle w:val="Refdenotaalpie"/>
        </w:rPr>
        <w:footnoteRef/>
      </w:r>
      <w:r w:rsidRPr="00EB787E">
        <w:t xml:space="preserve"> Ismael Loinaz Calvo, et. Al. “Análisis de la reincidencia en agresores de pareja”. Documentos de trabajo. Ambit social i crimologic. Centre déstudis jurídics i formació Especialitzada. Departament de Justicia. 2011. P 14. </w:t>
      </w:r>
    </w:p>
  </w:footnote>
  <w:footnote w:id="13">
    <w:p w14:paraId="24C87D3A" w14:textId="77777777" w:rsidR="00243344" w:rsidRPr="00EB787E" w:rsidRDefault="00243344" w:rsidP="00243344">
      <w:pPr>
        <w:pStyle w:val="Textonotapie"/>
        <w:rPr>
          <w:rFonts w:cs="Times New Roman"/>
          <w:sz w:val="18"/>
          <w:szCs w:val="18"/>
        </w:rPr>
      </w:pPr>
      <w:r w:rsidRPr="00EB787E">
        <w:rPr>
          <w:rStyle w:val="Refdenotaalpie"/>
        </w:rPr>
        <w:footnoteRef/>
      </w:r>
      <w:r w:rsidRPr="00EB787E">
        <w:t xml:space="preserve"> </w:t>
      </w:r>
      <w:r w:rsidRPr="00EB787E">
        <w:rPr>
          <w:rFonts w:cs="Times New Roman"/>
          <w:sz w:val="18"/>
          <w:szCs w:val="18"/>
        </w:rPr>
        <w:t xml:space="preserve">FORENSIS. “Datos para la vida 2017”. Instituto Nacional de Medicina Legal y de Ciencias Forenses. Vol.19 N° 1 Mayo 2018. Consultado el: 6 de agosto de 2018. P. 177. Disponible en: http://www.medicinalegal.gov.co/cifras-estadisticas/forensis. P 177. </w:t>
      </w:r>
    </w:p>
  </w:footnote>
  <w:footnote w:id="14">
    <w:p w14:paraId="3A78D63D" w14:textId="77777777" w:rsidR="00243344" w:rsidRPr="00EB787E" w:rsidRDefault="00243344" w:rsidP="00243344">
      <w:pPr>
        <w:pStyle w:val="Textonotapie"/>
      </w:pPr>
      <w:r w:rsidRPr="00EB787E">
        <w:rPr>
          <w:rStyle w:val="Refdenotaalpie"/>
        </w:rPr>
        <w:footnoteRef/>
      </w:r>
      <w:r w:rsidRPr="00EB787E">
        <w:t xml:space="preserve"> En adelante NNA. </w:t>
      </w:r>
    </w:p>
  </w:footnote>
  <w:footnote w:id="15">
    <w:p w14:paraId="48BFB687" w14:textId="77777777" w:rsidR="001468BF" w:rsidRPr="00EB787E" w:rsidRDefault="001468BF" w:rsidP="001468BF">
      <w:pPr>
        <w:pStyle w:val="Textonotapie"/>
      </w:pPr>
      <w:r w:rsidRPr="00EB787E">
        <w:rPr>
          <w:rStyle w:val="Refdenotaalpie"/>
        </w:rPr>
        <w:footnoteRef/>
      </w:r>
      <w:r w:rsidRPr="00EB787E">
        <w:t xml:space="preserve"> “Luego se habló de violencia doméstica, categoría que fue útil pues amplió la comprensión del sexo y el género de los implicados y hacía énfasis en el lugar de ocurrencia de la violencia. Pero este concepto no bastó, pues dejaba fuera del ámbito de análisis la violencia ocurrida en la pareja pero que no necesariamente ocurría en el lugar en el cual ésta sostenía o había sostenido la convivencia. El concepto violencia intrafamiliar incluye a otros miembros de la familia aparte de las mujeres, como hijos/as, ancianos/as, personas con discapacidad o personas con una identidad de género o una orientación sexual diversa, pero también resulta insuficiente pues no aborda conceptos como el acoso sexual o las violencias estructurales que afrontan las mujeres. Un nudo conceptual en estas denominaciones ha sido el dilema que plantean los ex compañeros de las mujeres maltratadas. Si ya no continúa la pareja, ya no hay convivencia y están separados, ¿qué categoría adquiere la agresión cuando proviene del ex compañero? Muchos casos que deberían ser catalogados como VIF son desestimados de esta categoría, simplemente porque el hecho ocurre entre dos personas que ya no son pareja, que ya no conviven en el mismo espacio y entre las cuales se presume que no hay ningún vínculo. Lo anterior aumenta la incertidumbre y en algunos casos impide que se pueda acudir a los recursos legales establecidos para proteger a las víctimas. Esto es trágicamente evidente en los casos donde el ex compañero mata a la mujer”. Elizabeth Castillo Vargas, “FEMINICIDIO Mujeres que mueren por violencia intrafamiliar en Colombia Estudio de casos en cinco ciudades del país”. Con el apoyo de la Federación Internacional de Planificación de la Familia - Región del Hemisferio Occidental (IPPF - RHO) Noviembre de 2007. P. 17-18. </w:t>
      </w:r>
    </w:p>
  </w:footnote>
  <w:footnote w:id="16">
    <w:p w14:paraId="7DCA471C" w14:textId="77777777" w:rsidR="001468BF" w:rsidRPr="00EB787E" w:rsidRDefault="001468BF" w:rsidP="001468BF">
      <w:pPr>
        <w:pStyle w:val="Textonotapie"/>
      </w:pPr>
      <w:r w:rsidRPr="00EB787E">
        <w:rPr>
          <w:rStyle w:val="Refdenotaalpie"/>
        </w:rPr>
        <w:footnoteRef/>
      </w:r>
      <w:r w:rsidRPr="00EB787E">
        <w:t xml:space="preserve"> </w:t>
      </w:r>
      <w:r w:rsidRPr="00EB787E">
        <w:rPr>
          <w:rFonts w:cs="Times New Roman"/>
          <w:sz w:val="18"/>
          <w:szCs w:val="18"/>
        </w:rPr>
        <w:t xml:space="preserve">FORENSIS. “Datos para la vida 2017”. Instituto Nacional de Medicina Legal y de Ciencias Forenses. Vol.19 N° 1 Mayo 2018. Consultado el: 6 de agosto de 2018. P. 177. Disponible en: http://www.medicinalegal.gov.co/cifras-estadisticas/forensis. </w:t>
      </w:r>
      <w:r w:rsidRPr="00EB787E">
        <w:t xml:space="preserve">P. 259. </w:t>
      </w:r>
    </w:p>
  </w:footnote>
  <w:footnote w:id="17">
    <w:p w14:paraId="5416F6DB" w14:textId="77777777" w:rsidR="001468BF" w:rsidRPr="00EB787E" w:rsidRDefault="001468BF" w:rsidP="001468BF">
      <w:pPr>
        <w:pStyle w:val="Textonotapie"/>
        <w:rPr>
          <w:rFonts w:cs="Times New Roman"/>
          <w:sz w:val="18"/>
          <w:szCs w:val="18"/>
        </w:rPr>
      </w:pPr>
      <w:r w:rsidRPr="00EB787E">
        <w:rPr>
          <w:rStyle w:val="Refdenotaalpie"/>
        </w:rPr>
        <w:footnoteRef/>
      </w:r>
      <w:r w:rsidRPr="00EB787E">
        <w:t xml:space="preserve"> </w:t>
      </w:r>
      <w:r w:rsidRPr="00EB787E">
        <w:rPr>
          <w:rFonts w:cs="Times New Roman"/>
          <w:sz w:val="18"/>
          <w:szCs w:val="18"/>
        </w:rPr>
        <w:t xml:space="preserve">Ibíd. P 295. </w:t>
      </w:r>
    </w:p>
  </w:footnote>
  <w:footnote w:id="18">
    <w:p w14:paraId="100908CD" w14:textId="77777777" w:rsidR="006D1751" w:rsidRPr="00EB787E" w:rsidRDefault="006D1751" w:rsidP="006D1751">
      <w:pPr>
        <w:pStyle w:val="Textonotapie"/>
        <w:rPr>
          <w:rFonts w:cs="Times New Roman"/>
          <w:sz w:val="18"/>
          <w:szCs w:val="18"/>
        </w:rPr>
      </w:pPr>
      <w:r w:rsidRPr="00EB787E">
        <w:rPr>
          <w:rStyle w:val="Refdenotaalpie"/>
          <w:rFonts w:cs="Times New Roman"/>
          <w:sz w:val="18"/>
          <w:szCs w:val="18"/>
        </w:rPr>
        <w:footnoteRef/>
      </w:r>
      <w:r w:rsidRPr="00EB787E">
        <w:rPr>
          <w:rFonts w:cs="Times New Roman"/>
          <w:sz w:val="18"/>
          <w:szCs w:val="18"/>
        </w:rPr>
        <w:t xml:space="preserve"> FORENSIS. “Datos para la vida 2017”. Instituto Nacional de Medicina Legal y de Ciencias Forenses. Vol.19 N° 1 Mayo 2018. Consultado el: 6 de agosto de 2018. P. 182. Disponible en: Disponible en: http://www.medicinalegal.gov.co/cifras-estadisticas/forensis.</w:t>
      </w:r>
    </w:p>
  </w:footnote>
  <w:footnote w:id="19">
    <w:p w14:paraId="45A360C3" w14:textId="77777777" w:rsidR="00A121D6" w:rsidRPr="00EB787E" w:rsidRDefault="00A121D6">
      <w:pPr>
        <w:pStyle w:val="Textonotapie"/>
      </w:pPr>
      <w:r w:rsidRPr="00EB787E">
        <w:rPr>
          <w:rStyle w:val="Refdenotaalpie"/>
        </w:rPr>
        <w:footnoteRef/>
      </w:r>
      <w:r w:rsidRPr="00EB787E">
        <w:t xml:space="preserve"> Ver al respecto: Sandra Torres Romero. “Aproximación al fenómeno de la retractación en las causas de violencia intrafamiliar”. </w:t>
      </w:r>
      <w:r w:rsidR="00F33EE9" w:rsidRPr="00EB787E">
        <w:t xml:space="preserve">Rev. derecho (Valdivia) vol.26 no.1 Valdivia jul. 2013. </w:t>
      </w:r>
      <w:r w:rsidR="00B31CDA" w:rsidRPr="00EB787E">
        <w:t xml:space="preserve">Disponible en: </w:t>
      </w:r>
      <w:hyperlink r:id="rId6" w:history="1">
        <w:r w:rsidR="006E14EB" w:rsidRPr="00EB787E">
          <w:rPr>
            <w:rStyle w:val="Hipervnculo"/>
            <w:color w:val="auto"/>
          </w:rPr>
          <w:t>https://scielo.conicyt.cl/scielo.php?script=sci_arttext&amp;pid=S0718-09502013000100008</w:t>
        </w:r>
      </w:hyperlink>
      <w:r w:rsidR="006E14EB" w:rsidRPr="00EB787E">
        <w:t xml:space="preserve">. </w:t>
      </w:r>
    </w:p>
  </w:footnote>
  <w:footnote w:id="20">
    <w:p w14:paraId="27C3ECD6" w14:textId="77777777" w:rsidR="00E54FA0" w:rsidRDefault="00E54FA0" w:rsidP="00E54FA0">
      <w:pPr>
        <w:pStyle w:val="Textonotapie"/>
      </w:pPr>
      <w:r w:rsidRPr="00D879C8">
        <w:rPr>
          <w:rStyle w:val="Refdenotaalpie"/>
        </w:rPr>
        <w:footnoteRef/>
      </w:r>
      <w:r w:rsidRPr="00D879C8">
        <w:rPr>
          <w:sz w:val="16"/>
        </w:rPr>
        <w:t xml:space="preserve"> Ley 20</w:t>
      </w:r>
      <w:r>
        <w:rPr>
          <w:sz w:val="16"/>
        </w:rPr>
        <w:t>.</w:t>
      </w:r>
      <w:r w:rsidRPr="00D879C8">
        <w:rPr>
          <w:sz w:val="16"/>
        </w:rPr>
        <w:t>066 de 2005</w:t>
      </w:r>
      <w:r>
        <w:rPr>
          <w:sz w:val="16"/>
        </w:rPr>
        <w:t xml:space="preserve"> sobre violencia intrafamiliar. Disponible en: </w:t>
      </w:r>
      <w:r w:rsidRPr="00626F00">
        <w:rPr>
          <w:sz w:val="16"/>
        </w:rPr>
        <w:t>https://www.oas.org/dil/esp/Ley_20066_Violencia_Intrafamiliar_Chile.pdf</w:t>
      </w:r>
    </w:p>
  </w:footnote>
  <w:footnote w:id="21">
    <w:p w14:paraId="226198F9" w14:textId="77777777" w:rsidR="00100C52" w:rsidRPr="00EB787E" w:rsidRDefault="00100C52" w:rsidP="00B04092">
      <w:pPr>
        <w:pStyle w:val="Textonotapie"/>
      </w:pPr>
      <w:r w:rsidRPr="00EB787E">
        <w:rPr>
          <w:rStyle w:val="Refdenotaalpie"/>
        </w:rPr>
        <w:footnoteRef/>
      </w:r>
      <w:r w:rsidRPr="00EB787E">
        <w:t xml:space="preserve"> </w:t>
      </w:r>
      <w:r w:rsidRPr="00EB787E">
        <w:rPr>
          <w:rFonts w:cs="Times New Roman"/>
          <w:sz w:val="24"/>
          <w:szCs w:val="24"/>
        </w:rPr>
        <w:t>Adoptada en Colombia a través de la Ley 51 de 1981</w:t>
      </w:r>
    </w:p>
  </w:footnote>
  <w:footnote w:id="22">
    <w:p w14:paraId="15364A06" w14:textId="77777777" w:rsidR="00100C52" w:rsidRPr="00EB787E" w:rsidRDefault="00100C52" w:rsidP="00B04092">
      <w:pPr>
        <w:pStyle w:val="Textonotapie"/>
      </w:pPr>
      <w:r w:rsidRPr="00EB787E">
        <w:rPr>
          <w:rStyle w:val="Refdenotaalpie"/>
        </w:rPr>
        <w:footnoteRef/>
      </w:r>
      <w:r w:rsidRPr="00EB787E">
        <w:t xml:space="preserve"> </w:t>
      </w:r>
      <w:r w:rsidRPr="00EB787E">
        <w:rPr>
          <w:rFonts w:cs="Times New Roman"/>
          <w:sz w:val="24"/>
          <w:szCs w:val="24"/>
        </w:rPr>
        <w:t xml:space="preserve">Adoptada en Colombia el 5 de marzo de 1995.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1CD1" w14:textId="3A581DC1" w:rsidR="00BB7316" w:rsidRDefault="00BB7316">
    <w:pPr>
      <w:pStyle w:val="Encabezado"/>
      <w:jc w:val="right"/>
    </w:pPr>
    <w:r>
      <w:rPr>
        <w:noProof/>
        <w:lang w:eastAsia="es-CO"/>
      </w:rPr>
      <w:drawing>
        <wp:anchor distT="0" distB="0" distL="114300" distR="114300" simplePos="0" relativeHeight="251658240" behindDoc="1" locked="0" layoutInCell="1" allowOverlap="1" wp14:anchorId="1D1F90B0" wp14:editId="4D922530">
          <wp:simplePos x="0" y="0"/>
          <wp:positionH relativeFrom="margin">
            <wp:align>center</wp:align>
          </wp:positionH>
          <wp:positionV relativeFrom="paragraph">
            <wp:posOffset>-278130</wp:posOffset>
          </wp:positionV>
          <wp:extent cx="2737485" cy="725170"/>
          <wp:effectExtent l="0" t="0" r="5715" b="0"/>
          <wp:wrapTight wrapText="bothSides">
            <wp:wrapPolygon edited="0">
              <wp:start x="4960" y="0"/>
              <wp:lineTo x="0" y="567"/>
              <wp:lineTo x="0" y="20995"/>
              <wp:lineTo x="21495" y="20995"/>
              <wp:lineTo x="21495" y="567"/>
              <wp:lineTo x="5862" y="0"/>
              <wp:lineTo x="496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725170"/>
                  </a:xfrm>
                  <a:prstGeom prst="rect">
                    <a:avLst/>
                  </a:prstGeom>
                  <a:noFill/>
                </pic:spPr>
              </pic:pic>
            </a:graphicData>
          </a:graphic>
        </wp:anchor>
      </w:drawing>
    </w:r>
  </w:p>
  <w:p w14:paraId="725B00DA" w14:textId="77777777" w:rsidR="0026684F" w:rsidRPr="0026684F" w:rsidRDefault="0026684F" w:rsidP="0026684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95124"/>
    <w:multiLevelType w:val="hybridMultilevel"/>
    <w:tmpl w:val="C734CC8A"/>
    <w:lvl w:ilvl="0" w:tplc="5BB0E7BC">
      <w:start w:val="2"/>
      <w:numFmt w:val="upperRoman"/>
      <w:lvlText w:val="%1."/>
      <w:lvlJc w:val="left"/>
      <w:pPr>
        <w:ind w:left="1080" w:hanging="72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24B02ED3"/>
    <w:multiLevelType w:val="multilevel"/>
    <w:tmpl w:val="2C784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0D63B07"/>
    <w:multiLevelType w:val="multilevel"/>
    <w:tmpl w:val="70DADA4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674348A"/>
    <w:multiLevelType w:val="multilevel"/>
    <w:tmpl w:val="82F6A12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0275C60"/>
    <w:multiLevelType w:val="hybridMultilevel"/>
    <w:tmpl w:val="C52237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06A5D09"/>
    <w:multiLevelType w:val="multilevel"/>
    <w:tmpl w:val="2C784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AEA7DD4"/>
    <w:multiLevelType w:val="hybridMultilevel"/>
    <w:tmpl w:val="3634E36E"/>
    <w:lvl w:ilvl="0" w:tplc="A0E85AE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B5801D0"/>
    <w:multiLevelType w:val="hybridMultilevel"/>
    <w:tmpl w:val="8E7E1A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77E25F9E"/>
    <w:multiLevelType w:val="multilevel"/>
    <w:tmpl w:val="2C784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A8E6A8C"/>
    <w:multiLevelType w:val="hybridMultilevel"/>
    <w:tmpl w:val="B86CA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5"/>
  </w:num>
  <w:num w:numId="5">
    <w:abstractNumId w:val="9"/>
  </w:num>
  <w:num w:numId="6">
    <w:abstractNumId w:val="4"/>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AF"/>
    <w:rsid w:val="0000103C"/>
    <w:rsid w:val="0000505F"/>
    <w:rsid w:val="0001524F"/>
    <w:rsid w:val="000258D4"/>
    <w:rsid w:val="0002731C"/>
    <w:rsid w:val="000673FD"/>
    <w:rsid w:val="00086A88"/>
    <w:rsid w:val="00086E98"/>
    <w:rsid w:val="00086F1D"/>
    <w:rsid w:val="000A313A"/>
    <w:rsid w:val="000A6BB0"/>
    <w:rsid w:val="000B0D3F"/>
    <w:rsid w:val="000B52D8"/>
    <w:rsid w:val="000C0D94"/>
    <w:rsid w:val="000C4F87"/>
    <w:rsid w:val="000D5ED8"/>
    <w:rsid w:val="000D64F7"/>
    <w:rsid w:val="000E0AD4"/>
    <w:rsid w:val="000E1459"/>
    <w:rsid w:val="000E250A"/>
    <w:rsid w:val="000F7850"/>
    <w:rsid w:val="00100C52"/>
    <w:rsid w:val="001043CF"/>
    <w:rsid w:val="00121A00"/>
    <w:rsid w:val="001262C2"/>
    <w:rsid w:val="00143BB9"/>
    <w:rsid w:val="001468BF"/>
    <w:rsid w:val="001507BA"/>
    <w:rsid w:val="00154D3F"/>
    <w:rsid w:val="001660B5"/>
    <w:rsid w:val="00166B9E"/>
    <w:rsid w:val="001802A6"/>
    <w:rsid w:val="001875CB"/>
    <w:rsid w:val="00196F78"/>
    <w:rsid w:val="001A0382"/>
    <w:rsid w:val="001A0643"/>
    <w:rsid w:val="001A5710"/>
    <w:rsid w:val="001C0B00"/>
    <w:rsid w:val="001C3281"/>
    <w:rsid w:val="001D410F"/>
    <w:rsid w:val="001D590A"/>
    <w:rsid w:val="001F18BF"/>
    <w:rsid w:val="001F7555"/>
    <w:rsid w:val="0022172D"/>
    <w:rsid w:val="002353AD"/>
    <w:rsid w:val="00243344"/>
    <w:rsid w:val="00243730"/>
    <w:rsid w:val="002470F7"/>
    <w:rsid w:val="00247889"/>
    <w:rsid w:val="002663FA"/>
    <w:rsid w:val="0026684F"/>
    <w:rsid w:val="00274B4B"/>
    <w:rsid w:val="002850BB"/>
    <w:rsid w:val="00286CA6"/>
    <w:rsid w:val="002A4D87"/>
    <w:rsid w:val="002B0FAF"/>
    <w:rsid w:val="002B1048"/>
    <w:rsid w:val="002B2721"/>
    <w:rsid w:val="002B593A"/>
    <w:rsid w:val="002B6C7C"/>
    <w:rsid w:val="002C54E1"/>
    <w:rsid w:val="002C570B"/>
    <w:rsid w:val="002D215E"/>
    <w:rsid w:val="002F05AB"/>
    <w:rsid w:val="002F3537"/>
    <w:rsid w:val="003153B9"/>
    <w:rsid w:val="00316974"/>
    <w:rsid w:val="003305BB"/>
    <w:rsid w:val="003316B4"/>
    <w:rsid w:val="0033283D"/>
    <w:rsid w:val="0035122A"/>
    <w:rsid w:val="00352677"/>
    <w:rsid w:val="00356124"/>
    <w:rsid w:val="00361C78"/>
    <w:rsid w:val="0037454D"/>
    <w:rsid w:val="00377CF4"/>
    <w:rsid w:val="00385BE4"/>
    <w:rsid w:val="003909F0"/>
    <w:rsid w:val="0039699A"/>
    <w:rsid w:val="003A413D"/>
    <w:rsid w:val="003C11A5"/>
    <w:rsid w:val="003C379D"/>
    <w:rsid w:val="003C3E16"/>
    <w:rsid w:val="003D5DB0"/>
    <w:rsid w:val="003D7783"/>
    <w:rsid w:val="003E73D0"/>
    <w:rsid w:val="003F2308"/>
    <w:rsid w:val="00400DD9"/>
    <w:rsid w:val="00422359"/>
    <w:rsid w:val="00422A1E"/>
    <w:rsid w:val="00423D43"/>
    <w:rsid w:val="00430FFA"/>
    <w:rsid w:val="00445D70"/>
    <w:rsid w:val="0045496A"/>
    <w:rsid w:val="00466A9D"/>
    <w:rsid w:val="00472565"/>
    <w:rsid w:val="00487F03"/>
    <w:rsid w:val="0049368C"/>
    <w:rsid w:val="0049786A"/>
    <w:rsid w:val="00497ACE"/>
    <w:rsid w:val="004B7BB5"/>
    <w:rsid w:val="004D2DA9"/>
    <w:rsid w:val="004D7292"/>
    <w:rsid w:val="004F0D50"/>
    <w:rsid w:val="004F7A6A"/>
    <w:rsid w:val="005043B8"/>
    <w:rsid w:val="00505CE4"/>
    <w:rsid w:val="0051426F"/>
    <w:rsid w:val="005154C2"/>
    <w:rsid w:val="00525574"/>
    <w:rsid w:val="00567652"/>
    <w:rsid w:val="005677F6"/>
    <w:rsid w:val="00575D02"/>
    <w:rsid w:val="00582820"/>
    <w:rsid w:val="00586159"/>
    <w:rsid w:val="005934F5"/>
    <w:rsid w:val="00593C13"/>
    <w:rsid w:val="00594F00"/>
    <w:rsid w:val="005B00C8"/>
    <w:rsid w:val="005B2189"/>
    <w:rsid w:val="005B4D75"/>
    <w:rsid w:val="005B5B41"/>
    <w:rsid w:val="005C7E10"/>
    <w:rsid w:val="005E2259"/>
    <w:rsid w:val="005F0AAF"/>
    <w:rsid w:val="006052A1"/>
    <w:rsid w:val="00610AA2"/>
    <w:rsid w:val="00615A1C"/>
    <w:rsid w:val="006304F2"/>
    <w:rsid w:val="00632480"/>
    <w:rsid w:val="00636119"/>
    <w:rsid w:val="00642805"/>
    <w:rsid w:val="0067714A"/>
    <w:rsid w:val="00681C26"/>
    <w:rsid w:val="00682D13"/>
    <w:rsid w:val="006931F3"/>
    <w:rsid w:val="00695933"/>
    <w:rsid w:val="00696445"/>
    <w:rsid w:val="0069652F"/>
    <w:rsid w:val="006B00ED"/>
    <w:rsid w:val="006B3A1F"/>
    <w:rsid w:val="006B54EF"/>
    <w:rsid w:val="006D1751"/>
    <w:rsid w:val="006D1854"/>
    <w:rsid w:val="006D6892"/>
    <w:rsid w:val="006E14EB"/>
    <w:rsid w:val="006E1E9A"/>
    <w:rsid w:val="006E2FFA"/>
    <w:rsid w:val="006E3BBE"/>
    <w:rsid w:val="006F157A"/>
    <w:rsid w:val="006F5FA6"/>
    <w:rsid w:val="0071582B"/>
    <w:rsid w:val="00717509"/>
    <w:rsid w:val="00720D37"/>
    <w:rsid w:val="007244CC"/>
    <w:rsid w:val="00735AF2"/>
    <w:rsid w:val="00743E9C"/>
    <w:rsid w:val="00754B44"/>
    <w:rsid w:val="007615EC"/>
    <w:rsid w:val="00766DD8"/>
    <w:rsid w:val="007771A7"/>
    <w:rsid w:val="00777F0B"/>
    <w:rsid w:val="00797F49"/>
    <w:rsid w:val="007A777B"/>
    <w:rsid w:val="007A797C"/>
    <w:rsid w:val="007B1C1B"/>
    <w:rsid w:val="007D1EDE"/>
    <w:rsid w:val="007F23D2"/>
    <w:rsid w:val="007F27B1"/>
    <w:rsid w:val="0080133C"/>
    <w:rsid w:val="008074B4"/>
    <w:rsid w:val="00810D31"/>
    <w:rsid w:val="0082051F"/>
    <w:rsid w:val="008250BF"/>
    <w:rsid w:val="0083025C"/>
    <w:rsid w:val="00830A40"/>
    <w:rsid w:val="00843EBF"/>
    <w:rsid w:val="00850493"/>
    <w:rsid w:val="008519AF"/>
    <w:rsid w:val="0085248F"/>
    <w:rsid w:val="00856E37"/>
    <w:rsid w:val="008657A5"/>
    <w:rsid w:val="00873AD3"/>
    <w:rsid w:val="008964E0"/>
    <w:rsid w:val="008C01B6"/>
    <w:rsid w:val="008C0A6D"/>
    <w:rsid w:val="008D57C9"/>
    <w:rsid w:val="008F5E23"/>
    <w:rsid w:val="009018E9"/>
    <w:rsid w:val="00911222"/>
    <w:rsid w:val="009177B2"/>
    <w:rsid w:val="00931B8B"/>
    <w:rsid w:val="0094377A"/>
    <w:rsid w:val="00953B18"/>
    <w:rsid w:val="00965EF9"/>
    <w:rsid w:val="009716DD"/>
    <w:rsid w:val="00993796"/>
    <w:rsid w:val="00994312"/>
    <w:rsid w:val="00997595"/>
    <w:rsid w:val="009A26EC"/>
    <w:rsid w:val="009B28D5"/>
    <w:rsid w:val="009D50AE"/>
    <w:rsid w:val="009F1577"/>
    <w:rsid w:val="00A01DA8"/>
    <w:rsid w:val="00A109CE"/>
    <w:rsid w:val="00A112C2"/>
    <w:rsid w:val="00A121D6"/>
    <w:rsid w:val="00A17A4D"/>
    <w:rsid w:val="00A24473"/>
    <w:rsid w:val="00A318EE"/>
    <w:rsid w:val="00A46BF2"/>
    <w:rsid w:val="00A4776D"/>
    <w:rsid w:val="00A51453"/>
    <w:rsid w:val="00A602D0"/>
    <w:rsid w:val="00A761A8"/>
    <w:rsid w:val="00A77AEB"/>
    <w:rsid w:val="00A813B5"/>
    <w:rsid w:val="00A82486"/>
    <w:rsid w:val="00A96A89"/>
    <w:rsid w:val="00A9702C"/>
    <w:rsid w:val="00AB045F"/>
    <w:rsid w:val="00AB0A16"/>
    <w:rsid w:val="00AB5612"/>
    <w:rsid w:val="00AC4289"/>
    <w:rsid w:val="00AE2298"/>
    <w:rsid w:val="00AE51A3"/>
    <w:rsid w:val="00AF1841"/>
    <w:rsid w:val="00B01FDA"/>
    <w:rsid w:val="00B027A0"/>
    <w:rsid w:val="00B02B2F"/>
    <w:rsid w:val="00B04092"/>
    <w:rsid w:val="00B0545C"/>
    <w:rsid w:val="00B12C05"/>
    <w:rsid w:val="00B12D4C"/>
    <w:rsid w:val="00B15FFA"/>
    <w:rsid w:val="00B1707B"/>
    <w:rsid w:val="00B17947"/>
    <w:rsid w:val="00B31CDA"/>
    <w:rsid w:val="00B31E93"/>
    <w:rsid w:val="00B33D63"/>
    <w:rsid w:val="00B45B89"/>
    <w:rsid w:val="00B63907"/>
    <w:rsid w:val="00B71294"/>
    <w:rsid w:val="00B74C28"/>
    <w:rsid w:val="00B8216C"/>
    <w:rsid w:val="00B92150"/>
    <w:rsid w:val="00BB446D"/>
    <w:rsid w:val="00BB4E80"/>
    <w:rsid w:val="00BB7316"/>
    <w:rsid w:val="00BC1AB2"/>
    <w:rsid w:val="00BC316C"/>
    <w:rsid w:val="00BC38E9"/>
    <w:rsid w:val="00BC7629"/>
    <w:rsid w:val="00BD33A0"/>
    <w:rsid w:val="00BE4625"/>
    <w:rsid w:val="00BF5660"/>
    <w:rsid w:val="00C022CF"/>
    <w:rsid w:val="00C02DF8"/>
    <w:rsid w:val="00C209FF"/>
    <w:rsid w:val="00C5584C"/>
    <w:rsid w:val="00C67F47"/>
    <w:rsid w:val="00C71513"/>
    <w:rsid w:val="00C7196B"/>
    <w:rsid w:val="00C72B0E"/>
    <w:rsid w:val="00C766A8"/>
    <w:rsid w:val="00C77C5F"/>
    <w:rsid w:val="00C801F8"/>
    <w:rsid w:val="00CA5666"/>
    <w:rsid w:val="00CC2ACB"/>
    <w:rsid w:val="00CC5B3C"/>
    <w:rsid w:val="00CC6B6E"/>
    <w:rsid w:val="00CD78B4"/>
    <w:rsid w:val="00CE5155"/>
    <w:rsid w:val="00CF31C2"/>
    <w:rsid w:val="00D060EF"/>
    <w:rsid w:val="00D068BA"/>
    <w:rsid w:val="00D10D4F"/>
    <w:rsid w:val="00D118F0"/>
    <w:rsid w:val="00D13065"/>
    <w:rsid w:val="00D32A0D"/>
    <w:rsid w:val="00D34D37"/>
    <w:rsid w:val="00D43E66"/>
    <w:rsid w:val="00D46F09"/>
    <w:rsid w:val="00D54009"/>
    <w:rsid w:val="00D94967"/>
    <w:rsid w:val="00DA6361"/>
    <w:rsid w:val="00DA67DC"/>
    <w:rsid w:val="00DE3D36"/>
    <w:rsid w:val="00DE501E"/>
    <w:rsid w:val="00DE68AE"/>
    <w:rsid w:val="00DE718B"/>
    <w:rsid w:val="00DE7D07"/>
    <w:rsid w:val="00DF0243"/>
    <w:rsid w:val="00E01735"/>
    <w:rsid w:val="00E0508E"/>
    <w:rsid w:val="00E07A9B"/>
    <w:rsid w:val="00E14B16"/>
    <w:rsid w:val="00E237CD"/>
    <w:rsid w:val="00E24E12"/>
    <w:rsid w:val="00E3464F"/>
    <w:rsid w:val="00E368B4"/>
    <w:rsid w:val="00E40C25"/>
    <w:rsid w:val="00E53BC2"/>
    <w:rsid w:val="00E54FA0"/>
    <w:rsid w:val="00E6141F"/>
    <w:rsid w:val="00E7493A"/>
    <w:rsid w:val="00E7503A"/>
    <w:rsid w:val="00E8117A"/>
    <w:rsid w:val="00E90777"/>
    <w:rsid w:val="00E96A94"/>
    <w:rsid w:val="00EA51DE"/>
    <w:rsid w:val="00EA71CB"/>
    <w:rsid w:val="00EB04A9"/>
    <w:rsid w:val="00EB31B8"/>
    <w:rsid w:val="00EB3AA2"/>
    <w:rsid w:val="00EB502F"/>
    <w:rsid w:val="00EB67C8"/>
    <w:rsid w:val="00EB7178"/>
    <w:rsid w:val="00EB787E"/>
    <w:rsid w:val="00EC562C"/>
    <w:rsid w:val="00EC75DB"/>
    <w:rsid w:val="00EE4AF2"/>
    <w:rsid w:val="00EE7626"/>
    <w:rsid w:val="00EE7A3A"/>
    <w:rsid w:val="00EF2CFE"/>
    <w:rsid w:val="00F043C0"/>
    <w:rsid w:val="00F049A2"/>
    <w:rsid w:val="00F17727"/>
    <w:rsid w:val="00F33EE9"/>
    <w:rsid w:val="00F40E21"/>
    <w:rsid w:val="00F44776"/>
    <w:rsid w:val="00F7071B"/>
    <w:rsid w:val="00F71B4D"/>
    <w:rsid w:val="00F94DF2"/>
    <w:rsid w:val="00FA26AA"/>
    <w:rsid w:val="00FC3A85"/>
    <w:rsid w:val="00FD6C74"/>
    <w:rsid w:val="00FF4237"/>
    <w:rsid w:val="00FF59DD"/>
    <w:rsid w:val="00FF7F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017AD"/>
  <w15:docId w15:val="{849AC5FC-F242-4F33-B313-9F5D4BF7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árrafos"/>
    <w:qFormat/>
    <w:rsid w:val="00DE7D07"/>
    <w:pPr>
      <w:spacing w:before="240" w:after="240" w:line="240" w:lineRule="auto"/>
      <w:jc w:val="both"/>
    </w:pPr>
    <w:rPr>
      <w:rFonts w:ascii="Times New Roman" w:hAnsi="Times New Roman"/>
      <w:sz w:val="24"/>
    </w:rPr>
  </w:style>
  <w:style w:type="paragraph" w:styleId="Ttulo1">
    <w:name w:val="heading 1"/>
    <w:basedOn w:val="Normal"/>
    <w:next w:val="Normal"/>
    <w:link w:val="Ttulo1Car"/>
    <w:uiPriority w:val="9"/>
    <w:qFormat/>
    <w:rsid w:val="00DE7D07"/>
    <w:pPr>
      <w:jc w:val="center"/>
      <w:outlineLvl w:val="0"/>
    </w:pPr>
    <w:rPr>
      <w:b/>
    </w:rPr>
  </w:style>
  <w:style w:type="paragraph" w:styleId="Ttulo3">
    <w:name w:val="heading 3"/>
    <w:basedOn w:val="Normal"/>
    <w:next w:val="Normal"/>
    <w:link w:val="Ttulo3Car"/>
    <w:uiPriority w:val="9"/>
    <w:semiHidden/>
    <w:unhideWhenUsed/>
    <w:qFormat/>
    <w:rsid w:val="00B45B8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D07"/>
    <w:rPr>
      <w:rFonts w:ascii="Times New Roman" w:hAnsi="Times New Roman"/>
      <w:b/>
      <w:sz w:val="24"/>
    </w:rPr>
  </w:style>
  <w:style w:type="paragraph" w:styleId="Sinespaciado">
    <w:name w:val="No Spacing"/>
    <w:aliases w:val="Gráficos"/>
    <w:link w:val="SinespaciadoCar"/>
    <w:uiPriority w:val="1"/>
    <w:qFormat/>
    <w:rsid w:val="00DE7D07"/>
    <w:pPr>
      <w:spacing w:after="0" w:line="240" w:lineRule="auto"/>
      <w:jc w:val="both"/>
    </w:pPr>
    <w:rPr>
      <w:rFonts w:ascii="Times New Roman" w:hAnsi="Times New Roman"/>
      <w:sz w:val="24"/>
    </w:rPr>
  </w:style>
  <w:style w:type="character" w:customStyle="1" w:styleId="SinespaciadoCar">
    <w:name w:val="Sin espaciado Car"/>
    <w:aliases w:val="Gráficos Car"/>
    <w:link w:val="Sinespaciado"/>
    <w:uiPriority w:val="1"/>
    <w:locked/>
    <w:rsid w:val="00DE7D07"/>
    <w:rPr>
      <w:rFonts w:ascii="Times New Roman" w:hAnsi="Times New Roman"/>
      <w:sz w:val="24"/>
    </w:rPr>
  </w:style>
  <w:style w:type="paragraph" w:styleId="Textonotapie">
    <w:name w:val="footnote text"/>
    <w:aliases w:val="Ref. de nota al pie1,Footnote Text Char Char Char Char,Footnote Text Char,FA,FA Fußnotentext,Footnote Text Char Char,F,FA3,FA Fu,Footnote Text Char Char Char Char Char Char Char Char,Footnote Text Char Char Char Char Char Char1,Nota a pie"/>
    <w:basedOn w:val="Normal"/>
    <w:link w:val="TextonotapieCar"/>
    <w:uiPriority w:val="99"/>
    <w:unhideWhenUsed/>
    <w:qFormat/>
    <w:rsid w:val="00DE7D07"/>
    <w:pPr>
      <w:spacing w:before="0" w:after="0"/>
    </w:pPr>
    <w:rPr>
      <w:sz w:val="20"/>
      <w:szCs w:val="20"/>
    </w:rPr>
  </w:style>
  <w:style w:type="character" w:customStyle="1" w:styleId="TextonotapieCar">
    <w:name w:val="Texto nota pie Car"/>
    <w:aliases w:val="Ref. de nota al pie1 Car,Footnote Text Char Char Char Char Car,Footnote Text Char Car,FA Car,FA Fußnotentext Car,Footnote Text Char Char Car,F Car,FA3 Car,FA Fu Car,Footnote Text Char Char Char Char Char Char Char Char Car"/>
    <w:basedOn w:val="Fuentedeprrafopredeter"/>
    <w:link w:val="Textonotapie"/>
    <w:uiPriority w:val="99"/>
    <w:rsid w:val="00DE7D07"/>
    <w:rPr>
      <w:rFonts w:ascii="Times New Roman" w:hAnsi="Times New Roman"/>
      <w:sz w:val="20"/>
      <w:szCs w:val="20"/>
    </w:rPr>
  </w:style>
  <w:style w:type="character" w:styleId="Refdenotaalpie">
    <w:name w:val="footnote reference"/>
    <w:aliases w:val="Ref,de nota al pie,Ref1,Texto de nota al pie,referencia nota al pie,Footnotes refss,Appel note de bas de page,Footnote number,BVI fnr,f,Ref. de nota al pie 2,Fago Fußnotenzeichen,Nota de pie,Texto nota al pie,Footnote symbol,Footnote"/>
    <w:basedOn w:val="Fuentedeprrafopredeter"/>
    <w:uiPriority w:val="99"/>
    <w:unhideWhenUsed/>
    <w:qFormat/>
    <w:rsid w:val="00DE7D07"/>
    <w:rPr>
      <w:vertAlign w:val="superscript"/>
    </w:rPr>
  </w:style>
  <w:style w:type="paragraph" w:styleId="Prrafodelista">
    <w:name w:val="List Paragraph"/>
    <w:basedOn w:val="Normal"/>
    <w:uiPriority w:val="34"/>
    <w:qFormat/>
    <w:rsid w:val="008C0A6D"/>
    <w:pPr>
      <w:ind w:left="720"/>
      <w:contextualSpacing/>
    </w:pPr>
  </w:style>
  <w:style w:type="table" w:styleId="Tablaconcuadrcula">
    <w:name w:val="Table Grid"/>
    <w:basedOn w:val="Tablanormal"/>
    <w:uiPriority w:val="39"/>
    <w:rsid w:val="000A6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027A0"/>
    <w:pPr>
      <w:spacing w:before="100" w:beforeAutospacing="1" w:after="100" w:afterAutospacing="1"/>
      <w:jc w:val="left"/>
    </w:pPr>
    <w:rPr>
      <w:rFonts w:eastAsia="Times New Roman" w:cs="Times New Roman"/>
      <w:szCs w:val="24"/>
      <w:lang w:eastAsia="es-CO"/>
    </w:rPr>
  </w:style>
  <w:style w:type="character" w:customStyle="1" w:styleId="Ttulo3Car">
    <w:name w:val="Título 3 Car"/>
    <w:basedOn w:val="Fuentedeprrafopredeter"/>
    <w:link w:val="Ttulo3"/>
    <w:uiPriority w:val="9"/>
    <w:semiHidden/>
    <w:rsid w:val="00B45B89"/>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B45B89"/>
    <w:rPr>
      <w:color w:val="0563C1" w:themeColor="hyperlink"/>
      <w:u w:val="single"/>
    </w:rPr>
  </w:style>
  <w:style w:type="character" w:styleId="Refdecomentario">
    <w:name w:val="annotation reference"/>
    <w:basedOn w:val="Fuentedeprrafopredeter"/>
    <w:uiPriority w:val="99"/>
    <w:semiHidden/>
    <w:unhideWhenUsed/>
    <w:rsid w:val="008657A5"/>
    <w:rPr>
      <w:sz w:val="16"/>
      <w:szCs w:val="16"/>
    </w:rPr>
  </w:style>
  <w:style w:type="paragraph" w:styleId="Textocomentario">
    <w:name w:val="annotation text"/>
    <w:basedOn w:val="Normal"/>
    <w:link w:val="TextocomentarioCar"/>
    <w:uiPriority w:val="99"/>
    <w:semiHidden/>
    <w:unhideWhenUsed/>
    <w:rsid w:val="008657A5"/>
    <w:rPr>
      <w:sz w:val="20"/>
      <w:szCs w:val="20"/>
    </w:rPr>
  </w:style>
  <w:style w:type="character" w:customStyle="1" w:styleId="TextocomentarioCar">
    <w:name w:val="Texto comentario Car"/>
    <w:basedOn w:val="Fuentedeprrafopredeter"/>
    <w:link w:val="Textocomentario"/>
    <w:uiPriority w:val="99"/>
    <w:semiHidden/>
    <w:rsid w:val="008657A5"/>
    <w:rPr>
      <w:rFonts w:ascii="Times New Roman" w:hAnsi="Times New Roman"/>
      <w:sz w:val="20"/>
      <w:szCs w:val="20"/>
    </w:rPr>
  </w:style>
  <w:style w:type="paragraph" w:styleId="Textodeglobo">
    <w:name w:val="Balloon Text"/>
    <w:basedOn w:val="Normal"/>
    <w:link w:val="TextodegloboCar"/>
    <w:uiPriority w:val="99"/>
    <w:semiHidden/>
    <w:unhideWhenUsed/>
    <w:rsid w:val="008657A5"/>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57A5"/>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909F0"/>
    <w:rPr>
      <w:b/>
      <w:bCs/>
    </w:rPr>
  </w:style>
  <w:style w:type="character" w:customStyle="1" w:styleId="AsuntodelcomentarioCar">
    <w:name w:val="Asunto del comentario Car"/>
    <w:basedOn w:val="TextocomentarioCar"/>
    <w:link w:val="Asuntodelcomentario"/>
    <w:uiPriority w:val="99"/>
    <w:semiHidden/>
    <w:rsid w:val="003909F0"/>
    <w:rPr>
      <w:rFonts w:ascii="Times New Roman" w:hAnsi="Times New Roman"/>
      <w:b/>
      <w:bCs/>
      <w:sz w:val="20"/>
      <w:szCs w:val="20"/>
    </w:rPr>
  </w:style>
  <w:style w:type="character" w:styleId="Hipervnculovisitado">
    <w:name w:val="FollowedHyperlink"/>
    <w:basedOn w:val="Fuentedeprrafopredeter"/>
    <w:uiPriority w:val="99"/>
    <w:semiHidden/>
    <w:unhideWhenUsed/>
    <w:rsid w:val="00196F78"/>
    <w:rPr>
      <w:color w:val="954F72" w:themeColor="followedHyperlink"/>
      <w:u w:val="single"/>
    </w:rPr>
  </w:style>
  <w:style w:type="paragraph" w:styleId="Encabezado">
    <w:name w:val="header"/>
    <w:basedOn w:val="Normal"/>
    <w:link w:val="EncabezadoCar"/>
    <w:uiPriority w:val="99"/>
    <w:unhideWhenUsed/>
    <w:rsid w:val="0026684F"/>
    <w:pPr>
      <w:tabs>
        <w:tab w:val="center" w:pos="4419"/>
        <w:tab w:val="right" w:pos="8838"/>
      </w:tabs>
      <w:spacing w:before="0" w:after="0"/>
    </w:pPr>
  </w:style>
  <w:style w:type="character" w:customStyle="1" w:styleId="EncabezadoCar">
    <w:name w:val="Encabezado Car"/>
    <w:basedOn w:val="Fuentedeprrafopredeter"/>
    <w:link w:val="Encabezado"/>
    <w:uiPriority w:val="99"/>
    <w:rsid w:val="0026684F"/>
    <w:rPr>
      <w:rFonts w:ascii="Times New Roman" w:hAnsi="Times New Roman"/>
      <w:sz w:val="24"/>
    </w:rPr>
  </w:style>
  <w:style w:type="paragraph" w:styleId="Piedepgina">
    <w:name w:val="footer"/>
    <w:basedOn w:val="Normal"/>
    <w:link w:val="PiedepginaCar"/>
    <w:uiPriority w:val="99"/>
    <w:unhideWhenUsed/>
    <w:rsid w:val="0026684F"/>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26684F"/>
    <w:rPr>
      <w:rFonts w:ascii="Times New Roman" w:hAnsi="Times New Roman"/>
      <w:sz w:val="24"/>
    </w:rPr>
  </w:style>
  <w:style w:type="character" w:styleId="Textoennegrita">
    <w:name w:val="Strong"/>
    <w:basedOn w:val="Fuentedeprrafopredeter"/>
    <w:uiPriority w:val="22"/>
    <w:qFormat/>
    <w:rsid w:val="002C5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050">
      <w:bodyDiv w:val="1"/>
      <w:marLeft w:val="0"/>
      <w:marRight w:val="0"/>
      <w:marTop w:val="0"/>
      <w:marBottom w:val="0"/>
      <w:divBdr>
        <w:top w:val="none" w:sz="0" w:space="0" w:color="auto"/>
        <w:left w:val="none" w:sz="0" w:space="0" w:color="auto"/>
        <w:bottom w:val="none" w:sz="0" w:space="0" w:color="auto"/>
        <w:right w:val="none" w:sz="0" w:space="0" w:color="auto"/>
      </w:divBdr>
    </w:div>
    <w:div w:id="1405645194">
      <w:bodyDiv w:val="1"/>
      <w:marLeft w:val="0"/>
      <w:marRight w:val="0"/>
      <w:marTop w:val="0"/>
      <w:marBottom w:val="0"/>
      <w:divBdr>
        <w:top w:val="none" w:sz="0" w:space="0" w:color="auto"/>
        <w:left w:val="none" w:sz="0" w:space="0" w:color="auto"/>
        <w:bottom w:val="none" w:sz="0" w:space="0" w:color="auto"/>
        <w:right w:val="none" w:sz="0" w:space="0" w:color="auto"/>
      </w:divBdr>
    </w:div>
    <w:div w:id="1524826758">
      <w:bodyDiv w:val="1"/>
      <w:marLeft w:val="0"/>
      <w:marRight w:val="0"/>
      <w:marTop w:val="0"/>
      <w:marBottom w:val="0"/>
      <w:divBdr>
        <w:top w:val="none" w:sz="0" w:space="0" w:color="auto"/>
        <w:left w:val="none" w:sz="0" w:space="0" w:color="auto"/>
        <w:bottom w:val="none" w:sz="0" w:space="0" w:color="auto"/>
        <w:right w:val="none" w:sz="0" w:space="0" w:color="auto"/>
      </w:divBdr>
    </w:div>
    <w:div w:id="16463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mujeressinviolencia/articulos/comprender-el-circulo-de-la-violencia-es-el-primer-paso-para-romperlo" TargetMode="External"/><Relationship Id="rId2" Type="http://schemas.openxmlformats.org/officeDocument/2006/relationships/hyperlink" Target="http://www.scielo.org.co/scielo.php?script=sci_arttext&amp;pid=S0123-885X2004000100003" TargetMode="External"/><Relationship Id="rId1" Type="http://schemas.openxmlformats.org/officeDocument/2006/relationships/hyperlink" Target="http://www.scielo.org.co/scielo.php?script=sci_arttext&amp;pid=S0123-885X2004000100003" TargetMode="External"/><Relationship Id="rId6" Type="http://schemas.openxmlformats.org/officeDocument/2006/relationships/hyperlink" Target="https://scielo.conicyt.cl/scielo.php?script=sci_arttext&amp;pid=S0718-09502013000100008" TargetMode="External"/><Relationship Id="rId5" Type="http://schemas.openxmlformats.org/officeDocument/2006/relationships/hyperlink" Target="http://www.poderjudicial.es/cgpj/es/Temas/Violencia-domestica-y-de-genero/El-Observatorio-contra-la-violencia-domestica-y-de-genero/" TargetMode="External"/><Relationship Id="rId4" Type="http://schemas.openxmlformats.org/officeDocument/2006/relationships/hyperlink" Target="http://www.scielo.org.co/scielo.php?script=sci_arttext&amp;pid=S0123-885X20040001000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1.%20Fiscal&#237;a\6.%20Mar&#237;a%20Milena\Violencia%20Intrafamiliar\An&#225;lisis%20datos%20violencia%20intrafamiliar%20v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20Fiscal&#237;a\6.%20Mar&#237;a%20Milena\Violencia%20Intrafamiliar\An&#225;lisis%20datos%20violencia%20intrafamiliar%20v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20Fiscal&#237;a\6.%20Mar&#237;a%20Milena\Violencia%20Intrafamiliar\An&#225;lisis%20datos%20violencia%20intrafamiliar%20v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20Fiscal&#237;a\6.%20Mar&#237;a%20Milena\Violencia%20Intrafamiliar\An&#225;lisis%20datos%20violencia%20intrafamiliar%20v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20Fiscal&#237;a\6.%20Mar&#237;a%20Milena\Violencia%20Intrafamiliar\An&#225;lisis%20datos%20violencia%20intrafamiliar%20v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20Fiscal&#237;a\6.%20Mar&#237;a%20Milena\Violencia%20Intrafamiliar\An&#225;lisis%20datos%20violencia%20intrafamiliar%20v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1.%20Fiscal&#237;a\6.%20Mar&#237;a%20Milena\Violencia%20Intrafamiliar\An&#225;lisis%20datos%20violencia%20intrafamiliar%20v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r>
              <a:rPr lang="es-CO"/>
              <a:t>Participación de casos nacionales de violencia intrafamiliar sobre el total de casos entre</a:t>
            </a:r>
            <a:r>
              <a:rPr lang="es-CO" baseline="0"/>
              <a:t> el 2010 y el 2018</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endParaRPr lang="es-CO"/>
        </a:p>
      </c:txPr>
    </c:title>
    <c:autoTitleDeleted val="0"/>
    <c:plotArea>
      <c:layout/>
      <c:barChart>
        <c:barDir val="col"/>
        <c:grouping val="clustered"/>
        <c:varyColors val="0"/>
        <c:ser>
          <c:idx val="0"/>
          <c:order val="0"/>
          <c:tx>
            <c:strRef>
              <c:f>'Análisis casos'!$M$4</c:f>
              <c:strCache>
                <c:ptCount val="1"/>
                <c:pt idx="0">
                  <c:v>Casos de violencia intrafamiliar</c:v>
                </c:pt>
              </c:strCache>
            </c:strRef>
          </c:tx>
          <c:spPr>
            <a:solidFill>
              <a:srgbClr val="002060"/>
            </a:solidFill>
            <a:ln>
              <a:noFill/>
            </a:ln>
            <a:effectLst/>
          </c:spPr>
          <c:invertIfNegative val="0"/>
          <c:dLbls>
            <c:numFmt formatCode="#,##0" sourceLinked="0"/>
            <c:spPr>
              <a:solidFill>
                <a:schemeClr val="accent2">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Garamond" panose="02020404030301010803" pitchFamily="18"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'Análisis casos'!$N$3:$V$3</c:f>
              <c:strCache>
                <c:ptCount val="9"/>
                <c:pt idx="0">
                  <c:v>2010</c:v>
                </c:pt>
                <c:pt idx="1">
                  <c:v>2011</c:v>
                </c:pt>
                <c:pt idx="2">
                  <c:v>2012</c:v>
                </c:pt>
                <c:pt idx="3">
                  <c:v>2013</c:v>
                </c:pt>
                <c:pt idx="4">
                  <c:v>2014</c:v>
                </c:pt>
                <c:pt idx="5">
                  <c:v>2015</c:v>
                </c:pt>
                <c:pt idx="6">
                  <c:v>2016</c:v>
                </c:pt>
                <c:pt idx="7">
                  <c:v>2017</c:v>
                </c:pt>
                <c:pt idx="8">
                  <c:v>2018**</c:v>
                </c:pt>
              </c:strCache>
            </c:strRef>
          </c:cat>
          <c:val>
            <c:numRef>
              <c:f>'Análisis casos'!$N$4:$V$4</c:f>
              <c:numCache>
                <c:formatCode>General</c:formatCode>
                <c:ptCount val="9"/>
                <c:pt idx="0">
                  <c:v>70016</c:v>
                </c:pt>
                <c:pt idx="1">
                  <c:v>79788</c:v>
                </c:pt>
                <c:pt idx="2">
                  <c:v>83126</c:v>
                </c:pt>
                <c:pt idx="3">
                  <c:v>89301</c:v>
                </c:pt>
                <c:pt idx="4">
                  <c:v>97274</c:v>
                </c:pt>
                <c:pt idx="5">
                  <c:v>101840</c:v>
                </c:pt>
                <c:pt idx="6">
                  <c:v>102311</c:v>
                </c:pt>
                <c:pt idx="7">
                  <c:v>97134</c:v>
                </c:pt>
                <c:pt idx="8">
                  <c:v>70603</c:v>
                </c:pt>
              </c:numCache>
            </c:numRef>
          </c:val>
          <c:extLst xmlns:c16r2="http://schemas.microsoft.com/office/drawing/2015/06/chart">
            <c:ext xmlns:c16="http://schemas.microsoft.com/office/drawing/2014/chart" uri="{C3380CC4-5D6E-409C-BE32-E72D297353CC}">
              <c16:uniqueId val="{00000000-02D0-6A4D-A5C7-EE2CBE4E088B}"/>
            </c:ext>
          </c:extLst>
        </c:ser>
        <c:dLbls>
          <c:showLegendKey val="0"/>
          <c:showVal val="0"/>
          <c:showCatName val="0"/>
          <c:showSerName val="0"/>
          <c:showPercent val="0"/>
          <c:showBubbleSize val="0"/>
        </c:dLbls>
        <c:gapWidth val="219"/>
        <c:overlap val="-27"/>
        <c:axId val="-1356300976"/>
        <c:axId val="-1356293904"/>
      </c:barChart>
      <c:lineChart>
        <c:grouping val="standard"/>
        <c:varyColors val="0"/>
        <c:ser>
          <c:idx val="1"/>
          <c:order val="1"/>
          <c:tx>
            <c:strRef>
              <c:f>'Análisis casos'!$M$5</c:f>
              <c:strCache>
                <c:ptCount val="1"/>
                <c:pt idx="0">
                  <c:v>% sobre el total</c:v>
                </c:pt>
              </c:strCache>
            </c:strRef>
          </c:tx>
          <c:spPr>
            <a:ln w="28575" cap="rnd">
              <a:solidFill>
                <a:srgbClr val="C00000"/>
              </a:solidFill>
              <a:prstDash val="sysDot"/>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Garamond" panose="02020404030301010803" pitchFamily="18" charset="0"/>
                    <a:ea typeface="+mn-ea"/>
                    <a:cs typeface="+mn-cs"/>
                  </a:defRPr>
                </a:pPr>
                <a:endParaRPr lang="es-C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'Análisis casos'!$N$3:$V$3</c:f>
              <c:strCache>
                <c:ptCount val="9"/>
                <c:pt idx="0">
                  <c:v>2010</c:v>
                </c:pt>
                <c:pt idx="1">
                  <c:v>2011</c:v>
                </c:pt>
                <c:pt idx="2">
                  <c:v>2012</c:v>
                </c:pt>
                <c:pt idx="3">
                  <c:v>2013</c:v>
                </c:pt>
                <c:pt idx="4">
                  <c:v>2014</c:v>
                </c:pt>
                <c:pt idx="5">
                  <c:v>2015</c:v>
                </c:pt>
                <c:pt idx="6">
                  <c:v>2016</c:v>
                </c:pt>
                <c:pt idx="7">
                  <c:v>2017</c:v>
                </c:pt>
                <c:pt idx="8">
                  <c:v>2018**</c:v>
                </c:pt>
              </c:strCache>
            </c:strRef>
          </c:cat>
          <c:val>
            <c:numRef>
              <c:f>'Análisis casos'!$N$5:$V$5</c:f>
              <c:numCache>
                <c:formatCode>0.0%</c:formatCode>
                <c:ptCount val="9"/>
                <c:pt idx="0">
                  <c:v>8.8471846478298394E-2</c:v>
                </c:pt>
                <c:pt idx="1">
                  <c:v>0.1008196938815481</c:v>
                </c:pt>
                <c:pt idx="2">
                  <c:v>0.10503757298838882</c:v>
                </c:pt>
                <c:pt idx="3">
                  <c:v>0.11284027025763432</c:v>
                </c:pt>
                <c:pt idx="4">
                  <c:v>0.12291491079653219</c:v>
                </c:pt>
                <c:pt idx="5">
                  <c:v>0.12868448419432571</c:v>
                </c:pt>
                <c:pt idx="6">
                  <c:v>0.12927963729777747</c:v>
                </c:pt>
                <c:pt idx="7">
                  <c:v>0.12273800753860598</c:v>
                </c:pt>
                <c:pt idx="8">
                  <c:v>8.9213576566889011E-2</c:v>
                </c:pt>
              </c:numCache>
            </c:numRef>
          </c:val>
          <c:smooth val="0"/>
          <c:extLst xmlns:c16r2="http://schemas.microsoft.com/office/drawing/2015/06/chart">
            <c:ext xmlns:c16="http://schemas.microsoft.com/office/drawing/2014/chart" uri="{C3380CC4-5D6E-409C-BE32-E72D297353CC}">
              <c16:uniqueId val="{00000001-02D0-6A4D-A5C7-EE2CBE4E088B}"/>
            </c:ext>
          </c:extLst>
        </c:ser>
        <c:dLbls>
          <c:showLegendKey val="0"/>
          <c:showVal val="0"/>
          <c:showCatName val="0"/>
          <c:showSerName val="0"/>
          <c:showPercent val="0"/>
          <c:showBubbleSize val="0"/>
        </c:dLbls>
        <c:marker val="1"/>
        <c:smooth val="0"/>
        <c:axId val="-1356301520"/>
        <c:axId val="-1356290096"/>
      </c:lineChart>
      <c:catAx>
        <c:axId val="-135630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293904"/>
        <c:crosses val="autoZero"/>
        <c:auto val="1"/>
        <c:lblAlgn val="ctr"/>
        <c:lblOffset val="100"/>
        <c:noMultiLvlLbl val="0"/>
      </c:catAx>
      <c:valAx>
        <c:axId val="-135629390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300976"/>
        <c:crosses val="autoZero"/>
        <c:crossBetween val="between"/>
      </c:valAx>
      <c:valAx>
        <c:axId val="-1356290096"/>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301520"/>
        <c:crosses val="max"/>
        <c:crossBetween val="between"/>
      </c:valAx>
      <c:catAx>
        <c:axId val="-1356301520"/>
        <c:scaling>
          <c:orientation val="minMax"/>
        </c:scaling>
        <c:delete val="1"/>
        <c:axPos val="b"/>
        <c:numFmt formatCode="General" sourceLinked="1"/>
        <c:majorTickMark val="none"/>
        <c:minorTickMark val="none"/>
        <c:tickLblPos val="nextTo"/>
        <c:crossAx val="-13562900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Garamond" panose="02020404030301010803" pitchFamily="18"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r>
              <a:rPr lang="es-CO"/>
              <a:t>Top 5 departamentos con el 62% de los casos de VIF (total)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endParaRPr lang="es-CO"/>
        </a:p>
      </c:txPr>
    </c:title>
    <c:autoTitleDeleted val="0"/>
    <c:plotArea>
      <c:layout/>
      <c:barChart>
        <c:barDir val="col"/>
        <c:grouping val="clustered"/>
        <c:varyColors val="0"/>
        <c:ser>
          <c:idx val="0"/>
          <c:order val="0"/>
          <c:tx>
            <c:strRef>
              <c:f>'Análisis casos'!$M$11</c:f>
              <c:strCache>
                <c:ptCount val="1"/>
                <c:pt idx="0">
                  <c:v>Bogotá D. C</c:v>
                </c:pt>
              </c:strCache>
            </c:strRef>
          </c:tx>
          <c:spPr>
            <a:solidFill>
              <a:srgbClr val="00206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Garamond" panose="02020404030301010803" pitchFamily="18" charset="0"/>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'Análisis casos'!$N$10:$V$10</c:f>
              <c:strCache>
                <c:ptCount val="9"/>
                <c:pt idx="0">
                  <c:v>2010</c:v>
                </c:pt>
                <c:pt idx="1">
                  <c:v>2011</c:v>
                </c:pt>
                <c:pt idx="2">
                  <c:v>2012</c:v>
                </c:pt>
                <c:pt idx="3">
                  <c:v>2013</c:v>
                </c:pt>
                <c:pt idx="4">
                  <c:v>2014</c:v>
                </c:pt>
                <c:pt idx="5">
                  <c:v>2015</c:v>
                </c:pt>
                <c:pt idx="6">
                  <c:v>2016</c:v>
                </c:pt>
                <c:pt idx="7">
                  <c:v>2017</c:v>
                </c:pt>
                <c:pt idx="8">
                  <c:v>2018**</c:v>
                </c:pt>
              </c:strCache>
            </c:strRef>
          </c:cat>
          <c:val>
            <c:numRef>
              <c:f>'Análisis casos'!$N$11:$V$11</c:f>
              <c:numCache>
                <c:formatCode>General</c:formatCode>
                <c:ptCount val="9"/>
                <c:pt idx="0">
                  <c:v>12757</c:v>
                </c:pt>
                <c:pt idx="1">
                  <c:v>15450</c:v>
                </c:pt>
                <c:pt idx="2">
                  <c:v>17273</c:v>
                </c:pt>
                <c:pt idx="3">
                  <c:v>19528</c:v>
                </c:pt>
                <c:pt idx="4">
                  <c:v>26267</c:v>
                </c:pt>
                <c:pt idx="5">
                  <c:v>26867</c:v>
                </c:pt>
                <c:pt idx="6">
                  <c:v>28266</c:v>
                </c:pt>
                <c:pt idx="7">
                  <c:v>29873</c:v>
                </c:pt>
                <c:pt idx="8">
                  <c:v>22521</c:v>
                </c:pt>
              </c:numCache>
            </c:numRef>
          </c:val>
          <c:extLst xmlns:c16r2="http://schemas.microsoft.com/office/drawing/2015/06/chart">
            <c:ext xmlns:c16="http://schemas.microsoft.com/office/drawing/2014/chart" uri="{C3380CC4-5D6E-409C-BE32-E72D297353CC}">
              <c16:uniqueId val="{00000001-1B7B-AA46-9A48-9D9270324267}"/>
            </c:ext>
          </c:extLst>
        </c:ser>
        <c:ser>
          <c:idx val="1"/>
          <c:order val="1"/>
          <c:tx>
            <c:strRef>
              <c:f>'Análisis casos'!$M$13</c:f>
              <c:strCache>
                <c:ptCount val="1"/>
                <c:pt idx="0">
                  <c:v>Antioquia</c:v>
                </c:pt>
              </c:strCache>
            </c:strRef>
          </c:tx>
          <c:spPr>
            <a:solidFill>
              <a:srgbClr val="C00000"/>
            </a:solidFill>
            <a:ln>
              <a:noFill/>
            </a:ln>
            <a:effectLst/>
          </c:spPr>
          <c:invertIfNegative val="0"/>
          <c:cat>
            <c:strRef>
              <c:f>'Análisis casos'!$N$10:$V$10</c:f>
              <c:strCache>
                <c:ptCount val="9"/>
                <c:pt idx="0">
                  <c:v>2010</c:v>
                </c:pt>
                <c:pt idx="1">
                  <c:v>2011</c:v>
                </c:pt>
                <c:pt idx="2">
                  <c:v>2012</c:v>
                </c:pt>
                <c:pt idx="3">
                  <c:v>2013</c:v>
                </c:pt>
                <c:pt idx="4">
                  <c:v>2014</c:v>
                </c:pt>
                <c:pt idx="5">
                  <c:v>2015</c:v>
                </c:pt>
                <c:pt idx="6">
                  <c:v>2016</c:v>
                </c:pt>
                <c:pt idx="7">
                  <c:v>2017</c:v>
                </c:pt>
                <c:pt idx="8">
                  <c:v>2018**</c:v>
                </c:pt>
              </c:strCache>
            </c:strRef>
          </c:cat>
          <c:val>
            <c:numRef>
              <c:f>'Análisis casos'!$N$13:$V$13</c:f>
              <c:numCache>
                <c:formatCode>General</c:formatCode>
                <c:ptCount val="9"/>
                <c:pt idx="0">
                  <c:v>14142</c:v>
                </c:pt>
                <c:pt idx="1">
                  <c:v>15467</c:v>
                </c:pt>
                <c:pt idx="2">
                  <c:v>14218</c:v>
                </c:pt>
                <c:pt idx="3">
                  <c:v>14299</c:v>
                </c:pt>
                <c:pt idx="4">
                  <c:v>13582</c:v>
                </c:pt>
                <c:pt idx="5">
                  <c:v>14932</c:v>
                </c:pt>
                <c:pt idx="6">
                  <c:v>14345</c:v>
                </c:pt>
                <c:pt idx="7">
                  <c:v>12515</c:v>
                </c:pt>
                <c:pt idx="8">
                  <c:v>9022</c:v>
                </c:pt>
              </c:numCache>
            </c:numRef>
          </c:val>
          <c:extLst xmlns:c16r2="http://schemas.microsoft.com/office/drawing/2015/06/chart">
            <c:ext xmlns:c16="http://schemas.microsoft.com/office/drawing/2014/chart" uri="{C3380CC4-5D6E-409C-BE32-E72D297353CC}">
              <c16:uniqueId val="{00000002-1B7B-AA46-9A48-9D9270324267}"/>
            </c:ext>
          </c:extLst>
        </c:ser>
        <c:ser>
          <c:idx val="2"/>
          <c:order val="2"/>
          <c:tx>
            <c:strRef>
              <c:f>'Análisis casos'!$M$14</c:f>
              <c:strCache>
                <c:ptCount val="1"/>
                <c:pt idx="0">
                  <c:v>Valle del Cauca</c:v>
                </c:pt>
              </c:strCache>
            </c:strRef>
          </c:tx>
          <c:spPr>
            <a:solidFill>
              <a:schemeClr val="accent3"/>
            </a:solidFill>
            <a:ln>
              <a:noFill/>
            </a:ln>
            <a:effectLst/>
          </c:spPr>
          <c:invertIfNegative val="0"/>
          <c:cat>
            <c:strRef>
              <c:f>'Análisis casos'!$N$10:$V$10</c:f>
              <c:strCache>
                <c:ptCount val="9"/>
                <c:pt idx="0">
                  <c:v>2010</c:v>
                </c:pt>
                <c:pt idx="1">
                  <c:v>2011</c:v>
                </c:pt>
                <c:pt idx="2">
                  <c:v>2012</c:v>
                </c:pt>
                <c:pt idx="3">
                  <c:v>2013</c:v>
                </c:pt>
                <c:pt idx="4">
                  <c:v>2014</c:v>
                </c:pt>
                <c:pt idx="5">
                  <c:v>2015</c:v>
                </c:pt>
                <c:pt idx="6">
                  <c:v>2016</c:v>
                </c:pt>
                <c:pt idx="7">
                  <c:v>2017</c:v>
                </c:pt>
                <c:pt idx="8">
                  <c:v>2018**</c:v>
                </c:pt>
              </c:strCache>
            </c:strRef>
          </c:cat>
          <c:val>
            <c:numRef>
              <c:f>'Análisis casos'!$N$14:$V$14</c:f>
              <c:numCache>
                <c:formatCode>General</c:formatCode>
                <c:ptCount val="9"/>
                <c:pt idx="0">
                  <c:v>8474</c:v>
                </c:pt>
                <c:pt idx="1">
                  <c:v>8705</c:v>
                </c:pt>
                <c:pt idx="2">
                  <c:v>9229</c:v>
                </c:pt>
                <c:pt idx="3">
                  <c:v>9847</c:v>
                </c:pt>
                <c:pt idx="4">
                  <c:v>8638</c:v>
                </c:pt>
                <c:pt idx="5">
                  <c:v>7722</c:v>
                </c:pt>
                <c:pt idx="6">
                  <c:v>6584</c:v>
                </c:pt>
                <c:pt idx="7">
                  <c:v>6112</c:v>
                </c:pt>
                <c:pt idx="8">
                  <c:v>5202</c:v>
                </c:pt>
              </c:numCache>
            </c:numRef>
          </c:val>
          <c:extLst xmlns:c16r2="http://schemas.microsoft.com/office/drawing/2015/06/chart">
            <c:ext xmlns:c16="http://schemas.microsoft.com/office/drawing/2014/chart" uri="{C3380CC4-5D6E-409C-BE32-E72D297353CC}">
              <c16:uniqueId val="{00000003-1B7B-AA46-9A48-9D9270324267}"/>
            </c:ext>
          </c:extLst>
        </c:ser>
        <c:ser>
          <c:idx val="3"/>
          <c:order val="3"/>
          <c:tx>
            <c:strRef>
              <c:f>'Análisis casos'!$M$15</c:f>
              <c:strCache>
                <c:ptCount val="1"/>
                <c:pt idx="0">
                  <c:v>Cundinamarca</c:v>
                </c:pt>
              </c:strCache>
            </c:strRef>
          </c:tx>
          <c:spPr>
            <a:solidFill>
              <a:schemeClr val="accent5"/>
            </a:solidFill>
            <a:ln>
              <a:noFill/>
            </a:ln>
            <a:effectLst/>
          </c:spPr>
          <c:invertIfNegative val="0"/>
          <c:cat>
            <c:strRef>
              <c:f>'Análisis casos'!$N$10:$V$10</c:f>
              <c:strCache>
                <c:ptCount val="9"/>
                <c:pt idx="0">
                  <c:v>2010</c:v>
                </c:pt>
                <c:pt idx="1">
                  <c:v>2011</c:v>
                </c:pt>
                <c:pt idx="2">
                  <c:v>2012</c:v>
                </c:pt>
                <c:pt idx="3">
                  <c:v>2013</c:v>
                </c:pt>
                <c:pt idx="4">
                  <c:v>2014</c:v>
                </c:pt>
                <c:pt idx="5">
                  <c:v>2015</c:v>
                </c:pt>
                <c:pt idx="6">
                  <c:v>2016</c:v>
                </c:pt>
                <c:pt idx="7">
                  <c:v>2017</c:v>
                </c:pt>
                <c:pt idx="8">
                  <c:v>2018**</c:v>
                </c:pt>
              </c:strCache>
            </c:strRef>
          </c:cat>
          <c:val>
            <c:numRef>
              <c:f>'Análisis casos'!$N$15:$V$15</c:f>
              <c:numCache>
                <c:formatCode>General</c:formatCode>
                <c:ptCount val="9"/>
                <c:pt idx="0">
                  <c:v>4228</c:v>
                </c:pt>
                <c:pt idx="1">
                  <c:v>4660</c:v>
                </c:pt>
                <c:pt idx="2">
                  <c:v>4907</c:v>
                </c:pt>
                <c:pt idx="3">
                  <c:v>5819</c:v>
                </c:pt>
                <c:pt idx="4">
                  <c:v>6753</c:v>
                </c:pt>
                <c:pt idx="5">
                  <c:v>6766</c:v>
                </c:pt>
                <c:pt idx="6">
                  <c:v>7991</c:v>
                </c:pt>
                <c:pt idx="7">
                  <c:v>7515</c:v>
                </c:pt>
                <c:pt idx="8">
                  <c:v>4906</c:v>
                </c:pt>
              </c:numCache>
            </c:numRef>
          </c:val>
          <c:extLst xmlns:c16r2="http://schemas.microsoft.com/office/drawing/2015/06/chart">
            <c:ext xmlns:c16="http://schemas.microsoft.com/office/drawing/2014/chart" uri="{C3380CC4-5D6E-409C-BE32-E72D297353CC}">
              <c16:uniqueId val="{00000004-1B7B-AA46-9A48-9D9270324267}"/>
            </c:ext>
          </c:extLst>
        </c:ser>
        <c:ser>
          <c:idx val="4"/>
          <c:order val="4"/>
          <c:tx>
            <c:strRef>
              <c:f>'Análisis casos'!$M$16</c:f>
              <c:strCache>
                <c:ptCount val="1"/>
                <c:pt idx="0">
                  <c:v>Santander</c:v>
                </c:pt>
              </c:strCache>
            </c:strRef>
          </c:tx>
          <c:spPr>
            <a:solidFill>
              <a:srgbClr val="874F4F"/>
            </a:solidFill>
            <a:ln>
              <a:noFill/>
            </a:ln>
            <a:effectLst/>
          </c:spPr>
          <c:invertIfNegative val="0"/>
          <c:cat>
            <c:strRef>
              <c:f>'Análisis casos'!$N$10:$V$10</c:f>
              <c:strCache>
                <c:ptCount val="9"/>
                <c:pt idx="0">
                  <c:v>2010</c:v>
                </c:pt>
                <c:pt idx="1">
                  <c:v>2011</c:v>
                </c:pt>
                <c:pt idx="2">
                  <c:v>2012</c:v>
                </c:pt>
                <c:pt idx="3">
                  <c:v>2013</c:v>
                </c:pt>
                <c:pt idx="4">
                  <c:v>2014</c:v>
                </c:pt>
                <c:pt idx="5">
                  <c:v>2015</c:v>
                </c:pt>
                <c:pt idx="6">
                  <c:v>2016</c:v>
                </c:pt>
                <c:pt idx="7">
                  <c:v>2017</c:v>
                </c:pt>
                <c:pt idx="8">
                  <c:v>2018**</c:v>
                </c:pt>
              </c:strCache>
            </c:strRef>
          </c:cat>
          <c:val>
            <c:numRef>
              <c:f>'Análisis casos'!$N$16:$V$16</c:f>
              <c:numCache>
                <c:formatCode>General</c:formatCode>
                <c:ptCount val="9"/>
                <c:pt idx="0">
                  <c:v>2966</c:v>
                </c:pt>
                <c:pt idx="1">
                  <c:v>3985</c:v>
                </c:pt>
                <c:pt idx="2">
                  <c:v>4440</c:v>
                </c:pt>
                <c:pt idx="3">
                  <c:v>5439</c:v>
                </c:pt>
                <c:pt idx="4">
                  <c:v>7074</c:v>
                </c:pt>
                <c:pt idx="5">
                  <c:v>7816</c:v>
                </c:pt>
                <c:pt idx="6">
                  <c:v>6853</c:v>
                </c:pt>
                <c:pt idx="7">
                  <c:v>5098</c:v>
                </c:pt>
                <c:pt idx="8">
                  <c:v>3629</c:v>
                </c:pt>
              </c:numCache>
            </c:numRef>
          </c:val>
          <c:extLst xmlns:c16r2="http://schemas.microsoft.com/office/drawing/2015/06/chart">
            <c:ext xmlns:c16="http://schemas.microsoft.com/office/drawing/2014/chart" uri="{C3380CC4-5D6E-409C-BE32-E72D297353CC}">
              <c16:uniqueId val="{00000005-1B7B-AA46-9A48-9D9270324267}"/>
            </c:ext>
          </c:extLst>
        </c:ser>
        <c:dLbls>
          <c:showLegendKey val="0"/>
          <c:showVal val="0"/>
          <c:showCatName val="0"/>
          <c:showSerName val="0"/>
          <c:showPercent val="0"/>
          <c:showBubbleSize val="0"/>
        </c:dLbls>
        <c:gapWidth val="219"/>
        <c:overlap val="-27"/>
        <c:axId val="-1356290640"/>
        <c:axId val="-1356300432"/>
      </c:barChart>
      <c:catAx>
        <c:axId val="-135629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300432"/>
        <c:crosses val="autoZero"/>
        <c:auto val="1"/>
        <c:lblAlgn val="ctr"/>
        <c:lblOffset val="100"/>
        <c:noMultiLvlLbl val="0"/>
      </c:catAx>
      <c:valAx>
        <c:axId val="-1356300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r>
                  <a:rPr lang="es-CO"/>
                  <a:t>Casos</a:t>
                </a:r>
                <a:r>
                  <a:rPr lang="es-CO" baseline="0"/>
                  <a:t> de VI</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29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Garamond" panose="02020404030301010803" pitchFamily="18"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r>
              <a:rPr lang="es-CO"/>
              <a:t>Tasa de VIF</a:t>
            </a:r>
            <a:r>
              <a:rPr lang="es-CO" baseline="0"/>
              <a:t> por cada 100.000 habitantes </a:t>
            </a:r>
            <a:r>
              <a:rPr lang="es-CO"/>
              <a:t>en Bogotá (2010-2018)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endParaRPr lang="es-CO"/>
        </a:p>
      </c:txPr>
    </c:title>
    <c:autoTitleDeleted val="0"/>
    <c:plotArea>
      <c:layout/>
      <c:barChart>
        <c:barDir val="col"/>
        <c:grouping val="clustered"/>
        <c:varyColors val="0"/>
        <c:ser>
          <c:idx val="0"/>
          <c:order val="0"/>
          <c:tx>
            <c:strRef>
              <c:f>'Análisis casos'!$L$66</c:f>
              <c:strCache>
                <c:ptCount val="1"/>
                <c:pt idx="0">
                  <c:v>Bogotá D. C</c:v>
                </c:pt>
              </c:strCache>
            </c:strRef>
          </c:tx>
          <c:spPr>
            <a:solidFill>
              <a:srgbClr val="002060"/>
            </a:solidFill>
            <a:ln>
              <a:noFill/>
            </a:ln>
            <a:effectLst/>
          </c:spPr>
          <c:invertIfNegative val="0"/>
          <c:cat>
            <c:strRef>
              <c:f>'Análisis casos'!$M$65:$U$65</c:f>
              <c:strCache>
                <c:ptCount val="9"/>
                <c:pt idx="0">
                  <c:v>2010</c:v>
                </c:pt>
                <c:pt idx="1">
                  <c:v>2011</c:v>
                </c:pt>
                <c:pt idx="2">
                  <c:v>2012</c:v>
                </c:pt>
                <c:pt idx="3">
                  <c:v>2013</c:v>
                </c:pt>
                <c:pt idx="4">
                  <c:v>2014</c:v>
                </c:pt>
                <c:pt idx="5">
                  <c:v>2015</c:v>
                </c:pt>
                <c:pt idx="6">
                  <c:v>2016</c:v>
                </c:pt>
                <c:pt idx="7">
                  <c:v>2017</c:v>
                </c:pt>
                <c:pt idx="8">
                  <c:v>2018**</c:v>
                </c:pt>
              </c:strCache>
            </c:strRef>
          </c:cat>
          <c:val>
            <c:numRef>
              <c:f>'Análisis casos'!$M$66:$U$66</c:f>
              <c:numCache>
                <c:formatCode>General</c:formatCode>
                <c:ptCount val="9"/>
                <c:pt idx="0">
                  <c:v>12757</c:v>
                </c:pt>
                <c:pt idx="1">
                  <c:v>15450</c:v>
                </c:pt>
                <c:pt idx="2">
                  <c:v>17273</c:v>
                </c:pt>
                <c:pt idx="3">
                  <c:v>19528</c:v>
                </c:pt>
                <c:pt idx="4">
                  <c:v>26267</c:v>
                </c:pt>
                <c:pt idx="5">
                  <c:v>26867</c:v>
                </c:pt>
                <c:pt idx="6">
                  <c:v>28266</c:v>
                </c:pt>
                <c:pt idx="7">
                  <c:v>29873</c:v>
                </c:pt>
                <c:pt idx="8">
                  <c:v>22521</c:v>
                </c:pt>
              </c:numCache>
            </c:numRef>
          </c:val>
          <c:extLst xmlns:c16r2="http://schemas.microsoft.com/office/drawing/2015/06/chart">
            <c:ext xmlns:c16="http://schemas.microsoft.com/office/drawing/2014/chart" uri="{C3380CC4-5D6E-409C-BE32-E72D297353CC}">
              <c16:uniqueId val="{00000000-6BB4-6145-B61F-2EAA7CB75687}"/>
            </c:ext>
          </c:extLst>
        </c:ser>
        <c:dLbls>
          <c:showLegendKey val="0"/>
          <c:showVal val="0"/>
          <c:showCatName val="0"/>
          <c:showSerName val="0"/>
          <c:showPercent val="0"/>
          <c:showBubbleSize val="0"/>
        </c:dLbls>
        <c:gapWidth val="219"/>
        <c:overlap val="-27"/>
        <c:axId val="-1356293360"/>
        <c:axId val="-1356289552"/>
      </c:barChart>
      <c:lineChart>
        <c:grouping val="standard"/>
        <c:varyColors val="0"/>
        <c:ser>
          <c:idx val="1"/>
          <c:order val="1"/>
          <c:tx>
            <c:v>Casos por cada 100.000 habitantes (eje derecho)</c:v>
          </c:tx>
          <c:spPr>
            <a:ln w="28575" cap="rnd">
              <a:solidFill>
                <a:srgbClr val="874F4F"/>
              </a:solidFill>
              <a:prstDash val="sysDot"/>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Garamond" panose="02020404030301010803" pitchFamily="18" charset="0"/>
                    <a:ea typeface="+mn-ea"/>
                    <a:cs typeface="+mn-cs"/>
                  </a:defRPr>
                </a:pPr>
                <a:endParaRPr lang="es-C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'Análisis casos'!$M$65:$U$65</c:f>
              <c:strCache>
                <c:ptCount val="9"/>
                <c:pt idx="0">
                  <c:v>2010</c:v>
                </c:pt>
                <c:pt idx="1">
                  <c:v>2011</c:v>
                </c:pt>
                <c:pt idx="2">
                  <c:v>2012</c:v>
                </c:pt>
                <c:pt idx="3">
                  <c:v>2013</c:v>
                </c:pt>
                <c:pt idx="4">
                  <c:v>2014</c:v>
                </c:pt>
                <c:pt idx="5">
                  <c:v>2015</c:v>
                </c:pt>
                <c:pt idx="6">
                  <c:v>2016</c:v>
                </c:pt>
                <c:pt idx="7">
                  <c:v>2017</c:v>
                </c:pt>
                <c:pt idx="8">
                  <c:v>2018**</c:v>
                </c:pt>
              </c:strCache>
            </c:strRef>
          </c:cat>
          <c:val>
            <c:numRef>
              <c:f>'Análisis casos'!$M$67:$U$67</c:f>
              <c:numCache>
                <c:formatCode>0.0</c:formatCode>
                <c:ptCount val="9"/>
                <c:pt idx="0">
                  <c:v>173.23978357860133</c:v>
                </c:pt>
                <c:pt idx="1">
                  <c:v>206.88812936172403</c:v>
                </c:pt>
                <c:pt idx="2">
                  <c:v>228.13648037435883</c:v>
                </c:pt>
                <c:pt idx="3">
                  <c:v>254.45750176626967</c:v>
                </c:pt>
                <c:pt idx="4">
                  <c:v>337.75907839233008</c:v>
                </c:pt>
                <c:pt idx="5">
                  <c:v>341.0044419296737</c:v>
                </c:pt>
                <c:pt idx="6">
                  <c:v>354.210481928511</c:v>
                </c:pt>
                <c:pt idx="7">
                  <c:v>369.68176405757197</c:v>
                </c:pt>
                <c:pt idx="8">
                  <c:v>275.28261358234465</c:v>
                </c:pt>
              </c:numCache>
            </c:numRef>
          </c:val>
          <c:smooth val="0"/>
          <c:extLst xmlns:c16r2="http://schemas.microsoft.com/office/drawing/2015/06/chart">
            <c:ext xmlns:c16="http://schemas.microsoft.com/office/drawing/2014/chart" uri="{C3380CC4-5D6E-409C-BE32-E72D297353CC}">
              <c16:uniqueId val="{00000001-6BB4-6145-B61F-2EAA7CB75687}"/>
            </c:ext>
          </c:extLst>
        </c:ser>
        <c:dLbls>
          <c:showLegendKey val="0"/>
          <c:showVal val="0"/>
          <c:showCatName val="0"/>
          <c:showSerName val="0"/>
          <c:showPercent val="0"/>
          <c:showBubbleSize val="0"/>
        </c:dLbls>
        <c:marker val="1"/>
        <c:smooth val="0"/>
        <c:axId val="-1356303696"/>
        <c:axId val="-1356297168"/>
      </c:lineChart>
      <c:catAx>
        <c:axId val="-135629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289552"/>
        <c:crosses val="autoZero"/>
        <c:auto val="1"/>
        <c:lblAlgn val="ctr"/>
        <c:lblOffset val="100"/>
        <c:noMultiLvlLbl val="0"/>
      </c:catAx>
      <c:valAx>
        <c:axId val="-1356289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r>
                  <a:rPr lang="es-CO"/>
                  <a:t>Cantidad de casos de VIF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293360"/>
        <c:crosses val="autoZero"/>
        <c:crossBetween val="between"/>
      </c:valAx>
      <c:valAx>
        <c:axId val="-135629716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r>
                  <a:rPr lang="es-CO"/>
                  <a:t>Tasa</a:t>
                </a:r>
                <a:r>
                  <a:rPr lang="es-CO" baseline="0"/>
                  <a:t> por casa 100 mil habitantes</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303696"/>
        <c:crosses val="max"/>
        <c:crossBetween val="between"/>
      </c:valAx>
      <c:catAx>
        <c:axId val="-1356303696"/>
        <c:scaling>
          <c:orientation val="minMax"/>
        </c:scaling>
        <c:delete val="1"/>
        <c:axPos val="b"/>
        <c:numFmt formatCode="General" sourceLinked="1"/>
        <c:majorTickMark val="none"/>
        <c:minorTickMark val="none"/>
        <c:tickLblPos val="nextTo"/>
        <c:crossAx val="-13562971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Garamond" panose="02020404030301010803" pitchFamily="18"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r>
              <a:rPr lang="es-CO"/>
              <a:t>Tasa de casos</a:t>
            </a:r>
            <a:r>
              <a:rPr lang="es-CO" baseline="0"/>
              <a:t> de VIF</a:t>
            </a:r>
            <a:r>
              <a:rPr lang="es-CO"/>
              <a:t> por</a:t>
            </a:r>
            <a:r>
              <a:rPr lang="es-CO" baseline="0"/>
              <a:t> 100.000 habitantes en Guaviare y Guainía (2010-2018)</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endParaRPr lang="es-CO"/>
        </a:p>
      </c:txPr>
    </c:title>
    <c:autoTitleDeleted val="0"/>
    <c:plotArea>
      <c:layout/>
      <c:barChart>
        <c:barDir val="col"/>
        <c:grouping val="clustered"/>
        <c:varyColors val="0"/>
        <c:ser>
          <c:idx val="1"/>
          <c:order val="0"/>
          <c:tx>
            <c:v>Guaviare</c:v>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Garamond" panose="02020404030301010803" pitchFamily="18" charset="0"/>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'Análisis casos'!$M$42:$U$42</c:f>
              <c:strCache>
                <c:ptCount val="9"/>
                <c:pt idx="0">
                  <c:v>2010</c:v>
                </c:pt>
                <c:pt idx="1">
                  <c:v>2011</c:v>
                </c:pt>
                <c:pt idx="2">
                  <c:v>2012</c:v>
                </c:pt>
                <c:pt idx="3">
                  <c:v>2013</c:v>
                </c:pt>
                <c:pt idx="4">
                  <c:v>2014</c:v>
                </c:pt>
                <c:pt idx="5">
                  <c:v>2015</c:v>
                </c:pt>
                <c:pt idx="6">
                  <c:v>2016</c:v>
                </c:pt>
                <c:pt idx="7">
                  <c:v>2017</c:v>
                </c:pt>
                <c:pt idx="8">
                  <c:v>2018**</c:v>
                </c:pt>
              </c:strCache>
            </c:strRef>
          </c:cat>
          <c:val>
            <c:numRef>
              <c:f>Hoja11!$J$50:$R$50</c:f>
              <c:numCache>
                <c:formatCode>0</c:formatCode>
                <c:ptCount val="9"/>
                <c:pt idx="0">
                  <c:v>127.84387393028597</c:v>
                </c:pt>
                <c:pt idx="1">
                  <c:v>118.10316054327453</c:v>
                </c:pt>
                <c:pt idx="2">
                  <c:v>154.14160812654774</c:v>
                </c:pt>
                <c:pt idx="3">
                  <c:v>134.31833445265281</c:v>
                </c:pt>
                <c:pt idx="4">
                  <c:v>178.75070398393692</c:v>
                </c:pt>
                <c:pt idx="5">
                  <c:v>178.39062726001637</c:v>
                </c:pt>
                <c:pt idx="6">
                  <c:v>289.62799420744011</c:v>
                </c:pt>
                <c:pt idx="7">
                  <c:v>196.36720667648501</c:v>
                </c:pt>
                <c:pt idx="8">
                  <c:v>269.29982046678634</c:v>
                </c:pt>
              </c:numCache>
            </c:numRef>
          </c:val>
          <c:extLst xmlns:c16r2="http://schemas.microsoft.com/office/drawing/2015/06/chart">
            <c:ext xmlns:c16="http://schemas.microsoft.com/office/drawing/2014/chart" uri="{C3380CC4-5D6E-409C-BE32-E72D297353CC}">
              <c16:uniqueId val="{00000000-B38B-EA43-9C16-18F836D1C716}"/>
            </c:ext>
          </c:extLst>
        </c:ser>
        <c:ser>
          <c:idx val="2"/>
          <c:order val="1"/>
          <c:tx>
            <c:v>Guainía</c:v>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Garamond" panose="02020404030301010803" pitchFamily="18" charset="0"/>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'Análisis casos'!$M$42:$U$42</c:f>
              <c:strCache>
                <c:ptCount val="9"/>
                <c:pt idx="0">
                  <c:v>2010</c:v>
                </c:pt>
                <c:pt idx="1">
                  <c:v>2011</c:v>
                </c:pt>
                <c:pt idx="2">
                  <c:v>2012</c:v>
                </c:pt>
                <c:pt idx="3">
                  <c:v>2013</c:v>
                </c:pt>
                <c:pt idx="4">
                  <c:v>2014</c:v>
                </c:pt>
                <c:pt idx="5">
                  <c:v>2015</c:v>
                </c:pt>
                <c:pt idx="6">
                  <c:v>2016</c:v>
                </c:pt>
                <c:pt idx="7">
                  <c:v>2017</c:v>
                </c:pt>
                <c:pt idx="8">
                  <c:v>2018**</c:v>
                </c:pt>
              </c:strCache>
            </c:strRef>
          </c:cat>
          <c:val>
            <c:numRef>
              <c:f>Hoja11!$J$51:$R$51</c:f>
              <c:numCache>
                <c:formatCode>0</c:formatCode>
                <c:ptCount val="9"/>
                <c:pt idx="0">
                  <c:v>13.551840630354187</c:v>
                </c:pt>
                <c:pt idx="1">
                  <c:v>5.7226789767849988</c:v>
                </c:pt>
                <c:pt idx="2">
                  <c:v>10.339706352339594</c:v>
                </c:pt>
                <c:pt idx="3">
                  <c:v>29.647747697667089</c:v>
                </c:pt>
                <c:pt idx="4">
                  <c:v>33.793040460316014</c:v>
                </c:pt>
                <c:pt idx="5">
                  <c:v>40.518638573743921</c:v>
                </c:pt>
                <c:pt idx="6">
                  <c:v>36.405288534109985</c:v>
                </c:pt>
                <c:pt idx="7">
                  <c:v>26.268092148467257</c:v>
                </c:pt>
                <c:pt idx="8">
                  <c:v>39.713715908796587</c:v>
                </c:pt>
              </c:numCache>
            </c:numRef>
          </c:val>
          <c:extLst xmlns:c16r2="http://schemas.microsoft.com/office/drawing/2015/06/chart">
            <c:ext xmlns:c16="http://schemas.microsoft.com/office/drawing/2014/chart" uri="{C3380CC4-5D6E-409C-BE32-E72D297353CC}">
              <c16:uniqueId val="{00000001-B38B-EA43-9C16-18F836D1C716}"/>
            </c:ext>
          </c:extLst>
        </c:ser>
        <c:dLbls>
          <c:showLegendKey val="0"/>
          <c:showVal val="0"/>
          <c:showCatName val="0"/>
          <c:showSerName val="0"/>
          <c:showPercent val="0"/>
          <c:showBubbleSize val="0"/>
        </c:dLbls>
        <c:gapWidth val="219"/>
        <c:overlap val="-27"/>
        <c:axId val="-1356296080"/>
        <c:axId val="-1356295536"/>
      </c:barChart>
      <c:catAx>
        <c:axId val="-135629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295536"/>
        <c:crosses val="autoZero"/>
        <c:auto val="1"/>
        <c:lblAlgn val="ctr"/>
        <c:lblOffset val="100"/>
        <c:noMultiLvlLbl val="0"/>
      </c:catAx>
      <c:valAx>
        <c:axId val="-1356295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r>
                  <a:rPr lang="es-CO"/>
                  <a:t>Tasa por cada 100,000 habitantes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29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Garamond" panose="02020404030301010803" pitchFamily="18" charset="0"/>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r>
              <a:rPr lang="es-CO"/>
              <a:t>Casos de VIF que terminaron en posterior muerte de la víctima desagregado por sexo (2010-2018)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endParaRPr lang="es-CO"/>
        </a:p>
      </c:txPr>
    </c:title>
    <c:autoTitleDeleted val="0"/>
    <c:plotArea>
      <c:layout/>
      <c:barChart>
        <c:barDir val="col"/>
        <c:grouping val="clustered"/>
        <c:varyColors val="0"/>
        <c:ser>
          <c:idx val="1"/>
          <c:order val="1"/>
          <c:tx>
            <c:strRef>
              <c:f>'Análisis rta der. de petición'!$B$105</c:f>
              <c:strCache>
                <c:ptCount val="1"/>
                <c:pt idx="0">
                  <c:v>Femenino</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Garamond" panose="02020404030301010803" pitchFamily="18" charset="0"/>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'Análisis rta der. de petición'!$C$103:$K$103</c:f>
              <c:strCache>
                <c:ptCount val="9"/>
                <c:pt idx="0">
                  <c:v>2010</c:v>
                </c:pt>
                <c:pt idx="1">
                  <c:v>2011</c:v>
                </c:pt>
                <c:pt idx="2">
                  <c:v>2012</c:v>
                </c:pt>
                <c:pt idx="3">
                  <c:v>2013</c:v>
                </c:pt>
                <c:pt idx="4">
                  <c:v>2014</c:v>
                </c:pt>
                <c:pt idx="5">
                  <c:v>2015</c:v>
                </c:pt>
                <c:pt idx="6">
                  <c:v>2016</c:v>
                </c:pt>
                <c:pt idx="7">
                  <c:v>2017</c:v>
                </c:pt>
                <c:pt idx="8">
                  <c:v>2018**</c:v>
                </c:pt>
              </c:strCache>
            </c:strRef>
          </c:cat>
          <c:val>
            <c:numRef>
              <c:f>'Análisis rta der. de petición'!$C$105:$K$105</c:f>
              <c:numCache>
                <c:formatCode>General</c:formatCode>
                <c:ptCount val="9"/>
                <c:pt idx="0">
                  <c:v>267</c:v>
                </c:pt>
                <c:pt idx="1">
                  <c:v>286</c:v>
                </c:pt>
                <c:pt idx="2">
                  <c:v>262</c:v>
                </c:pt>
                <c:pt idx="3">
                  <c:v>240</c:v>
                </c:pt>
                <c:pt idx="4">
                  <c:v>293</c:v>
                </c:pt>
                <c:pt idx="5">
                  <c:v>339</c:v>
                </c:pt>
                <c:pt idx="6">
                  <c:v>317</c:v>
                </c:pt>
                <c:pt idx="7">
                  <c:v>235</c:v>
                </c:pt>
                <c:pt idx="8">
                  <c:v>163</c:v>
                </c:pt>
              </c:numCache>
            </c:numRef>
          </c:val>
          <c:extLst xmlns:c16r2="http://schemas.microsoft.com/office/drawing/2015/06/chart">
            <c:ext xmlns:c16="http://schemas.microsoft.com/office/drawing/2014/chart" uri="{C3380CC4-5D6E-409C-BE32-E72D297353CC}">
              <c16:uniqueId val="{00000000-F309-CB45-B8B8-7D49492F5F5F}"/>
            </c:ext>
          </c:extLst>
        </c:ser>
        <c:ser>
          <c:idx val="2"/>
          <c:order val="2"/>
          <c:tx>
            <c:strRef>
              <c:f>'Análisis rta der. de petición'!$B$106</c:f>
              <c:strCache>
                <c:ptCount val="1"/>
                <c:pt idx="0">
                  <c:v>Masculino</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Garamond" panose="02020404030301010803" pitchFamily="18" charset="0"/>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'Análisis rta der. de petición'!$C$103:$K$103</c:f>
              <c:strCache>
                <c:ptCount val="9"/>
                <c:pt idx="0">
                  <c:v>2010</c:v>
                </c:pt>
                <c:pt idx="1">
                  <c:v>2011</c:v>
                </c:pt>
                <c:pt idx="2">
                  <c:v>2012</c:v>
                </c:pt>
                <c:pt idx="3">
                  <c:v>2013</c:v>
                </c:pt>
                <c:pt idx="4">
                  <c:v>2014</c:v>
                </c:pt>
                <c:pt idx="5">
                  <c:v>2015</c:v>
                </c:pt>
                <c:pt idx="6">
                  <c:v>2016</c:v>
                </c:pt>
                <c:pt idx="7">
                  <c:v>2017</c:v>
                </c:pt>
                <c:pt idx="8">
                  <c:v>2018**</c:v>
                </c:pt>
              </c:strCache>
            </c:strRef>
          </c:cat>
          <c:val>
            <c:numRef>
              <c:f>'Análisis rta der. de petición'!$C$106:$K$106</c:f>
              <c:numCache>
                <c:formatCode>General</c:formatCode>
                <c:ptCount val="9"/>
                <c:pt idx="0">
                  <c:v>128</c:v>
                </c:pt>
                <c:pt idx="1">
                  <c:v>117</c:v>
                </c:pt>
                <c:pt idx="2">
                  <c:v>147</c:v>
                </c:pt>
                <c:pt idx="3">
                  <c:v>143</c:v>
                </c:pt>
                <c:pt idx="4">
                  <c:v>130</c:v>
                </c:pt>
                <c:pt idx="5">
                  <c:v>149</c:v>
                </c:pt>
                <c:pt idx="6">
                  <c:v>137</c:v>
                </c:pt>
                <c:pt idx="7">
                  <c:v>127</c:v>
                </c:pt>
                <c:pt idx="8">
                  <c:v>83</c:v>
                </c:pt>
              </c:numCache>
            </c:numRef>
          </c:val>
          <c:extLst xmlns:c16r2="http://schemas.microsoft.com/office/drawing/2015/06/chart">
            <c:ext xmlns:c16="http://schemas.microsoft.com/office/drawing/2014/chart" uri="{C3380CC4-5D6E-409C-BE32-E72D297353CC}">
              <c16:uniqueId val="{00000001-F309-CB45-B8B8-7D49492F5F5F}"/>
            </c:ext>
          </c:extLst>
        </c:ser>
        <c:ser>
          <c:idx val="3"/>
          <c:order val="3"/>
          <c:tx>
            <c:strRef>
              <c:f>'Análisis rta der. de petición'!$B$107</c:f>
              <c:strCache>
                <c:ptCount val="1"/>
                <c:pt idx="0">
                  <c:v>En blanco</c:v>
                </c:pt>
              </c:strCache>
            </c:strRef>
          </c:tx>
          <c:spPr>
            <a:solidFill>
              <a:schemeClr val="bg2">
                <a:lumMod val="75000"/>
              </a:schemeClr>
            </a:solidFill>
            <a:ln>
              <a:noFill/>
            </a:ln>
            <a:effectLst/>
          </c:spPr>
          <c:invertIfNegative val="0"/>
          <c:cat>
            <c:strRef>
              <c:f>'Análisis rta der. de petición'!$C$103:$K$103</c:f>
              <c:strCache>
                <c:ptCount val="9"/>
                <c:pt idx="0">
                  <c:v>2010</c:v>
                </c:pt>
                <c:pt idx="1">
                  <c:v>2011</c:v>
                </c:pt>
                <c:pt idx="2">
                  <c:v>2012</c:v>
                </c:pt>
                <c:pt idx="3">
                  <c:v>2013</c:v>
                </c:pt>
                <c:pt idx="4">
                  <c:v>2014</c:v>
                </c:pt>
                <c:pt idx="5">
                  <c:v>2015</c:v>
                </c:pt>
                <c:pt idx="6">
                  <c:v>2016</c:v>
                </c:pt>
                <c:pt idx="7">
                  <c:v>2017</c:v>
                </c:pt>
                <c:pt idx="8">
                  <c:v>2018**</c:v>
                </c:pt>
              </c:strCache>
            </c:strRef>
          </c:cat>
          <c:val>
            <c:numRef>
              <c:f>'Análisis rta der. de petición'!$C$107:$K$107</c:f>
              <c:numCache>
                <c:formatCode>General</c:formatCode>
                <c:ptCount val="9"/>
                <c:pt idx="0">
                  <c:v>61</c:v>
                </c:pt>
                <c:pt idx="1">
                  <c:v>55</c:v>
                </c:pt>
                <c:pt idx="2">
                  <c:v>47</c:v>
                </c:pt>
                <c:pt idx="3">
                  <c:v>56</c:v>
                </c:pt>
                <c:pt idx="4">
                  <c:v>16</c:v>
                </c:pt>
                <c:pt idx="5">
                  <c:v>0</c:v>
                </c:pt>
                <c:pt idx="6">
                  <c:v>0</c:v>
                </c:pt>
                <c:pt idx="7">
                  <c:v>0</c:v>
                </c:pt>
                <c:pt idx="8">
                  <c:v>0</c:v>
                </c:pt>
              </c:numCache>
            </c:numRef>
          </c:val>
          <c:extLst xmlns:c16r2="http://schemas.microsoft.com/office/drawing/2015/06/chart">
            <c:ext xmlns:c16="http://schemas.microsoft.com/office/drawing/2014/chart" uri="{C3380CC4-5D6E-409C-BE32-E72D297353CC}">
              <c16:uniqueId val="{00000002-F309-CB45-B8B8-7D49492F5F5F}"/>
            </c:ext>
          </c:extLst>
        </c:ser>
        <c:dLbls>
          <c:showLegendKey val="0"/>
          <c:showVal val="0"/>
          <c:showCatName val="0"/>
          <c:showSerName val="0"/>
          <c:showPercent val="0"/>
          <c:showBubbleSize val="0"/>
        </c:dLbls>
        <c:gapWidth val="219"/>
        <c:overlap val="-27"/>
        <c:axId val="-1356289008"/>
        <c:axId val="-1356294448"/>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'Análisis rta der. de petición'!$B$104</c15:sqref>
                        </c15:formulaRef>
                      </c:ext>
                    </c:extLst>
                    <c:strCache>
                      <c:ptCount val="1"/>
                    </c:strCache>
                  </c:strRef>
                </c:tx>
                <c:spPr>
                  <a:solidFill>
                    <a:schemeClr val="accent1"/>
                  </a:solidFill>
                  <a:ln>
                    <a:noFill/>
                  </a:ln>
                  <a:effectLst/>
                </c:spPr>
                <c:invertIfNegative val="0"/>
                <c:cat>
                  <c:strRef>
                    <c:extLst xmlns:c16r2="http://schemas.microsoft.com/office/drawing/2015/06/chart">
                      <c:ext uri="{02D57815-91ED-43cb-92C2-25804820EDAC}">
                        <c15:formulaRef>
                          <c15:sqref>'Análisis rta der. de petición'!$C$103:$K$103</c15:sqref>
                        </c15:formulaRef>
                      </c:ext>
                    </c:extLst>
                    <c:strCache>
                      <c:ptCount val="9"/>
                      <c:pt idx="0">
                        <c:v>2010</c:v>
                      </c:pt>
                      <c:pt idx="1">
                        <c:v>2011</c:v>
                      </c:pt>
                      <c:pt idx="2">
                        <c:v>2012</c:v>
                      </c:pt>
                      <c:pt idx="3">
                        <c:v>2013</c:v>
                      </c:pt>
                      <c:pt idx="4">
                        <c:v>2014</c:v>
                      </c:pt>
                      <c:pt idx="5">
                        <c:v>2015</c:v>
                      </c:pt>
                      <c:pt idx="6">
                        <c:v>2016</c:v>
                      </c:pt>
                      <c:pt idx="7">
                        <c:v>2017</c:v>
                      </c:pt>
                      <c:pt idx="8">
                        <c:v>2018**</c:v>
                      </c:pt>
                    </c:strCache>
                  </c:strRef>
                </c:cat>
                <c:val>
                  <c:numRef>
                    <c:extLst xmlns:c16r2="http://schemas.microsoft.com/office/drawing/2015/06/chart">
                      <c:ext uri="{02D57815-91ED-43cb-92C2-25804820EDAC}">
                        <c15:formulaRef>
                          <c15:sqref>'Análisis rta der. de petición'!$C$104:$K$104</c15:sqref>
                        </c15:formulaRef>
                      </c:ext>
                    </c:extLst>
                    <c:numCache>
                      <c:formatCode>General</c:formatCode>
                      <c:ptCount val="9"/>
                    </c:numCache>
                  </c:numRef>
                </c:val>
                <c:extLst xmlns:c16r2="http://schemas.microsoft.com/office/drawing/2015/06/chart">
                  <c:ext xmlns:c16="http://schemas.microsoft.com/office/drawing/2014/chart" uri="{C3380CC4-5D6E-409C-BE32-E72D297353CC}">
                    <c16:uniqueId val="{00000003-F309-CB45-B8B8-7D49492F5F5F}"/>
                  </c:ext>
                </c:extLst>
              </c15:ser>
            </c15:filteredBarSeries>
          </c:ext>
        </c:extLst>
      </c:barChart>
      <c:catAx>
        <c:axId val="-135628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294448"/>
        <c:crosses val="autoZero"/>
        <c:auto val="1"/>
        <c:lblAlgn val="ctr"/>
        <c:lblOffset val="100"/>
        <c:noMultiLvlLbl val="0"/>
      </c:catAx>
      <c:valAx>
        <c:axId val="-13562944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r>
                  <a:rPr lang="es-CO"/>
                  <a:t>Cantidad de casos de VI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35628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Garamond" panose="02020404030301010803" pitchFamily="18" charset="0"/>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solidFill>
                <a:latin typeface="Garamond" panose="02020404030301010803" pitchFamily="18" charset="0"/>
                <a:ea typeface="+mn-ea"/>
                <a:cs typeface="+mn-cs"/>
              </a:defRPr>
            </a:pPr>
            <a:r>
              <a:rPr lang="es-CO"/>
              <a:t>Cantidad de víctimas de VIF por sexo y tipo de vinculación (2010-2018)</a:t>
            </a:r>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solidFill>
              <a:latin typeface="Garamond" panose="02020404030301010803" pitchFamily="18" charset="0"/>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xmlns:c16r2="http://schemas.microsoft.com/office/drawing/2015/06/chart">
              <c:ext xmlns:c16="http://schemas.microsoft.com/office/drawing/2014/chart" uri="{C3380CC4-5D6E-409C-BE32-E72D297353CC}">
                <c16:uniqueId val="{00000001-C9ED-5644-8A5B-30F905CB8F0E}"/>
              </c:ext>
            </c:extLst>
          </c:dPt>
          <c:dPt>
            <c:idx val="1"/>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C9ED-5644-8A5B-30F905CB8F0E}"/>
              </c:ext>
            </c:extLst>
          </c:dPt>
          <c:dPt>
            <c:idx val="2"/>
            <c:invertIfNegative val="0"/>
            <c:bubble3D val="0"/>
            <c:spPr>
              <a:solidFill>
                <a:srgbClr val="002060"/>
              </a:solidFill>
              <a:ln>
                <a:noFill/>
              </a:ln>
              <a:effectLst/>
            </c:spPr>
            <c:extLst xmlns:c16r2="http://schemas.microsoft.com/office/drawing/2015/06/chart">
              <c:ext xmlns:c16="http://schemas.microsoft.com/office/drawing/2014/chart" uri="{C3380CC4-5D6E-409C-BE32-E72D297353CC}">
                <c16:uniqueId val="{00000005-C9ED-5644-8A5B-30F905CB8F0E}"/>
              </c:ext>
            </c:extLst>
          </c:dPt>
          <c:dPt>
            <c:idx val="3"/>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7-C9ED-5644-8A5B-30F905CB8F0E}"/>
              </c:ext>
            </c:extLst>
          </c:dPt>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9ED-5644-8A5B-30F905CB8F0E}"/>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9ED-5644-8A5B-30F905CB8F0E}"/>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9ED-5644-8A5B-30F905CB8F0E}"/>
                </c:ext>
                <c:ext xmlns:c15="http://schemas.microsoft.com/office/drawing/2012/chart" uri="{CE6537A1-D6FC-4f65-9D91-7224C49458BB}"/>
              </c:extLst>
            </c:dLbl>
            <c:dLbl>
              <c:idx val="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9ED-5644-8A5B-30F905CB8F0E}"/>
                </c:ext>
                <c:ext xmlns:c15="http://schemas.microsoft.com/office/drawing/2012/chart" uri="{CE6537A1-D6FC-4f65-9D91-7224C49458BB}"/>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Garamond" panose="02020404030301010803" pitchFamily="18" charset="0"/>
                    <a:ea typeface="+mn-ea"/>
                    <a:cs typeface="+mn-cs"/>
                  </a:defRPr>
                </a:pPr>
                <a:endParaRPr lang="es-CO"/>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'Análisis indiciado o victima'!$K$61:$L$64</c:f>
              <c:multiLvlStrCache>
                <c:ptCount val="4"/>
                <c:lvl>
                  <c:pt idx="0">
                    <c:v>Femenino</c:v>
                  </c:pt>
                  <c:pt idx="1">
                    <c:v>Masculino</c:v>
                  </c:pt>
                  <c:pt idx="2">
                    <c:v>Femenino</c:v>
                  </c:pt>
                  <c:pt idx="3">
                    <c:v>Masculino</c:v>
                  </c:pt>
                </c:lvl>
                <c:lvl>
                  <c:pt idx="0">
                    <c:v>Víctimas</c:v>
                  </c:pt>
                  <c:pt idx="2">
                    <c:v>Indiciados</c:v>
                  </c:pt>
                </c:lvl>
              </c:multiLvlStrCache>
            </c:multiLvlStrRef>
          </c:cat>
          <c:val>
            <c:numRef>
              <c:f>'Análisis indiciado o victima'!$M$61:$M$64</c:f>
              <c:numCache>
                <c:formatCode>General</c:formatCode>
                <c:ptCount val="4"/>
                <c:pt idx="0">
                  <c:v>315658</c:v>
                </c:pt>
                <c:pt idx="1">
                  <c:v>60764</c:v>
                </c:pt>
                <c:pt idx="2">
                  <c:v>52101</c:v>
                </c:pt>
                <c:pt idx="3">
                  <c:v>297853</c:v>
                </c:pt>
              </c:numCache>
            </c:numRef>
          </c:val>
          <c:extLst xmlns:c16r2="http://schemas.microsoft.com/office/drawing/2015/06/chart">
            <c:ext xmlns:c16="http://schemas.microsoft.com/office/drawing/2014/chart" uri="{C3380CC4-5D6E-409C-BE32-E72D297353CC}">
              <c16:uniqueId val="{00000008-C9ED-5644-8A5B-30F905CB8F0E}"/>
            </c:ext>
          </c:extLst>
        </c:ser>
        <c:dLbls>
          <c:showLegendKey val="0"/>
          <c:showVal val="0"/>
          <c:showCatName val="0"/>
          <c:showSerName val="0"/>
          <c:showPercent val="0"/>
          <c:showBubbleSize val="0"/>
        </c:dLbls>
        <c:gapWidth val="219"/>
        <c:overlap val="-27"/>
        <c:axId val="-1535273984"/>
        <c:axId val="-1535271808"/>
      </c:barChart>
      <c:catAx>
        <c:axId val="-153527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Garamond" panose="02020404030301010803" pitchFamily="18" charset="0"/>
                <a:ea typeface="+mn-ea"/>
                <a:cs typeface="+mn-cs"/>
              </a:defRPr>
            </a:pPr>
            <a:endParaRPr lang="es-CO"/>
          </a:p>
        </c:txPr>
        <c:crossAx val="-1535271808"/>
        <c:crosses val="autoZero"/>
        <c:auto val="1"/>
        <c:lblAlgn val="ctr"/>
        <c:lblOffset val="100"/>
        <c:noMultiLvlLbl val="0"/>
      </c:catAx>
      <c:valAx>
        <c:axId val="-1535271808"/>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Garamond" panose="02020404030301010803" pitchFamily="18" charset="0"/>
                    <a:ea typeface="+mn-ea"/>
                    <a:cs typeface="+mn-cs"/>
                  </a:defRPr>
                </a:pPr>
                <a:r>
                  <a:rPr lang="es-CO"/>
                  <a:t>Cantidad de casos de VI</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Garamond" panose="02020404030301010803" pitchFamily="18" charset="0"/>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Garamond" panose="02020404030301010803" pitchFamily="18" charset="0"/>
                <a:ea typeface="+mn-ea"/>
                <a:cs typeface="+mn-cs"/>
              </a:defRPr>
            </a:pPr>
            <a:endParaRPr lang="es-CO"/>
          </a:p>
        </c:txPr>
        <c:crossAx val="-153527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Garamond" panose="02020404030301010803" pitchFamily="18"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r>
              <a:rPr lang="es-CO"/>
              <a:t>Casos</a:t>
            </a:r>
            <a:r>
              <a:rPr lang="es-CO" baseline="0"/>
              <a:t> de VIF por estado del caso (2010-2018)</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Garamond" panose="02020404030301010803" pitchFamily="18" charset="0"/>
              <a:ea typeface="+mn-ea"/>
              <a:cs typeface="+mn-cs"/>
            </a:defRPr>
          </a:pPr>
          <a:endParaRPr lang="es-CO"/>
        </a:p>
      </c:txPr>
    </c:title>
    <c:autoTitleDeleted val="0"/>
    <c:plotArea>
      <c:layout/>
      <c:barChart>
        <c:barDir val="col"/>
        <c:grouping val="clustered"/>
        <c:varyColors val="0"/>
        <c:ser>
          <c:idx val="0"/>
          <c:order val="0"/>
          <c:tx>
            <c:strRef>
              <c:f>'Análisis por estado'!$A$108</c:f>
              <c:strCache>
                <c:ptCount val="1"/>
                <c:pt idx="0">
                  <c:v>Activo</c:v>
                </c:pt>
              </c:strCache>
            </c:strRef>
          </c:tx>
          <c:spPr>
            <a:solidFill>
              <a:srgbClr val="002060"/>
            </a:solidFill>
            <a:ln>
              <a:noFill/>
            </a:ln>
            <a:effectLst/>
          </c:spPr>
          <c:invertIfNegative val="0"/>
          <c:trendline>
            <c:spPr>
              <a:ln w="19050" cap="rnd">
                <a:solidFill>
                  <a:srgbClr val="00B0F0"/>
                </a:solidFill>
                <a:prstDash val="sysDot"/>
              </a:ln>
              <a:effectLst/>
            </c:spPr>
            <c:trendlineType val="linear"/>
            <c:dispRSqr val="0"/>
            <c:dispEq val="0"/>
          </c:trendline>
          <c:cat>
            <c:strRef>
              <c:f>'Análisis por estado'!$B$107:$J$107</c:f>
              <c:strCache>
                <c:ptCount val="9"/>
                <c:pt idx="0">
                  <c:v>2010</c:v>
                </c:pt>
                <c:pt idx="1">
                  <c:v>2011</c:v>
                </c:pt>
                <c:pt idx="2">
                  <c:v>2012</c:v>
                </c:pt>
                <c:pt idx="3">
                  <c:v>2013</c:v>
                </c:pt>
                <c:pt idx="4">
                  <c:v>2014</c:v>
                </c:pt>
                <c:pt idx="5">
                  <c:v>2015</c:v>
                </c:pt>
                <c:pt idx="6">
                  <c:v>2016</c:v>
                </c:pt>
                <c:pt idx="7">
                  <c:v>2017</c:v>
                </c:pt>
                <c:pt idx="8">
                  <c:v>2018**</c:v>
                </c:pt>
              </c:strCache>
            </c:strRef>
          </c:cat>
          <c:val>
            <c:numRef>
              <c:f>'Análisis por estado'!$B$108:$J$108</c:f>
              <c:numCache>
                <c:formatCode>General</c:formatCode>
                <c:ptCount val="9"/>
                <c:pt idx="0">
                  <c:v>498</c:v>
                </c:pt>
                <c:pt idx="1">
                  <c:v>607</c:v>
                </c:pt>
                <c:pt idx="2">
                  <c:v>2081</c:v>
                </c:pt>
                <c:pt idx="3">
                  <c:v>6156</c:v>
                </c:pt>
                <c:pt idx="4">
                  <c:v>11679</c:v>
                </c:pt>
                <c:pt idx="5">
                  <c:v>20179</c:v>
                </c:pt>
                <c:pt idx="6">
                  <c:v>30476</c:v>
                </c:pt>
                <c:pt idx="7">
                  <c:v>47788</c:v>
                </c:pt>
                <c:pt idx="8">
                  <c:v>56570</c:v>
                </c:pt>
              </c:numCache>
            </c:numRef>
          </c:val>
          <c:extLst xmlns:c16r2="http://schemas.microsoft.com/office/drawing/2015/06/chart">
            <c:ext xmlns:c16="http://schemas.microsoft.com/office/drawing/2014/chart" uri="{C3380CC4-5D6E-409C-BE32-E72D297353CC}">
              <c16:uniqueId val="{00000001-F16B-0E40-B703-688F5512AD9A}"/>
            </c:ext>
          </c:extLst>
        </c:ser>
        <c:ser>
          <c:idx val="1"/>
          <c:order val="1"/>
          <c:tx>
            <c:strRef>
              <c:f>'Análisis por estado'!$A$109</c:f>
              <c:strCache>
                <c:ptCount val="1"/>
                <c:pt idx="0">
                  <c:v>Inactivo</c:v>
                </c:pt>
              </c:strCache>
            </c:strRef>
          </c:tx>
          <c:spPr>
            <a:solidFill>
              <a:srgbClr val="C00000"/>
            </a:solidFill>
            <a:ln>
              <a:noFill/>
            </a:ln>
            <a:effectLst/>
          </c:spPr>
          <c:invertIfNegative val="0"/>
          <c:trendline>
            <c:spPr>
              <a:ln w="19050" cap="rnd">
                <a:solidFill>
                  <a:srgbClr val="874F4F"/>
                </a:solidFill>
                <a:prstDash val="sysDot"/>
              </a:ln>
              <a:effectLst/>
            </c:spPr>
            <c:trendlineType val="linear"/>
            <c:dispRSqr val="0"/>
            <c:dispEq val="0"/>
          </c:trendline>
          <c:cat>
            <c:strRef>
              <c:f>'Análisis por estado'!$B$107:$J$107</c:f>
              <c:strCache>
                <c:ptCount val="9"/>
                <c:pt idx="0">
                  <c:v>2010</c:v>
                </c:pt>
                <c:pt idx="1">
                  <c:v>2011</c:v>
                </c:pt>
                <c:pt idx="2">
                  <c:v>2012</c:v>
                </c:pt>
                <c:pt idx="3">
                  <c:v>2013</c:v>
                </c:pt>
                <c:pt idx="4">
                  <c:v>2014</c:v>
                </c:pt>
                <c:pt idx="5">
                  <c:v>2015</c:v>
                </c:pt>
                <c:pt idx="6">
                  <c:v>2016</c:v>
                </c:pt>
                <c:pt idx="7">
                  <c:v>2017</c:v>
                </c:pt>
                <c:pt idx="8">
                  <c:v>2018**</c:v>
                </c:pt>
              </c:strCache>
            </c:strRef>
          </c:cat>
          <c:val>
            <c:numRef>
              <c:f>'Análisis por estado'!$B$109:$J$109</c:f>
              <c:numCache>
                <c:formatCode>General</c:formatCode>
                <c:ptCount val="9"/>
                <c:pt idx="0">
                  <c:v>69518</c:v>
                </c:pt>
                <c:pt idx="1">
                  <c:v>79181</c:v>
                </c:pt>
                <c:pt idx="2">
                  <c:v>81045</c:v>
                </c:pt>
                <c:pt idx="3">
                  <c:v>83145</c:v>
                </c:pt>
                <c:pt idx="4">
                  <c:v>85595</c:v>
                </c:pt>
                <c:pt idx="5">
                  <c:v>81661</c:v>
                </c:pt>
                <c:pt idx="6">
                  <c:v>71835</c:v>
                </c:pt>
                <c:pt idx="7">
                  <c:v>49346</c:v>
                </c:pt>
                <c:pt idx="8">
                  <c:v>14033</c:v>
                </c:pt>
              </c:numCache>
            </c:numRef>
          </c:val>
          <c:extLst xmlns:c16r2="http://schemas.microsoft.com/office/drawing/2015/06/chart">
            <c:ext xmlns:c16="http://schemas.microsoft.com/office/drawing/2014/chart" uri="{C3380CC4-5D6E-409C-BE32-E72D297353CC}">
              <c16:uniqueId val="{00000003-F16B-0E40-B703-688F5512AD9A}"/>
            </c:ext>
          </c:extLst>
        </c:ser>
        <c:dLbls>
          <c:showLegendKey val="0"/>
          <c:showVal val="0"/>
          <c:showCatName val="0"/>
          <c:showSerName val="0"/>
          <c:showPercent val="0"/>
          <c:showBubbleSize val="0"/>
        </c:dLbls>
        <c:gapWidth val="219"/>
        <c:overlap val="-27"/>
        <c:axId val="-1535271264"/>
        <c:axId val="-1535279968"/>
      </c:barChart>
      <c:catAx>
        <c:axId val="-153527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535279968"/>
        <c:crosses val="autoZero"/>
        <c:auto val="1"/>
        <c:lblAlgn val="ctr"/>
        <c:lblOffset val="100"/>
        <c:noMultiLvlLbl val="0"/>
      </c:catAx>
      <c:valAx>
        <c:axId val="-1535279968"/>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r>
                  <a:rPr lang="es-CO"/>
                  <a:t>Cantidad de casos de VI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Garamond" panose="02020404030301010803" pitchFamily="18" charset="0"/>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crossAx val="-153527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aramond" panose="02020404030301010803" pitchFamily="18"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Garamond" panose="02020404030301010803" pitchFamily="18"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71FB-6DE8-486C-8928-7EC88486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33</Pages>
  <Words>9319</Words>
  <Characters>51260</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Botero Ramirez</dc:creator>
  <cp:keywords/>
  <dc:description/>
  <cp:lastModifiedBy>juliana macias barreto utl.HR Adriana Magali Matiz</cp:lastModifiedBy>
  <cp:revision>4</cp:revision>
  <cp:lastPrinted>2018-11-07T00:46:00Z</cp:lastPrinted>
  <dcterms:created xsi:type="dcterms:W3CDTF">2018-11-06T19:45:00Z</dcterms:created>
  <dcterms:modified xsi:type="dcterms:W3CDTF">2018-11-07T00:53:00Z</dcterms:modified>
</cp:coreProperties>
</file>