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FA5" w:rsidRDefault="00B03FA5" w:rsidP="00397428">
      <w:pPr>
        <w:adjustRightInd w:val="0"/>
        <w:spacing w:before="28" w:after="28" w:line="276" w:lineRule="auto"/>
        <w:jc w:val="both"/>
        <w:textAlignment w:val="center"/>
        <w:rPr>
          <w:lang w:val="es-ES_tradnl" w:bidi="ar-YE"/>
        </w:rPr>
      </w:pPr>
    </w:p>
    <w:p w:rsidR="00F6059F" w:rsidRPr="00F620E4" w:rsidRDefault="00F6059F" w:rsidP="00397428">
      <w:pPr>
        <w:adjustRightInd w:val="0"/>
        <w:spacing w:before="28" w:after="28" w:line="276" w:lineRule="auto"/>
        <w:jc w:val="both"/>
        <w:textAlignment w:val="center"/>
        <w:rPr>
          <w:lang w:val="es-ES_tradnl" w:bidi="ar-YE"/>
        </w:rPr>
      </w:pPr>
      <w:r w:rsidRPr="00F620E4">
        <w:rPr>
          <w:lang w:val="es-ES_tradnl" w:bidi="ar-YE"/>
        </w:rPr>
        <w:t xml:space="preserve">Bogotá, D. C., </w:t>
      </w:r>
      <w:r w:rsidR="00F66BC9">
        <w:rPr>
          <w:lang w:val="es-ES_tradnl" w:bidi="ar-YE"/>
        </w:rPr>
        <w:t>diciembre</w:t>
      </w:r>
      <w:r w:rsidR="0078399A">
        <w:rPr>
          <w:lang w:val="es-ES_tradnl" w:bidi="ar-YE"/>
        </w:rPr>
        <w:t xml:space="preserve"> </w:t>
      </w:r>
      <w:r w:rsidR="0078399A" w:rsidRPr="00F620E4">
        <w:rPr>
          <w:lang w:val="es-ES_tradnl" w:bidi="ar-YE"/>
        </w:rPr>
        <w:t>de</w:t>
      </w:r>
      <w:r w:rsidR="008158BD" w:rsidRPr="00F620E4">
        <w:rPr>
          <w:lang w:val="es-ES_tradnl" w:bidi="ar-YE"/>
        </w:rPr>
        <w:t xml:space="preserve"> 2018</w:t>
      </w:r>
      <w:r w:rsidRPr="00F620E4">
        <w:rPr>
          <w:lang w:val="es-ES_tradnl" w:bidi="ar-YE"/>
        </w:rPr>
        <w:t>.</w:t>
      </w:r>
    </w:p>
    <w:p w:rsidR="00F6059F" w:rsidRPr="00F620E4" w:rsidRDefault="00F6059F" w:rsidP="00397428">
      <w:pPr>
        <w:adjustRightInd w:val="0"/>
        <w:spacing w:before="28" w:after="28" w:line="276" w:lineRule="auto"/>
        <w:jc w:val="both"/>
        <w:textAlignment w:val="center"/>
        <w:rPr>
          <w:lang w:val="es-ES_tradnl" w:bidi="ar-YE"/>
        </w:rPr>
      </w:pPr>
    </w:p>
    <w:p w:rsidR="00E33088" w:rsidRPr="00F620E4" w:rsidRDefault="00F6059F" w:rsidP="00E33088">
      <w:pPr>
        <w:adjustRightInd w:val="0"/>
        <w:spacing w:line="276" w:lineRule="auto"/>
        <w:jc w:val="both"/>
        <w:textAlignment w:val="center"/>
        <w:rPr>
          <w:lang w:val="es-ES_tradnl" w:bidi="ar-YE"/>
        </w:rPr>
      </w:pPr>
      <w:r w:rsidRPr="00F620E4">
        <w:rPr>
          <w:lang w:val="es-ES_tradnl" w:bidi="ar-YE"/>
        </w:rPr>
        <w:t>Doctor</w:t>
      </w:r>
    </w:p>
    <w:p w:rsidR="00C035E2" w:rsidRPr="00F620E4" w:rsidRDefault="00F66BC9" w:rsidP="00E33088">
      <w:pPr>
        <w:adjustRightInd w:val="0"/>
        <w:spacing w:line="276" w:lineRule="auto"/>
        <w:jc w:val="both"/>
        <w:textAlignment w:val="center"/>
        <w:rPr>
          <w:b/>
        </w:rPr>
      </w:pPr>
      <w:hyperlink r:id="rId8" w:history="1">
        <w:r w:rsidR="00C035E2" w:rsidRPr="00F620E4">
          <w:rPr>
            <w:rStyle w:val="Hipervnculo"/>
            <w:b/>
            <w:color w:val="auto"/>
            <w:u w:val="none"/>
            <w:shd w:val="clear" w:color="auto" w:fill="FFFFFF"/>
          </w:rPr>
          <w:t>SAMUEL ALEJANDRO HOYOS MEJÍA</w:t>
        </w:r>
      </w:hyperlink>
    </w:p>
    <w:p w:rsidR="00F6059F" w:rsidRPr="0098530C" w:rsidRDefault="0098530C" w:rsidP="00E33088">
      <w:pPr>
        <w:adjustRightInd w:val="0"/>
        <w:spacing w:line="276" w:lineRule="auto"/>
        <w:jc w:val="both"/>
        <w:textAlignment w:val="center"/>
        <w:rPr>
          <w:lang w:val="es-ES_tradnl" w:bidi="ar-YE"/>
        </w:rPr>
      </w:pPr>
      <w:r w:rsidRPr="0098530C">
        <w:rPr>
          <w:lang w:val="es-ES_tradnl" w:bidi="ar-YE"/>
        </w:rPr>
        <w:t xml:space="preserve">Presidente Comisión Primera  </w:t>
      </w:r>
    </w:p>
    <w:p w:rsidR="00F6059F" w:rsidRPr="00F620E4" w:rsidRDefault="00F6059F" w:rsidP="00397428">
      <w:pPr>
        <w:adjustRightInd w:val="0"/>
        <w:spacing w:line="276" w:lineRule="auto"/>
        <w:jc w:val="both"/>
        <w:textAlignment w:val="center"/>
        <w:rPr>
          <w:lang w:val="es-ES_tradnl" w:bidi="ar-YE"/>
        </w:rPr>
      </w:pPr>
      <w:r w:rsidRPr="00F620E4">
        <w:rPr>
          <w:lang w:val="es-ES_tradnl" w:bidi="ar-YE"/>
        </w:rPr>
        <w:t>Cámara de Representantes</w:t>
      </w:r>
    </w:p>
    <w:p w:rsidR="00F6059F" w:rsidRPr="00F620E4" w:rsidRDefault="00F6059F" w:rsidP="00397428">
      <w:pPr>
        <w:adjustRightInd w:val="0"/>
        <w:spacing w:line="276" w:lineRule="auto"/>
        <w:jc w:val="both"/>
        <w:textAlignment w:val="center"/>
        <w:rPr>
          <w:lang w:val="es-ES_tradnl" w:bidi="ar-YE"/>
        </w:rPr>
      </w:pPr>
      <w:r w:rsidRPr="00F620E4">
        <w:rPr>
          <w:lang w:val="es-ES_tradnl" w:bidi="ar-YE"/>
        </w:rPr>
        <w:t>Ciudad</w:t>
      </w:r>
    </w:p>
    <w:p w:rsidR="00D14780" w:rsidRPr="00F620E4" w:rsidRDefault="00D14780" w:rsidP="00397428">
      <w:pPr>
        <w:spacing w:line="276" w:lineRule="auto"/>
        <w:jc w:val="both"/>
        <w:rPr>
          <w:b/>
        </w:rPr>
      </w:pPr>
    </w:p>
    <w:p w:rsidR="00BD4C89" w:rsidRDefault="00BD4C89" w:rsidP="00BD4C89">
      <w:pPr>
        <w:spacing w:line="276" w:lineRule="auto"/>
        <w:jc w:val="both"/>
        <w:rPr>
          <w:b/>
          <w:bCs/>
          <w:lang w:val="es-ES_tradnl" w:bidi="ar-YE"/>
        </w:rPr>
      </w:pPr>
    </w:p>
    <w:p w:rsidR="00F2789E" w:rsidRPr="00F620E4" w:rsidRDefault="00C035E2" w:rsidP="00BD4C89">
      <w:pPr>
        <w:spacing w:line="276" w:lineRule="auto"/>
        <w:jc w:val="both"/>
        <w:rPr>
          <w:b/>
          <w:lang w:val="es-ES_tradnl" w:bidi="ar-YE"/>
        </w:rPr>
      </w:pPr>
      <w:r w:rsidRPr="00F620E4">
        <w:rPr>
          <w:b/>
          <w:bCs/>
          <w:lang w:val="es-ES_tradnl" w:bidi="ar-YE"/>
        </w:rPr>
        <w:t>REFERENCIA:</w:t>
      </w:r>
      <w:r w:rsidRPr="00F620E4">
        <w:rPr>
          <w:b/>
          <w:lang w:val="es-ES_tradnl" w:bidi="ar-YE"/>
        </w:rPr>
        <w:t xml:space="preserve"> </w:t>
      </w:r>
      <w:r w:rsidR="00BF64AE">
        <w:rPr>
          <w:b/>
          <w:i/>
          <w:lang w:val="es-ES_tradnl" w:bidi="ar-YE"/>
        </w:rPr>
        <w:t>INFORME DE PONENCIA PARA SEGUNDO</w:t>
      </w:r>
      <w:r w:rsidRPr="00F620E4">
        <w:rPr>
          <w:b/>
          <w:i/>
          <w:lang w:val="es-ES_tradnl" w:bidi="ar-YE"/>
        </w:rPr>
        <w:t xml:space="preserve"> DEBATE PROYECTO DE </w:t>
      </w:r>
      <w:r w:rsidR="00792417">
        <w:rPr>
          <w:b/>
          <w:i/>
          <w:lang w:val="es-ES_tradnl" w:bidi="ar-YE"/>
        </w:rPr>
        <w:t xml:space="preserve">ACTO LEGISLATIVO N°234 DE 2018 CAMARA - </w:t>
      </w:r>
      <w:r w:rsidRPr="00F620E4">
        <w:rPr>
          <w:b/>
          <w:lang w:val="es-ES_tradnl" w:bidi="ar-YE"/>
        </w:rPr>
        <w:t>0</w:t>
      </w:r>
      <w:r w:rsidR="00BD4C89">
        <w:rPr>
          <w:b/>
          <w:lang w:val="es-ES_tradnl" w:bidi="ar-YE"/>
        </w:rPr>
        <w:t>6</w:t>
      </w:r>
      <w:r w:rsidRPr="00F620E4">
        <w:rPr>
          <w:b/>
          <w:lang w:val="es-ES_tradnl" w:bidi="ar-YE"/>
        </w:rPr>
        <w:t xml:space="preserve"> DE 2018 </w:t>
      </w:r>
      <w:r w:rsidR="00BD4C89" w:rsidRPr="00BD4C89">
        <w:rPr>
          <w:b/>
          <w:i/>
          <w:lang w:val="es-ES_tradnl" w:bidi="ar-YE"/>
        </w:rPr>
        <w:t>SENADO</w:t>
      </w:r>
      <w:r w:rsidRPr="00BD4C89">
        <w:rPr>
          <w:b/>
          <w:i/>
          <w:lang w:val="es-ES_tradnl" w:bidi="ar-YE"/>
        </w:rPr>
        <w:t xml:space="preserve"> </w:t>
      </w:r>
      <w:r w:rsidR="00BD4C89" w:rsidRPr="00F620E4">
        <w:rPr>
          <w:b/>
          <w:i/>
          <w:lang w:val="es-ES_tradnl" w:bidi="ar-YE"/>
        </w:rPr>
        <w:t>“</w:t>
      </w:r>
      <w:r w:rsidR="00BD4C89" w:rsidRPr="00BD4C89">
        <w:rPr>
          <w:b/>
          <w:i/>
          <w:lang w:val="es-ES_tradnl" w:bidi="ar-YE"/>
        </w:rPr>
        <w:t>“POR EL CUAL SE INCLUYE EL ARTÍCULO 11-A DENTRO DEL CAPÍTULO I DEL TÍTULO II DE LA CONSTITUCIÓN POLÍTICA DE COLOMBIA.”</w:t>
      </w:r>
    </w:p>
    <w:p w:rsidR="009D76D2" w:rsidRPr="00F620E4" w:rsidRDefault="009D76D2" w:rsidP="00397428">
      <w:pPr>
        <w:adjustRightInd w:val="0"/>
        <w:spacing w:before="28" w:after="28" w:line="276" w:lineRule="auto"/>
        <w:jc w:val="both"/>
        <w:textAlignment w:val="center"/>
        <w:rPr>
          <w:bCs/>
          <w:lang w:bidi="ar-YE"/>
        </w:rPr>
      </w:pPr>
    </w:p>
    <w:p w:rsidR="00D14780" w:rsidRPr="00F620E4" w:rsidRDefault="00397428" w:rsidP="00397428">
      <w:pPr>
        <w:adjustRightInd w:val="0"/>
        <w:spacing w:before="28" w:after="28" w:line="276" w:lineRule="auto"/>
        <w:jc w:val="both"/>
        <w:textAlignment w:val="center"/>
        <w:rPr>
          <w:lang w:val="es-ES_tradnl" w:bidi="ar-YE"/>
        </w:rPr>
      </w:pPr>
      <w:r w:rsidRPr="00F620E4">
        <w:rPr>
          <w:lang w:val="es-ES_tradnl" w:bidi="ar-YE"/>
        </w:rPr>
        <w:t xml:space="preserve">Señor </w:t>
      </w:r>
      <w:r w:rsidR="00F620E4" w:rsidRPr="00F620E4">
        <w:rPr>
          <w:lang w:val="es-ES_tradnl" w:bidi="ar-YE"/>
        </w:rPr>
        <w:t>presidente</w:t>
      </w:r>
      <w:r w:rsidRPr="00F620E4">
        <w:rPr>
          <w:lang w:val="es-ES_tradnl" w:bidi="ar-YE"/>
        </w:rPr>
        <w:t>,</w:t>
      </w:r>
    </w:p>
    <w:p w:rsidR="00D14780" w:rsidRPr="00F620E4" w:rsidRDefault="00D14780" w:rsidP="00397428">
      <w:pPr>
        <w:adjustRightInd w:val="0"/>
        <w:spacing w:before="28" w:after="28" w:line="276" w:lineRule="auto"/>
        <w:jc w:val="both"/>
        <w:textAlignment w:val="center"/>
        <w:rPr>
          <w:lang w:val="es-ES_tradnl" w:bidi="ar-YE"/>
        </w:rPr>
      </w:pPr>
    </w:p>
    <w:p w:rsidR="008158BD" w:rsidRPr="00F620E4" w:rsidRDefault="00D14780" w:rsidP="00805818">
      <w:pPr>
        <w:spacing w:line="276" w:lineRule="auto"/>
        <w:jc w:val="both"/>
        <w:rPr>
          <w:lang w:val="es-ES_tradnl" w:bidi="ar-YE"/>
        </w:rPr>
      </w:pPr>
      <w:r w:rsidRPr="00F620E4">
        <w:rPr>
          <w:lang w:val="es-ES_tradnl" w:bidi="ar-YE"/>
        </w:rPr>
        <w:t>En cumplimiento del honroso encargo conferido por la Comis</w:t>
      </w:r>
      <w:r w:rsidR="00CF059F" w:rsidRPr="00F620E4">
        <w:rPr>
          <w:lang w:val="es-ES_tradnl" w:bidi="ar-YE"/>
        </w:rPr>
        <w:t>ión Primera</w:t>
      </w:r>
      <w:r w:rsidRPr="00F620E4">
        <w:rPr>
          <w:lang w:val="es-ES_tradnl" w:bidi="ar-YE"/>
        </w:rPr>
        <w:t xml:space="preserve"> de la Cámar</w:t>
      </w:r>
      <w:r w:rsidR="009D0A94" w:rsidRPr="00F620E4">
        <w:rPr>
          <w:lang w:val="es-ES_tradnl" w:bidi="ar-YE"/>
        </w:rPr>
        <w:t>a</w:t>
      </w:r>
      <w:r w:rsidR="008011FE" w:rsidRPr="00F620E4">
        <w:rPr>
          <w:lang w:val="es-ES_tradnl" w:bidi="ar-YE"/>
        </w:rPr>
        <w:t xml:space="preserve"> de Representantes</w:t>
      </w:r>
      <w:r w:rsidRPr="00F620E4">
        <w:rPr>
          <w:lang w:val="es-ES_tradnl" w:bidi="ar-YE"/>
        </w:rPr>
        <w:t xml:space="preserve">, </w:t>
      </w:r>
      <w:r w:rsidR="008011FE" w:rsidRPr="00F620E4">
        <w:rPr>
          <w:lang w:val="es-ES_tradnl" w:bidi="ar-YE"/>
        </w:rPr>
        <w:t>someto</w:t>
      </w:r>
      <w:r w:rsidRPr="00F620E4">
        <w:rPr>
          <w:lang w:val="es-ES_tradnl" w:bidi="ar-YE"/>
        </w:rPr>
        <w:t xml:space="preserve"> a consideración </w:t>
      </w:r>
      <w:r w:rsidR="00412713" w:rsidRPr="00F620E4">
        <w:rPr>
          <w:lang w:val="es-ES_tradnl" w:bidi="ar-YE"/>
        </w:rPr>
        <w:t xml:space="preserve">de </w:t>
      </w:r>
      <w:r w:rsidRPr="00F620E4">
        <w:rPr>
          <w:lang w:val="es-ES_tradnl" w:bidi="ar-YE"/>
        </w:rPr>
        <w:t>esta Corporación el</w:t>
      </w:r>
      <w:r w:rsidR="003672BA" w:rsidRPr="00F620E4">
        <w:rPr>
          <w:lang w:val="es-ES_tradnl" w:bidi="ar-YE"/>
        </w:rPr>
        <w:t xml:space="preserve"> informe de ponencia para </w:t>
      </w:r>
      <w:r w:rsidR="00BF64AE">
        <w:rPr>
          <w:lang w:val="es-ES_tradnl" w:bidi="ar-YE"/>
        </w:rPr>
        <w:t>segundo</w:t>
      </w:r>
      <w:r w:rsidRPr="00F620E4">
        <w:rPr>
          <w:lang w:val="es-ES_tradnl" w:bidi="ar-YE"/>
        </w:rPr>
        <w:t xml:space="preserve"> debate </w:t>
      </w:r>
      <w:r w:rsidR="00E33088" w:rsidRPr="00F620E4">
        <w:rPr>
          <w:lang w:val="es-ES_tradnl" w:bidi="ar-YE"/>
        </w:rPr>
        <w:t>el Proyecto</w:t>
      </w:r>
      <w:r w:rsidR="00BE3A85" w:rsidRPr="00F620E4">
        <w:rPr>
          <w:lang w:val="es-ES_tradnl" w:bidi="ar-YE"/>
        </w:rPr>
        <w:t xml:space="preserve"> de </w:t>
      </w:r>
      <w:r w:rsidR="00F66BC9">
        <w:rPr>
          <w:lang w:val="es-ES_tradnl" w:bidi="ar-YE"/>
        </w:rPr>
        <w:t>Acto L</w:t>
      </w:r>
      <w:r w:rsidR="00CF059F" w:rsidRPr="00F620E4">
        <w:rPr>
          <w:lang w:val="es-ES_tradnl" w:bidi="ar-YE"/>
        </w:rPr>
        <w:t>egislativo No</w:t>
      </w:r>
      <w:r w:rsidR="00792417">
        <w:rPr>
          <w:lang w:val="es-ES_tradnl" w:bidi="ar-YE"/>
        </w:rPr>
        <w:t xml:space="preserve"> 234 de 2018 Cámara -</w:t>
      </w:r>
      <w:r w:rsidR="00CF059F" w:rsidRPr="00F620E4">
        <w:rPr>
          <w:lang w:val="es-ES_tradnl" w:bidi="ar-YE"/>
        </w:rPr>
        <w:t xml:space="preserve"> 0</w:t>
      </w:r>
      <w:r w:rsidR="00BD4C89">
        <w:rPr>
          <w:lang w:val="es-ES_tradnl" w:bidi="ar-YE"/>
        </w:rPr>
        <w:t>6</w:t>
      </w:r>
      <w:r w:rsidR="00CF059F" w:rsidRPr="00F620E4">
        <w:rPr>
          <w:lang w:val="es-ES_tradnl" w:bidi="ar-YE"/>
        </w:rPr>
        <w:t xml:space="preserve"> de 2018 </w:t>
      </w:r>
      <w:r w:rsidR="00BD4C89">
        <w:rPr>
          <w:lang w:val="es-ES_tradnl" w:bidi="ar-YE"/>
        </w:rPr>
        <w:t>Senado</w:t>
      </w:r>
      <w:r w:rsidR="00CF059F" w:rsidRPr="00F620E4">
        <w:rPr>
          <w:lang w:val="es-ES_tradnl" w:bidi="ar-YE"/>
        </w:rPr>
        <w:t xml:space="preserve"> </w:t>
      </w:r>
      <w:r w:rsidR="00BD4C89">
        <w:t>“Por el cual se incluye el artículo 11-A dentro del Capítulo I del Título II de la Constitución Política de Colombia.”</w:t>
      </w:r>
    </w:p>
    <w:p w:rsidR="00A90ECC" w:rsidRPr="00A90ECC" w:rsidRDefault="00991B72" w:rsidP="00A90ECC">
      <w:pPr>
        <w:spacing w:before="100" w:beforeAutospacing="1" w:after="100" w:afterAutospacing="1" w:line="276" w:lineRule="auto"/>
        <w:jc w:val="center"/>
        <w:rPr>
          <w:b/>
          <w:color w:val="0D0D0D"/>
          <w:lang w:eastAsia="es-CO"/>
        </w:rPr>
      </w:pPr>
      <w:r w:rsidRPr="00F620E4">
        <w:rPr>
          <w:b/>
          <w:color w:val="0D0D0D"/>
          <w:lang w:eastAsia="es-CO"/>
        </w:rPr>
        <w:t>ANTECEDENTES</w:t>
      </w:r>
    </w:p>
    <w:p w:rsidR="008158BD" w:rsidRPr="00F620E4" w:rsidRDefault="008158BD" w:rsidP="008158BD">
      <w:pPr>
        <w:pStyle w:val="Prrafodelista"/>
        <w:numPr>
          <w:ilvl w:val="0"/>
          <w:numId w:val="27"/>
        </w:numPr>
        <w:autoSpaceDN/>
        <w:spacing w:after="160" w:line="360" w:lineRule="auto"/>
        <w:jc w:val="both"/>
        <w:rPr>
          <w:b/>
        </w:rPr>
      </w:pPr>
      <w:r w:rsidRPr="00F620E4">
        <w:rPr>
          <w:b/>
        </w:rPr>
        <w:t>ANTECEDENTES LEGISLATIVOS</w:t>
      </w:r>
      <w:r w:rsidR="00A90ECC">
        <w:rPr>
          <w:b/>
        </w:rPr>
        <w:t xml:space="preserve">. </w:t>
      </w:r>
    </w:p>
    <w:p w:rsidR="00BD4C89" w:rsidRDefault="00BD4C89" w:rsidP="00A90ECC">
      <w:pPr>
        <w:spacing w:line="360" w:lineRule="auto"/>
        <w:ind w:left="357"/>
        <w:jc w:val="both"/>
        <w:rPr>
          <w:lang w:eastAsia="es-CO"/>
        </w:rPr>
      </w:pPr>
      <w:r>
        <w:t xml:space="preserve">La Constitución Política contempla cuatro disposiciones de las cuales se desprende que el derecho al agua tiene rango constitucional, sin </w:t>
      </w:r>
      <w:r w:rsidR="00A90ECC">
        <w:t>embargo,</w:t>
      </w:r>
      <w:r>
        <w:t xml:space="preserve"> no hay un precepto expreso y específico destinado a consagrar en forma inequívoca el derecho al agua como un derecho individual, contrario a lo que sucede con otros derechos como "el derecho a la vida" o "el derecho al trabajo". Ciertamente, el artículo 49 consagra la garantía del saneamiento. De igual forma, el artículo 79 determina el derecho a gozar de un medio ambiente sano y el artículo 366 consagra el mejoramiento de las condiciones de vida de la población mediante la solución de las necesidades insatisfechas en materia de saneamiento </w:t>
      </w:r>
      <w:r>
        <w:lastRenderedPageBreak/>
        <w:t>ambiental y agua potable. Tales normas no pueden desarrollarse y materializarse sin la presencia del recurso hídrico, pero tampoco definen ni establecen en qué consiste el núcleo duro del derecho fundamental al agua y cuáles son los bienes jurídicamente protegidos con este derecho</w:t>
      </w:r>
      <w:r>
        <w:rPr>
          <w:vertAlign w:val="superscript"/>
        </w:rPr>
        <w:footnoteReference w:id="1"/>
      </w:r>
      <w:r>
        <w:t>. Así mismo, se encuentra el artículo 93 que se refiere al bloque de constitucionalidad, mediante el cual se entienden incorporados -en el ordenamiento jurídico colombiano- aquellos tratados y convenios internacionales ratificados por Colombia. De especial relevancia resulta el Pacto Internacional de Derechos Económicos, Sociales y Culturales (PIDESC), el cual no estipula el derecho al agua en forma independiente o autónoma, aun cuando reconoce en su artículo 12 el derecho de las personas al disfrute del más alto nivel posible de salud física y mental, cuya realización no puede lograrse sin la disponibilidad de agua.</w:t>
      </w:r>
    </w:p>
    <w:p w:rsidR="008158BD" w:rsidRPr="00F620E4" w:rsidRDefault="008158BD" w:rsidP="008158BD">
      <w:pPr>
        <w:spacing w:line="360" w:lineRule="auto"/>
      </w:pPr>
    </w:p>
    <w:tbl>
      <w:tblPr>
        <w:tblW w:w="8931"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2942"/>
        <w:gridCol w:w="5989"/>
      </w:tblGrid>
      <w:tr w:rsidR="008158BD" w:rsidRPr="00F620E4" w:rsidTr="00C767C7">
        <w:tc>
          <w:tcPr>
            <w:tcW w:w="2942" w:type="dxa"/>
            <w:tcBorders>
              <w:top w:val="single" w:sz="4" w:space="0" w:color="auto"/>
              <w:left w:val="single" w:sz="4" w:space="0" w:color="auto"/>
              <w:bottom w:val="single" w:sz="4" w:space="0" w:color="9CC2E5"/>
              <w:right w:val="nil"/>
            </w:tcBorders>
            <w:shd w:val="clear" w:color="auto" w:fill="FFFFFF"/>
          </w:tcPr>
          <w:p w:rsidR="008158BD" w:rsidRPr="00F620E4" w:rsidRDefault="008158BD" w:rsidP="00C767C7">
            <w:pPr>
              <w:spacing w:line="360" w:lineRule="auto"/>
              <w:jc w:val="right"/>
              <w:rPr>
                <w:b/>
                <w:bCs/>
                <w:i/>
                <w:iCs/>
              </w:rPr>
            </w:pPr>
            <w:r w:rsidRPr="00F620E4">
              <w:rPr>
                <w:b/>
                <w:bCs/>
                <w:i/>
                <w:iCs/>
              </w:rPr>
              <w:t xml:space="preserve">Número de Proyecto </w:t>
            </w:r>
          </w:p>
        </w:tc>
        <w:tc>
          <w:tcPr>
            <w:tcW w:w="5989" w:type="dxa"/>
            <w:tcBorders>
              <w:top w:val="single" w:sz="4" w:space="0" w:color="auto"/>
              <w:left w:val="nil"/>
              <w:right w:val="single" w:sz="4" w:space="0" w:color="auto"/>
            </w:tcBorders>
            <w:shd w:val="clear" w:color="auto" w:fill="FFFFFF"/>
          </w:tcPr>
          <w:p w:rsidR="008158BD" w:rsidRPr="00F620E4" w:rsidRDefault="008158BD" w:rsidP="00C767C7">
            <w:pPr>
              <w:spacing w:line="360" w:lineRule="auto"/>
              <w:rPr>
                <w:b/>
                <w:bCs/>
                <w:i/>
              </w:rPr>
            </w:pPr>
            <w:r w:rsidRPr="00F620E4">
              <w:rPr>
                <w:b/>
                <w:bCs/>
              </w:rPr>
              <w:t xml:space="preserve">                                              </w:t>
            </w:r>
            <w:r w:rsidRPr="00F620E4">
              <w:rPr>
                <w:b/>
                <w:bCs/>
                <w:i/>
              </w:rPr>
              <w:t>Propósito</w:t>
            </w:r>
          </w:p>
        </w:tc>
      </w:tr>
      <w:tr w:rsidR="008158BD" w:rsidRPr="00F620E4" w:rsidTr="00C767C7">
        <w:tc>
          <w:tcPr>
            <w:tcW w:w="2942" w:type="dxa"/>
            <w:tcBorders>
              <w:left w:val="single" w:sz="4" w:space="0" w:color="auto"/>
              <w:bottom w:val="single" w:sz="4" w:space="0" w:color="9CC2E5"/>
            </w:tcBorders>
            <w:shd w:val="clear" w:color="auto" w:fill="FFFFFF"/>
          </w:tcPr>
          <w:p w:rsidR="008158BD" w:rsidRPr="00F620E4" w:rsidRDefault="008158BD" w:rsidP="00C767C7">
            <w:pPr>
              <w:spacing w:line="360" w:lineRule="auto"/>
              <w:jc w:val="right"/>
              <w:rPr>
                <w:i/>
                <w:iCs/>
              </w:rPr>
            </w:pPr>
          </w:p>
          <w:p w:rsidR="008158BD" w:rsidRPr="00F620E4" w:rsidRDefault="008158BD" w:rsidP="00C767C7">
            <w:pPr>
              <w:spacing w:line="360" w:lineRule="auto"/>
              <w:jc w:val="right"/>
              <w:rPr>
                <w:i/>
                <w:iCs/>
              </w:rPr>
            </w:pPr>
          </w:p>
          <w:p w:rsidR="008158BD" w:rsidRPr="00F620E4" w:rsidRDefault="008158BD" w:rsidP="00C767C7">
            <w:pPr>
              <w:spacing w:line="360" w:lineRule="auto"/>
              <w:jc w:val="right"/>
              <w:rPr>
                <w:i/>
                <w:iCs/>
              </w:rPr>
            </w:pPr>
            <w:r w:rsidRPr="00F620E4">
              <w:rPr>
                <w:i/>
                <w:iCs/>
              </w:rPr>
              <w:t xml:space="preserve">Proyecto de ley número 171 de 2008 de Cámara </w:t>
            </w:r>
          </w:p>
        </w:tc>
        <w:tc>
          <w:tcPr>
            <w:tcW w:w="5989" w:type="dxa"/>
            <w:tcBorders>
              <w:bottom w:val="single" w:sz="4" w:space="0" w:color="9CC2E5"/>
              <w:right w:val="single" w:sz="4" w:space="0" w:color="auto"/>
            </w:tcBorders>
            <w:shd w:val="clear" w:color="auto" w:fill="DEEAF6"/>
          </w:tcPr>
          <w:p w:rsidR="008158BD" w:rsidRPr="00F620E4" w:rsidRDefault="008158BD" w:rsidP="00C767C7">
            <w:pPr>
              <w:spacing w:line="360" w:lineRule="auto"/>
            </w:pPr>
            <w:r w:rsidRPr="00F620E4">
              <w:t xml:space="preserve">Convocatoria. </w:t>
            </w:r>
            <w:proofErr w:type="spellStart"/>
            <w:r w:rsidRPr="00F620E4">
              <w:t>Convócase</w:t>
            </w:r>
            <w:proofErr w:type="spellEnd"/>
            <w:r w:rsidRPr="00F620E4">
              <w:t xml:space="preserve"> al pueblo colombiano para que en desarrollo de lo previsto en los artículos 374 y 378 de la Constitución Política, mediante Referendo Constitucional decida si aprueba lo siguiente: </w:t>
            </w:r>
            <w:r w:rsidRPr="00F620E4">
              <w:br/>
              <w:t>“El Estado debe garantizar la protección del agua en todas sus manifestaciones por ser esencial para la vida de todas las especies y para las generaciones presentes y futuras. El agua es un bien común y público”.</w:t>
            </w:r>
          </w:p>
        </w:tc>
      </w:tr>
      <w:tr w:rsidR="008158BD" w:rsidRPr="00F620E4" w:rsidTr="00C767C7">
        <w:tc>
          <w:tcPr>
            <w:tcW w:w="2942" w:type="dxa"/>
            <w:tcBorders>
              <w:left w:val="single" w:sz="4" w:space="0" w:color="auto"/>
              <w:bottom w:val="single" w:sz="4" w:space="0" w:color="9CC2E5"/>
            </w:tcBorders>
            <w:shd w:val="clear" w:color="auto" w:fill="FFFFFF"/>
          </w:tcPr>
          <w:p w:rsidR="008158BD" w:rsidRPr="00F620E4" w:rsidRDefault="008158BD" w:rsidP="00C767C7">
            <w:pPr>
              <w:spacing w:line="360" w:lineRule="auto"/>
              <w:jc w:val="right"/>
              <w:rPr>
                <w:i/>
                <w:iCs/>
              </w:rPr>
            </w:pPr>
            <w:r w:rsidRPr="00F620E4">
              <w:rPr>
                <w:i/>
                <w:iCs/>
              </w:rPr>
              <w:t>Proyecto de Acto Legislativo número 054 de 2008 de Cámara</w:t>
            </w:r>
          </w:p>
        </w:tc>
        <w:tc>
          <w:tcPr>
            <w:tcW w:w="5989" w:type="dxa"/>
            <w:tcBorders>
              <w:bottom w:val="single" w:sz="4" w:space="0" w:color="9CC2E5"/>
              <w:right w:val="single" w:sz="4" w:space="0" w:color="auto"/>
            </w:tcBorders>
            <w:shd w:val="clear" w:color="auto" w:fill="auto"/>
          </w:tcPr>
          <w:p w:rsidR="008158BD" w:rsidRPr="00F620E4" w:rsidRDefault="008158BD" w:rsidP="00C767C7">
            <w:pPr>
              <w:spacing w:line="360" w:lineRule="auto"/>
              <w:rPr>
                <w:shd w:val="clear" w:color="auto" w:fill="FFFFFF"/>
              </w:rPr>
            </w:pPr>
            <w:r w:rsidRPr="00F620E4">
              <w:rPr>
                <w:shd w:val="clear" w:color="auto" w:fill="FFFFFF"/>
              </w:rPr>
              <w:t>El agua como derecho fundamental. “El Estado tiene la obligación de suministrar agua potable suficiente para todos, sin discriminación alguna por razones territoriales, étnicas, de género o por cualquier otro motivo. Se debe garantizar un suministro mínimo vital gratuito.”</w:t>
            </w:r>
          </w:p>
        </w:tc>
      </w:tr>
      <w:tr w:rsidR="008158BD" w:rsidRPr="00F620E4" w:rsidTr="00C767C7">
        <w:tc>
          <w:tcPr>
            <w:tcW w:w="2942" w:type="dxa"/>
            <w:tcBorders>
              <w:left w:val="single" w:sz="4" w:space="0" w:color="auto"/>
              <w:bottom w:val="single" w:sz="4" w:space="0" w:color="9CC2E5"/>
            </w:tcBorders>
            <w:shd w:val="clear" w:color="auto" w:fill="FFFFFF"/>
          </w:tcPr>
          <w:p w:rsidR="008158BD" w:rsidRPr="00F620E4" w:rsidRDefault="008158BD" w:rsidP="00C767C7">
            <w:pPr>
              <w:spacing w:line="360" w:lineRule="auto"/>
              <w:jc w:val="right"/>
              <w:rPr>
                <w:i/>
                <w:iCs/>
              </w:rPr>
            </w:pPr>
            <w:r w:rsidRPr="00F620E4">
              <w:rPr>
                <w:i/>
                <w:iCs/>
              </w:rPr>
              <w:lastRenderedPageBreak/>
              <w:t>Proyecto de ley número 047 de 2008 de Cámara</w:t>
            </w:r>
          </w:p>
        </w:tc>
        <w:tc>
          <w:tcPr>
            <w:tcW w:w="5989" w:type="dxa"/>
            <w:tcBorders>
              <w:bottom w:val="single" w:sz="4" w:space="0" w:color="9CC2E5"/>
              <w:right w:val="single" w:sz="4" w:space="0" w:color="auto"/>
            </w:tcBorders>
            <w:shd w:val="clear" w:color="auto" w:fill="DEEAF6"/>
          </w:tcPr>
          <w:p w:rsidR="008158BD" w:rsidRPr="00F620E4" w:rsidRDefault="008158BD" w:rsidP="00C767C7">
            <w:pPr>
              <w:spacing w:line="360" w:lineRule="auto"/>
            </w:pPr>
            <w:r w:rsidRPr="00F620E4">
              <w:t>Proyecto radicado por la Defensoría del Pueblo. Buscaba consagrar en la Constitución el derecho humano al agua de acuerdo con la normativa internacional y jurisprudencia local</w:t>
            </w:r>
          </w:p>
          <w:p w:rsidR="008158BD" w:rsidRPr="00F620E4" w:rsidRDefault="008158BD" w:rsidP="00C767C7">
            <w:pPr>
              <w:spacing w:line="360" w:lineRule="auto"/>
              <w:rPr>
                <w:shd w:val="clear" w:color="auto" w:fill="FFFFFF"/>
              </w:rPr>
            </w:pPr>
          </w:p>
        </w:tc>
      </w:tr>
      <w:tr w:rsidR="008158BD" w:rsidRPr="00F620E4" w:rsidTr="00C767C7">
        <w:tc>
          <w:tcPr>
            <w:tcW w:w="2942" w:type="dxa"/>
            <w:tcBorders>
              <w:left w:val="single" w:sz="4" w:space="0" w:color="auto"/>
              <w:bottom w:val="single" w:sz="4" w:space="0" w:color="9CC2E5"/>
            </w:tcBorders>
            <w:shd w:val="clear" w:color="auto" w:fill="FFFFFF"/>
          </w:tcPr>
          <w:p w:rsidR="008158BD" w:rsidRPr="00F620E4" w:rsidRDefault="008158BD" w:rsidP="00C767C7">
            <w:pPr>
              <w:spacing w:line="360" w:lineRule="auto"/>
              <w:jc w:val="right"/>
              <w:rPr>
                <w:i/>
                <w:iCs/>
              </w:rPr>
            </w:pPr>
            <w:r w:rsidRPr="00F620E4">
              <w:rPr>
                <w:bCs/>
                <w:i/>
                <w:iCs/>
              </w:rPr>
              <w:t>Proyecto de Acto Legislativo número 11 de 2016 Senado</w:t>
            </w:r>
          </w:p>
        </w:tc>
        <w:tc>
          <w:tcPr>
            <w:tcW w:w="5989" w:type="dxa"/>
            <w:tcBorders>
              <w:bottom w:val="single" w:sz="4" w:space="0" w:color="9CC2E5"/>
              <w:right w:val="single" w:sz="4" w:space="0" w:color="auto"/>
            </w:tcBorders>
            <w:shd w:val="clear" w:color="auto" w:fill="auto"/>
          </w:tcPr>
          <w:p w:rsidR="008158BD" w:rsidRPr="00F620E4" w:rsidRDefault="008158BD" w:rsidP="00C767C7">
            <w:pPr>
              <w:spacing w:before="57" w:after="57" w:line="360" w:lineRule="auto"/>
              <w:textAlignment w:val="center"/>
              <w:rPr>
                <w:lang w:eastAsia="es-CO"/>
              </w:rPr>
            </w:pPr>
            <w:r w:rsidRPr="00F620E4">
              <w:rPr>
                <w:iCs/>
                <w:lang w:val="es-ES_tradnl" w:eastAsia="es-CO"/>
              </w:rPr>
              <w:t>“El acceso al agua es un derecho humano y un recurso natural de uso público esencial para la vida y estratégico para el desarrollo social, ambiental, económico y cultural de Colombia.</w:t>
            </w:r>
          </w:p>
          <w:p w:rsidR="008158BD" w:rsidRPr="00F620E4" w:rsidRDefault="008158BD" w:rsidP="00C767C7">
            <w:pPr>
              <w:spacing w:before="57" w:after="57" w:line="360" w:lineRule="auto"/>
              <w:textAlignment w:val="center"/>
              <w:rPr>
                <w:lang w:eastAsia="es-CO"/>
              </w:rPr>
            </w:pPr>
            <w:r w:rsidRPr="00F620E4">
              <w:rPr>
                <w:iCs/>
                <w:lang w:val="es-ES_tradnl" w:eastAsia="es-CO"/>
              </w:rPr>
              <w:t>Su uso prioritario es el consumo humano sin detrimento de su función ecológica.</w:t>
            </w:r>
          </w:p>
          <w:p w:rsidR="008158BD" w:rsidRPr="00F620E4" w:rsidRDefault="008158BD" w:rsidP="00C767C7">
            <w:pPr>
              <w:spacing w:before="57" w:after="57" w:line="360" w:lineRule="auto"/>
              <w:textAlignment w:val="center"/>
              <w:rPr>
                <w:lang w:eastAsia="es-CO"/>
              </w:rPr>
            </w:pPr>
            <w:r w:rsidRPr="00F620E4">
              <w:rPr>
                <w:iCs/>
                <w:lang w:val="es-ES_tradnl" w:eastAsia="es-CO"/>
              </w:rPr>
              <w:t>El Estado colombiano debe garantizar el acceso al agua, prevenir el deterioro ambiental y contaminante, velará por la protección, conservación, recuperación y manejo sostenible del recurso hídrico y de los ecosistemas.</w:t>
            </w:r>
          </w:p>
        </w:tc>
      </w:tr>
      <w:tr w:rsidR="008158BD" w:rsidRPr="00F620E4" w:rsidTr="00C767C7">
        <w:tc>
          <w:tcPr>
            <w:tcW w:w="2942" w:type="dxa"/>
            <w:tcBorders>
              <w:left w:val="single" w:sz="4" w:space="0" w:color="auto"/>
              <w:bottom w:val="single" w:sz="4" w:space="0" w:color="auto"/>
            </w:tcBorders>
            <w:shd w:val="clear" w:color="auto" w:fill="FFFFFF"/>
          </w:tcPr>
          <w:p w:rsidR="008158BD" w:rsidRPr="00F620E4" w:rsidRDefault="008158BD" w:rsidP="00C767C7">
            <w:pPr>
              <w:spacing w:line="360" w:lineRule="auto"/>
              <w:jc w:val="right"/>
              <w:rPr>
                <w:bCs/>
                <w:i/>
                <w:iCs/>
              </w:rPr>
            </w:pPr>
            <w:r w:rsidRPr="00F620E4">
              <w:rPr>
                <w:bCs/>
                <w:i/>
                <w:iCs/>
              </w:rPr>
              <w:t>Proyecto de Acto Legislativo Nº 14 de 2017 Senado-282 de 2017 Cámara</w:t>
            </w:r>
          </w:p>
        </w:tc>
        <w:tc>
          <w:tcPr>
            <w:tcW w:w="5989" w:type="dxa"/>
            <w:tcBorders>
              <w:bottom w:val="single" w:sz="4" w:space="0" w:color="auto"/>
              <w:right w:val="single" w:sz="4" w:space="0" w:color="auto"/>
            </w:tcBorders>
            <w:shd w:val="clear" w:color="auto" w:fill="DEEAF6"/>
          </w:tcPr>
          <w:p w:rsidR="008158BD" w:rsidRPr="00F620E4" w:rsidRDefault="008158BD" w:rsidP="00C767C7">
            <w:pPr>
              <w:spacing w:before="57" w:after="57" w:line="360" w:lineRule="auto"/>
              <w:textAlignment w:val="center"/>
              <w:rPr>
                <w:iCs/>
                <w:lang w:val="es-ES_tradnl" w:eastAsia="es-CO"/>
              </w:rPr>
            </w:pPr>
            <w:r w:rsidRPr="00F620E4">
              <w:rPr>
                <w:bCs/>
              </w:rPr>
              <w:t>“Por el cual se incluye el artículo 11-A dentro del Capítulo I del Título II de la Constitución Política de Colombia.”</w:t>
            </w:r>
          </w:p>
        </w:tc>
      </w:tr>
    </w:tbl>
    <w:p w:rsidR="008158BD" w:rsidRPr="00F620E4" w:rsidRDefault="008158BD" w:rsidP="008158BD">
      <w:pPr>
        <w:spacing w:line="360" w:lineRule="auto"/>
        <w:jc w:val="both"/>
      </w:pPr>
    </w:p>
    <w:p w:rsidR="00BD4C89" w:rsidRDefault="008158BD" w:rsidP="00BD4C89">
      <w:pPr>
        <w:spacing w:line="360" w:lineRule="auto"/>
        <w:jc w:val="both"/>
      </w:pPr>
      <w:r w:rsidRPr="00F620E4">
        <w:t xml:space="preserve">Se intentó proteger una de las fuentes vitales del agua en áreas protegidas como los páramos, las áreas de reserva forestal, los humedales de </w:t>
      </w:r>
      <w:r w:rsidR="00C01F3F" w:rsidRPr="00F620E4">
        <w:t>importancia prohibiendo</w:t>
      </w:r>
      <w:r w:rsidRPr="00F620E4">
        <w:t xml:space="preserve"> la explotación minera en los ecosistemas de páramos, mediante la Ley 1382 de </w:t>
      </w:r>
      <w:r w:rsidR="00C01F3F" w:rsidRPr="00F620E4">
        <w:t>2010, que</w:t>
      </w:r>
      <w:r w:rsidRPr="00F620E4">
        <w:t xml:space="preserve"> fue reglamentada por el Decreto número 2010, pero se declaró inexequible </w:t>
      </w:r>
      <w:r w:rsidR="00C01F3F" w:rsidRPr="00F620E4">
        <w:t>por la</w:t>
      </w:r>
      <w:r w:rsidRPr="00F620E4">
        <w:t xml:space="preserve"> Corte Constitucional por cuanto no se realizó consulta previa con las comunidades, dio tiempo de dos años para corregir procedimiento, lo que no se hizo. </w:t>
      </w:r>
    </w:p>
    <w:p w:rsidR="00A90ECC" w:rsidRDefault="00A90ECC" w:rsidP="00557EF3">
      <w:pPr>
        <w:spacing w:before="57" w:after="57" w:line="360" w:lineRule="auto"/>
        <w:jc w:val="both"/>
      </w:pPr>
      <w:r>
        <w:t xml:space="preserve">A partir de los antecedentes anteriormente mencionados los </w:t>
      </w:r>
      <w:r>
        <w:rPr>
          <w:color w:val="000000"/>
        </w:rPr>
        <w:t xml:space="preserve">Honorables Senadores y Senadoras: Angélica Lozano Correa, </w:t>
      </w:r>
      <w:r>
        <w:t xml:space="preserve">Sandra Ortiz Nova, </w:t>
      </w:r>
      <w:r>
        <w:rPr>
          <w:color w:val="000000"/>
        </w:rPr>
        <w:t xml:space="preserve">Iván </w:t>
      </w:r>
      <w:proofErr w:type="spellStart"/>
      <w:r>
        <w:rPr>
          <w:color w:val="000000"/>
        </w:rPr>
        <w:t>Name</w:t>
      </w:r>
      <w:proofErr w:type="spellEnd"/>
      <w:r>
        <w:rPr>
          <w:color w:val="000000"/>
        </w:rPr>
        <w:t>,</w:t>
      </w:r>
      <w:r>
        <w:t xml:space="preserve"> </w:t>
      </w:r>
      <w:r>
        <w:rPr>
          <w:color w:val="000000"/>
        </w:rPr>
        <w:t xml:space="preserve">José Polo, Iván </w:t>
      </w:r>
      <w:r>
        <w:rPr>
          <w:color w:val="000000"/>
        </w:rPr>
        <w:lastRenderedPageBreak/>
        <w:t xml:space="preserve">Marulanda Gómez, Antonio Sanguino, Juan Castro Prieto, Honorables Representantes: Juanita </w:t>
      </w:r>
      <w:proofErr w:type="spellStart"/>
      <w:r>
        <w:t>G</w:t>
      </w:r>
      <w:r>
        <w:rPr>
          <w:color w:val="000000"/>
        </w:rPr>
        <w:t>oebertus</w:t>
      </w:r>
      <w:proofErr w:type="spellEnd"/>
      <w:r>
        <w:rPr>
          <w:color w:val="000000"/>
        </w:rPr>
        <w:t xml:space="preserve">, Inti Asprilla, Fabián Díaz Suárez, Cesar Augusto Ortiz Zorro, catalina Ortiz </w:t>
      </w:r>
      <w:proofErr w:type="spellStart"/>
      <w:r>
        <w:rPr>
          <w:color w:val="000000"/>
        </w:rPr>
        <w:t>Lalinde</w:t>
      </w:r>
      <w:proofErr w:type="spellEnd"/>
      <w:r>
        <w:rPr>
          <w:color w:val="000000"/>
        </w:rPr>
        <w:t xml:space="preserve">, Wilmer Leal Pérez, Mauricio Andrés Toro Orjuela, </w:t>
      </w:r>
      <w:proofErr w:type="spellStart"/>
      <w:r>
        <w:rPr>
          <w:color w:val="000000"/>
        </w:rPr>
        <w:t>Neyla</w:t>
      </w:r>
      <w:proofErr w:type="spellEnd"/>
      <w:r>
        <w:rPr>
          <w:color w:val="000000"/>
        </w:rPr>
        <w:t xml:space="preserve"> Ruiz Correa, León Fredy Muñoz Lopera, presentaron </w:t>
      </w:r>
      <w:r>
        <w:t xml:space="preserve">el Proyecto de Acto Legislativo N° 06 de 2018 en la Secretaria General del Senado de la Republica el día 25 de junio de 2018. Fue asignado a la </w:t>
      </w:r>
      <w:r w:rsidR="00557EF3">
        <w:t>Comisión</w:t>
      </w:r>
      <w:r>
        <w:t xml:space="preserve"> Primera Constitucional de Senado de la Republica, </w:t>
      </w:r>
      <w:r w:rsidR="00557EF3">
        <w:t xml:space="preserve">en la cual fue aprobado en primer debate el día 25 de septiembre de 2018; y el 23 de octubre de 2018 fue aprobado en segundo debate en la Plenaria del Senado. </w:t>
      </w:r>
    </w:p>
    <w:p w:rsidR="00BD4C89" w:rsidRDefault="00557EF3" w:rsidP="00BD4C89">
      <w:pPr>
        <w:spacing w:line="360" w:lineRule="auto"/>
        <w:jc w:val="both"/>
      </w:pPr>
      <w:r>
        <w:t xml:space="preserve">Actualmente, se encuentra pendiente de </w:t>
      </w:r>
      <w:proofErr w:type="spellStart"/>
      <w:r>
        <w:t>tramite</w:t>
      </w:r>
      <w:proofErr w:type="spellEnd"/>
      <w:r>
        <w:t xml:space="preserve"> para primer debate en la Comisión Primera Constitucional de la Cámara de Representantes, la cual asigno como ponente</w:t>
      </w:r>
      <w:r w:rsidR="00792417">
        <w:t xml:space="preserve">s a los Honorables Representantes Harry Giovanny González García, Jorge Méndez Hernández, Carlos German Navas Talero, Juanita María </w:t>
      </w:r>
      <w:proofErr w:type="spellStart"/>
      <w:r w:rsidR="00792417">
        <w:t>Goebertus</w:t>
      </w:r>
      <w:proofErr w:type="spellEnd"/>
      <w:r w:rsidR="00792417">
        <w:t xml:space="preserve"> Estrada, Gabriel Jaime Vallejo </w:t>
      </w:r>
      <w:proofErr w:type="spellStart"/>
      <w:r w:rsidR="00792417">
        <w:t>Chujfi</w:t>
      </w:r>
      <w:proofErr w:type="spellEnd"/>
      <w:r w:rsidR="00792417">
        <w:t xml:space="preserve">, Adriana Magali Matiz Vargas, Alfredo Rafael Deluque Zuleta, Luis Alberto Albán Urbano y Ángela María Robledo Gómez. </w:t>
      </w:r>
    </w:p>
    <w:p w:rsidR="00557EF3" w:rsidRPr="00F620E4" w:rsidRDefault="00557EF3" w:rsidP="00BD4C89">
      <w:pPr>
        <w:spacing w:line="360" w:lineRule="auto"/>
        <w:jc w:val="both"/>
      </w:pPr>
      <w:r>
        <w:t>No obstante, es importante mencionar que, en el pasado inmediato esta Comisión aprobó en primer debate el Proyecto de Acto Legislativo 009 de 2018 Cámara “</w:t>
      </w:r>
      <w:r w:rsidRPr="00F620E4">
        <w:rPr>
          <w:lang w:val="es-ES_tradnl" w:bidi="ar-YE"/>
        </w:rPr>
        <w:t>por el cual se incorpora el artículo 49ª dentro del capítulo II del título II de la Constitución Política de Colombia”</w:t>
      </w:r>
      <w:r>
        <w:rPr>
          <w:lang w:val="es-ES_tradnl" w:bidi="ar-YE"/>
        </w:rPr>
        <w:t>, el cual busca igualmente, establecer el agua como un derecho fundamental. Este proyecto se encuentra actualmente pendiente para segundo debate en la Plenaria de la Cámara de Representantes</w:t>
      </w:r>
      <w:r w:rsidR="00767D9F">
        <w:rPr>
          <w:lang w:val="es-ES_tradnl" w:bidi="ar-YE"/>
        </w:rPr>
        <w:t xml:space="preserve">. </w:t>
      </w:r>
      <w:r>
        <w:rPr>
          <w:lang w:val="es-ES_tradnl" w:bidi="ar-YE"/>
        </w:rPr>
        <w:t xml:space="preserve"> </w:t>
      </w:r>
    </w:p>
    <w:p w:rsidR="00BE34B0" w:rsidRDefault="00CF059F" w:rsidP="00397428">
      <w:pPr>
        <w:spacing w:before="100" w:beforeAutospacing="1" w:after="100" w:afterAutospacing="1" w:line="276" w:lineRule="auto"/>
        <w:jc w:val="center"/>
        <w:rPr>
          <w:b/>
          <w:color w:val="0D0D0D"/>
          <w:lang w:eastAsia="es-CO"/>
        </w:rPr>
      </w:pPr>
      <w:r w:rsidRPr="00F620E4">
        <w:rPr>
          <w:b/>
          <w:color w:val="0D0D0D"/>
          <w:lang w:eastAsia="es-CO"/>
        </w:rPr>
        <w:t>OBJETIVO DEL ACTO LEGISLATIVO</w:t>
      </w:r>
    </w:p>
    <w:p w:rsidR="00A90ECC" w:rsidRDefault="00BD4C89" w:rsidP="00A90ECC">
      <w:pPr>
        <w:spacing w:line="360" w:lineRule="auto"/>
        <w:jc w:val="both"/>
      </w:pPr>
      <w:r>
        <w:t xml:space="preserve">Para el ser humano, el agua es uno de los componentes más importantes del ambiente, ya que la materia viva de su cuerpo está compuesta aproximadamente por un setenta por ciento de dicho líquido, de tal manera que la ausencia </w:t>
      </w:r>
      <w:r w:rsidR="00A90ECC">
        <w:t>de este</w:t>
      </w:r>
      <w:r>
        <w:t xml:space="preserve"> puede afectar seriamente la salud y la vida de las personas. Adicionalmente, debe tenerse en cuenta que el agua es un bien escaso y finito, ya que no existe proceso químico o físico alguno que permita crearlo, por lo cual, la disciplina jurídica ha venido diseñando especiales mecanismos para su protección, en </w:t>
      </w:r>
      <w:r>
        <w:lastRenderedPageBreak/>
        <w:t>particular para garantizar el abastecimiento por parte de la población, considerando el agua en algunos casos específicos como un derecho humano.</w:t>
      </w:r>
    </w:p>
    <w:p w:rsidR="00A90ECC" w:rsidRDefault="00A90ECC" w:rsidP="00A90ECC">
      <w:pPr>
        <w:spacing w:line="360" w:lineRule="auto"/>
        <w:jc w:val="both"/>
      </w:pPr>
    </w:p>
    <w:p w:rsidR="00A90ECC" w:rsidRDefault="00A90ECC" w:rsidP="00A90ECC">
      <w:pPr>
        <w:spacing w:line="360" w:lineRule="auto"/>
        <w:jc w:val="both"/>
      </w:pPr>
      <w:r w:rsidRPr="00F620E4">
        <w:t xml:space="preserve">Con el objeto de fortalecer la protección del derecho al acceso al agua como recurso natural, esta iniciativa legislativa pretende establecer </w:t>
      </w:r>
      <w:r w:rsidR="00BD4C89">
        <w:t>“el agua como derecho fundamental, dentro del Capítulo I del Título II de la Constitución Política de Colombia”</w:t>
      </w:r>
      <w:r w:rsidR="00BD4C89" w:rsidRPr="00BD4C89">
        <w:t xml:space="preserve"> </w:t>
      </w:r>
      <w:r w:rsidR="00BD4C89">
        <w:t>teniendo en cuenta que el agua es un elemento indispensable para la vida y por ello tanto todos los seres humanos deben para tener una vida en condiciones de dignidad un acceso a la misma.</w:t>
      </w:r>
    </w:p>
    <w:p w:rsidR="00A90ECC" w:rsidRDefault="00BD4C89" w:rsidP="00A90ECC">
      <w:pPr>
        <w:spacing w:line="360" w:lineRule="auto"/>
        <w:jc w:val="both"/>
      </w:pPr>
      <w:r>
        <w:t>Como resultado de ello, el Estado está en la obligación de velar por su conservación y desarrollo sostenible y garantizar a la población el acceso al agua para atender sus necesidades básicas.</w:t>
      </w:r>
    </w:p>
    <w:p w:rsidR="008158BD" w:rsidRPr="00F620E4" w:rsidRDefault="008158BD" w:rsidP="00A90ECC">
      <w:pPr>
        <w:spacing w:line="360" w:lineRule="auto"/>
        <w:jc w:val="both"/>
      </w:pPr>
      <w:r w:rsidRPr="00F620E4">
        <w:t>Por</w:t>
      </w:r>
      <w:r w:rsidR="00A90ECC">
        <w:t xml:space="preserve"> </w:t>
      </w:r>
      <w:r w:rsidRPr="00F620E4">
        <w:t>otro lado,</w:t>
      </w:r>
      <w:r w:rsidR="00A90ECC">
        <w:t xml:space="preserve"> se debe temer en cuenta que, </w:t>
      </w:r>
      <w:r w:rsidRPr="00F620E4">
        <w:t>l</w:t>
      </w:r>
      <w:r w:rsidR="00C01F3F">
        <w:t>a ausencia de este líquido vital</w:t>
      </w:r>
      <w:r w:rsidRPr="00F620E4">
        <w:t>, afecta directamente la vida digna de personas y colectividades históricamente discriminadas, como las mujeres, niños y niñas, comunidades indígenas, afrodescendientes y campesinas; de tal suerte que negar, impedir, actuar con negligencia o corrupción respecto de la obligación del Estado Social de Derecho de garantizar a sus nacionales el consumo de agua potable en condiciones dignas, no es más que el impedimento para la existencia y prolongación de la vida de las y los colombianos.</w:t>
      </w:r>
    </w:p>
    <w:p w:rsidR="008158BD" w:rsidRDefault="008158BD" w:rsidP="00A90ECC">
      <w:pPr>
        <w:spacing w:line="360" w:lineRule="auto"/>
        <w:jc w:val="both"/>
      </w:pPr>
      <w:r w:rsidRPr="00F620E4">
        <w:t xml:space="preserve">En este sentido, y teniendo presente las múltiples obligaciones del Estado colombiano al respecto en el escenario internacional y de las múltiples sentencias de la Corte Constitucional [ambos aspectos desarrollados más adelante] en las que se señala que el acceso al agua potable conlleva en Colombia una doble connotación, en el sentido de señalarla como servicio público y a su vez como </w:t>
      </w:r>
      <w:r w:rsidR="00C01F3F">
        <w:t>derecho fundamental, el presente</w:t>
      </w:r>
      <w:r w:rsidRPr="00F620E4">
        <w:t xml:space="preserve"> proyecto de acto legislativo, pretende garantizar el acceso al agua como derechos fundamentales reconocidos ampliamente en la Constitución Política.</w:t>
      </w:r>
    </w:p>
    <w:p w:rsidR="00BB308E" w:rsidRDefault="00BB308E" w:rsidP="00BB308E">
      <w:pPr>
        <w:spacing w:before="57" w:after="57" w:line="360" w:lineRule="auto"/>
        <w:jc w:val="both"/>
        <w:rPr>
          <w:lang w:eastAsia="es-CO"/>
        </w:rPr>
      </w:pPr>
      <w:r>
        <w:t xml:space="preserve">Por tal motivo, los tres objetivos concretos que persigue el Acto Legislativo No. 06 de 2018 son: </w:t>
      </w:r>
    </w:p>
    <w:p w:rsidR="00BB308E" w:rsidRDefault="00BB308E" w:rsidP="00BB308E">
      <w:pPr>
        <w:numPr>
          <w:ilvl w:val="0"/>
          <w:numId w:val="35"/>
        </w:numPr>
        <w:autoSpaceDN/>
        <w:spacing w:line="360" w:lineRule="auto"/>
        <w:contextualSpacing/>
        <w:jc w:val="both"/>
      </w:pPr>
      <w:r>
        <w:lastRenderedPageBreak/>
        <w:t>Delimitar, precisar el alcance y consagrar de manera expresa el derecho humano al agua, con prevalencia para el consumo humano y su función ecológica, como un derecho de protección constitucional, teniendo en cuenta la reiterada jurisprudencia de la Corte Constitucional al respecto.</w:t>
      </w:r>
    </w:p>
    <w:p w:rsidR="00BB308E" w:rsidRDefault="00BB308E" w:rsidP="00BB308E">
      <w:pPr>
        <w:spacing w:before="57" w:line="360" w:lineRule="auto"/>
        <w:ind w:left="1080"/>
        <w:jc w:val="both"/>
      </w:pPr>
    </w:p>
    <w:p w:rsidR="00BB308E" w:rsidRPr="00767D9F" w:rsidRDefault="00BB308E" w:rsidP="00767D9F">
      <w:pPr>
        <w:numPr>
          <w:ilvl w:val="0"/>
          <w:numId w:val="35"/>
        </w:numPr>
        <w:autoSpaceDN/>
        <w:spacing w:line="360" w:lineRule="auto"/>
        <w:contextualSpacing/>
        <w:jc w:val="both"/>
      </w:pPr>
      <w:r>
        <w:t>Acatar la orden emitida por la Corte Constitucional que indicó que el legislador posee la “obligación de expedir leyes dirigidas a la realización de los derechos fundamentales al agua y a un ambiente sano en todos los órdenes”</w:t>
      </w:r>
      <w:r>
        <w:rPr>
          <w:vertAlign w:val="superscript"/>
        </w:rPr>
        <w:footnoteReference w:id="2"/>
      </w:r>
      <w:r>
        <w:t>.</w:t>
      </w:r>
    </w:p>
    <w:p w:rsidR="00BB308E" w:rsidRDefault="00BB308E" w:rsidP="00767D9F">
      <w:pPr>
        <w:numPr>
          <w:ilvl w:val="0"/>
          <w:numId w:val="35"/>
        </w:numPr>
        <w:autoSpaceDN/>
        <w:spacing w:line="360" w:lineRule="auto"/>
        <w:contextualSpacing/>
        <w:jc w:val="both"/>
      </w:pPr>
      <w:r>
        <w:t xml:space="preserve">Subsanar el déficit de protección al derecho al agua establecido por la Corte Constitucional en la sentencia C-035 de 2016 en la que se pronunció sobre la protección de los ecosistemas de páramo y destacó que “existe un déficit normativo y regulatorio para cumplir con el deber constitucional de proteger las áreas de especial importancia ecológica, en este caso, los ecosistemas de páramo. Adicionalmente, el déficit de protección no sólo vulnera el derecho al ambiente sano, sino que también compromete el derecho fundamental al agua debido a que se desconoce la obligación del Estado de proteger las áreas de influencia de nacimientos, acuíferos y de estrellas fluviales”. </w:t>
      </w:r>
    </w:p>
    <w:p w:rsidR="00BB308E" w:rsidRDefault="00BB308E" w:rsidP="00767D9F">
      <w:pPr>
        <w:numPr>
          <w:ilvl w:val="0"/>
          <w:numId w:val="35"/>
        </w:numPr>
        <w:autoSpaceDN/>
        <w:spacing w:line="360" w:lineRule="auto"/>
        <w:contextualSpacing/>
        <w:jc w:val="both"/>
      </w:pPr>
      <w:r>
        <w:t xml:space="preserve">Establecer que el Estado colombiano garantizará la protección, y recuperación de los ecosistemas del recurso hídrico. </w:t>
      </w:r>
    </w:p>
    <w:p w:rsidR="00767D9F" w:rsidRPr="00BF64AE" w:rsidRDefault="00BB308E" w:rsidP="00BF64AE">
      <w:pPr>
        <w:spacing w:before="57" w:after="57" w:line="360" w:lineRule="auto"/>
        <w:jc w:val="both"/>
      </w:pPr>
      <w:r>
        <w:t xml:space="preserve">Para el cumplimiento de dichos objetivos, el artículo 11 A reconoce: i) el derecho fundamental al agua de todos los seres humanos en el territorio nacional, ii) el derecho al agua en condiciones de accesibilidad, calidad y disponibilidad conforme al principio de progresividad iii) el uso prioritario del agua para consumo humano, sin detrimento de su función ecológica y iv) el deber del Estado de garantizar la protección y recuperación de los ecosistemas del recurso hídrico.  </w:t>
      </w:r>
    </w:p>
    <w:p w:rsidR="00B03FA5" w:rsidRDefault="00B03FA5" w:rsidP="00767D9F">
      <w:pPr>
        <w:pStyle w:val="NormalWeb"/>
        <w:shd w:val="clear" w:color="auto" w:fill="FFFFFF"/>
        <w:spacing w:line="276" w:lineRule="auto"/>
        <w:jc w:val="center"/>
        <w:rPr>
          <w:rFonts w:ascii="Times New Roman" w:hAnsi="Times New Roman" w:cs="Times New Roman"/>
          <w:b/>
          <w:lang w:val="es-ES_tradnl"/>
        </w:rPr>
      </w:pPr>
    </w:p>
    <w:p w:rsidR="00B03FA5" w:rsidRDefault="00B03FA5" w:rsidP="00767D9F">
      <w:pPr>
        <w:pStyle w:val="NormalWeb"/>
        <w:shd w:val="clear" w:color="auto" w:fill="FFFFFF"/>
        <w:spacing w:line="276" w:lineRule="auto"/>
        <w:jc w:val="center"/>
        <w:rPr>
          <w:rFonts w:ascii="Times New Roman" w:hAnsi="Times New Roman" w:cs="Times New Roman"/>
          <w:b/>
          <w:lang w:val="es-ES_tradnl"/>
        </w:rPr>
      </w:pPr>
    </w:p>
    <w:p w:rsidR="00BB308E" w:rsidRPr="00767D9F" w:rsidRDefault="00BB308E" w:rsidP="00767D9F">
      <w:pPr>
        <w:pStyle w:val="NormalWeb"/>
        <w:shd w:val="clear" w:color="auto" w:fill="FFFFFF"/>
        <w:spacing w:line="276" w:lineRule="auto"/>
        <w:jc w:val="center"/>
        <w:rPr>
          <w:rFonts w:ascii="Times New Roman" w:hAnsi="Times New Roman" w:cs="Times New Roman"/>
          <w:b/>
          <w:lang w:val="es-ES_tradnl"/>
        </w:rPr>
      </w:pPr>
      <w:r>
        <w:rPr>
          <w:rFonts w:ascii="Times New Roman" w:hAnsi="Times New Roman" w:cs="Times New Roman"/>
          <w:b/>
          <w:lang w:val="es-ES_tradnl"/>
        </w:rPr>
        <w:lastRenderedPageBreak/>
        <w:t xml:space="preserve">IMPORTANCIA DEL PROYECTO DE ACTO LEGISLATIVO </w:t>
      </w:r>
    </w:p>
    <w:p w:rsidR="00BB308E" w:rsidRDefault="00BB308E" w:rsidP="00BB308E">
      <w:pPr>
        <w:spacing w:line="360" w:lineRule="auto"/>
        <w:jc w:val="both"/>
        <w:rPr>
          <w:lang w:eastAsia="es-CO"/>
        </w:rPr>
      </w:pPr>
      <w:r>
        <w:t>En el marco del Pacto de Derechos Económicos, Sociales y Culturales, en el año 2002 su Comité promulgó la Observación General No. 15</w:t>
      </w:r>
      <w:r>
        <w:rPr>
          <w:vertAlign w:val="superscript"/>
        </w:rPr>
        <w:footnoteReference w:id="3"/>
      </w:r>
      <w:r>
        <w:t xml:space="preserve">, en la cual se delimitó el concepto y contenido del derecho humano al agua, en adelante, DHA. </w:t>
      </w:r>
    </w:p>
    <w:p w:rsidR="00BB308E" w:rsidRDefault="00BB308E" w:rsidP="00BB308E">
      <w:pPr>
        <w:spacing w:line="360" w:lineRule="auto"/>
        <w:jc w:val="both"/>
        <w:rPr>
          <w:highlight w:val="green"/>
        </w:rPr>
      </w:pPr>
    </w:p>
    <w:p w:rsidR="00BB308E" w:rsidRDefault="00BB308E" w:rsidP="00BB308E">
      <w:pPr>
        <w:spacing w:line="360" w:lineRule="auto"/>
        <w:jc w:val="both"/>
      </w:pPr>
      <w:r>
        <w:t>Teniendo en cuenta la fecha de expedición de la Observación, el ordenamiento jurídico colombiano en ese momento no contemplaba mención alguna sobre el concepto y los componentes del derecho humano al agua. Razón por la cual no se encuentran normas especiales y expresas (o un cuerpo normativo propio) que lo comprenda.</w:t>
      </w:r>
    </w:p>
    <w:p w:rsidR="00BB308E" w:rsidRDefault="00BB308E" w:rsidP="00BB308E">
      <w:pPr>
        <w:spacing w:line="360" w:lineRule="auto"/>
        <w:jc w:val="both"/>
      </w:pPr>
      <w:r>
        <w:t>No obstante, a partir de la jurisprudencia constitucional y otros mecanismos</w:t>
      </w:r>
      <w:r>
        <w:rPr>
          <w:vertAlign w:val="superscript"/>
        </w:rPr>
        <w:footnoteReference w:id="4"/>
      </w:r>
      <w:r>
        <w:t>, este derecho ha venido siendo incluido en nuestras normas, y de hecho, actualmente se encuentra adscripto a la Constitución Política</w:t>
      </w:r>
      <w:r>
        <w:rPr>
          <w:vertAlign w:val="superscript"/>
        </w:rPr>
        <w:footnoteReference w:id="5"/>
      </w:r>
      <w:r>
        <w:t>, la cual irradia el resto del ordenamiento jurídico colombiano. Tanto así, que la Corte Constitucional ha dicho que el legislador posee la “obligación de expedir leyes dirigidas a la realización de los derechos fundamentales al agua y a un ambiente sano en todos los órdenes”</w:t>
      </w:r>
      <w:r>
        <w:rPr>
          <w:vertAlign w:val="superscript"/>
        </w:rPr>
        <w:footnoteReference w:id="6"/>
      </w:r>
      <w:r>
        <w:t xml:space="preserve">. </w:t>
      </w:r>
    </w:p>
    <w:p w:rsidR="00BB308E" w:rsidRDefault="00BB308E" w:rsidP="00BB308E">
      <w:pPr>
        <w:spacing w:before="57" w:after="57" w:line="360" w:lineRule="auto"/>
        <w:jc w:val="both"/>
        <w:rPr>
          <w:color w:val="000000"/>
        </w:rPr>
      </w:pPr>
      <w:r>
        <w:rPr>
          <w:color w:val="000000"/>
        </w:rPr>
        <w:t>Con el objeto de fortalecer la protección del derecho al acceso al agua como recurso natural, esta iniciativa pretende establecer el agua como derecho fundamental, dentro del Capítulo I del Título II de la Constitución Política de Colombia, teniendo en cuenta que el agua es un elemento del que deben gozar todos los seres humanos de esta y las generaciones futuras. Como resultado de ello, el Estado está en la obligación de velar por su conservación y desarrollo sostenible y garantizar a la población el acceso para a</w:t>
      </w:r>
      <w:r w:rsidR="00767D9F">
        <w:rPr>
          <w:color w:val="000000"/>
        </w:rPr>
        <w:t>tender sus necesidades básicas.</w:t>
      </w:r>
    </w:p>
    <w:p w:rsidR="00720C72" w:rsidRDefault="00BB308E" w:rsidP="00BB308E">
      <w:pPr>
        <w:spacing w:before="57" w:after="57" w:line="360" w:lineRule="auto"/>
        <w:jc w:val="both"/>
        <w:rPr>
          <w:color w:val="000000"/>
        </w:rPr>
      </w:pPr>
      <w:r>
        <w:rPr>
          <w:color w:val="000000"/>
        </w:rPr>
        <w:lastRenderedPageBreak/>
        <w:t>Una manera efectiva para proteger y garantizar la sostenibilidad de su uso es darle categoría de derecho fundamental, equiparándola a una norma no negociable y poniéndola por encima de los modelos económicos de mercado y los intereses particulares y haciendo énfasis en su carácter de recurso de carácter estratégico para el desarrollo económico, social, cultural y fundamental para la existencia del ser humano.</w:t>
      </w:r>
    </w:p>
    <w:p w:rsidR="00BB308E" w:rsidRDefault="00BB308E" w:rsidP="00BB308E">
      <w:pPr>
        <w:spacing w:before="57" w:after="57" w:line="360" w:lineRule="auto"/>
        <w:jc w:val="both"/>
        <w:rPr>
          <w:color w:val="000000"/>
        </w:rPr>
      </w:pPr>
      <w:r>
        <w:rPr>
          <w:color w:val="000000"/>
        </w:rPr>
        <w:t>En la exposición de motivos del proyecto de acto legislativo se hizo referencia a documentos científicos y de organizaciones internacionales que ponen de presente la magnitud de la importancia de garantizar la disponibilidad del recurso hídrico para la supervivencia de la especie y la conservación d</w:t>
      </w:r>
      <w:r w:rsidR="00767D9F">
        <w:rPr>
          <w:color w:val="000000"/>
        </w:rPr>
        <w:t xml:space="preserve">e la vida a escala planetaria. </w:t>
      </w:r>
    </w:p>
    <w:p w:rsidR="00BB308E" w:rsidRDefault="00BB308E" w:rsidP="00BB308E">
      <w:pPr>
        <w:spacing w:before="57" w:after="57" w:line="360" w:lineRule="auto"/>
        <w:jc w:val="both"/>
        <w:rPr>
          <w:color w:val="000000"/>
        </w:rPr>
      </w:pPr>
      <w:r>
        <w:rPr>
          <w:color w:val="000000"/>
        </w:rPr>
        <w:t>No cabe duda entonces de la trascendencia que el acceso al agua tiene para la garantía de la calidad de vida, actual y futura, para los seres humanos, como también de su utilidad para el desarrollo de actividades económicas, culturales y recreativas. Sin embargo, debe quedar claro el orden de prioridades, de manera que en la gestión del recurso siempre prevalezca su aptitud para el consumo en actividades humanas sobre su utilización para actividades económicas, y de allí la conveniencia de elevar su acceso a la con</w:t>
      </w:r>
      <w:r w:rsidR="00767D9F">
        <w:rPr>
          <w:color w:val="000000"/>
        </w:rPr>
        <w:t xml:space="preserve">dición de derecho fundamental. </w:t>
      </w:r>
    </w:p>
    <w:p w:rsidR="00BB308E" w:rsidRPr="00767D9F" w:rsidRDefault="00BB308E" w:rsidP="00BB308E">
      <w:pPr>
        <w:spacing w:before="57" w:after="57" w:line="360" w:lineRule="auto"/>
        <w:jc w:val="both"/>
        <w:rPr>
          <w:color w:val="000000"/>
        </w:rPr>
      </w:pPr>
      <w:r>
        <w:rPr>
          <w:color w:val="000000"/>
        </w:rPr>
        <w:t>Ya en el orden interno el acceso al agua es catalogado como un servicio público esencial, cuyo aseguramiento prestacional corresponde a los municipios, pero esa catalogación es insuficiente, si se atiende a lo previsto en instrumentos internacionales que lo categorizan como el derecho de todos a disponer de agua suficiente, salubre, aceptable, accesible y asequible par</w:t>
      </w:r>
      <w:r w:rsidR="00767D9F">
        <w:rPr>
          <w:color w:val="000000"/>
        </w:rPr>
        <w:t xml:space="preserve">a el uso personal y doméstico. </w:t>
      </w:r>
    </w:p>
    <w:p w:rsidR="00BB308E" w:rsidRDefault="00BB308E" w:rsidP="00BB308E">
      <w:pPr>
        <w:spacing w:before="57" w:after="57" w:line="360" w:lineRule="auto"/>
        <w:jc w:val="both"/>
        <w:rPr>
          <w:color w:val="000000"/>
        </w:rPr>
      </w:pPr>
      <w:r>
        <w:rPr>
          <w:color w:val="000000"/>
        </w:rPr>
        <w:t>Por ello, frente a la posibilidad del uso del agua para la explotación de recursos naturales, desde el derecho internacional y el derecho interno se han promovido una serie de políticas de planificación dirigidas a la protección ambiental y de la biodiversidad, en armonía con el aprovechamiento de los recursos naturales, en el marco de la función ecológica de la propiedad, el respeto por el derecho a un medio ambiente sano y la protección del medio ambiente, y de conformidad con los tratados internacionales que en materia ecológica se</w:t>
      </w:r>
      <w:r w:rsidR="00767D9F">
        <w:rPr>
          <w:color w:val="000000"/>
        </w:rPr>
        <w:t xml:space="preserve"> han ratificado.</w:t>
      </w:r>
    </w:p>
    <w:p w:rsidR="00BB308E" w:rsidRPr="00767D9F" w:rsidRDefault="00BB308E" w:rsidP="00BB308E">
      <w:pPr>
        <w:spacing w:before="57" w:after="57" w:line="360" w:lineRule="auto"/>
        <w:jc w:val="both"/>
        <w:rPr>
          <w:color w:val="000000"/>
        </w:rPr>
      </w:pPr>
      <w:r>
        <w:rPr>
          <w:color w:val="000000"/>
        </w:rPr>
        <w:lastRenderedPageBreak/>
        <w:t xml:space="preserve">No obstante, al concretar los mecanismos de uso del recurso para la explotación de los recursos naturales, la modalidad retributiva establecida en las concesiones ha derivado en un resultado perverso, consistente en que el que contamina paga, desconociendo la obligación que tiene el Estado de garantizar la plena disponibilidad del recurso tanto para la supervivencia humana como para el desarrollo económico, social y cultural de </w:t>
      </w:r>
      <w:r w:rsidR="00767D9F">
        <w:rPr>
          <w:color w:val="000000"/>
        </w:rPr>
        <w:t xml:space="preserve">los habitantes del territorio. </w:t>
      </w:r>
    </w:p>
    <w:p w:rsidR="00BB308E" w:rsidRPr="00BF64AE" w:rsidRDefault="00BB308E" w:rsidP="00BF64AE">
      <w:pPr>
        <w:spacing w:before="57" w:after="57" w:line="360" w:lineRule="auto"/>
        <w:jc w:val="both"/>
        <w:rPr>
          <w:color w:val="000000"/>
        </w:rPr>
      </w:pPr>
      <w:r>
        <w:rPr>
          <w:color w:val="000000"/>
        </w:rPr>
        <w:t xml:space="preserve">Es indispensable, por consiguiente, no crear estrategias de sanción y de penalización a quienes contaminen, sino establecer las pautas necesarias para la prevención y mitigación de la contaminación medioambiental, dado que aquellas estrategias, expresadas en normas como los Decretos 934 de 2013 y 2691 de 2014 y en el propio Plan Nacional de Desarrollo, aquellos suspendidos por el Consejo de Estado y el artículo correspondiente de este último declarado inexequible por la Corte Constitucional, han ocasionado daños ambientales irreversibles, especialmente en las zonas de páramos y aquellas afectadas por la explotación de recursos </w:t>
      </w:r>
      <w:proofErr w:type="spellStart"/>
      <w:r>
        <w:rPr>
          <w:color w:val="000000"/>
        </w:rPr>
        <w:t>hidrocarburíferos</w:t>
      </w:r>
      <w:proofErr w:type="spellEnd"/>
      <w:r>
        <w:rPr>
          <w:color w:val="000000"/>
        </w:rPr>
        <w:t>.</w:t>
      </w:r>
    </w:p>
    <w:p w:rsidR="00B03FA5" w:rsidRDefault="00B03FA5" w:rsidP="00720C72">
      <w:pPr>
        <w:pStyle w:val="NormalWeb"/>
        <w:shd w:val="clear" w:color="auto" w:fill="FFFFFF"/>
        <w:spacing w:line="276" w:lineRule="auto"/>
        <w:jc w:val="center"/>
        <w:rPr>
          <w:rFonts w:ascii="Times New Roman" w:hAnsi="Times New Roman" w:cs="Times New Roman"/>
          <w:b/>
          <w:lang w:val="es-ES_tradnl"/>
        </w:rPr>
      </w:pPr>
    </w:p>
    <w:p w:rsidR="001A76C9" w:rsidRPr="00F620E4" w:rsidRDefault="001A76C9" w:rsidP="00720C72">
      <w:pPr>
        <w:pStyle w:val="NormalWeb"/>
        <w:shd w:val="clear" w:color="auto" w:fill="FFFFFF"/>
        <w:spacing w:line="276" w:lineRule="auto"/>
        <w:jc w:val="center"/>
        <w:rPr>
          <w:rFonts w:ascii="Times New Roman" w:hAnsi="Times New Roman" w:cs="Times New Roman"/>
          <w:b/>
          <w:lang w:val="es-ES_tradnl"/>
        </w:rPr>
      </w:pPr>
      <w:r w:rsidRPr="00F620E4">
        <w:rPr>
          <w:rFonts w:ascii="Times New Roman" w:hAnsi="Times New Roman" w:cs="Times New Roman"/>
          <w:b/>
          <w:lang w:val="es-ES_tradnl"/>
        </w:rPr>
        <w:t xml:space="preserve">MARCO JURÍDICO DEL </w:t>
      </w:r>
      <w:r w:rsidR="00CF059F" w:rsidRPr="00F620E4">
        <w:rPr>
          <w:rFonts w:ascii="Times New Roman" w:hAnsi="Times New Roman" w:cs="Times New Roman"/>
          <w:b/>
          <w:lang w:val="es-ES_tradnl"/>
        </w:rPr>
        <w:t>ACTO LEGISLATIVO</w:t>
      </w:r>
    </w:p>
    <w:p w:rsidR="003D0280" w:rsidRPr="00BB308E" w:rsidRDefault="001A76C9" w:rsidP="00BB308E">
      <w:pPr>
        <w:pStyle w:val="NormalWeb"/>
        <w:shd w:val="clear" w:color="auto" w:fill="FFFFFF"/>
        <w:spacing w:line="360" w:lineRule="auto"/>
        <w:rPr>
          <w:rFonts w:ascii="Times New Roman" w:hAnsi="Times New Roman" w:cs="Times New Roman"/>
          <w:b/>
          <w:lang w:val="es-ES_tradnl"/>
        </w:rPr>
      </w:pPr>
      <w:r w:rsidRPr="00F620E4">
        <w:rPr>
          <w:rFonts w:ascii="Times New Roman" w:hAnsi="Times New Roman" w:cs="Times New Roman"/>
          <w:b/>
          <w:lang w:val="es-ES_tradnl"/>
        </w:rPr>
        <w:t>FUNDAMENTO CONSITUCIONAL</w:t>
      </w:r>
    </w:p>
    <w:p w:rsidR="00BB308E" w:rsidRDefault="00BB308E" w:rsidP="00BB308E">
      <w:pPr>
        <w:spacing w:after="200" w:line="360" w:lineRule="auto"/>
        <w:jc w:val="both"/>
        <w:rPr>
          <w:lang w:eastAsia="es-CO"/>
        </w:rPr>
      </w:pPr>
      <w:r>
        <w:t xml:space="preserve">Los artículos 93, 94 y 214 de la Carta Constitucional prevén un instrumento para integrar el derecho colombiano al Derecho Internacional de los Derechos Humanos y el Derecho Internacional Humanitario. Se trata del bloque de constitucionalidad, compuesto por normas y principios utilizados como parámetros del control de constitucionalidad de las leyes, por haber sido integrados a la Constitución por mandato de esta. </w:t>
      </w:r>
    </w:p>
    <w:p w:rsidR="00CD27DC" w:rsidRPr="00F620E4" w:rsidRDefault="00CD27DC" w:rsidP="00CB4AD7">
      <w:pPr>
        <w:autoSpaceDN/>
        <w:spacing w:after="160" w:line="360" w:lineRule="auto"/>
        <w:jc w:val="both"/>
        <w:rPr>
          <w:b/>
          <w:lang w:val="es-ES"/>
        </w:rPr>
      </w:pPr>
      <w:r w:rsidRPr="00F620E4">
        <w:rPr>
          <w:b/>
          <w:lang w:val="es-ES"/>
        </w:rPr>
        <w:t>EL</w:t>
      </w:r>
      <w:r w:rsidR="00CF059F" w:rsidRPr="00F620E4">
        <w:rPr>
          <w:b/>
          <w:lang w:val="es-ES"/>
        </w:rPr>
        <w:t xml:space="preserve"> DERECHO AL AGUA EN EL MARCO DEL DERECHO</w:t>
      </w:r>
      <w:r w:rsidRPr="00F620E4">
        <w:rPr>
          <w:b/>
          <w:lang w:val="es-ES"/>
        </w:rPr>
        <w:t xml:space="preserve"> INTERNACIONAL</w:t>
      </w:r>
    </w:p>
    <w:p w:rsidR="00BB308E" w:rsidRDefault="00BB308E" w:rsidP="00BB308E">
      <w:pPr>
        <w:pStyle w:val="Ttulo4"/>
        <w:keepLines w:val="0"/>
        <w:widowControl w:val="0"/>
        <w:spacing w:before="0" w:after="0" w:line="360" w:lineRule="auto"/>
        <w:ind w:right="284"/>
        <w:jc w:val="both"/>
      </w:pPr>
      <w:r>
        <w:t>En el Derecho Internacional de Derechos Humanos</w:t>
      </w:r>
    </w:p>
    <w:p w:rsidR="00BB308E" w:rsidRDefault="00BB308E" w:rsidP="00BB308E">
      <w:pPr>
        <w:spacing w:line="360" w:lineRule="auto"/>
        <w:ind w:right="284"/>
        <w:jc w:val="both"/>
      </w:pPr>
      <w:r>
        <w:t xml:space="preserve">En este cuerpo normativo se encuentra contemplado el derecho humano al agua de tres formas principales. De manera implícita, relacionada con otros derechos especiales y de </w:t>
      </w:r>
      <w:r>
        <w:lastRenderedPageBreak/>
        <w:t>manera autónoma y explicita como en la doctrina de las Observaciones del Comité de Derechos Económicos, Sociales y Culturales de las Naciones Unidas.</w:t>
      </w:r>
    </w:p>
    <w:p w:rsidR="00BB308E" w:rsidRDefault="00BB308E" w:rsidP="00BB308E">
      <w:pPr>
        <w:ind w:left="284" w:right="284"/>
        <w:jc w:val="both"/>
      </w:pPr>
    </w:p>
    <w:p w:rsidR="00BB308E" w:rsidRDefault="00BB308E" w:rsidP="00BB308E">
      <w:pPr>
        <w:spacing w:line="360" w:lineRule="auto"/>
        <w:ind w:right="284"/>
        <w:jc w:val="both"/>
      </w:pPr>
      <w:r>
        <w:rPr>
          <w:b/>
        </w:rPr>
        <w:t>a)</w:t>
      </w:r>
      <w:r>
        <w:t xml:space="preserve"> De manera implícita o indirecta</w:t>
      </w:r>
      <w:r>
        <w:rPr>
          <w:vertAlign w:val="superscript"/>
        </w:rPr>
        <w:footnoteReference w:id="7"/>
      </w:r>
      <w:r>
        <w:t xml:space="preserve"> está en la Declaración Universal de los Derechos Humanos adoptada por las Naciones Unidas en 1948</w:t>
      </w:r>
      <w:r>
        <w:rPr>
          <w:vertAlign w:val="superscript"/>
        </w:rPr>
        <w:footnoteReference w:id="8"/>
      </w:r>
      <w:r>
        <w:t xml:space="preserve">, en el Pacto Internacional de Derechos Económicos, Sociales y Culturales de 1966 y otros, donde se expresa que toda persona tiene derecho a un nivel de vida adecuado que le asegure la salud, el bienestar y la alimentación; lo cual sin agua no es posible. </w:t>
      </w:r>
    </w:p>
    <w:p w:rsidR="00BB308E" w:rsidRDefault="00BB308E" w:rsidP="00BB308E">
      <w:pPr>
        <w:spacing w:line="360" w:lineRule="auto"/>
        <w:ind w:right="284"/>
        <w:jc w:val="both"/>
      </w:pPr>
      <w:r>
        <w:rPr>
          <w:b/>
        </w:rPr>
        <w:t>b)</w:t>
      </w:r>
      <w:r>
        <w:t xml:space="preserve"> Relacionada con otros derechos está en la Convención</w:t>
      </w:r>
      <w:r>
        <w:rPr>
          <w:vertAlign w:val="superscript"/>
        </w:rPr>
        <w:footnoteReference w:id="9"/>
      </w:r>
      <w:r>
        <w:t xml:space="preserve"> sobre los Derechos del Niño</w:t>
      </w:r>
      <w:r>
        <w:rPr>
          <w:vertAlign w:val="superscript"/>
        </w:rPr>
        <w:footnoteReference w:id="10"/>
      </w:r>
      <w:r>
        <w:t xml:space="preserve">, el cual expresa la necesidad imperante de los Estados de “combatir las enfermedades y la malnutrición en el marco de la atención primaria de la salud mediante, entre otras cosas, la aplicación de la tecnología disponible y el suministro de alimentos nutritivos adecuados y agua potable salubre, teniendo en cuenta los peligros y riesgos de contaminación del medio ambiente”. Nótese que la norma expresa la obligación del Estado en términos de suministro, sin interesar la manera de realizarlo. Por </w:t>
      </w:r>
      <w:proofErr w:type="gramStart"/>
      <w:r>
        <w:t>tanto</w:t>
      </w:r>
      <w:proofErr w:type="gramEnd"/>
      <w:r>
        <w:t xml:space="preserve"> se deberá garantizar de manera física la entrega del líquido a la población infantil. </w:t>
      </w:r>
      <w:bookmarkStart w:id="0" w:name="_3znysh7"/>
      <w:bookmarkEnd w:id="0"/>
    </w:p>
    <w:p w:rsidR="00BB308E" w:rsidRDefault="00BB308E" w:rsidP="00BB308E">
      <w:pPr>
        <w:spacing w:line="360" w:lineRule="auto"/>
        <w:ind w:right="284"/>
        <w:jc w:val="both"/>
        <w:rPr>
          <w:b/>
        </w:rPr>
      </w:pPr>
      <w:r w:rsidRPr="00BB308E">
        <w:rPr>
          <w:b/>
        </w:rPr>
        <w:t>En las Observaciones Generales del Comité de Derechos Económicos, Sociales y Culturales.</w:t>
      </w:r>
    </w:p>
    <w:p w:rsidR="00BB308E" w:rsidRDefault="00BB308E" w:rsidP="00BB308E">
      <w:pPr>
        <w:spacing w:line="360" w:lineRule="auto"/>
        <w:ind w:right="284"/>
        <w:jc w:val="both"/>
        <w:rPr>
          <w:b/>
        </w:rPr>
      </w:pPr>
      <w:r>
        <w:t xml:space="preserve">Estas son las interpretaciones autorizadas del Pacto Internacional de Derechos Económicos, Sociales y Culturales, entre las cuales tres están relacionadas con el agua </w:t>
      </w:r>
      <w:proofErr w:type="gramStart"/>
      <w:r>
        <w:t>la número</w:t>
      </w:r>
      <w:proofErr w:type="gramEnd"/>
      <w:r>
        <w:t xml:space="preserve"> 15, la 12 y la 14.</w:t>
      </w:r>
    </w:p>
    <w:p w:rsidR="00BB308E" w:rsidRDefault="00BB308E" w:rsidP="00BB308E">
      <w:pPr>
        <w:spacing w:line="360" w:lineRule="auto"/>
        <w:ind w:right="284"/>
        <w:jc w:val="both"/>
        <w:rPr>
          <w:b/>
        </w:rPr>
      </w:pPr>
      <w:r>
        <w:lastRenderedPageBreak/>
        <w:t>La Observación General no. 15, es tal vez el cuerpo más importante respecto del derecho humano al agua que nace en interpretación de lo dispuesto en los artículos 11 y 12</w:t>
      </w:r>
      <w:r>
        <w:rPr>
          <w:vertAlign w:val="superscript"/>
        </w:rPr>
        <w:footnoteReference w:id="11"/>
      </w:r>
      <w:r>
        <w:t xml:space="preserve"> del Pacto. Ésta, parte de una visión amplia del derecho a la vida digna donde el agua es una condición para la supervivencia de los seres humanos y ayuda a la realización de otros derechos del pacto como la alimentación, la vivienda, la educación y la cultura.</w:t>
      </w:r>
    </w:p>
    <w:p w:rsidR="00BB308E" w:rsidRPr="00BB308E" w:rsidRDefault="00BB308E" w:rsidP="00BB308E">
      <w:pPr>
        <w:spacing w:line="360" w:lineRule="auto"/>
        <w:ind w:right="284"/>
        <w:jc w:val="both"/>
        <w:rPr>
          <w:b/>
        </w:rPr>
      </w:pPr>
      <w:r>
        <w:t xml:space="preserve">Para su realización establece que se debe tener en cuenta: </w:t>
      </w:r>
    </w:p>
    <w:p w:rsidR="00BB308E" w:rsidRDefault="00BB308E" w:rsidP="00BB308E">
      <w:pPr>
        <w:ind w:left="284" w:right="284"/>
        <w:jc w:val="both"/>
      </w:pPr>
    </w:p>
    <w:p w:rsidR="00BB308E" w:rsidRDefault="00BB308E" w:rsidP="00BB308E">
      <w:pPr>
        <w:widowControl w:val="0"/>
        <w:numPr>
          <w:ilvl w:val="0"/>
          <w:numId w:val="37"/>
        </w:numPr>
        <w:autoSpaceDN/>
        <w:spacing w:line="360" w:lineRule="auto"/>
        <w:ind w:left="284" w:right="284"/>
        <w:contextualSpacing/>
        <w:jc w:val="both"/>
        <w:rPr>
          <w:color w:val="000000"/>
        </w:rPr>
      </w:pPr>
      <w:r>
        <w:rPr>
          <w:color w:val="000000"/>
        </w:rPr>
        <w:t>La utilización del principio de no discriminación e igualdad de tal manera que genere la obligación especial del Estado de eliminar las diferencias no justificadas en el acceso al agua apta para el consumo humano, con atención de aquellas personas de especial protección como los menores, los pueblos indígenas, los desplazados, los presos, entre otros.</w:t>
      </w:r>
    </w:p>
    <w:p w:rsidR="00BB308E" w:rsidRDefault="00BB308E" w:rsidP="00BB308E">
      <w:pPr>
        <w:widowControl w:val="0"/>
        <w:numPr>
          <w:ilvl w:val="0"/>
          <w:numId w:val="37"/>
        </w:numPr>
        <w:autoSpaceDN/>
        <w:spacing w:line="360" w:lineRule="auto"/>
        <w:ind w:left="284" w:right="284"/>
        <w:contextualSpacing/>
        <w:jc w:val="both"/>
        <w:rPr>
          <w:color w:val="000000"/>
        </w:rPr>
      </w:pPr>
      <w:r>
        <w:rPr>
          <w:color w:val="000000"/>
        </w:rPr>
        <w:t>Debe existir una prelación en los usos del agua en donde los abastecimientos personales y domésticos deberán desplazar a los demás como industriales, prácticas culturales y otros.</w:t>
      </w:r>
    </w:p>
    <w:p w:rsidR="00BB308E" w:rsidRDefault="00BB308E" w:rsidP="00BB308E">
      <w:pPr>
        <w:widowControl w:val="0"/>
        <w:numPr>
          <w:ilvl w:val="0"/>
          <w:numId w:val="37"/>
        </w:numPr>
        <w:autoSpaceDN/>
        <w:ind w:left="284" w:right="284"/>
        <w:contextualSpacing/>
        <w:jc w:val="both"/>
        <w:rPr>
          <w:color w:val="000000"/>
        </w:rPr>
      </w:pPr>
      <w:r>
        <w:rPr>
          <w:color w:val="000000"/>
        </w:rPr>
        <w:t>Se debe garantizar la seguridad de las condiciones salubres de las fuentes hídricas y eliminar la contaminación que presente un riesgo para el hábitat humano.</w:t>
      </w:r>
    </w:p>
    <w:p w:rsidR="00BB308E" w:rsidRDefault="00BB308E" w:rsidP="00BB308E">
      <w:pPr>
        <w:ind w:left="284" w:right="284"/>
        <w:jc w:val="both"/>
      </w:pPr>
    </w:p>
    <w:p w:rsidR="00BB308E" w:rsidRDefault="00BB308E" w:rsidP="00BB308E">
      <w:pPr>
        <w:spacing w:line="360" w:lineRule="auto"/>
        <w:ind w:right="284"/>
        <w:jc w:val="both"/>
      </w:pPr>
      <w:r>
        <w:t>Derivado de lo anterior, el derecho debe comprender: i) la disponibilidad, la continuidad y la suficiencia del recurso teniendo en consideración el clima, el trabajo, la ubicación geográfica de acuerdo con los lineamientos establecidos en por la Organización Mundial de la Salud. ii) la calidad vista en páginas anteriores, iii) la accesibilidad física, económica y no económica.</w:t>
      </w:r>
      <w:bookmarkStart w:id="1" w:name="_2et92p0"/>
      <w:bookmarkEnd w:id="1"/>
    </w:p>
    <w:p w:rsidR="00BB308E" w:rsidRDefault="00BB308E" w:rsidP="00BB308E">
      <w:pPr>
        <w:ind w:right="284"/>
        <w:jc w:val="both"/>
      </w:pPr>
    </w:p>
    <w:p w:rsidR="00B03FA5" w:rsidRDefault="00B03FA5" w:rsidP="00BB308E">
      <w:pPr>
        <w:ind w:right="284"/>
        <w:jc w:val="both"/>
      </w:pPr>
    </w:p>
    <w:p w:rsidR="00B03FA5" w:rsidRDefault="00B03FA5" w:rsidP="00BB308E">
      <w:pPr>
        <w:ind w:right="284"/>
        <w:jc w:val="both"/>
      </w:pPr>
    </w:p>
    <w:p w:rsidR="00BB308E" w:rsidRDefault="00BB308E" w:rsidP="00BB308E">
      <w:pPr>
        <w:ind w:right="284"/>
        <w:jc w:val="both"/>
        <w:rPr>
          <w:b/>
        </w:rPr>
      </w:pPr>
      <w:r w:rsidRPr="00BB308E">
        <w:rPr>
          <w:b/>
        </w:rPr>
        <w:lastRenderedPageBreak/>
        <w:t>En el Derecho Internacional Humanitario</w:t>
      </w:r>
    </w:p>
    <w:p w:rsidR="00BB308E" w:rsidRPr="00BB308E" w:rsidRDefault="00BB308E" w:rsidP="00BB308E">
      <w:pPr>
        <w:ind w:right="284"/>
        <w:jc w:val="both"/>
        <w:rPr>
          <w:b/>
        </w:rPr>
      </w:pPr>
    </w:p>
    <w:p w:rsidR="00BB308E" w:rsidRDefault="00BB308E" w:rsidP="00BB308E">
      <w:pPr>
        <w:spacing w:line="360" w:lineRule="auto"/>
        <w:ind w:right="284"/>
        <w:jc w:val="both"/>
      </w:pPr>
      <w:r>
        <w:t>En este cuerpo normativo se encuentra el derecho humano al agua relacionado con la defensa de bienes y personas protegidas en situación de conflicto, con el fin de limitar las conductas y medios militares</w:t>
      </w:r>
      <w:r>
        <w:rPr>
          <w:vertAlign w:val="superscript"/>
        </w:rPr>
        <w:footnoteReference w:id="12"/>
      </w:r>
      <w:r>
        <w:t xml:space="preserve"> de quienes participen en las hostilidades, lo cual comprende tres ópticas: </w:t>
      </w:r>
    </w:p>
    <w:p w:rsidR="00BB308E" w:rsidRDefault="00BB308E" w:rsidP="00BB308E">
      <w:pPr>
        <w:spacing w:line="360" w:lineRule="auto"/>
        <w:ind w:right="284"/>
        <w:jc w:val="both"/>
      </w:pPr>
      <w:r>
        <w:t>Una bajo la cual se pretende la protección del medio ambiente incluido el recurso hídrico mediante restricciones a la utilización de “técnicas de modificación ambiental”</w:t>
      </w:r>
      <w:r>
        <w:rPr>
          <w:vertAlign w:val="superscript"/>
        </w:rPr>
        <w:footnoteReference w:id="13"/>
      </w:r>
      <w:r>
        <w:t xml:space="preserve"> con fines militares estratégicos; entre las cuales está el uso de armas biológicas o químicas, tóxicos, gases asfixiantes entre otros. Otra que responde al mantenimiento del derecho sobre personas intervinientes en el conflicto como los prisioneros</w:t>
      </w:r>
      <w:r>
        <w:rPr>
          <w:vertAlign w:val="superscript"/>
        </w:rPr>
        <w:footnoteReference w:id="14"/>
      </w:r>
      <w:r>
        <w:t>, a los cuales el Estado retenedor deberá suministrar agua potable y alimentos suficientes para el mantenimiento de su vida.</w:t>
      </w:r>
    </w:p>
    <w:p w:rsidR="00767D9F" w:rsidRPr="00BF64AE" w:rsidRDefault="00BB308E" w:rsidP="00BB308E">
      <w:pPr>
        <w:spacing w:line="360" w:lineRule="auto"/>
        <w:ind w:right="284"/>
        <w:jc w:val="both"/>
      </w:pPr>
      <w:r>
        <w:t>Por último, aparece la protección bienes y personas relacionadas con el conflicto. Según el Protocolo Adicional a los Convenios de 1949 y otros, se prohíbe inutilizar y atacar obras indispensables para el mantenimiento de la población civil como las reservas de agua y las instalaciones para de ella surtirse. Lo cual será de vigilancia de los organismos de asistencia humanitaria.</w:t>
      </w:r>
      <w:bookmarkStart w:id="2" w:name="_tyjcwt"/>
      <w:bookmarkEnd w:id="2"/>
    </w:p>
    <w:p w:rsidR="00BB308E" w:rsidRDefault="00BB308E" w:rsidP="00BB308E">
      <w:pPr>
        <w:spacing w:line="360" w:lineRule="auto"/>
        <w:ind w:right="284"/>
        <w:jc w:val="both"/>
        <w:rPr>
          <w:b/>
        </w:rPr>
      </w:pPr>
      <w:r w:rsidRPr="00BB308E">
        <w:rPr>
          <w:b/>
        </w:rPr>
        <w:t>En el Derecho internacional público ambiental</w:t>
      </w:r>
    </w:p>
    <w:p w:rsidR="00BB308E" w:rsidRDefault="00BB308E" w:rsidP="00BB308E">
      <w:pPr>
        <w:spacing w:line="360" w:lineRule="auto"/>
        <w:ind w:right="284"/>
        <w:jc w:val="both"/>
        <w:rPr>
          <w:b/>
        </w:rPr>
      </w:pPr>
      <w:r>
        <w:t>A partir de la publicación “la primavera silenciosa”</w:t>
      </w:r>
      <w:r>
        <w:rPr>
          <w:vertAlign w:val="superscript"/>
        </w:rPr>
        <w:footnoteReference w:id="15"/>
      </w:r>
      <w:r>
        <w:t xml:space="preserve"> que introdujo las bases de la ecología moderna, los Estados comenzaron a implementar una serie de medidas jurídicas para la protección del medio ambiente, que en materia internacional han hecho parte del derecho público.</w:t>
      </w:r>
    </w:p>
    <w:p w:rsidR="00BB308E" w:rsidRPr="00767D9F" w:rsidRDefault="00BB308E" w:rsidP="00767D9F">
      <w:pPr>
        <w:spacing w:line="360" w:lineRule="auto"/>
        <w:ind w:right="284"/>
        <w:jc w:val="both"/>
        <w:rPr>
          <w:b/>
        </w:rPr>
      </w:pPr>
      <w:r>
        <w:lastRenderedPageBreak/>
        <w:t xml:space="preserve">La protección de las aguas se ha presentado en diversos cuerpos, sin que esté necesariamente relacionada con el derecho que nos ocupa, ya que vigila y cuida el recurso hídrico </w:t>
      </w:r>
      <w:r>
        <w:rPr>
          <w:i/>
        </w:rPr>
        <w:t>per se,</w:t>
      </w:r>
      <w:r>
        <w:t xml:space="preserve"> entre éstos se destacan:</w:t>
      </w:r>
      <w:r>
        <w:rPr>
          <w:i/>
        </w:rPr>
        <w:t xml:space="preserve"> </w:t>
      </w:r>
    </w:p>
    <w:p w:rsidR="00BB308E" w:rsidRDefault="00BB308E" w:rsidP="00BB308E">
      <w:pPr>
        <w:numPr>
          <w:ilvl w:val="0"/>
          <w:numId w:val="38"/>
        </w:numPr>
        <w:tabs>
          <w:tab w:val="left" w:pos="2960"/>
        </w:tabs>
        <w:autoSpaceDN/>
        <w:spacing w:line="360" w:lineRule="auto"/>
        <w:ind w:right="284"/>
        <w:contextualSpacing/>
        <w:jc w:val="both"/>
      </w:pPr>
      <w:r>
        <w:rPr>
          <w:color w:val="000000"/>
        </w:rPr>
        <w:t>En la Declaración de la Conferencia de las Naciones Unidas sobre el Medio Ambiente Humano, realizada en Estocolmo en 1972 se reconoció que las condiciones de vida adecuadas son un derecho humano, entre las cuales podemos incluir el acceso al agua apta para consumo.</w:t>
      </w:r>
    </w:p>
    <w:p w:rsidR="00BB308E" w:rsidRDefault="00BB308E" w:rsidP="00BB308E">
      <w:pPr>
        <w:numPr>
          <w:ilvl w:val="0"/>
          <w:numId w:val="38"/>
        </w:numPr>
        <w:tabs>
          <w:tab w:val="left" w:pos="2960"/>
        </w:tabs>
        <w:autoSpaceDN/>
        <w:spacing w:line="360" w:lineRule="auto"/>
        <w:ind w:left="284" w:right="284"/>
        <w:contextualSpacing/>
        <w:jc w:val="both"/>
      </w:pPr>
      <w:r>
        <w:rPr>
          <w:color w:val="000000"/>
        </w:rPr>
        <w:t xml:space="preserve">A su vez la declaración de Mar del Plata de la Conferencia de las Naciones Unidas sobre el Agua, celebrada en 1977, estableció que en 1990 la humanidad debería contar con los servicios de agua y saneamiento, lo cual implicaba </w:t>
      </w:r>
      <w:proofErr w:type="gramStart"/>
      <w:r>
        <w:rPr>
          <w:color w:val="000000"/>
        </w:rPr>
        <w:t>un una serie</w:t>
      </w:r>
      <w:proofErr w:type="gramEnd"/>
      <w:r>
        <w:rPr>
          <w:color w:val="000000"/>
        </w:rPr>
        <w:t xml:space="preserve"> de acciones positivas por parte de los Estados.</w:t>
      </w:r>
    </w:p>
    <w:p w:rsidR="00BB308E" w:rsidRDefault="00BB308E" w:rsidP="00BB308E">
      <w:pPr>
        <w:numPr>
          <w:ilvl w:val="0"/>
          <w:numId w:val="38"/>
        </w:numPr>
        <w:tabs>
          <w:tab w:val="left" w:pos="2960"/>
        </w:tabs>
        <w:autoSpaceDN/>
        <w:spacing w:line="360" w:lineRule="auto"/>
        <w:ind w:left="284" w:right="284"/>
        <w:contextualSpacing/>
        <w:jc w:val="both"/>
      </w:pPr>
      <w:r>
        <w:rPr>
          <w:color w:val="000000"/>
        </w:rPr>
        <w:t>La Conferencia Internacional sobre Agua y Medio Ambiente de Naciones Unidas insistió sobre la importancia de asumir y enfrentar la escasez del agua, así como su utilización insostenible. A su vez proclamó por la consideración del recurso hídrico como un bien económico, finito y fundamental para la vida del hombre por tanto solicitó mecanismos de participación para la toma de decisiones sobre sus cuestiones.</w:t>
      </w:r>
    </w:p>
    <w:p w:rsidR="00BB308E" w:rsidRDefault="00BB308E" w:rsidP="00BB308E">
      <w:pPr>
        <w:numPr>
          <w:ilvl w:val="0"/>
          <w:numId w:val="38"/>
        </w:numPr>
        <w:tabs>
          <w:tab w:val="left" w:pos="2960"/>
        </w:tabs>
        <w:autoSpaceDN/>
        <w:spacing w:line="360" w:lineRule="auto"/>
        <w:ind w:left="284" w:right="284"/>
        <w:contextualSpacing/>
        <w:jc w:val="both"/>
        <w:rPr>
          <w:color w:val="000000"/>
        </w:rPr>
      </w:pPr>
      <w:r>
        <w:rPr>
          <w:color w:val="000000"/>
        </w:rPr>
        <w:t>La Conferencia de Naciones Unidas sobre Medio Ambiente y Desarrollo como marco primario del Plan de Acción para el Desarrollo Sostenible o Agenda XIX, el Convenio sobre Diversidad Biológica, Cambio Climático, la Declaración de Principio de los Bosques entre otros, vinculó la visión ambiental de los recursos naturales a los derechos humanos entendiendo por estos últimos la condición bajo la cual se desarrolla el hombre y la calidad de vida.</w:t>
      </w:r>
    </w:p>
    <w:p w:rsidR="00BB308E" w:rsidRDefault="00BB308E" w:rsidP="00BB308E">
      <w:pPr>
        <w:numPr>
          <w:ilvl w:val="0"/>
          <w:numId w:val="38"/>
        </w:numPr>
        <w:tabs>
          <w:tab w:val="left" w:pos="2960"/>
        </w:tabs>
        <w:autoSpaceDN/>
        <w:spacing w:line="360" w:lineRule="auto"/>
        <w:ind w:left="284" w:right="284"/>
        <w:contextualSpacing/>
        <w:jc w:val="both"/>
        <w:rPr>
          <w:color w:val="000000"/>
        </w:rPr>
      </w:pPr>
      <w:r>
        <w:rPr>
          <w:color w:val="000000"/>
        </w:rPr>
        <w:t>La Agenda XIX establece a su vez que el suministro de agua dulce a la totalidad de la población acorde con sus necesidades básicas debe ser una meta global.</w:t>
      </w:r>
    </w:p>
    <w:p w:rsidR="00BB308E" w:rsidRDefault="00BB308E" w:rsidP="00BB308E">
      <w:pPr>
        <w:numPr>
          <w:ilvl w:val="0"/>
          <w:numId w:val="38"/>
        </w:numPr>
        <w:tabs>
          <w:tab w:val="left" w:pos="2960"/>
        </w:tabs>
        <w:autoSpaceDN/>
        <w:spacing w:line="360" w:lineRule="auto"/>
        <w:ind w:left="284" w:right="284"/>
        <w:contextualSpacing/>
        <w:jc w:val="both"/>
        <w:rPr>
          <w:color w:val="000000"/>
        </w:rPr>
      </w:pPr>
      <w:r>
        <w:rPr>
          <w:color w:val="000000"/>
        </w:rPr>
        <w:t xml:space="preserve">En el derecho marítimo también encontramos las siguientes manifestaciones sobre la protección de los recursos hídricos que estarían relacionadas con la disponibilidad: la Convención de Naciones Unidas sobre los usos de los cursos de aguas internacionales de 1997, las Reglas de </w:t>
      </w:r>
      <w:proofErr w:type="spellStart"/>
      <w:r>
        <w:rPr>
          <w:color w:val="000000"/>
        </w:rPr>
        <w:t>Helsinski</w:t>
      </w:r>
      <w:proofErr w:type="spellEnd"/>
      <w:r>
        <w:rPr>
          <w:color w:val="000000"/>
        </w:rPr>
        <w:t xml:space="preserve"> de 1996 entre otros.</w:t>
      </w:r>
    </w:p>
    <w:p w:rsidR="00BB308E" w:rsidRPr="00767D9F" w:rsidRDefault="00BB308E" w:rsidP="00767D9F">
      <w:pPr>
        <w:numPr>
          <w:ilvl w:val="0"/>
          <w:numId w:val="38"/>
        </w:numPr>
        <w:tabs>
          <w:tab w:val="left" w:pos="2960"/>
        </w:tabs>
        <w:autoSpaceDN/>
        <w:spacing w:line="360" w:lineRule="auto"/>
        <w:ind w:left="284" w:right="284"/>
        <w:contextualSpacing/>
        <w:jc w:val="both"/>
        <w:rPr>
          <w:color w:val="000000"/>
        </w:rPr>
      </w:pPr>
      <w:r>
        <w:rPr>
          <w:color w:val="000000"/>
        </w:rPr>
        <w:lastRenderedPageBreak/>
        <w:t xml:space="preserve">En 2002, en Johannesburgo, mediante los resultados de la Cumbre Mundial sobre Desarrollo Sostenible, se trataron como aspectos principales el acceso al agua potable y el saneamiento básico por cuanto representan un modo de calidad de vida sostenible. Por tanto, fue la oportunidad de adoptar compromisos ciertos y concretos en la ejecución de la Agenda XXI y en general del desarrollo sostenible. </w:t>
      </w:r>
    </w:p>
    <w:p w:rsidR="00BB308E" w:rsidRDefault="00BB308E" w:rsidP="00BB308E">
      <w:pPr>
        <w:widowControl w:val="0"/>
        <w:spacing w:line="360" w:lineRule="auto"/>
        <w:ind w:right="284"/>
        <w:jc w:val="both"/>
        <w:rPr>
          <w:color w:val="000000"/>
        </w:rPr>
      </w:pPr>
      <w:r>
        <w:rPr>
          <w:color w:val="000000"/>
        </w:rPr>
        <w:t>Adicionalmente, se planteó la necesidad de garantizarle a más de cien millones de personas que no cuentan con agua potable el DHA y proveerlos de igual manera del saneamiento básico adecuado. “En esta cumbre se refleja un consenso internacional en el sentido de considerar el acceso al agua potable y el saneamiento como un derecho fundamental.”</w:t>
      </w:r>
      <w:r>
        <w:rPr>
          <w:color w:val="000000"/>
          <w:vertAlign w:val="superscript"/>
        </w:rPr>
        <w:footnoteReference w:id="16"/>
      </w:r>
      <w:bookmarkStart w:id="3" w:name="_3dy6vkm"/>
      <w:bookmarkEnd w:id="3"/>
    </w:p>
    <w:p w:rsidR="00FA4ACC" w:rsidRDefault="00FA4ACC" w:rsidP="00BB308E">
      <w:pPr>
        <w:widowControl w:val="0"/>
        <w:spacing w:line="360" w:lineRule="auto"/>
        <w:ind w:right="284"/>
        <w:jc w:val="both"/>
        <w:rPr>
          <w:b/>
        </w:rPr>
      </w:pPr>
    </w:p>
    <w:p w:rsidR="00BB308E" w:rsidRDefault="00BB308E" w:rsidP="00BB308E">
      <w:pPr>
        <w:widowControl w:val="0"/>
        <w:spacing w:line="360" w:lineRule="auto"/>
        <w:ind w:right="284"/>
        <w:jc w:val="both"/>
        <w:rPr>
          <w:b/>
          <w:color w:val="000000"/>
        </w:rPr>
      </w:pPr>
      <w:r w:rsidRPr="00BB308E">
        <w:rPr>
          <w:b/>
        </w:rPr>
        <w:t>NACIONAL</w:t>
      </w:r>
    </w:p>
    <w:p w:rsidR="00BB308E" w:rsidRDefault="00BB308E" w:rsidP="00BB308E">
      <w:pPr>
        <w:widowControl w:val="0"/>
        <w:spacing w:line="360" w:lineRule="auto"/>
        <w:ind w:right="284"/>
        <w:jc w:val="both"/>
        <w:rPr>
          <w:b/>
          <w:color w:val="000000"/>
        </w:rPr>
      </w:pPr>
      <w:r>
        <w:t xml:space="preserve">En Colombia las aguas se encuentran reguladas en diversas normas, unas para las marítimas, otra para las continentales, otras para las lluvias y atmosféricas y así sucesivamente, lo cual contempla una falta de integralidad del régimen entre el cual se desenvuelve el derecho objeto de estudio. </w:t>
      </w:r>
    </w:p>
    <w:p w:rsidR="00BB308E" w:rsidRDefault="00BB308E" w:rsidP="00BB308E">
      <w:pPr>
        <w:widowControl w:val="0"/>
        <w:spacing w:line="360" w:lineRule="auto"/>
        <w:ind w:right="284"/>
        <w:jc w:val="both"/>
      </w:pPr>
      <w:r>
        <w:t>Por otra parte, el DHA se encuentra consagrado de manera adscrita en la Constitución Política de Colombia, en las normas del derecho ambiental y en el régimen de los servicios públicos domiciliarios. Veamos:</w:t>
      </w:r>
      <w:bookmarkStart w:id="4" w:name="_1t3h5sf"/>
      <w:bookmarkEnd w:id="4"/>
    </w:p>
    <w:p w:rsidR="00BB308E" w:rsidRDefault="00BB308E" w:rsidP="00BB308E">
      <w:pPr>
        <w:widowControl w:val="0"/>
        <w:spacing w:line="360" w:lineRule="auto"/>
        <w:ind w:right="284"/>
        <w:jc w:val="both"/>
        <w:rPr>
          <w:b/>
          <w:color w:val="000000"/>
        </w:rPr>
      </w:pPr>
      <w:r w:rsidRPr="00BB308E">
        <w:rPr>
          <w:b/>
        </w:rPr>
        <w:t>De la adscripción del DHA a la Constitución Política de Colombia de 1991.</w:t>
      </w:r>
    </w:p>
    <w:p w:rsidR="00FA4ACC" w:rsidRPr="00BF64AE" w:rsidRDefault="00BB308E" w:rsidP="00BB308E">
      <w:pPr>
        <w:widowControl w:val="0"/>
        <w:spacing w:line="360" w:lineRule="auto"/>
        <w:ind w:right="284"/>
        <w:jc w:val="both"/>
      </w:pPr>
      <w:r>
        <w:t>Como se dijo en páginas anteriores, el DHA en Colombia no se encuentra expresamente consagrado en nuestro texto constitucional, por tal razón corresponde ahora el estudio de las maneras o formas</w:t>
      </w:r>
      <w:r>
        <w:rPr>
          <w:vertAlign w:val="superscript"/>
        </w:rPr>
        <w:footnoteReference w:id="17"/>
      </w:r>
      <w:r>
        <w:t xml:space="preserve"> de vinculación con nuestra norma </w:t>
      </w:r>
      <w:proofErr w:type="spellStart"/>
      <w:r>
        <w:rPr>
          <w:i/>
        </w:rPr>
        <w:t>ius</w:t>
      </w:r>
      <w:proofErr w:type="spellEnd"/>
      <w:r>
        <w:rPr>
          <w:i/>
        </w:rPr>
        <w:t xml:space="preserve"> fundamental</w:t>
      </w:r>
      <w:r>
        <w:t xml:space="preserve">: la inmersión en el bloque de constitucionalidad, tener conexidad con otros derechos fundamentales y </w:t>
      </w:r>
      <w:r>
        <w:lastRenderedPageBreak/>
        <w:t>tratarse de un derecho subjetivo innominado.</w:t>
      </w:r>
      <w:r>
        <w:rPr>
          <w:vertAlign w:val="superscript"/>
        </w:rPr>
        <w:footnoteReference w:id="18"/>
      </w:r>
      <w:bookmarkStart w:id="5" w:name="_4d34og8"/>
      <w:bookmarkEnd w:id="5"/>
    </w:p>
    <w:p w:rsidR="00BB308E" w:rsidRPr="00BB308E" w:rsidRDefault="00BB308E" w:rsidP="00BB308E">
      <w:pPr>
        <w:widowControl w:val="0"/>
        <w:spacing w:line="360" w:lineRule="auto"/>
        <w:ind w:right="284"/>
        <w:jc w:val="both"/>
        <w:rPr>
          <w:b/>
          <w:color w:val="000000"/>
        </w:rPr>
      </w:pPr>
      <w:r w:rsidRPr="00BB308E">
        <w:rPr>
          <w:b/>
        </w:rPr>
        <w:t>En el bloque de constitucionalidad.</w:t>
      </w:r>
    </w:p>
    <w:p w:rsidR="00BB308E" w:rsidRDefault="00BB308E" w:rsidP="00BB308E">
      <w:pPr>
        <w:ind w:right="284"/>
        <w:jc w:val="both"/>
      </w:pPr>
      <w:r>
        <w:t>A partir de lo dispuesto en los artículos 93 y 94 de la Constitución que rezan:</w:t>
      </w:r>
    </w:p>
    <w:p w:rsidR="00BB308E" w:rsidRDefault="00BB308E" w:rsidP="00BB308E">
      <w:pPr>
        <w:ind w:left="284" w:right="284"/>
        <w:jc w:val="both"/>
      </w:pPr>
    </w:p>
    <w:p w:rsidR="00BB308E" w:rsidRDefault="00BB308E" w:rsidP="00767D9F">
      <w:pPr>
        <w:spacing w:line="360" w:lineRule="auto"/>
        <w:ind w:left="284" w:right="284"/>
        <w:jc w:val="both"/>
      </w:pPr>
      <w:r>
        <w:t>“Los tratados y convenios internacionales ratificados por el Congreso, que reconocen los derechos humanos y que prohíben su limitación en los estados de excepción, prevalecen en el orden interno. Los derechos y deberes consagrados en esta Carta, se interpretarán de conformidad con los tratados internacionales sobre derechos hum</w:t>
      </w:r>
      <w:r w:rsidR="00767D9F">
        <w:t xml:space="preserve">anos ratificados por Colombia”. </w:t>
      </w:r>
    </w:p>
    <w:p w:rsidR="00FA4ACC" w:rsidRDefault="00BB308E" w:rsidP="00767D9F">
      <w:pPr>
        <w:spacing w:line="360" w:lineRule="auto"/>
        <w:ind w:left="284" w:right="284"/>
        <w:jc w:val="both"/>
      </w:pPr>
      <w:r>
        <w:t xml:space="preserve"> “La enunciación de los derechos y garantías contenidos en la Constitución y en los convenios internacionales vigentes, no debe entenderse como negación de otros que, siendo inherentes a la persona humana, no </w:t>
      </w:r>
      <w:r w:rsidR="00767D9F">
        <w:t>figuren expresamente en ellos.”</w:t>
      </w:r>
    </w:p>
    <w:p w:rsidR="00FA4ACC" w:rsidRDefault="00BB308E" w:rsidP="00BB308E">
      <w:pPr>
        <w:spacing w:line="360" w:lineRule="auto"/>
        <w:ind w:right="284"/>
        <w:jc w:val="both"/>
      </w:pPr>
      <w:r>
        <w:t>Es posible observar que la lista de derechos fundamentales de la Carta de 1991 no es taxativa o limitante y por ende se encuentran en ella inmersos los tratados y convenios internacionales sobre derechos humanos y otros. Esta figura se conoce com</w:t>
      </w:r>
      <w:r w:rsidR="00767D9F">
        <w:t>o bloque de constitucionalidad.</w:t>
      </w:r>
    </w:p>
    <w:p w:rsidR="00FA4ACC" w:rsidRDefault="00BB308E" w:rsidP="00BB308E">
      <w:pPr>
        <w:spacing w:line="360" w:lineRule="auto"/>
        <w:ind w:right="284"/>
        <w:jc w:val="both"/>
      </w:pPr>
      <w:r>
        <w:t>El Pacto Internacional de Derechos Económicos, Sociales y Culturales al ser un instrumento que contempla derechos humanos que no pueden ser limitados en estados de excepción, hace parte del bloque de constitucionalidad en sentido amplio. La Defensoría Del Pueblo propone que, las observaciones del Comité al ser las interpretaciones oficiales del Pacto, tendrán igual suerte y harán parte de nuestro ordenamiento por adscripción</w:t>
      </w:r>
      <w:r>
        <w:rPr>
          <w:vertAlign w:val="superscript"/>
        </w:rPr>
        <w:footnoteReference w:id="19"/>
      </w:r>
      <w:r>
        <w:t xml:space="preserve"> ya que son preceptos internacionales que poseen la posibilidad de modificar el actuar de los Estados, bien sea por pertenecer a clasificaciones especiales de países garantistas, costumbre co</w:t>
      </w:r>
      <w:r w:rsidR="00767D9F">
        <w:t xml:space="preserve">mo fuente del derecho y otros. </w:t>
      </w:r>
    </w:p>
    <w:p w:rsidR="00BB308E" w:rsidRDefault="00BB308E" w:rsidP="00BB308E">
      <w:pPr>
        <w:spacing w:line="360" w:lineRule="auto"/>
        <w:ind w:right="284"/>
        <w:jc w:val="both"/>
      </w:pPr>
      <w:r>
        <w:t xml:space="preserve">Dicho bloque en palabras de la Corte posee dos ópticas. La primera denominada </w:t>
      </w:r>
      <w:proofErr w:type="spellStart"/>
      <w:r>
        <w:rPr>
          <w:i/>
        </w:rPr>
        <w:t>strictu</w:t>
      </w:r>
      <w:proofErr w:type="spellEnd"/>
      <w:r>
        <w:rPr>
          <w:i/>
        </w:rPr>
        <w:t xml:space="preserve"> sensu,</w:t>
      </w:r>
      <w:r>
        <w:t xml:space="preserve"> conformada por principios y normas de valor constitucional que se reflejan en el </w:t>
      </w:r>
      <w:r>
        <w:lastRenderedPageBreak/>
        <w:t xml:space="preserve">texto </w:t>
      </w:r>
      <w:proofErr w:type="spellStart"/>
      <w:r>
        <w:rPr>
          <w:i/>
        </w:rPr>
        <w:t>ius</w:t>
      </w:r>
      <w:proofErr w:type="spellEnd"/>
      <w:r>
        <w:rPr>
          <w:i/>
        </w:rPr>
        <w:t xml:space="preserve"> fundamental </w:t>
      </w:r>
      <w:r>
        <w:t>y los tratados internacionales que consagren derechos humanos cuya limitación se encuentre prohibida en los estados de excepción</w:t>
      </w:r>
      <w:r>
        <w:rPr>
          <w:vertAlign w:val="superscript"/>
        </w:rPr>
        <w:footnoteReference w:id="20"/>
      </w:r>
      <w:r>
        <w:t xml:space="preserve">. La segunda o </w:t>
      </w:r>
      <w:r>
        <w:rPr>
          <w:i/>
        </w:rPr>
        <w:t>lato sensu</w:t>
      </w:r>
      <w:r>
        <w:t xml:space="preserve"> comprendida por normas de diversa jerarquía que permiten realizar control de constitucionalidad como tratados internacionales, incluidos los limítrofes, las leyes orgánicas y las estatutarias</w:t>
      </w:r>
      <w:r>
        <w:rPr>
          <w:vertAlign w:val="superscript"/>
        </w:rPr>
        <w:footnoteReference w:id="21"/>
      </w:r>
      <w:r>
        <w:t>.</w:t>
      </w:r>
    </w:p>
    <w:p w:rsidR="00FA4ACC" w:rsidRPr="00767D9F" w:rsidRDefault="00BB308E" w:rsidP="00BB308E">
      <w:pPr>
        <w:spacing w:line="360" w:lineRule="auto"/>
        <w:ind w:right="284"/>
        <w:jc w:val="both"/>
      </w:pPr>
      <w:r>
        <w:t>De ahí que, el contenido del bloque no se limite únicamente a lo visto. En diversas sentencias de la Corte Constitucional se han contemplado como parte del bloque de constitucionalidad, el derecho a la protección de la mujer embarazada</w:t>
      </w:r>
      <w:r>
        <w:rPr>
          <w:vertAlign w:val="superscript"/>
        </w:rPr>
        <w:footnoteReference w:id="22"/>
      </w:r>
      <w:r>
        <w:t>, los convenios de la OIT</w:t>
      </w:r>
      <w:r>
        <w:rPr>
          <w:vertAlign w:val="superscript"/>
        </w:rPr>
        <w:footnoteReference w:id="23"/>
      </w:r>
      <w:r>
        <w:t>, los derechos sociales</w:t>
      </w:r>
      <w:r>
        <w:rPr>
          <w:vertAlign w:val="superscript"/>
        </w:rPr>
        <w:footnoteReference w:id="24"/>
      </w:r>
      <w:r>
        <w:t>, los derechos de los niños, algunos principios procesales como el debido proceso y la presunción de inocencia</w:t>
      </w:r>
      <w:r>
        <w:rPr>
          <w:vertAlign w:val="superscript"/>
        </w:rPr>
        <w:footnoteReference w:id="25"/>
      </w:r>
      <w:r>
        <w:t>; los derechos de las victimas del desplazamiento interno forzado, el agua para consumo humano directo</w:t>
      </w:r>
      <w:r>
        <w:rPr>
          <w:vertAlign w:val="superscript"/>
        </w:rPr>
        <w:footnoteReference w:id="26"/>
      </w:r>
      <w:r>
        <w:t xml:space="preserve"> y otros. Por tanto el DHA, hace parte del bloque también por inclusión directa por parte de la jurisprudencia constitucional</w:t>
      </w:r>
      <w:r>
        <w:rPr>
          <w:vertAlign w:val="superscript"/>
        </w:rPr>
        <w:footnoteReference w:id="27"/>
      </w:r>
      <w:r w:rsidR="00767D9F">
        <w:t>.</w:t>
      </w:r>
    </w:p>
    <w:p w:rsidR="00FA4ACC" w:rsidRPr="00BF64AE" w:rsidRDefault="00BB308E" w:rsidP="00BB308E">
      <w:pPr>
        <w:spacing w:line="360" w:lineRule="auto"/>
        <w:ind w:right="284"/>
        <w:jc w:val="both"/>
        <w:rPr>
          <w:color w:val="000000"/>
        </w:rPr>
      </w:pPr>
      <w:r>
        <w:rPr>
          <w:color w:val="000000"/>
        </w:rPr>
        <w:t>Por lo anterior, no existe duda alguna que el DHA es uno fundamental que hace parte de nuestro ordenamiento interno, en otras palabras, el contenido normativo del derecho y por ende de las obligaciones del Estado para realizarlo se encuentra basado primordialmente en el concepto de bloque de constitucionalidad</w:t>
      </w:r>
      <w:r>
        <w:rPr>
          <w:color w:val="000000"/>
          <w:vertAlign w:val="superscript"/>
        </w:rPr>
        <w:footnoteReference w:id="28"/>
      </w:r>
      <w:r>
        <w:rPr>
          <w:color w:val="000000"/>
        </w:rPr>
        <w:t xml:space="preserve"> Adicionalmente, encontramos que el DHA por estar en el bloque goza de la regla hermenéutica de favorabilidad, mediante la </w:t>
      </w:r>
      <w:r>
        <w:rPr>
          <w:color w:val="000000"/>
        </w:rPr>
        <w:lastRenderedPageBreak/>
        <w:t>cual, no se puede restringir el ejercicio del derecho fundamental en virtud de disposiciones internas que le sean contrarias</w:t>
      </w:r>
      <w:r>
        <w:rPr>
          <w:color w:val="000000"/>
          <w:vertAlign w:val="superscript"/>
        </w:rPr>
        <w:footnoteReference w:id="29"/>
      </w:r>
      <w:r>
        <w:rPr>
          <w:color w:val="000000"/>
        </w:rPr>
        <w:t xml:space="preserve">. </w:t>
      </w:r>
      <w:bookmarkStart w:id="6" w:name="_2s8eyo1"/>
      <w:bookmarkEnd w:id="6"/>
    </w:p>
    <w:p w:rsidR="00BB308E" w:rsidRDefault="00BB308E" w:rsidP="00BB308E">
      <w:pPr>
        <w:spacing w:line="360" w:lineRule="auto"/>
        <w:ind w:right="284"/>
        <w:jc w:val="both"/>
        <w:rPr>
          <w:b/>
        </w:rPr>
      </w:pPr>
      <w:r w:rsidRPr="00BB308E">
        <w:rPr>
          <w:b/>
        </w:rPr>
        <w:t>Los derechos fundamentales por conexidad.</w:t>
      </w:r>
    </w:p>
    <w:p w:rsidR="00FA4ACC" w:rsidRPr="00767D9F" w:rsidRDefault="00BB308E" w:rsidP="00BB308E">
      <w:pPr>
        <w:spacing w:line="360" w:lineRule="auto"/>
        <w:ind w:right="284"/>
        <w:jc w:val="both"/>
        <w:rPr>
          <w:b/>
        </w:rPr>
      </w:pPr>
      <w:r>
        <w:t xml:space="preserve">La adscripción del DHA a la Constitución Política de Colombia también puede observarse por una figura denominada “conexidad”, mediante la cual algunos derechos adquieren el carácter de fundamental por su relación con éstos. </w:t>
      </w:r>
    </w:p>
    <w:p w:rsidR="00FA4ACC" w:rsidRPr="00767D9F" w:rsidRDefault="00BB308E" w:rsidP="00BB308E">
      <w:pPr>
        <w:spacing w:line="360" w:lineRule="auto"/>
        <w:ind w:right="284"/>
        <w:jc w:val="both"/>
        <w:rPr>
          <w:b/>
        </w:rPr>
      </w:pPr>
      <w:r>
        <w:t>Esta es la relación que se predica del agua de manera permanente con la vida y la salud de las personas, cuando sea utilizada de manera directa para consumo humano. Es decir: a) el derecho al agua es fundamental cuando esté destinada al consumo humano, ya que solo en este evento estará en conexión con la vida digna y la salud; b) Por ende la acción de tutela será la llamada a la protección del DHA y desplazará a la acción popular. No lo será en cambio cuando el agua esté destinada a usos como el industrial y el agropecuario; c) dicha acción de tutela podrá ser interpuesta contra autoridad pública como contra cualquier particular que afecte el derecho; d) “de conformidad con los criterios interpretativos sentados por el Comité de Derechos Económicos, Sociales y Culturales, el contenido del derecho fundamental al agua implica la disponibilidad continua y suficiente de agua para los usos personales y domésticos, la calidad salubre del agua, y la accesibilidad física, económica e igualitaria a ella”</w:t>
      </w:r>
      <w:r>
        <w:rPr>
          <w:vertAlign w:val="superscript"/>
        </w:rPr>
        <w:footnoteReference w:id="30"/>
      </w:r>
    </w:p>
    <w:p w:rsidR="00FA4ACC" w:rsidRPr="00BF64AE" w:rsidRDefault="00BB308E" w:rsidP="00BB308E">
      <w:pPr>
        <w:spacing w:line="360" w:lineRule="auto"/>
        <w:ind w:right="284"/>
        <w:jc w:val="both"/>
        <w:rPr>
          <w:i/>
        </w:rPr>
      </w:pPr>
      <w:r>
        <w:t xml:space="preserve">Por ende, el agua por su relación con la vida y la salud es un derecho fundamental por conexidad y de esta manera se encuentra también adscripto a la norma </w:t>
      </w:r>
      <w:proofErr w:type="spellStart"/>
      <w:r>
        <w:rPr>
          <w:i/>
        </w:rPr>
        <w:t>iusfundamental</w:t>
      </w:r>
      <w:proofErr w:type="spellEnd"/>
      <w:r>
        <w:rPr>
          <w:i/>
        </w:rPr>
        <w:t>.</w:t>
      </w:r>
      <w:bookmarkStart w:id="7" w:name="_17dp8vu"/>
      <w:bookmarkEnd w:id="7"/>
    </w:p>
    <w:p w:rsidR="00BB308E" w:rsidRDefault="00BB308E" w:rsidP="00BB308E">
      <w:pPr>
        <w:spacing w:line="360" w:lineRule="auto"/>
        <w:ind w:right="284"/>
        <w:jc w:val="both"/>
        <w:rPr>
          <w:b/>
        </w:rPr>
      </w:pPr>
      <w:r w:rsidRPr="00BB308E">
        <w:rPr>
          <w:b/>
        </w:rPr>
        <w:t>Por expresa consagración de la jurisprudencia constitucional.</w:t>
      </w:r>
    </w:p>
    <w:p w:rsidR="00BB308E" w:rsidRDefault="00BB308E" w:rsidP="00BB308E">
      <w:pPr>
        <w:spacing w:line="360" w:lineRule="auto"/>
        <w:ind w:right="284"/>
        <w:jc w:val="both"/>
        <w:rPr>
          <w:b/>
        </w:rPr>
      </w:pPr>
      <w:r>
        <w:t xml:space="preserve">Para tratar la cuestión se cita y seguirá a la Corte Constitucional en Sentencia T-418 de 2010 ya que lo desarrolla ampliamente. </w:t>
      </w:r>
    </w:p>
    <w:p w:rsidR="00FA4ACC" w:rsidRPr="00BF64AE" w:rsidRDefault="00BB308E" w:rsidP="00BB308E">
      <w:pPr>
        <w:spacing w:line="360" w:lineRule="auto"/>
        <w:ind w:right="284"/>
        <w:jc w:val="both"/>
        <w:rPr>
          <w:b/>
        </w:rPr>
      </w:pPr>
      <w:r>
        <w:lastRenderedPageBreak/>
        <w:t>“Aunque no se trata de un derecho expresamente señalado por la Constitución Política, se ha de entender incluido, teniendo en cuenta el texto Constitucional aprobado por el Constituyente de 1991, y, en especial, sus posteriores reformas, al respecto.”</w:t>
      </w:r>
      <w:r>
        <w:rPr>
          <w:vertAlign w:val="superscript"/>
        </w:rPr>
        <w:footnoteReference w:id="31"/>
      </w:r>
      <w:r>
        <w:t xml:space="preserve"> </w:t>
      </w:r>
    </w:p>
    <w:p w:rsidR="00FA4ACC" w:rsidRDefault="00BB308E" w:rsidP="00BB308E">
      <w:pPr>
        <w:spacing w:line="360" w:lineRule="auto"/>
        <w:ind w:right="284"/>
        <w:jc w:val="both"/>
      </w:pPr>
      <w:r>
        <w:t>La Corte narra como la Constitución se decretó, sancionó y promulgó con el fin de asegurar a los colombianos la vida, la justicia y la igualdad, organizando un estado social de derecho fundado en cuatro pilares: el respeto a la dignidad humana, el trabajo, la solidaridad y la p</w:t>
      </w:r>
      <w:r w:rsidR="00767D9F">
        <w:t>revalencia del interés general.</w:t>
      </w:r>
    </w:p>
    <w:p w:rsidR="00FA4ACC" w:rsidRPr="00767D9F" w:rsidRDefault="00BB308E" w:rsidP="00BB308E">
      <w:pPr>
        <w:spacing w:line="360" w:lineRule="auto"/>
        <w:ind w:right="284"/>
        <w:jc w:val="both"/>
        <w:rPr>
          <w:b/>
        </w:rPr>
      </w:pPr>
      <w:r>
        <w:t xml:space="preserve">Por </w:t>
      </w:r>
      <w:r w:rsidR="00FA4ACC">
        <w:t>ende,</w:t>
      </w:r>
      <w:r>
        <w:t xml:space="preserve"> se fijaron como fines esenciales del Estado servir a la comunidad, promover la prosperidad general; garantizar la efectividad de los principios y derechos de la Constitución sin discriminación alguna; el saneamiento ambiental a cargo del Estado, el derecho a gozar de un ambiente sano y “la solución de las necesidades insatisfechas de salud, de educación, de saneamiento ambiental y de agua potable”</w:t>
      </w:r>
    </w:p>
    <w:p w:rsidR="00FA4ACC" w:rsidRPr="00BF64AE" w:rsidRDefault="00BB308E" w:rsidP="00BB308E">
      <w:pPr>
        <w:spacing w:line="360" w:lineRule="auto"/>
        <w:ind w:right="284"/>
        <w:jc w:val="both"/>
      </w:pPr>
      <w:r>
        <w:t xml:space="preserve">Terminando por concluir que “El derecho al agua, por </w:t>
      </w:r>
      <w:r w:rsidR="00FA4ACC">
        <w:t>tanto,</w:t>
      </w:r>
      <w:r>
        <w:t xml:space="preserve"> es un derecho constitucional complejo que se ha venido desarrollando a lo largo de los últimos años, en especial, en atención a la importancia que el mismo tiene como presupuesto de los demás derechos fundamentales y del desarrollo. El derecho al agua está interrelacionado y es indivisible e interdependiente de los demás derechos fundamentales. De hecho, la complejidad del derecho al agua incluye, incluso, dimensiones propias de un derecho colectivo, con las especificidades propias de éste tipo de derechos. Pero esta es una cuestión que la Sala tan sólo menciona y no entra analizar, por no ser relevante para la solución del problema jurídico concreto.”</w:t>
      </w:r>
      <w:r>
        <w:rPr>
          <w:vertAlign w:val="superscript"/>
        </w:rPr>
        <w:footnoteReference w:id="32"/>
      </w:r>
      <w:bookmarkStart w:id="8" w:name="_3rdcrjn"/>
      <w:bookmarkEnd w:id="8"/>
    </w:p>
    <w:p w:rsidR="00BB308E" w:rsidRPr="00BB308E" w:rsidRDefault="00BB308E" w:rsidP="00BB308E">
      <w:pPr>
        <w:spacing w:line="360" w:lineRule="auto"/>
        <w:ind w:right="284"/>
        <w:jc w:val="both"/>
        <w:rPr>
          <w:b/>
        </w:rPr>
      </w:pPr>
      <w:r w:rsidRPr="00BB308E">
        <w:rPr>
          <w:b/>
        </w:rPr>
        <w:t>En el Derecho de los Servicios Públicos Domiciliarios.</w:t>
      </w:r>
    </w:p>
    <w:p w:rsidR="00FA4ACC" w:rsidRPr="00BF64AE" w:rsidRDefault="00BB308E" w:rsidP="00BB308E">
      <w:pPr>
        <w:spacing w:line="360" w:lineRule="auto"/>
        <w:ind w:right="284"/>
        <w:jc w:val="both"/>
        <w:rPr>
          <w:b/>
        </w:rPr>
      </w:pPr>
      <w:r>
        <w:t xml:space="preserve">Los artículos primero y segundo de la Constitución Política de 1991 disponen que Colombia es un Estado Social de Derecho y por ende reconoce, consagra y respeta los derechos y garantías de los ciudadanos, entre ellos el DHA. Más aun, es un fin esencial </w:t>
      </w:r>
      <w:r>
        <w:lastRenderedPageBreak/>
        <w:t>del Estado garantizar su ejercicio, mediante los servicios públicos domiciliarios</w:t>
      </w:r>
      <w:r>
        <w:rPr>
          <w:vertAlign w:val="superscript"/>
        </w:rPr>
        <w:footnoteReference w:id="33"/>
      </w:r>
      <w:r>
        <w:t xml:space="preserve"> que son acueducto, alcantarillado, aseo, gas y energía eléctrica, donde los dos primeros tendrán nuestra mayor atención.</w:t>
      </w:r>
    </w:p>
    <w:p w:rsidR="00FA4ACC" w:rsidRPr="00767D9F" w:rsidRDefault="00BB308E" w:rsidP="00792417">
      <w:pPr>
        <w:spacing w:line="360" w:lineRule="auto"/>
        <w:ind w:right="284"/>
        <w:jc w:val="both"/>
        <w:rPr>
          <w:b/>
        </w:rPr>
      </w:pPr>
      <w:r>
        <w:t>En palabras de la Corte Constitucional “La realización y la eficacia sustantiva del Estado Social de Derecho se mide por la capacidad de éste para satisfacer, a través de la prestación de los servicios públicos, las necesidades vitales de la población, mediante el suministro de concretas prestaciones que tiendan a ello y, consecuentemente, de lograr por esta vía la igualación de las condiciones materiales de existencia de las personas”</w:t>
      </w:r>
      <w:r>
        <w:rPr>
          <w:vertAlign w:val="superscript"/>
        </w:rPr>
        <w:footnoteReference w:id="34"/>
      </w:r>
    </w:p>
    <w:p w:rsidR="00FA4ACC" w:rsidRPr="00BF64AE" w:rsidRDefault="00BB308E" w:rsidP="00BF64AE">
      <w:pPr>
        <w:spacing w:line="360" w:lineRule="auto"/>
        <w:ind w:right="284"/>
        <w:jc w:val="both"/>
        <w:rPr>
          <w:b/>
        </w:rPr>
      </w:pPr>
      <w:r>
        <w:t>El sistema de prestación de los servicios permite que sean llevados a cabo tanto por particulares como por el Estado. En este sentido podrán prestarlo únicamente</w:t>
      </w:r>
      <w:r>
        <w:rPr>
          <w:vertAlign w:val="superscript"/>
        </w:rPr>
        <w:footnoteReference w:id="35"/>
      </w:r>
      <w:r>
        <w:t xml:space="preserve"> las sociedades por acciones, las organizaciones autorizadas, las empresas industriales y comerciales del Estado y los municipios de manera directa</w:t>
      </w:r>
      <w:r>
        <w:rPr>
          <w:vertAlign w:val="superscript"/>
        </w:rPr>
        <w:footnoteReference w:id="36"/>
      </w:r>
      <w:r>
        <w:t xml:space="preserve"> cuando no exista particular dispuesto a hacerlo.</w:t>
      </w:r>
    </w:p>
    <w:p w:rsidR="00B03FA5" w:rsidRDefault="00B03FA5" w:rsidP="00720C72">
      <w:pPr>
        <w:pStyle w:val="NormalWeb"/>
        <w:shd w:val="clear" w:color="auto" w:fill="FFFFFF"/>
        <w:spacing w:line="276" w:lineRule="auto"/>
        <w:jc w:val="center"/>
        <w:rPr>
          <w:rFonts w:ascii="Times New Roman" w:hAnsi="Times New Roman" w:cs="Times New Roman"/>
          <w:b/>
          <w:lang w:val="es-ES_tradnl"/>
        </w:rPr>
      </w:pPr>
    </w:p>
    <w:p w:rsidR="00B61CCA" w:rsidRPr="00720C72" w:rsidRDefault="00AA38AB" w:rsidP="00720C72">
      <w:pPr>
        <w:pStyle w:val="NormalWeb"/>
        <w:shd w:val="clear" w:color="auto" w:fill="FFFFFF"/>
        <w:spacing w:line="276" w:lineRule="auto"/>
        <w:jc w:val="center"/>
        <w:rPr>
          <w:rFonts w:ascii="Times New Roman" w:hAnsi="Times New Roman" w:cs="Times New Roman"/>
          <w:b/>
          <w:lang w:val="es-ES_tradnl"/>
        </w:rPr>
      </w:pPr>
      <w:r>
        <w:rPr>
          <w:rFonts w:ascii="Times New Roman" w:hAnsi="Times New Roman" w:cs="Times New Roman"/>
          <w:b/>
          <w:lang w:val="es-ES_tradnl"/>
        </w:rPr>
        <w:t>C</w:t>
      </w:r>
      <w:r w:rsidR="003D6C15" w:rsidRPr="00F620E4">
        <w:rPr>
          <w:rFonts w:ascii="Times New Roman" w:hAnsi="Times New Roman" w:cs="Times New Roman"/>
          <w:b/>
          <w:lang w:val="es-ES_tradnl"/>
        </w:rPr>
        <w:t>ONSIDERACIONE</w:t>
      </w:r>
      <w:r w:rsidR="00CF059F" w:rsidRPr="00F620E4">
        <w:rPr>
          <w:rFonts w:ascii="Times New Roman" w:hAnsi="Times New Roman" w:cs="Times New Roman"/>
          <w:b/>
          <w:lang w:val="es-ES_tradnl"/>
        </w:rPr>
        <w:t>S DEL ACTO LEGISLATIVO</w:t>
      </w:r>
    </w:p>
    <w:p w:rsidR="00BB308E" w:rsidRDefault="00BB308E" w:rsidP="00B61CCA">
      <w:pPr>
        <w:spacing w:before="57" w:after="57" w:line="360" w:lineRule="auto"/>
        <w:jc w:val="both"/>
        <w:rPr>
          <w:b/>
          <w:color w:val="000000"/>
          <w:lang w:eastAsia="es-CO"/>
        </w:rPr>
      </w:pPr>
      <w:r>
        <w:rPr>
          <w:b/>
          <w:color w:val="000000"/>
        </w:rPr>
        <w:t>Acceso al agua como derecho fundamental.</w:t>
      </w:r>
    </w:p>
    <w:p w:rsidR="00FA4ACC" w:rsidRPr="00767D9F" w:rsidRDefault="00BB308E" w:rsidP="00B61CCA">
      <w:pPr>
        <w:spacing w:before="57" w:after="57" w:line="360" w:lineRule="auto"/>
        <w:jc w:val="both"/>
        <w:rPr>
          <w:b/>
          <w:color w:val="000000"/>
        </w:rPr>
      </w:pPr>
      <w:r>
        <w:rPr>
          <w:color w:val="000000"/>
        </w:rPr>
        <w:t>Uno de los 17 Objetivos de Desarrollo Sostenible (ODS) presentados por la Organización de Naciones Unidas, concretamente el sexto objetivo es “garantizar la disponibilidad de agua y su gestión sostenible”. Para la Organización de Naciones Unidas “el agua libre de impurezas y accesible para todos es parte esencial del mundo en que queremos vivir” y “hay suficiente agua dulce en el planeta para lograr este sueño”.</w:t>
      </w:r>
    </w:p>
    <w:p w:rsidR="00FA4ACC" w:rsidRPr="00767D9F" w:rsidRDefault="00BB308E" w:rsidP="00B61CCA">
      <w:pPr>
        <w:spacing w:before="57" w:after="57" w:line="360" w:lineRule="auto"/>
        <w:jc w:val="both"/>
        <w:rPr>
          <w:b/>
          <w:color w:val="000000"/>
        </w:rPr>
      </w:pPr>
      <w:r>
        <w:rPr>
          <w:color w:val="000000"/>
        </w:rPr>
        <w:t xml:space="preserve">La protección del recurso hídrico es una necesidad urgente a nivel global. Según la Organización de Naciones Unidas (ONU) “para 2050, al menos una de cada cuatro personas </w:t>
      </w:r>
      <w:r>
        <w:rPr>
          <w:color w:val="000000"/>
        </w:rPr>
        <w:lastRenderedPageBreak/>
        <w:t>probablemente viva en un país afectado por escasez crónica y reiterada de agua dulce”</w:t>
      </w:r>
      <w:r>
        <w:rPr>
          <w:color w:val="000000"/>
          <w:vertAlign w:val="superscript"/>
        </w:rPr>
        <w:footnoteReference w:id="37"/>
      </w:r>
      <w:r>
        <w:rPr>
          <w:color w:val="000000"/>
        </w:rPr>
        <w:t xml:space="preserve"> . Este objetivo de desarrollo sostenible, junto con los otros 16 objetivos, son una base para la construcción de una paz sostenible en nuestro país. </w:t>
      </w:r>
    </w:p>
    <w:p w:rsidR="00FA4ACC" w:rsidRDefault="00BB308E" w:rsidP="00B61CCA">
      <w:pPr>
        <w:spacing w:before="57" w:after="57" w:line="360" w:lineRule="auto"/>
        <w:jc w:val="both"/>
        <w:rPr>
          <w:color w:val="000000"/>
        </w:rPr>
      </w:pPr>
      <w:r>
        <w:rPr>
          <w:color w:val="000000"/>
        </w:rPr>
        <w:t>El derecho al agua, cuyo contenido ha sido desarrollado por la Corte Constitucional de Colombia en reiterada jurisprudencia, es un derecho polifacético. Así, la Corte Constitucional ha mencionado que entre los derechos constitucionales relevantes en materia del agua “vale la pena al menos mencionar los siguientes: el (1) derecho a la vida, que se consagra como inviolable y (2) a que nadie será sometido a tratos crueles, inhumanos o degradantes, (3) el derecho a la igualdad (“), (4) los derechos de las niñas y de los niños; (5) al saneamiento ambiental como un servicio público a cargo del Estado; (6) a una vivienda digna; (7) el derecho de todas las personas a gozar de un ambiente sano y a que la comunidad participe en las decisiones que puedan afectarlo”</w:t>
      </w:r>
      <w:r>
        <w:rPr>
          <w:color w:val="000000"/>
          <w:vertAlign w:val="superscript"/>
        </w:rPr>
        <w:footnoteReference w:id="38"/>
      </w:r>
      <w:r w:rsidR="001D79A0">
        <w:rPr>
          <w:color w:val="000000"/>
        </w:rPr>
        <w:t xml:space="preserve"> .</w:t>
      </w:r>
    </w:p>
    <w:p w:rsidR="00FA4ACC" w:rsidRDefault="00BB308E" w:rsidP="001D79A0">
      <w:pPr>
        <w:spacing w:before="57" w:after="57" w:line="360" w:lineRule="auto"/>
        <w:jc w:val="both"/>
        <w:rPr>
          <w:color w:val="000000"/>
        </w:rPr>
      </w:pPr>
      <w:r>
        <w:rPr>
          <w:color w:val="000000"/>
        </w:rPr>
        <w:t>En este sentido, las distintas dimensiones del derecho al agua podrían clasificarse en al menos dos grupos, la primera dimensión hace de este derecho una condición necesaria del derecho a la vida de los seres humanos, y todos los aspectos y garantías que se relacionan con esta dimensión: igualdad, derechos de las niñas y los niños, vivienda digna, etc. La segunda dimensión relaciona directamente el derecho al agua como recurso natural esencial del medio ambiente con el derecho a gozar de un ambiente sano. Ambas dimensiones quedan plasmadas en el texto de artículo 11 A que propone el presente proyecto de acto legislativo, pues no solo se establece que todo ser humano tiene derecho al acceso al agua sino y que su uso prioritario es el consumo humano sin detrimento de su función ecológica, con lo que se recoge la dimensión humana del derecho al agua, sino que, además, se establece que se trata de un recurso público esencial para el desarrollo social, ambiental, económico y cultural y que corresponde al Estado colombiano garantizar la protección, conservación, recuperación y manejo sostenible tanto del r</w:t>
      </w:r>
      <w:r w:rsidR="001D79A0">
        <w:rPr>
          <w:color w:val="000000"/>
        </w:rPr>
        <w:t>ecurso como de los ecosistemas.</w:t>
      </w:r>
    </w:p>
    <w:p w:rsidR="00FA4ACC" w:rsidRPr="00767D9F" w:rsidRDefault="00BB308E" w:rsidP="00767D9F">
      <w:pPr>
        <w:spacing w:before="57" w:after="57" w:line="360" w:lineRule="auto"/>
        <w:jc w:val="both"/>
        <w:rPr>
          <w:color w:val="000000"/>
        </w:rPr>
      </w:pPr>
      <w:r>
        <w:rPr>
          <w:color w:val="000000"/>
        </w:rPr>
        <w:lastRenderedPageBreak/>
        <w:t>El derecho al agua ha sido definido por Naciones Unidas como “el derecho de todos a disponer de agua suficiente, salubre, aceptable, accesible y asequible para el uso personal y doméstico”</w:t>
      </w:r>
      <w:r>
        <w:rPr>
          <w:color w:val="000000"/>
          <w:vertAlign w:val="superscript"/>
        </w:rPr>
        <w:footnoteReference w:id="39"/>
      </w:r>
      <w:r>
        <w:rPr>
          <w:color w:val="000000"/>
        </w:rPr>
        <w:t xml:space="preserve">  que comprende (i) el derecho a disponer, y a (ii) acceder a cantidades suficientes de agua, y además, que el mismo sea (iii) de calidad “para los usos personales y domésticos”. Por otro lado, como ya se mencionó el Comité de Derechos Económicos, Sociales y Culturales de las Naciones Unidas ha indicado una serie de elementos necesarios para garantizar efectivamente el derecho al acceso al agua</w:t>
      </w:r>
      <w:r>
        <w:rPr>
          <w:color w:val="000000"/>
          <w:vertAlign w:val="superscript"/>
        </w:rPr>
        <w:footnoteReference w:id="40"/>
      </w:r>
      <w:r>
        <w:rPr>
          <w:color w:val="000000"/>
        </w:rPr>
        <w:t>.Siguiendo nuevamente la doctrina nacional</w:t>
      </w:r>
      <w:r>
        <w:rPr>
          <w:color w:val="000000"/>
          <w:vertAlign w:val="superscript"/>
        </w:rPr>
        <w:footnoteReference w:id="41"/>
      </w:r>
      <w:r>
        <w:rPr>
          <w:color w:val="000000"/>
        </w:rPr>
        <w:t>:</w:t>
      </w:r>
      <w:bookmarkStart w:id="9" w:name="_26in1rg"/>
      <w:bookmarkEnd w:id="9"/>
    </w:p>
    <w:p w:rsidR="00FA4ACC" w:rsidRDefault="00BB308E" w:rsidP="00B61CCA">
      <w:pPr>
        <w:spacing w:line="360" w:lineRule="auto"/>
        <w:ind w:right="284"/>
        <w:jc w:val="both"/>
      </w:pPr>
      <w:r>
        <w:t>“De las definiciones propuestas se vislumbra que los principales elementos del derecho humano al agua son aquellos que permiten la vida en condiciones dignas por parte de los asociados.</w:t>
      </w:r>
      <w:r>
        <w:rPr>
          <w:vertAlign w:val="superscript"/>
        </w:rPr>
        <w:footnoteReference w:id="42"/>
      </w:r>
      <w:r>
        <w:t xml:space="preserve"> El DHA posee tres tipos de obligaciones principales de acuerdo con lo dicho por el Comité de Derechos Económicos, Sociales y Culturales (siendo comunes a los derechos humanos)</w:t>
      </w:r>
      <w:r w:rsidR="001D79A0">
        <w:t>: proteger, respetar y cumplir.</w:t>
      </w:r>
    </w:p>
    <w:p w:rsidR="00FA4ACC" w:rsidRDefault="00BB308E" w:rsidP="001D79A0">
      <w:pPr>
        <w:spacing w:line="360" w:lineRule="auto"/>
        <w:ind w:right="284"/>
        <w:jc w:val="both"/>
      </w:pPr>
      <w:r>
        <w:t>La obligación de proteger hace referencia al amparo del derecho frente a terceros que directa o indirectamente puedan afectarlo o disminuir su ejercicio. Por ende, se exige del Estado crear las medidas necesarias para su satisfacción, entre ellas, una normatividad que regule el comportamiento de las personas y, de esta manera, se impidan las posibles interferencias en el goce del derecho. En palabras de la Observación en cita, esta obligación implica “adoptar las medidas que sean necesarias y que, de acuerdo a las circunstancias, resulten razonables para asegurar el ejercicio de esos derechos e impedir</w:t>
      </w:r>
      <w:r w:rsidR="00767D9F">
        <w:t xml:space="preserve"> la interferencia de terceros”. </w:t>
      </w:r>
    </w:p>
    <w:p w:rsidR="00FA4ACC" w:rsidRDefault="00BB308E" w:rsidP="001D79A0">
      <w:pPr>
        <w:spacing w:line="360" w:lineRule="auto"/>
        <w:ind w:right="284"/>
        <w:jc w:val="both"/>
      </w:pPr>
      <w:r>
        <w:t xml:space="preserve">Sobre el particular, la Corte Constitucional ha dicho que “esta obligación implica (i) la adopción de medidas legislativas o de otra índole que sean necesarias y efectivas para </w:t>
      </w:r>
      <w:r>
        <w:lastRenderedPageBreak/>
        <w:t>impedir que terceros denieguen el acceso al agua potable en condiciones de igualdad y contaminen o exploten de forma no equitativa los recursos de agua; (ii) demanda a los Estados impedir que terceros menoscaben el acceso físico en condiciones de igualdad y a un costo razonable a recursos de agua suficientes, salubres y aceptables, cuando éstos controlen los servicios de suministro de agua; y (iii) exige la promulgación de legislación en aras de la protección y funcionamiento eficaz del sistema judicial con el fin de resguardar el goce del derecho al agua potable frente a afectaciones provenientes de terceros”</w:t>
      </w:r>
      <w:r>
        <w:rPr>
          <w:vertAlign w:val="superscript"/>
        </w:rPr>
        <w:footnoteReference w:id="43"/>
      </w:r>
    </w:p>
    <w:p w:rsidR="00FA4ACC" w:rsidRDefault="00BB308E" w:rsidP="001D79A0">
      <w:pPr>
        <w:spacing w:line="360" w:lineRule="auto"/>
        <w:ind w:right="284"/>
        <w:jc w:val="both"/>
      </w:pPr>
      <w:r>
        <w:t>Por su parte, la obligación de respetar, en palabras de Rodríguez, Lozano y Gómez</w:t>
      </w:r>
      <w:r>
        <w:rPr>
          <w:vertAlign w:val="superscript"/>
        </w:rPr>
        <w:footnoteReference w:id="44"/>
      </w:r>
      <w:r>
        <w:t>, implica directamente al Estado en el compromiso de no interferir en el disfrute del derecho al agua, bien sea de manera directa o indirecta, incluso en lo relativo a las formas autóctonas de distribución del recurso hídrico. Esto comporta la proscripción de ataques a la infraestructura de suministro, lo que representa en algún grado una intersección con el catálogo de prohibiciones previsto por el derecho internacional humanitario. Por ende, comprende las siguientes prohibiciones dirigidas al Estado: i) inmiscuirse en las formas tradicionales y culturalmente adecuadas de las comunidades en su gestión comunitaria del agua; ii) realizar cualquier práctica que restrinja su acceso; iii) contaminar o permitir la contaminación del recurso; y iv) limitar el acceso a servicios, redes o infraestructura necesaria para el abastecimiento de las aguas</w:t>
      </w:r>
      <w:r>
        <w:rPr>
          <w:vertAlign w:val="superscript"/>
        </w:rPr>
        <w:t xml:space="preserve"> </w:t>
      </w:r>
      <w:r>
        <w:rPr>
          <w:vertAlign w:val="superscript"/>
        </w:rPr>
        <w:footnoteReference w:id="45"/>
      </w:r>
      <w:r w:rsidR="001D79A0">
        <w:t>.</w:t>
      </w:r>
    </w:p>
    <w:p w:rsidR="00BB308E" w:rsidRDefault="00BB308E" w:rsidP="001D79A0">
      <w:pPr>
        <w:spacing w:line="360" w:lineRule="auto"/>
        <w:ind w:right="284"/>
        <w:jc w:val="both"/>
      </w:pPr>
      <w:r>
        <w:t xml:space="preserve">Por último, la obligación de cumplir exige que el derecho sea reconocido en los mecanismos legales existentes y se traduzca y garantice a través de políticas públicas coherentes que permitan su pleno ejercicio. Para ello se requiere el cumplimiento de tres sub-obligaciones (facilitar, promover y garantizar) así descritas por el Comité en </w:t>
      </w:r>
      <w:r w:rsidR="001D79A0">
        <w:t xml:space="preserve">la Observación General No. 15: </w:t>
      </w:r>
    </w:p>
    <w:p w:rsidR="00FA4ACC" w:rsidRPr="00767D9F" w:rsidRDefault="00BB308E" w:rsidP="00B61CCA">
      <w:pPr>
        <w:spacing w:line="360" w:lineRule="auto"/>
        <w:ind w:right="284"/>
        <w:jc w:val="both"/>
        <w:rPr>
          <w:i/>
        </w:rPr>
      </w:pPr>
      <w:r>
        <w:lastRenderedPageBreak/>
        <w:t>“La obligación de facilitar exige que los Estados partes adopten medidas positivas que permitan y ayuden a los particulares y las comunidades a ejercer el derecho. La obligación de promover impone al Estado parte la adopción de medidas para que se difunda información adecuada acerca del uso higiénico del agua, la protección de las fuentes de agua y los métodos para reducir los desperdicios de agua. Los Estados partes también tienen la obligación de hacer efectivo (garantizar) el derecho en los casos en que los particulares o los grupos no están en condiciones, por razones ajenas a su voluntad, de ejercer por sí mismos ese derecho con ayuda de medios a su disposición”.</w:t>
      </w:r>
    </w:p>
    <w:p w:rsidR="00B61CCA" w:rsidRDefault="00BB308E" w:rsidP="00B61CCA">
      <w:pPr>
        <w:spacing w:line="360" w:lineRule="auto"/>
        <w:ind w:right="284"/>
        <w:jc w:val="both"/>
      </w:pPr>
      <w:r>
        <w:t>Efectuadas las anteriores precisiones, veamos entonces cada componente del derecho humano al agua:</w:t>
      </w:r>
      <w:bookmarkStart w:id="10" w:name="_lnxbz9"/>
      <w:bookmarkEnd w:id="10"/>
    </w:p>
    <w:p w:rsidR="00FA4ACC" w:rsidRPr="00BF64AE" w:rsidRDefault="00BB308E" w:rsidP="00B61CCA">
      <w:pPr>
        <w:spacing w:line="360" w:lineRule="auto"/>
        <w:ind w:right="284"/>
        <w:jc w:val="both"/>
      </w:pPr>
      <w:r w:rsidRPr="00B61CCA">
        <w:rPr>
          <w:b/>
        </w:rPr>
        <w:t>Disponibilidad</w:t>
      </w:r>
      <w:r w:rsidR="00B61CCA">
        <w:rPr>
          <w:b/>
        </w:rPr>
        <w:t xml:space="preserve">: </w:t>
      </w:r>
      <w:r>
        <w:t>Por disponibilidad se entiende, según el Diccionario de la Real Academia Española, la condición de estar lista para utilizase, por ende, requiere que la cosa (en nuestro caso el agua) exista y se pueda usar. Teniendo en cuenta que el agua no se encuentra en todos los lugares de nuestra geografía nacional</w:t>
      </w:r>
      <w:r>
        <w:rPr>
          <w:vertAlign w:val="superscript"/>
        </w:rPr>
        <w:footnoteReference w:id="46"/>
      </w:r>
      <w:r>
        <w:t>, será obligación del Estado diseñar los sistemas necesarios para su transporte a zonas que no cuentan con este líquido vital. Ahora bien, “que se pueda usar” requiere el cuidado de las aguas y el recibo de las mismas en cantidades suficientes y de manera continua, lo cual contempla los subcomponentes de la disponibilidad que son: sostenibilidad, continuidad y cantidad, que desarrollaremos a continuación.</w:t>
      </w:r>
      <w:bookmarkStart w:id="11" w:name="_35nkun2"/>
      <w:bookmarkEnd w:id="11"/>
    </w:p>
    <w:p w:rsidR="00FA4ACC" w:rsidRPr="00767D9F" w:rsidRDefault="00BB308E" w:rsidP="00B61CCA">
      <w:pPr>
        <w:spacing w:line="360" w:lineRule="auto"/>
        <w:ind w:right="284"/>
        <w:jc w:val="both"/>
        <w:rPr>
          <w:b/>
        </w:rPr>
      </w:pPr>
      <w:r w:rsidRPr="00B61CCA">
        <w:rPr>
          <w:b/>
        </w:rPr>
        <w:t>Disponibilidad como sostenibilidad</w:t>
      </w:r>
      <w:r w:rsidR="00B61CCA" w:rsidRPr="00B61CCA">
        <w:rPr>
          <w:b/>
        </w:rPr>
        <w:t>:</w:t>
      </w:r>
      <w:r w:rsidR="00B61CCA">
        <w:rPr>
          <w:b/>
        </w:rPr>
        <w:t xml:space="preserve"> </w:t>
      </w:r>
      <w:r>
        <w:t>La sostenibilidad de las aguas se garantiza a través de un ordenamiento jurídico dispuesto al cuidado, protección, preservación, conservación y recuperación de los recursos naturales. En Colombia ha sido regulado a través del derecho ambiental</w:t>
      </w:r>
      <w:r>
        <w:rPr>
          <w:vertAlign w:val="superscript"/>
        </w:rPr>
        <w:footnoteReference w:id="47"/>
      </w:r>
      <w:r>
        <w:t xml:space="preserve"> y es principalmente ejercido por las entidades que hacen parte del Sistema Nacional Ambiental. Esto con el fin de garantizar a los habitantes del territorio nacional y aquellos venideros (principio de responsabilidad intergeneracional procedente </w:t>
      </w:r>
      <w:r>
        <w:lastRenderedPageBreak/>
        <w:t>de la Declaración de Río de Janeiro de 1992</w:t>
      </w:r>
      <w:r>
        <w:rPr>
          <w:vertAlign w:val="superscript"/>
        </w:rPr>
        <w:footnoteReference w:id="48"/>
      </w:r>
      <w:r>
        <w:t>), la existencia del recurso en condiciones adecuadas.</w:t>
      </w:r>
    </w:p>
    <w:p w:rsidR="00FA4ACC" w:rsidRPr="00B03FA5" w:rsidRDefault="00BB308E" w:rsidP="00B61CCA">
      <w:pPr>
        <w:spacing w:line="360" w:lineRule="auto"/>
        <w:ind w:right="284"/>
        <w:jc w:val="both"/>
      </w:pPr>
      <w:r>
        <w:t>Sobre este punto, será entonces obligación del Estado</w:t>
      </w:r>
      <w:r>
        <w:rPr>
          <w:vertAlign w:val="superscript"/>
        </w:rPr>
        <w:footnoteReference w:id="49"/>
      </w:r>
      <w:r>
        <w:t xml:space="preserve"> cuidar y proteger los recursos naturales de conformidad con lo dispuesto en los Artículos 79 y 80 de la Constitución Política, ya que es “un bien jurídico constitucionalmente protegido, en el que concurren las siguientes dimensiones: (i) es un principio que irradia todo el orden jurídico en cuanto se le atribuye al Estado la obligación de conservarlo y protegerlo, procurando que el desarrollo económico y social sea compatible con las políticas que buscan salvaguardar las riquezas naturales de la Nación; (ii) aparece como un derecho constitucional de todos los individuos que es exigible por distintas vías judiciales; (iii) tiene el carácter de servicio público, erigiéndose junto con la salud, la educación y el agua potable, en un objetivo social cuya realización material encuentra pleno fundamento en el fin esencial de propender por el mejoramiento de la calidad de vida de la población del país; y (iv) aparece como una prioridad dentro de los fines del Estado, comprometiendo la responsabilidad directa del Estado al atribuirle los deberes de prevención y control de los factores de deterioro ambiental y la adopción de las medidas de protección”</w:t>
      </w:r>
      <w:r>
        <w:rPr>
          <w:vertAlign w:val="superscript"/>
        </w:rPr>
        <w:footnoteReference w:id="50"/>
      </w:r>
      <w:r>
        <w:t>.</w:t>
      </w:r>
      <w:bookmarkStart w:id="12" w:name="_1ksv4uv"/>
      <w:bookmarkEnd w:id="12"/>
    </w:p>
    <w:p w:rsidR="00B61CCA" w:rsidRDefault="00BB308E" w:rsidP="00B61CCA">
      <w:pPr>
        <w:spacing w:line="360" w:lineRule="auto"/>
        <w:ind w:right="284"/>
        <w:jc w:val="both"/>
        <w:rPr>
          <w:b/>
        </w:rPr>
      </w:pPr>
      <w:r w:rsidRPr="00B61CCA">
        <w:rPr>
          <w:b/>
        </w:rPr>
        <w:t>Disponibilidad como continuidad</w:t>
      </w:r>
      <w:r w:rsidR="00B61CCA" w:rsidRPr="00B61CCA">
        <w:rPr>
          <w:b/>
        </w:rPr>
        <w:t>:</w:t>
      </w:r>
      <w:r w:rsidR="00B61CCA">
        <w:rPr>
          <w:b/>
        </w:rPr>
        <w:t xml:space="preserve"> </w:t>
      </w:r>
      <w:r>
        <w:t xml:space="preserve">La continuidad hace referencia a la regularidad con la cual se reciben las aguas. Esta frecuencia en el tiempo, deberá permitir la satisfacción de las necesidades básicas (humanas y domésticas) de las personas. </w:t>
      </w:r>
    </w:p>
    <w:p w:rsidR="00FA4ACC" w:rsidRPr="00BF64AE" w:rsidRDefault="00BB308E" w:rsidP="00B61CCA">
      <w:pPr>
        <w:spacing w:line="360" w:lineRule="auto"/>
        <w:ind w:right="284"/>
        <w:jc w:val="both"/>
      </w:pPr>
      <w:r>
        <w:t xml:space="preserve">Así las cosas, “este subnivel obligacional insta al Estado a: (i) abstenerse de interrumpir o desconectar de manera arbitraria o injustificada los servicios o instalaciones de agua; (ii) regular y controlar eficazmente los servicios de suministro de agua; (iii) garantizar que los establecimientos penitenciario y servicios de salud cuenten con agua limpia potable y </w:t>
      </w:r>
      <w:r>
        <w:lastRenderedPageBreak/>
        <w:t>condiciones sanitarias adecuadas; y (iv) asegurar la prestación eficiente de los servicios públicos a todos los habitantes”</w:t>
      </w:r>
      <w:r>
        <w:rPr>
          <w:vertAlign w:val="superscript"/>
        </w:rPr>
        <w:footnoteReference w:id="51"/>
      </w:r>
      <w:r>
        <w:t>.</w:t>
      </w:r>
      <w:bookmarkStart w:id="13" w:name="_44sinio"/>
      <w:bookmarkEnd w:id="13"/>
    </w:p>
    <w:p w:rsidR="00B61CCA" w:rsidRDefault="00BB308E" w:rsidP="00B61CCA">
      <w:pPr>
        <w:spacing w:line="360" w:lineRule="auto"/>
        <w:ind w:right="284"/>
        <w:jc w:val="both"/>
        <w:rPr>
          <w:b/>
        </w:rPr>
      </w:pPr>
      <w:r w:rsidRPr="00B61CCA">
        <w:rPr>
          <w:b/>
        </w:rPr>
        <w:t>Disponibilidad como cantidad</w:t>
      </w:r>
      <w:r w:rsidR="00B61CCA" w:rsidRPr="00B61CCA">
        <w:rPr>
          <w:b/>
        </w:rPr>
        <w:t>:</w:t>
      </w:r>
      <w:r w:rsidR="00B61CCA">
        <w:rPr>
          <w:b/>
        </w:rPr>
        <w:t xml:space="preserve"> </w:t>
      </w:r>
      <w:r>
        <w:t xml:space="preserve">La cantidad hace referencia al volumen de agua recibida por las personas, el </w:t>
      </w:r>
      <w:r w:rsidR="00BF64AE">
        <w:t>cual deberá</w:t>
      </w:r>
      <w:r>
        <w:t xml:space="preserve"> ser suficiente para el mantenimiento de la vida y la salud. Por ende, las personas requerirán agua para consumo directo o bebida, preparación de alimentos y alimentación, aseo personal y doméstico y saneamiento básico.</w:t>
      </w:r>
    </w:p>
    <w:p w:rsidR="00FA4ACC" w:rsidRPr="00767D9F" w:rsidRDefault="00BB308E" w:rsidP="00B61CCA">
      <w:pPr>
        <w:spacing w:line="360" w:lineRule="auto"/>
        <w:ind w:right="284"/>
        <w:jc w:val="both"/>
        <w:rPr>
          <w:b/>
        </w:rPr>
      </w:pPr>
      <w:r>
        <w:t>Con relación a la disponibilidad como cantidad la Corte Constitucional ha señalado que, “el Estado está obligado, de acuerdo con este subnivel obligacional, entre otras cosas, a (i) abstenerse de privar a una persona del mínimo indispensable de agua; (ii) facilitar agua y garantizar el suministro necesario de agua a quienes no disponen de medios suficientes; y (iii) garantizar que todos los beneficiarios del derecho a una vivienda adecuada tengan acceso permanente a agua potable, a instalaciones sanitarias y de aseo, de eliminación de desechos y de drenaje”</w:t>
      </w:r>
      <w:r>
        <w:rPr>
          <w:vertAlign w:val="superscript"/>
        </w:rPr>
        <w:footnoteReference w:id="52"/>
      </w:r>
      <w:r>
        <w:t>.</w:t>
      </w:r>
    </w:p>
    <w:p w:rsidR="00BF64AE" w:rsidRPr="00B03FA5" w:rsidRDefault="00BB308E" w:rsidP="00B61CCA">
      <w:pPr>
        <w:spacing w:line="360" w:lineRule="auto"/>
        <w:ind w:right="284"/>
        <w:jc w:val="both"/>
      </w:pPr>
      <w:r>
        <w:t>Para lograrlo, se espera que el Estado adopte políticas públicas para promover el uso eficiente y el ahorro de agua</w:t>
      </w:r>
      <w:r>
        <w:rPr>
          <w:vertAlign w:val="superscript"/>
        </w:rPr>
        <w:footnoteReference w:id="53"/>
      </w:r>
      <w:r>
        <w:t>, así como el efectivo cuidado del recurso hídrico a través de la interdisciplinaria rama del derecho ambiental.</w:t>
      </w:r>
      <w:bookmarkStart w:id="14" w:name="_2jxsxqh"/>
      <w:bookmarkStart w:id="15" w:name="_z337ya"/>
      <w:bookmarkEnd w:id="14"/>
      <w:bookmarkEnd w:id="15"/>
    </w:p>
    <w:p w:rsidR="00B61CCA" w:rsidRDefault="00BB308E" w:rsidP="00B61CCA">
      <w:pPr>
        <w:spacing w:line="360" w:lineRule="auto"/>
        <w:ind w:right="284"/>
        <w:jc w:val="both"/>
        <w:rPr>
          <w:b/>
        </w:rPr>
      </w:pPr>
      <w:r w:rsidRPr="00B61CCA">
        <w:rPr>
          <w:b/>
        </w:rPr>
        <w:t>Accesibilidad</w:t>
      </w:r>
      <w:r w:rsidR="00B61CCA" w:rsidRPr="00B61CCA">
        <w:rPr>
          <w:b/>
        </w:rPr>
        <w:t>:</w:t>
      </w:r>
      <w:r w:rsidR="00B61CCA">
        <w:rPr>
          <w:b/>
        </w:rPr>
        <w:t xml:space="preserve"> </w:t>
      </w:r>
    </w:p>
    <w:p w:rsidR="00FA4ACC" w:rsidRPr="00BF64AE" w:rsidRDefault="00BB308E" w:rsidP="00B61CCA">
      <w:pPr>
        <w:spacing w:line="360" w:lineRule="auto"/>
        <w:ind w:right="284"/>
        <w:jc w:val="both"/>
      </w:pPr>
      <w:r>
        <w:t>La accesibilidad, de manera general implica tener en cercanías mediatas del hogar, lugar de trabajo, estudio o desenvolvimiento personal bien sea el agua o las instalaciones necesarias para su abastecimiento. Lo cual a su vez requiere que se haga sin discriminación alguna y con el acceso a la información suficiente. A su vez, la accesibilidad posee dos aspectos primordiales, el físico y el económico, que serán desarrollados a continuación.</w:t>
      </w:r>
      <w:bookmarkStart w:id="16" w:name="_3j2qqm3"/>
      <w:bookmarkEnd w:id="16"/>
    </w:p>
    <w:p w:rsidR="00FA4ACC" w:rsidRPr="00767D9F" w:rsidRDefault="00BB308E" w:rsidP="00B61CCA">
      <w:pPr>
        <w:spacing w:line="360" w:lineRule="auto"/>
        <w:ind w:right="284"/>
        <w:jc w:val="both"/>
        <w:rPr>
          <w:b/>
        </w:rPr>
      </w:pPr>
      <w:r w:rsidRPr="00B61CCA">
        <w:rPr>
          <w:b/>
        </w:rPr>
        <w:t>Accesibilidad física</w:t>
      </w:r>
      <w:r w:rsidR="00B61CCA" w:rsidRPr="00B61CCA">
        <w:rPr>
          <w:b/>
        </w:rPr>
        <w:t>:</w:t>
      </w:r>
      <w:r w:rsidR="00B61CCA">
        <w:rPr>
          <w:b/>
        </w:rPr>
        <w:t xml:space="preserve"> </w:t>
      </w:r>
      <w:r>
        <w:t xml:space="preserve">Dejaremos que la Corte Constitucional explique el componente así: la accesibilidad </w:t>
      </w:r>
      <w:r w:rsidR="00767D9F">
        <w:t>física hace</w:t>
      </w:r>
      <w:r>
        <w:t xml:space="preserve"> referencia a que el agua y las instalaciones de agua deben estar al alcance físico de todos los sectores de la población. En esta medida debe poderse </w:t>
      </w:r>
      <w:r>
        <w:lastRenderedPageBreak/>
        <w:t>acceder a un suministro de agua suficiente, salubre y aceptable en cada hogar, institución educativa o lugar de trabajo o en sus cercanías inmediatas. Además, los servicios e instalaciones de agua deben tener en cuenta las necesidades relativas al género, al ciclo vital, a la cultura y a la intimidad</w:t>
      </w:r>
      <w:r>
        <w:rPr>
          <w:vertAlign w:val="superscript"/>
        </w:rPr>
        <w:t xml:space="preserve"> </w:t>
      </w:r>
      <w:r>
        <w:rPr>
          <w:vertAlign w:val="superscript"/>
        </w:rPr>
        <w:footnoteReference w:id="54"/>
      </w:r>
      <w:r>
        <w:rPr>
          <w:vertAlign w:val="superscript"/>
        </w:rPr>
        <w:t>.</w:t>
      </w:r>
    </w:p>
    <w:p w:rsidR="00B61CCA" w:rsidRDefault="00BB308E" w:rsidP="00B61CCA">
      <w:pPr>
        <w:spacing w:line="360" w:lineRule="auto"/>
        <w:ind w:right="284"/>
        <w:jc w:val="both"/>
        <w:rPr>
          <w:b/>
        </w:rPr>
      </w:pPr>
      <w:r>
        <w:t xml:space="preserve">Para este alto tribunal, las principales obligaciones por parte del Estado son: (i) garantizar el acceso a la cantidad esencial mínima de agua, que sea suficiente y apta para el uso personal y doméstico y para prevenir las enfermedades; y (ii) garantizar el acceso físico a las instalaciones o servicios de agua que proporcionen un suministro suficiente y regular de agua salubre; que tengan un número suficiente de salidas de agua para evitar unos tiempos de espera prohibitivos; y que se encuentren a una distancia razonable del hogar. </w:t>
      </w:r>
    </w:p>
    <w:p w:rsidR="00FA4ACC" w:rsidRPr="00BF64AE" w:rsidRDefault="00BB308E" w:rsidP="00B61CCA">
      <w:pPr>
        <w:spacing w:line="360" w:lineRule="auto"/>
        <w:ind w:right="284"/>
        <w:jc w:val="both"/>
      </w:pPr>
      <w:r>
        <w:t xml:space="preserve">Aunado a lo anterior, el Estado también está obligado, de acuerdo con este subnivel obligacional a: (iii) abstenerse de limitar el acceso a los servicios e infraestructuras de suministro de agua o destruirlos como medida punitiva; (iv) abstenerse de generar obstáculos que impliquen la inexistencia de los servicios públicos domiciliarios o impidan su prestación; (v) adoptar medidas para velar por que las zonas rurales y las zonas urbanas desfavorecidas tengan acceso a servicios de suministro de agua en buen estado de conservación; (vi) proporcionar o asegurar que los desplazados internos disfruten de libre acceso al agua potable; (vii) adoptar medidas para impedir que terceros denieguen el acceso al agua potable en condiciones de igualdad; (viii) velar por que no se vea amenazada la seguridad personal cuando las personas tengan que acudir a obtener el agua; (ix) adoptar medidas para velar por que se suministre agua salubre suficiente a los grupos que tienen dificultades físicas para acceder al agua, como las personas de edad, las personas con discapacidad, las víctimas de desastres naturales, las personas que viven en zonas propensas a desastres y las que viven en zonas áridas y semiáridas o en pequeñas islas; (x) facilitar un acceso mayor y sostenible al agua, en particular en las zonas rurales y las zonas urbanas desfavorecidas; y (xi) brindar a las personas que no pueden acceder a </w:t>
      </w:r>
      <w:r>
        <w:lastRenderedPageBreak/>
        <w:t>los servicios públicos de acueducto y alcantarillado los medios y condiciones adecuados para que satisfagan ellas mismas sus necesidades básicas</w:t>
      </w:r>
      <w:r>
        <w:rPr>
          <w:vertAlign w:val="superscript"/>
        </w:rPr>
        <w:footnoteReference w:id="55"/>
      </w:r>
      <w:bookmarkStart w:id="17" w:name="_1y810tw"/>
      <w:bookmarkEnd w:id="17"/>
    </w:p>
    <w:p w:rsidR="00FA4ACC" w:rsidRPr="00767D9F" w:rsidRDefault="00BB308E" w:rsidP="00B61CCA">
      <w:pPr>
        <w:spacing w:line="360" w:lineRule="auto"/>
        <w:ind w:right="284"/>
        <w:jc w:val="both"/>
        <w:rPr>
          <w:b/>
        </w:rPr>
      </w:pPr>
      <w:r>
        <w:rPr>
          <w:b/>
        </w:rPr>
        <w:t>Accesibilidad económica o asequibilidad</w:t>
      </w:r>
      <w:r w:rsidR="00B61CCA">
        <w:rPr>
          <w:b/>
        </w:rPr>
        <w:t xml:space="preserve">: </w:t>
      </w:r>
      <w:r>
        <w:t>La asequibilidad, a su vez, hace referencia a que el agua o las actividades necesarias para su distribución puedan ser sufragadas por las personas en términos económicos, es decir, que sea posible pagar por ellas sin comprometer, amenazar o poner en peligro otros derechos como la alimentación, la educación, la vivienda, entre otros.</w:t>
      </w:r>
    </w:p>
    <w:p w:rsidR="00720C72" w:rsidRPr="00BF64AE" w:rsidRDefault="00BB308E" w:rsidP="00B61CCA">
      <w:pPr>
        <w:spacing w:line="360" w:lineRule="auto"/>
        <w:ind w:right="284"/>
        <w:jc w:val="both"/>
      </w:pPr>
      <w:r>
        <w:t>Al respecto, la Corte Constitucional</w:t>
      </w:r>
      <w:r>
        <w:rPr>
          <w:vertAlign w:val="superscript"/>
        </w:rPr>
        <w:footnoteReference w:id="56"/>
      </w:r>
      <w:r>
        <w:t xml:space="preserve"> ha señalado que “el subnivel obligacional de accesibilidad conmina al Estado a: (i) abstenerse de efectuar aumentos desproporcionados o discriminatorios del precio del agua; (ii) abstenerse de toda práctica o actividad que deniegue o restrinja el acceso al agua potable en condiciones de igualdad; (iii) impedir que terceros menoscaben el acceso físico en condiciones de igualdad y a un costo razonable, a recursos de agua suficientes, salubres y aceptables; (iv) establecer un sistema normativo para garantizar el acceso físico al agua en condiciones de igualdad y a un costo razonable, que prevea una supervisión independiente, una auténtica participación pública y la imposición de multas por incumplimiento; (v) velar por que el agua sea asequible para todos; (vi) adoptar las medidas necesarias para que el agua sea asequible, se sugieren: a) la utilización de un conjunto de técnicas y tecnologías económicas apropiadas. b) políticas adecuadas en materia de precios, como el suministro de agua a título gratuito o a bajo costo. c) suplementos de ingresos; y (vii) garantizar que todos los pagos por suministro de agua se basen en el principio de equidad, a fin de asegurar que esos servicios, sean públicos o privados, estén al alcance de todos, incluidos los grupos socialmente desfavorecidos”.</w:t>
      </w:r>
      <w:bookmarkStart w:id="18" w:name="_4i7ojhp"/>
      <w:bookmarkEnd w:id="18"/>
    </w:p>
    <w:p w:rsidR="00B61CCA" w:rsidRDefault="00BB308E" w:rsidP="00B61CCA">
      <w:pPr>
        <w:spacing w:line="360" w:lineRule="auto"/>
        <w:ind w:right="284"/>
        <w:jc w:val="both"/>
        <w:rPr>
          <w:b/>
        </w:rPr>
      </w:pPr>
      <w:r w:rsidRPr="00B61CCA">
        <w:rPr>
          <w:b/>
        </w:rPr>
        <w:t>No discriminación</w:t>
      </w:r>
      <w:r w:rsidR="00B61CCA">
        <w:rPr>
          <w:b/>
        </w:rPr>
        <w:t>:</w:t>
      </w:r>
    </w:p>
    <w:p w:rsidR="00FA4ACC" w:rsidRPr="00767D9F" w:rsidRDefault="00BB308E" w:rsidP="00B61CCA">
      <w:pPr>
        <w:spacing w:line="360" w:lineRule="auto"/>
        <w:ind w:right="284"/>
        <w:jc w:val="both"/>
        <w:rPr>
          <w:b/>
        </w:rPr>
      </w:pPr>
      <w:r>
        <w:t xml:space="preserve">De acuerdo con el artículo 2 de la Declaración Universal de Derechos Humanos toda persona tiene los derechos y libertades sin distinción alguna de raza, color, sexo, idioma, </w:t>
      </w:r>
      <w:r>
        <w:lastRenderedPageBreak/>
        <w:t xml:space="preserve">religión, opinión política o de cualquier otra índole, origen nacional o social, posición económica, nacimiento o cualquier otra condición. Esto quiere decir que todas las personas tienen </w:t>
      </w:r>
      <w:r>
        <w:rPr>
          <w:color w:val="000000"/>
        </w:rPr>
        <w:t>el derecho a estar libres de discriminación, así como de otras garantías como el DHA.</w:t>
      </w:r>
    </w:p>
    <w:p w:rsidR="00B61CCA" w:rsidRDefault="00BB308E" w:rsidP="00B61CCA">
      <w:pPr>
        <w:spacing w:line="360" w:lineRule="auto"/>
        <w:ind w:right="284"/>
        <w:jc w:val="both"/>
        <w:rPr>
          <w:b/>
        </w:rPr>
      </w:pPr>
      <w:r>
        <w:rPr>
          <w:color w:val="000000"/>
        </w:rPr>
        <w:t xml:space="preserve">El derecho a la no discriminación implica entonces, la exclusión, restricción o preferencia por dichos motivos o </w:t>
      </w:r>
      <w:r w:rsidR="00FA4ACC">
        <w:rPr>
          <w:color w:val="000000"/>
        </w:rPr>
        <w:t>por cualquier</w:t>
      </w:r>
      <w:r>
        <w:rPr>
          <w:color w:val="000000"/>
        </w:rPr>
        <w:t xml:space="preserve"> otra condición que tenga el propósito de afectar o deteriorar el goce completo del DHA y en especial, el derecho a altos índices de salud y de la calidad del agua, además del acceso y la disponibilidad de dicho recurso. </w:t>
      </w:r>
    </w:p>
    <w:p w:rsidR="00FA4ACC" w:rsidRPr="00767D9F" w:rsidRDefault="00BB308E" w:rsidP="00B61CCA">
      <w:pPr>
        <w:spacing w:line="360" w:lineRule="auto"/>
        <w:ind w:right="284"/>
        <w:jc w:val="both"/>
        <w:rPr>
          <w:b/>
        </w:rPr>
      </w:pPr>
      <w:r>
        <w:t>Bajo los anteriores preceptos, el grado de importancia del DHA hace que éste sea reconocido a toda persona, sin excepción alguna. Es decir, las condiciones subjetivas de género, raza, religión, sexo, opción política, estratificación socioeconómica y otras no deben ser tenidas en cuenta al momento de garantizar el suministro y abastecimiento del agua. En palabras de la Observación General No. 15, “el agua y los servicios e instalaciones de agua deben ser accesibles a todos de hecho y de derecho, incluso a los sectores más vulnerables y marginados de la población, sin discriminación alguna por cualquiera de los motivos prohibidos internacionalmente”.</w:t>
      </w:r>
    </w:p>
    <w:p w:rsidR="00BF64AE" w:rsidRPr="00B03FA5" w:rsidRDefault="00BB308E" w:rsidP="00B61CCA">
      <w:pPr>
        <w:spacing w:line="360" w:lineRule="auto"/>
        <w:ind w:right="284"/>
        <w:jc w:val="both"/>
      </w:pPr>
      <w:r>
        <w:t>De aquí, que se espera un especial interés en la garantía del derecho al agua por parte de la población históricamente discriminada como la que habita la ruralidad, los refugiados, los desplazados y los pueblos indígenas.</w:t>
      </w:r>
      <w:bookmarkStart w:id="19" w:name="_2xcytpi"/>
      <w:bookmarkEnd w:id="19"/>
    </w:p>
    <w:p w:rsidR="00B61CCA" w:rsidRDefault="00BB308E" w:rsidP="00B61CCA">
      <w:pPr>
        <w:spacing w:line="360" w:lineRule="auto"/>
        <w:ind w:right="284"/>
        <w:jc w:val="both"/>
        <w:rPr>
          <w:b/>
        </w:rPr>
      </w:pPr>
      <w:r w:rsidRPr="00B61CCA">
        <w:rPr>
          <w:b/>
        </w:rPr>
        <w:t>Acceso a la información y participación</w:t>
      </w:r>
      <w:r w:rsidR="00B61CCA">
        <w:rPr>
          <w:b/>
        </w:rPr>
        <w:t>:</w:t>
      </w:r>
    </w:p>
    <w:p w:rsidR="00FA4ACC" w:rsidRPr="00767D9F" w:rsidRDefault="00BB308E" w:rsidP="00B61CCA">
      <w:pPr>
        <w:spacing w:line="360" w:lineRule="auto"/>
        <w:ind w:right="284"/>
        <w:jc w:val="both"/>
        <w:rPr>
          <w:b/>
        </w:rPr>
      </w:pPr>
      <w:r>
        <w:t xml:space="preserve">La participación es el derecho que tienen </w:t>
      </w:r>
      <w:r>
        <w:rPr>
          <w:i/>
        </w:rPr>
        <w:t>“(…) todas las personas a conocer, intervenir e incidir en la decisiones respecto de actividades, obras o proyectos que involucren sus intereses (...)”</w:t>
      </w:r>
      <w:r>
        <w:rPr>
          <w:vertAlign w:val="superscript"/>
        </w:rPr>
        <w:footnoteReference w:id="57"/>
      </w:r>
      <w:r>
        <w:t xml:space="preserve"> y como deber tiene dos acepciones, la primera como </w:t>
      </w:r>
      <w:r>
        <w:rPr>
          <w:i/>
        </w:rPr>
        <w:t>“(…)la obligación del Estado a respetar otros derechos tales como el derecho a ser escuchado, al debido proceso y a obtener respuesta por parte de la Administración(…)”</w:t>
      </w:r>
      <w:r>
        <w:rPr>
          <w:vertAlign w:val="superscript"/>
        </w:rPr>
        <w:footnoteReference w:id="58"/>
      </w:r>
      <w:r>
        <w:rPr>
          <w:i/>
        </w:rPr>
        <w:t>;</w:t>
      </w:r>
      <w:r>
        <w:t xml:space="preserve"> permitir y desarrollar espacioso idóneos para su desarrollo y ejecución; así como la obligación o </w:t>
      </w:r>
      <w:r>
        <w:lastRenderedPageBreak/>
        <w:t>deber de los ciudadanos a coadyuvar en la toma de decisiones que a todos nos interesa como el ambiente.</w:t>
      </w:r>
    </w:p>
    <w:p w:rsidR="00FA4ACC" w:rsidRPr="00BF64AE" w:rsidRDefault="00BB308E" w:rsidP="00B61CCA">
      <w:pPr>
        <w:spacing w:line="360" w:lineRule="auto"/>
        <w:ind w:right="284"/>
        <w:jc w:val="both"/>
      </w:pPr>
      <w:r>
        <w:t>La eficiencia de la participación está relacionada además con la información que es además un derecho fundamental. Dicho derecho “comprende el derecho de solicitar, recibir y difundir información sobre las cuestiones del agua. Así se debe tener el derecho de contar con sistemas de información adecuados y oportunos por medio de los cuales sea posible solicitar, recibir y difundir información e ideas acerca de las cuestiones relacionadas con el agua potable y el saneamiento básico”</w:t>
      </w:r>
      <w:r>
        <w:rPr>
          <w:vertAlign w:val="superscript"/>
        </w:rPr>
        <w:footnoteReference w:id="59"/>
      </w:r>
      <w:r>
        <w:t>.</w:t>
      </w:r>
      <w:bookmarkStart w:id="20" w:name="_1ci93xb"/>
      <w:bookmarkEnd w:id="20"/>
    </w:p>
    <w:p w:rsidR="00B61CCA" w:rsidRDefault="00BB308E" w:rsidP="00B61CCA">
      <w:pPr>
        <w:spacing w:line="360" w:lineRule="auto"/>
        <w:ind w:right="284"/>
        <w:jc w:val="both"/>
        <w:rPr>
          <w:b/>
        </w:rPr>
      </w:pPr>
      <w:r w:rsidRPr="00B61CCA">
        <w:rPr>
          <w:b/>
        </w:rPr>
        <w:t>Calidad</w:t>
      </w:r>
      <w:r w:rsidR="00B61CCA" w:rsidRPr="00B61CCA">
        <w:rPr>
          <w:b/>
        </w:rPr>
        <w:t>:</w:t>
      </w:r>
      <w:r w:rsidRPr="00B61CCA">
        <w:rPr>
          <w:b/>
        </w:rPr>
        <w:t xml:space="preserve"> </w:t>
      </w:r>
    </w:p>
    <w:p w:rsidR="00BB308E" w:rsidRPr="00767D9F" w:rsidRDefault="00BB308E" w:rsidP="00767D9F">
      <w:pPr>
        <w:spacing w:line="360" w:lineRule="auto"/>
        <w:ind w:right="284"/>
        <w:jc w:val="both"/>
        <w:rPr>
          <w:b/>
        </w:rPr>
      </w:pPr>
      <w:r>
        <w:t>Este componente hace referencia a las condiciones de pureza que debe mantener el agua para evitar afectaciones a la salud y la vida de las p</w:t>
      </w:r>
      <w:r w:rsidR="00767D9F">
        <w:t>ersonas. De tal manera implica:</w:t>
      </w:r>
    </w:p>
    <w:p w:rsidR="00BB308E" w:rsidRPr="00767D9F" w:rsidRDefault="00BB308E" w:rsidP="00767D9F">
      <w:pPr>
        <w:numPr>
          <w:ilvl w:val="0"/>
          <w:numId w:val="39"/>
        </w:numPr>
        <w:autoSpaceDN/>
        <w:spacing w:line="360" w:lineRule="auto"/>
        <w:ind w:left="284" w:right="284"/>
        <w:contextualSpacing/>
        <w:jc w:val="both"/>
        <w:rPr>
          <w:color w:val="000000"/>
        </w:rPr>
      </w:pPr>
      <w:r>
        <w:rPr>
          <w:color w:val="000000"/>
        </w:rPr>
        <w:t xml:space="preserve">Que las aguas para consumo humano o doméstico cumplan con parámetros de salubridad, es decir, que no posean microorganismos o sustancias fisicoquímicas que puedan afectar la salud de las personas, </w:t>
      </w:r>
      <w:r w:rsidR="00BF64AE">
        <w:rPr>
          <w:color w:val="000000"/>
        </w:rPr>
        <w:t>incluidos los</w:t>
      </w:r>
      <w:r>
        <w:rPr>
          <w:color w:val="000000"/>
        </w:rPr>
        <w:t xml:space="preserve"> olores, sabores o colores que impidan su uso personal o doméstico. </w:t>
      </w:r>
    </w:p>
    <w:p w:rsidR="00BB308E" w:rsidRPr="00767D9F" w:rsidRDefault="00BB308E" w:rsidP="00767D9F">
      <w:pPr>
        <w:numPr>
          <w:ilvl w:val="0"/>
          <w:numId w:val="39"/>
        </w:numPr>
        <w:autoSpaceDN/>
        <w:spacing w:line="360" w:lineRule="auto"/>
        <w:ind w:left="284" w:right="284"/>
        <w:contextualSpacing/>
        <w:jc w:val="both"/>
        <w:rPr>
          <w:color w:val="000000"/>
        </w:rPr>
      </w:pPr>
      <w:r>
        <w:rPr>
          <w:color w:val="000000"/>
        </w:rPr>
        <w:t>El diseño y existencia de políticas públicas que permitan la medición o control de la calidad del agua, y</w:t>
      </w:r>
    </w:p>
    <w:p w:rsidR="00BB308E" w:rsidRDefault="00BB308E" w:rsidP="00B61CCA">
      <w:pPr>
        <w:numPr>
          <w:ilvl w:val="0"/>
          <w:numId w:val="39"/>
        </w:numPr>
        <w:autoSpaceDN/>
        <w:spacing w:line="360" w:lineRule="auto"/>
        <w:ind w:left="284" w:right="284"/>
        <w:contextualSpacing/>
        <w:jc w:val="both"/>
        <w:rPr>
          <w:color w:val="000000"/>
        </w:rPr>
      </w:pPr>
      <w:r>
        <w:rPr>
          <w:color w:val="000000"/>
        </w:rPr>
        <w:t>Que las descargas que se realicen a las aguas, no contaminen las fuentes.</w:t>
      </w:r>
    </w:p>
    <w:p w:rsidR="00FA4ACC" w:rsidRDefault="00BB308E" w:rsidP="00B61CCA">
      <w:pPr>
        <w:spacing w:line="360" w:lineRule="auto"/>
        <w:ind w:right="284"/>
        <w:jc w:val="both"/>
      </w:pPr>
      <w:r>
        <w:t xml:space="preserve">Para lograr garantizar la calidad, el Estado debe cumplir con las siguientes obligaciones: “(i) abstenerse de reducir o contaminar ilícitamente el agua; (ii) promulgar y hacer cumplir leyes que tengan por objeto evitar la contaminación y la extracción no equitativa del agua; (iii) garantizar a la población el suministro efectivo del servicio público de acueducto, con los niveles de calidad, regularidad, inmediatez y continuidad que exigen la Constitución y la ley; (iv) adoptar medidas para impedir que terceros contaminen o exploten en forma indebida los recursos de agua, con inclusión de las fuentes naturales, los pozos y otros sistemas de disposición de agua; (v) proteger los sistemas de distribución de agua de la injerencia indebida, el daño y la destrucción; (vi) adoptar medidas para prevenir, tratar y </w:t>
      </w:r>
      <w:r>
        <w:lastRenderedPageBreak/>
        <w:t>controlar las enfermedades asociadas al agua, en particular velando por el acceso a unos servicios de saneamiento adecuados; (vii) velar por el suministro adecuado de agua limpia potable y la creación de condiciones sanitarias básicas como componente de la higiene ambiental e industrial ; (viii) garantizar que todos tengan acceso a servicios de tratamiento adecuados, para proteger la calidad de las reservas y recursos de agua potable; (ix) garantizar la eficiencia en la prestación de los servicios públicos de acueducto, alcantarillado y aseo para garantizar la realización del derecho a la salud pública; (x) llevar a cabo el manejo y disposición de basuras bajo criterios técnicos que protejan el medio ambiente y preserven la salubridad colectiva”</w:t>
      </w:r>
      <w:r>
        <w:rPr>
          <w:vertAlign w:val="superscript"/>
        </w:rPr>
        <w:footnoteReference w:id="60"/>
      </w:r>
      <w:r>
        <w:t>.</w:t>
      </w:r>
    </w:p>
    <w:p w:rsidR="00BF64AE" w:rsidRPr="00767D9F" w:rsidRDefault="00BB308E" w:rsidP="00B61CCA">
      <w:pPr>
        <w:spacing w:line="360" w:lineRule="auto"/>
        <w:ind w:right="284"/>
        <w:jc w:val="both"/>
      </w:pPr>
      <w:r>
        <w:t>En consecuencia, la calidad del agua debe permitir los siguientes usos: a) los personales, como el consumo humano, el saneamiento o evacuación de residuos orgánicos humanos; b) el lavado y aseo personal y doméstico; de ropa y accesorios personales, c) la conservación y preparación de alimentos; d) los vinculados como la producción de alimentos bien sea para explotación primaria o autoconsumo y aquellos que permitan evitar las enfermedades.</w:t>
      </w:r>
    </w:p>
    <w:p w:rsidR="00767D9F" w:rsidRDefault="00BB308E" w:rsidP="00B61CCA">
      <w:pPr>
        <w:spacing w:line="360" w:lineRule="auto"/>
        <w:ind w:right="284"/>
        <w:jc w:val="both"/>
      </w:pPr>
      <w:r>
        <w:rPr>
          <w:b/>
          <w:color w:val="000000"/>
        </w:rPr>
        <w:t>Busca la disminución de impactos ambientales por el uso del agua en actividades productivas</w:t>
      </w:r>
    </w:p>
    <w:p w:rsidR="00B61CCA" w:rsidRDefault="00BB308E" w:rsidP="00B61CCA">
      <w:pPr>
        <w:spacing w:line="360" w:lineRule="auto"/>
        <w:ind w:right="284"/>
        <w:jc w:val="both"/>
      </w:pPr>
      <w:r>
        <w:rPr>
          <w:color w:val="000000"/>
        </w:rPr>
        <w:t xml:space="preserve">Es necesario implementar un verdadero modelo de desarrollo sostenible en Colombia en el que la protección ambiental sea un tema prioritario y que no desconozca el derecho internacional cuando se establezcan las líneas de crecimiento económico nacionales. </w:t>
      </w:r>
    </w:p>
    <w:p w:rsidR="00FA4ACC" w:rsidRPr="00BF64AE" w:rsidRDefault="00BB308E" w:rsidP="00B61CCA">
      <w:pPr>
        <w:spacing w:line="360" w:lineRule="auto"/>
        <w:ind w:right="284"/>
        <w:jc w:val="both"/>
      </w:pPr>
      <w:r>
        <w:rPr>
          <w:color w:val="000000"/>
        </w:rPr>
        <w:t xml:space="preserve">Es indispensable no solo crear estrategias de sanción y de penalización a quienes contaminen, sino establecer las pautas necesarias para la prevención y mitigación de la contaminación medioambiental. </w:t>
      </w:r>
    </w:p>
    <w:p w:rsidR="00B61CCA" w:rsidRDefault="00BB308E" w:rsidP="00B61CCA">
      <w:pPr>
        <w:spacing w:line="360" w:lineRule="auto"/>
        <w:ind w:right="284"/>
        <w:jc w:val="both"/>
      </w:pPr>
      <w:r>
        <w:rPr>
          <w:b/>
          <w:color w:val="000000"/>
        </w:rPr>
        <w:t xml:space="preserve">No busca la gratuidad del Servicio Público  </w:t>
      </w:r>
    </w:p>
    <w:p w:rsidR="00FA4ACC" w:rsidRPr="00767D9F" w:rsidRDefault="00BB308E" w:rsidP="00B61CCA">
      <w:pPr>
        <w:spacing w:line="360" w:lineRule="auto"/>
        <w:ind w:right="284"/>
        <w:jc w:val="both"/>
      </w:pPr>
      <w:r>
        <w:rPr>
          <w:color w:val="000000"/>
        </w:rPr>
        <w:t xml:space="preserve">Este Proyecto de acto Legislativo atiende la Observación número 15 del Comité de Derechos Económicos, Sociales y Culturales en el sentido en que debe atender a las condiciones de accesibilidad, calidad y disponibilidad conforme al principio de </w:t>
      </w:r>
      <w:r>
        <w:rPr>
          <w:color w:val="000000"/>
        </w:rPr>
        <w:lastRenderedPageBreak/>
        <w:t>progresividad. Con ello, se resuelve la inquietud frente al tema de la gratuidad y mínimo vital por las siguientes razones:</w:t>
      </w:r>
    </w:p>
    <w:p w:rsidR="00B61CCA" w:rsidRDefault="00BB308E" w:rsidP="00B61CCA">
      <w:pPr>
        <w:spacing w:line="360" w:lineRule="auto"/>
        <w:ind w:right="284"/>
        <w:jc w:val="both"/>
      </w:pPr>
      <w:r>
        <w:rPr>
          <w:color w:val="000000"/>
        </w:rPr>
        <w:t>La accesibilidad en sentido amplio implica que el agua y las instalaciones y servicios de agua deben ser accesibles para todos, sin discriminación alguna, dentro de la jurisdicción del Estado Parte; y en sentido específico, la accesibilidad económica implica que los costos deben estar al alcance de todos y no ser un obstáculo. Por lo tanto, la accesibilidad no implica gratuidad ni implica la inexistencia de un costo por el servicio; lo que implica es que dicho costo cumpla con ciertas características.</w:t>
      </w:r>
    </w:p>
    <w:p w:rsidR="00FA4ACC" w:rsidRPr="00B03FA5" w:rsidRDefault="00BB308E" w:rsidP="00B61CCA">
      <w:pPr>
        <w:spacing w:line="360" w:lineRule="auto"/>
        <w:ind w:right="284"/>
        <w:jc w:val="both"/>
      </w:pPr>
      <w:r>
        <w:rPr>
          <w:color w:val="000000"/>
        </w:rPr>
        <w:t>Cabe anotar que de acuerdo con el estudio “Avance del derecho humano al agua en la Constitución, la ley, la jurisprudencia y los instrumentos internacionales” de la Defensoría del Pueblo, en materia de accesibilidad económica es evidente que el abastecimiento de agua supone la existencia de costos directos e indirectos derivados del transporte, aducción, tratamiento, almacenamiento, distribución y comercialización de líquido. Por ende, es claro que los costos no provienen del agua, sino de las actividades requeridas para su distribución en óptimas condiciones, y estos costos en ningún momento se desconocen en el presente proyecto.</w:t>
      </w:r>
    </w:p>
    <w:p w:rsidR="00FA4ACC" w:rsidRPr="00767D9F" w:rsidRDefault="00BB308E" w:rsidP="00B61CCA">
      <w:pPr>
        <w:spacing w:line="360" w:lineRule="auto"/>
        <w:ind w:right="284"/>
        <w:jc w:val="both"/>
      </w:pPr>
      <w:r>
        <w:rPr>
          <w:color w:val="000000"/>
        </w:rPr>
        <w:t xml:space="preserve">Adicionalmente, tal y como lo manifestó el DNP en el concepto enviado en el acto legislativo anterior que fue </w:t>
      </w:r>
      <w:r w:rsidR="00B61CCA">
        <w:rPr>
          <w:color w:val="000000"/>
        </w:rPr>
        <w:t>archivado</w:t>
      </w:r>
      <w:r>
        <w:rPr>
          <w:color w:val="000000"/>
        </w:rPr>
        <w:t>, la asequibilidad desde el punto de vista de accesibilidad económica no indica un servicio gratuito. Ello por cuanto la ley es clara al consagrar como indebida competencia a la hora de prestar el servicio público de agua potable, la prestación gratuita o a precios o tarifas inferiores al costo.</w:t>
      </w:r>
    </w:p>
    <w:p w:rsidR="00FA4ACC" w:rsidRDefault="00BB308E" w:rsidP="00B61CCA">
      <w:pPr>
        <w:spacing w:line="360" w:lineRule="auto"/>
        <w:ind w:right="284"/>
        <w:jc w:val="both"/>
        <w:rPr>
          <w:color w:val="000000"/>
        </w:rPr>
      </w:pPr>
      <w:r>
        <w:rPr>
          <w:color w:val="000000"/>
        </w:rPr>
        <w:t>En el mismo sentido, la Corte Constitucional en sentencia C-041 de 2003 señaló que “el concepto de gratuidad de los servicios públicos ha sido abandonado en la Constitución Política de 1991 (artículo 367) y ha surgido en cabeza de los particulares, la obligación a contribuir en el financiamiento de los gastos en que incurra el prestador del servicio dentro de los criterios de justicia y equidad (artículos 95, 367, 368 y 369 C. P.). Por ende, el reconocimiento del derecho al agua como fundamental no implica que el servicio de acueducto deba ser gratuito para la población.</w:t>
      </w:r>
    </w:p>
    <w:p w:rsidR="00FA4ACC" w:rsidRPr="00767D9F" w:rsidRDefault="00BB308E" w:rsidP="00B61CCA">
      <w:pPr>
        <w:spacing w:line="360" w:lineRule="auto"/>
        <w:ind w:right="284"/>
        <w:jc w:val="both"/>
      </w:pPr>
      <w:r>
        <w:rPr>
          <w:color w:val="000000"/>
        </w:rPr>
        <w:lastRenderedPageBreak/>
        <w:t>Ahora bien, teniendo en cuenta lo anterior y partiendo de la no gratuidad del servicio y de la existencia de unos costos asociados al mismo, es claro que al derecho al agua también le son aplicables los mandatos generales del Pacto Internacional de Derechos Económicos, Sociales y Culturales en relación con su aplicación.</w:t>
      </w:r>
      <w:r>
        <w:rPr>
          <w:color w:val="000000"/>
          <w:u w:val="single"/>
        </w:rPr>
        <w:t xml:space="preserve"> Por lo tanto, debe haber una aplicación progresiva del derecho.</w:t>
      </w:r>
    </w:p>
    <w:p w:rsidR="00767D9F" w:rsidRPr="00BF64AE" w:rsidRDefault="00BB308E" w:rsidP="00B61CCA">
      <w:pPr>
        <w:spacing w:line="360" w:lineRule="auto"/>
        <w:ind w:right="284"/>
        <w:jc w:val="both"/>
      </w:pPr>
      <w:r>
        <w:rPr>
          <w:color w:val="000000"/>
        </w:rPr>
        <w:t>Por lo tanto, para evitar interpretaciones erróneas y para que el Estado pueda responder a las obligaciones que se generan con el reconocimiento de este derecho se incluyó de manera explícita el principio de progresividad. También se hizo con el fin de reafirmar el pronunciamiento de la Corte en su sentencia T-760 de 2008 según el cual “Las obligaciones de carácter prestacional derivadas de un derecho fundamental son de cumplimiento progresivo, por la complejidad de las acciones y los recursos que se requieren para garantizar efectivamente el goce efectivo de estas facetas de protección de un derecho”.</w:t>
      </w:r>
    </w:p>
    <w:p w:rsidR="00B61CCA" w:rsidRDefault="00BB308E" w:rsidP="00B61CCA">
      <w:pPr>
        <w:spacing w:line="360" w:lineRule="auto"/>
        <w:ind w:right="284"/>
        <w:jc w:val="both"/>
      </w:pPr>
      <w:r>
        <w:rPr>
          <w:b/>
          <w:color w:val="000000"/>
        </w:rPr>
        <w:t>La Regla de Sostenibilidad Fiscal no se puede invocar como un impedimento para reconocer Derechos Fundamentales.</w:t>
      </w:r>
    </w:p>
    <w:p w:rsidR="00FA4ACC" w:rsidRPr="00767D9F" w:rsidRDefault="00BB308E" w:rsidP="00B61CCA">
      <w:pPr>
        <w:spacing w:line="360" w:lineRule="auto"/>
        <w:ind w:right="284"/>
        <w:jc w:val="both"/>
      </w:pPr>
      <w:r>
        <w:rPr>
          <w:color w:val="000000"/>
        </w:rPr>
        <w:t>Frente a este punto es importante destacar que la regla de sostenibilidad fiscal no es un impedimento para reconocer derechos fundamentales. En el año 2011 se aprobó el Acto Legislativo número 3 relacionado con la sostenibilidad fiscal que, en su primer artículo, hoy artículo 334 de la Constitución establece que:</w:t>
      </w:r>
    </w:p>
    <w:p w:rsidR="00FA4ACC" w:rsidRPr="00767D9F" w:rsidRDefault="00BB308E" w:rsidP="00B61CCA">
      <w:pPr>
        <w:spacing w:line="360" w:lineRule="auto"/>
        <w:ind w:right="284"/>
        <w:jc w:val="both"/>
      </w:pPr>
      <w:r>
        <w:rPr>
          <w:color w:val="000000"/>
        </w:rPr>
        <w:t>“La dirección general de la economía estará a cargo del Estado. Este intervendrá, por mandato de la ley, en la explotación de los recursos naturales, en el uso del suelo, en la producción, distribución, utilización y consumo de los bienes, y en los servicios públicos y privados, para racionalizar la economía con el fin de conseguir en el plano nacional y territorial, en un marco de sostenibilidad fiscal, el mejoramiento de la calidad de vida de los habitantes, la distribución equitativa de las oportunidades y los beneficios del desarrollo y la preservación de un ambiente sano.</w:t>
      </w:r>
    </w:p>
    <w:p w:rsidR="00FA4ACC" w:rsidRPr="00767D9F" w:rsidRDefault="00BB308E" w:rsidP="00B61CCA">
      <w:pPr>
        <w:spacing w:line="360" w:lineRule="auto"/>
        <w:ind w:right="284"/>
        <w:jc w:val="both"/>
      </w:pPr>
      <w:r>
        <w:rPr>
          <w:color w:val="000000"/>
        </w:rPr>
        <w:t>Dicho marco de sostenibilidad fiscal deberá fungir como instrumento para alcanzar de manera progresiva los objetivos del Estado Social de Derecho. En cualquier caso, el gasto público será prioritario (“).</w:t>
      </w:r>
    </w:p>
    <w:p w:rsidR="00FA4ACC" w:rsidRPr="00BF64AE" w:rsidRDefault="00BB308E" w:rsidP="00B61CCA">
      <w:pPr>
        <w:spacing w:line="360" w:lineRule="auto"/>
        <w:ind w:right="284"/>
        <w:jc w:val="both"/>
      </w:pPr>
      <w:r>
        <w:rPr>
          <w:color w:val="000000"/>
        </w:rPr>
        <w:lastRenderedPageBreak/>
        <w:t>Parágrafo. Al interpretar el presente artículo, bajo ninguna circunstancia, autoridad alguna de naturaleza administrativa, legislativa o judicial, podrá invocar la sostenibilidad fiscal para menoscabar los derechos fundamentales, restringir su alcance o negar su protección efectiva”.</w:t>
      </w:r>
      <w:r w:rsidR="00B61CCA">
        <w:rPr>
          <w:color w:val="000000"/>
        </w:rPr>
        <w:t xml:space="preserve"> </w:t>
      </w:r>
      <w:r>
        <w:rPr>
          <w:color w:val="000000"/>
        </w:rPr>
        <w:t>En este sentido, el cumplimiento y garantía plena de los derechos fundamentales es la principal excepción a la regla de sostenibilidad fiscal.</w:t>
      </w:r>
    </w:p>
    <w:p w:rsidR="00B61CCA" w:rsidRDefault="00BB308E" w:rsidP="00B61CCA">
      <w:pPr>
        <w:spacing w:line="360" w:lineRule="auto"/>
        <w:ind w:right="284"/>
        <w:jc w:val="both"/>
      </w:pPr>
      <w:r>
        <w:rPr>
          <w:b/>
          <w:color w:val="000000"/>
        </w:rPr>
        <w:t xml:space="preserve">No generará una </w:t>
      </w:r>
      <w:proofErr w:type="spellStart"/>
      <w:r>
        <w:rPr>
          <w:b/>
          <w:color w:val="000000"/>
        </w:rPr>
        <w:t>Tutelatón</w:t>
      </w:r>
      <w:proofErr w:type="spellEnd"/>
      <w:r w:rsidR="00B61CCA">
        <w:rPr>
          <w:b/>
          <w:color w:val="000000"/>
        </w:rPr>
        <w:t>:</w:t>
      </w:r>
    </w:p>
    <w:p w:rsidR="00FA4ACC" w:rsidRPr="00767D9F" w:rsidRDefault="00BB308E" w:rsidP="00B61CCA">
      <w:pPr>
        <w:spacing w:line="360" w:lineRule="auto"/>
        <w:ind w:right="284"/>
        <w:jc w:val="both"/>
      </w:pPr>
      <w:r>
        <w:rPr>
          <w:color w:val="000000"/>
        </w:rPr>
        <w:t xml:space="preserve">La acción de tutela para amparar el derecho fundamental de acceso al agua es un mecanismo existente que no depende de la consagración de éste en la Constitución para su activación efectiva. En este sentido, la Corte Constitucional ha reconocido que </w:t>
      </w:r>
      <w:r>
        <w:rPr>
          <w:i/>
          <w:color w:val="000000"/>
        </w:rPr>
        <w:t xml:space="preserve">“se ha ocupado en varias ocasiones de la procedencia de la acción de tutela para la salvaguarda del derecho al agua, entendiendo que cuando se destina al consumo humano se realza su propio carácter de derecho fundamental y su protección puede ser garantizada a través del mecanismo constitucional”. </w:t>
      </w:r>
      <w:r>
        <w:rPr>
          <w:color w:val="000000"/>
        </w:rPr>
        <w:t xml:space="preserve">La Corte Constitucional ha sido enfática en resaltar que es necesario </w:t>
      </w:r>
      <w:r>
        <w:rPr>
          <w:i/>
          <w:color w:val="000000"/>
        </w:rPr>
        <w:t xml:space="preserve">“estudiar a fondo las particularidades propias de cada caso”. </w:t>
      </w:r>
    </w:p>
    <w:p w:rsidR="00BB308E" w:rsidRPr="00B61CCA" w:rsidRDefault="00BB308E" w:rsidP="00B61CCA">
      <w:pPr>
        <w:spacing w:line="360" w:lineRule="auto"/>
        <w:ind w:right="284"/>
        <w:jc w:val="both"/>
      </w:pPr>
      <w:r>
        <w:rPr>
          <w:color w:val="000000"/>
        </w:rPr>
        <w:t xml:space="preserve">Más allá de las posibilidades de activación de mecanismos de protección que se puedan activar al consagrar el derecho al agua como derecho fundamental en el texto de la Constitución, cabe resaltar que Colombia se ha comprometido a nivel internacional a cumplir con las metas asociadas al objetivo número 6 de los Objetivos de Desarrollo Sostenible. Es decir, el Gobierno nacional ya ha adquirido unos compromisos y se ha propuesto unas metas en términos de protección del recurso hídrico que en nada se modifican con la consagración del derecho al agua como derecho fundamental en la Constitución. En este sentido, a continuación, se mencionan algunas de las metas a las que se compromete Colombia asociadas al objetivo de desarrollo sostenible consistente en “garantizar la disponibilidad del agua y su gestión sostenible”: </w:t>
      </w:r>
    </w:p>
    <w:p w:rsidR="00BB308E" w:rsidRDefault="00BB308E" w:rsidP="00B61CCA">
      <w:pPr>
        <w:numPr>
          <w:ilvl w:val="0"/>
          <w:numId w:val="40"/>
        </w:numPr>
        <w:autoSpaceDN/>
        <w:spacing w:before="57" w:line="360" w:lineRule="auto"/>
        <w:ind w:left="714" w:hanging="357"/>
        <w:contextualSpacing/>
        <w:jc w:val="both"/>
        <w:rPr>
          <w:color w:val="000000"/>
        </w:rPr>
      </w:pPr>
      <w:r>
        <w:rPr>
          <w:color w:val="000000"/>
        </w:rPr>
        <w:t>Para 2030, lograr el acceso universal y equitativo al agua potable, a un precio asequible para todos.</w:t>
      </w:r>
    </w:p>
    <w:p w:rsidR="00BB308E" w:rsidRDefault="00BB308E" w:rsidP="00B61CCA">
      <w:pPr>
        <w:numPr>
          <w:ilvl w:val="0"/>
          <w:numId w:val="40"/>
        </w:numPr>
        <w:autoSpaceDN/>
        <w:spacing w:line="360" w:lineRule="auto"/>
        <w:ind w:left="714" w:hanging="357"/>
        <w:contextualSpacing/>
        <w:jc w:val="both"/>
        <w:rPr>
          <w:color w:val="000000"/>
        </w:rPr>
      </w:pPr>
      <w:r>
        <w:rPr>
          <w:color w:val="000000"/>
        </w:rPr>
        <w:t xml:space="preserve">Para 2030, mejorar la calidad del agua mediante la reducción de la contaminación, la eliminación del vertimiento y la reducción al mínimo de la descarga de materiales y productos químicos peligrosos, la reducción a la mitad del porcentaje de aguas </w:t>
      </w:r>
      <w:r>
        <w:rPr>
          <w:color w:val="000000"/>
        </w:rPr>
        <w:lastRenderedPageBreak/>
        <w:t xml:space="preserve">residuales sin tratar y un aumento sustancial del reciclado y la reutilización en condiciones de seguridad a nivel mundial. </w:t>
      </w:r>
    </w:p>
    <w:p w:rsidR="00BB308E" w:rsidRDefault="00BB308E" w:rsidP="00B61CCA">
      <w:pPr>
        <w:numPr>
          <w:ilvl w:val="0"/>
          <w:numId w:val="40"/>
        </w:numPr>
        <w:autoSpaceDN/>
        <w:spacing w:line="360" w:lineRule="auto"/>
        <w:ind w:left="714" w:hanging="357"/>
        <w:contextualSpacing/>
        <w:jc w:val="both"/>
        <w:rPr>
          <w:color w:val="000000"/>
        </w:rPr>
      </w:pPr>
      <w:r>
        <w:rPr>
          <w:color w:val="000000"/>
        </w:rPr>
        <w:t xml:space="preserve">Para 2030, aumentar sustancialmente la utilización eficiente de los recursos hídricos en todos los sectores y asegurar la sostenibilidad de la extracción y el abastecimiento de agua dulce para hacer frente a la escasez de agua y reducir sustancialmente el número de personas que sufren de escasez de agua. </w:t>
      </w:r>
    </w:p>
    <w:p w:rsidR="00BB308E" w:rsidRDefault="00BB308E" w:rsidP="00B61CCA">
      <w:pPr>
        <w:numPr>
          <w:ilvl w:val="0"/>
          <w:numId w:val="40"/>
        </w:numPr>
        <w:autoSpaceDN/>
        <w:spacing w:line="360" w:lineRule="auto"/>
        <w:ind w:left="714" w:hanging="357"/>
        <w:contextualSpacing/>
        <w:jc w:val="both"/>
        <w:rPr>
          <w:color w:val="000000"/>
        </w:rPr>
      </w:pPr>
      <w:r>
        <w:rPr>
          <w:color w:val="000000"/>
        </w:rPr>
        <w:t>Para 2030, poner en práctica la gestión integrada de los recursos hídricos a todos los niveles, incluso mediante la cooperación transfronteriza, según proceda.</w:t>
      </w:r>
    </w:p>
    <w:p w:rsidR="00BB308E" w:rsidRDefault="00BB308E" w:rsidP="00B61CCA">
      <w:pPr>
        <w:numPr>
          <w:ilvl w:val="0"/>
          <w:numId w:val="40"/>
        </w:numPr>
        <w:autoSpaceDN/>
        <w:spacing w:line="360" w:lineRule="auto"/>
        <w:ind w:left="714" w:hanging="357"/>
        <w:contextualSpacing/>
        <w:jc w:val="both"/>
        <w:rPr>
          <w:color w:val="000000"/>
        </w:rPr>
      </w:pPr>
      <w:r>
        <w:rPr>
          <w:color w:val="000000"/>
        </w:rPr>
        <w:t xml:space="preserve">Para 2020, proteger y restablecer los ecosistemas relacionados con el agua, incluidos los bosques, las montañas, los humedales, los ríos, los acuíferos y los lagos. </w:t>
      </w:r>
    </w:p>
    <w:p w:rsidR="00767D9F" w:rsidRPr="00BF64AE" w:rsidRDefault="00BB308E" w:rsidP="00B61CCA">
      <w:pPr>
        <w:numPr>
          <w:ilvl w:val="0"/>
          <w:numId w:val="40"/>
        </w:numPr>
        <w:autoSpaceDN/>
        <w:spacing w:after="57" w:line="360" w:lineRule="auto"/>
        <w:ind w:left="714" w:hanging="357"/>
        <w:contextualSpacing/>
        <w:jc w:val="both"/>
        <w:rPr>
          <w:color w:val="000000"/>
        </w:rPr>
      </w:pPr>
      <w:r>
        <w:rPr>
          <w:color w:val="000000"/>
        </w:rPr>
        <w:t>Apoyar y fortalecer la participación de las comunidades locales en la mejora de la gestión del agua y el saneamiento”</w:t>
      </w:r>
    </w:p>
    <w:p w:rsidR="00B61CCA" w:rsidRDefault="00B61CCA" w:rsidP="00B61CCA">
      <w:pPr>
        <w:autoSpaceDN/>
        <w:spacing w:after="57" w:line="360" w:lineRule="auto"/>
        <w:contextualSpacing/>
        <w:jc w:val="both"/>
        <w:rPr>
          <w:color w:val="000000"/>
        </w:rPr>
      </w:pPr>
      <w:r w:rsidRPr="00B61CCA">
        <w:rPr>
          <w:b/>
        </w:rPr>
        <w:t>Protección De Fuentes Hídricas:</w:t>
      </w:r>
    </w:p>
    <w:p w:rsidR="008158BD" w:rsidRPr="00B61CCA" w:rsidRDefault="008158BD" w:rsidP="00B61CCA">
      <w:pPr>
        <w:autoSpaceDN/>
        <w:spacing w:after="57" w:line="360" w:lineRule="auto"/>
        <w:contextualSpacing/>
        <w:jc w:val="both"/>
        <w:rPr>
          <w:color w:val="000000"/>
        </w:rPr>
      </w:pPr>
      <w:r w:rsidRPr="00F620E4">
        <w:t>Colombia es el séptimo país con mayor disponibilidad de recursos hídricos en el mundo, adicionalmente, Colombia es el país con mayor superficie de páramos en el mundo, hace parte de los nueve países que concentran el 60% del agua dulce del mundo.</w:t>
      </w:r>
    </w:p>
    <w:p w:rsidR="008158BD" w:rsidRDefault="008158BD" w:rsidP="008158BD">
      <w:pPr>
        <w:autoSpaceDE w:val="0"/>
        <w:adjustRightInd w:val="0"/>
        <w:spacing w:line="36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1652"/>
        <w:gridCol w:w="851"/>
      </w:tblGrid>
      <w:tr w:rsidR="008158BD" w:rsidRPr="00F620E4" w:rsidTr="00B61CCA">
        <w:trPr>
          <w:jc w:val="center"/>
        </w:trPr>
        <w:tc>
          <w:tcPr>
            <w:tcW w:w="896" w:type="dxa"/>
            <w:shd w:val="clear" w:color="auto" w:fill="AEAAAA"/>
          </w:tcPr>
          <w:p w:rsidR="008158BD" w:rsidRPr="00F620E4" w:rsidRDefault="008158BD" w:rsidP="00C767C7">
            <w:pPr>
              <w:autoSpaceDE w:val="0"/>
              <w:adjustRightInd w:val="0"/>
              <w:spacing w:line="360" w:lineRule="auto"/>
              <w:jc w:val="both"/>
              <w:rPr>
                <w:b/>
              </w:rPr>
            </w:pPr>
            <w:r w:rsidRPr="00F620E4">
              <w:rPr>
                <w:b/>
              </w:rPr>
              <w:t xml:space="preserve">Puesto </w:t>
            </w:r>
          </w:p>
        </w:tc>
        <w:tc>
          <w:tcPr>
            <w:tcW w:w="1652" w:type="dxa"/>
            <w:shd w:val="clear" w:color="auto" w:fill="AEAAAA"/>
          </w:tcPr>
          <w:p w:rsidR="008158BD" w:rsidRPr="00F620E4" w:rsidRDefault="008158BD" w:rsidP="00C767C7">
            <w:pPr>
              <w:autoSpaceDE w:val="0"/>
              <w:adjustRightInd w:val="0"/>
              <w:spacing w:line="360" w:lineRule="auto"/>
              <w:jc w:val="both"/>
              <w:rPr>
                <w:b/>
              </w:rPr>
            </w:pPr>
            <w:r w:rsidRPr="00F620E4">
              <w:rPr>
                <w:b/>
              </w:rPr>
              <w:t>País</w:t>
            </w:r>
          </w:p>
        </w:tc>
        <w:tc>
          <w:tcPr>
            <w:tcW w:w="851" w:type="dxa"/>
            <w:shd w:val="clear" w:color="auto" w:fill="AEAAAA"/>
          </w:tcPr>
          <w:p w:rsidR="008158BD" w:rsidRPr="00F620E4" w:rsidRDefault="008158BD" w:rsidP="00C767C7">
            <w:pPr>
              <w:autoSpaceDE w:val="0"/>
              <w:adjustRightInd w:val="0"/>
              <w:spacing w:line="360" w:lineRule="auto"/>
              <w:jc w:val="both"/>
              <w:rPr>
                <w:b/>
              </w:rPr>
            </w:pPr>
            <w:r w:rsidRPr="00F620E4">
              <w:rPr>
                <w:rFonts w:ascii="Cambria Math" w:hAnsi="Cambria Math" w:cs="Cambria Math"/>
                <w:b/>
              </w:rPr>
              <w:t>𝑲𝒎𝟑</w:t>
            </w:r>
          </w:p>
        </w:tc>
      </w:tr>
      <w:tr w:rsidR="008158BD" w:rsidRPr="00F620E4" w:rsidTr="00B61CCA">
        <w:trPr>
          <w:jc w:val="center"/>
        </w:trPr>
        <w:tc>
          <w:tcPr>
            <w:tcW w:w="896" w:type="dxa"/>
            <w:shd w:val="clear" w:color="auto" w:fill="auto"/>
          </w:tcPr>
          <w:p w:rsidR="008158BD" w:rsidRPr="00F620E4" w:rsidRDefault="008158BD" w:rsidP="00C767C7">
            <w:pPr>
              <w:autoSpaceDE w:val="0"/>
              <w:adjustRightInd w:val="0"/>
              <w:spacing w:line="360" w:lineRule="auto"/>
              <w:jc w:val="both"/>
            </w:pPr>
            <w:r w:rsidRPr="00F620E4">
              <w:t>1</w:t>
            </w:r>
          </w:p>
        </w:tc>
        <w:tc>
          <w:tcPr>
            <w:tcW w:w="1652" w:type="dxa"/>
            <w:shd w:val="clear" w:color="auto" w:fill="auto"/>
          </w:tcPr>
          <w:p w:rsidR="008158BD" w:rsidRPr="00F620E4" w:rsidRDefault="008158BD" w:rsidP="00C767C7">
            <w:pPr>
              <w:autoSpaceDE w:val="0"/>
              <w:adjustRightInd w:val="0"/>
              <w:spacing w:line="360" w:lineRule="auto"/>
              <w:jc w:val="both"/>
            </w:pPr>
            <w:r w:rsidRPr="00F620E4">
              <w:t>Brasil</w:t>
            </w:r>
          </w:p>
        </w:tc>
        <w:tc>
          <w:tcPr>
            <w:tcW w:w="851" w:type="dxa"/>
            <w:shd w:val="clear" w:color="auto" w:fill="auto"/>
          </w:tcPr>
          <w:p w:rsidR="008158BD" w:rsidRPr="00F620E4" w:rsidRDefault="008158BD" w:rsidP="00C767C7">
            <w:pPr>
              <w:autoSpaceDE w:val="0"/>
              <w:adjustRightInd w:val="0"/>
              <w:spacing w:line="360" w:lineRule="auto"/>
              <w:jc w:val="both"/>
            </w:pPr>
            <w:r w:rsidRPr="00F620E4">
              <w:t>8.233</w:t>
            </w:r>
          </w:p>
        </w:tc>
      </w:tr>
      <w:tr w:rsidR="008158BD" w:rsidRPr="00F620E4" w:rsidTr="00B61CCA">
        <w:trPr>
          <w:jc w:val="center"/>
        </w:trPr>
        <w:tc>
          <w:tcPr>
            <w:tcW w:w="896" w:type="dxa"/>
            <w:shd w:val="clear" w:color="auto" w:fill="auto"/>
          </w:tcPr>
          <w:p w:rsidR="008158BD" w:rsidRPr="00F620E4" w:rsidRDefault="008158BD" w:rsidP="00C767C7">
            <w:pPr>
              <w:autoSpaceDE w:val="0"/>
              <w:adjustRightInd w:val="0"/>
              <w:spacing w:line="360" w:lineRule="auto"/>
              <w:jc w:val="both"/>
            </w:pPr>
            <w:r w:rsidRPr="00F620E4">
              <w:t>2</w:t>
            </w:r>
          </w:p>
        </w:tc>
        <w:tc>
          <w:tcPr>
            <w:tcW w:w="1652" w:type="dxa"/>
            <w:shd w:val="clear" w:color="auto" w:fill="auto"/>
          </w:tcPr>
          <w:p w:rsidR="008158BD" w:rsidRPr="00F620E4" w:rsidRDefault="008158BD" w:rsidP="00C767C7">
            <w:pPr>
              <w:autoSpaceDE w:val="0"/>
              <w:adjustRightInd w:val="0"/>
              <w:spacing w:line="360" w:lineRule="auto"/>
              <w:jc w:val="both"/>
            </w:pPr>
            <w:r w:rsidRPr="00F620E4">
              <w:t xml:space="preserve">Rusia </w:t>
            </w:r>
          </w:p>
        </w:tc>
        <w:tc>
          <w:tcPr>
            <w:tcW w:w="851" w:type="dxa"/>
            <w:shd w:val="clear" w:color="auto" w:fill="auto"/>
          </w:tcPr>
          <w:p w:rsidR="008158BD" w:rsidRPr="00F620E4" w:rsidRDefault="008158BD" w:rsidP="00C767C7">
            <w:pPr>
              <w:autoSpaceDE w:val="0"/>
              <w:adjustRightInd w:val="0"/>
              <w:spacing w:line="360" w:lineRule="auto"/>
              <w:jc w:val="both"/>
            </w:pPr>
            <w:r w:rsidRPr="00F620E4">
              <w:t>4.507</w:t>
            </w:r>
          </w:p>
        </w:tc>
      </w:tr>
      <w:tr w:rsidR="008158BD" w:rsidRPr="00F620E4" w:rsidTr="00B61CCA">
        <w:trPr>
          <w:jc w:val="center"/>
        </w:trPr>
        <w:tc>
          <w:tcPr>
            <w:tcW w:w="896" w:type="dxa"/>
            <w:shd w:val="clear" w:color="auto" w:fill="auto"/>
          </w:tcPr>
          <w:p w:rsidR="008158BD" w:rsidRPr="00F620E4" w:rsidRDefault="008158BD" w:rsidP="00C767C7">
            <w:pPr>
              <w:autoSpaceDE w:val="0"/>
              <w:adjustRightInd w:val="0"/>
              <w:spacing w:line="360" w:lineRule="auto"/>
              <w:jc w:val="both"/>
            </w:pPr>
            <w:r w:rsidRPr="00F620E4">
              <w:t xml:space="preserve">3. </w:t>
            </w:r>
          </w:p>
        </w:tc>
        <w:tc>
          <w:tcPr>
            <w:tcW w:w="1652" w:type="dxa"/>
            <w:shd w:val="clear" w:color="auto" w:fill="auto"/>
          </w:tcPr>
          <w:p w:rsidR="008158BD" w:rsidRPr="00F620E4" w:rsidRDefault="008158BD" w:rsidP="00C767C7">
            <w:pPr>
              <w:autoSpaceDE w:val="0"/>
              <w:adjustRightInd w:val="0"/>
              <w:spacing w:line="360" w:lineRule="auto"/>
              <w:jc w:val="both"/>
            </w:pPr>
            <w:r w:rsidRPr="00F620E4">
              <w:t>Estados Unidos</w:t>
            </w:r>
          </w:p>
        </w:tc>
        <w:tc>
          <w:tcPr>
            <w:tcW w:w="851" w:type="dxa"/>
            <w:shd w:val="clear" w:color="auto" w:fill="auto"/>
          </w:tcPr>
          <w:p w:rsidR="008158BD" w:rsidRPr="00F620E4" w:rsidRDefault="008158BD" w:rsidP="00C767C7">
            <w:pPr>
              <w:autoSpaceDE w:val="0"/>
              <w:adjustRightInd w:val="0"/>
              <w:spacing w:line="360" w:lineRule="auto"/>
              <w:jc w:val="both"/>
            </w:pPr>
            <w:r w:rsidRPr="00F620E4">
              <w:t>3.051</w:t>
            </w:r>
          </w:p>
        </w:tc>
      </w:tr>
      <w:tr w:rsidR="008158BD" w:rsidRPr="00F620E4" w:rsidTr="00B61CCA">
        <w:trPr>
          <w:jc w:val="center"/>
        </w:trPr>
        <w:tc>
          <w:tcPr>
            <w:tcW w:w="896" w:type="dxa"/>
            <w:shd w:val="clear" w:color="auto" w:fill="auto"/>
          </w:tcPr>
          <w:p w:rsidR="008158BD" w:rsidRPr="00F620E4" w:rsidRDefault="008158BD" w:rsidP="00C767C7">
            <w:pPr>
              <w:autoSpaceDE w:val="0"/>
              <w:adjustRightInd w:val="0"/>
              <w:spacing w:line="360" w:lineRule="auto"/>
              <w:jc w:val="both"/>
            </w:pPr>
            <w:r w:rsidRPr="00F620E4">
              <w:t xml:space="preserve">4. </w:t>
            </w:r>
          </w:p>
        </w:tc>
        <w:tc>
          <w:tcPr>
            <w:tcW w:w="1652" w:type="dxa"/>
            <w:shd w:val="clear" w:color="auto" w:fill="auto"/>
          </w:tcPr>
          <w:p w:rsidR="008158BD" w:rsidRPr="00F620E4" w:rsidRDefault="008158BD" w:rsidP="00C767C7">
            <w:pPr>
              <w:autoSpaceDE w:val="0"/>
              <w:adjustRightInd w:val="0"/>
              <w:spacing w:line="360" w:lineRule="auto"/>
              <w:jc w:val="both"/>
            </w:pPr>
            <w:r w:rsidRPr="00F620E4">
              <w:t xml:space="preserve">Canadá </w:t>
            </w:r>
          </w:p>
        </w:tc>
        <w:tc>
          <w:tcPr>
            <w:tcW w:w="851" w:type="dxa"/>
            <w:shd w:val="clear" w:color="auto" w:fill="auto"/>
          </w:tcPr>
          <w:p w:rsidR="008158BD" w:rsidRPr="00F620E4" w:rsidRDefault="008158BD" w:rsidP="00C767C7">
            <w:pPr>
              <w:autoSpaceDE w:val="0"/>
              <w:adjustRightInd w:val="0"/>
              <w:spacing w:line="360" w:lineRule="auto"/>
              <w:jc w:val="both"/>
            </w:pPr>
            <w:r w:rsidRPr="00F620E4">
              <w:t>2.902</w:t>
            </w:r>
          </w:p>
        </w:tc>
      </w:tr>
      <w:tr w:rsidR="008158BD" w:rsidRPr="00F620E4" w:rsidTr="00B61CCA">
        <w:trPr>
          <w:jc w:val="center"/>
        </w:trPr>
        <w:tc>
          <w:tcPr>
            <w:tcW w:w="896" w:type="dxa"/>
            <w:shd w:val="clear" w:color="auto" w:fill="auto"/>
          </w:tcPr>
          <w:p w:rsidR="008158BD" w:rsidRPr="00F620E4" w:rsidRDefault="008158BD" w:rsidP="00C767C7">
            <w:pPr>
              <w:autoSpaceDE w:val="0"/>
              <w:adjustRightInd w:val="0"/>
              <w:spacing w:line="360" w:lineRule="auto"/>
              <w:jc w:val="both"/>
            </w:pPr>
            <w:r w:rsidRPr="00F620E4">
              <w:t xml:space="preserve">5. </w:t>
            </w:r>
          </w:p>
        </w:tc>
        <w:tc>
          <w:tcPr>
            <w:tcW w:w="1652" w:type="dxa"/>
            <w:shd w:val="clear" w:color="auto" w:fill="auto"/>
          </w:tcPr>
          <w:p w:rsidR="008158BD" w:rsidRPr="00F620E4" w:rsidRDefault="008158BD" w:rsidP="00C767C7">
            <w:pPr>
              <w:autoSpaceDE w:val="0"/>
              <w:adjustRightInd w:val="0"/>
              <w:spacing w:line="360" w:lineRule="auto"/>
              <w:jc w:val="both"/>
            </w:pPr>
            <w:r w:rsidRPr="00F620E4">
              <w:t>Indonesia</w:t>
            </w:r>
          </w:p>
        </w:tc>
        <w:tc>
          <w:tcPr>
            <w:tcW w:w="851" w:type="dxa"/>
            <w:shd w:val="clear" w:color="auto" w:fill="auto"/>
          </w:tcPr>
          <w:p w:rsidR="008158BD" w:rsidRPr="00F620E4" w:rsidRDefault="008158BD" w:rsidP="00C767C7">
            <w:pPr>
              <w:autoSpaceDE w:val="0"/>
              <w:adjustRightInd w:val="0"/>
              <w:spacing w:line="360" w:lineRule="auto"/>
              <w:jc w:val="both"/>
            </w:pPr>
            <w:r w:rsidRPr="00F620E4">
              <w:t>2.838</w:t>
            </w:r>
          </w:p>
        </w:tc>
      </w:tr>
      <w:tr w:rsidR="008158BD" w:rsidRPr="00F620E4" w:rsidTr="00B61CCA">
        <w:trPr>
          <w:jc w:val="center"/>
        </w:trPr>
        <w:tc>
          <w:tcPr>
            <w:tcW w:w="896" w:type="dxa"/>
            <w:shd w:val="clear" w:color="auto" w:fill="auto"/>
          </w:tcPr>
          <w:p w:rsidR="008158BD" w:rsidRPr="00F620E4" w:rsidRDefault="008158BD" w:rsidP="00C767C7">
            <w:pPr>
              <w:autoSpaceDE w:val="0"/>
              <w:adjustRightInd w:val="0"/>
              <w:spacing w:line="360" w:lineRule="auto"/>
              <w:jc w:val="both"/>
            </w:pPr>
            <w:r w:rsidRPr="00F620E4">
              <w:t xml:space="preserve">6. </w:t>
            </w:r>
          </w:p>
        </w:tc>
        <w:tc>
          <w:tcPr>
            <w:tcW w:w="1652" w:type="dxa"/>
            <w:shd w:val="clear" w:color="auto" w:fill="auto"/>
          </w:tcPr>
          <w:p w:rsidR="008158BD" w:rsidRPr="00F620E4" w:rsidRDefault="008158BD" w:rsidP="00C767C7">
            <w:pPr>
              <w:autoSpaceDE w:val="0"/>
              <w:adjustRightInd w:val="0"/>
              <w:spacing w:line="360" w:lineRule="auto"/>
              <w:jc w:val="both"/>
            </w:pPr>
            <w:r w:rsidRPr="00F620E4">
              <w:t>China</w:t>
            </w:r>
          </w:p>
        </w:tc>
        <w:tc>
          <w:tcPr>
            <w:tcW w:w="851" w:type="dxa"/>
            <w:shd w:val="clear" w:color="auto" w:fill="auto"/>
          </w:tcPr>
          <w:p w:rsidR="008158BD" w:rsidRPr="00F620E4" w:rsidRDefault="008158BD" w:rsidP="00C767C7">
            <w:pPr>
              <w:autoSpaceDE w:val="0"/>
              <w:adjustRightInd w:val="0"/>
              <w:spacing w:line="360" w:lineRule="auto"/>
              <w:jc w:val="both"/>
            </w:pPr>
            <w:r w:rsidRPr="00F620E4">
              <w:t>2.830</w:t>
            </w:r>
          </w:p>
        </w:tc>
      </w:tr>
      <w:tr w:rsidR="008158BD" w:rsidRPr="00F620E4" w:rsidTr="00B61CCA">
        <w:trPr>
          <w:jc w:val="center"/>
        </w:trPr>
        <w:tc>
          <w:tcPr>
            <w:tcW w:w="896" w:type="dxa"/>
            <w:shd w:val="clear" w:color="auto" w:fill="auto"/>
          </w:tcPr>
          <w:p w:rsidR="008158BD" w:rsidRPr="00F620E4" w:rsidRDefault="008158BD" w:rsidP="00C767C7">
            <w:pPr>
              <w:autoSpaceDE w:val="0"/>
              <w:adjustRightInd w:val="0"/>
              <w:spacing w:line="360" w:lineRule="auto"/>
              <w:jc w:val="both"/>
            </w:pPr>
            <w:r w:rsidRPr="00F620E4">
              <w:t xml:space="preserve">7. </w:t>
            </w:r>
          </w:p>
        </w:tc>
        <w:tc>
          <w:tcPr>
            <w:tcW w:w="1652" w:type="dxa"/>
            <w:shd w:val="clear" w:color="auto" w:fill="auto"/>
          </w:tcPr>
          <w:p w:rsidR="008158BD" w:rsidRPr="00F620E4" w:rsidRDefault="008158BD" w:rsidP="00C767C7">
            <w:pPr>
              <w:autoSpaceDE w:val="0"/>
              <w:adjustRightInd w:val="0"/>
              <w:spacing w:line="360" w:lineRule="auto"/>
              <w:jc w:val="both"/>
            </w:pPr>
            <w:r w:rsidRPr="00F620E4">
              <w:t>Colombia</w:t>
            </w:r>
            <w:r w:rsidRPr="00F620E4">
              <w:tab/>
            </w:r>
          </w:p>
        </w:tc>
        <w:tc>
          <w:tcPr>
            <w:tcW w:w="851" w:type="dxa"/>
            <w:shd w:val="clear" w:color="auto" w:fill="auto"/>
          </w:tcPr>
          <w:p w:rsidR="008158BD" w:rsidRPr="00F620E4" w:rsidRDefault="008158BD" w:rsidP="00C767C7">
            <w:pPr>
              <w:autoSpaceDE w:val="0"/>
              <w:adjustRightInd w:val="0"/>
              <w:spacing w:line="360" w:lineRule="auto"/>
              <w:jc w:val="both"/>
            </w:pPr>
            <w:r w:rsidRPr="00F620E4">
              <w:t>2.132</w:t>
            </w:r>
          </w:p>
        </w:tc>
      </w:tr>
      <w:tr w:rsidR="008158BD" w:rsidRPr="00F620E4" w:rsidTr="00B61CCA">
        <w:trPr>
          <w:jc w:val="center"/>
        </w:trPr>
        <w:tc>
          <w:tcPr>
            <w:tcW w:w="896" w:type="dxa"/>
            <w:shd w:val="clear" w:color="auto" w:fill="auto"/>
          </w:tcPr>
          <w:p w:rsidR="008158BD" w:rsidRPr="00F620E4" w:rsidRDefault="008158BD" w:rsidP="00C767C7">
            <w:pPr>
              <w:autoSpaceDE w:val="0"/>
              <w:adjustRightInd w:val="0"/>
              <w:spacing w:line="360" w:lineRule="auto"/>
              <w:jc w:val="both"/>
            </w:pPr>
            <w:r w:rsidRPr="00F620E4">
              <w:t xml:space="preserve">8. </w:t>
            </w:r>
          </w:p>
        </w:tc>
        <w:tc>
          <w:tcPr>
            <w:tcW w:w="1652" w:type="dxa"/>
            <w:shd w:val="clear" w:color="auto" w:fill="auto"/>
          </w:tcPr>
          <w:p w:rsidR="008158BD" w:rsidRPr="00F620E4" w:rsidRDefault="008158BD" w:rsidP="00C767C7">
            <w:pPr>
              <w:autoSpaceDE w:val="0"/>
              <w:adjustRightInd w:val="0"/>
              <w:spacing w:line="360" w:lineRule="auto"/>
              <w:jc w:val="both"/>
            </w:pPr>
            <w:r w:rsidRPr="00F620E4">
              <w:t xml:space="preserve">Perú </w:t>
            </w:r>
          </w:p>
        </w:tc>
        <w:tc>
          <w:tcPr>
            <w:tcW w:w="851" w:type="dxa"/>
            <w:shd w:val="clear" w:color="auto" w:fill="auto"/>
          </w:tcPr>
          <w:p w:rsidR="008158BD" w:rsidRPr="00F620E4" w:rsidRDefault="008158BD" w:rsidP="00C767C7">
            <w:pPr>
              <w:autoSpaceDE w:val="0"/>
              <w:adjustRightInd w:val="0"/>
              <w:spacing w:line="360" w:lineRule="auto"/>
              <w:jc w:val="both"/>
            </w:pPr>
            <w:r w:rsidRPr="00F620E4">
              <w:t>1.913</w:t>
            </w:r>
          </w:p>
        </w:tc>
      </w:tr>
    </w:tbl>
    <w:p w:rsidR="008158BD" w:rsidRPr="00F620E4" w:rsidRDefault="00767D9F" w:rsidP="00767D9F">
      <w:pPr>
        <w:autoSpaceDE w:val="0"/>
        <w:adjustRightInd w:val="0"/>
        <w:spacing w:line="360" w:lineRule="auto"/>
        <w:jc w:val="center"/>
      </w:pPr>
      <w:r>
        <w:t>Fuente: FAO, 2015.</w:t>
      </w:r>
    </w:p>
    <w:p w:rsidR="008158BD" w:rsidRPr="00F620E4" w:rsidRDefault="008158BD" w:rsidP="008158BD">
      <w:pPr>
        <w:autoSpaceDE w:val="0"/>
        <w:adjustRightInd w:val="0"/>
        <w:spacing w:line="276" w:lineRule="auto"/>
        <w:jc w:val="both"/>
      </w:pPr>
      <w:r w:rsidRPr="00F620E4">
        <w:lastRenderedPageBreak/>
        <w:t>Así pues, durante décadas el país contaba con más recursos hídricos después de Canadá, Rusia y Brasil, pero en los últimos años ha venido descendiendo en los índices del patrimonio hídrico por causa de la contaminación del agua generada por factores antrópicos, su uso inadecuado por parte de las empresas industriales, el tratamiento inadecuado de las aguas residuales, la deforestación y el cambio climático, entre otros.</w:t>
      </w:r>
    </w:p>
    <w:p w:rsidR="008158BD" w:rsidRPr="00F620E4" w:rsidRDefault="008158BD" w:rsidP="008158BD">
      <w:pPr>
        <w:jc w:val="both"/>
      </w:pPr>
      <w:r w:rsidRPr="00F620E4">
        <w:t xml:space="preserve">Igualmente páramos, lagos, lagunas, morichales, ríos, </w:t>
      </w:r>
      <w:proofErr w:type="gramStart"/>
      <w:r w:rsidRPr="00F620E4">
        <w:t>etcétera,  se</w:t>
      </w:r>
      <w:proofErr w:type="gramEnd"/>
      <w:r w:rsidRPr="00F620E4">
        <w:t xml:space="preserve"> encuentran en peligro debido a la exploración y explotación de recursos naturales no renovables por parte de las industrias minera y petrolera. Solo para ilustrar esta situación se resaltan algunos páramos que se encuentran en peligro:</w:t>
      </w:r>
    </w:p>
    <w:p w:rsidR="00CD27DC" w:rsidRPr="00F620E4" w:rsidRDefault="00CD27DC" w:rsidP="008158BD">
      <w:pPr>
        <w:jc w:val="both"/>
      </w:pPr>
    </w:p>
    <w:p w:rsidR="008158BD" w:rsidRPr="00F620E4" w:rsidRDefault="008158BD" w:rsidP="008158BD">
      <w:pPr>
        <w:pStyle w:val="Prrafodelista"/>
        <w:numPr>
          <w:ilvl w:val="0"/>
          <w:numId w:val="31"/>
        </w:numPr>
        <w:autoSpaceDE w:val="0"/>
        <w:adjustRightInd w:val="0"/>
        <w:spacing w:line="360" w:lineRule="auto"/>
        <w:jc w:val="both"/>
      </w:pPr>
      <w:r w:rsidRPr="00F620E4">
        <w:rPr>
          <w:b/>
        </w:rPr>
        <w:t>Santurbán</w:t>
      </w:r>
      <w:r w:rsidRPr="00F620E4">
        <w:t>: Tiene ochenta y un mil hectáreas, gravemente amenazado por el desarrollo de minería y agricultura.</w:t>
      </w:r>
    </w:p>
    <w:p w:rsidR="008158BD" w:rsidRPr="00F620E4" w:rsidRDefault="008158BD" w:rsidP="008158BD">
      <w:pPr>
        <w:pStyle w:val="Prrafodelista"/>
        <w:numPr>
          <w:ilvl w:val="0"/>
          <w:numId w:val="31"/>
        </w:numPr>
        <w:autoSpaceDE w:val="0"/>
        <w:adjustRightInd w:val="0"/>
        <w:spacing w:line="360" w:lineRule="auto"/>
        <w:jc w:val="both"/>
      </w:pPr>
      <w:r w:rsidRPr="00F620E4">
        <w:rPr>
          <w:b/>
        </w:rPr>
        <w:t>Pisba</w:t>
      </w:r>
      <w:r w:rsidRPr="00F620E4">
        <w:t>: abastece de agua las poblaciones de Tasco, Boyacá, pero se ha visto afectada la calidad y cantidad de agua debido a la contaminación y degradación del suelo a causa de la explotación de carbón”.</w:t>
      </w:r>
    </w:p>
    <w:p w:rsidR="008158BD" w:rsidRPr="00F620E4" w:rsidRDefault="008158BD" w:rsidP="008158BD">
      <w:pPr>
        <w:pStyle w:val="Prrafodelista"/>
        <w:numPr>
          <w:ilvl w:val="0"/>
          <w:numId w:val="31"/>
        </w:numPr>
        <w:autoSpaceDE w:val="0"/>
        <w:adjustRightInd w:val="0"/>
        <w:spacing w:line="360" w:lineRule="auto"/>
        <w:jc w:val="both"/>
      </w:pPr>
      <w:proofErr w:type="spellStart"/>
      <w:r w:rsidRPr="00F620E4">
        <w:rPr>
          <w:b/>
        </w:rPr>
        <w:t>Almorzadero</w:t>
      </w:r>
      <w:proofErr w:type="spellEnd"/>
      <w:r w:rsidRPr="00F620E4">
        <w:rPr>
          <w:b/>
        </w:rPr>
        <w:t>:</w:t>
      </w:r>
      <w:r w:rsidRPr="00F620E4">
        <w:t xml:space="preserve"> afectado en casi un sesenta y cuatro por ciento, la causa más importante por la agricultura.</w:t>
      </w:r>
    </w:p>
    <w:p w:rsidR="008158BD" w:rsidRPr="00AA38AB" w:rsidRDefault="008158BD" w:rsidP="00AA38AB">
      <w:pPr>
        <w:pStyle w:val="Prrafodelista"/>
        <w:numPr>
          <w:ilvl w:val="0"/>
          <w:numId w:val="31"/>
        </w:numPr>
        <w:autoSpaceDE w:val="0"/>
        <w:adjustRightInd w:val="0"/>
        <w:spacing w:line="360" w:lineRule="auto"/>
        <w:jc w:val="both"/>
      </w:pPr>
      <w:r w:rsidRPr="00F620E4">
        <w:rPr>
          <w:b/>
        </w:rPr>
        <w:t>Guerrero:</w:t>
      </w:r>
      <w:r w:rsidRPr="00F620E4">
        <w:t xml:space="preserve"> pertenece a la sabana de Bogotá sufre deforestación y pérdida de páramo debido a la explotación de carbón.</w:t>
      </w:r>
    </w:p>
    <w:p w:rsidR="008158BD" w:rsidRPr="00F620E4" w:rsidRDefault="008158BD" w:rsidP="008158BD">
      <w:pPr>
        <w:pStyle w:val="Prrafodelista"/>
        <w:numPr>
          <w:ilvl w:val="0"/>
          <w:numId w:val="31"/>
        </w:numPr>
        <w:autoSpaceDE w:val="0"/>
        <w:adjustRightInd w:val="0"/>
        <w:spacing w:line="360" w:lineRule="auto"/>
        <w:jc w:val="both"/>
      </w:pPr>
      <w:r w:rsidRPr="00F620E4">
        <w:rPr>
          <w:b/>
        </w:rPr>
        <w:t>Cajamarca:</w:t>
      </w:r>
      <w:r w:rsidRPr="00F620E4">
        <w:t xml:space="preserve"> amenazado por la tala, el desarrollo de minería ganadería y agricultura.</w:t>
      </w:r>
    </w:p>
    <w:p w:rsidR="008158BD" w:rsidRPr="00F620E4" w:rsidRDefault="008158BD" w:rsidP="00BF64AE">
      <w:pPr>
        <w:pStyle w:val="Prrafodelista"/>
        <w:numPr>
          <w:ilvl w:val="0"/>
          <w:numId w:val="31"/>
        </w:numPr>
        <w:autoSpaceDE w:val="0"/>
        <w:adjustRightInd w:val="0"/>
        <w:spacing w:line="360" w:lineRule="auto"/>
        <w:jc w:val="both"/>
      </w:pPr>
      <w:r w:rsidRPr="00F620E4">
        <w:rPr>
          <w:b/>
        </w:rPr>
        <w:t>Las Hermosas:</w:t>
      </w:r>
      <w:r w:rsidRPr="00F620E4">
        <w:t xml:space="preserve"> en el análisis de noventa y nueve mil hectáreas se destaca entre las actividades que están acabando con este ecosistema: la explotación de oro, quema </w:t>
      </w:r>
      <w:r w:rsidR="00C01F3F" w:rsidRPr="00F620E4">
        <w:t>para desarrollo</w:t>
      </w:r>
      <w:r w:rsidRPr="00F620E4">
        <w:t xml:space="preserve"> de ganadería y la caza de animales silvestres.</w:t>
      </w:r>
    </w:p>
    <w:p w:rsidR="00767D9F" w:rsidRDefault="008158BD" w:rsidP="008158BD">
      <w:pPr>
        <w:autoSpaceDE w:val="0"/>
        <w:adjustRightInd w:val="0"/>
        <w:spacing w:line="360" w:lineRule="auto"/>
        <w:jc w:val="both"/>
      </w:pPr>
      <w:r w:rsidRPr="00F620E4">
        <w:t xml:space="preserve">El desarrollo de la actividad minera como estrategia económica del país ha traído consigo grandes problemas de carácter ambiental, sin que hasta el momento nadie se haga responsable por ello. La explotación minera esta cimentada de manera importante en la explotación de oro, carbón y en la extracción de materiales de construcción, la explotación de minerales en estas áreas </w:t>
      </w:r>
      <w:proofErr w:type="spellStart"/>
      <w:r w:rsidRPr="00F620E4">
        <w:t>ecosistémicas</w:t>
      </w:r>
      <w:proofErr w:type="spellEnd"/>
      <w:r w:rsidRPr="00F620E4">
        <w:t xml:space="preserve"> ha generado grandes problemas ambientales; hablamos de la contaminación de las aguas superficiales y subterráneas con mercurio y cianuro, la pérdida de flora y fauna nativas, y la destrucción de la armonía del pai</w:t>
      </w:r>
      <w:r w:rsidR="00767D9F">
        <w:t>saje.</w:t>
      </w:r>
    </w:p>
    <w:p w:rsidR="00767D9F" w:rsidRDefault="008158BD" w:rsidP="008158BD">
      <w:pPr>
        <w:autoSpaceDE w:val="0"/>
        <w:adjustRightInd w:val="0"/>
        <w:spacing w:line="360" w:lineRule="auto"/>
        <w:jc w:val="both"/>
      </w:pPr>
      <w:r w:rsidRPr="00F620E4">
        <w:lastRenderedPageBreak/>
        <w:t xml:space="preserve">De los innumerables impactos ambientales que la industria petrolera genera durante la producción de los hidrocarburos, los más significativos, por su magnitud y carácter  irremediable (no se pueden corregir después de presentados y el daño queda a perpetuidad), son: el </w:t>
      </w:r>
      <w:proofErr w:type="spellStart"/>
      <w:r w:rsidRPr="00F620E4">
        <w:t>hidrodinamismo</w:t>
      </w:r>
      <w:proofErr w:type="spellEnd"/>
      <w:r w:rsidRPr="00F620E4">
        <w:rPr>
          <w:rStyle w:val="Refdenotaalpie"/>
        </w:rPr>
        <w:footnoteReference w:id="61"/>
      </w:r>
      <w:r w:rsidRPr="00F620E4">
        <w:t xml:space="preserve"> y la contaminación de las aguas subterráneas potables.</w:t>
      </w:r>
    </w:p>
    <w:p w:rsidR="00767D9F" w:rsidRDefault="008158BD" w:rsidP="008158BD">
      <w:pPr>
        <w:autoSpaceDE w:val="0"/>
        <w:adjustRightInd w:val="0"/>
        <w:spacing w:line="360" w:lineRule="auto"/>
        <w:jc w:val="both"/>
      </w:pPr>
      <w:r w:rsidRPr="00F620E4">
        <w:t>Otro problema ambiental ocurre con el agua residual que se produce junto con el petróleo, pues contiene metales pesados como bario, vanadio y níquel, que generan ceguera y deja sin aletas a los peces; trazas de hidrocarburos y químicos que contiene fenoles (cancerígenos) y aminas (generadoras de mutaciones) que las petroleras agregan para romper emulsiones, inhibir la corrosión, inhibir las incrustaciones y la precipitación de sólidos orgánicos (en Caño Limón, por ejemplo, se utilizan más de 150 millones de galones de químicos al año). Con estas aguas residuales, al ser descargadas en los caños y los ríos, se contaminan las aguas, matando el pescado o dejándolo ciego y sin aletas, o alterando su hábitat natural, generando su migración hacia ríos o caños más profundos (amenaza</w:t>
      </w:r>
      <w:r w:rsidR="00767D9F">
        <w:t xml:space="preserve">ndo la seguridad alimentaria). </w:t>
      </w:r>
    </w:p>
    <w:p w:rsidR="00767D9F" w:rsidRDefault="008158BD" w:rsidP="008158BD">
      <w:pPr>
        <w:autoSpaceDE w:val="0"/>
        <w:adjustRightInd w:val="0"/>
        <w:spacing w:line="360" w:lineRule="auto"/>
        <w:jc w:val="both"/>
      </w:pPr>
      <w:r w:rsidRPr="00F620E4">
        <w:t xml:space="preserve">Durante la producción del petróleo se corre el riesgo de contaminar los acuíferos libres superficiales y los acuíferos subterráneos confinados, con hidrocarburos, a través de canalizaciones que se generan por el anular del pozo, por mala cementación del revestimiento; o a través de la interconexión de las fracturas artificiales, que se generan durante la operación de </w:t>
      </w:r>
      <w:proofErr w:type="spellStart"/>
      <w:r w:rsidRPr="00F620E4">
        <w:t>fracturamiento</w:t>
      </w:r>
      <w:proofErr w:type="spellEnd"/>
      <w:r w:rsidRPr="00F620E4">
        <w:t xml:space="preserve"> hidráulico, con pozos abandonados o mal cementados, o con fallas naturales. En otros campos petroleros, las aguas residuales se reinyectan en formaciones superiores, contaminando los acuíferos subterráneos que son o serán la fuente futura para agricultu</w:t>
      </w:r>
      <w:r w:rsidR="00767D9F">
        <w:t xml:space="preserve">ra, industria y uso doméstico. </w:t>
      </w:r>
    </w:p>
    <w:p w:rsidR="00767D9F" w:rsidRDefault="008158BD" w:rsidP="008158BD">
      <w:pPr>
        <w:autoSpaceDE w:val="0"/>
        <w:adjustRightInd w:val="0"/>
        <w:spacing w:line="360" w:lineRule="auto"/>
        <w:jc w:val="both"/>
      </w:pPr>
      <w:r w:rsidRPr="00F620E4">
        <w:t xml:space="preserve">La combustión in situ es otra operación que contamina los acuíferos subterráneos, con los gases que genera la combustión (sulfuro de hidrógeno, dióxido de carbono y dióxido de azufre), e hidrocarburos; los cuales migran por el anular de los pozos hasta los acuíferos superiores, al fracturarse el cemento con las altas temperaturas (superiores a 1.000 grados </w:t>
      </w:r>
      <w:r w:rsidRPr="00F620E4">
        <w:lastRenderedPageBreak/>
        <w:t xml:space="preserve">centígrados); o a través de fracturas artificiales que se generan por las </w:t>
      </w:r>
      <w:r w:rsidR="00767D9F">
        <w:t>altas temperaturas y presiones.</w:t>
      </w:r>
    </w:p>
    <w:p w:rsidR="00B03FA5" w:rsidRPr="00B03FA5" w:rsidRDefault="008158BD" w:rsidP="008158BD">
      <w:pPr>
        <w:autoSpaceDE w:val="0"/>
        <w:adjustRightInd w:val="0"/>
        <w:spacing w:line="360" w:lineRule="auto"/>
        <w:jc w:val="both"/>
      </w:pPr>
      <w:r w:rsidRPr="00F620E4">
        <w:t xml:space="preserve">También, con los frecuentes derrames de petróleo, se contaminan los caños y los ríos, se pierden cultivos, se esterilizan las tierras y se secan los pastos, afectando la agricultura y la ganadería. Otros problemas son: la construcción de oleoductos y gasoductos, donde se intervienen los lechos de los ríos, de hacen cortes con zanjas de hasta tres metros de profundidad, disminuyendo el nivel freático y desviando el flujo de las aguas subterráneas poco profundas; la quema de gas, donde se generan gases tóxicos, se contamina auditivamente y se calienta la atmósfera del entorno; el polvo que generan las </w:t>
      </w:r>
      <w:proofErr w:type="spellStart"/>
      <w:r w:rsidRPr="00F620E4">
        <w:t>tractomulas</w:t>
      </w:r>
      <w:proofErr w:type="spellEnd"/>
      <w:r w:rsidRPr="00F620E4">
        <w:t xml:space="preserve"> en las vías destapadas; y el </w:t>
      </w:r>
      <w:proofErr w:type="spellStart"/>
      <w:r w:rsidRPr="00F620E4">
        <w:t>fracturamiento</w:t>
      </w:r>
      <w:proofErr w:type="spellEnd"/>
      <w:r w:rsidRPr="00F620E4">
        <w:t xml:space="preserve"> hidráulico para el </w:t>
      </w:r>
      <w:proofErr w:type="spellStart"/>
      <w:r w:rsidRPr="00F620E4">
        <w:t>Shale</w:t>
      </w:r>
      <w:proofErr w:type="spellEnd"/>
      <w:r w:rsidRPr="00F620E4">
        <w:t xml:space="preserve"> Gas. </w:t>
      </w:r>
    </w:p>
    <w:p w:rsidR="008158BD" w:rsidRPr="00F620E4" w:rsidRDefault="008158BD" w:rsidP="008158BD">
      <w:pPr>
        <w:autoSpaceDE w:val="0"/>
        <w:adjustRightInd w:val="0"/>
        <w:spacing w:line="360" w:lineRule="auto"/>
        <w:jc w:val="both"/>
      </w:pPr>
      <w:r w:rsidRPr="00A65441">
        <w:rPr>
          <w:b/>
        </w:rPr>
        <w:t>Daños ambientales en los páramos en los últimos años</w:t>
      </w:r>
      <w:r w:rsidRPr="00A65441">
        <w:t>:</w:t>
      </w:r>
    </w:p>
    <w:p w:rsidR="008158BD" w:rsidRPr="00F620E4" w:rsidRDefault="008158BD" w:rsidP="008158BD">
      <w:pPr>
        <w:pStyle w:val="Prrafodelista"/>
        <w:numPr>
          <w:ilvl w:val="0"/>
          <w:numId w:val="32"/>
        </w:numPr>
        <w:autoSpaceDE w:val="0"/>
        <w:adjustRightInd w:val="0"/>
        <w:spacing w:line="360" w:lineRule="auto"/>
        <w:jc w:val="both"/>
      </w:pPr>
      <w:r w:rsidRPr="00F620E4">
        <w:t>“Derrame de cuatro millones de barriles de crudo que han llegado a suelos y ríos del país desde 1986 (empiezan atentados a Caño Limón- Coveñas)”.</w:t>
      </w:r>
    </w:p>
    <w:p w:rsidR="008158BD" w:rsidRPr="00F620E4" w:rsidRDefault="008158BD" w:rsidP="008158BD">
      <w:pPr>
        <w:pStyle w:val="Prrafodelista"/>
        <w:numPr>
          <w:ilvl w:val="0"/>
          <w:numId w:val="32"/>
        </w:numPr>
        <w:autoSpaceDE w:val="0"/>
        <w:adjustRightInd w:val="0"/>
        <w:spacing w:line="360" w:lineRule="auto"/>
        <w:jc w:val="both"/>
      </w:pPr>
      <w:r w:rsidRPr="00F620E4">
        <w:t>Al año se arrojan más de trescientas toneladas de mercurio a los ecosistemas a causa de la minería.</w:t>
      </w:r>
    </w:p>
    <w:p w:rsidR="008158BD" w:rsidRPr="00F620E4" w:rsidRDefault="008158BD" w:rsidP="00B61CCA">
      <w:pPr>
        <w:pStyle w:val="Prrafodelista"/>
        <w:numPr>
          <w:ilvl w:val="0"/>
          <w:numId w:val="32"/>
        </w:numPr>
        <w:autoSpaceDE w:val="0"/>
        <w:adjustRightInd w:val="0"/>
        <w:spacing w:line="360" w:lineRule="auto"/>
        <w:jc w:val="both"/>
      </w:pPr>
      <w:r w:rsidRPr="00F620E4">
        <w:t>Ataques terroristas en nueve departamentos del país que han causado graves daños ambientales. Frente a esto la Fiscalía reporta que se adelantan 60 investigaciones en la Unidad de Protección a los Recursos Naturales.</w:t>
      </w:r>
    </w:p>
    <w:p w:rsidR="008158BD" w:rsidRPr="00F620E4" w:rsidRDefault="008158BD" w:rsidP="00B61CCA">
      <w:pPr>
        <w:pStyle w:val="Prrafodelista"/>
        <w:numPr>
          <w:ilvl w:val="0"/>
          <w:numId w:val="32"/>
        </w:numPr>
        <w:autoSpaceDE w:val="0"/>
        <w:adjustRightInd w:val="0"/>
        <w:spacing w:line="360" w:lineRule="auto"/>
        <w:jc w:val="both"/>
      </w:pPr>
      <w:r w:rsidRPr="00F620E4">
        <w:t>Se reportó por el IDEAM y Ministerio de Ambiente que tan sólo en 2013 se talaron 120.933 hectáreas de bosques.</w:t>
      </w:r>
    </w:p>
    <w:p w:rsidR="00767D9F" w:rsidRDefault="008158BD" w:rsidP="008158BD">
      <w:pPr>
        <w:pStyle w:val="Prrafodelista"/>
        <w:numPr>
          <w:ilvl w:val="0"/>
          <w:numId w:val="32"/>
        </w:numPr>
        <w:autoSpaceDE w:val="0"/>
        <w:adjustRightInd w:val="0"/>
        <w:spacing w:line="360" w:lineRule="auto"/>
        <w:jc w:val="both"/>
      </w:pPr>
      <w:r w:rsidRPr="00F620E4">
        <w:t>El país ha presentado pérdida del 57% de la cobertura vegetal en la Amazonía, en los departamentos de Caquetá, Putumayo, Meta y Guaviare.</w:t>
      </w:r>
    </w:p>
    <w:p w:rsidR="008158BD" w:rsidRPr="00F620E4" w:rsidRDefault="008158BD" w:rsidP="008158BD">
      <w:pPr>
        <w:autoSpaceDE w:val="0"/>
        <w:adjustRightInd w:val="0"/>
        <w:spacing w:line="360" w:lineRule="auto"/>
        <w:jc w:val="both"/>
      </w:pPr>
      <w:r w:rsidRPr="00F620E4">
        <w:t>Sumado a esto la situación actual de los páramos de Colombia es realmente preocupante, el calentamiento global, la agricultura y la ganadería es desarrollada en los páramos sin ningún control, y el desarrollo de la actividad minera, han puesto en riesgo estos ecosistemas y estos están llamados a desaparecer.</w:t>
      </w:r>
    </w:p>
    <w:p w:rsidR="00767D9F" w:rsidRDefault="008158BD" w:rsidP="008158BD">
      <w:pPr>
        <w:autoSpaceDE w:val="0"/>
        <w:adjustRightInd w:val="0"/>
        <w:spacing w:line="360" w:lineRule="auto"/>
        <w:jc w:val="both"/>
      </w:pPr>
      <w:r w:rsidRPr="00F620E4">
        <w:t>La pérdida de extensión en los páramos hace que desaparezca el hábitat de especies como el cóndor de los Andes y el oso de anteojos, al igual que desaparece parte de la flora que solo pertene</w:t>
      </w:r>
      <w:r w:rsidR="00767D9F">
        <w:t>cen a este tipo de ecosistemas.</w:t>
      </w:r>
    </w:p>
    <w:p w:rsidR="00767D9F" w:rsidRDefault="008158BD" w:rsidP="008158BD">
      <w:pPr>
        <w:autoSpaceDE w:val="0"/>
        <w:adjustRightInd w:val="0"/>
        <w:spacing w:line="360" w:lineRule="auto"/>
        <w:jc w:val="both"/>
      </w:pPr>
      <w:r w:rsidRPr="00F620E4">
        <w:lastRenderedPageBreak/>
        <w:t>Según el reporte de Instituto de Investigación Alexander von Humboldt, el 99% de los páramos del mundo se encuentran en la Cordillera de los Andes, en la Sierra Neva</w:t>
      </w:r>
      <w:r w:rsidR="00767D9F">
        <w:t>da de Santa Marta y Costa Rica.</w:t>
      </w:r>
    </w:p>
    <w:p w:rsidR="00B03FA5" w:rsidRPr="00B03FA5" w:rsidRDefault="008158BD" w:rsidP="00B03FA5">
      <w:pPr>
        <w:autoSpaceDE w:val="0"/>
        <w:adjustRightInd w:val="0"/>
        <w:spacing w:line="360" w:lineRule="auto"/>
        <w:jc w:val="both"/>
      </w:pPr>
      <w:r w:rsidRPr="00F620E4">
        <w:t>Colombia tiene 34 páramos que equivalen al 49% de los páramos del mundo, así que nuestro compromiso con el planeta debe ser mayor, ya que somos un país altamente privilegiado en materia hídrica: Los páramos proveen el agua potable de</w:t>
      </w:r>
      <w:r w:rsidR="00767D9F">
        <w:t>l 70% de la población del país.</w:t>
      </w:r>
    </w:p>
    <w:p w:rsidR="00B03FA5" w:rsidRDefault="00B03FA5" w:rsidP="00CD27DC">
      <w:pPr>
        <w:jc w:val="both"/>
        <w:rPr>
          <w:b/>
        </w:rPr>
      </w:pPr>
    </w:p>
    <w:p w:rsidR="00CD27DC" w:rsidRPr="00720C72" w:rsidRDefault="00B61CCA" w:rsidP="00CD27DC">
      <w:pPr>
        <w:jc w:val="both"/>
        <w:rPr>
          <w:b/>
        </w:rPr>
      </w:pPr>
      <w:r w:rsidRPr="00B61CCA">
        <w:rPr>
          <w:b/>
        </w:rPr>
        <w:t>Derecho Al Agua En Otros Países:</w:t>
      </w:r>
    </w:p>
    <w:tbl>
      <w:tblPr>
        <w:tblpPr w:leftFromText="141" w:rightFromText="141" w:vertAnchor="text" w:horzAnchor="margin" w:tblpY="197"/>
        <w:tblW w:w="892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867"/>
        <w:gridCol w:w="7059"/>
      </w:tblGrid>
      <w:tr w:rsidR="00CD27DC" w:rsidRPr="00F620E4" w:rsidTr="00C767C7">
        <w:tc>
          <w:tcPr>
            <w:tcW w:w="1867" w:type="dxa"/>
            <w:tcBorders>
              <w:bottom w:val="single" w:sz="12" w:space="0" w:color="8EAADB"/>
            </w:tcBorders>
            <w:shd w:val="clear" w:color="auto" w:fill="auto"/>
          </w:tcPr>
          <w:p w:rsidR="00CD27DC" w:rsidRPr="00F620E4" w:rsidRDefault="00CD27DC" w:rsidP="00C767C7">
            <w:pPr>
              <w:autoSpaceDE w:val="0"/>
              <w:adjustRightInd w:val="0"/>
              <w:spacing w:line="360" w:lineRule="auto"/>
              <w:rPr>
                <w:bCs/>
              </w:rPr>
            </w:pPr>
            <w:r w:rsidRPr="00F620E4">
              <w:rPr>
                <w:bCs/>
              </w:rPr>
              <w:t xml:space="preserve">PAIS </w:t>
            </w:r>
          </w:p>
        </w:tc>
        <w:tc>
          <w:tcPr>
            <w:tcW w:w="7059" w:type="dxa"/>
            <w:tcBorders>
              <w:bottom w:val="single" w:sz="12" w:space="0" w:color="8EAADB"/>
            </w:tcBorders>
            <w:shd w:val="clear" w:color="auto" w:fill="auto"/>
          </w:tcPr>
          <w:p w:rsidR="00CD27DC" w:rsidRPr="00F620E4" w:rsidRDefault="00CD27DC" w:rsidP="00C767C7">
            <w:pPr>
              <w:autoSpaceDE w:val="0"/>
              <w:adjustRightInd w:val="0"/>
              <w:spacing w:line="360" w:lineRule="auto"/>
              <w:rPr>
                <w:bCs/>
              </w:rPr>
            </w:pPr>
            <w:r w:rsidRPr="00F620E4">
              <w:rPr>
                <w:bCs/>
              </w:rPr>
              <w:t xml:space="preserve">CONTENIDO </w:t>
            </w:r>
          </w:p>
        </w:tc>
      </w:tr>
      <w:tr w:rsidR="00CD27DC" w:rsidRPr="00F620E4" w:rsidTr="00C767C7">
        <w:tc>
          <w:tcPr>
            <w:tcW w:w="1867" w:type="dxa"/>
            <w:shd w:val="clear" w:color="auto" w:fill="D9E2F3"/>
          </w:tcPr>
          <w:p w:rsidR="00CD27DC" w:rsidRPr="00F620E4" w:rsidRDefault="00CD27DC" w:rsidP="00C767C7">
            <w:pPr>
              <w:autoSpaceDE w:val="0"/>
              <w:adjustRightInd w:val="0"/>
              <w:spacing w:line="360" w:lineRule="auto"/>
              <w:rPr>
                <w:bCs/>
              </w:rPr>
            </w:pPr>
            <w:r w:rsidRPr="00F620E4">
              <w:rPr>
                <w:bCs/>
              </w:rPr>
              <w:t xml:space="preserve">        </w:t>
            </w:r>
          </w:p>
          <w:p w:rsidR="00CD27DC" w:rsidRPr="00F620E4" w:rsidRDefault="00CD27DC" w:rsidP="00C767C7">
            <w:pPr>
              <w:autoSpaceDE w:val="0"/>
              <w:adjustRightInd w:val="0"/>
              <w:spacing w:line="360" w:lineRule="auto"/>
              <w:rPr>
                <w:bCs/>
              </w:rPr>
            </w:pPr>
          </w:p>
          <w:p w:rsidR="00CD27DC" w:rsidRPr="00F620E4" w:rsidRDefault="00CD27DC" w:rsidP="00C767C7">
            <w:pPr>
              <w:autoSpaceDE w:val="0"/>
              <w:adjustRightInd w:val="0"/>
              <w:spacing w:line="360" w:lineRule="auto"/>
              <w:rPr>
                <w:bCs/>
              </w:rPr>
            </w:pPr>
          </w:p>
          <w:p w:rsidR="00CD27DC" w:rsidRPr="00F620E4" w:rsidRDefault="00CD27DC" w:rsidP="00C767C7">
            <w:pPr>
              <w:autoSpaceDE w:val="0"/>
              <w:adjustRightInd w:val="0"/>
              <w:spacing w:line="360" w:lineRule="auto"/>
              <w:rPr>
                <w:bCs/>
              </w:rPr>
            </w:pPr>
          </w:p>
          <w:p w:rsidR="00CD27DC" w:rsidRPr="00F620E4" w:rsidRDefault="00CD27DC" w:rsidP="00C767C7">
            <w:pPr>
              <w:autoSpaceDE w:val="0"/>
              <w:adjustRightInd w:val="0"/>
              <w:spacing w:line="360" w:lineRule="auto"/>
              <w:jc w:val="center"/>
              <w:rPr>
                <w:bCs/>
              </w:rPr>
            </w:pPr>
            <w:r w:rsidRPr="00F620E4">
              <w:rPr>
                <w:bCs/>
              </w:rPr>
              <w:t>Uruguay</w:t>
            </w:r>
          </w:p>
        </w:tc>
        <w:tc>
          <w:tcPr>
            <w:tcW w:w="7059" w:type="dxa"/>
            <w:shd w:val="clear" w:color="auto" w:fill="D9E2F3"/>
          </w:tcPr>
          <w:p w:rsidR="00CD27DC" w:rsidRPr="00BF64AE" w:rsidRDefault="00CD27DC" w:rsidP="00BF64AE">
            <w:pPr>
              <w:spacing w:line="360" w:lineRule="auto"/>
              <w:jc w:val="both"/>
            </w:pPr>
            <w:r w:rsidRPr="00F620E4">
              <w:t>Fue el primer país del mundo que reconoció constitucionalmente el derecho al agua y al saneamiento como un derecho humano. Se informa que la normativa uruguaya prioriza el uso del agua para consumo humano, como un punto de partida fundamental para la articulación de políticas públicas y la adopción de medidas para el aseguramiento de este derecho</w:t>
            </w:r>
            <w:r w:rsidRPr="00F620E4">
              <w:rPr>
                <w:vertAlign w:val="superscript"/>
              </w:rPr>
              <w:t xml:space="preserve">. </w:t>
            </w:r>
            <w:r w:rsidRPr="00F620E4">
              <w:t>El derecho humano al agua fue incorporado en la Constitución Nacional mediante la reforma que se realizara en el año 2004</w:t>
            </w:r>
            <w:r w:rsidRPr="00F620E4">
              <w:rPr>
                <w:vertAlign w:val="superscript"/>
              </w:rPr>
              <w:footnoteReference w:id="62"/>
            </w:r>
            <w:r w:rsidRPr="00F620E4">
              <w:t>.</w:t>
            </w:r>
          </w:p>
        </w:tc>
      </w:tr>
      <w:tr w:rsidR="00CD27DC" w:rsidRPr="00F620E4" w:rsidTr="00C767C7">
        <w:tc>
          <w:tcPr>
            <w:tcW w:w="1867" w:type="dxa"/>
            <w:shd w:val="clear" w:color="auto" w:fill="auto"/>
          </w:tcPr>
          <w:p w:rsidR="00CD27DC" w:rsidRPr="00F620E4" w:rsidRDefault="00CD27DC" w:rsidP="00C767C7">
            <w:pPr>
              <w:autoSpaceDE w:val="0"/>
              <w:adjustRightInd w:val="0"/>
              <w:spacing w:line="360" w:lineRule="auto"/>
              <w:jc w:val="center"/>
              <w:rPr>
                <w:bCs/>
              </w:rPr>
            </w:pPr>
          </w:p>
          <w:p w:rsidR="00CD27DC" w:rsidRPr="00F620E4" w:rsidRDefault="00CD27DC" w:rsidP="00C767C7">
            <w:pPr>
              <w:autoSpaceDE w:val="0"/>
              <w:adjustRightInd w:val="0"/>
              <w:spacing w:line="360" w:lineRule="auto"/>
              <w:jc w:val="center"/>
              <w:rPr>
                <w:bCs/>
              </w:rPr>
            </w:pPr>
          </w:p>
          <w:p w:rsidR="00CD27DC" w:rsidRPr="00F620E4" w:rsidRDefault="00CD27DC" w:rsidP="00C767C7">
            <w:pPr>
              <w:autoSpaceDE w:val="0"/>
              <w:adjustRightInd w:val="0"/>
              <w:spacing w:line="360" w:lineRule="auto"/>
              <w:jc w:val="center"/>
              <w:rPr>
                <w:bCs/>
              </w:rPr>
            </w:pPr>
            <w:r w:rsidRPr="00F620E4">
              <w:rPr>
                <w:bCs/>
              </w:rPr>
              <w:t xml:space="preserve">Ecuador </w:t>
            </w:r>
          </w:p>
        </w:tc>
        <w:tc>
          <w:tcPr>
            <w:tcW w:w="7059" w:type="dxa"/>
            <w:shd w:val="clear" w:color="auto" w:fill="auto"/>
          </w:tcPr>
          <w:p w:rsidR="00CD27DC" w:rsidRPr="00BF64AE" w:rsidRDefault="00CD27DC" w:rsidP="00BF64AE">
            <w:pPr>
              <w:spacing w:line="360" w:lineRule="auto"/>
              <w:jc w:val="both"/>
            </w:pPr>
            <w:r w:rsidRPr="00F620E4">
              <w:t>Reconoce este derecho a través de su constitución política de la siguiente manera “el derecho al agua es fundamental e irrenunciable”, el agua constituye patrimonio nacional estratégico de uso “público, inalienable, imprescriptible, inembargable y esencial para la vida”</w:t>
            </w:r>
            <w:r w:rsidRPr="00F620E4">
              <w:rPr>
                <w:vertAlign w:val="superscript"/>
              </w:rPr>
              <w:footnoteReference w:id="63"/>
            </w:r>
            <w:r w:rsidRPr="00F620E4">
              <w:t xml:space="preserve">. </w:t>
            </w:r>
          </w:p>
        </w:tc>
      </w:tr>
      <w:tr w:rsidR="00CD27DC" w:rsidRPr="00F620E4" w:rsidTr="00C767C7">
        <w:tc>
          <w:tcPr>
            <w:tcW w:w="1867" w:type="dxa"/>
            <w:shd w:val="clear" w:color="auto" w:fill="D9E2F3"/>
          </w:tcPr>
          <w:p w:rsidR="00CD27DC" w:rsidRPr="00F620E4" w:rsidRDefault="00CD27DC" w:rsidP="00C767C7">
            <w:pPr>
              <w:autoSpaceDE w:val="0"/>
              <w:adjustRightInd w:val="0"/>
              <w:spacing w:line="360" w:lineRule="auto"/>
              <w:jc w:val="center"/>
              <w:rPr>
                <w:bCs/>
              </w:rPr>
            </w:pPr>
          </w:p>
          <w:p w:rsidR="00CD27DC" w:rsidRPr="00F620E4" w:rsidRDefault="00CD27DC" w:rsidP="00C767C7">
            <w:pPr>
              <w:autoSpaceDE w:val="0"/>
              <w:adjustRightInd w:val="0"/>
              <w:spacing w:line="360" w:lineRule="auto"/>
              <w:jc w:val="center"/>
              <w:rPr>
                <w:bCs/>
              </w:rPr>
            </w:pPr>
          </w:p>
          <w:p w:rsidR="00CD27DC" w:rsidRPr="00F620E4" w:rsidRDefault="00CD27DC" w:rsidP="00C767C7">
            <w:pPr>
              <w:autoSpaceDE w:val="0"/>
              <w:adjustRightInd w:val="0"/>
              <w:spacing w:line="360" w:lineRule="auto"/>
              <w:jc w:val="center"/>
              <w:rPr>
                <w:bCs/>
              </w:rPr>
            </w:pPr>
          </w:p>
          <w:p w:rsidR="00CD27DC" w:rsidRPr="00F620E4" w:rsidRDefault="00CD27DC" w:rsidP="00C767C7">
            <w:pPr>
              <w:autoSpaceDE w:val="0"/>
              <w:adjustRightInd w:val="0"/>
              <w:spacing w:line="360" w:lineRule="auto"/>
              <w:jc w:val="center"/>
              <w:rPr>
                <w:bCs/>
              </w:rPr>
            </w:pPr>
          </w:p>
          <w:p w:rsidR="00CD27DC" w:rsidRPr="00F620E4" w:rsidRDefault="00CD27DC" w:rsidP="00C767C7">
            <w:pPr>
              <w:autoSpaceDE w:val="0"/>
              <w:adjustRightInd w:val="0"/>
              <w:spacing w:line="360" w:lineRule="auto"/>
              <w:jc w:val="center"/>
              <w:rPr>
                <w:bCs/>
              </w:rPr>
            </w:pPr>
          </w:p>
          <w:p w:rsidR="00CD27DC" w:rsidRPr="00F620E4" w:rsidRDefault="00CD27DC" w:rsidP="00C767C7">
            <w:pPr>
              <w:autoSpaceDE w:val="0"/>
              <w:adjustRightInd w:val="0"/>
              <w:spacing w:line="360" w:lineRule="auto"/>
              <w:jc w:val="center"/>
              <w:rPr>
                <w:bCs/>
              </w:rPr>
            </w:pPr>
          </w:p>
          <w:p w:rsidR="00CD27DC" w:rsidRPr="00F620E4" w:rsidRDefault="00CD27DC" w:rsidP="00C767C7">
            <w:pPr>
              <w:autoSpaceDE w:val="0"/>
              <w:adjustRightInd w:val="0"/>
              <w:spacing w:line="360" w:lineRule="auto"/>
              <w:jc w:val="center"/>
              <w:rPr>
                <w:bCs/>
              </w:rPr>
            </w:pPr>
            <w:r w:rsidRPr="00F620E4">
              <w:rPr>
                <w:bCs/>
              </w:rPr>
              <w:t xml:space="preserve">Bolivia </w:t>
            </w:r>
          </w:p>
        </w:tc>
        <w:tc>
          <w:tcPr>
            <w:tcW w:w="7059" w:type="dxa"/>
            <w:shd w:val="clear" w:color="auto" w:fill="D9E2F3"/>
          </w:tcPr>
          <w:p w:rsidR="00CD27DC" w:rsidRPr="00F620E4" w:rsidRDefault="00CD27DC" w:rsidP="00C767C7">
            <w:pPr>
              <w:spacing w:line="360" w:lineRule="auto"/>
              <w:jc w:val="both"/>
            </w:pPr>
            <w:r w:rsidRPr="00F620E4">
              <w:lastRenderedPageBreak/>
              <w:t xml:space="preserve">El Estado de Bolivia introdujo en su constitución: </w:t>
            </w:r>
          </w:p>
          <w:p w:rsidR="00CD27DC" w:rsidRPr="00F620E4" w:rsidRDefault="00CD27DC" w:rsidP="00C767C7">
            <w:pPr>
              <w:spacing w:line="360" w:lineRule="auto"/>
              <w:jc w:val="both"/>
            </w:pPr>
            <w:r w:rsidRPr="00F620E4">
              <w:lastRenderedPageBreak/>
              <w:t>Artículo 16 de la Carta Constitucional establece que “toda persona tiene derecho al agua y a la alimentación”</w:t>
            </w:r>
          </w:p>
          <w:p w:rsidR="00CD27DC" w:rsidRPr="00F620E4" w:rsidRDefault="00CD27DC" w:rsidP="00C767C7">
            <w:pPr>
              <w:spacing w:line="360" w:lineRule="auto"/>
              <w:jc w:val="both"/>
            </w:pPr>
            <w:r w:rsidRPr="00F620E4">
              <w:t>Artículo 20 establece adicionalmente que: “toda persona tiene derecho al acceso universal y equitativo a los servicios básicos de agua potable.</w:t>
            </w:r>
          </w:p>
          <w:p w:rsidR="00CD27DC" w:rsidRPr="00F620E4" w:rsidRDefault="00CD27DC" w:rsidP="00C767C7">
            <w:pPr>
              <w:spacing w:line="360" w:lineRule="auto"/>
              <w:jc w:val="both"/>
            </w:pPr>
            <w:r w:rsidRPr="00F620E4">
              <w:t xml:space="preserve">Inciso segundo, es responsabilidad del Estado, en todos sus niveles de gobierno, la provisión de los servicios básicos </w:t>
            </w:r>
            <w:r w:rsidRPr="00F620E4">
              <w:rPr>
                <w:lang w:val="es-ES"/>
              </w:rPr>
              <w:t>a través de entidades públicas, mixtas, cooperativas o comunitarias y que l</w:t>
            </w:r>
            <w:r w:rsidRPr="00F620E4">
              <w:t xml:space="preserve">a provisión de servicios debe responder a los criterios de universalidad, responsabilidad, accesibilidad, continuidad, calidad, eficiencia, eficacia, tarifas equitativas y cobertura necesaria, con participación y control social. </w:t>
            </w:r>
          </w:p>
          <w:p w:rsidR="00CD27DC" w:rsidRPr="00BF64AE" w:rsidRDefault="00CD27DC" w:rsidP="00BF64AE">
            <w:pPr>
              <w:spacing w:line="360" w:lineRule="auto"/>
              <w:jc w:val="both"/>
            </w:pPr>
            <w:r w:rsidRPr="00F620E4">
              <w:t>Artículo 373 del Capítulo Quinto sobre Recursos Hídricos, establece que el derecho al agua es un derecho “fundamentalísimo” para la vida</w:t>
            </w:r>
            <w:r w:rsidRPr="00F620E4">
              <w:rPr>
                <w:vertAlign w:val="superscript"/>
              </w:rPr>
              <w:footnoteReference w:id="64"/>
            </w:r>
            <w:r w:rsidRPr="00F620E4">
              <w:t xml:space="preserve">. </w:t>
            </w:r>
          </w:p>
        </w:tc>
      </w:tr>
      <w:tr w:rsidR="00CD27DC" w:rsidRPr="00F620E4" w:rsidTr="00C767C7">
        <w:tc>
          <w:tcPr>
            <w:tcW w:w="1867" w:type="dxa"/>
            <w:shd w:val="clear" w:color="auto" w:fill="auto"/>
          </w:tcPr>
          <w:p w:rsidR="00CD27DC" w:rsidRPr="00F620E4" w:rsidRDefault="00CD27DC" w:rsidP="00C767C7">
            <w:pPr>
              <w:autoSpaceDE w:val="0"/>
              <w:adjustRightInd w:val="0"/>
              <w:spacing w:line="360" w:lineRule="auto"/>
              <w:jc w:val="center"/>
              <w:rPr>
                <w:bCs/>
              </w:rPr>
            </w:pPr>
          </w:p>
          <w:p w:rsidR="00CD27DC" w:rsidRPr="00F620E4" w:rsidRDefault="00CD27DC" w:rsidP="00C767C7">
            <w:pPr>
              <w:autoSpaceDE w:val="0"/>
              <w:adjustRightInd w:val="0"/>
              <w:spacing w:line="360" w:lineRule="auto"/>
              <w:jc w:val="center"/>
              <w:rPr>
                <w:bCs/>
              </w:rPr>
            </w:pPr>
            <w:r w:rsidRPr="00F620E4">
              <w:rPr>
                <w:bCs/>
              </w:rPr>
              <w:t xml:space="preserve">Honduras </w:t>
            </w:r>
          </w:p>
        </w:tc>
        <w:tc>
          <w:tcPr>
            <w:tcW w:w="7059" w:type="dxa"/>
            <w:shd w:val="clear" w:color="auto" w:fill="auto"/>
          </w:tcPr>
          <w:p w:rsidR="00CD27DC" w:rsidRPr="00F620E4" w:rsidRDefault="00CD27DC" w:rsidP="00C767C7">
            <w:pPr>
              <w:spacing w:line="360" w:lineRule="auto"/>
              <w:jc w:val="both"/>
            </w:pPr>
            <w:r w:rsidRPr="00F620E4">
              <w:t>Decreto Legislativo No. 270-2012, el cual reformó el artículo 145 de la Constitución Nacional declaró el acceso al agua y saneamiento como un derecho humano</w:t>
            </w:r>
          </w:p>
        </w:tc>
      </w:tr>
      <w:tr w:rsidR="00CD27DC" w:rsidRPr="00F620E4" w:rsidTr="00C767C7">
        <w:tc>
          <w:tcPr>
            <w:tcW w:w="1867" w:type="dxa"/>
            <w:shd w:val="clear" w:color="auto" w:fill="D9E2F3"/>
          </w:tcPr>
          <w:p w:rsidR="00CD27DC" w:rsidRPr="00F620E4" w:rsidRDefault="00CD27DC" w:rsidP="00C767C7">
            <w:pPr>
              <w:autoSpaceDE w:val="0"/>
              <w:adjustRightInd w:val="0"/>
              <w:spacing w:line="360" w:lineRule="auto"/>
              <w:jc w:val="center"/>
              <w:rPr>
                <w:bCs/>
              </w:rPr>
            </w:pPr>
          </w:p>
          <w:p w:rsidR="00CD27DC" w:rsidRPr="00F620E4" w:rsidRDefault="00CD27DC" w:rsidP="00C767C7">
            <w:pPr>
              <w:autoSpaceDE w:val="0"/>
              <w:adjustRightInd w:val="0"/>
              <w:spacing w:line="360" w:lineRule="auto"/>
              <w:jc w:val="center"/>
              <w:rPr>
                <w:bCs/>
              </w:rPr>
            </w:pPr>
            <w:r w:rsidRPr="00F620E4">
              <w:rPr>
                <w:bCs/>
              </w:rPr>
              <w:t>Nicaragua</w:t>
            </w:r>
          </w:p>
        </w:tc>
        <w:tc>
          <w:tcPr>
            <w:tcW w:w="7059" w:type="dxa"/>
            <w:shd w:val="clear" w:color="auto" w:fill="D9E2F3"/>
          </w:tcPr>
          <w:p w:rsidR="00CD27DC" w:rsidRPr="00F620E4" w:rsidRDefault="00CD27DC" w:rsidP="00C767C7">
            <w:pPr>
              <w:spacing w:line="360" w:lineRule="auto"/>
              <w:jc w:val="both"/>
            </w:pPr>
            <w:r w:rsidRPr="00F620E4">
              <w:t>Artículo 105 de la Constitución Política, señala la obligación del Estado de promover, facilita y regular la prestación del servicio. Igualmente señala que es un derecho inalienable.</w:t>
            </w:r>
          </w:p>
        </w:tc>
      </w:tr>
      <w:tr w:rsidR="00CD27DC" w:rsidRPr="00F620E4" w:rsidTr="00C767C7">
        <w:tc>
          <w:tcPr>
            <w:tcW w:w="1867" w:type="dxa"/>
            <w:shd w:val="clear" w:color="auto" w:fill="auto"/>
          </w:tcPr>
          <w:p w:rsidR="00CD27DC" w:rsidRPr="00F620E4" w:rsidRDefault="00CD27DC" w:rsidP="00C767C7">
            <w:pPr>
              <w:autoSpaceDE w:val="0"/>
              <w:adjustRightInd w:val="0"/>
              <w:spacing w:line="360" w:lineRule="auto"/>
              <w:jc w:val="center"/>
              <w:rPr>
                <w:bCs/>
              </w:rPr>
            </w:pPr>
          </w:p>
          <w:p w:rsidR="00CD27DC" w:rsidRPr="00F620E4" w:rsidRDefault="00CD27DC" w:rsidP="00C767C7">
            <w:pPr>
              <w:autoSpaceDE w:val="0"/>
              <w:adjustRightInd w:val="0"/>
              <w:spacing w:line="360" w:lineRule="auto"/>
              <w:jc w:val="center"/>
              <w:rPr>
                <w:bCs/>
              </w:rPr>
            </w:pPr>
          </w:p>
          <w:p w:rsidR="00CD27DC" w:rsidRPr="00F620E4" w:rsidRDefault="00CD27DC" w:rsidP="00C767C7">
            <w:pPr>
              <w:autoSpaceDE w:val="0"/>
              <w:adjustRightInd w:val="0"/>
              <w:spacing w:line="360" w:lineRule="auto"/>
              <w:jc w:val="center"/>
              <w:rPr>
                <w:bCs/>
              </w:rPr>
            </w:pPr>
          </w:p>
          <w:p w:rsidR="00CD27DC" w:rsidRPr="00F620E4" w:rsidRDefault="00CD27DC" w:rsidP="00C767C7">
            <w:pPr>
              <w:autoSpaceDE w:val="0"/>
              <w:adjustRightInd w:val="0"/>
              <w:spacing w:line="360" w:lineRule="auto"/>
              <w:jc w:val="center"/>
              <w:rPr>
                <w:bCs/>
              </w:rPr>
            </w:pPr>
            <w:r w:rsidRPr="00F620E4">
              <w:rPr>
                <w:bCs/>
              </w:rPr>
              <w:t xml:space="preserve">México </w:t>
            </w:r>
          </w:p>
        </w:tc>
        <w:tc>
          <w:tcPr>
            <w:tcW w:w="7059" w:type="dxa"/>
            <w:shd w:val="clear" w:color="auto" w:fill="auto"/>
          </w:tcPr>
          <w:p w:rsidR="00CD27DC" w:rsidRPr="00BF64AE" w:rsidRDefault="00CD27DC" w:rsidP="00C767C7">
            <w:pPr>
              <w:spacing w:line="360" w:lineRule="auto"/>
              <w:jc w:val="both"/>
              <w:rPr>
                <w:lang w:val="es-MX"/>
              </w:rPr>
            </w:pPr>
            <w:r w:rsidRPr="00F620E4">
              <w:rPr>
                <w:lang w:val="es-MX"/>
              </w:rPr>
              <w:t xml:space="preserve">Consagra en su Constitución Política: “toda persona tiene derecho al acceso, disposición y saneamiento de agua para consumo personal y doméstico en forma suficiente, salubre, aceptable y asequible. El Estado garantizará este derecho y la ley definirá las bases, apoyos y modalidades para el acceso y uso equitativo y sustentable de </w:t>
            </w:r>
            <w:r w:rsidRPr="00F620E4">
              <w:t>los</w:t>
            </w:r>
            <w:r w:rsidRPr="00F620E4">
              <w:rPr>
                <w:lang w:val="es-MX"/>
              </w:rPr>
              <w:t xml:space="preserve"> recursos hídricos, estableciendo la participación de la federación, las entidades </w:t>
            </w:r>
            <w:r w:rsidRPr="00F620E4">
              <w:rPr>
                <w:lang w:val="es-MX"/>
              </w:rPr>
              <w:lastRenderedPageBreak/>
              <w:t>federativas y los municipios, así como la participación de la ciudadanía para la consecución de dichos fines”.</w:t>
            </w:r>
          </w:p>
        </w:tc>
      </w:tr>
      <w:tr w:rsidR="00CD27DC" w:rsidRPr="00F620E4" w:rsidTr="00C767C7">
        <w:tc>
          <w:tcPr>
            <w:tcW w:w="1867" w:type="dxa"/>
            <w:shd w:val="clear" w:color="auto" w:fill="D9E2F3"/>
          </w:tcPr>
          <w:p w:rsidR="00CD27DC" w:rsidRPr="00F620E4" w:rsidRDefault="00CD27DC" w:rsidP="00C767C7">
            <w:pPr>
              <w:autoSpaceDE w:val="0"/>
              <w:adjustRightInd w:val="0"/>
              <w:spacing w:line="360" w:lineRule="auto"/>
              <w:jc w:val="center"/>
              <w:rPr>
                <w:bCs/>
              </w:rPr>
            </w:pPr>
            <w:r w:rsidRPr="00F620E4">
              <w:rPr>
                <w:bCs/>
              </w:rPr>
              <w:lastRenderedPageBreak/>
              <w:t xml:space="preserve">Argentina </w:t>
            </w:r>
          </w:p>
        </w:tc>
        <w:tc>
          <w:tcPr>
            <w:tcW w:w="7059" w:type="dxa"/>
            <w:shd w:val="clear" w:color="auto" w:fill="D9E2F3"/>
          </w:tcPr>
          <w:p w:rsidR="00CD27DC" w:rsidRPr="00F620E4" w:rsidRDefault="00CD27DC" w:rsidP="00C767C7">
            <w:pPr>
              <w:spacing w:line="360" w:lineRule="auto"/>
              <w:jc w:val="both"/>
            </w:pPr>
            <w:r w:rsidRPr="00F620E4">
              <w:t>La Argentina no incluye en la Constitución Nacional el derecho al agua como un derecho humano, pero en  la normativa nacional y provincial prioriza este derecho y lo reconoce como un “derecho natural que corresponde a toda persona, inherente a su personalidad, de acceder al agua suficiente, saludable, aceptable, accesible y asequible”</w:t>
            </w:r>
            <w:r w:rsidRPr="00F620E4">
              <w:rPr>
                <w:vertAlign w:val="superscript"/>
              </w:rPr>
              <w:footnoteReference w:id="65"/>
            </w:r>
            <w:r w:rsidRPr="00F620E4">
              <w:t xml:space="preserve">. </w:t>
            </w:r>
          </w:p>
        </w:tc>
      </w:tr>
      <w:tr w:rsidR="00CD27DC" w:rsidRPr="00F620E4" w:rsidTr="00C767C7">
        <w:tc>
          <w:tcPr>
            <w:tcW w:w="1867" w:type="dxa"/>
            <w:shd w:val="clear" w:color="auto" w:fill="auto"/>
          </w:tcPr>
          <w:p w:rsidR="00CD27DC" w:rsidRPr="00F620E4" w:rsidRDefault="00CD27DC" w:rsidP="00C767C7">
            <w:pPr>
              <w:autoSpaceDE w:val="0"/>
              <w:adjustRightInd w:val="0"/>
              <w:spacing w:line="360" w:lineRule="auto"/>
              <w:jc w:val="center"/>
              <w:rPr>
                <w:bCs/>
              </w:rPr>
            </w:pPr>
          </w:p>
          <w:p w:rsidR="00CD27DC" w:rsidRPr="00F620E4" w:rsidRDefault="00CD27DC" w:rsidP="00C767C7">
            <w:pPr>
              <w:autoSpaceDE w:val="0"/>
              <w:adjustRightInd w:val="0"/>
              <w:spacing w:line="360" w:lineRule="auto"/>
              <w:jc w:val="center"/>
              <w:rPr>
                <w:bCs/>
              </w:rPr>
            </w:pPr>
          </w:p>
          <w:p w:rsidR="00CD27DC" w:rsidRPr="00F620E4" w:rsidRDefault="00CD27DC" w:rsidP="00C767C7">
            <w:pPr>
              <w:autoSpaceDE w:val="0"/>
              <w:adjustRightInd w:val="0"/>
              <w:spacing w:line="360" w:lineRule="auto"/>
              <w:jc w:val="center"/>
              <w:rPr>
                <w:bCs/>
              </w:rPr>
            </w:pPr>
            <w:r w:rsidRPr="00F620E4">
              <w:rPr>
                <w:bCs/>
              </w:rPr>
              <w:t>Costa Rica</w:t>
            </w:r>
          </w:p>
        </w:tc>
        <w:tc>
          <w:tcPr>
            <w:tcW w:w="7059" w:type="dxa"/>
            <w:shd w:val="clear" w:color="auto" w:fill="auto"/>
          </w:tcPr>
          <w:p w:rsidR="00CD27DC" w:rsidRPr="00F620E4" w:rsidRDefault="00CD27DC" w:rsidP="00C767C7">
            <w:pPr>
              <w:spacing w:line="360" w:lineRule="auto"/>
              <w:jc w:val="both"/>
            </w:pPr>
            <w:r w:rsidRPr="00F620E4">
              <w:t>A través de decretos, normas administrativa y como política pública Costa Rica contempla el acceso al agua potable como un derecho humano inalienable y que debe ser garantizada constitucionalmente.</w:t>
            </w:r>
          </w:p>
        </w:tc>
      </w:tr>
      <w:tr w:rsidR="00CD27DC" w:rsidRPr="00F620E4" w:rsidTr="00C767C7">
        <w:tc>
          <w:tcPr>
            <w:tcW w:w="1867" w:type="dxa"/>
            <w:shd w:val="clear" w:color="auto" w:fill="D9E2F3"/>
          </w:tcPr>
          <w:p w:rsidR="00CD27DC" w:rsidRPr="00F620E4" w:rsidRDefault="00CD27DC" w:rsidP="00C767C7">
            <w:pPr>
              <w:autoSpaceDE w:val="0"/>
              <w:adjustRightInd w:val="0"/>
              <w:spacing w:line="360" w:lineRule="auto"/>
              <w:jc w:val="center"/>
              <w:rPr>
                <w:bCs/>
              </w:rPr>
            </w:pPr>
            <w:r w:rsidRPr="00F620E4">
              <w:rPr>
                <w:bCs/>
              </w:rPr>
              <w:t xml:space="preserve">Italia </w:t>
            </w:r>
          </w:p>
        </w:tc>
        <w:tc>
          <w:tcPr>
            <w:tcW w:w="7059" w:type="dxa"/>
            <w:shd w:val="clear" w:color="auto" w:fill="D9E2F3"/>
          </w:tcPr>
          <w:p w:rsidR="00CD27DC" w:rsidRPr="00F620E4" w:rsidRDefault="00CD27DC" w:rsidP="00C767C7">
            <w:pPr>
              <w:spacing w:line="360" w:lineRule="auto"/>
              <w:jc w:val="both"/>
            </w:pPr>
            <w:r w:rsidRPr="00F620E4">
              <w:t xml:space="preserve">Mediante la Sentencia 259 de 1996 la Corte Constitucional del país señaló que es un derecho fundamental. </w:t>
            </w:r>
          </w:p>
        </w:tc>
      </w:tr>
    </w:tbl>
    <w:p w:rsidR="00767D9F" w:rsidRDefault="00767D9F" w:rsidP="001D79A0">
      <w:pPr>
        <w:pStyle w:val="NormalWeb"/>
        <w:shd w:val="clear" w:color="auto" w:fill="FFFFFF"/>
        <w:spacing w:line="276" w:lineRule="auto"/>
        <w:jc w:val="center"/>
        <w:rPr>
          <w:rFonts w:ascii="Times New Roman" w:hAnsi="Times New Roman" w:cs="Times New Roman"/>
          <w:b/>
          <w:lang w:val="es-ES_tradnl"/>
        </w:rPr>
      </w:pPr>
    </w:p>
    <w:p w:rsidR="00767D9F" w:rsidRDefault="001D79A0" w:rsidP="00767D9F">
      <w:pPr>
        <w:pStyle w:val="NormalWeb"/>
        <w:shd w:val="clear" w:color="auto" w:fill="FFFFFF"/>
        <w:spacing w:line="276" w:lineRule="auto"/>
        <w:jc w:val="center"/>
        <w:rPr>
          <w:rFonts w:ascii="Times New Roman" w:hAnsi="Times New Roman" w:cs="Times New Roman"/>
          <w:b/>
          <w:lang w:val="es-ES_tradnl"/>
        </w:rPr>
      </w:pPr>
      <w:r>
        <w:rPr>
          <w:rFonts w:ascii="Times New Roman" w:hAnsi="Times New Roman" w:cs="Times New Roman"/>
          <w:b/>
          <w:lang w:val="es-ES_tradnl"/>
        </w:rPr>
        <w:t xml:space="preserve">PLIEGO DE MODIFICACIONES. </w:t>
      </w:r>
    </w:p>
    <w:p w:rsidR="00B03FA5" w:rsidRDefault="00B03FA5" w:rsidP="00767D9F">
      <w:pPr>
        <w:pStyle w:val="NormalWeb"/>
        <w:shd w:val="clear" w:color="auto" w:fill="FFFFFF"/>
        <w:spacing w:line="276" w:lineRule="auto"/>
        <w:jc w:val="center"/>
        <w:rPr>
          <w:rFonts w:ascii="Times New Roman" w:hAnsi="Times New Roman" w:cs="Times New Roman"/>
          <w:b/>
          <w:lang w:val="es-ES_tradnl"/>
        </w:rPr>
      </w:pPr>
    </w:p>
    <w:tbl>
      <w:tblPr>
        <w:tblStyle w:val="Tablaconcuadrcula"/>
        <w:tblW w:w="0" w:type="auto"/>
        <w:tblLook w:val="04A0" w:firstRow="1" w:lastRow="0" w:firstColumn="1" w:lastColumn="0" w:noHBand="0" w:noVBand="1"/>
      </w:tblPr>
      <w:tblGrid>
        <w:gridCol w:w="4414"/>
        <w:gridCol w:w="4414"/>
      </w:tblGrid>
      <w:tr w:rsidR="001D79A0" w:rsidTr="001D79A0">
        <w:tc>
          <w:tcPr>
            <w:tcW w:w="4414" w:type="dxa"/>
          </w:tcPr>
          <w:p w:rsidR="001D79A0" w:rsidRDefault="001D79A0" w:rsidP="00BF64AE">
            <w:pPr>
              <w:pStyle w:val="NormalWeb"/>
              <w:spacing w:line="276" w:lineRule="auto"/>
              <w:jc w:val="center"/>
              <w:rPr>
                <w:rFonts w:ascii="Times New Roman" w:hAnsi="Times New Roman" w:cs="Times New Roman"/>
                <w:b/>
                <w:lang w:val="es-ES_tradnl"/>
              </w:rPr>
            </w:pPr>
            <w:r>
              <w:rPr>
                <w:rFonts w:ascii="Times New Roman" w:hAnsi="Times New Roman" w:cs="Times New Roman"/>
                <w:b/>
                <w:lang w:val="es-ES_tradnl"/>
              </w:rPr>
              <w:t xml:space="preserve">Texto aprobado en </w:t>
            </w:r>
            <w:r w:rsidR="00BF64AE">
              <w:rPr>
                <w:rFonts w:ascii="Times New Roman" w:hAnsi="Times New Roman" w:cs="Times New Roman"/>
                <w:b/>
                <w:lang w:val="es-ES_tradnl"/>
              </w:rPr>
              <w:t xml:space="preserve">Primer Debate </w:t>
            </w:r>
            <w:r>
              <w:rPr>
                <w:rFonts w:ascii="Times New Roman" w:hAnsi="Times New Roman" w:cs="Times New Roman"/>
                <w:b/>
                <w:lang w:val="es-ES_tradnl"/>
              </w:rPr>
              <w:t xml:space="preserve"> </w:t>
            </w:r>
            <w:r w:rsidR="00BF64AE">
              <w:rPr>
                <w:rFonts w:ascii="Times New Roman" w:hAnsi="Times New Roman" w:cs="Times New Roman"/>
                <w:b/>
                <w:lang w:val="es-ES_tradnl"/>
              </w:rPr>
              <w:t>- Comisión Primera Cámara de Representantes.</w:t>
            </w:r>
          </w:p>
        </w:tc>
        <w:tc>
          <w:tcPr>
            <w:tcW w:w="4414" w:type="dxa"/>
          </w:tcPr>
          <w:p w:rsidR="001D79A0" w:rsidRDefault="001D79A0" w:rsidP="00BF64AE">
            <w:pPr>
              <w:pStyle w:val="NormalWeb"/>
              <w:spacing w:line="276" w:lineRule="auto"/>
              <w:jc w:val="center"/>
              <w:rPr>
                <w:rFonts w:ascii="Times New Roman" w:hAnsi="Times New Roman" w:cs="Times New Roman"/>
                <w:b/>
                <w:lang w:val="es-ES_tradnl"/>
              </w:rPr>
            </w:pPr>
            <w:r>
              <w:rPr>
                <w:rFonts w:ascii="Times New Roman" w:hAnsi="Times New Roman" w:cs="Times New Roman"/>
                <w:b/>
                <w:lang w:val="es-ES_tradnl"/>
              </w:rPr>
              <w:t xml:space="preserve">Texto propuesto para </w:t>
            </w:r>
            <w:r w:rsidR="00BF64AE">
              <w:rPr>
                <w:rFonts w:ascii="Times New Roman" w:hAnsi="Times New Roman" w:cs="Times New Roman"/>
                <w:b/>
                <w:lang w:val="es-ES_tradnl"/>
              </w:rPr>
              <w:t>Segundo</w:t>
            </w:r>
            <w:r>
              <w:rPr>
                <w:rFonts w:ascii="Times New Roman" w:hAnsi="Times New Roman" w:cs="Times New Roman"/>
                <w:b/>
                <w:lang w:val="es-ES_tradnl"/>
              </w:rPr>
              <w:t xml:space="preserve"> Debate –Cámara de Representantes. </w:t>
            </w:r>
          </w:p>
        </w:tc>
      </w:tr>
      <w:tr w:rsidR="001D79A0" w:rsidTr="001D79A0">
        <w:tc>
          <w:tcPr>
            <w:tcW w:w="4414" w:type="dxa"/>
          </w:tcPr>
          <w:p w:rsidR="00BF64AE" w:rsidRPr="00430D9A" w:rsidRDefault="001D79A0" w:rsidP="00BF64AE">
            <w:pPr>
              <w:widowControl w:val="0"/>
              <w:jc w:val="both"/>
              <w:rPr>
                <w:color w:val="000000"/>
                <w:szCs w:val="20"/>
                <w:lang w:eastAsia="es-CO"/>
              </w:rPr>
            </w:pPr>
            <w:r w:rsidRPr="00430D9A">
              <w:rPr>
                <w:b/>
                <w:color w:val="000000"/>
                <w:szCs w:val="20"/>
              </w:rPr>
              <w:t xml:space="preserve">Artículo </w:t>
            </w:r>
            <w:r w:rsidR="00BF64AE" w:rsidRPr="00430D9A">
              <w:rPr>
                <w:b/>
                <w:color w:val="000000"/>
                <w:szCs w:val="20"/>
              </w:rPr>
              <w:t>1°.</w:t>
            </w:r>
            <w:r w:rsidR="00BF64AE" w:rsidRPr="00430D9A">
              <w:rPr>
                <w:rFonts w:ascii="Arial" w:eastAsia="Arial" w:hAnsi="Arial" w:cs="Arial"/>
                <w:color w:val="000000"/>
                <w:sz w:val="32"/>
              </w:rPr>
              <w:t xml:space="preserve"> </w:t>
            </w:r>
            <w:r w:rsidR="00BF64AE" w:rsidRPr="00430D9A">
              <w:rPr>
                <w:color w:val="000000"/>
                <w:szCs w:val="20"/>
              </w:rPr>
              <w:t>Inclúyase el Artículo 11-A dentro del Capítulo I del Título II de la Constitución, el cual quedará así:</w:t>
            </w:r>
          </w:p>
          <w:p w:rsidR="00BF64AE" w:rsidRPr="00430D9A" w:rsidRDefault="00BF64AE" w:rsidP="00BF64AE">
            <w:pPr>
              <w:widowControl w:val="0"/>
              <w:jc w:val="both"/>
              <w:rPr>
                <w:b/>
                <w:color w:val="000000"/>
                <w:szCs w:val="20"/>
              </w:rPr>
            </w:pPr>
          </w:p>
          <w:p w:rsidR="00BF64AE" w:rsidRPr="00430D9A" w:rsidRDefault="00BF64AE" w:rsidP="00BF64AE">
            <w:pPr>
              <w:spacing w:line="276" w:lineRule="auto"/>
              <w:jc w:val="both"/>
              <w:rPr>
                <w:szCs w:val="20"/>
              </w:rPr>
            </w:pPr>
            <w:r w:rsidRPr="00430D9A">
              <w:rPr>
                <w:b/>
                <w:szCs w:val="20"/>
              </w:rPr>
              <w:t>Artículo 11 A.</w:t>
            </w:r>
            <w:r w:rsidRPr="00430D9A">
              <w:rPr>
                <w:szCs w:val="20"/>
              </w:rPr>
              <w:t xml:space="preserve"> Toda persona en el territorio n</w:t>
            </w:r>
            <w:r>
              <w:rPr>
                <w:szCs w:val="20"/>
              </w:rPr>
              <w:t>acional tie</w:t>
            </w:r>
            <w:r w:rsidRPr="00BF64AE">
              <w:rPr>
                <w:szCs w:val="20"/>
              </w:rPr>
              <w:t xml:space="preserve">ne derecho al agua en condiciones </w:t>
            </w:r>
            <w:r w:rsidRPr="00430D9A">
              <w:rPr>
                <w:szCs w:val="20"/>
              </w:rPr>
              <w:t xml:space="preserve">de accesibilidad, calidad y </w:t>
            </w:r>
            <w:r>
              <w:rPr>
                <w:szCs w:val="20"/>
              </w:rPr>
              <w:t>disponibilidad</w:t>
            </w:r>
            <w:r w:rsidRPr="00BF64AE">
              <w:rPr>
                <w:szCs w:val="20"/>
              </w:rPr>
              <w:t>, conforme a los principios de progresividad y sostenibilidad fiscal. Su</w:t>
            </w:r>
            <w:r w:rsidRPr="00430D9A">
              <w:rPr>
                <w:szCs w:val="20"/>
              </w:rPr>
              <w:t xml:space="preserve"> uso prioritario es el consumo humano sin detrimento de su función ecológica, para lo </w:t>
            </w:r>
            <w:r w:rsidRPr="00430D9A">
              <w:rPr>
                <w:szCs w:val="20"/>
              </w:rPr>
              <w:lastRenderedPageBreak/>
              <w:t>cual el Estado garantizará la conservación, protección y uso eficiente del recurso hídrico conforme al principio de participación en materia ambiental.</w:t>
            </w:r>
          </w:p>
          <w:p w:rsidR="00BF64AE" w:rsidRDefault="00BF64AE" w:rsidP="00BF64AE">
            <w:pPr>
              <w:autoSpaceDE w:val="0"/>
              <w:adjustRightInd w:val="0"/>
              <w:spacing w:line="360" w:lineRule="auto"/>
              <w:jc w:val="both"/>
              <w:rPr>
                <w:iCs/>
              </w:rPr>
            </w:pPr>
          </w:p>
          <w:p w:rsidR="00BF64AE" w:rsidRPr="00430D9A" w:rsidRDefault="00BF64AE" w:rsidP="00BF64AE">
            <w:pPr>
              <w:widowControl w:val="0"/>
              <w:jc w:val="both"/>
              <w:rPr>
                <w:iCs/>
              </w:rPr>
            </w:pPr>
            <w:r w:rsidRPr="001D79A0">
              <w:rPr>
                <w:b/>
                <w:iCs/>
              </w:rPr>
              <w:t>Artículo 2°.</w:t>
            </w:r>
            <w:r w:rsidRPr="001D79A0">
              <w:rPr>
                <w:iCs/>
              </w:rPr>
              <w:t xml:space="preserve">  El presente Acto legislativo rige a partir de su promulgación y deroga todas las normas que le sean contrarias</w:t>
            </w:r>
          </w:p>
          <w:p w:rsidR="001D79A0" w:rsidRPr="001D79A0" w:rsidRDefault="001D79A0" w:rsidP="001D79A0">
            <w:pPr>
              <w:spacing w:line="276" w:lineRule="auto"/>
              <w:jc w:val="both"/>
              <w:rPr>
                <w:iCs/>
              </w:rPr>
            </w:pPr>
            <w:r w:rsidRPr="00430D9A">
              <w:rPr>
                <w:iCs/>
              </w:rPr>
              <w:t>.</w:t>
            </w:r>
          </w:p>
        </w:tc>
        <w:tc>
          <w:tcPr>
            <w:tcW w:w="4414" w:type="dxa"/>
          </w:tcPr>
          <w:p w:rsidR="001D79A0" w:rsidRPr="00430D9A" w:rsidRDefault="001D79A0" w:rsidP="001D79A0">
            <w:pPr>
              <w:widowControl w:val="0"/>
              <w:jc w:val="both"/>
              <w:rPr>
                <w:color w:val="000000"/>
                <w:szCs w:val="20"/>
                <w:lang w:eastAsia="es-CO"/>
              </w:rPr>
            </w:pPr>
            <w:r w:rsidRPr="00430D9A">
              <w:rPr>
                <w:b/>
                <w:color w:val="000000"/>
                <w:szCs w:val="20"/>
              </w:rPr>
              <w:lastRenderedPageBreak/>
              <w:t>Artículo 1°.</w:t>
            </w:r>
            <w:r w:rsidRPr="00430D9A">
              <w:rPr>
                <w:rFonts w:ascii="Arial" w:eastAsia="Arial" w:hAnsi="Arial" w:cs="Arial"/>
                <w:color w:val="000000"/>
                <w:sz w:val="32"/>
              </w:rPr>
              <w:t xml:space="preserve"> </w:t>
            </w:r>
            <w:r w:rsidRPr="00430D9A">
              <w:rPr>
                <w:color w:val="000000"/>
                <w:szCs w:val="20"/>
              </w:rPr>
              <w:t>Inclúyase el Artículo 11-A dentro del Capítulo I del Título II de la Constitución, el cual quedará así:</w:t>
            </w:r>
          </w:p>
          <w:p w:rsidR="001D79A0" w:rsidRPr="00430D9A" w:rsidRDefault="001D79A0" w:rsidP="001D79A0">
            <w:pPr>
              <w:widowControl w:val="0"/>
              <w:jc w:val="both"/>
              <w:rPr>
                <w:b/>
                <w:color w:val="000000"/>
                <w:szCs w:val="20"/>
              </w:rPr>
            </w:pPr>
          </w:p>
          <w:p w:rsidR="001D79A0" w:rsidRDefault="001D79A0" w:rsidP="001D79A0">
            <w:pPr>
              <w:spacing w:line="276" w:lineRule="auto"/>
              <w:jc w:val="both"/>
              <w:rPr>
                <w:szCs w:val="20"/>
              </w:rPr>
            </w:pPr>
            <w:r w:rsidRPr="00430D9A">
              <w:rPr>
                <w:b/>
                <w:szCs w:val="20"/>
              </w:rPr>
              <w:t>Artículo 11 A.</w:t>
            </w:r>
            <w:r w:rsidRPr="00430D9A">
              <w:rPr>
                <w:szCs w:val="20"/>
              </w:rPr>
              <w:t xml:space="preserve"> Toda persona en el territorio n</w:t>
            </w:r>
            <w:r>
              <w:rPr>
                <w:szCs w:val="20"/>
              </w:rPr>
              <w:t xml:space="preserve">acional tiene </w:t>
            </w:r>
            <w:r w:rsidRPr="00BF64AE">
              <w:rPr>
                <w:szCs w:val="20"/>
              </w:rPr>
              <w:t xml:space="preserve">derecho al agua, en condiciones de accesibilidad, calidad y </w:t>
            </w:r>
            <w:r w:rsidR="00EB3D25" w:rsidRPr="00BF64AE">
              <w:rPr>
                <w:szCs w:val="20"/>
              </w:rPr>
              <w:t>disponibilidad,</w:t>
            </w:r>
            <w:r w:rsidRPr="00BF64AE">
              <w:rPr>
                <w:szCs w:val="20"/>
              </w:rPr>
              <w:t xml:space="preserve"> </w:t>
            </w:r>
            <w:r w:rsidR="00EB3D25" w:rsidRPr="00BF64AE">
              <w:rPr>
                <w:szCs w:val="20"/>
              </w:rPr>
              <w:t>conforme a</w:t>
            </w:r>
            <w:r w:rsidRPr="00BF64AE">
              <w:rPr>
                <w:szCs w:val="20"/>
              </w:rPr>
              <w:t xml:space="preserve"> los principios de progresividad y sostenibilidad fiscal</w:t>
            </w:r>
            <w:r w:rsidR="00B73AD5">
              <w:rPr>
                <w:szCs w:val="20"/>
              </w:rPr>
              <w:t xml:space="preserve"> </w:t>
            </w:r>
            <w:r w:rsidR="00B73AD5">
              <w:rPr>
                <w:szCs w:val="20"/>
                <w:u w:val="single"/>
              </w:rPr>
              <w:t>priorizando las zonas rurales dispersas y los municipios no abastecidos</w:t>
            </w:r>
            <w:r w:rsidRPr="00BF64AE">
              <w:rPr>
                <w:szCs w:val="20"/>
              </w:rPr>
              <w:t xml:space="preserve">. Su uso </w:t>
            </w:r>
            <w:r w:rsidRPr="00BF64AE">
              <w:rPr>
                <w:szCs w:val="20"/>
              </w:rPr>
              <w:lastRenderedPageBreak/>
              <w:t>prioritario es el consumo humano sin detrimento de su función ecológica, para lo cual el Estado garantizará la conservación</w:t>
            </w:r>
            <w:r w:rsidRPr="00430D9A">
              <w:rPr>
                <w:szCs w:val="20"/>
              </w:rPr>
              <w:t>, protección y uso eficiente del recurso hídrico conforme al principio de participación en materia ambiental.</w:t>
            </w:r>
          </w:p>
          <w:p w:rsidR="00B73AD5" w:rsidRDefault="00B73AD5" w:rsidP="001D79A0">
            <w:pPr>
              <w:spacing w:line="276" w:lineRule="auto"/>
              <w:jc w:val="both"/>
              <w:rPr>
                <w:szCs w:val="20"/>
              </w:rPr>
            </w:pPr>
          </w:p>
          <w:p w:rsidR="001D79A0" w:rsidRDefault="00B73AD5" w:rsidP="00B73AD5">
            <w:pPr>
              <w:spacing w:line="276" w:lineRule="auto"/>
              <w:jc w:val="both"/>
              <w:rPr>
                <w:szCs w:val="20"/>
                <w:u w:val="single"/>
              </w:rPr>
            </w:pPr>
            <w:r w:rsidRPr="00B73AD5">
              <w:rPr>
                <w:szCs w:val="20"/>
                <w:u w:val="single"/>
              </w:rPr>
              <w:t>Establézcase régimen de participación a título de compensación, a los municipios productores de fuentes hídricas</w:t>
            </w:r>
            <w:r w:rsidR="00710AB1">
              <w:rPr>
                <w:szCs w:val="20"/>
                <w:u w:val="single"/>
              </w:rPr>
              <w:t>.</w:t>
            </w:r>
          </w:p>
          <w:p w:rsidR="00B73AD5" w:rsidRPr="00B73AD5" w:rsidRDefault="00B73AD5" w:rsidP="00B73AD5">
            <w:pPr>
              <w:spacing w:line="276" w:lineRule="auto"/>
              <w:jc w:val="both"/>
              <w:rPr>
                <w:szCs w:val="20"/>
                <w:u w:val="single"/>
              </w:rPr>
            </w:pPr>
          </w:p>
          <w:p w:rsidR="001D79A0" w:rsidRDefault="001D79A0" w:rsidP="001D79A0">
            <w:pPr>
              <w:pStyle w:val="NormalWeb"/>
              <w:spacing w:line="276" w:lineRule="auto"/>
              <w:jc w:val="both"/>
              <w:rPr>
                <w:rFonts w:ascii="Times New Roman" w:hAnsi="Times New Roman" w:cs="Times New Roman"/>
                <w:b/>
                <w:lang w:val="es-ES_tradnl"/>
              </w:rPr>
            </w:pPr>
            <w:r w:rsidRPr="001D79A0">
              <w:rPr>
                <w:rFonts w:ascii="Times New Roman" w:hAnsi="Times New Roman" w:cs="Times New Roman"/>
                <w:b/>
                <w:iCs/>
                <w:color w:val="auto"/>
                <w:lang w:val="es-CO" w:bidi="ar-SA"/>
              </w:rPr>
              <w:t>Artículo 2°.</w:t>
            </w:r>
            <w:r w:rsidRPr="001D79A0">
              <w:rPr>
                <w:rFonts w:ascii="Times New Roman" w:hAnsi="Times New Roman" w:cs="Times New Roman"/>
                <w:iCs/>
                <w:color w:val="auto"/>
                <w:lang w:val="es-CO" w:bidi="ar-SA"/>
              </w:rPr>
              <w:t xml:space="preserve">  El presente Acto legislativo rige a partir de su promulgación y deroga todas las normas que le sean contrarias</w:t>
            </w:r>
          </w:p>
        </w:tc>
      </w:tr>
    </w:tbl>
    <w:p w:rsidR="00734A3E" w:rsidRDefault="00734A3E" w:rsidP="00734A3E">
      <w:pPr>
        <w:spacing w:line="276" w:lineRule="auto"/>
        <w:rPr>
          <w:b/>
        </w:rPr>
      </w:pPr>
    </w:p>
    <w:p w:rsidR="00734A3E" w:rsidRPr="00734A3E" w:rsidRDefault="00734A3E" w:rsidP="00B03FA5">
      <w:pPr>
        <w:spacing w:line="276" w:lineRule="auto"/>
        <w:jc w:val="both"/>
      </w:pPr>
      <w:r w:rsidRPr="00734A3E">
        <w:t xml:space="preserve">El anterior pliego de modificaciones se realiza con el objetivo de adoptar las proposiciones presentadas por el Honorable Representante Buenaventura León y la Honorable Representante Juanita </w:t>
      </w:r>
      <w:proofErr w:type="spellStart"/>
      <w:r w:rsidRPr="00734A3E">
        <w:t>Goebertus</w:t>
      </w:r>
      <w:proofErr w:type="spellEnd"/>
      <w:r w:rsidRPr="00734A3E">
        <w:t xml:space="preserve">. </w:t>
      </w:r>
    </w:p>
    <w:p w:rsidR="00734A3E" w:rsidRDefault="00734A3E" w:rsidP="00B03FA5">
      <w:pPr>
        <w:pStyle w:val="Prrafodelista"/>
        <w:spacing w:line="276" w:lineRule="auto"/>
        <w:jc w:val="both"/>
        <w:rPr>
          <w:b/>
        </w:rPr>
      </w:pPr>
    </w:p>
    <w:p w:rsidR="00720C72" w:rsidRPr="00F66BC9" w:rsidRDefault="00F66BC9" w:rsidP="00B03FA5">
      <w:pPr>
        <w:spacing w:line="276" w:lineRule="auto"/>
        <w:jc w:val="both"/>
      </w:pPr>
      <w:r>
        <w:t xml:space="preserve">La primera modificación tiene </w:t>
      </w:r>
      <w:r w:rsidR="00B03FA5">
        <w:t xml:space="preserve">por objeto establecer una progresividad invertida, en la cual el Estado priorice la cobertura del servicio a las zonas rurales dispersas y los municipios no abastecidos. Esto, teniendo en cuenta que actualmente, el principio de progresividad es aplicado bajo el entendido de proveer el servicio a las zonas de fácil acceso, lo que resulta rezagando el campo colombiano y ampliando aún más la brecha entre el campo y la ciudad. </w:t>
      </w:r>
    </w:p>
    <w:p w:rsidR="00734A3E" w:rsidRPr="00734A3E" w:rsidRDefault="00734A3E" w:rsidP="00B03FA5">
      <w:pPr>
        <w:spacing w:line="276" w:lineRule="auto"/>
        <w:jc w:val="both"/>
        <w:rPr>
          <w:highlight w:val="yellow"/>
        </w:rPr>
      </w:pPr>
    </w:p>
    <w:p w:rsidR="00F66BC9" w:rsidRDefault="00734A3E" w:rsidP="00B03FA5">
      <w:pPr>
        <w:spacing w:line="276" w:lineRule="auto"/>
        <w:jc w:val="both"/>
      </w:pPr>
      <w:r w:rsidRPr="00F66BC9">
        <w:t>La segunda modificación contempla un régimen de participación a título de compensación para los m</w:t>
      </w:r>
      <w:r w:rsidR="00F66BC9" w:rsidRPr="00F66BC9">
        <w:t xml:space="preserve">unicipios productores de agua, </w:t>
      </w:r>
      <w:r w:rsidR="00B03FA5">
        <w:t xml:space="preserve">por medio del cual se busca </w:t>
      </w:r>
      <w:r w:rsidR="00B03FA5" w:rsidRPr="00B03FA5">
        <w:t>establecer las medidas necesarias que garanticen la conservación de las fuentes hídricas naturales, principalmente a los municipios que sufran afectación directa en los recursos natu</w:t>
      </w:r>
      <w:r w:rsidR="00B03FA5">
        <w:t>rales relacionados con el agua.</w:t>
      </w:r>
    </w:p>
    <w:p w:rsidR="00F66BC9" w:rsidRPr="00B03FA5" w:rsidRDefault="00B03FA5" w:rsidP="00B03FA5">
      <w:pPr>
        <w:spacing w:line="276" w:lineRule="auto"/>
      </w:pPr>
      <w:r>
        <w:t xml:space="preserve"> </w:t>
      </w:r>
    </w:p>
    <w:p w:rsidR="00B03FA5" w:rsidRDefault="00B03FA5" w:rsidP="00B03FA5">
      <w:pPr>
        <w:pStyle w:val="Prrafodelista"/>
        <w:spacing w:line="276" w:lineRule="auto"/>
        <w:jc w:val="center"/>
        <w:rPr>
          <w:b/>
        </w:rPr>
      </w:pPr>
    </w:p>
    <w:p w:rsidR="00B03FA5" w:rsidRDefault="00B03FA5" w:rsidP="00B03FA5">
      <w:pPr>
        <w:pStyle w:val="Prrafodelista"/>
        <w:spacing w:line="276" w:lineRule="auto"/>
        <w:jc w:val="center"/>
        <w:rPr>
          <w:b/>
        </w:rPr>
      </w:pPr>
    </w:p>
    <w:p w:rsidR="00B03FA5" w:rsidRDefault="00B03FA5" w:rsidP="00B03FA5">
      <w:pPr>
        <w:pStyle w:val="Prrafodelista"/>
        <w:spacing w:line="276" w:lineRule="auto"/>
        <w:jc w:val="center"/>
        <w:rPr>
          <w:b/>
        </w:rPr>
      </w:pPr>
    </w:p>
    <w:p w:rsidR="00B03FA5" w:rsidRDefault="00B03FA5" w:rsidP="00B03FA5">
      <w:pPr>
        <w:pStyle w:val="Prrafodelista"/>
        <w:spacing w:line="276" w:lineRule="auto"/>
        <w:jc w:val="center"/>
        <w:rPr>
          <w:b/>
        </w:rPr>
      </w:pPr>
    </w:p>
    <w:p w:rsidR="00B03FA5" w:rsidRDefault="00B03FA5" w:rsidP="00B03FA5">
      <w:pPr>
        <w:pStyle w:val="Prrafodelista"/>
        <w:spacing w:line="276" w:lineRule="auto"/>
        <w:jc w:val="center"/>
        <w:rPr>
          <w:b/>
        </w:rPr>
      </w:pPr>
    </w:p>
    <w:p w:rsidR="00B03FA5" w:rsidRDefault="00B03FA5" w:rsidP="00B03FA5">
      <w:pPr>
        <w:pStyle w:val="Prrafodelista"/>
        <w:spacing w:line="276" w:lineRule="auto"/>
        <w:jc w:val="center"/>
        <w:rPr>
          <w:b/>
        </w:rPr>
      </w:pPr>
    </w:p>
    <w:p w:rsidR="00B03FA5" w:rsidRDefault="00B03FA5" w:rsidP="00B03FA5">
      <w:pPr>
        <w:pStyle w:val="Prrafodelista"/>
        <w:spacing w:line="276" w:lineRule="auto"/>
        <w:jc w:val="center"/>
        <w:rPr>
          <w:b/>
        </w:rPr>
      </w:pPr>
    </w:p>
    <w:p w:rsidR="00D14780" w:rsidRPr="00B03FA5" w:rsidRDefault="00FD072E" w:rsidP="00B03FA5">
      <w:pPr>
        <w:pStyle w:val="Prrafodelista"/>
        <w:spacing w:line="276" w:lineRule="auto"/>
        <w:jc w:val="center"/>
        <w:rPr>
          <w:b/>
        </w:rPr>
      </w:pPr>
      <w:r w:rsidRPr="00B03FA5">
        <w:rPr>
          <w:b/>
        </w:rPr>
        <w:t>PROPOSICIÓN</w:t>
      </w:r>
    </w:p>
    <w:p w:rsidR="00C52A00" w:rsidRPr="00C52A00" w:rsidRDefault="00C52A00" w:rsidP="00C52A00">
      <w:pPr>
        <w:pStyle w:val="Prrafodelista"/>
        <w:spacing w:line="276" w:lineRule="auto"/>
        <w:jc w:val="center"/>
        <w:rPr>
          <w:b/>
        </w:rPr>
      </w:pPr>
    </w:p>
    <w:p w:rsidR="00430D9A" w:rsidRDefault="00C52A00" w:rsidP="00430D9A">
      <w:pPr>
        <w:jc w:val="both"/>
        <w:rPr>
          <w:color w:val="000000"/>
          <w:lang w:eastAsia="es-CO"/>
        </w:rPr>
      </w:pPr>
      <w:r>
        <w:rPr>
          <w:rFonts w:cs="Arial"/>
        </w:rPr>
        <w:t>Por las razones expuestas, proponemos a la Honorable Comisión Primera de</w:t>
      </w:r>
      <w:r w:rsidR="00680532">
        <w:rPr>
          <w:rFonts w:cs="Arial"/>
        </w:rPr>
        <w:t xml:space="preserve"> la Cámara </w:t>
      </w:r>
      <w:r>
        <w:rPr>
          <w:rFonts w:cs="Arial"/>
        </w:rPr>
        <w:t>de Re</w:t>
      </w:r>
      <w:r w:rsidR="00680532">
        <w:rPr>
          <w:rFonts w:cs="Arial"/>
        </w:rPr>
        <w:t>presentantes</w:t>
      </w:r>
      <w:r>
        <w:rPr>
          <w:rFonts w:cs="Arial"/>
        </w:rPr>
        <w:t xml:space="preserve">, </w:t>
      </w:r>
      <w:r w:rsidR="008373BC">
        <w:rPr>
          <w:rFonts w:cs="Arial"/>
          <w:b/>
        </w:rPr>
        <w:t>dar segundo</w:t>
      </w:r>
      <w:r>
        <w:rPr>
          <w:rFonts w:cs="Arial"/>
          <w:b/>
        </w:rPr>
        <w:t xml:space="preserve"> debate </w:t>
      </w:r>
      <w:r>
        <w:t>a</w:t>
      </w:r>
      <w:r w:rsidR="00CB4AD7" w:rsidRPr="00F620E4">
        <w:t xml:space="preserve">l </w:t>
      </w:r>
      <w:r w:rsidR="00397428" w:rsidRPr="00F620E4">
        <w:rPr>
          <w:lang w:val="es-ES_tradnl" w:bidi="ar-YE"/>
        </w:rPr>
        <w:t xml:space="preserve">Proyecto </w:t>
      </w:r>
      <w:r w:rsidR="00954D1F">
        <w:rPr>
          <w:lang w:val="es-ES_tradnl" w:bidi="ar-YE"/>
        </w:rPr>
        <w:t>de Acto L</w:t>
      </w:r>
      <w:r w:rsidR="00CF059F" w:rsidRPr="00F620E4">
        <w:rPr>
          <w:lang w:val="es-ES_tradnl" w:bidi="ar-YE"/>
        </w:rPr>
        <w:t xml:space="preserve">egislativo </w:t>
      </w:r>
      <w:r w:rsidR="00430D9A">
        <w:t>No.</w:t>
      </w:r>
      <w:r w:rsidR="00792417">
        <w:t xml:space="preserve"> 234 de 2018 Cámara -</w:t>
      </w:r>
      <w:r w:rsidR="00430D9A">
        <w:t xml:space="preserve"> 06 de 2018 Senado, </w:t>
      </w:r>
      <w:r w:rsidR="00792417">
        <w:t>“</w:t>
      </w:r>
      <w:r w:rsidR="00430D9A">
        <w:rPr>
          <w:color w:val="000000"/>
        </w:rPr>
        <w:t>por el cual se incluye el artículo 11 A dentro del Capítulo I del Título II de la Constitución Política de Colombia</w:t>
      </w:r>
      <w:r w:rsidR="00792417">
        <w:rPr>
          <w:color w:val="000000"/>
        </w:rPr>
        <w:t>”</w:t>
      </w:r>
      <w:r w:rsidR="001D79A0">
        <w:rPr>
          <w:color w:val="000000"/>
        </w:rPr>
        <w:t xml:space="preserve">. De conformidad con el pliego de modificaciones. </w:t>
      </w:r>
    </w:p>
    <w:p w:rsidR="00680532" w:rsidRPr="00680532" w:rsidRDefault="00680532" w:rsidP="00397428">
      <w:pPr>
        <w:adjustRightInd w:val="0"/>
        <w:spacing w:before="28" w:after="28" w:line="276" w:lineRule="auto"/>
        <w:jc w:val="both"/>
        <w:textAlignment w:val="center"/>
        <w:rPr>
          <w:lang w:val="es-ES_tradnl" w:bidi="ar-YE"/>
        </w:rPr>
      </w:pPr>
    </w:p>
    <w:p w:rsidR="00C61182" w:rsidRPr="00F620E4" w:rsidRDefault="0098645E" w:rsidP="00397428">
      <w:pPr>
        <w:spacing w:line="276" w:lineRule="auto"/>
        <w:jc w:val="both"/>
      </w:pPr>
      <w:r w:rsidRPr="00F620E4">
        <w:t>Cordialmente</w:t>
      </w:r>
      <w:r w:rsidR="00B03FA5">
        <w:t>,</w:t>
      </w:r>
    </w:p>
    <w:p w:rsidR="00C767C7" w:rsidRPr="00F620E4" w:rsidRDefault="00C767C7" w:rsidP="00397428">
      <w:pPr>
        <w:spacing w:line="276" w:lineRule="auto"/>
        <w:jc w:val="both"/>
      </w:pPr>
    </w:p>
    <w:p w:rsidR="00792417" w:rsidRDefault="00792417" w:rsidP="00C767C7">
      <w:pPr>
        <w:spacing w:line="276" w:lineRule="auto"/>
        <w:jc w:val="both"/>
      </w:pPr>
    </w:p>
    <w:p w:rsidR="00CF638A" w:rsidRDefault="00CF638A" w:rsidP="00C767C7">
      <w:pPr>
        <w:spacing w:line="276" w:lineRule="auto"/>
        <w:jc w:val="both"/>
      </w:pPr>
    </w:p>
    <w:p w:rsidR="00720C72" w:rsidRDefault="00720C72" w:rsidP="00C767C7">
      <w:pPr>
        <w:spacing w:line="276" w:lineRule="auto"/>
        <w:jc w:val="both"/>
        <w:sectPr w:rsidR="00720C72" w:rsidSect="0013313B">
          <w:headerReference w:type="default" r:id="rId9"/>
          <w:footerReference w:type="default" r:id="rId10"/>
          <w:pgSz w:w="12240" w:h="15840"/>
          <w:pgMar w:top="2268" w:right="1701" w:bottom="1418" w:left="1701" w:header="709" w:footer="709" w:gutter="0"/>
          <w:cols w:space="708"/>
          <w:docGrid w:linePitch="360"/>
        </w:sectPr>
      </w:pPr>
    </w:p>
    <w:p w:rsidR="00792417" w:rsidRPr="00720C72" w:rsidRDefault="00F66BC9" w:rsidP="00C767C7">
      <w:pPr>
        <w:spacing w:line="276" w:lineRule="auto"/>
        <w:jc w:val="both"/>
        <w:rPr>
          <w:lang w:val="es-ES"/>
        </w:rPr>
      </w:pPr>
      <w:hyperlink r:id="rId11" w:tgtFrame="_blank" w:history="1">
        <w:r w:rsidR="00C767C7" w:rsidRPr="00720C72">
          <w:rPr>
            <w:rStyle w:val="Hipervnculo"/>
            <w:b/>
            <w:color w:val="auto"/>
            <w:u w:val="none"/>
            <w:lang w:val="es-ES"/>
          </w:rPr>
          <w:t>Harry Giovanny González García</w:t>
        </w:r>
      </w:hyperlink>
      <w:r w:rsidR="00C767C7" w:rsidRPr="00720C72">
        <w:rPr>
          <w:rStyle w:val="Hipervnculo"/>
          <w:b/>
          <w:color w:val="auto"/>
          <w:u w:val="none"/>
          <w:lang w:val="es-ES"/>
        </w:rPr>
        <w:t xml:space="preserve"> - C</w:t>
      </w:r>
      <w:r w:rsidR="00C767C7" w:rsidRPr="00720C72">
        <w:t xml:space="preserve">              </w:t>
      </w:r>
      <w:r w:rsidR="00C767C7" w:rsidRPr="00720C72">
        <w:rPr>
          <w:lang w:val="es-ES"/>
        </w:rPr>
        <w:t xml:space="preserve">     </w:t>
      </w:r>
    </w:p>
    <w:p w:rsidR="00792417" w:rsidRPr="00720C72" w:rsidRDefault="00792417" w:rsidP="00C767C7">
      <w:pPr>
        <w:spacing w:line="276" w:lineRule="auto"/>
        <w:jc w:val="both"/>
        <w:rPr>
          <w:lang w:val="es-ES"/>
        </w:rPr>
      </w:pPr>
      <w:r w:rsidRPr="00720C72">
        <w:rPr>
          <w:lang w:val="es-ES"/>
        </w:rPr>
        <w:t xml:space="preserve">Representante a la Cámara                                        </w:t>
      </w:r>
    </w:p>
    <w:p w:rsidR="00792417" w:rsidRPr="00720C72" w:rsidRDefault="00792417" w:rsidP="00C767C7">
      <w:pPr>
        <w:spacing w:line="276" w:lineRule="auto"/>
        <w:jc w:val="both"/>
        <w:rPr>
          <w:lang w:val="es-ES"/>
        </w:rPr>
      </w:pPr>
    </w:p>
    <w:p w:rsidR="00792417" w:rsidRPr="00720C72" w:rsidRDefault="00792417" w:rsidP="00C767C7">
      <w:pPr>
        <w:spacing w:line="276" w:lineRule="auto"/>
        <w:jc w:val="both"/>
        <w:rPr>
          <w:lang w:val="es-ES"/>
        </w:rPr>
      </w:pPr>
    </w:p>
    <w:p w:rsidR="00767D9F" w:rsidRPr="00720C72" w:rsidRDefault="00767D9F" w:rsidP="00C767C7">
      <w:pPr>
        <w:spacing w:line="276" w:lineRule="auto"/>
        <w:jc w:val="both"/>
      </w:pPr>
    </w:p>
    <w:p w:rsidR="00C767C7" w:rsidRPr="00720C72" w:rsidRDefault="00F66BC9" w:rsidP="00C767C7">
      <w:pPr>
        <w:spacing w:line="276" w:lineRule="auto"/>
        <w:jc w:val="both"/>
        <w:rPr>
          <w:lang w:val="es-ES"/>
        </w:rPr>
      </w:pPr>
      <w:hyperlink r:id="rId12" w:tgtFrame="_blank" w:history="1">
        <w:r w:rsidR="00C767C7" w:rsidRPr="00720C72">
          <w:rPr>
            <w:rStyle w:val="Hipervnculo"/>
            <w:b/>
            <w:color w:val="auto"/>
            <w:u w:val="none"/>
            <w:lang w:val="es-ES"/>
          </w:rPr>
          <w:t>Jorge Méndez Hernández</w:t>
        </w:r>
      </w:hyperlink>
      <w:r w:rsidR="00C767C7" w:rsidRPr="00720C72">
        <w:rPr>
          <w:rStyle w:val="Hipervnculo"/>
          <w:b/>
          <w:color w:val="auto"/>
          <w:u w:val="none"/>
          <w:lang w:val="es-ES"/>
        </w:rPr>
        <w:t xml:space="preserve"> – C </w:t>
      </w:r>
    </w:p>
    <w:p w:rsidR="00C767C7" w:rsidRPr="00720C72" w:rsidRDefault="00C767C7" w:rsidP="00C767C7">
      <w:pPr>
        <w:spacing w:line="276" w:lineRule="auto"/>
        <w:jc w:val="both"/>
        <w:rPr>
          <w:lang w:val="es-ES"/>
        </w:rPr>
      </w:pPr>
      <w:r w:rsidRPr="00720C72">
        <w:rPr>
          <w:lang w:val="es-ES"/>
        </w:rPr>
        <w:t xml:space="preserve">Representante a la Cámara                                        </w:t>
      </w:r>
    </w:p>
    <w:p w:rsidR="00C767C7" w:rsidRPr="00720C72" w:rsidRDefault="00C767C7" w:rsidP="00C767C7">
      <w:pPr>
        <w:spacing w:line="276" w:lineRule="auto"/>
        <w:jc w:val="both"/>
        <w:rPr>
          <w:lang w:val="es-ES"/>
        </w:rPr>
      </w:pPr>
    </w:p>
    <w:p w:rsidR="00720C72" w:rsidRPr="00720C72" w:rsidRDefault="00720C72" w:rsidP="00C767C7">
      <w:pPr>
        <w:spacing w:line="276" w:lineRule="auto"/>
        <w:jc w:val="both"/>
        <w:rPr>
          <w:lang w:val="es-ES"/>
        </w:rPr>
      </w:pPr>
    </w:p>
    <w:p w:rsidR="00C767C7" w:rsidRPr="00720C72" w:rsidRDefault="00C767C7" w:rsidP="00C767C7">
      <w:pPr>
        <w:spacing w:line="276" w:lineRule="auto"/>
        <w:jc w:val="both"/>
        <w:rPr>
          <w:lang w:val="es-ES"/>
        </w:rPr>
      </w:pPr>
    </w:p>
    <w:p w:rsidR="00792417" w:rsidRPr="00720C72" w:rsidRDefault="00F66BC9" w:rsidP="00792417">
      <w:pPr>
        <w:spacing w:line="276" w:lineRule="auto"/>
        <w:jc w:val="both"/>
        <w:rPr>
          <w:b/>
          <w:lang w:val="es-ES"/>
        </w:rPr>
      </w:pPr>
      <w:hyperlink r:id="rId13" w:tgtFrame="_blank" w:history="1">
        <w:r w:rsidR="00792417" w:rsidRPr="00720C72">
          <w:rPr>
            <w:rStyle w:val="Hipervnculo"/>
            <w:b/>
            <w:color w:val="auto"/>
            <w:u w:val="none"/>
            <w:lang w:val="es-ES"/>
          </w:rPr>
          <w:t>Carlos German Navas Talero</w:t>
        </w:r>
      </w:hyperlink>
      <w:r w:rsidR="00792417" w:rsidRPr="00720C72">
        <w:rPr>
          <w:rStyle w:val="Hipervnculo"/>
          <w:b/>
          <w:color w:val="auto"/>
          <w:u w:val="none"/>
          <w:lang w:val="es-ES"/>
        </w:rPr>
        <w:t xml:space="preserve"> - C</w:t>
      </w:r>
    </w:p>
    <w:p w:rsidR="00792417" w:rsidRPr="00720C72" w:rsidRDefault="00792417" w:rsidP="00792417">
      <w:pPr>
        <w:spacing w:line="276" w:lineRule="auto"/>
        <w:jc w:val="both"/>
      </w:pPr>
      <w:r w:rsidRPr="00720C72">
        <w:rPr>
          <w:lang w:val="es-ES"/>
        </w:rPr>
        <w:t xml:space="preserve">Representante a la Cámara                                        </w:t>
      </w:r>
    </w:p>
    <w:p w:rsidR="00792417" w:rsidRPr="00720C72" w:rsidRDefault="00792417" w:rsidP="00C767C7">
      <w:pPr>
        <w:spacing w:line="276" w:lineRule="auto"/>
        <w:jc w:val="both"/>
      </w:pPr>
    </w:p>
    <w:p w:rsidR="00792417" w:rsidRPr="00720C72" w:rsidRDefault="00792417" w:rsidP="00C767C7">
      <w:pPr>
        <w:spacing w:line="276" w:lineRule="auto"/>
        <w:jc w:val="both"/>
      </w:pPr>
    </w:p>
    <w:p w:rsidR="00720C72" w:rsidRPr="00720C72" w:rsidRDefault="00720C72" w:rsidP="00C767C7">
      <w:pPr>
        <w:spacing w:line="276" w:lineRule="auto"/>
        <w:jc w:val="both"/>
      </w:pPr>
    </w:p>
    <w:p w:rsidR="00792417" w:rsidRPr="00720C72" w:rsidRDefault="00F66BC9" w:rsidP="00C767C7">
      <w:pPr>
        <w:spacing w:line="276" w:lineRule="auto"/>
        <w:jc w:val="both"/>
        <w:rPr>
          <w:rStyle w:val="Hipervnculo"/>
          <w:b/>
          <w:color w:val="auto"/>
          <w:u w:val="none"/>
          <w:lang w:val="es-ES"/>
        </w:rPr>
      </w:pPr>
      <w:hyperlink r:id="rId14" w:tgtFrame="_blank" w:history="1">
        <w:r w:rsidR="00C767C7" w:rsidRPr="00720C72">
          <w:rPr>
            <w:rStyle w:val="Hipervnculo"/>
            <w:b/>
            <w:color w:val="auto"/>
            <w:u w:val="none"/>
            <w:lang w:val="es-ES"/>
          </w:rPr>
          <w:t xml:space="preserve">Juanita </w:t>
        </w:r>
        <w:r w:rsidR="000F3C2F" w:rsidRPr="00720C72">
          <w:rPr>
            <w:rStyle w:val="Hipervnculo"/>
            <w:b/>
            <w:color w:val="auto"/>
            <w:u w:val="none"/>
            <w:lang w:val="es-ES"/>
          </w:rPr>
          <w:t>María</w:t>
        </w:r>
        <w:r w:rsidR="00C767C7" w:rsidRPr="00720C72">
          <w:rPr>
            <w:rStyle w:val="Hipervnculo"/>
            <w:b/>
            <w:color w:val="auto"/>
            <w:u w:val="none"/>
            <w:lang w:val="es-ES"/>
          </w:rPr>
          <w:t xml:space="preserve"> </w:t>
        </w:r>
        <w:proofErr w:type="spellStart"/>
        <w:r w:rsidR="00C767C7" w:rsidRPr="00720C72">
          <w:rPr>
            <w:rStyle w:val="Hipervnculo"/>
            <w:b/>
            <w:color w:val="auto"/>
            <w:u w:val="none"/>
            <w:lang w:val="es-ES"/>
          </w:rPr>
          <w:t>Goebertus</w:t>
        </w:r>
        <w:proofErr w:type="spellEnd"/>
        <w:r w:rsidR="00C767C7" w:rsidRPr="00720C72">
          <w:rPr>
            <w:rStyle w:val="Hipervnculo"/>
            <w:b/>
            <w:color w:val="auto"/>
            <w:u w:val="none"/>
            <w:lang w:val="es-ES"/>
          </w:rPr>
          <w:t xml:space="preserve"> Estrada</w:t>
        </w:r>
      </w:hyperlink>
    </w:p>
    <w:p w:rsidR="00792417" w:rsidRPr="00720C72" w:rsidRDefault="00792417" w:rsidP="00C767C7">
      <w:pPr>
        <w:spacing w:line="276" w:lineRule="auto"/>
        <w:jc w:val="both"/>
        <w:rPr>
          <w:b/>
        </w:rPr>
      </w:pPr>
      <w:r w:rsidRPr="00720C72">
        <w:rPr>
          <w:lang w:val="es-ES"/>
        </w:rPr>
        <w:t>Representante a la Cámara</w:t>
      </w:r>
      <w:r w:rsidR="00C767C7" w:rsidRPr="00720C72">
        <w:rPr>
          <w:b/>
        </w:rPr>
        <w:t xml:space="preserve"> </w:t>
      </w:r>
    </w:p>
    <w:p w:rsidR="00767D9F" w:rsidRPr="00720C72" w:rsidRDefault="00767D9F" w:rsidP="00C767C7">
      <w:pPr>
        <w:spacing w:line="276" w:lineRule="auto"/>
        <w:jc w:val="both"/>
      </w:pPr>
    </w:p>
    <w:p w:rsidR="00767D9F" w:rsidRPr="00720C72" w:rsidRDefault="00767D9F" w:rsidP="00C767C7">
      <w:pPr>
        <w:spacing w:line="276" w:lineRule="auto"/>
        <w:jc w:val="both"/>
      </w:pPr>
    </w:p>
    <w:p w:rsidR="00720C72" w:rsidRPr="00720C72" w:rsidRDefault="00720C72" w:rsidP="00C767C7">
      <w:pPr>
        <w:spacing w:line="276" w:lineRule="auto"/>
        <w:jc w:val="both"/>
      </w:pPr>
    </w:p>
    <w:p w:rsidR="00792417" w:rsidRPr="00720C72" w:rsidRDefault="00F66BC9" w:rsidP="00C767C7">
      <w:pPr>
        <w:spacing w:line="276" w:lineRule="auto"/>
        <w:jc w:val="both"/>
        <w:rPr>
          <w:b/>
        </w:rPr>
      </w:pPr>
      <w:hyperlink r:id="rId15" w:tgtFrame="_blank" w:history="1">
        <w:r w:rsidR="00C767C7" w:rsidRPr="00720C72">
          <w:rPr>
            <w:rStyle w:val="Hipervnculo"/>
            <w:b/>
            <w:color w:val="auto"/>
            <w:u w:val="none"/>
            <w:lang w:val="es-ES"/>
          </w:rPr>
          <w:t xml:space="preserve">Gabriel Jaime Vallejo </w:t>
        </w:r>
        <w:proofErr w:type="spellStart"/>
        <w:r w:rsidR="00C767C7" w:rsidRPr="00720C72">
          <w:rPr>
            <w:rStyle w:val="Hipervnculo"/>
            <w:b/>
            <w:color w:val="auto"/>
            <w:u w:val="none"/>
            <w:lang w:val="es-ES"/>
          </w:rPr>
          <w:t>Chujfi</w:t>
        </w:r>
        <w:proofErr w:type="spellEnd"/>
      </w:hyperlink>
    </w:p>
    <w:p w:rsidR="00C767C7" w:rsidRPr="005C3A5E" w:rsidRDefault="00C767C7" w:rsidP="00C767C7">
      <w:pPr>
        <w:spacing w:line="276" w:lineRule="auto"/>
        <w:jc w:val="both"/>
        <w:rPr>
          <w:b/>
          <w:lang w:val="es-ES"/>
        </w:rPr>
      </w:pPr>
      <w:r w:rsidRPr="00720C72">
        <w:rPr>
          <w:lang w:val="es-ES"/>
        </w:rPr>
        <w:t>Representante a la Cámara</w:t>
      </w:r>
      <w:r w:rsidRPr="005C3A5E">
        <w:rPr>
          <w:lang w:val="es-ES"/>
        </w:rPr>
        <w:t xml:space="preserve">                                        </w:t>
      </w:r>
    </w:p>
    <w:p w:rsidR="00792417" w:rsidRPr="00720C72" w:rsidRDefault="00F66BC9" w:rsidP="00792417">
      <w:pPr>
        <w:spacing w:line="276" w:lineRule="auto"/>
        <w:jc w:val="both"/>
        <w:rPr>
          <w:rStyle w:val="Hipervnculo"/>
          <w:b/>
          <w:color w:val="auto"/>
          <w:u w:val="none"/>
          <w:lang w:val="es-ES"/>
        </w:rPr>
      </w:pPr>
      <w:hyperlink r:id="rId16" w:tgtFrame="_blank" w:history="1">
        <w:r w:rsidR="00792417" w:rsidRPr="00720C72">
          <w:rPr>
            <w:rStyle w:val="Hipervnculo"/>
            <w:b/>
            <w:color w:val="auto"/>
            <w:u w:val="none"/>
            <w:lang w:val="es-ES"/>
          </w:rPr>
          <w:t>Adriana Magali Matiz Vargas</w:t>
        </w:r>
      </w:hyperlink>
    </w:p>
    <w:p w:rsidR="00792417" w:rsidRPr="00720C72" w:rsidRDefault="00792417" w:rsidP="00792417">
      <w:pPr>
        <w:spacing w:line="276" w:lineRule="auto"/>
        <w:jc w:val="both"/>
        <w:rPr>
          <w:b/>
          <w:lang w:val="es-ES"/>
        </w:rPr>
      </w:pPr>
      <w:r w:rsidRPr="00720C72">
        <w:rPr>
          <w:lang w:val="es-ES"/>
        </w:rPr>
        <w:t xml:space="preserve">Representante a la Cámara                                        </w:t>
      </w:r>
      <w:r w:rsidRPr="00720C72">
        <w:rPr>
          <w:b/>
        </w:rPr>
        <w:t xml:space="preserve"> </w:t>
      </w:r>
    </w:p>
    <w:p w:rsidR="00792417" w:rsidRPr="00720C72" w:rsidRDefault="00792417" w:rsidP="00792417">
      <w:pPr>
        <w:spacing w:line="276" w:lineRule="auto"/>
        <w:jc w:val="both"/>
        <w:rPr>
          <w:lang w:val="es-ES"/>
        </w:rPr>
      </w:pPr>
    </w:p>
    <w:p w:rsidR="00792417" w:rsidRPr="00720C72" w:rsidRDefault="00792417" w:rsidP="00792417">
      <w:pPr>
        <w:spacing w:line="276" w:lineRule="auto"/>
        <w:jc w:val="both"/>
        <w:rPr>
          <w:b/>
          <w:lang w:val="es-ES"/>
        </w:rPr>
      </w:pPr>
    </w:p>
    <w:p w:rsidR="00792417" w:rsidRPr="00720C72" w:rsidRDefault="00792417" w:rsidP="00792417">
      <w:pPr>
        <w:spacing w:line="276" w:lineRule="auto"/>
        <w:jc w:val="both"/>
      </w:pPr>
    </w:p>
    <w:p w:rsidR="00792417" w:rsidRPr="00720C72" w:rsidRDefault="00F66BC9" w:rsidP="00792417">
      <w:pPr>
        <w:spacing w:line="276" w:lineRule="auto"/>
        <w:jc w:val="both"/>
        <w:rPr>
          <w:b/>
          <w:lang w:val="es-ES"/>
        </w:rPr>
      </w:pPr>
      <w:hyperlink r:id="rId17" w:tgtFrame="_blank" w:history="1">
        <w:r w:rsidR="00792417" w:rsidRPr="00720C72">
          <w:rPr>
            <w:rStyle w:val="Hipervnculo"/>
            <w:b/>
            <w:color w:val="auto"/>
            <w:u w:val="none"/>
            <w:lang w:val="es-ES"/>
          </w:rPr>
          <w:t>Alfredo Rafael Deluque Zuleta</w:t>
        </w:r>
      </w:hyperlink>
    </w:p>
    <w:p w:rsidR="00792417" w:rsidRPr="00720C72" w:rsidRDefault="00792417" w:rsidP="00792417">
      <w:pPr>
        <w:spacing w:line="276" w:lineRule="auto"/>
        <w:jc w:val="both"/>
        <w:rPr>
          <w:lang w:val="es-ES"/>
        </w:rPr>
      </w:pPr>
      <w:r w:rsidRPr="00720C72">
        <w:rPr>
          <w:lang w:val="es-ES"/>
        </w:rPr>
        <w:t xml:space="preserve">Representante a la Cámara                                        </w:t>
      </w:r>
    </w:p>
    <w:p w:rsidR="00792417" w:rsidRPr="00720C72" w:rsidRDefault="00792417" w:rsidP="00792417">
      <w:pPr>
        <w:spacing w:line="276" w:lineRule="auto"/>
        <w:jc w:val="both"/>
        <w:rPr>
          <w:lang w:val="es-ES"/>
        </w:rPr>
      </w:pPr>
    </w:p>
    <w:p w:rsidR="00792417" w:rsidRPr="00720C72" w:rsidRDefault="00792417" w:rsidP="00792417">
      <w:pPr>
        <w:spacing w:line="276" w:lineRule="auto"/>
        <w:jc w:val="both"/>
        <w:rPr>
          <w:lang w:val="es-ES"/>
        </w:rPr>
      </w:pPr>
    </w:p>
    <w:p w:rsidR="00792417" w:rsidRPr="00720C72" w:rsidRDefault="00792417" w:rsidP="00792417">
      <w:pPr>
        <w:spacing w:line="276" w:lineRule="auto"/>
        <w:jc w:val="both"/>
        <w:rPr>
          <w:lang w:val="es-ES"/>
        </w:rPr>
      </w:pPr>
    </w:p>
    <w:p w:rsidR="00792417" w:rsidRPr="00720C72" w:rsidRDefault="00F66BC9" w:rsidP="00792417">
      <w:pPr>
        <w:spacing w:line="276" w:lineRule="auto"/>
        <w:jc w:val="both"/>
        <w:rPr>
          <w:b/>
        </w:rPr>
      </w:pPr>
      <w:hyperlink r:id="rId18" w:tgtFrame="_blank" w:history="1">
        <w:r w:rsidR="00FA4ACC" w:rsidRPr="00720C72">
          <w:rPr>
            <w:rStyle w:val="Hipervnculo"/>
            <w:b/>
            <w:color w:val="auto"/>
            <w:u w:val="none"/>
            <w:lang w:val="es-ES"/>
          </w:rPr>
          <w:t>Luis Alberto Albá</w:t>
        </w:r>
        <w:r w:rsidR="00792417" w:rsidRPr="00720C72">
          <w:rPr>
            <w:rStyle w:val="Hipervnculo"/>
            <w:b/>
            <w:color w:val="auto"/>
            <w:u w:val="none"/>
            <w:lang w:val="es-ES"/>
          </w:rPr>
          <w:t>n Urbano</w:t>
        </w:r>
      </w:hyperlink>
      <w:r w:rsidR="00792417" w:rsidRPr="00720C72">
        <w:rPr>
          <w:b/>
        </w:rPr>
        <w:t xml:space="preserve">  </w:t>
      </w:r>
    </w:p>
    <w:p w:rsidR="00B03FA5" w:rsidRPr="00720C72" w:rsidRDefault="00B03FA5" w:rsidP="00B03FA5">
      <w:pPr>
        <w:spacing w:line="276" w:lineRule="auto"/>
        <w:jc w:val="both"/>
        <w:rPr>
          <w:b/>
        </w:rPr>
      </w:pPr>
      <w:r w:rsidRPr="00720C72">
        <w:rPr>
          <w:lang w:val="es-ES"/>
        </w:rPr>
        <w:t xml:space="preserve">Representante a la Cámara                                        </w:t>
      </w:r>
    </w:p>
    <w:p w:rsidR="00792417" w:rsidRDefault="00792417" w:rsidP="00792417">
      <w:pPr>
        <w:spacing w:line="276" w:lineRule="auto"/>
        <w:jc w:val="both"/>
        <w:rPr>
          <w:lang w:val="es-ES"/>
        </w:rPr>
      </w:pPr>
    </w:p>
    <w:p w:rsidR="00B03FA5" w:rsidRDefault="00B03FA5" w:rsidP="00792417">
      <w:pPr>
        <w:spacing w:line="276" w:lineRule="auto"/>
        <w:jc w:val="both"/>
        <w:rPr>
          <w:b/>
        </w:rPr>
      </w:pPr>
    </w:p>
    <w:p w:rsidR="00B03FA5" w:rsidRDefault="00B03FA5" w:rsidP="00792417">
      <w:pPr>
        <w:spacing w:line="276" w:lineRule="auto"/>
        <w:jc w:val="both"/>
        <w:rPr>
          <w:b/>
        </w:rPr>
      </w:pPr>
    </w:p>
    <w:p w:rsidR="00792417" w:rsidRPr="00720C72" w:rsidRDefault="00F66BC9" w:rsidP="00792417">
      <w:pPr>
        <w:spacing w:line="276" w:lineRule="auto"/>
        <w:jc w:val="both"/>
        <w:rPr>
          <w:b/>
          <w:lang w:val="es-ES"/>
        </w:rPr>
      </w:pPr>
      <w:hyperlink r:id="rId19" w:tgtFrame="_blank" w:history="1">
        <w:r w:rsidR="00792417" w:rsidRPr="00720C72">
          <w:rPr>
            <w:rStyle w:val="Hipervnculo"/>
            <w:b/>
            <w:color w:val="auto"/>
            <w:u w:val="none"/>
            <w:lang w:val="es-ES"/>
          </w:rPr>
          <w:t>Ángela María Robledo Gómez</w:t>
        </w:r>
      </w:hyperlink>
    </w:p>
    <w:p w:rsidR="00792417" w:rsidRPr="00F620E4" w:rsidRDefault="00792417" w:rsidP="00792417">
      <w:pPr>
        <w:spacing w:line="276" w:lineRule="auto"/>
        <w:jc w:val="both"/>
        <w:rPr>
          <w:lang w:val="es-ES"/>
        </w:rPr>
      </w:pPr>
      <w:r w:rsidRPr="00720C72">
        <w:rPr>
          <w:lang w:val="es-ES"/>
        </w:rPr>
        <w:t>Representante a la Cámara</w:t>
      </w:r>
      <w:r>
        <w:rPr>
          <w:lang w:val="es-ES"/>
        </w:rPr>
        <w:t xml:space="preserve">                                        </w:t>
      </w:r>
    </w:p>
    <w:p w:rsidR="00792417" w:rsidRDefault="00792417" w:rsidP="00792417">
      <w:pPr>
        <w:spacing w:line="276" w:lineRule="auto"/>
        <w:jc w:val="both"/>
      </w:pPr>
    </w:p>
    <w:p w:rsidR="00792417" w:rsidRDefault="00792417" w:rsidP="00792417">
      <w:pPr>
        <w:spacing w:line="276" w:lineRule="auto"/>
        <w:jc w:val="both"/>
      </w:pPr>
    </w:p>
    <w:p w:rsidR="00792417" w:rsidRDefault="00792417" w:rsidP="00792417">
      <w:pPr>
        <w:spacing w:line="276" w:lineRule="auto"/>
        <w:jc w:val="both"/>
      </w:pPr>
    </w:p>
    <w:p w:rsidR="00792417" w:rsidRDefault="00792417" w:rsidP="00792417">
      <w:pPr>
        <w:spacing w:line="276" w:lineRule="auto"/>
        <w:jc w:val="both"/>
      </w:pPr>
    </w:p>
    <w:p w:rsidR="00792417" w:rsidRDefault="00792417" w:rsidP="00C767C7">
      <w:pPr>
        <w:spacing w:line="276" w:lineRule="auto"/>
        <w:jc w:val="both"/>
        <w:rPr>
          <w:lang w:val="es-ES"/>
        </w:rPr>
        <w:sectPr w:rsidR="00792417" w:rsidSect="00792417">
          <w:type w:val="continuous"/>
          <w:pgSz w:w="12240" w:h="15840"/>
          <w:pgMar w:top="2268" w:right="1701" w:bottom="1418" w:left="1701" w:header="709" w:footer="709" w:gutter="0"/>
          <w:cols w:num="2" w:space="708"/>
          <w:docGrid w:linePitch="360"/>
        </w:sectPr>
      </w:pPr>
    </w:p>
    <w:p w:rsidR="00720C72" w:rsidRDefault="00720C72" w:rsidP="00B03FA5">
      <w:pPr>
        <w:spacing w:line="276" w:lineRule="auto"/>
        <w:rPr>
          <w:b/>
          <w:color w:val="000000"/>
        </w:rPr>
      </w:pPr>
    </w:p>
    <w:p w:rsidR="00F66BC9" w:rsidRDefault="00F66BC9" w:rsidP="00397428">
      <w:pPr>
        <w:spacing w:line="276" w:lineRule="auto"/>
        <w:jc w:val="center"/>
        <w:rPr>
          <w:b/>
          <w:color w:val="000000"/>
        </w:rPr>
      </w:pPr>
    </w:p>
    <w:p w:rsidR="00B03FA5" w:rsidRDefault="00B03FA5" w:rsidP="00397428">
      <w:pPr>
        <w:spacing w:line="276" w:lineRule="auto"/>
        <w:jc w:val="center"/>
        <w:rPr>
          <w:b/>
          <w:color w:val="000000"/>
        </w:rPr>
      </w:pPr>
    </w:p>
    <w:p w:rsidR="00B03FA5" w:rsidRDefault="00B03FA5" w:rsidP="00397428">
      <w:pPr>
        <w:spacing w:line="276" w:lineRule="auto"/>
        <w:jc w:val="center"/>
        <w:rPr>
          <w:b/>
          <w:color w:val="000000"/>
        </w:rPr>
      </w:pPr>
    </w:p>
    <w:p w:rsidR="006A453E" w:rsidRPr="00F620E4" w:rsidRDefault="00C035E2" w:rsidP="00397428">
      <w:pPr>
        <w:spacing w:line="276" w:lineRule="auto"/>
        <w:jc w:val="center"/>
        <w:rPr>
          <w:b/>
          <w:color w:val="000000"/>
        </w:rPr>
      </w:pPr>
      <w:r w:rsidRPr="00F620E4">
        <w:rPr>
          <w:b/>
          <w:color w:val="000000"/>
        </w:rPr>
        <w:t>TEXTO PROPUESTO PA</w:t>
      </w:r>
      <w:r w:rsidR="000F3C2F">
        <w:rPr>
          <w:b/>
          <w:color w:val="000000"/>
        </w:rPr>
        <w:t xml:space="preserve">RA </w:t>
      </w:r>
      <w:r w:rsidR="00B03FA5">
        <w:rPr>
          <w:b/>
          <w:color w:val="000000"/>
        </w:rPr>
        <w:t>SEGUNDO</w:t>
      </w:r>
      <w:r w:rsidR="000F3C2F">
        <w:rPr>
          <w:b/>
          <w:color w:val="000000"/>
        </w:rPr>
        <w:t xml:space="preserve"> DEBATE PROYECTO DE</w:t>
      </w:r>
      <w:r w:rsidR="00954D1F">
        <w:rPr>
          <w:b/>
          <w:color w:val="000000"/>
        </w:rPr>
        <w:t>L PROYECTO DE</w:t>
      </w:r>
      <w:r w:rsidR="000F3C2F">
        <w:rPr>
          <w:b/>
          <w:color w:val="000000"/>
        </w:rPr>
        <w:t xml:space="preserve"> ACTO LEGISLATIVO</w:t>
      </w:r>
      <w:r w:rsidRPr="00F620E4">
        <w:rPr>
          <w:b/>
          <w:color w:val="000000"/>
        </w:rPr>
        <w:t xml:space="preserve"> NO.</w:t>
      </w:r>
      <w:r w:rsidRPr="00F620E4">
        <w:rPr>
          <w:b/>
          <w:lang w:val="es-ES_tradnl" w:bidi="ar-YE"/>
        </w:rPr>
        <w:t xml:space="preserve"> </w:t>
      </w:r>
      <w:r w:rsidR="000F3C2F">
        <w:rPr>
          <w:b/>
          <w:lang w:val="es-ES_tradnl" w:bidi="ar-YE"/>
        </w:rPr>
        <w:t xml:space="preserve">234 DE 2018 CAMARA - </w:t>
      </w:r>
      <w:r w:rsidRPr="00F620E4">
        <w:rPr>
          <w:b/>
          <w:lang w:val="es-ES_tradnl" w:bidi="ar-YE"/>
        </w:rPr>
        <w:t>0</w:t>
      </w:r>
      <w:r w:rsidR="00430D9A">
        <w:rPr>
          <w:b/>
          <w:lang w:val="es-ES_tradnl" w:bidi="ar-YE"/>
        </w:rPr>
        <w:t>6</w:t>
      </w:r>
      <w:r w:rsidRPr="00F620E4">
        <w:rPr>
          <w:b/>
          <w:lang w:val="es-ES_tradnl" w:bidi="ar-YE"/>
        </w:rPr>
        <w:t xml:space="preserve"> DE 2018 </w:t>
      </w:r>
      <w:r w:rsidR="00430D9A">
        <w:rPr>
          <w:b/>
          <w:lang w:val="es-ES_tradnl" w:bidi="ar-YE"/>
        </w:rPr>
        <w:t>SENADO</w:t>
      </w:r>
      <w:r w:rsidRPr="00F620E4">
        <w:rPr>
          <w:b/>
          <w:lang w:val="es-ES_tradnl" w:bidi="ar-YE"/>
        </w:rPr>
        <w:t xml:space="preserve"> </w:t>
      </w:r>
    </w:p>
    <w:p w:rsidR="00C035E2" w:rsidRPr="00F620E4" w:rsidRDefault="00C035E2" w:rsidP="00397428">
      <w:pPr>
        <w:spacing w:line="276" w:lineRule="auto"/>
        <w:jc w:val="center"/>
        <w:rPr>
          <w:b/>
          <w:color w:val="000000"/>
        </w:rPr>
      </w:pPr>
    </w:p>
    <w:p w:rsidR="00C035E2" w:rsidRPr="00430D9A" w:rsidRDefault="00430D9A" w:rsidP="003D0280">
      <w:pPr>
        <w:spacing w:line="276" w:lineRule="auto"/>
        <w:jc w:val="center"/>
        <w:rPr>
          <w:b/>
          <w:color w:val="000000"/>
        </w:rPr>
      </w:pPr>
      <w:r w:rsidRPr="00430D9A">
        <w:rPr>
          <w:b/>
          <w:color w:val="000000"/>
        </w:rPr>
        <w:t>“POR EL CUAL SE INCLUYE EL ARTÍCULO 11 A DENTRO DEL CAPÍTULO I DEL TÍTULO II DE LA CONSTITUCIÓN POLÍTICA DE COLOMBIA”</w:t>
      </w:r>
    </w:p>
    <w:p w:rsidR="00430D9A" w:rsidRDefault="00430D9A" w:rsidP="003D0280">
      <w:pPr>
        <w:spacing w:line="276" w:lineRule="auto"/>
        <w:jc w:val="center"/>
        <w:rPr>
          <w:color w:val="000000"/>
        </w:rPr>
      </w:pPr>
    </w:p>
    <w:p w:rsidR="003D0280" w:rsidRPr="00F620E4" w:rsidRDefault="003D0280" w:rsidP="003D0280">
      <w:pPr>
        <w:spacing w:line="276" w:lineRule="auto"/>
        <w:jc w:val="center"/>
        <w:rPr>
          <w:color w:val="000000"/>
        </w:rPr>
      </w:pPr>
      <w:r w:rsidRPr="00F620E4">
        <w:rPr>
          <w:color w:val="000000"/>
        </w:rPr>
        <w:t>El Congreso de Colombia</w:t>
      </w:r>
    </w:p>
    <w:p w:rsidR="00C035E2" w:rsidRDefault="003D0280" w:rsidP="00805818">
      <w:pPr>
        <w:spacing w:line="276" w:lineRule="auto"/>
        <w:jc w:val="center"/>
        <w:rPr>
          <w:color w:val="000000"/>
        </w:rPr>
      </w:pPr>
      <w:r w:rsidRPr="00F620E4">
        <w:rPr>
          <w:color w:val="000000"/>
        </w:rPr>
        <w:t>DECRETA:</w:t>
      </w:r>
    </w:p>
    <w:p w:rsidR="00430D9A" w:rsidRPr="00430D9A" w:rsidRDefault="00430D9A" w:rsidP="00805818">
      <w:pPr>
        <w:spacing w:line="276" w:lineRule="auto"/>
        <w:jc w:val="center"/>
        <w:rPr>
          <w:color w:val="000000"/>
          <w:sz w:val="32"/>
        </w:rPr>
      </w:pPr>
    </w:p>
    <w:p w:rsidR="008373BC" w:rsidRPr="00430D9A" w:rsidRDefault="008373BC" w:rsidP="008373BC">
      <w:pPr>
        <w:widowControl w:val="0"/>
        <w:jc w:val="both"/>
        <w:rPr>
          <w:color w:val="000000"/>
          <w:szCs w:val="20"/>
          <w:lang w:eastAsia="es-CO"/>
        </w:rPr>
      </w:pPr>
      <w:r w:rsidRPr="00430D9A">
        <w:rPr>
          <w:b/>
          <w:color w:val="000000"/>
          <w:szCs w:val="20"/>
        </w:rPr>
        <w:t>Artículo 1°.</w:t>
      </w:r>
      <w:r w:rsidRPr="00430D9A">
        <w:rPr>
          <w:rFonts w:ascii="Arial" w:eastAsia="Arial" w:hAnsi="Arial" w:cs="Arial"/>
          <w:color w:val="000000"/>
          <w:sz w:val="32"/>
        </w:rPr>
        <w:t xml:space="preserve"> </w:t>
      </w:r>
      <w:r w:rsidRPr="00430D9A">
        <w:rPr>
          <w:color w:val="000000"/>
          <w:szCs w:val="20"/>
        </w:rPr>
        <w:t>Inclúyase el Artículo 11-A dentro del Capítulo I del Título II de la Constitución, el cual quedará así:</w:t>
      </w:r>
    </w:p>
    <w:p w:rsidR="008373BC" w:rsidRPr="00430D9A" w:rsidRDefault="008373BC" w:rsidP="008373BC">
      <w:pPr>
        <w:widowControl w:val="0"/>
        <w:jc w:val="both"/>
        <w:rPr>
          <w:b/>
          <w:color w:val="000000"/>
          <w:szCs w:val="20"/>
        </w:rPr>
      </w:pPr>
    </w:p>
    <w:p w:rsidR="008373BC" w:rsidRDefault="008373BC" w:rsidP="008373BC">
      <w:pPr>
        <w:spacing w:line="276" w:lineRule="auto"/>
        <w:jc w:val="both"/>
        <w:rPr>
          <w:szCs w:val="20"/>
        </w:rPr>
      </w:pPr>
      <w:r w:rsidRPr="00430D9A">
        <w:rPr>
          <w:b/>
          <w:szCs w:val="20"/>
        </w:rPr>
        <w:t>Artículo 11 A.</w:t>
      </w:r>
      <w:r w:rsidRPr="00430D9A">
        <w:rPr>
          <w:szCs w:val="20"/>
        </w:rPr>
        <w:t xml:space="preserve"> Toda persona en el territorio n</w:t>
      </w:r>
      <w:r>
        <w:rPr>
          <w:szCs w:val="20"/>
        </w:rPr>
        <w:t xml:space="preserve">acional tiene </w:t>
      </w:r>
      <w:r w:rsidRPr="00BF64AE">
        <w:rPr>
          <w:szCs w:val="20"/>
        </w:rPr>
        <w:t xml:space="preserve">derecho al agua, en condiciones de accesibilidad, calidad y disponibilidad, conforme a los principios de progresividad y </w:t>
      </w:r>
      <w:r w:rsidRPr="008373BC">
        <w:rPr>
          <w:szCs w:val="20"/>
        </w:rPr>
        <w:t>sostenibilidad fiscal priorizando las zonas rurales dispersas y los municipios no abastecidos.</w:t>
      </w:r>
      <w:r w:rsidRPr="00BF64AE">
        <w:rPr>
          <w:szCs w:val="20"/>
        </w:rPr>
        <w:t xml:space="preserve"> Su uso prioritario es el consumo humano sin detrimento de su función ecológica, para lo cual el Estado garantizará la conservación</w:t>
      </w:r>
      <w:r w:rsidRPr="00430D9A">
        <w:rPr>
          <w:szCs w:val="20"/>
        </w:rPr>
        <w:t>, protección y uso eficiente del recurso hídrico conforme al principio de participación en materia ambiental.</w:t>
      </w:r>
    </w:p>
    <w:p w:rsidR="008373BC" w:rsidRDefault="008373BC" w:rsidP="008373BC">
      <w:pPr>
        <w:spacing w:line="276" w:lineRule="auto"/>
        <w:jc w:val="both"/>
        <w:rPr>
          <w:szCs w:val="20"/>
        </w:rPr>
      </w:pPr>
    </w:p>
    <w:p w:rsidR="008373BC" w:rsidRPr="008373BC" w:rsidRDefault="008373BC" w:rsidP="008373BC">
      <w:pPr>
        <w:spacing w:line="276" w:lineRule="auto"/>
        <w:jc w:val="both"/>
        <w:rPr>
          <w:szCs w:val="20"/>
        </w:rPr>
      </w:pPr>
      <w:r w:rsidRPr="008373BC">
        <w:rPr>
          <w:szCs w:val="20"/>
        </w:rPr>
        <w:t>Establézcase régimen de participación a título de compensación, a los municipios p</w:t>
      </w:r>
      <w:r w:rsidR="00B03FA5">
        <w:rPr>
          <w:szCs w:val="20"/>
        </w:rPr>
        <w:t>roductores de fuentes hídri</w:t>
      </w:r>
      <w:bookmarkStart w:id="21" w:name="_GoBack"/>
      <w:bookmarkEnd w:id="21"/>
      <w:r w:rsidR="00B03FA5">
        <w:rPr>
          <w:szCs w:val="20"/>
        </w:rPr>
        <w:t>cas.</w:t>
      </w:r>
    </w:p>
    <w:p w:rsidR="008373BC" w:rsidRPr="00B73AD5" w:rsidRDefault="008373BC" w:rsidP="008373BC">
      <w:pPr>
        <w:spacing w:line="276" w:lineRule="auto"/>
        <w:jc w:val="both"/>
        <w:rPr>
          <w:szCs w:val="20"/>
          <w:u w:val="single"/>
        </w:rPr>
      </w:pPr>
    </w:p>
    <w:p w:rsidR="00397428" w:rsidRPr="00430D9A" w:rsidRDefault="008373BC" w:rsidP="008373BC">
      <w:pPr>
        <w:spacing w:line="276" w:lineRule="auto"/>
        <w:jc w:val="both"/>
        <w:rPr>
          <w:iCs/>
        </w:rPr>
      </w:pPr>
      <w:r w:rsidRPr="001D79A0">
        <w:rPr>
          <w:b/>
          <w:iCs/>
        </w:rPr>
        <w:t>Artículo 2°.</w:t>
      </w:r>
      <w:r w:rsidRPr="001D79A0">
        <w:rPr>
          <w:iCs/>
        </w:rPr>
        <w:t xml:space="preserve">  El presente Acto legislativo rige a partir de su promulgación y deroga todas las normas que le sean contrarias</w:t>
      </w:r>
      <w:r w:rsidR="00430D9A" w:rsidRPr="00430D9A">
        <w:rPr>
          <w:iCs/>
        </w:rPr>
        <w:t>.</w:t>
      </w:r>
    </w:p>
    <w:p w:rsidR="00B03FA5" w:rsidRPr="00F620E4" w:rsidRDefault="00B03FA5" w:rsidP="00397428">
      <w:pPr>
        <w:spacing w:line="276" w:lineRule="auto"/>
        <w:jc w:val="both"/>
        <w:rPr>
          <w:b/>
        </w:rPr>
      </w:pPr>
    </w:p>
    <w:p w:rsidR="00397428" w:rsidRPr="00F620E4" w:rsidRDefault="006A453E" w:rsidP="00397428">
      <w:pPr>
        <w:spacing w:line="276" w:lineRule="auto"/>
        <w:jc w:val="both"/>
      </w:pPr>
      <w:r w:rsidRPr="00F620E4">
        <w:t>Cordialmente,</w:t>
      </w:r>
    </w:p>
    <w:p w:rsidR="006A453E" w:rsidRDefault="006A453E" w:rsidP="00397428">
      <w:pPr>
        <w:spacing w:line="276" w:lineRule="auto"/>
        <w:jc w:val="both"/>
        <w:rPr>
          <w:b/>
        </w:rPr>
      </w:pPr>
    </w:p>
    <w:p w:rsidR="00954D1F" w:rsidRDefault="00954D1F" w:rsidP="000F3C2F">
      <w:pPr>
        <w:spacing w:line="276" w:lineRule="auto"/>
        <w:jc w:val="both"/>
        <w:rPr>
          <w:b/>
        </w:rPr>
      </w:pPr>
    </w:p>
    <w:p w:rsidR="00954D1F" w:rsidRDefault="00954D1F" w:rsidP="000F3C2F">
      <w:pPr>
        <w:spacing w:line="276" w:lineRule="auto"/>
        <w:jc w:val="both"/>
        <w:rPr>
          <w:b/>
        </w:rPr>
      </w:pPr>
    </w:p>
    <w:p w:rsidR="00954D1F" w:rsidRDefault="00954D1F" w:rsidP="000F3C2F">
      <w:pPr>
        <w:spacing w:line="276" w:lineRule="auto"/>
        <w:jc w:val="both"/>
        <w:sectPr w:rsidR="00954D1F" w:rsidSect="00792417">
          <w:type w:val="continuous"/>
          <w:pgSz w:w="12240" w:h="15840"/>
          <w:pgMar w:top="2268" w:right="1701" w:bottom="1418" w:left="1701" w:header="709" w:footer="709" w:gutter="0"/>
          <w:cols w:space="708"/>
          <w:docGrid w:linePitch="360"/>
        </w:sectPr>
      </w:pPr>
    </w:p>
    <w:p w:rsidR="000F3C2F" w:rsidRDefault="00F66BC9" w:rsidP="000F3C2F">
      <w:pPr>
        <w:spacing w:line="276" w:lineRule="auto"/>
        <w:jc w:val="both"/>
        <w:rPr>
          <w:lang w:val="es-ES"/>
        </w:rPr>
      </w:pPr>
      <w:hyperlink r:id="rId20" w:tgtFrame="_blank" w:history="1">
        <w:r w:rsidR="000F3C2F" w:rsidRPr="00C767C7">
          <w:rPr>
            <w:rStyle w:val="Hipervnculo"/>
            <w:b/>
            <w:color w:val="auto"/>
            <w:u w:val="none"/>
            <w:lang w:val="es-ES"/>
          </w:rPr>
          <w:t>Harry Giovanny González García</w:t>
        </w:r>
      </w:hyperlink>
      <w:r w:rsidR="000F3C2F">
        <w:rPr>
          <w:rStyle w:val="Hipervnculo"/>
          <w:b/>
          <w:color w:val="auto"/>
          <w:u w:val="none"/>
          <w:lang w:val="es-ES"/>
        </w:rPr>
        <w:t xml:space="preserve"> - C</w:t>
      </w:r>
      <w:r w:rsidR="000F3C2F" w:rsidRPr="00F620E4">
        <w:t xml:space="preserve">              </w:t>
      </w:r>
      <w:r w:rsidR="000F3C2F">
        <w:rPr>
          <w:lang w:val="es-ES"/>
        </w:rPr>
        <w:t xml:space="preserve">     </w:t>
      </w:r>
    </w:p>
    <w:p w:rsidR="000F3C2F" w:rsidRDefault="000F3C2F" w:rsidP="000F3C2F">
      <w:pPr>
        <w:spacing w:line="276" w:lineRule="auto"/>
        <w:jc w:val="both"/>
        <w:rPr>
          <w:lang w:val="es-ES"/>
        </w:rPr>
      </w:pPr>
      <w:r>
        <w:rPr>
          <w:lang w:val="es-ES"/>
        </w:rPr>
        <w:t xml:space="preserve">Representante a la Cámara                                        </w:t>
      </w:r>
    </w:p>
    <w:p w:rsidR="00E44E52" w:rsidRDefault="00E44E52" w:rsidP="000F3C2F">
      <w:pPr>
        <w:spacing w:line="276" w:lineRule="auto"/>
        <w:jc w:val="both"/>
        <w:rPr>
          <w:lang w:val="es-ES"/>
        </w:rPr>
      </w:pPr>
    </w:p>
    <w:p w:rsidR="00954D1F" w:rsidRDefault="00954D1F" w:rsidP="000F3C2F">
      <w:pPr>
        <w:spacing w:line="276" w:lineRule="auto"/>
        <w:jc w:val="both"/>
        <w:rPr>
          <w:lang w:val="es-ES"/>
        </w:rPr>
      </w:pPr>
    </w:p>
    <w:p w:rsidR="00B03FA5" w:rsidRDefault="00B03FA5" w:rsidP="000F3C2F">
      <w:pPr>
        <w:spacing w:line="276" w:lineRule="auto"/>
        <w:jc w:val="both"/>
        <w:rPr>
          <w:lang w:val="es-ES"/>
        </w:rPr>
      </w:pPr>
    </w:p>
    <w:p w:rsidR="000F3C2F" w:rsidRPr="00F620E4" w:rsidRDefault="00F66BC9" w:rsidP="000F3C2F">
      <w:pPr>
        <w:spacing w:line="276" w:lineRule="auto"/>
        <w:jc w:val="both"/>
        <w:rPr>
          <w:lang w:val="es-ES"/>
        </w:rPr>
      </w:pPr>
      <w:hyperlink r:id="rId21" w:tgtFrame="_blank" w:history="1">
        <w:r w:rsidR="000F3C2F" w:rsidRPr="00C767C7">
          <w:rPr>
            <w:rStyle w:val="Hipervnculo"/>
            <w:b/>
            <w:color w:val="auto"/>
            <w:u w:val="none"/>
            <w:lang w:val="es-ES"/>
          </w:rPr>
          <w:t>Jorge Méndez Hernández</w:t>
        </w:r>
      </w:hyperlink>
      <w:r w:rsidR="000F3C2F">
        <w:rPr>
          <w:rStyle w:val="Hipervnculo"/>
          <w:b/>
          <w:color w:val="auto"/>
          <w:u w:val="none"/>
          <w:lang w:val="es-ES"/>
        </w:rPr>
        <w:t xml:space="preserve"> – C </w:t>
      </w:r>
    </w:p>
    <w:p w:rsidR="000F3C2F" w:rsidRPr="00F620E4" w:rsidRDefault="000F3C2F" w:rsidP="000F3C2F">
      <w:pPr>
        <w:spacing w:line="276" w:lineRule="auto"/>
        <w:jc w:val="both"/>
        <w:rPr>
          <w:lang w:val="es-ES"/>
        </w:rPr>
      </w:pPr>
      <w:r>
        <w:rPr>
          <w:lang w:val="es-ES"/>
        </w:rPr>
        <w:t xml:space="preserve">Representante a la Cámara                                        </w:t>
      </w:r>
    </w:p>
    <w:p w:rsidR="000F3C2F" w:rsidRPr="00C767C7" w:rsidRDefault="00F66BC9" w:rsidP="000F3C2F">
      <w:pPr>
        <w:spacing w:line="276" w:lineRule="auto"/>
        <w:jc w:val="both"/>
        <w:rPr>
          <w:b/>
          <w:lang w:val="es-ES"/>
        </w:rPr>
      </w:pPr>
      <w:hyperlink r:id="rId22" w:tgtFrame="_blank" w:history="1">
        <w:r w:rsidR="000F3C2F" w:rsidRPr="00C767C7">
          <w:rPr>
            <w:rStyle w:val="Hipervnculo"/>
            <w:b/>
            <w:color w:val="auto"/>
            <w:u w:val="none"/>
            <w:lang w:val="es-ES"/>
          </w:rPr>
          <w:t>Carlos German Navas Talero</w:t>
        </w:r>
      </w:hyperlink>
      <w:r w:rsidR="000F3C2F">
        <w:rPr>
          <w:rStyle w:val="Hipervnculo"/>
          <w:b/>
          <w:color w:val="auto"/>
          <w:u w:val="none"/>
          <w:lang w:val="es-ES"/>
        </w:rPr>
        <w:t xml:space="preserve"> - C</w:t>
      </w:r>
    </w:p>
    <w:p w:rsidR="000F3C2F" w:rsidRDefault="000F3C2F" w:rsidP="000F3C2F">
      <w:pPr>
        <w:spacing w:line="276" w:lineRule="auto"/>
        <w:jc w:val="both"/>
      </w:pPr>
      <w:r>
        <w:rPr>
          <w:lang w:val="es-ES"/>
        </w:rPr>
        <w:t xml:space="preserve">Representante a la Cámara                                        </w:t>
      </w:r>
    </w:p>
    <w:p w:rsidR="00E44E52" w:rsidRDefault="00E44E52" w:rsidP="000F3C2F">
      <w:pPr>
        <w:spacing w:line="276" w:lineRule="auto"/>
        <w:jc w:val="both"/>
      </w:pPr>
    </w:p>
    <w:p w:rsidR="00E44E52" w:rsidRDefault="00E44E52" w:rsidP="000F3C2F">
      <w:pPr>
        <w:spacing w:line="276" w:lineRule="auto"/>
        <w:jc w:val="both"/>
      </w:pPr>
    </w:p>
    <w:p w:rsidR="00B03FA5" w:rsidRDefault="00B03FA5" w:rsidP="000F3C2F">
      <w:pPr>
        <w:spacing w:line="276" w:lineRule="auto"/>
        <w:jc w:val="both"/>
      </w:pPr>
    </w:p>
    <w:p w:rsidR="000F3C2F" w:rsidRDefault="00F66BC9" w:rsidP="000F3C2F">
      <w:pPr>
        <w:spacing w:line="276" w:lineRule="auto"/>
        <w:jc w:val="both"/>
        <w:rPr>
          <w:rStyle w:val="Hipervnculo"/>
          <w:b/>
          <w:color w:val="auto"/>
          <w:u w:val="none"/>
          <w:lang w:val="es-ES"/>
        </w:rPr>
      </w:pPr>
      <w:hyperlink r:id="rId23" w:tgtFrame="_blank" w:history="1">
        <w:r w:rsidR="000F3C2F" w:rsidRPr="00C767C7">
          <w:rPr>
            <w:rStyle w:val="Hipervnculo"/>
            <w:b/>
            <w:color w:val="auto"/>
            <w:u w:val="none"/>
            <w:lang w:val="es-ES"/>
          </w:rPr>
          <w:t xml:space="preserve">Juanita María </w:t>
        </w:r>
        <w:proofErr w:type="spellStart"/>
        <w:r w:rsidR="000F3C2F" w:rsidRPr="00C767C7">
          <w:rPr>
            <w:rStyle w:val="Hipervnculo"/>
            <w:b/>
            <w:color w:val="auto"/>
            <w:u w:val="none"/>
            <w:lang w:val="es-ES"/>
          </w:rPr>
          <w:t>Goebertus</w:t>
        </w:r>
        <w:proofErr w:type="spellEnd"/>
        <w:r w:rsidR="000F3C2F" w:rsidRPr="00C767C7">
          <w:rPr>
            <w:rStyle w:val="Hipervnculo"/>
            <w:b/>
            <w:color w:val="auto"/>
            <w:u w:val="none"/>
            <w:lang w:val="es-ES"/>
          </w:rPr>
          <w:t xml:space="preserve"> Estrada</w:t>
        </w:r>
      </w:hyperlink>
    </w:p>
    <w:p w:rsidR="000F3C2F" w:rsidRDefault="000F3C2F" w:rsidP="000F3C2F">
      <w:pPr>
        <w:spacing w:line="276" w:lineRule="auto"/>
        <w:jc w:val="both"/>
        <w:rPr>
          <w:b/>
        </w:rPr>
      </w:pPr>
      <w:r>
        <w:rPr>
          <w:lang w:val="es-ES"/>
        </w:rPr>
        <w:t>Representante a la Cámara</w:t>
      </w:r>
      <w:r w:rsidRPr="00C767C7">
        <w:rPr>
          <w:b/>
        </w:rPr>
        <w:t xml:space="preserve"> </w:t>
      </w:r>
    </w:p>
    <w:p w:rsidR="000F3C2F" w:rsidRDefault="000F3C2F" w:rsidP="000F3C2F">
      <w:pPr>
        <w:spacing w:line="276" w:lineRule="auto"/>
        <w:jc w:val="both"/>
        <w:rPr>
          <w:b/>
        </w:rPr>
      </w:pPr>
    </w:p>
    <w:p w:rsidR="001D79A0" w:rsidRDefault="001D79A0" w:rsidP="000F3C2F">
      <w:pPr>
        <w:spacing w:line="276" w:lineRule="auto"/>
        <w:jc w:val="both"/>
      </w:pPr>
    </w:p>
    <w:p w:rsidR="00B03FA5" w:rsidRDefault="00B03FA5" w:rsidP="000F3C2F">
      <w:pPr>
        <w:spacing w:line="276" w:lineRule="auto"/>
        <w:jc w:val="both"/>
      </w:pPr>
    </w:p>
    <w:p w:rsidR="000F3C2F" w:rsidRPr="00792417" w:rsidRDefault="00F66BC9" w:rsidP="000F3C2F">
      <w:pPr>
        <w:spacing w:line="276" w:lineRule="auto"/>
        <w:jc w:val="both"/>
        <w:rPr>
          <w:b/>
        </w:rPr>
      </w:pPr>
      <w:hyperlink r:id="rId24" w:tgtFrame="_blank" w:history="1">
        <w:r w:rsidR="000F3C2F" w:rsidRPr="00C767C7">
          <w:rPr>
            <w:rStyle w:val="Hipervnculo"/>
            <w:b/>
            <w:color w:val="auto"/>
            <w:u w:val="none"/>
            <w:lang w:val="es-ES"/>
          </w:rPr>
          <w:t xml:space="preserve">Gabriel Jaime Vallejo </w:t>
        </w:r>
        <w:proofErr w:type="spellStart"/>
        <w:r w:rsidR="000F3C2F" w:rsidRPr="00C767C7">
          <w:rPr>
            <w:rStyle w:val="Hipervnculo"/>
            <w:b/>
            <w:color w:val="auto"/>
            <w:u w:val="none"/>
            <w:lang w:val="es-ES"/>
          </w:rPr>
          <w:t>Chujfi</w:t>
        </w:r>
        <w:proofErr w:type="spellEnd"/>
      </w:hyperlink>
    </w:p>
    <w:p w:rsidR="000F3C2F" w:rsidRPr="00792417" w:rsidRDefault="000F3C2F" w:rsidP="000F3C2F">
      <w:pPr>
        <w:spacing w:line="276" w:lineRule="auto"/>
        <w:jc w:val="both"/>
        <w:rPr>
          <w:b/>
          <w:lang w:val="es-ES"/>
        </w:rPr>
      </w:pPr>
      <w:r>
        <w:rPr>
          <w:lang w:val="es-ES"/>
        </w:rPr>
        <w:t xml:space="preserve">Representante a la Cámara                                        </w:t>
      </w:r>
    </w:p>
    <w:p w:rsidR="000F3C2F" w:rsidRDefault="000F3C2F" w:rsidP="000F3C2F">
      <w:pPr>
        <w:spacing w:line="276" w:lineRule="auto"/>
        <w:jc w:val="both"/>
      </w:pPr>
    </w:p>
    <w:p w:rsidR="00E44E52" w:rsidRDefault="00E44E52" w:rsidP="000F3C2F">
      <w:pPr>
        <w:spacing w:line="276" w:lineRule="auto"/>
        <w:jc w:val="both"/>
      </w:pPr>
    </w:p>
    <w:p w:rsidR="00B03FA5" w:rsidRDefault="00B03FA5" w:rsidP="000F3C2F">
      <w:pPr>
        <w:spacing w:line="276" w:lineRule="auto"/>
        <w:jc w:val="both"/>
      </w:pPr>
    </w:p>
    <w:p w:rsidR="000F3C2F" w:rsidRDefault="00F66BC9" w:rsidP="000F3C2F">
      <w:pPr>
        <w:spacing w:line="276" w:lineRule="auto"/>
        <w:jc w:val="both"/>
        <w:rPr>
          <w:rStyle w:val="Hipervnculo"/>
          <w:b/>
          <w:color w:val="auto"/>
          <w:u w:val="none"/>
          <w:lang w:val="es-ES"/>
        </w:rPr>
      </w:pPr>
      <w:hyperlink r:id="rId25" w:tgtFrame="_blank" w:history="1">
        <w:r w:rsidR="000F3C2F" w:rsidRPr="00C767C7">
          <w:rPr>
            <w:rStyle w:val="Hipervnculo"/>
            <w:b/>
            <w:color w:val="auto"/>
            <w:u w:val="none"/>
            <w:lang w:val="es-ES"/>
          </w:rPr>
          <w:t>Adriana Magali Matiz Vargas</w:t>
        </w:r>
      </w:hyperlink>
    </w:p>
    <w:p w:rsidR="000F3C2F" w:rsidRDefault="000F3C2F" w:rsidP="000F3C2F">
      <w:pPr>
        <w:spacing w:line="276" w:lineRule="auto"/>
        <w:jc w:val="both"/>
        <w:rPr>
          <w:b/>
          <w:lang w:val="es-ES"/>
        </w:rPr>
      </w:pPr>
      <w:r>
        <w:rPr>
          <w:lang w:val="es-ES"/>
        </w:rPr>
        <w:t xml:space="preserve">Representante a la Cámara                                        </w:t>
      </w:r>
      <w:r w:rsidRPr="00C767C7">
        <w:rPr>
          <w:b/>
        </w:rPr>
        <w:t xml:space="preserve"> </w:t>
      </w:r>
    </w:p>
    <w:p w:rsidR="000F3C2F" w:rsidRDefault="000F3C2F" w:rsidP="000F3C2F">
      <w:pPr>
        <w:spacing w:line="276" w:lineRule="auto"/>
        <w:jc w:val="both"/>
        <w:rPr>
          <w:lang w:val="es-ES"/>
        </w:rPr>
      </w:pPr>
    </w:p>
    <w:p w:rsidR="000F3C2F" w:rsidRDefault="000F3C2F" w:rsidP="000F3C2F">
      <w:pPr>
        <w:spacing w:line="276" w:lineRule="auto"/>
        <w:jc w:val="both"/>
      </w:pPr>
    </w:p>
    <w:p w:rsidR="00B03FA5" w:rsidRDefault="00B03FA5" w:rsidP="000F3C2F">
      <w:pPr>
        <w:spacing w:line="276" w:lineRule="auto"/>
        <w:jc w:val="both"/>
      </w:pPr>
    </w:p>
    <w:p w:rsidR="000F3C2F" w:rsidRPr="00C767C7" w:rsidRDefault="00F66BC9" w:rsidP="000F3C2F">
      <w:pPr>
        <w:spacing w:line="276" w:lineRule="auto"/>
        <w:jc w:val="both"/>
        <w:rPr>
          <w:b/>
          <w:lang w:val="es-ES"/>
        </w:rPr>
      </w:pPr>
      <w:hyperlink r:id="rId26" w:tgtFrame="_blank" w:history="1">
        <w:r w:rsidR="000F3C2F" w:rsidRPr="00C767C7">
          <w:rPr>
            <w:rStyle w:val="Hipervnculo"/>
            <w:b/>
            <w:color w:val="auto"/>
            <w:u w:val="none"/>
            <w:lang w:val="es-ES"/>
          </w:rPr>
          <w:t>Alfredo Rafael Deluque Zuleta</w:t>
        </w:r>
      </w:hyperlink>
    </w:p>
    <w:p w:rsidR="000F3C2F" w:rsidRPr="00F620E4" w:rsidRDefault="000F3C2F" w:rsidP="000F3C2F">
      <w:pPr>
        <w:spacing w:line="276" w:lineRule="auto"/>
        <w:jc w:val="both"/>
        <w:rPr>
          <w:lang w:val="es-ES"/>
        </w:rPr>
      </w:pPr>
      <w:r>
        <w:rPr>
          <w:lang w:val="es-ES"/>
        </w:rPr>
        <w:t xml:space="preserve">Representante a la Cámara                                        </w:t>
      </w:r>
    </w:p>
    <w:p w:rsidR="000F3C2F" w:rsidRDefault="000F3C2F" w:rsidP="000F3C2F">
      <w:pPr>
        <w:spacing w:line="276" w:lineRule="auto"/>
        <w:jc w:val="both"/>
        <w:rPr>
          <w:lang w:val="es-ES"/>
        </w:rPr>
      </w:pPr>
    </w:p>
    <w:p w:rsidR="000F3C2F" w:rsidRDefault="000F3C2F" w:rsidP="000F3C2F">
      <w:pPr>
        <w:spacing w:line="276" w:lineRule="auto"/>
        <w:jc w:val="both"/>
        <w:rPr>
          <w:lang w:val="es-ES"/>
        </w:rPr>
      </w:pPr>
    </w:p>
    <w:p w:rsidR="000F3C2F" w:rsidRDefault="000F3C2F" w:rsidP="000F3C2F">
      <w:pPr>
        <w:spacing w:line="276" w:lineRule="auto"/>
        <w:jc w:val="both"/>
        <w:rPr>
          <w:lang w:val="es-ES"/>
        </w:rPr>
      </w:pPr>
    </w:p>
    <w:p w:rsidR="00B03FA5" w:rsidRDefault="00B03FA5" w:rsidP="000F3C2F">
      <w:pPr>
        <w:spacing w:line="276" w:lineRule="auto"/>
        <w:jc w:val="both"/>
      </w:pPr>
    </w:p>
    <w:p w:rsidR="00B03FA5" w:rsidRDefault="00B03FA5" w:rsidP="000F3C2F">
      <w:pPr>
        <w:spacing w:line="276" w:lineRule="auto"/>
        <w:jc w:val="both"/>
      </w:pPr>
    </w:p>
    <w:p w:rsidR="00B03FA5" w:rsidRDefault="00B03FA5" w:rsidP="000F3C2F">
      <w:pPr>
        <w:spacing w:line="276" w:lineRule="auto"/>
        <w:jc w:val="both"/>
      </w:pPr>
    </w:p>
    <w:p w:rsidR="00B03FA5" w:rsidRDefault="00B03FA5" w:rsidP="000F3C2F">
      <w:pPr>
        <w:spacing w:line="276" w:lineRule="auto"/>
        <w:jc w:val="both"/>
      </w:pPr>
    </w:p>
    <w:p w:rsidR="000F3C2F" w:rsidRDefault="00F66BC9" w:rsidP="000F3C2F">
      <w:pPr>
        <w:spacing w:line="276" w:lineRule="auto"/>
        <w:jc w:val="both"/>
        <w:rPr>
          <w:b/>
        </w:rPr>
      </w:pPr>
      <w:hyperlink r:id="rId27" w:tgtFrame="_blank" w:history="1">
        <w:r w:rsidR="000F3C2F" w:rsidRPr="00C767C7">
          <w:rPr>
            <w:rStyle w:val="Hipervnculo"/>
            <w:b/>
            <w:color w:val="auto"/>
            <w:u w:val="none"/>
            <w:lang w:val="es-ES"/>
          </w:rPr>
          <w:t xml:space="preserve">Luis Alberto </w:t>
        </w:r>
        <w:r w:rsidR="00FA4ACC" w:rsidRPr="00C767C7">
          <w:rPr>
            <w:rStyle w:val="Hipervnculo"/>
            <w:b/>
            <w:color w:val="auto"/>
            <w:u w:val="none"/>
            <w:lang w:val="es-ES"/>
          </w:rPr>
          <w:t>Albán</w:t>
        </w:r>
        <w:r w:rsidR="000F3C2F" w:rsidRPr="00C767C7">
          <w:rPr>
            <w:rStyle w:val="Hipervnculo"/>
            <w:b/>
            <w:color w:val="auto"/>
            <w:u w:val="none"/>
            <w:lang w:val="es-ES"/>
          </w:rPr>
          <w:t xml:space="preserve"> Urbano</w:t>
        </w:r>
      </w:hyperlink>
      <w:r w:rsidR="000F3C2F" w:rsidRPr="00C767C7">
        <w:rPr>
          <w:b/>
        </w:rPr>
        <w:t xml:space="preserve">  </w:t>
      </w:r>
    </w:p>
    <w:p w:rsidR="000F3C2F" w:rsidRDefault="000F3C2F" w:rsidP="000F3C2F">
      <w:pPr>
        <w:spacing w:line="276" w:lineRule="auto"/>
        <w:jc w:val="both"/>
        <w:rPr>
          <w:b/>
        </w:rPr>
      </w:pPr>
      <w:r>
        <w:rPr>
          <w:lang w:val="es-ES"/>
        </w:rPr>
        <w:t xml:space="preserve">Representante a la Cámara                                        </w:t>
      </w:r>
    </w:p>
    <w:p w:rsidR="000F3C2F" w:rsidRDefault="000F3C2F" w:rsidP="000F3C2F">
      <w:pPr>
        <w:spacing w:line="276" w:lineRule="auto"/>
        <w:jc w:val="both"/>
        <w:rPr>
          <w:b/>
        </w:rPr>
      </w:pPr>
    </w:p>
    <w:p w:rsidR="000F3C2F" w:rsidRDefault="000F3C2F" w:rsidP="000F3C2F">
      <w:pPr>
        <w:spacing w:line="276" w:lineRule="auto"/>
        <w:jc w:val="both"/>
        <w:rPr>
          <w:b/>
        </w:rPr>
      </w:pPr>
    </w:p>
    <w:p w:rsidR="00E44E52" w:rsidRDefault="00E44E52" w:rsidP="000F3C2F">
      <w:pPr>
        <w:spacing w:line="276" w:lineRule="auto"/>
        <w:jc w:val="both"/>
      </w:pPr>
    </w:p>
    <w:p w:rsidR="000F3C2F" w:rsidRPr="00C767C7" w:rsidRDefault="00F66BC9" w:rsidP="000F3C2F">
      <w:pPr>
        <w:spacing w:line="276" w:lineRule="auto"/>
        <w:jc w:val="both"/>
        <w:rPr>
          <w:b/>
          <w:lang w:val="es-ES"/>
        </w:rPr>
      </w:pPr>
      <w:hyperlink r:id="rId28" w:tgtFrame="_blank" w:history="1">
        <w:r w:rsidR="000F3C2F" w:rsidRPr="00C767C7">
          <w:rPr>
            <w:rStyle w:val="Hipervnculo"/>
            <w:b/>
            <w:color w:val="auto"/>
            <w:u w:val="none"/>
            <w:lang w:val="es-ES"/>
          </w:rPr>
          <w:t>Ángela María Robledo Gómez</w:t>
        </w:r>
      </w:hyperlink>
    </w:p>
    <w:p w:rsidR="000F3C2F" w:rsidRPr="00F620E4" w:rsidRDefault="000F3C2F" w:rsidP="000F3C2F">
      <w:pPr>
        <w:spacing w:line="276" w:lineRule="auto"/>
        <w:jc w:val="both"/>
        <w:rPr>
          <w:lang w:val="es-ES"/>
        </w:rPr>
      </w:pPr>
      <w:r>
        <w:rPr>
          <w:lang w:val="es-ES"/>
        </w:rPr>
        <w:t xml:space="preserve">Representante a la Cámara                                        </w:t>
      </w:r>
    </w:p>
    <w:p w:rsidR="000F3C2F" w:rsidRDefault="000F3C2F" w:rsidP="000F3C2F">
      <w:pPr>
        <w:spacing w:line="276" w:lineRule="auto"/>
        <w:jc w:val="both"/>
        <w:rPr>
          <w:b/>
        </w:rPr>
      </w:pPr>
    </w:p>
    <w:p w:rsidR="000F3C2F" w:rsidRDefault="000F3C2F" w:rsidP="000F3C2F">
      <w:pPr>
        <w:spacing w:line="276" w:lineRule="auto"/>
        <w:jc w:val="both"/>
        <w:rPr>
          <w:b/>
        </w:rPr>
      </w:pPr>
    </w:p>
    <w:p w:rsidR="000F3C2F" w:rsidRDefault="000F3C2F" w:rsidP="000F3C2F">
      <w:pPr>
        <w:spacing w:line="276" w:lineRule="auto"/>
        <w:jc w:val="both"/>
        <w:rPr>
          <w:b/>
        </w:rPr>
      </w:pPr>
    </w:p>
    <w:p w:rsidR="000F3C2F" w:rsidRDefault="000F3C2F" w:rsidP="000F3C2F">
      <w:pPr>
        <w:spacing w:line="276" w:lineRule="auto"/>
        <w:jc w:val="both"/>
        <w:rPr>
          <w:b/>
        </w:rPr>
      </w:pPr>
    </w:p>
    <w:p w:rsidR="000F3C2F" w:rsidRDefault="000F3C2F" w:rsidP="000F3C2F">
      <w:pPr>
        <w:spacing w:line="276" w:lineRule="auto"/>
        <w:jc w:val="both"/>
        <w:rPr>
          <w:b/>
        </w:rPr>
      </w:pPr>
    </w:p>
    <w:p w:rsidR="000F3C2F" w:rsidRDefault="000F3C2F" w:rsidP="000F3C2F">
      <w:pPr>
        <w:spacing w:line="276" w:lineRule="auto"/>
        <w:jc w:val="both"/>
        <w:rPr>
          <w:b/>
        </w:rPr>
      </w:pPr>
    </w:p>
    <w:p w:rsidR="000F3C2F" w:rsidRDefault="000F3C2F" w:rsidP="000F3C2F">
      <w:pPr>
        <w:spacing w:line="276" w:lineRule="auto"/>
        <w:jc w:val="both"/>
        <w:rPr>
          <w:b/>
        </w:rPr>
      </w:pPr>
    </w:p>
    <w:p w:rsidR="000F3C2F" w:rsidRDefault="000F3C2F" w:rsidP="000F3C2F">
      <w:pPr>
        <w:spacing w:line="276" w:lineRule="auto"/>
        <w:jc w:val="both"/>
        <w:rPr>
          <w:b/>
        </w:rPr>
      </w:pPr>
    </w:p>
    <w:p w:rsidR="000F3C2F" w:rsidRDefault="000F3C2F" w:rsidP="000F3C2F">
      <w:pPr>
        <w:spacing w:line="276" w:lineRule="auto"/>
        <w:jc w:val="both"/>
        <w:rPr>
          <w:b/>
        </w:rPr>
      </w:pPr>
    </w:p>
    <w:p w:rsidR="000F3C2F" w:rsidRDefault="000F3C2F" w:rsidP="00397428">
      <w:pPr>
        <w:spacing w:line="276" w:lineRule="auto"/>
        <w:jc w:val="both"/>
        <w:rPr>
          <w:b/>
        </w:rPr>
        <w:sectPr w:rsidR="000F3C2F" w:rsidSect="000F3C2F">
          <w:type w:val="continuous"/>
          <w:pgSz w:w="12240" w:h="15840"/>
          <w:pgMar w:top="2268" w:right="1701" w:bottom="1418" w:left="1701" w:header="709" w:footer="709" w:gutter="0"/>
          <w:cols w:num="2" w:space="708"/>
          <w:docGrid w:linePitch="360"/>
        </w:sectPr>
      </w:pPr>
    </w:p>
    <w:p w:rsidR="006A453E" w:rsidRPr="00F620E4" w:rsidRDefault="006A453E" w:rsidP="00397428">
      <w:pPr>
        <w:spacing w:line="276" w:lineRule="auto"/>
        <w:jc w:val="both"/>
        <w:rPr>
          <w:b/>
        </w:rPr>
      </w:pPr>
    </w:p>
    <w:p w:rsidR="006A453E" w:rsidRPr="00F620E4" w:rsidRDefault="006A453E" w:rsidP="00397428">
      <w:pPr>
        <w:spacing w:line="276" w:lineRule="auto"/>
        <w:jc w:val="both"/>
        <w:rPr>
          <w:b/>
        </w:rPr>
      </w:pPr>
    </w:p>
    <w:p w:rsidR="00397428" w:rsidRPr="00F620E4" w:rsidRDefault="00397428" w:rsidP="00397428">
      <w:pPr>
        <w:spacing w:line="276" w:lineRule="auto"/>
        <w:jc w:val="both"/>
      </w:pPr>
    </w:p>
    <w:sectPr w:rsidR="00397428" w:rsidRPr="00F620E4" w:rsidSect="00792417">
      <w:type w:val="continuous"/>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BC9" w:rsidRDefault="00F66BC9" w:rsidP="00813055">
      <w:r>
        <w:separator/>
      </w:r>
    </w:p>
  </w:endnote>
  <w:endnote w:type="continuationSeparator" w:id="0">
    <w:p w:rsidR="00F66BC9" w:rsidRDefault="00F66BC9" w:rsidP="0081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BC9" w:rsidRDefault="00F66BC9" w:rsidP="008011FE">
    <w:pPr>
      <w:pStyle w:val="Piedepgina"/>
      <w:jc w:val="center"/>
    </w:pPr>
    <w:r w:rsidRPr="006C2A3E">
      <w:rPr>
        <w:noProof/>
        <w:lang w:eastAsia="es-CO"/>
      </w:rPr>
      <w:drawing>
        <wp:inline distT="0" distB="0" distL="0" distR="0" wp14:anchorId="3D693D9A" wp14:editId="096D1DC2">
          <wp:extent cx="3114675" cy="2667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p w:rsidR="00F66BC9" w:rsidRDefault="00F66BC9" w:rsidP="008011FE">
    <w:pPr>
      <w:pStyle w:val="Piedepgina"/>
      <w:jc w:val="center"/>
      <w:rPr>
        <w:rFonts w:ascii="Gill Sans MT" w:hAnsi="Gill Sans MT"/>
        <w:spacing w:val="60"/>
        <w:sz w:val="20"/>
        <w:szCs w:val="20"/>
      </w:rPr>
    </w:pPr>
    <w:r>
      <w:rPr>
        <w:rFonts w:ascii="Gill Sans MT" w:hAnsi="Gill Sans MT"/>
        <w:spacing w:val="60"/>
        <w:sz w:val="20"/>
        <w:szCs w:val="20"/>
      </w:rPr>
      <w:t xml:space="preserve">Cra. 7ª No. 8-68 </w:t>
    </w:r>
  </w:p>
  <w:p w:rsidR="00F66BC9" w:rsidRDefault="00F66BC9" w:rsidP="008011FE">
    <w:pPr>
      <w:pStyle w:val="Piedepgina"/>
      <w:jc w:val="center"/>
    </w:pPr>
    <w:r>
      <w:rPr>
        <w:rFonts w:ascii="Gill Sans MT" w:hAnsi="Gill Sans MT"/>
        <w:spacing w:val="60"/>
        <w:sz w:val="20"/>
        <w:szCs w:val="20"/>
      </w:rPr>
      <w:t>Bogotá, D.C. - Colombia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BC9" w:rsidRDefault="00F66BC9" w:rsidP="00813055">
      <w:r>
        <w:separator/>
      </w:r>
    </w:p>
  </w:footnote>
  <w:footnote w:type="continuationSeparator" w:id="0">
    <w:p w:rsidR="00F66BC9" w:rsidRDefault="00F66BC9" w:rsidP="00813055">
      <w:r>
        <w:continuationSeparator/>
      </w:r>
    </w:p>
  </w:footnote>
  <w:footnote w:id="1">
    <w:p w:rsidR="00F66BC9" w:rsidRDefault="00F66BC9" w:rsidP="00BD4C89">
      <w:pPr>
        <w:jc w:val="both"/>
        <w:rPr>
          <w:sz w:val="18"/>
          <w:szCs w:val="18"/>
        </w:rPr>
      </w:pPr>
      <w:r>
        <w:rPr>
          <w:vertAlign w:val="superscript"/>
        </w:rPr>
        <w:footnoteRef/>
      </w:r>
      <w:r>
        <w:rPr>
          <w:sz w:val="16"/>
          <w:szCs w:val="16"/>
        </w:rPr>
        <w:t xml:space="preserve"> La </w:t>
      </w:r>
      <w:proofErr w:type="spellStart"/>
      <w:r>
        <w:rPr>
          <w:sz w:val="16"/>
          <w:szCs w:val="16"/>
        </w:rPr>
        <w:t>fundamentalidad</w:t>
      </w:r>
      <w:proofErr w:type="spellEnd"/>
      <w:r>
        <w:rPr>
          <w:sz w:val="16"/>
          <w:szCs w:val="16"/>
        </w:rPr>
        <w:t xml:space="preserve"> del derecho al agua en Colombia Disponible en línea, en </w:t>
      </w:r>
      <w:hyperlink r:id="rId1" w:history="1">
        <w:r>
          <w:rPr>
            <w:rStyle w:val="Hipervnculo"/>
            <w:color w:val="1155CC"/>
            <w:sz w:val="16"/>
            <w:szCs w:val="16"/>
          </w:rPr>
          <w:t>https://revistas.uexternado.edu.co/index.php/derest/article/view/4341/5069</w:t>
        </w:r>
      </w:hyperlink>
      <w:r>
        <w:rPr>
          <w:sz w:val="16"/>
          <w:szCs w:val="16"/>
        </w:rPr>
        <w:t xml:space="preserve"> </w:t>
      </w:r>
    </w:p>
  </w:footnote>
  <w:footnote w:id="2">
    <w:p w:rsidR="00F66BC9" w:rsidRDefault="00F66BC9" w:rsidP="00BB308E">
      <w:pPr>
        <w:jc w:val="both"/>
        <w:rPr>
          <w:sz w:val="20"/>
          <w:szCs w:val="20"/>
        </w:rPr>
      </w:pPr>
      <w:r>
        <w:rPr>
          <w:vertAlign w:val="superscript"/>
        </w:rPr>
        <w:footnoteRef/>
      </w:r>
      <w:r>
        <w:rPr>
          <w:sz w:val="16"/>
          <w:szCs w:val="16"/>
        </w:rPr>
        <w:t xml:space="preserve"> CORTE CONSTITUCIONAL COLOMBIANA. Sentencia C-220 de 2011. M.P. Jorge Ignacio </w:t>
      </w:r>
      <w:proofErr w:type="spellStart"/>
      <w:r>
        <w:rPr>
          <w:sz w:val="16"/>
          <w:szCs w:val="16"/>
        </w:rPr>
        <w:t>Pretelt</w:t>
      </w:r>
      <w:proofErr w:type="spellEnd"/>
      <w:r>
        <w:rPr>
          <w:sz w:val="16"/>
          <w:szCs w:val="16"/>
        </w:rPr>
        <w:t xml:space="preserve"> </w:t>
      </w:r>
      <w:proofErr w:type="spellStart"/>
      <w:r>
        <w:rPr>
          <w:sz w:val="16"/>
          <w:szCs w:val="16"/>
        </w:rPr>
        <w:t>Chaljub</w:t>
      </w:r>
      <w:proofErr w:type="spellEnd"/>
      <w:r>
        <w:rPr>
          <w:sz w:val="16"/>
          <w:szCs w:val="16"/>
        </w:rPr>
        <w:t>.</w:t>
      </w:r>
    </w:p>
  </w:footnote>
  <w:footnote w:id="3">
    <w:p w:rsidR="00F66BC9" w:rsidRDefault="00F66BC9" w:rsidP="00BB308E">
      <w:pPr>
        <w:jc w:val="both"/>
        <w:rPr>
          <w:sz w:val="16"/>
          <w:szCs w:val="16"/>
        </w:rPr>
      </w:pPr>
      <w:r>
        <w:rPr>
          <w:vertAlign w:val="superscript"/>
        </w:rPr>
        <w:footnoteRef/>
      </w:r>
      <w:r>
        <w:rPr>
          <w:sz w:val="16"/>
          <w:szCs w:val="16"/>
        </w:rPr>
        <w:t xml:space="preserve"> Sobre este particular véase: CORTE CONSTITUCIONAL COLOMBIANA. Sentencia T-764 de 2012. M.P. Jorge Ignacio </w:t>
      </w:r>
      <w:proofErr w:type="spellStart"/>
      <w:r>
        <w:rPr>
          <w:sz w:val="16"/>
          <w:szCs w:val="16"/>
        </w:rPr>
        <w:t>Pretelt</w:t>
      </w:r>
      <w:proofErr w:type="spellEnd"/>
      <w:r>
        <w:rPr>
          <w:sz w:val="16"/>
          <w:szCs w:val="16"/>
        </w:rPr>
        <w:t xml:space="preserve"> </w:t>
      </w:r>
      <w:proofErr w:type="spellStart"/>
      <w:r>
        <w:rPr>
          <w:sz w:val="16"/>
          <w:szCs w:val="16"/>
        </w:rPr>
        <w:t>Chaljub</w:t>
      </w:r>
      <w:proofErr w:type="spellEnd"/>
      <w:r>
        <w:rPr>
          <w:sz w:val="16"/>
          <w:szCs w:val="16"/>
        </w:rPr>
        <w:t xml:space="preserve">. </w:t>
      </w:r>
    </w:p>
  </w:footnote>
  <w:footnote w:id="4">
    <w:p w:rsidR="00F66BC9" w:rsidRDefault="00F66BC9" w:rsidP="00BB308E">
      <w:pPr>
        <w:jc w:val="both"/>
        <w:rPr>
          <w:color w:val="000000"/>
          <w:sz w:val="16"/>
          <w:szCs w:val="16"/>
        </w:rPr>
      </w:pPr>
      <w:r>
        <w:rPr>
          <w:vertAlign w:val="superscript"/>
        </w:rPr>
        <w:footnoteRef/>
      </w:r>
      <w:r>
        <w:rPr>
          <w:color w:val="000000"/>
          <w:sz w:val="16"/>
          <w:szCs w:val="16"/>
        </w:rPr>
        <w:t xml:space="preserve"> Que serán descritos adelante.</w:t>
      </w:r>
    </w:p>
  </w:footnote>
  <w:footnote w:id="5">
    <w:p w:rsidR="00F66BC9" w:rsidRDefault="00F66BC9" w:rsidP="00BB308E">
      <w:pPr>
        <w:jc w:val="both"/>
        <w:rPr>
          <w:sz w:val="16"/>
          <w:szCs w:val="16"/>
        </w:rPr>
      </w:pPr>
      <w:r>
        <w:rPr>
          <w:vertAlign w:val="superscript"/>
        </w:rPr>
        <w:footnoteRef/>
      </w:r>
      <w:r>
        <w:rPr>
          <w:sz w:val="16"/>
          <w:szCs w:val="16"/>
        </w:rPr>
        <w:t xml:space="preserve"> La vinculación del derecho humano al agua a la Constitución Política proviene de la expresa mención realizada por la jurisprudencia constitucional, en la cual se ha manifestado </w:t>
      </w:r>
      <w:proofErr w:type="gramStart"/>
      <w:r>
        <w:rPr>
          <w:sz w:val="16"/>
          <w:szCs w:val="16"/>
        </w:rPr>
        <w:t>que</w:t>
      </w:r>
      <w:proofErr w:type="gramEnd"/>
      <w:r>
        <w:rPr>
          <w:sz w:val="16"/>
          <w:szCs w:val="16"/>
        </w:rPr>
        <w:t xml:space="preserve"> en virtud del Pacto Internacional de Derechos Económicos, Sociales y Culturales hace parte del bloque de constitucionalidad. Entendiendo adicionalmente que como el Pacto hace parte del bloque de constitucionalidad y el Comité a través de sus observaciones generales interpreta de manera oficial el pacto, lo dicho por este organismo también estará vinculado al ordenamiento por lo dispuesto en los Artículos 93 y 94 de la carta. </w:t>
      </w:r>
    </w:p>
  </w:footnote>
  <w:footnote w:id="6">
    <w:p w:rsidR="00F66BC9" w:rsidRDefault="00F66BC9" w:rsidP="00BB308E">
      <w:pPr>
        <w:jc w:val="both"/>
        <w:rPr>
          <w:sz w:val="20"/>
          <w:szCs w:val="20"/>
        </w:rPr>
      </w:pPr>
      <w:r>
        <w:rPr>
          <w:vertAlign w:val="superscript"/>
        </w:rPr>
        <w:footnoteRef/>
      </w:r>
      <w:r>
        <w:rPr>
          <w:sz w:val="16"/>
          <w:szCs w:val="16"/>
        </w:rPr>
        <w:t xml:space="preserve"> CORTE CONSTITUCIONAL COLOMBIANA. Sentencia C-220 de 2011. M.P. Jorge Ignacio </w:t>
      </w:r>
      <w:proofErr w:type="spellStart"/>
      <w:r>
        <w:rPr>
          <w:sz w:val="16"/>
          <w:szCs w:val="16"/>
        </w:rPr>
        <w:t>Pretelt</w:t>
      </w:r>
      <w:proofErr w:type="spellEnd"/>
      <w:r>
        <w:rPr>
          <w:sz w:val="16"/>
          <w:szCs w:val="16"/>
        </w:rPr>
        <w:t xml:space="preserve"> </w:t>
      </w:r>
      <w:proofErr w:type="spellStart"/>
      <w:r>
        <w:rPr>
          <w:sz w:val="16"/>
          <w:szCs w:val="16"/>
        </w:rPr>
        <w:t>Chaljub</w:t>
      </w:r>
      <w:proofErr w:type="spellEnd"/>
      <w:r>
        <w:rPr>
          <w:sz w:val="16"/>
          <w:szCs w:val="16"/>
        </w:rPr>
        <w:t>.</w:t>
      </w:r>
    </w:p>
  </w:footnote>
  <w:footnote w:id="7">
    <w:p w:rsidR="00F66BC9" w:rsidRDefault="00F66BC9" w:rsidP="00BB308E">
      <w:pPr>
        <w:jc w:val="both"/>
        <w:rPr>
          <w:color w:val="000000"/>
          <w:sz w:val="16"/>
          <w:szCs w:val="16"/>
        </w:rPr>
      </w:pPr>
      <w:r>
        <w:rPr>
          <w:vertAlign w:val="superscript"/>
        </w:rPr>
        <w:footnoteRef/>
      </w:r>
      <w:r>
        <w:rPr>
          <w:color w:val="000000"/>
          <w:sz w:val="16"/>
          <w:szCs w:val="16"/>
        </w:rPr>
        <w:t xml:space="preserve"> Los que se presentan no son los únicos, véase igualmente el Pacto Internacional de Derechos Civiles y Políticos, Protocolo de San Salvador adicional a la Convención Americana sobre Derechos Humanos, la Convención Internacional sobre la Eliminación de Todas las Formas de Discriminación Racial, la Declaración Americana de los Derechos y Deberes del Hombre, la Declaración Sobre los Derechos del Niño, la Declaración Universal sobre la Erradicación del Hambre y la Malnutrición, las Reglas Mínimas para el Tratamiento de los Reclusos, los Principios Rectores de los Desplazamientos Internos y más</w:t>
      </w:r>
    </w:p>
  </w:footnote>
  <w:footnote w:id="8">
    <w:p w:rsidR="00F66BC9" w:rsidRDefault="00F66BC9" w:rsidP="00BB308E">
      <w:pPr>
        <w:jc w:val="both"/>
        <w:rPr>
          <w:color w:val="000000"/>
          <w:sz w:val="16"/>
          <w:szCs w:val="16"/>
        </w:rPr>
      </w:pPr>
      <w:r>
        <w:rPr>
          <w:vertAlign w:val="superscript"/>
        </w:rPr>
        <w:footnoteRef/>
      </w:r>
      <w:r>
        <w:rPr>
          <w:color w:val="000000"/>
          <w:sz w:val="16"/>
          <w:szCs w:val="16"/>
        </w:rPr>
        <w:t xml:space="preserve"> Artículos 3 y 25.</w:t>
      </w:r>
    </w:p>
  </w:footnote>
  <w:footnote w:id="9">
    <w:p w:rsidR="00F66BC9" w:rsidRDefault="00F66BC9" w:rsidP="00BB308E">
      <w:pPr>
        <w:jc w:val="both"/>
        <w:rPr>
          <w:sz w:val="16"/>
          <w:szCs w:val="16"/>
        </w:rPr>
      </w:pPr>
      <w:r>
        <w:rPr>
          <w:vertAlign w:val="superscript"/>
        </w:rPr>
        <w:footnoteRef/>
      </w:r>
      <w:r>
        <w:rPr>
          <w:sz w:val="16"/>
          <w:szCs w:val="16"/>
        </w:rPr>
        <w:t xml:space="preserve"> Adoptada y abierta a la firma y ratificación por la Asamblea General en su Resolución 44/25, de 20 de noviembre de 1989. Entrada en vigor: 2 de septiembre de 1990, de conformidad con el artículo 49. Esté en el literal c) del artículo 24</w:t>
      </w:r>
    </w:p>
  </w:footnote>
  <w:footnote w:id="10">
    <w:p w:rsidR="00F66BC9" w:rsidRDefault="00F66BC9" w:rsidP="00BB308E">
      <w:pPr>
        <w:jc w:val="both"/>
        <w:rPr>
          <w:color w:val="000000"/>
          <w:sz w:val="20"/>
          <w:szCs w:val="20"/>
        </w:rPr>
      </w:pPr>
      <w:r>
        <w:rPr>
          <w:vertAlign w:val="superscript"/>
        </w:rPr>
        <w:footnoteRef/>
      </w:r>
      <w:r>
        <w:rPr>
          <w:color w:val="000000"/>
          <w:sz w:val="16"/>
          <w:szCs w:val="16"/>
        </w:rPr>
        <w:t xml:space="preserve"> Véase en: http://www2.ohchr.org/spanish/law/crc.htm, consulta del 19 de mayo de 2012. 14:37.</w:t>
      </w:r>
    </w:p>
  </w:footnote>
  <w:footnote w:id="11">
    <w:p w:rsidR="00F66BC9" w:rsidRDefault="00F66BC9" w:rsidP="00BB308E">
      <w:pPr>
        <w:jc w:val="both"/>
        <w:rPr>
          <w:color w:val="000000"/>
          <w:sz w:val="18"/>
          <w:szCs w:val="18"/>
        </w:rPr>
      </w:pPr>
      <w:r>
        <w:rPr>
          <w:vertAlign w:val="superscript"/>
        </w:rPr>
        <w:footnoteRef/>
      </w:r>
      <w:r>
        <w:rPr>
          <w:color w:val="000000"/>
          <w:sz w:val="16"/>
          <w:szCs w:val="16"/>
        </w:rPr>
        <w:t xml:space="preserve"> Artículo 11 1. “Los Estados Partes en el presente Pacto reconocen el derecho de toda persona a un nivel de vida adecuado para sí y su familia, incluso alimentación, vestido y vivienda adecuados, y a una mejora continua de las condiciones de existencia. Los Estados Partes tomarán medidas apropiadas para asegurar la efectividad de este derecho, reconociendo a este efecto la importancia esencial de la cooperación internacional fundada en el libre consentimiento”. […]Artículo 12. 1. “Los Estados Partes en el presente Pacto reconocen el derecho de toda persona al disfrute del más alto nivel posible de salud física y mental. 2. Entre las medidas que deberán adoptar los Estados Partes en el Pacto a fin de asegurar la plena efectividad de este derecho, figurarán las necesarias para: a) La reducción de la mortinatalidad y de la mortalidad infantil, y el sano desarrollo de los niños; b) El mejoramiento en todos sus aspectos de la higiene del trabajo y del medio ambiente; c) La prevención y el tratamiento de las enfermedades epidémicas, endémicas, profesionales y de otra índole, y la lucha contra ellas;  d) La creación de condiciones que aseguren a todos asistencia médica y servicios médicos en caso de enfermedad”</w:t>
      </w:r>
    </w:p>
  </w:footnote>
  <w:footnote w:id="12">
    <w:p w:rsidR="00F66BC9" w:rsidRDefault="00F66BC9" w:rsidP="00BB308E">
      <w:pPr>
        <w:jc w:val="both"/>
        <w:rPr>
          <w:color w:val="000000"/>
          <w:sz w:val="16"/>
          <w:szCs w:val="16"/>
        </w:rPr>
      </w:pPr>
      <w:r>
        <w:rPr>
          <w:vertAlign w:val="superscript"/>
        </w:rPr>
        <w:footnoteRef/>
      </w:r>
      <w:r>
        <w:rPr>
          <w:color w:val="000000"/>
          <w:sz w:val="16"/>
          <w:szCs w:val="16"/>
        </w:rPr>
        <w:t xml:space="preserve"> Cuarto Convenio de la Haya de 1907, artículo 22 del anexo.</w:t>
      </w:r>
    </w:p>
  </w:footnote>
  <w:footnote w:id="13">
    <w:p w:rsidR="00F66BC9" w:rsidRDefault="00F66BC9" w:rsidP="00BB308E">
      <w:pPr>
        <w:jc w:val="both"/>
        <w:rPr>
          <w:color w:val="000000"/>
          <w:sz w:val="16"/>
          <w:szCs w:val="16"/>
        </w:rPr>
      </w:pPr>
      <w:r>
        <w:rPr>
          <w:vertAlign w:val="superscript"/>
        </w:rPr>
        <w:footnoteRef/>
      </w:r>
      <w:r>
        <w:rPr>
          <w:color w:val="000000"/>
          <w:sz w:val="16"/>
          <w:szCs w:val="16"/>
        </w:rPr>
        <w:t xml:space="preserve"> O “todas aquellas que tienen por objeto alterar -mediante la manipulación deliberada de los procesos naturales- la dinámica, la composición o estructura de la Tierra, incluida su biótica, su litosfera, su hidrosfera y su atmósfera, o del espacio exterior” Véase el artículo segundo de la Convención sobre la prohibición de utilizar técnicas de modificación ambiental con fines militares u otros fines hostiles (ENMOD).</w:t>
      </w:r>
    </w:p>
  </w:footnote>
  <w:footnote w:id="14">
    <w:p w:rsidR="00F66BC9" w:rsidRDefault="00F66BC9" w:rsidP="00BB308E">
      <w:pPr>
        <w:jc w:val="both"/>
        <w:rPr>
          <w:color w:val="000000"/>
          <w:sz w:val="16"/>
          <w:szCs w:val="16"/>
        </w:rPr>
      </w:pPr>
      <w:r>
        <w:rPr>
          <w:vertAlign w:val="superscript"/>
        </w:rPr>
        <w:footnoteRef/>
      </w:r>
      <w:r>
        <w:rPr>
          <w:color w:val="000000"/>
          <w:sz w:val="16"/>
          <w:szCs w:val="16"/>
        </w:rPr>
        <w:t xml:space="preserve"> Convenio de Ginebra relativo al trato debido a los prisioneros de guerra (Convenio III), de 1949</w:t>
      </w:r>
    </w:p>
  </w:footnote>
  <w:footnote w:id="15">
    <w:p w:rsidR="00F66BC9" w:rsidRDefault="00F66BC9" w:rsidP="00BB308E">
      <w:pPr>
        <w:widowControl w:val="0"/>
        <w:jc w:val="both"/>
        <w:rPr>
          <w:color w:val="000000"/>
          <w:sz w:val="20"/>
          <w:szCs w:val="20"/>
        </w:rPr>
      </w:pPr>
      <w:r>
        <w:rPr>
          <w:vertAlign w:val="superscript"/>
        </w:rPr>
        <w:footnoteRef/>
      </w:r>
      <w:r w:rsidRPr="00BF1E98">
        <w:rPr>
          <w:color w:val="000000"/>
          <w:sz w:val="16"/>
          <w:szCs w:val="16"/>
          <w:lang w:val="en-US"/>
        </w:rPr>
        <w:t xml:space="preserve"> CARSON, Rachel. Silent Spring. Mariner Books, Boston. </w:t>
      </w:r>
      <w:r>
        <w:rPr>
          <w:color w:val="000000"/>
          <w:sz w:val="16"/>
          <w:szCs w:val="16"/>
        </w:rPr>
        <w:t>2002.</w:t>
      </w:r>
    </w:p>
  </w:footnote>
  <w:footnote w:id="16">
    <w:p w:rsidR="00F66BC9" w:rsidRDefault="00F66BC9" w:rsidP="00BB308E">
      <w:pPr>
        <w:jc w:val="both"/>
        <w:rPr>
          <w:color w:val="000000"/>
          <w:sz w:val="20"/>
          <w:szCs w:val="20"/>
        </w:rPr>
      </w:pPr>
      <w:r>
        <w:rPr>
          <w:vertAlign w:val="superscript"/>
        </w:rPr>
        <w:footnoteRef/>
      </w:r>
      <w:r>
        <w:rPr>
          <w:color w:val="000000"/>
          <w:sz w:val="16"/>
          <w:szCs w:val="16"/>
        </w:rPr>
        <w:t xml:space="preserve"> DEFENSORIA DEL PUEBLO. El Derecho Humano al Agua en la Constitución, la Jurisprudencia y Los Instrumentos Internacionales” PROSEDHER. Bogotá. 2005.</w:t>
      </w:r>
    </w:p>
  </w:footnote>
  <w:footnote w:id="17">
    <w:p w:rsidR="00F66BC9" w:rsidRDefault="00F66BC9" w:rsidP="00BB308E">
      <w:pPr>
        <w:jc w:val="both"/>
        <w:rPr>
          <w:color w:val="000000"/>
          <w:sz w:val="16"/>
          <w:szCs w:val="16"/>
        </w:rPr>
      </w:pPr>
      <w:r>
        <w:rPr>
          <w:vertAlign w:val="superscript"/>
        </w:rPr>
        <w:footnoteRef/>
      </w:r>
      <w:r>
        <w:rPr>
          <w:color w:val="000000"/>
          <w:sz w:val="20"/>
          <w:szCs w:val="20"/>
        </w:rPr>
        <w:t xml:space="preserve"> </w:t>
      </w:r>
      <w:r>
        <w:rPr>
          <w:color w:val="000000"/>
          <w:sz w:val="16"/>
          <w:szCs w:val="16"/>
        </w:rPr>
        <w:t>Véase criterios clásicos para determinar la existencia de derechos fundamentales en CORTE CONSTITUCIONAL. Sentencia T-002 de 1992. M.P.: ALEJANDRO MARTINEZ CABALLERO.</w:t>
      </w:r>
    </w:p>
  </w:footnote>
  <w:footnote w:id="18">
    <w:p w:rsidR="00F66BC9" w:rsidRDefault="00F66BC9" w:rsidP="00BB308E">
      <w:pPr>
        <w:jc w:val="both"/>
        <w:rPr>
          <w:sz w:val="20"/>
          <w:szCs w:val="20"/>
        </w:rPr>
      </w:pPr>
      <w:r>
        <w:rPr>
          <w:vertAlign w:val="superscript"/>
        </w:rPr>
        <w:footnoteRef/>
      </w:r>
      <w:r>
        <w:rPr>
          <w:sz w:val="16"/>
          <w:szCs w:val="16"/>
        </w:rPr>
        <w:t xml:space="preserve"> De lo que se verá en este aparte que podría predicarse un criterio adicional del DHA y seria la expresa consagración como derecho fundamental en la jurisprudencia de la Corte Constitucional.</w:t>
      </w:r>
      <w:r>
        <w:rPr>
          <w:sz w:val="20"/>
          <w:szCs w:val="20"/>
        </w:rPr>
        <w:t xml:space="preserve"> </w:t>
      </w:r>
    </w:p>
  </w:footnote>
  <w:footnote w:id="19">
    <w:p w:rsidR="00F66BC9" w:rsidRDefault="00F66BC9" w:rsidP="00BB308E">
      <w:pPr>
        <w:jc w:val="both"/>
        <w:rPr>
          <w:color w:val="000000"/>
          <w:sz w:val="16"/>
          <w:szCs w:val="16"/>
        </w:rPr>
      </w:pPr>
      <w:r>
        <w:rPr>
          <w:vertAlign w:val="superscript"/>
        </w:rPr>
        <w:footnoteRef/>
      </w:r>
      <w:r>
        <w:rPr>
          <w:color w:val="000000"/>
          <w:sz w:val="16"/>
          <w:szCs w:val="16"/>
        </w:rPr>
        <w:t xml:space="preserve"> Sin </w:t>
      </w:r>
      <w:proofErr w:type="gramStart"/>
      <w:r>
        <w:rPr>
          <w:color w:val="000000"/>
          <w:sz w:val="16"/>
          <w:szCs w:val="16"/>
        </w:rPr>
        <w:t>embargo</w:t>
      </w:r>
      <w:proofErr w:type="gramEnd"/>
      <w:r>
        <w:rPr>
          <w:color w:val="000000"/>
          <w:sz w:val="16"/>
          <w:szCs w:val="16"/>
        </w:rPr>
        <w:t xml:space="preserve"> se encuentra en la doctrina que establece que las observaciones no hacen parte del ordenamiento interno ya que se tratan únicamente de criterios de interpretación o hermenéuticos para la validez el alcance de los preceptos constitucionales.</w:t>
      </w:r>
    </w:p>
  </w:footnote>
  <w:footnote w:id="20">
    <w:p w:rsidR="00F66BC9" w:rsidRDefault="00F66BC9" w:rsidP="00BB308E">
      <w:pPr>
        <w:jc w:val="both"/>
        <w:rPr>
          <w:color w:val="000000"/>
          <w:sz w:val="16"/>
          <w:szCs w:val="16"/>
        </w:rPr>
      </w:pPr>
      <w:r>
        <w:rPr>
          <w:vertAlign w:val="superscript"/>
        </w:rPr>
        <w:footnoteRef/>
      </w:r>
      <w:r>
        <w:rPr>
          <w:color w:val="000000"/>
          <w:sz w:val="16"/>
          <w:szCs w:val="16"/>
        </w:rPr>
        <w:t xml:space="preserve"> CORTE CONSTITUCIONAL. Sentencia C-358 de 1997. M.P.: Eduardo Cifuentes Muñoz.</w:t>
      </w:r>
    </w:p>
  </w:footnote>
  <w:footnote w:id="21">
    <w:p w:rsidR="00F66BC9" w:rsidRDefault="00F66BC9" w:rsidP="00BB308E">
      <w:pPr>
        <w:jc w:val="both"/>
        <w:rPr>
          <w:color w:val="000000"/>
          <w:sz w:val="16"/>
          <w:szCs w:val="16"/>
        </w:rPr>
      </w:pPr>
      <w:r>
        <w:rPr>
          <w:vertAlign w:val="superscript"/>
        </w:rPr>
        <w:footnoteRef/>
      </w:r>
      <w:r>
        <w:rPr>
          <w:color w:val="000000"/>
          <w:sz w:val="16"/>
          <w:szCs w:val="16"/>
        </w:rPr>
        <w:t xml:space="preserve"> CORTE CONSTITUCIONAL. Sentencia C – 191 de 1998. M.P.: Eduardo Cifuentes Muñoz.</w:t>
      </w:r>
    </w:p>
  </w:footnote>
  <w:footnote w:id="22">
    <w:p w:rsidR="00F66BC9" w:rsidRDefault="00F66BC9" w:rsidP="00BB308E">
      <w:pPr>
        <w:jc w:val="both"/>
        <w:rPr>
          <w:color w:val="000000"/>
          <w:sz w:val="16"/>
          <w:szCs w:val="16"/>
        </w:rPr>
      </w:pPr>
      <w:r>
        <w:rPr>
          <w:vertAlign w:val="superscript"/>
        </w:rPr>
        <w:footnoteRef/>
      </w:r>
      <w:r>
        <w:rPr>
          <w:color w:val="000000"/>
          <w:sz w:val="16"/>
          <w:szCs w:val="16"/>
        </w:rPr>
        <w:t xml:space="preserve"> CORTE CONSTITUCIONAL. Sentencia C-179 de 1994. M.P.: Carlos Gaviria Díaz y otras.</w:t>
      </w:r>
    </w:p>
  </w:footnote>
  <w:footnote w:id="23">
    <w:p w:rsidR="00F66BC9" w:rsidRDefault="00F66BC9" w:rsidP="00BB308E">
      <w:pPr>
        <w:jc w:val="both"/>
        <w:rPr>
          <w:color w:val="000000"/>
          <w:sz w:val="16"/>
          <w:szCs w:val="16"/>
        </w:rPr>
      </w:pPr>
      <w:r>
        <w:rPr>
          <w:vertAlign w:val="superscript"/>
        </w:rPr>
        <w:footnoteRef/>
      </w:r>
      <w:r>
        <w:rPr>
          <w:color w:val="000000"/>
          <w:sz w:val="16"/>
          <w:szCs w:val="16"/>
        </w:rPr>
        <w:t xml:space="preserve"> Tales como los contemplados en el Pacto de Derechos Económicos, Sociales y Culturales (PIDESC), el Protocolo de San Salvador, los de la OIT entre otros. Véase: CORTE CONSTITUCIONAL. Sentencia T-568 de 1999. M.P.: Carlos Gaviria Díaz y otras.</w:t>
      </w:r>
    </w:p>
  </w:footnote>
  <w:footnote w:id="24">
    <w:p w:rsidR="00F66BC9" w:rsidRDefault="00F66BC9" w:rsidP="00BB308E">
      <w:pPr>
        <w:jc w:val="both"/>
        <w:rPr>
          <w:color w:val="000000"/>
          <w:sz w:val="16"/>
          <w:szCs w:val="16"/>
        </w:rPr>
      </w:pPr>
      <w:r>
        <w:rPr>
          <w:vertAlign w:val="superscript"/>
        </w:rPr>
        <w:footnoteRef/>
      </w:r>
      <w:r>
        <w:rPr>
          <w:color w:val="000000"/>
          <w:sz w:val="16"/>
          <w:szCs w:val="16"/>
        </w:rPr>
        <w:t xml:space="preserve"> CORTE CONSTITUCIONAL. Sentencia T-568 de 1999 M.P.: Carlos Gaviria Díaz y otras.</w:t>
      </w:r>
    </w:p>
  </w:footnote>
  <w:footnote w:id="25">
    <w:p w:rsidR="00F66BC9" w:rsidRDefault="00F66BC9" w:rsidP="00BB308E">
      <w:pPr>
        <w:jc w:val="both"/>
        <w:rPr>
          <w:color w:val="000000"/>
          <w:sz w:val="16"/>
          <w:szCs w:val="16"/>
        </w:rPr>
      </w:pPr>
      <w:r>
        <w:rPr>
          <w:vertAlign w:val="superscript"/>
        </w:rPr>
        <w:footnoteRef/>
      </w:r>
      <w:r>
        <w:rPr>
          <w:color w:val="000000"/>
          <w:sz w:val="16"/>
          <w:szCs w:val="16"/>
        </w:rPr>
        <w:t xml:space="preserve"> CORTE CONSTITUCIONAL. Sentencia C-774 de 2001. M.P.: Rodrigo Escobar Gil.</w:t>
      </w:r>
    </w:p>
  </w:footnote>
  <w:footnote w:id="26">
    <w:p w:rsidR="00F66BC9" w:rsidRDefault="00F66BC9" w:rsidP="00BB308E">
      <w:pPr>
        <w:jc w:val="both"/>
        <w:rPr>
          <w:color w:val="000000"/>
          <w:sz w:val="16"/>
          <w:szCs w:val="16"/>
        </w:rPr>
      </w:pPr>
      <w:r>
        <w:rPr>
          <w:vertAlign w:val="superscript"/>
        </w:rPr>
        <w:footnoteRef/>
      </w:r>
      <w:r>
        <w:rPr>
          <w:color w:val="000000"/>
          <w:sz w:val="16"/>
          <w:szCs w:val="16"/>
        </w:rPr>
        <w:t xml:space="preserve"> La Corte en Sentencia T-381 de 2009 y otras, refiere el derecho al agua para consumo humano, como un derecho reconocido en tratados internacionales –que se estudiaran en capítulos posteriores- integrándolo así en el bloque de constitucionalidad.</w:t>
      </w:r>
    </w:p>
  </w:footnote>
  <w:footnote w:id="27">
    <w:p w:rsidR="00F66BC9" w:rsidRDefault="00F66BC9" w:rsidP="00BB308E">
      <w:pPr>
        <w:jc w:val="both"/>
        <w:rPr>
          <w:color w:val="000000"/>
          <w:sz w:val="16"/>
          <w:szCs w:val="16"/>
        </w:rPr>
      </w:pPr>
      <w:r>
        <w:rPr>
          <w:vertAlign w:val="superscript"/>
        </w:rPr>
        <w:footnoteRef/>
      </w:r>
      <w:r>
        <w:rPr>
          <w:color w:val="000000"/>
          <w:sz w:val="16"/>
          <w:szCs w:val="16"/>
        </w:rPr>
        <w:t xml:space="preserve"> CORTE CONSTITUCIONAL. Sentencia T-270 de 2007. M.P.: Jaime Araujo Rentería.</w:t>
      </w:r>
    </w:p>
  </w:footnote>
  <w:footnote w:id="28">
    <w:p w:rsidR="00F66BC9" w:rsidRDefault="00F66BC9" w:rsidP="00BB308E">
      <w:pPr>
        <w:jc w:val="both"/>
        <w:rPr>
          <w:color w:val="000000"/>
          <w:sz w:val="16"/>
          <w:szCs w:val="16"/>
        </w:rPr>
      </w:pPr>
      <w:r>
        <w:rPr>
          <w:vertAlign w:val="superscript"/>
        </w:rPr>
        <w:footnoteRef/>
      </w:r>
      <w:r>
        <w:rPr>
          <w:color w:val="000000"/>
          <w:sz w:val="16"/>
          <w:szCs w:val="16"/>
        </w:rPr>
        <w:t xml:space="preserve"> DEFENSORIA DEL PUEBLO. El Derecho Humano al Agua en la Constitución, la Jurisprudencia y Los Instrumentos Internacionales” PROSEDHER. Bogotá. 2005. Página:</w:t>
      </w:r>
    </w:p>
  </w:footnote>
  <w:footnote w:id="29">
    <w:p w:rsidR="00F66BC9" w:rsidRDefault="00F66BC9" w:rsidP="00BB308E">
      <w:pPr>
        <w:jc w:val="both"/>
        <w:rPr>
          <w:color w:val="000000"/>
          <w:sz w:val="20"/>
          <w:szCs w:val="20"/>
        </w:rPr>
      </w:pPr>
      <w:r>
        <w:rPr>
          <w:vertAlign w:val="superscript"/>
        </w:rPr>
        <w:footnoteRef/>
      </w:r>
      <w:r>
        <w:rPr>
          <w:color w:val="000000"/>
          <w:sz w:val="16"/>
          <w:szCs w:val="16"/>
        </w:rPr>
        <w:t xml:space="preserve"> CORTE CONSTITUCIONAL. Sentencia C- 251 de 1997. M.P.: Alejandro Martínez Caballero. Dijo en su momento la Corte “No podrá restringirse o menoscabarse ninguno de los derechos reconocidos o vigentes en un Estado en virtud de su legislación interna o de convenciones internacionales, invocando como pretexto que tratados de derechos humanos internacionales ratificados por Colombia no los reconocen o los reconoce en menor grado”</w:t>
      </w:r>
    </w:p>
  </w:footnote>
  <w:footnote w:id="30">
    <w:p w:rsidR="00F66BC9" w:rsidRDefault="00F66BC9" w:rsidP="00BB308E">
      <w:pPr>
        <w:jc w:val="both"/>
        <w:rPr>
          <w:color w:val="000000"/>
          <w:sz w:val="20"/>
          <w:szCs w:val="20"/>
        </w:rPr>
      </w:pPr>
      <w:r>
        <w:rPr>
          <w:vertAlign w:val="superscript"/>
        </w:rPr>
        <w:footnoteRef/>
      </w:r>
      <w:r>
        <w:rPr>
          <w:color w:val="000000"/>
          <w:sz w:val="16"/>
          <w:szCs w:val="16"/>
        </w:rPr>
        <w:t xml:space="preserve"> CORTE CONSTITUCIONAL. Sentencia T – 381 de 2009. M.P.: Jorge Ignacio </w:t>
      </w:r>
      <w:proofErr w:type="spellStart"/>
      <w:r>
        <w:rPr>
          <w:color w:val="000000"/>
          <w:sz w:val="16"/>
          <w:szCs w:val="16"/>
        </w:rPr>
        <w:t>Pretelt</w:t>
      </w:r>
      <w:proofErr w:type="spellEnd"/>
      <w:r>
        <w:rPr>
          <w:color w:val="000000"/>
          <w:sz w:val="16"/>
          <w:szCs w:val="16"/>
        </w:rPr>
        <w:t xml:space="preserve"> </w:t>
      </w:r>
      <w:proofErr w:type="spellStart"/>
      <w:r>
        <w:rPr>
          <w:color w:val="000000"/>
          <w:sz w:val="16"/>
          <w:szCs w:val="16"/>
        </w:rPr>
        <w:t>Chaljub</w:t>
      </w:r>
      <w:proofErr w:type="spellEnd"/>
      <w:r>
        <w:rPr>
          <w:color w:val="000000"/>
          <w:sz w:val="16"/>
          <w:szCs w:val="16"/>
        </w:rPr>
        <w:t>.</w:t>
      </w:r>
    </w:p>
  </w:footnote>
  <w:footnote w:id="31">
    <w:p w:rsidR="00F66BC9" w:rsidRDefault="00F66BC9" w:rsidP="00BB308E">
      <w:pPr>
        <w:jc w:val="both"/>
        <w:rPr>
          <w:color w:val="000000"/>
          <w:sz w:val="20"/>
          <w:szCs w:val="20"/>
        </w:rPr>
      </w:pPr>
      <w:r>
        <w:rPr>
          <w:vertAlign w:val="superscript"/>
        </w:rPr>
        <w:footnoteRef/>
      </w:r>
      <w:r>
        <w:rPr>
          <w:color w:val="000000"/>
          <w:sz w:val="20"/>
          <w:szCs w:val="20"/>
        </w:rPr>
        <w:t xml:space="preserve"> CORTE CONSTITUCIONAL. Sentencia T- 818 de 2009. M.P.: Nilson Pinilla </w:t>
      </w:r>
      <w:proofErr w:type="spellStart"/>
      <w:r>
        <w:rPr>
          <w:color w:val="000000"/>
          <w:sz w:val="20"/>
          <w:szCs w:val="20"/>
        </w:rPr>
        <w:t>Pinilla</w:t>
      </w:r>
      <w:proofErr w:type="spellEnd"/>
      <w:r>
        <w:rPr>
          <w:color w:val="000000"/>
          <w:sz w:val="20"/>
          <w:szCs w:val="20"/>
        </w:rPr>
        <w:t>.</w:t>
      </w:r>
    </w:p>
  </w:footnote>
  <w:footnote w:id="32">
    <w:p w:rsidR="00F66BC9" w:rsidRDefault="00F66BC9" w:rsidP="00BB308E">
      <w:pPr>
        <w:jc w:val="both"/>
        <w:rPr>
          <w:color w:val="000000"/>
          <w:sz w:val="20"/>
          <w:szCs w:val="20"/>
        </w:rPr>
      </w:pPr>
      <w:r>
        <w:rPr>
          <w:vertAlign w:val="superscript"/>
        </w:rPr>
        <w:footnoteRef/>
      </w:r>
      <w:r>
        <w:rPr>
          <w:color w:val="000000"/>
          <w:sz w:val="20"/>
          <w:szCs w:val="20"/>
        </w:rPr>
        <w:t xml:space="preserve"> Ibídem.</w:t>
      </w:r>
    </w:p>
  </w:footnote>
  <w:footnote w:id="33">
    <w:p w:rsidR="00F66BC9" w:rsidRDefault="00F66BC9" w:rsidP="00BB308E">
      <w:pPr>
        <w:jc w:val="both"/>
        <w:rPr>
          <w:color w:val="000000"/>
          <w:sz w:val="16"/>
          <w:szCs w:val="16"/>
        </w:rPr>
      </w:pPr>
      <w:r>
        <w:rPr>
          <w:vertAlign w:val="superscript"/>
        </w:rPr>
        <w:footnoteRef/>
      </w:r>
      <w:r>
        <w:rPr>
          <w:color w:val="000000"/>
          <w:sz w:val="16"/>
          <w:szCs w:val="16"/>
        </w:rPr>
        <w:t xml:space="preserve"> Son domiciliarios por cuanto se entiende que deben llegar de manera efectiva a la residencia de las personas, lo cual tiene como excepción en acueducto: la venta de agua en bloque y la prestación por pilas públicas.</w:t>
      </w:r>
    </w:p>
  </w:footnote>
  <w:footnote w:id="34">
    <w:p w:rsidR="00F66BC9" w:rsidRDefault="00F66BC9" w:rsidP="00BB308E">
      <w:pPr>
        <w:jc w:val="both"/>
        <w:rPr>
          <w:color w:val="000000"/>
          <w:sz w:val="16"/>
          <w:szCs w:val="16"/>
        </w:rPr>
      </w:pPr>
      <w:r>
        <w:rPr>
          <w:vertAlign w:val="superscript"/>
        </w:rPr>
        <w:footnoteRef/>
      </w:r>
      <w:r>
        <w:rPr>
          <w:color w:val="000000"/>
          <w:sz w:val="16"/>
          <w:szCs w:val="16"/>
        </w:rPr>
        <w:t xml:space="preserve"> CORTE CONSTITUCIONAL, Sentencia C-636 de 2000, M.P. ANTONIO BARRERA CARBONELL.</w:t>
      </w:r>
    </w:p>
  </w:footnote>
  <w:footnote w:id="35">
    <w:p w:rsidR="00F66BC9" w:rsidRDefault="00F66BC9" w:rsidP="00BB308E">
      <w:pPr>
        <w:jc w:val="both"/>
        <w:rPr>
          <w:color w:val="000000"/>
          <w:sz w:val="16"/>
          <w:szCs w:val="16"/>
        </w:rPr>
      </w:pPr>
      <w:r>
        <w:rPr>
          <w:vertAlign w:val="superscript"/>
        </w:rPr>
        <w:footnoteRef/>
      </w:r>
      <w:r>
        <w:rPr>
          <w:color w:val="000000"/>
          <w:sz w:val="16"/>
          <w:szCs w:val="16"/>
        </w:rPr>
        <w:t xml:space="preserve"> Artículos 15 y 17 de la Ley 142 de 1994</w:t>
      </w:r>
    </w:p>
  </w:footnote>
  <w:footnote w:id="36">
    <w:p w:rsidR="00F66BC9" w:rsidRDefault="00F66BC9" w:rsidP="00BB308E">
      <w:pPr>
        <w:jc w:val="both"/>
        <w:rPr>
          <w:color w:val="000000"/>
          <w:sz w:val="20"/>
          <w:szCs w:val="20"/>
        </w:rPr>
      </w:pPr>
      <w:r>
        <w:rPr>
          <w:vertAlign w:val="superscript"/>
        </w:rPr>
        <w:footnoteRef/>
      </w:r>
      <w:r>
        <w:rPr>
          <w:color w:val="000000"/>
          <w:sz w:val="16"/>
          <w:szCs w:val="16"/>
        </w:rPr>
        <w:t xml:space="preserve"> </w:t>
      </w:r>
      <w:proofErr w:type="gramStart"/>
      <w:r>
        <w:rPr>
          <w:color w:val="000000"/>
          <w:sz w:val="16"/>
          <w:szCs w:val="16"/>
        </w:rPr>
        <w:t>Los municipios podrá</w:t>
      </w:r>
      <w:proofErr w:type="gramEnd"/>
      <w:r>
        <w:rPr>
          <w:color w:val="000000"/>
          <w:sz w:val="16"/>
          <w:szCs w:val="16"/>
        </w:rPr>
        <w:t xml:space="preserve"> prestar los servicios siempre y cuando agoten el procedimiento descrito en el artículo 6 de la Ley 142 de 1994.</w:t>
      </w:r>
    </w:p>
  </w:footnote>
  <w:footnote w:id="37">
    <w:p w:rsidR="00F66BC9" w:rsidRDefault="00F66BC9" w:rsidP="00BB308E">
      <w:pPr>
        <w:jc w:val="both"/>
        <w:rPr>
          <w:color w:val="000000"/>
          <w:sz w:val="16"/>
          <w:szCs w:val="16"/>
        </w:rPr>
      </w:pPr>
      <w:r>
        <w:rPr>
          <w:vertAlign w:val="superscript"/>
        </w:rPr>
        <w:footnoteRef/>
      </w:r>
      <w:r>
        <w:rPr>
          <w:color w:val="000000"/>
          <w:sz w:val="16"/>
          <w:szCs w:val="16"/>
        </w:rPr>
        <w:t xml:space="preserve"> Objetivo 6: Garantizar la disponibilidad de agua y su gestión sostenible y el saneamiento para todos Disponible en línea, en </w:t>
      </w:r>
      <w:hyperlink r:id="rId2" w:history="1">
        <w:r>
          <w:rPr>
            <w:rStyle w:val="Hipervnculo"/>
            <w:sz w:val="16"/>
            <w:szCs w:val="16"/>
          </w:rPr>
          <w:t>http://www.un.org/sustainabledevelopment/es/water-and-sanitation/</w:t>
        </w:r>
      </w:hyperlink>
      <w:r>
        <w:rPr>
          <w:color w:val="000000"/>
          <w:sz w:val="16"/>
          <w:szCs w:val="16"/>
        </w:rPr>
        <w:t xml:space="preserve"> </w:t>
      </w:r>
    </w:p>
  </w:footnote>
  <w:footnote w:id="38">
    <w:p w:rsidR="00F66BC9" w:rsidRDefault="00F66BC9" w:rsidP="00BB308E">
      <w:pPr>
        <w:jc w:val="both"/>
        <w:rPr>
          <w:color w:val="000000"/>
          <w:sz w:val="16"/>
          <w:szCs w:val="16"/>
        </w:rPr>
      </w:pPr>
      <w:r>
        <w:rPr>
          <w:vertAlign w:val="superscript"/>
        </w:rPr>
        <w:footnoteRef/>
      </w:r>
      <w:r>
        <w:rPr>
          <w:color w:val="000000"/>
          <w:sz w:val="16"/>
          <w:szCs w:val="16"/>
        </w:rPr>
        <w:t xml:space="preserve"> Corte Constitucional. Sentencia T-028 de 2014. </w:t>
      </w:r>
    </w:p>
  </w:footnote>
  <w:footnote w:id="39">
    <w:p w:rsidR="00F66BC9" w:rsidRDefault="00F66BC9" w:rsidP="00BB308E">
      <w:pPr>
        <w:jc w:val="both"/>
        <w:rPr>
          <w:color w:val="000000"/>
          <w:sz w:val="16"/>
          <w:szCs w:val="16"/>
        </w:rPr>
      </w:pPr>
      <w:r>
        <w:rPr>
          <w:vertAlign w:val="superscript"/>
        </w:rPr>
        <w:footnoteRef/>
      </w:r>
      <w:r>
        <w:rPr>
          <w:color w:val="000000"/>
          <w:sz w:val="16"/>
          <w:szCs w:val="16"/>
        </w:rPr>
        <w:t xml:space="preserve"> Decenio del Agua: El derecho humano al agua y al saneamiento. Disponible en línea en : </w:t>
      </w:r>
      <w:hyperlink r:id="rId3" w:history="1">
        <w:r>
          <w:rPr>
            <w:rStyle w:val="Hipervnculo"/>
            <w:sz w:val="16"/>
            <w:szCs w:val="16"/>
          </w:rPr>
          <w:t>http://www.un.org/spanish/waterforlifedecade/human_right_to_water.shtml</w:t>
        </w:r>
      </w:hyperlink>
      <w:r>
        <w:rPr>
          <w:color w:val="000000"/>
          <w:sz w:val="16"/>
          <w:szCs w:val="16"/>
        </w:rPr>
        <w:t xml:space="preserve"> </w:t>
      </w:r>
    </w:p>
  </w:footnote>
  <w:footnote w:id="40">
    <w:p w:rsidR="00F66BC9" w:rsidRDefault="00F66BC9" w:rsidP="00BB308E">
      <w:pPr>
        <w:jc w:val="both"/>
        <w:rPr>
          <w:color w:val="000000"/>
          <w:sz w:val="16"/>
          <w:szCs w:val="16"/>
        </w:rPr>
      </w:pPr>
      <w:r>
        <w:rPr>
          <w:vertAlign w:val="superscript"/>
        </w:rPr>
        <w:footnoteRef/>
      </w:r>
      <w:r>
        <w:rPr>
          <w:color w:val="000000"/>
          <w:sz w:val="16"/>
          <w:szCs w:val="16"/>
        </w:rPr>
        <w:t xml:space="preserve"> ONU. Observación general número 15: El derecho al agua (artículos 11 y 12 del Pacto Internacional de Derechos Económicos, Sociales y Culturales).</w:t>
      </w:r>
    </w:p>
  </w:footnote>
  <w:footnote w:id="41">
    <w:p w:rsidR="00F66BC9" w:rsidRDefault="00F66BC9" w:rsidP="00BB308E">
      <w:pPr>
        <w:rPr>
          <w:color w:val="000000"/>
          <w:sz w:val="16"/>
          <w:szCs w:val="16"/>
        </w:rPr>
      </w:pPr>
      <w:r>
        <w:rPr>
          <w:vertAlign w:val="superscript"/>
        </w:rPr>
        <w:footnoteRef/>
      </w:r>
      <w:r>
        <w:rPr>
          <w:color w:val="000000"/>
          <w:sz w:val="16"/>
          <w:szCs w:val="16"/>
        </w:rPr>
        <w:t xml:space="preserve"> Gómez-Rey, A. y </w:t>
      </w:r>
      <w:proofErr w:type="spellStart"/>
      <w:r>
        <w:rPr>
          <w:color w:val="000000"/>
          <w:sz w:val="16"/>
          <w:szCs w:val="16"/>
        </w:rPr>
        <w:t>Rodriguez</w:t>
      </w:r>
      <w:proofErr w:type="spellEnd"/>
      <w:r>
        <w:rPr>
          <w:color w:val="000000"/>
          <w:sz w:val="16"/>
          <w:szCs w:val="16"/>
        </w:rPr>
        <w:t xml:space="preserve">, G. El derecho fundamental al agua. Desde el derecho ambiental y los servicios públicos domiciliarios. </w:t>
      </w:r>
      <w:proofErr w:type="spellStart"/>
      <w:r>
        <w:rPr>
          <w:color w:val="000000"/>
          <w:sz w:val="16"/>
          <w:szCs w:val="16"/>
        </w:rPr>
        <w:t>Legis</w:t>
      </w:r>
      <w:proofErr w:type="spellEnd"/>
      <w:r>
        <w:rPr>
          <w:color w:val="000000"/>
          <w:sz w:val="16"/>
          <w:szCs w:val="16"/>
        </w:rPr>
        <w:t xml:space="preserve"> Editores. Bogotá, 2013</w:t>
      </w:r>
    </w:p>
  </w:footnote>
  <w:footnote w:id="42">
    <w:p w:rsidR="00F66BC9" w:rsidRDefault="00F66BC9" w:rsidP="00BB308E">
      <w:pPr>
        <w:widowControl w:val="0"/>
        <w:jc w:val="both"/>
        <w:rPr>
          <w:color w:val="000000"/>
          <w:sz w:val="20"/>
          <w:szCs w:val="20"/>
        </w:rPr>
      </w:pPr>
      <w:r>
        <w:rPr>
          <w:vertAlign w:val="superscript"/>
        </w:rPr>
        <w:footnoteRef/>
      </w:r>
      <w:r>
        <w:rPr>
          <w:color w:val="000000"/>
          <w:sz w:val="16"/>
          <w:szCs w:val="16"/>
        </w:rPr>
        <w:t xml:space="preserve"> Como se ha venido planteando a lo largo del documento, el acceso al agua en condiciones de salubridad, ha sido entendido como un derecho fundamental, pues este permite la vida en condiciones dignas. Desde una perspectiva más amplia, el agua como elemento del ambiente también hace parte del derecho.</w:t>
      </w:r>
    </w:p>
  </w:footnote>
  <w:footnote w:id="43">
    <w:p w:rsidR="00F66BC9" w:rsidRDefault="00F66BC9" w:rsidP="00BB308E">
      <w:pPr>
        <w:jc w:val="both"/>
        <w:rPr>
          <w:color w:val="000000"/>
          <w:sz w:val="16"/>
          <w:szCs w:val="16"/>
        </w:rPr>
      </w:pPr>
      <w:r>
        <w:rPr>
          <w:vertAlign w:val="superscript"/>
        </w:rPr>
        <w:footnoteRef/>
      </w:r>
      <w:r>
        <w:rPr>
          <w:color w:val="000000"/>
          <w:sz w:val="16"/>
          <w:szCs w:val="16"/>
        </w:rPr>
        <w:t xml:space="preserve"> CORTE CONSTITUCIONAL COLOMBIANA. Sentencia T-188 de 2012. M.P. Humberto Antonio Sierra Porto.</w:t>
      </w:r>
    </w:p>
  </w:footnote>
  <w:footnote w:id="44">
    <w:p w:rsidR="00F66BC9" w:rsidRDefault="00F66BC9" w:rsidP="00BB308E">
      <w:pPr>
        <w:jc w:val="both"/>
        <w:rPr>
          <w:sz w:val="16"/>
          <w:szCs w:val="16"/>
        </w:rPr>
      </w:pPr>
      <w:r>
        <w:rPr>
          <w:vertAlign w:val="superscript"/>
        </w:rPr>
        <w:footnoteRef/>
      </w:r>
      <w:r>
        <w:rPr>
          <w:sz w:val="16"/>
          <w:szCs w:val="16"/>
        </w:rPr>
        <w:t xml:space="preserve"> RODRÍGUEZ, Gloria Amparo, LOZANO, Carlos y GÓMEZ REY, Andrés. La protección jurídica del agua en Colombia. Bogotá: Grupo Editorial Ibáñez, 2011.</w:t>
      </w:r>
    </w:p>
  </w:footnote>
  <w:footnote w:id="45">
    <w:p w:rsidR="00F66BC9" w:rsidRDefault="00F66BC9" w:rsidP="00BB308E">
      <w:pPr>
        <w:jc w:val="both"/>
        <w:rPr>
          <w:color w:val="000000"/>
          <w:sz w:val="16"/>
          <w:szCs w:val="16"/>
        </w:rPr>
      </w:pPr>
      <w:r>
        <w:rPr>
          <w:vertAlign w:val="superscript"/>
        </w:rPr>
        <w:footnoteRef/>
      </w:r>
      <w:r>
        <w:rPr>
          <w:color w:val="000000"/>
          <w:sz w:val="16"/>
          <w:szCs w:val="16"/>
        </w:rPr>
        <w:t xml:space="preserve"> Se debe hacer la siguiente precisión: En el Derecho Internacional de los Derechos Humanos el agua en el marco del conflicto debe ser respetada por todos los actores. En el Derecho Internacional Humanitario es obligación del Estado no interferir, como bien podría serlo, destruir los páramos o las tuberías.  </w:t>
      </w:r>
    </w:p>
  </w:footnote>
  <w:footnote w:id="46">
    <w:p w:rsidR="00F66BC9" w:rsidRDefault="00F66BC9" w:rsidP="00BB308E">
      <w:pPr>
        <w:jc w:val="both"/>
        <w:rPr>
          <w:color w:val="000000"/>
          <w:sz w:val="20"/>
          <w:szCs w:val="20"/>
        </w:rPr>
      </w:pPr>
      <w:r>
        <w:rPr>
          <w:vertAlign w:val="superscript"/>
        </w:rPr>
        <w:footnoteRef/>
      </w:r>
      <w:r>
        <w:rPr>
          <w:color w:val="000000"/>
          <w:sz w:val="16"/>
          <w:szCs w:val="16"/>
        </w:rPr>
        <w:t xml:space="preserve"> A manera de ejemplo en el Departamento de la Guajira.</w:t>
      </w:r>
    </w:p>
  </w:footnote>
  <w:footnote w:id="47">
    <w:p w:rsidR="00F66BC9" w:rsidRDefault="00F66BC9" w:rsidP="00BB308E">
      <w:pPr>
        <w:jc w:val="both"/>
        <w:rPr>
          <w:color w:val="000000"/>
          <w:sz w:val="16"/>
          <w:szCs w:val="16"/>
        </w:rPr>
      </w:pPr>
      <w:r>
        <w:rPr>
          <w:vertAlign w:val="superscript"/>
        </w:rPr>
        <w:footnoteRef/>
      </w:r>
      <w:r>
        <w:rPr>
          <w:color w:val="000000"/>
          <w:sz w:val="16"/>
          <w:szCs w:val="16"/>
        </w:rPr>
        <w:t xml:space="preserve"> Sobre este particular debemos resaltar que el artículo del Código Nacional de Recursos Naturales Renovables y de Protección al Medio Ambiente (decreto Ley 2811 de 1974), reza en su artículo 9 que el uso de los recursos y demás elementos ambientales deben ser utilizados en forma eficiente para lograr su máximo provecho. </w:t>
      </w:r>
    </w:p>
  </w:footnote>
  <w:footnote w:id="48">
    <w:p w:rsidR="00F66BC9" w:rsidRDefault="00F66BC9" w:rsidP="00BB308E">
      <w:pPr>
        <w:jc w:val="both"/>
        <w:rPr>
          <w:color w:val="000000"/>
          <w:sz w:val="16"/>
          <w:szCs w:val="16"/>
        </w:rPr>
      </w:pPr>
      <w:r>
        <w:rPr>
          <w:vertAlign w:val="superscript"/>
        </w:rPr>
        <w:footnoteRef/>
      </w:r>
      <w:r>
        <w:rPr>
          <w:sz w:val="16"/>
          <w:szCs w:val="16"/>
        </w:rPr>
        <w:t xml:space="preserve"> En este sentido, existe un componente ético que implica responsabilidad no solo con las personas que actualmente tienen derecho. En consecuencia, e</w:t>
      </w:r>
      <w:r>
        <w:rPr>
          <w:color w:val="000000"/>
          <w:sz w:val="16"/>
          <w:szCs w:val="16"/>
        </w:rPr>
        <w:t xml:space="preserve">l DHA debe garantizarse en forma tal que responda equitativamente a las necesidades de las generaciones presentes y futuras. </w:t>
      </w:r>
    </w:p>
  </w:footnote>
  <w:footnote w:id="49">
    <w:p w:rsidR="00F66BC9" w:rsidRDefault="00F66BC9" w:rsidP="00BB308E">
      <w:pPr>
        <w:jc w:val="both"/>
        <w:rPr>
          <w:color w:val="000000"/>
          <w:sz w:val="20"/>
          <w:szCs w:val="20"/>
        </w:rPr>
      </w:pPr>
      <w:r>
        <w:rPr>
          <w:vertAlign w:val="superscript"/>
        </w:rPr>
        <w:footnoteRef/>
      </w:r>
      <w:r>
        <w:rPr>
          <w:color w:val="000000"/>
          <w:sz w:val="16"/>
          <w:szCs w:val="16"/>
        </w:rPr>
        <w:t xml:space="preserve"> Aunque los particulares también poseen la obligación de cuidado. Véanse los artículos 79, 80 y 95 de la Constitución Política de Colombia.</w:t>
      </w:r>
    </w:p>
  </w:footnote>
  <w:footnote w:id="50">
    <w:p w:rsidR="00F66BC9" w:rsidRDefault="00F66BC9" w:rsidP="00BB308E">
      <w:pPr>
        <w:jc w:val="both"/>
        <w:rPr>
          <w:color w:val="000000"/>
          <w:sz w:val="20"/>
          <w:szCs w:val="20"/>
        </w:rPr>
      </w:pPr>
      <w:r>
        <w:rPr>
          <w:vertAlign w:val="superscript"/>
        </w:rPr>
        <w:footnoteRef/>
      </w:r>
      <w:r>
        <w:rPr>
          <w:color w:val="000000"/>
          <w:sz w:val="16"/>
          <w:szCs w:val="16"/>
        </w:rPr>
        <w:t xml:space="preserve"> CORTE CONSTITUCIONAL COLOMBIANA. Sentencia C-632 de 2011. M.P. Gabriel Eduardo Mendoza Martelo.</w:t>
      </w:r>
    </w:p>
  </w:footnote>
  <w:footnote w:id="51">
    <w:p w:rsidR="00F66BC9" w:rsidRDefault="00F66BC9" w:rsidP="00BB308E">
      <w:pPr>
        <w:jc w:val="both"/>
        <w:rPr>
          <w:color w:val="000000"/>
          <w:sz w:val="16"/>
          <w:szCs w:val="16"/>
        </w:rPr>
      </w:pPr>
      <w:r>
        <w:rPr>
          <w:vertAlign w:val="superscript"/>
        </w:rPr>
        <w:footnoteRef/>
      </w:r>
      <w:r>
        <w:rPr>
          <w:color w:val="000000"/>
          <w:sz w:val="16"/>
          <w:szCs w:val="16"/>
        </w:rPr>
        <w:t xml:space="preserve"> Ibídem.</w:t>
      </w:r>
    </w:p>
  </w:footnote>
  <w:footnote w:id="52">
    <w:p w:rsidR="00F66BC9" w:rsidRDefault="00F66BC9" w:rsidP="00BB308E">
      <w:pPr>
        <w:jc w:val="both"/>
        <w:rPr>
          <w:color w:val="000000"/>
          <w:sz w:val="16"/>
          <w:szCs w:val="16"/>
        </w:rPr>
      </w:pPr>
      <w:r>
        <w:rPr>
          <w:vertAlign w:val="superscript"/>
        </w:rPr>
        <w:footnoteRef/>
      </w:r>
      <w:r>
        <w:rPr>
          <w:color w:val="000000"/>
          <w:sz w:val="16"/>
          <w:szCs w:val="16"/>
        </w:rPr>
        <w:t xml:space="preserve"> Ibídem.</w:t>
      </w:r>
    </w:p>
  </w:footnote>
  <w:footnote w:id="53">
    <w:p w:rsidR="00F66BC9" w:rsidRDefault="00F66BC9" w:rsidP="00BB308E">
      <w:pPr>
        <w:jc w:val="both"/>
        <w:rPr>
          <w:color w:val="000000"/>
          <w:sz w:val="20"/>
          <w:szCs w:val="20"/>
        </w:rPr>
      </w:pPr>
      <w:r>
        <w:rPr>
          <w:vertAlign w:val="superscript"/>
        </w:rPr>
        <w:footnoteRef/>
      </w:r>
      <w:r>
        <w:rPr>
          <w:color w:val="000000"/>
          <w:sz w:val="16"/>
          <w:szCs w:val="16"/>
        </w:rPr>
        <w:t xml:space="preserve"> Adelante se observará como este punto ha sido abarcado por el derecho ambiental al contemplar la obligación de realizar programas para el uso eficiente y ahorro del agua.</w:t>
      </w:r>
    </w:p>
  </w:footnote>
  <w:footnote w:id="54">
    <w:p w:rsidR="00F66BC9" w:rsidRDefault="00F66BC9" w:rsidP="00BB308E">
      <w:pPr>
        <w:jc w:val="both"/>
        <w:rPr>
          <w:color w:val="000000"/>
          <w:sz w:val="20"/>
          <w:szCs w:val="20"/>
        </w:rPr>
      </w:pPr>
      <w:r>
        <w:rPr>
          <w:vertAlign w:val="superscript"/>
        </w:rPr>
        <w:footnoteRef/>
      </w:r>
      <w:r>
        <w:rPr>
          <w:color w:val="000000"/>
          <w:sz w:val="16"/>
          <w:szCs w:val="16"/>
        </w:rPr>
        <w:t xml:space="preserve"> CORTE CONSTITUCIONAL COLOMBIANA. Sentencia T-188 de 2012. M.P. Humberto Antonio Sierra Porto.</w:t>
      </w:r>
    </w:p>
  </w:footnote>
  <w:footnote w:id="55">
    <w:p w:rsidR="00F66BC9" w:rsidRDefault="00F66BC9" w:rsidP="00BB308E">
      <w:pPr>
        <w:jc w:val="both"/>
        <w:rPr>
          <w:color w:val="000000"/>
          <w:sz w:val="16"/>
          <w:szCs w:val="16"/>
        </w:rPr>
      </w:pPr>
      <w:r>
        <w:rPr>
          <w:vertAlign w:val="superscript"/>
        </w:rPr>
        <w:footnoteRef/>
      </w:r>
      <w:r>
        <w:rPr>
          <w:color w:val="000000"/>
          <w:sz w:val="16"/>
          <w:szCs w:val="16"/>
        </w:rPr>
        <w:t xml:space="preserve"> CORTE CONSTITUCIONAL COLOMBIANA. Sentencia T-188 de 2012. M.P. Humberto Antonio Sierra Porto.</w:t>
      </w:r>
    </w:p>
  </w:footnote>
  <w:footnote w:id="56">
    <w:p w:rsidR="00F66BC9" w:rsidRDefault="00F66BC9" w:rsidP="00BB308E">
      <w:pPr>
        <w:jc w:val="both"/>
        <w:rPr>
          <w:color w:val="000000"/>
          <w:sz w:val="20"/>
          <w:szCs w:val="20"/>
        </w:rPr>
      </w:pPr>
      <w:r>
        <w:rPr>
          <w:vertAlign w:val="superscript"/>
        </w:rPr>
        <w:footnoteRef/>
      </w:r>
      <w:r>
        <w:rPr>
          <w:color w:val="000000"/>
          <w:sz w:val="16"/>
          <w:szCs w:val="16"/>
        </w:rPr>
        <w:t xml:space="preserve"> Ibídem.</w:t>
      </w:r>
    </w:p>
  </w:footnote>
  <w:footnote w:id="57">
    <w:p w:rsidR="00F66BC9" w:rsidRDefault="00F66BC9" w:rsidP="00BB308E">
      <w:pPr>
        <w:ind w:left="57"/>
        <w:jc w:val="both"/>
        <w:rPr>
          <w:sz w:val="16"/>
          <w:szCs w:val="16"/>
        </w:rPr>
      </w:pPr>
      <w:r>
        <w:rPr>
          <w:vertAlign w:val="superscript"/>
        </w:rPr>
        <w:footnoteRef/>
      </w:r>
      <w:r>
        <w:rPr>
          <w:sz w:val="16"/>
          <w:szCs w:val="16"/>
        </w:rPr>
        <w:t>RODRÍGUEZ, Gloria Amparo y MUÑOZ AVILA, Lina Marcela. “La Participación en la Gestión Ambiental. Un Reto para el Nuevo Milenio”. Universidad del Rosario. Bogotá 2009.</w:t>
      </w:r>
    </w:p>
  </w:footnote>
  <w:footnote w:id="58">
    <w:p w:rsidR="00F66BC9" w:rsidRDefault="00F66BC9" w:rsidP="00BB308E">
      <w:pPr>
        <w:ind w:left="57"/>
        <w:jc w:val="both"/>
        <w:rPr>
          <w:sz w:val="16"/>
          <w:szCs w:val="16"/>
        </w:rPr>
      </w:pPr>
      <w:r>
        <w:rPr>
          <w:vertAlign w:val="superscript"/>
        </w:rPr>
        <w:footnoteRef/>
      </w:r>
      <w:r>
        <w:rPr>
          <w:sz w:val="16"/>
          <w:szCs w:val="16"/>
        </w:rPr>
        <w:tab/>
        <w:t xml:space="preserve"> Ibídem.</w:t>
      </w:r>
    </w:p>
  </w:footnote>
  <w:footnote w:id="59">
    <w:p w:rsidR="00F66BC9" w:rsidRDefault="00F66BC9" w:rsidP="00BB308E">
      <w:pPr>
        <w:jc w:val="both"/>
        <w:rPr>
          <w:color w:val="000000"/>
          <w:sz w:val="16"/>
          <w:szCs w:val="16"/>
        </w:rPr>
      </w:pPr>
      <w:r>
        <w:rPr>
          <w:vertAlign w:val="superscript"/>
        </w:rPr>
        <w:footnoteRef/>
      </w:r>
      <w:r>
        <w:rPr>
          <w:color w:val="000000"/>
          <w:sz w:val="16"/>
          <w:szCs w:val="16"/>
        </w:rPr>
        <w:t xml:space="preserve"> CORTE CONSTITUCIONAL COLOMBIANA. Sentencia T-188 de 2012. M.P. Humberto Antonio Sierra Porto.</w:t>
      </w:r>
    </w:p>
  </w:footnote>
  <w:footnote w:id="60">
    <w:p w:rsidR="00F66BC9" w:rsidRDefault="00F66BC9" w:rsidP="00BB308E">
      <w:pPr>
        <w:jc w:val="both"/>
        <w:rPr>
          <w:color w:val="000000"/>
          <w:sz w:val="20"/>
          <w:szCs w:val="20"/>
        </w:rPr>
      </w:pPr>
      <w:r>
        <w:rPr>
          <w:vertAlign w:val="superscript"/>
        </w:rPr>
        <w:footnoteRef/>
      </w:r>
      <w:r>
        <w:rPr>
          <w:color w:val="000000"/>
          <w:sz w:val="16"/>
          <w:szCs w:val="16"/>
        </w:rPr>
        <w:t xml:space="preserve"> CORTE CONSTITUCIONAL COLOMBIANA. Sentencia T-188 de 2012. M.P. Humberto Antonio Sierra Porto.</w:t>
      </w:r>
    </w:p>
  </w:footnote>
  <w:footnote w:id="61">
    <w:p w:rsidR="00F66BC9" w:rsidRDefault="00F66BC9" w:rsidP="008158BD">
      <w:pPr>
        <w:pStyle w:val="Textonotapie"/>
        <w:jc w:val="both"/>
      </w:pPr>
      <w:r>
        <w:rPr>
          <w:rStyle w:val="Refdenotaalpie"/>
        </w:rPr>
        <w:footnoteRef/>
      </w:r>
      <w:r>
        <w:t xml:space="preserve"> </w:t>
      </w:r>
      <w:r w:rsidRPr="001D1BE5">
        <w:t xml:space="preserve">El </w:t>
      </w:r>
      <w:proofErr w:type="spellStart"/>
      <w:r w:rsidRPr="001D1BE5">
        <w:t>hidrodinamismo</w:t>
      </w:r>
      <w:proofErr w:type="spellEnd"/>
      <w:r w:rsidRPr="001D1BE5">
        <w:t xml:space="preserve"> ocurre en aquellos yacimientos petroleros que tienen algún acuífero activo que actúa como energía del mismo (el agua empuja el crudo desde la roca hacia los pozos)</w:t>
      </w:r>
    </w:p>
  </w:footnote>
  <w:footnote w:id="62">
    <w:p w:rsidR="00F66BC9" w:rsidRPr="00E711A8" w:rsidRDefault="00F66BC9" w:rsidP="00CD27DC">
      <w:pPr>
        <w:pStyle w:val="Textonotapie"/>
        <w:spacing w:after="120"/>
        <w:jc w:val="both"/>
        <w:rPr>
          <w:rFonts w:cs="Calibri"/>
          <w:lang w:val="es-ES"/>
        </w:rPr>
      </w:pPr>
      <w:r w:rsidRPr="00E711A8">
        <w:rPr>
          <w:rStyle w:val="Refdenotaalpie"/>
          <w:rFonts w:cs="Calibri"/>
        </w:rPr>
        <w:footnoteRef/>
      </w:r>
      <w:r w:rsidRPr="00E711A8">
        <w:rPr>
          <w:rFonts w:cs="Calibri"/>
          <w:lang w:val="es-ES"/>
        </w:rPr>
        <w:t xml:space="preserve"> Respuesta al cuestionario de la CIDH sobre “acceso al agua” en las Américas presentada por Uruguay, pág. 1. Además, del </w:t>
      </w:r>
      <w:hyperlink r:id="rId4" w:history="1">
        <w:r w:rsidRPr="00E711A8">
          <w:rPr>
            <w:rStyle w:val="Hipervnculo"/>
            <w:rFonts w:eastAsia="MS Mincho" w:cs="Calibri"/>
            <w:lang w:val="es-ES"/>
          </w:rPr>
          <w:t>Informe de la Relatora Especial sobre el derecho humano al agua potable y el saneamiento</w:t>
        </w:r>
      </w:hyperlink>
      <w:r w:rsidRPr="00E711A8">
        <w:rPr>
          <w:rFonts w:cs="Calibri"/>
          <w:lang w:val="es-ES"/>
        </w:rPr>
        <w:t xml:space="preserve">, Catarina de Albuquerque,  Misión al Uruguay (13 a 17 de febrero de 2012) se desprende que la sociedad civil habría desempeñado un rol fundamental en la promoción del referéndum del año 2004 que condujo al reconocimiento del derecho al agua, el 64,61% de la población votó a favor del reconocimiento del agua y el saneamiento como derechos humanos y de su suministro exclusivo por parte de Estado. </w:t>
      </w:r>
    </w:p>
  </w:footnote>
  <w:footnote w:id="63">
    <w:p w:rsidR="00F66BC9" w:rsidRPr="00E711A8" w:rsidRDefault="00F66BC9" w:rsidP="00CD27DC">
      <w:pPr>
        <w:pStyle w:val="Lista"/>
        <w:spacing w:after="120"/>
        <w:ind w:left="0" w:firstLine="0"/>
        <w:jc w:val="both"/>
        <w:rPr>
          <w:rFonts w:ascii="Calibri Light" w:hAnsi="Calibri Light"/>
          <w:sz w:val="16"/>
          <w:szCs w:val="16"/>
        </w:rPr>
      </w:pPr>
      <w:r w:rsidRPr="00E711A8">
        <w:rPr>
          <w:rStyle w:val="Refdenotaalpie"/>
          <w:rFonts w:cs="Calibri"/>
          <w:sz w:val="20"/>
          <w:szCs w:val="20"/>
        </w:rPr>
        <w:footnoteRef/>
      </w:r>
      <w:r w:rsidRPr="00E711A8">
        <w:rPr>
          <w:rFonts w:cs="Calibri"/>
          <w:sz w:val="20"/>
          <w:szCs w:val="20"/>
        </w:rPr>
        <w:t xml:space="preserve"> Poder Legislativo, </w:t>
      </w:r>
      <w:hyperlink r:id="rId5" w:history="1">
        <w:r w:rsidRPr="00E711A8">
          <w:rPr>
            <w:rStyle w:val="Hipervnculo"/>
            <w:rFonts w:eastAsia="MS Mincho" w:cs="Calibri"/>
            <w:sz w:val="20"/>
            <w:szCs w:val="20"/>
          </w:rPr>
          <w:t>Constitución de la Republica de Ecuador</w:t>
        </w:r>
      </w:hyperlink>
      <w:r w:rsidRPr="00E711A8">
        <w:rPr>
          <w:rFonts w:cs="Calibri"/>
          <w:sz w:val="20"/>
          <w:szCs w:val="20"/>
        </w:rPr>
        <w:t>, artículo 12.</w:t>
      </w:r>
      <w:r w:rsidRPr="00E711A8">
        <w:rPr>
          <w:rFonts w:ascii="Calibri Light" w:hAnsi="Calibri Light" w:cs="Arial"/>
          <w:sz w:val="16"/>
          <w:szCs w:val="16"/>
        </w:rPr>
        <w:t xml:space="preserve"> </w:t>
      </w:r>
    </w:p>
  </w:footnote>
  <w:footnote w:id="64">
    <w:p w:rsidR="00F66BC9" w:rsidRPr="00E711A8" w:rsidRDefault="00F66BC9" w:rsidP="00CD27DC">
      <w:pPr>
        <w:pStyle w:val="Textonotapie"/>
        <w:spacing w:after="120"/>
        <w:jc w:val="both"/>
        <w:rPr>
          <w:rFonts w:cs="Calibri"/>
          <w:lang w:val="es-ES_tradnl"/>
        </w:rPr>
      </w:pPr>
      <w:r w:rsidRPr="00E711A8">
        <w:rPr>
          <w:rStyle w:val="Refdenotaalpie"/>
          <w:rFonts w:cs="Calibri"/>
        </w:rPr>
        <w:footnoteRef/>
      </w:r>
      <w:r w:rsidRPr="00E711A8">
        <w:rPr>
          <w:rFonts w:cs="Calibri"/>
          <w:lang w:val="es-ES_tradnl"/>
        </w:rPr>
        <w:t xml:space="preserve">  </w:t>
      </w:r>
      <w:r w:rsidRPr="00E711A8">
        <w:rPr>
          <w:rFonts w:cs="Calibri"/>
          <w:lang w:val="es-ES"/>
        </w:rPr>
        <w:t xml:space="preserve">Respuesta al cuestionario de la CIDH sobre “acceso al agua” en las Américas presentada por el Estado Plurinacional de Bolivia, pág. 1. Ver, </w:t>
      </w:r>
      <w:hyperlink r:id="rId6" w:history="1">
        <w:r w:rsidRPr="00E711A8">
          <w:rPr>
            <w:rStyle w:val="Hipervnculo"/>
            <w:rFonts w:eastAsia="MS Mincho" w:cs="Calibri"/>
            <w:lang w:val="es-ES_tradnl"/>
          </w:rPr>
          <w:t>Constitución Política del Estado Plurinacional de Bolivia</w:t>
        </w:r>
      </w:hyperlink>
      <w:r w:rsidRPr="00E711A8">
        <w:rPr>
          <w:rFonts w:cs="Calibri"/>
          <w:lang w:val="es-ES_tradnl"/>
        </w:rPr>
        <w:t>, artículo 373.</w:t>
      </w:r>
    </w:p>
  </w:footnote>
  <w:footnote w:id="65">
    <w:p w:rsidR="00F66BC9" w:rsidRPr="00E711A8" w:rsidRDefault="00F66BC9" w:rsidP="00CD27DC">
      <w:pPr>
        <w:pStyle w:val="Textonotapie"/>
        <w:spacing w:after="120"/>
        <w:jc w:val="both"/>
        <w:rPr>
          <w:rFonts w:ascii="Calibri Light" w:hAnsi="Calibri Light"/>
          <w:sz w:val="16"/>
          <w:szCs w:val="16"/>
          <w:lang w:val="es-ES"/>
        </w:rPr>
      </w:pPr>
      <w:r w:rsidRPr="00E711A8">
        <w:rPr>
          <w:rStyle w:val="Refdenotaalpie"/>
          <w:rFonts w:cs="Calibri"/>
        </w:rPr>
        <w:footnoteRef/>
      </w:r>
      <w:r w:rsidRPr="00E711A8">
        <w:rPr>
          <w:rFonts w:cs="Calibri"/>
          <w:lang w:val="es-ES"/>
        </w:rPr>
        <w:t xml:space="preserve"> Respuesta al cuestionario de la CIDH sobre “acceso al agua” en las Américas presentada por Argentina [Instituto Nacional del Agua], pág. 3.</w:t>
      </w:r>
      <w:r w:rsidRPr="00E711A8">
        <w:rPr>
          <w:rFonts w:ascii="Calibri Light" w:hAnsi="Calibri Light"/>
          <w:sz w:val="16"/>
          <w:szCs w:val="16"/>
          <w:lang w:val="es-ES"/>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BC9" w:rsidRDefault="00F66BC9" w:rsidP="008011FE">
    <w:pPr>
      <w:pStyle w:val="Encabezado"/>
      <w:jc w:val="center"/>
    </w:pPr>
    <w:r>
      <w:rPr>
        <w:noProof/>
        <w:lang w:eastAsia="es-CO"/>
      </w:rPr>
      <w:drawing>
        <wp:inline distT="0" distB="0" distL="0" distR="0" wp14:anchorId="527DCC6F" wp14:editId="3F189D1C">
          <wp:extent cx="2895600" cy="857822"/>
          <wp:effectExtent l="0" t="0" r="0" b="0"/>
          <wp:docPr id="2" name="Imagen 2" descr="http://2.bp.blogspot.com/--denv3eMKMA/Uhu2fGNIstI/AAAAAAAAAs8/FOqvEaiVOIw/s1600/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denv3eMKMA/Uhu2fGNIstI/AAAAAAAAAs8/FOqvEaiVOIw/s1600/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41" cy="8614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9A08AE02"/>
    <w:lvl w:ilvl="0">
      <w:start w:val="1"/>
      <w:numFmt w:val="decimal"/>
      <w:pStyle w:val="ImportWordListStyleDefinition416560225"/>
      <w:lvlText w:val="%1."/>
      <w:lvlJc w:val="left"/>
      <w:pPr>
        <w:tabs>
          <w:tab w:val="num" w:pos="0"/>
        </w:tabs>
        <w:ind w:left="0" w:firstLine="0"/>
      </w:pPr>
      <w:rPr>
        <w:position w:val="0"/>
      </w:rPr>
    </w:lvl>
    <w:lvl w:ilvl="1">
      <w:start w:val="1"/>
      <w:numFmt w:val="decimal"/>
      <w:lvlText w:val="%2."/>
      <w:lvlJc w:val="left"/>
      <w:pPr>
        <w:tabs>
          <w:tab w:val="num" w:pos="0"/>
        </w:tabs>
        <w:ind w:left="0" w:firstLine="0"/>
      </w:pPr>
      <w:rPr>
        <w:rFonts w:ascii="Arial" w:eastAsia="Arial Unicode MS" w:hAnsi="Arial" w:cs="Arial"/>
        <w:position w:val="0"/>
      </w:rPr>
    </w:lvl>
    <w:lvl w:ilvl="2">
      <w:start w:val="1"/>
      <w:numFmt w:val="decimal"/>
      <w:lvlText w:val="%3."/>
      <w:lvlJc w:val="left"/>
      <w:pPr>
        <w:tabs>
          <w:tab w:val="num" w:pos="360"/>
        </w:tabs>
        <w:ind w:left="360" w:firstLine="0"/>
      </w:pPr>
      <w:rPr>
        <w:position w:val="0"/>
      </w:rPr>
    </w:lvl>
    <w:lvl w:ilvl="3">
      <w:start w:val="1"/>
      <w:numFmt w:val="decimal"/>
      <w:lvlText w:val="%4."/>
      <w:lvlJc w:val="left"/>
      <w:pPr>
        <w:tabs>
          <w:tab w:val="num" w:pos="720"/>
        </w:tabs>
        <w:ind w:left="720" w:firstLine="0"/>
      </w:pPr>
      <w:rPr>
        <w:position w:val="0"/>
      </w:rPr>
    </w:lvl>
    <w:lvl w:ilvl="4">
      <w:start w:val="1"/>
      <w:numFmt w:val="decimal"/>
      <w:lvlText w:val="%5."/>
      <w:lvlJc w:val="left"/>
      <w:pPr>
        <w:tabs>
          <w:tab w:val="num" w:pos="720"/>
        </w:tabs>
        <w:ind w:left="720" w:firstLine="0"/>
      </w:pPr>
      <w:rPr>
        <w:position w:val="0"/>
      </w:rPr>
    </w:lvl>
    <w:lvl w:ilvl="5">
      <w:start w:val="1"/>
      <w:numFmt w:val="decimal"/>
      <w:lvlText w:val="%6."/>
      <w:lvlJc w:val="left"/>
      <w:pPr>
        <w:tabs>
          <w:tab w:val="num" w:pos="1080"/>
        </w:tabs>
        <w:ind w:left="1080" w:firstLine="0"/>
      </w:pPr>
      <w:rPr>
        <w:position w:val="0"/>
      </w:rPr>
    </w:lvl>
    <w:lvl w:ilvl="6">
      <w:start w:val="1"/>
      <w:numFmt w:val="decimal"/>
      <w:lvlText w:val="%7."/>
      <w:lvlJc w:val="left"/>
      <w:pPr>
        <w:tabs>
          <w:tab w:val="num" w:pos="1080"/>
        </w:tabs>
        <w:ind w:left="1080" w:firstLine="0"/>
      </w:pPr>
      <w:rPr>
        <w:position w:val="0"/>
      </w:rPr>
    </w:lvl>
    <w:lvl w:ilvl="7">
      <w:start w:val="1"/>
      <w:numFmt w:val="decimal"/>
      <w:lvlText w:val="%8."/>
      <w:lvlJc w:val="left"/>
      <w:pPr>
        <w:tabs>
          <w:tab w:val="num" w:pos="1440"/>
        </w:tabs>
        <w:ind w:left="1440" w:firstLine="0"/>
      </w:pPr>
      <w:rPr>
        <w:position w:val="0"/>
      </w:rPr>
    </w:lvl>
    <w:lvl w:ilvl="8">
      <w:start w:val="1"/>
      <w:numFmt w:val="decimal"/>
      <w:lvlText w:val="%9."/>
      <w:lvlJc w:val="left"/>
      <w:pPr>
        <w:tabs>
          <w:tab w:val="num" w:pos="1440"/>
        </w:tabs>
        <w:ind w:left="1440" w:firstLine="0"/>
      </w:pPr>
      <w:rPr>
        <w:position w:val="0"/>
      </w:rPr>
    </w:lvl>
  </w:abstractNum>
  <w:abstractNum w:abstractNumId="1" w15:restartNumberingAfterBreak="0">
    <w:nsid w:val="0AB8652D"/>
    <w:multiLevelType w:val="multilevel"/>
    <w:tmpl w:val="9CCA673E"/>
    <w:lvl w:ilvl="0">
      <w:start w:val="1"/>
      <w:numFmt w:val="bullet"/>
      <w:lvlText w:val=""/>
      <w:lvlJc w:val="left"/>
      <w:pPr>
        <w:ind w:left="360" w:hanging="360"/>
      </w:pPr>
      <w:rPr>
        <w:rFonts w:ascii="Wingdings" w:hAnsi="Wingding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122F4B83"/>
    <w:multiLevelType w:val="multilevel"/>
    <w:tmpl w:val="987A231A"/>
    <w:lvl w:ilvl="0">
      <w:start w:val="1"/>
      <w:numFmt w:val="decimal"/>
      <w:lvlText w:val="%1."/>
      <w:lvlJc w:val="left"/>
      <w:pPr>
        <w:tabs>
          <w:tab w:val="num" w:pos="720"/>
        </w:tabs>
        <w:ind w:left="720" w:hanging="360"/>
      </w:pPr>
    </w:lvl>
    <w:lvl w:ilvl="1">
      <w:start w:val="6"/>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FC09EF"/>
    <w:multiLevelType w:val="hybridMultilevel"/>
    <w:tmpl w:val="AF84E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2F2416"/>
    <w:multiLevelType w:val="hybridMultilevel"/>
    <w:tmpl w:val="288CE9CA"/>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185662E5"/>
    <w:multiLevelType w:val="hybridMultilevel"/>
    <w:tmpl w:val="C1DA3FE8"/>
    <w:lvl w:ilvl="0" w:tplc="9A58B4F6">
      <w:start w:val="1"/>
      <w:numFmt w:val="bullet"/>
      <w:lvlText w:val=""/>
      <w:lvlJc w:val="left"/>
      <w:pPr>
        <w:ind w:left="720" w:hanging="360"/>
      </w:pPr>
      <w:rPr>
        <w:rFonts w:ascii="Symbol" w:eastAsiaTheme="minorHAnsi" w:hAnsi="Symbol"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EBD5E29"/>
    <w:multiLevelType w:val="hybridMultilevel"/>
    <w:tmpl w:val="05EC8E9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6A118BA"/>
    <w:multiLevelType w:val="hybridMultilevel"/>
    <w:tmpl w:val="BAFCECA0"/>
    <w:lvl w:ilvl="0" w:tplc="0C0A000F">
      <w:start w:val="1"/>
      <w:numFmt w:val="decimal"/>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8" w15:restartNumberingAfterBreak="0">
    <w:nsid w:val="2B1E5C84"/>
    <w:multiLevelType w:val="hybridMultilevel"/>
    <w:tmpl w:val="38B282D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B4D67BC"/>
    <w:multiLevelType w:val="multilevel"/>
    <w:tmpl w:val="A90EEF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CD82936"/>
    <w:multiLevelType w:val="hybridMultilevel"/>
    <w:tmpl w:val="E5EC14C8"/>
    <w:lvl w:ilvl="0" w:tplc="240A000F">
      <w:start w:val="1"/>
      <w:numFmt w:val="decimal"/>
      <w:lvlText w:val="%1."/>
      <w:lvlJc w:val="left"/>
      <w:pPr>
        <w:ind w:left="1080" w:hanging="360"/>
      </w:pPr>
      <w:rPr>
        <w:rFonts w:cs="Times New Roman"/>
      </w:rPr>
    </w:lvl>
    <w:lvl w:ilvl="1" w:tplc="240A0019">
      <w:start w:val="1"/>
      <w:numFmt w:val="lowerLetter"/>
      <w:lvlText w:val="%2."/>
      <w:lvlJc w:val="left"/>
      <w:pPr>
        <w:ind w:left="1800" w:hanging="360"/>
      </w:pPr>
      <w:rPr>
        <w:rFonts w:cs="Times New Roman"/>
      </w:rPr>
    </w:lvl>
    <w:lvl w:ilvl="2" w:tplc="240A001B">
      <w:start w:val="1"/>
      <w:numFmt w:val="lowerRoman"/>
      <w:lvlText w:val="%3."/>
      <w:lvlJc w:val="right"/>
      <w:pPr>
        <w:ind w:left="2520" w:hanging="180"/>
      </w:pPr>
      <w:rPr>
        <w:rFonts w:cs="Times New Roman"/>
      </w:rPr>
    </w:lvl>
    <w:lvl w:ilvl="3" w:tplc="240A000F">
      <w:start w:val="1"/>
      <w:numFmt w:val="decimal"/>
      <w:lvlText w:val="%4."/>
      <w:lvlJc w:val="left"/>
      <w:pPr>
        <w:ind w:left="3240" w:hanging="360"/>
      </w:pPr>
      <w:rPr>
        <w:rFonts w:cs="Times New Roman"/>
      </w:rPr>
    </w:lvl>
    <w:lvl w:ilvl="4" w:tplc="240A0019">
      <w:start w:val="1"/>
      <w:numFmt w:val="lowerLetter"/>
      <w:lvlText w:val="%5."/>
      <w:lvlJc w:val="left"/>
      <w:pPr>
        <w:ind w:left="3960" w:hanging="360"/>
      </w:pPr>
      <w:rPr>
        <w:rFonts w:cs="Times New Roman"/>
      </w:rPr>
    </w:lvl>
    <w:lvl w:ilvl="5" w:tplc="240A001B">
      <w:start w:val="1"/>
      <w:numFmt w:val="lowerRoman"/>
      <w:lvlText w:val="%6."/>
      <w:lvlJc w:val="right"/>
      <w:pPr>
        <w:ind w:left="4680" w:hanging="180"/>
      </w:pPr>
      <w:rPr>
        <w:rFonts w:cs="Times New Roman"/>
      </w:rPr>
    </w:lvl>
    <w:lvl w:ilvl="6" w:tplc="240A000F">
      <w:start w:val="1"/>
      <w:numFmt w:val="decimal"/>
      <w:lvlText w:val="%7."/>
      <w:lvlJc w:val="left"/>
      <w:pPr>
        <w:ind w:left="5400" w:hanging="360"/>
      </w:pPr>
      <w:rPr>
        <w:rFonts w:cs="Times New Roman"/>
      </w:rPr>
    </w:lvl>
    <w:lvl w:ilvl="7" w:tplc="240A0019">
      <w:start w:val="1"/>
      <w:numFmt w:val="lowerLetter"/>
      <w:lvlText w:val="%8."/>
      <w:lvlJc w:val="left"/>
      <w:pPr>
        <w:ind w:left="6120" w:hanging="360"/>
      </w:pPr>
      <w:rPr>
        <w:rFonts w:cs="Times New Roman"/>
      </w:rPr>
    </w:lvl>
    <w:lvl w:ilvl="8" w:tplc="240A001B">
      <w:start w:val="1"/>
      <w:numFmt w:val="lowerRoman"/>
      <w:lvlText w:val="%9."/>
      <w:lvlJc w:val="right"/>
      <w:pPr>
        <w:ind w:left="6840" w:hanging="180"/>
      </w:pPr>
      <w:rPr>
        <w:rFonts w:cs="Times New Roman"/>
      </w:rPr>
    </w:lvl>
  </w:abstractNum>
  <w:abstractNum w:abstractNumId="11" w15:restartNumberingAfterBreak="0">
    <w:nsid w:val="2EE40C41"/>
    <w:multiLevelType w:val="multilevel"/>
    <w:tmpl w:val="A296D3A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1C0E54"/>
    <w:multiLevelType w:val="multilevel"/>
    <w:tmpl w:val="DF16EFD6"/>
    <w:lvl w:ilvl="0">
      <w:start w:val="1"/>
      <w:numFmt w:val="lowerLetter"/>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359F51C9"/>
    <w:multiLevelType w:val="hybridMultilevel"/>
    <w:tmpl w:val="B49069C0"/>
    <w:lvl w:ilvl="0" w:tplc="240A0001">
      <w:start w:val="1"/>
      <w:numFmt w:val="bullet"/>
      <w:lvlText w:val=""/>
      <w:lvlJc w:val="left"/>
      <w:pPr>
        <w:ind w:left="720" w:hanging="360"/>
      </w:pPr>
      <w:rPr>
        <w:rFonts w:ascii="Symbol" w:hAnsi="Symbo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A57686B"/>
    <w:multiLevelType w:val="hybridMultilevel"/>
    <w:tmpl w:val="7EF8895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3DC20B78"/>
    <w:multiLevelType w:val="hybridMultilevel"/>
    <w:tmpl w:val="726E5D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06A6291"/>
    <w:multiLevelType w:val="hybridMultilevel"/>
    <w:tmpl w:val="1BD660E8"/>
    <w:lvl w:ilvl="0" w:tplc="0C0A0019">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41FB6B00"/>
    <w:multiLevelType w:val="hybridMultilevel"/>
    <w:tmpl w:val="F086EBC2"/>
    <w:lvl w:ilvl="0" w:tplc="41C2174A">
      <w:start w:val="1"/>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4F40554"/>
    <w:multiLevelType w:val="hybridMultilevel"/>
    <w:tmpl w:val="0B94A638"/>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46FA2637"/>
    <w:multiLevelType w:val="multilevel"/>
    <w:tmpl w:val="8D323F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9A2BD9"/>
    <w:multiLevelType w:val="hybridMultilevel"/>
    <w:tmpl w:val="38B282D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496C6D4A"/>
    <w:multiLevelType w:val="multilevel"/>
    <w:tmpl w:val="004A8DE8"/>
    <w:lvl w:ilvl="0">
      <w:start w:val="1"/>
      <w:numFmt w:val="upperRoman"/>
      <w:lvlText w:val="%1."/>
      <w:lvlJc w:val="right"/>
      <w:pPr>
        <w:ind w:left="1080" w:hanging="720"/>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A747E50"/>
    <w:multiLevelType w:val="multilevel"/>
    <w:tmpl w:val="4C583156"/>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3" w15:restartNumberingAfterBreak="0">
    <w:nsid w:val="55E87A25"/>
    <w:multiLevelType w:val="multilevel"/>
    <w:tmpl w:val="6BCE49CC"/>
    <w:lvl w:ilvl="0">
      <w:start w:val="1"/>
      <w:numFmt w:val="lowerLetter"/>
      <w:lvlText w:val="%1)"/>
      <w:lvlJc w:val="left"/>
      <w:pPr>
        <w:ind w:left="740" w:hanging="3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A0007EE"/>
    <w:multiLevelType w:val="hybridMultilevel"/>
    <w:tmpl w:val="E746FCE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C853280"/>
    <w:multiLevelType w:val="hybridMultilevel"/>
    <w:tmpl w:val="1D0C9A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3226CE0"/>
    <w:multiLevelType w:val="hybridMultilevel"/>
    <w:tmpl w:val="7EF8895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7" w15:restartNumberingAfterBreak="0">
    <w:nsid w:val="6447353D"/>
    <w:multiLevelType w:val="hybridMultilevel"/>
    <w:tmpl w:val="67967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48A42AA"/>
    <w:multiLevelType w:val="hybridMultilevel"/>
    <w:tmpl w:val="288CE9CA"/>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9" w15:restartNumberingAfterBreak="0">
    <w:nsid w:val="6664572F"/>
    <w:multiLevelType w:val="hybridMultilevel"/>
    <w:tmpl w:val="FDE4C7D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0" w15:restartNumberingAfterBreak="0">
    <w:nsid w:val="6D912BFB"/>
    <w:multiLevelType w:val="hybridMultilevel"/>
    <w:tmpl w:val="BAFCECA0"/>
    <w:lvl w:ilvl="0" w:tplc="0C0A000F">
      <w:start w:val="1"/>
      <w:numFmt w:val="decimal"/>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1" w15:restartNumberingAfterBreak="0">
    <w:nsid w:val="70E562C3"/>
    <w:multiLevelType w:val="hybridMultilevel"/>
    <w:tmpl w:val="C1AA36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AAC5D8B"/>
    <w:multiLevelType w:val="hybridMultilevel"/>
    <w:tmpl w:val="AEA0DAE4"/>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3" w15:restartNumberingAfterBreak="0">
    <w:nsid w:val="7FC57109"/>
    <w:multiLevelType w:val="hybridMultilevel"/>
    <w:tmpl w:val="7C0C46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8"/>
  </w:num>
  <w:num w:numId="2">
    <w:abstractNumId w:val="31"/>
  </w:num>
  <w:num w:numId="3">
    <w:abstractNumId w:val="25"/>
  </w:num>
  <w:num w:numId="4">
    <w:abstractNumId w:val="15"/>
  </w:num>
  <w:num w:numId="5">
    <w:abstractNumId w:val="29"/>
  </w:num>
  <w:num w:numId="6">
    <w:abstractNumId w:val="2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4"/>
  </w:num>
  <w:num w:numId="20">
    <w:abstractNumId w:val="30"/>
  </w:num>
  <w:num w:numId="21">
    <w:abstractNumId w:val="8"/>
  </w:num>
  <w:num w:numId="22">
    <w:abstractNumId w:val="26"/>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
  </w:num>
  <w:num w:numId="26">
    <w:abstractNumId w:val="33"/>
  </w:num>
  <w:num w:numId="27">
    <w:abstractNumId w:val="21"/>
  </w:num>
  <w:num w:numId="28">
    <w:abstractNumId w:val="13"/>
  </w:num>
  <w:num w:numId="29">
    <w:abstractNumId w:val="6"/>
  </w:num>
  <w:num w:numId="30">
    <w:abstractNumId w:val="16"/>
  </w:num>
  <w:num w:numId="31">
    <w:abstractNumId w:val="5"/>
  </w:num>
  <w:num w:numId="32">
    <w:abstractNumId w:val="17"/>
  </w:num>
  <w:num w:numId="33">
    <w:abstractNumId w:val="2"/>
  </w:num>
  <w:num w:numId="34">
    <w:abstractNumId w:val="24"/>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780"/>
    <w:rsid w:val="0000027A"/>
    <w:rsid w:val="00003CFD"/>
    <w:rsid w:val="000227FB"/>
    <w:rsid w:val="0003005C"/>
    <w:rsid w:val="00044243"/>
    <w:rsid w:val="00054299"/>
    <w:rsid w:val="00055122"/>
    <w:rsid w:val="00066E7D"/>
    <w:rsid w:val="00071F3B"/>
    <w:rsid w:val="00074A62"/>
    <w:rsid w:val="000839EB"/>
    <w:rsid w:val="00091D9E"/>
    <w:rsid w:val="00094C71"/>
    <w:rsid w:val="000B49D0"/>
    <w:rsid w:val="000B4CE1"/>
    <w:rsid w:val="000C093A"/>
    <w:rsid w:val="000C4F69"/>
    <w:rsid w:val="000C5188"/>
    <w:rsid w:val="000D427A"/>
    <w:rsid w:val="000D528D"/>
    <w:rsid w:val="000D7780"/>
    <w:rsid w:val="000E38BC"/>
    <w:rsid w:val="000F193B"/>
    <w:rsid w:val="000F3C2F"/>
    <w:rsid w:val="000F6784"/>
    <w:rsid w:val="001018F1"/>
    <w:rsid w:val="00113900"/>
    <w:rsid w:val="0013313B"/>
    <w:rsid w:val="001337E3"/>
    <w:rsid w:val="00133B7D"/>
    <w:rsid w:val="001373DD"/>
    <w:rsid w:val="00171570"/>
    <w:rsid w:val="00172CBA"/>
    <w:rsid w:val="001A76C9"/>
    <w:rsid w:val="001C0815"/>
    <w:rsid w:val="001C6D8E"/>
    <w:rsid w:val="001D79A0"/>
    <w:rsid w:val="001F4594"/>
    <w:rsid w:val="001F5276"/>
    <w:rsid w:val="00226B45"/>
    <w:rsid w:val="00230DFE"/>
    <w:rsid w:val="00241088"/>
    <w:rsid w:val="00250CDE"/>
    <w:rsid w:val="0025232A"/>
    <w:rsid w:val="00254167"/>
    <w:rsid w:val="002623EC"/>
    <w:rsid w:val="00262FE3"/>
    <w:rsid w:val="0026548F"/>
    <w:rsid w:val="002676F0"/>
    <w:rsid w:val="00273140"/>
    <w:rsid w:val="00285C0E"/>
    <w:rsid w:val="002A456C"/>
    <w:rsid w:val="002A5955"/>
    <w:rsid w:val="002A6EF2"/>
    <w:rsid w:val="002A7A66"/>
    <w:rsid w:val="002D3995"/>
    <w:rsid w:val="002D72FB"/>
    <w:rsid w:val="002E059D"/>
    <w:rsid w:val="002E4F97"/>
    <w:rsid w:val="00302B94"/>
    <w:rsid w:val="00303382"/>
    <w:rsid w:val="00303F00"/>
    <w:rsid w:val="00311149"/>
    <w:rsid w:val="00314AD0"/>
    <w:rsid w:val="00314BCC"/>
    <w:rsid w:val="00324F9C"/>
    <w:rsid w:val="0035322A"/>
    <w:rsid w:val="00355FAC"/>
    <w:rsid w:val="00361068"/>
    <w:rsid w:val="003672BA"/>
    <w:rsid w:val="0037183A"/>
    <w:rsid w:val="00390D70"/>
    <w:rsid w:val="00393E22"/>
    <w:rsid w:val="003969E5"/>
    <w:rsid w:val="00397428"/>
    <w:rsid w:val="003A0AED"/>
    <w:rsid w:val="003A3B09"/>
    <w:rsid w:val="003A41B0"/>
    <w:rsid w:val="003A641F"/>
    <w:rsid w:val="003B5EC3"/>
    <w:rsid w:val="003B69CE"/>
    <w:rsid w:val="003C0009"/>
    <w:rsid w:val="003C021C"/>
    <w:rsid w:val="003D0280"/>
    <w:rsid w:val="003D3851"/>
    <w:rsid w:val="003D4ED2"/>
    <w:rsid w:val="003D6C15"/>
    <w:rsid w:val="003F02DF"/>
    <w:rsid w:val="00412713"/>
    <w:rsid w:val="00414BE5"/>
    <w:rsid w:val="004217A1"/>
    <w:rsid w:val="004227D1"/>
    <w:rsid w:val="00430D9A"/>
    <w:rsid w:val="00441293"/>
    <w:rsid w:val="00456B5D"/>
    <w:rsid w:val="00466079"/>
    <w:rsid w:val="004802E0"/>
    <w:rsid w:val="00482719"/>
    <w:rsid w:val="00490BA5"/>
    <w:rsid w:val="004A4A9A"/>
    <w:rsid w:val="004B6FF5"/>
    <w:rsid w:val="004C2B67"/>
    <w:rsid w:val="004C2F90"/>
    <w:rsid w:val="004F67BB"/>
    <w:rsid w:val="00501410"/>
    <w:rsid w:val="00503BD2"/>
    <w:rsid w:val="00505B71"/>
    <w:rsid w:val="00523E69"/>
    <w:rsid w:val="0052721F"/>
    <w:rsid w:val="0054131D"/>
    <w:rsid w:val="005472CB"/>
    <w:rsid w:val="005544A0"/>
    <w:rsid w:val="0055507E"/>
    <w:rsid w:val="00557EF3"/>
    <w:rsid w:val="00573D19"/>
    <w:rsid w:val="00582333"/>
    <w:rsid w:val="00585512"/>
    <w:rsid w:val="005B2BD0"/>
    <w:rsid w:val="005B5649"/>
    <w:rsid w:val="005B672A"/>
    <w:rsid w:val="005C3A5E"/>
    <w:rsid w:val="005D2CE6"/>
    <w:rsid w:val="005F3DB7"/>
    <w:rsid w:val="00644016"/>
    <w:rsid w:val="006464FA"/>
    <w:rsid w:val="00680532"/>
    <w:rsid w:val="00685760"/>
    <w:rsid w:val="00686978"/>
    <w:rsid w:val="006A0459"/>
    <w:rsid w:val="006A453E"/>
    <w:rsid w:val="006B19CF"/>
    <w:rsid w:val="006B71CB"/>
    <w:rsid w:val="006C6112"/>
    <w:rsid w:val="006D4573"/>
    <w:rsid w:val="006E02BE"/>
    <w:rsid w:val="006F23AC"/>
    <w:rsid w:val="00700358"/>
    <w:rsid w:val="00710AB1"/>
    <w:rsid w:val="00710E8A"/>
    <w:rsid w:val="00720C72"/>
    <w:rsid w:val="007347AB"/>
    <w:rsid w:val="00734A3E"/>
    <w:rsid w:val="00747336"/>
    <w:rsid w:val="007564A9"/>
    <w:rsid w:val="00767D9F"/>
    <w:rsid w:val="00780F55"/>
    <w:rsid w:val="0078399A"/>
    <w:rsid w:val="00792417"/>
    <w:rsid w:val="0079717A"/>
    <w:rsid w:val="007A5D6B"/>
    <w:rsid w:val="007C3797"/>
    <w:rsid w:val="008011FE"/>
    <w:rsid w:val="00802EF5"/>
    <w:rsid w:val="00803FCC"/>
    <w:rsid w:val="00805818"/>
    <w:rsid w:val="00813055"/>
    <w:rsid w:val="008158BD"/>
    <w:rsid w:val="008238BB"/>
    <w:rsid w:val="00824C90"/>
    <w:rsid w:val="00825B54"/>
    <w:rsid w:val="00831D41"/>
    <w:rsid w:val="008373BC"/>
    <w:rsid w:val="00845494"/>
    <w:rsid w:val="00845A6E"/>
    <w:rsid w:val="00854638"/>
    <w:rsid w:val="00867A75"/>
    <w:rsid w:val="008777A0"/>
    <w:rsid w:val="00885BC5"/>
    <w:rsid w:val="008866F7"/>
    <w:rsid w:val="00892BE9"/>
    <w:rsid w:val="008A228A"/>
    <w:rsid w:val="008A2D72"/>
    <w:rsid w:val="008B1B0E"/>
    <w:rsid w:val="008B3A5B"/>
    <w:rsid w:val="008B4724"/>
    <w:rsid w:val="008B6D70"/>
    <w:rsid w:val="008D1426"/>
    <w:rsid w:val="008E2A2D"/>
    <w:rsid w:val="008E385A"/>
    <w:rsid w:val="008F6B0B"/>
    <w:rsid w:val="008F7D4B"/>
    <w:rsid w:val="00901E4E"/>
    <w:rsid w:val="00921291"/>
    <w:rsid w:val="00927593"/>
    <w:rsid w:val="009307A5"/>
    <w:rsid w:val="009348FB"/>
    <w:rsid w:val="009363C2"/>
    <w:rsid w:val="00940230"/>
    <w:rsid w:val="009464EF"/>
    <w:rsid w:val="00950BCE"/>
    <w:rsid w:val="00954234"/>
    <w:rsid w:val="00954D1F"/>
    <w:rsid w:val="0095782C"/>
    <w:rsid w:val="00960D43"/>
    <w:rsid w:val="009644A1"/>
    <w:rsid w:val="00966A47"/>
    <w:rsid w:val="00967A36"/>
    <w:rsid w:val="009803B5"/>
    <w:rsid w:val="0098530C"/>
    <w:rsid w:val="009858DE"/>
    <w:rsid w:val="0098645E"/>
    <w:rsid w:val="00987591"/>
    <w:rsid w:val="00991B72"/>
    <w:rsid w:val="009946AF"/>
    <w:rsid w:val="00996389"/>
    <w:rsid w:val="0099717D"/>
    <w:rsid w:val="009A5527"/>
    <w:rsid w:val="009A6A55"/>
    <w:rsid w:val="009B5371"/>
    <w:rsid w:val="009B63D1"/>
    <w:rsid w:val="009C4E52"/>
    <w:rsid w:val="009D0A94"/>
    <w:rsid w:val="009D1A6F"/>
    <w:rsid w:val="009D76D2"/>
    <w:rsid w:val="00A143B9"/>
    <w:rsid w:val="00A33B8D"/>
    <w:rsid w:val="00A414BC"/>
    <w:rsid w:val="00A4663A"/>
    <w:rsid w:val="00A60F5B"/>
    <w:rsid w:val="00A65441"/>
    <w:rsid w:val="00A67207"/>
    <w:rsid w:val="00A73B30"/>
    <w:rsid w:val="00A8224F"/>
    <w:rsid w:val="00A87047"/>
    <w:rsid w:val="00A90ECC"/>
    <w:rsid w:val="00A913B5"/>
    <w:rsid w:val="00A9595D"/>
    <w:rsid w:val="00A95F93"/>
    <w:rsid w:val="00AA0C7E"/>
    <w:rsid w:val="00AA38AB"/>
    <w:rsid w:val="00AB7A67"/>
    <w:rsid w:val="00AC0E9A"/>
    <w:rsid w:val="00AC2036"/>
    <w:rsid w:val="00AC2DD2"/>
    <w:rsid w:val="00AC4C9F"/>
    <w:rsid w:val="00AD35FB"/>
    <w:rsid w:val="00AD7494"/>
    <w:rsid w:val="00AE0BAA"/>
    <w:rsid w:val="00B03FA5"/>
    <w:rsid w:val="00B23DA7"/>
    <w:rsid w:val="00B27AB1"/>
    <w:rsid w:val="00B55ED3"/>
    <w:rsid w:val="00B562D1"/>
    <w:rsid w:val="00B61CCA"/>
    <w:rsid w:val="00B61E9B"/>
    <w:rsid w:val="00B73AD5"/>
    <w:rsid w:val="00B73CF8"/>
    <w:rsid w:val="00B75885"/>
    <w:rsid w:val="00BA4D08"/>
    <w:rsid w:val="00BB1C45"/>
    <w:rsid w:val="00BB308E"/>
    <w:rsid w:val="00BB5769"/>
    <w:rsid w:val="00BC7663"/>
    <w:rsid w:val="00BD0CEC"/>
    <w:rsid w:val="00BD4887"/>
    <w:rsid w:val="00BD4C89"/>
    <w:rsid w:val="00BD5AA4"/>
    <w:rsid w:val="00BD733E"/>
    <w:rsid w:val="00BE34B0"/>
    <w:rsid w:val="00BE3A85"/>
    <w:rsid w:val="00BE3B34"/>
    <w:rsid w:val="00BE475E"/>
    <w:rsid w:val="00BF1E98"/>
    <w:rsid w:val="00BF64AE"/>
    <w:rsid w:val="00C01F3F"/>
    <w:rsid w:val="00C035E2"/>
    <w:rsid w:val="00C230F8"/>
    <w:rsid w:val="00C27775"/>
    <w:rsid w:val="00C434B7"/>
    <w:rsid w:val="00C435C4"/>
    <w:rsid w:val="00C52A00"/>
    <w:rsid w:val="00C54042"/>
    <w:rsid w:val="00C61182"/>
    <w:rsid w:val="00C61335"/>
    <w:rsid w:val="00C63AD4"/>
    <w:rsid w:val="00C71DD0"/>
    <w:rsid w:val="00C73FEA"/>
    <w:rsid w:val="00C767C7"/>
    <w:rsid w:val="00C7690E"/>
    <w:rsid w:val="00C769B9"/>
    <w:rsid w:val="00C9752F"/>
    <w:rsid w:val="00CA38E4"/>
    <w:rsid w:val="00CB2D25"/>
    <w:rsid w:val="00CB3B0F"/>
    <w:rsid w:val="00CB4013"/>
    <w:rsid w:val="00CB4AD7"/>
    <w:rsid w:val="00CC0ACA"/>
    <w:rsid w:val="00CC6EB8"/>
    <w:rsid w:val="00CD1928"/>
    <w:rsid w:val="00CD1B0D"/>
    <w:rsid w:val="00CD27DC"/>
    <w:rsid w:val="00CF059F"/>
    <w:rsid w:val="00CF638A"/>
    <w:rsid w:val="00D05571"/>
    <w:rsid w:val="00D078E8"/>
    <w:rsid w:val="00D14528"/>
    <w:rsid w:val="00D14780"/>
    <w:rsid w:val="00D214F8"/>
    <w:rsid w:val="00D2159F"/>
    <w:rsid w:val="00D21708"/>
    <w:rsid w:val="00D414F5"/>
    <w:rsid w:val="00D43D4A"/>
    <w:rsid w:val="00D440A8"/>
    <w:rsid w:val="00D560ED"/>
    <w:rsid w:val="00D60634"/>
    <w:rsid w:val="00D710E6"/>
    <w:rsid w:val="00D725B2"/>
    <w:rsid w:val="00D935C4"/>
    <w:rsid w:val="00D9370F"/>
    <w:rsid w:val="00DD09F4"/>
    <w:rsid w:val="00DD1BF8"/>
    <w:rsid w:val="00DE325E"/>
    <w:rsid w:val="00DF014C"/>
    <w:rsid w:val="00E05874"/>
    <w:rsid w:val="00E23B9A"/>
    <w:rsid w:val="00E33088"/>
    <w:rsid w:val="00E37BF9"/>
    <w:rsid w:val="00E4213E"/>
    <w:rsid w:val="00E44E52"/>
    <w:rsid w:val="00E47BE1"/>
    <w:rsid w:val="00E47E27"/>
    <w:rsid w:val="00E51102"/>
    <w:rsid w:val="00E60E24"/>
    <w:rsid w:val="00E64EDA"/>
    <w:rsid w:val="00E65F69"/>
    <w:rsid w:val="00E73910"/>
    <w:rsid w:val="00E822D2"/>
    <w:rsid w:val="00E8555E"/>
    <w:rsid w:val="00E86893"/>
    <w:rsid w:val="00E87FD4"/>
    <w:rsid w:val="00E93490"/>
    <w:rsid w:val="00EB3D25"/>
    <w:rsid w:val="00EB6BF9"/>
    <w:rsid w:val="00EC6811"/>
    <w:rsid w:val="00EE01E0"/>
    <w:rsid w:val="00EF1748"/>
    <w:rsid w:val="00F2789E"/>
    <w:rsid w:val="00F32C70"/>
    <w:rsid w:val="00F3385E"/>
    <w:rsid w:val="00F365C9"/>
    <w:rsid w:val="00F379B7"/>
    <w:rsid w:val="00F40744"/>
    <w:rsid w:val="00F52067"/>
    <w:rsid w:val="00F53759"/>
    <w:rsid w:val="00F6059F"/>
    <w:rsid w:val="00F620E4"/>
    <w:rsid w:val="00F66BC9"/>
    <w:rsid w:val="00F970DD"/>
    <w:rsid w:val="00FA4ACC"/>
    <w:rsid w:val="00FB1561"/>
    <w:rsid w:val="00FB18F2"/>
    <w:rsid w:val="00FB47EF"/>
    <w:rsid w:val="00FC7961"/>
    <w:rsid w:val="00FD072E"/>
    <w:rsid w:val="00FD7410"/>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4A2DB"/>
  <w15:docId w15:val="{F0B0C603-0AAA-4449-9D1F-A868236F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780"/>
    <w:pPr>
      <w:autoSpaceDN w:val="0"/>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next w:val="Normal"/>
    <w:link w:val="Ttulo3Car"/>
    <w:semiHidden/>
    <w:unhideWhenUsed/>
    <w:qFormat/>
    <w:rsid w:val="00BB308E"/>
    <w:pPr>
      <w:keepNext/>
      <w:keepLines/>
      <w:autoSpaceDN/>
      <w:spacing w:before="280" w:after="80"/>
      <w:outlineLvl w:val="2"/>
    </w:pPr>
    <w:rPr>
      <w:b/>
      <w:sz w:val="28"/>
      <w:szCs w:val="28"/>
      <w:lang w:eastAsia="es-CO"/>
    </w:rPr>
  </w:style>
  <w:style w:type="paragraph" w:styleId="Ttulo4">
    <w:name w:val="heading 4"/>
    <w:basedOn w:val="Normal"/>
    <w:next w:val="Normal"/>
    <w:link w:val="Ttulo4Car"/>
    <w:unhideWhenUsed/>
    <w:qFormat/>
    <w:rsid w:val="00BB308E"/>
    <w:pPr>
      <w:keepNext/>
      <w:keepLines/>
      <w:autoSpaceDN/>
      <w:spacing w:before="240" w:after="40"/>
      <w:outlineLvl w:val="3"/>
    </w:pPr>
    <w:rPr>
      <w:b/>
      <w:lang w:eastAsia="es-CO"/>
    </w:rPr>
  </w:style>
  <w:style w:type="paragraph" w:styleId="Ttulo5">
    <w:name w:val="heading 5"/>
    <w:basedOn w:val="Normal"/>
    <w:next w:val="Normal"/>
    <w:link w:val="Ttulo5Car"/>
    <w:semiHidden/>
    <w:unhideWhenUsed/>
    <w:qFormat/>
    <w:rsid w:val="00BB308E"/>
    <w:pPr>
      <w:keepNext/>
      <w:keepLines/>
      <w:autoSpaceDN/>
      <w:spacing w:before="220" w:after="40"/>
      <w:outlineLvl w:val="4"/>
    </w:pPr>
    <w:rPr>
      <w:b/>
      <w:sz w:val="22"/>
      <w:szCs w:val="2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sid w:val="00D14780"/>
    <w:rPr>
      <w:b/>
      <w:bCs/>
      <w:w w:val="100"/>
    </w:rPr>
  </w:style>
  <w:style w:type="paragraph" w:styleId="NormalWeb">
    <w:name w:val="Normal (Web)"/>
    <w:basedOn w:val="Normal"/>
    <w:uiPriority w:val="99"/>
    <w:rsid w:val="00D14780"/>
    <w:pPr>
      <w:autoSpaceDE w:val="0"/>
      <w:adjustRightInd w:val="0"/>
      <w:spacing w:before="100" w:after="100" w:line="288" w:lineRule="auto"/>
    </w:pPr>
    <w:rPr>
      <w:rFonts w:ascii="Arial Unicode MS" w:hAnsi="Arial Unicode MS" w:cs="Arial Unicode MS"/>
      <w:color w:val="000000"/>
      <w:lang w:val="es-ES" w:bidi="ar-YE"/>
    </w:rPr>
  </w:style>
  <w:style w:type="paragraph" w:styleId="Prrafodelista">
    <w:name w:val="List Paragraph"/>
    <w:basedOn w:val="Normal"/>
    <w:link w:val="PrrafodelistaCar"/>
    <w:uiPriority w:val="34"/>
    <w:qFormat/>
    <w:rsid w:val="00D14780"/>
    <w:pPr>
      <w:ind w:left="720"/>
      <w:contextualSpacing/>
    </w:pPr>
  </w:style>
  <w:style w:type="paragraph" w:styleId="Textodeglobo">
    <w:name w:val="Balloon Text"/>
    <w:basedOn w:val="Normal"/>
    <w:link w:val="TextodegloboCar"/>
    <w:uiPriority w:val="99"/>
    <w:semiHidden/>
    <w:unhideWhenUsed/>
    <w:rsid w:val="00D14780"/>
    <w:rPr>
      <w:rFonts w:ascii="Tahoma" w:hAnsi="Tahoma" w:cs="Tahoma"/>
      <w:sz w:val="16"/>
      <w:szCs w:val="16"/>
    </w:rPr>
  </w:style>
  <w:style w:type="character" w:customStyle="1" w:styleId="TextodegloboCar">
    <w:name w:val="Texto de globo Car"/>
    <w:basedOn w:val="Fuentedeprrafopredeter"/>
    <w:link w:val="Textodeglobo"/>
    <w:uiPriority w:val="99"/>
    <w:semiHidden/>
    <w:rsid w:val="00D14780"/>
    <w:rPr>
      <w:rFonts w:ascii="Tahoma" w:eastAsia="Times New Roman" w:hAnsi="Tahoma" w:cs="Tahoma"/>
      <w:sz w:val="16"/>
      <w:szCs w:val="16"/>
      <w:lang w:eastAsia="es-ES"/>
    </w:rPr>
  </w:style>
  <w:style w:type="character" w:customStyle="1" w:styleId="apple-style-span">
    <w:name w:val="apple-style-span"/>
    <w:basedOn w:val="Fuentedeprrafopredeter"/>
    <w:rsid w:val="00D14780"/>
  </w:style>
  <w:style w:type="character" w:styleId="Hipervnculo">
    <w:name w:val="Hyperlink"/>
    <w:basedOn w:val="Fuentedeprrafopredeter"/>
    <w:uiPriority w:val="99"/>
    <w:unhideWhenUsed/>
    <w:rsid w:val="00813055"/>
    <w:rPr>
      <w:color w:val="0000FF"/>
      <w:u w:val="single"/>
    </w:rPr>
  </w:style>
  <w:style w:type="paragraph" w:styleId="Textonotaalfinal">
    <w:name w:val="endnote text"/>
    <w:basedOn w:val="Normal"/>
    <w:link w:val="TextonotaalfinalCar"/>
    <w:uiPriority w:val="99"/>
    <w:semiHidden/>
    <w:unhideWhenUsed/>
    <w:rsid w:val="00813055"/>
    <w:rPr>
      <w:sz w:val="20"/>
      <w:szCs w:val="20"/>
    </w:rPr>
  </w:style>
  <w:style w:type="character" w:customStyle="1" w:styleId="TextonotaalfinalCar">
    <w:name w:val="Texto nota al final Car"/>
    <w:basedOn w:val="Fuentedeprrafopredeter"/>
    <w:link w:val="Textonotaalfinal"/>
    <w:uiPriority w:val="99"/>
    <w:semiHidden/>
    <w:rsid w:val="00813055"/>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813055"/>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w:basedOn w:val="Normal"/>
    <w:link w:val="TextonotapieCar"/>
    <w:uiPriority w:val="99"/>
    <w:unhideWhenUsed/>
    <w:qFormat/>
    <w:rsid w:val="0081305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rsid w:val="00813055"/>
    <w:rPr>
      <w:rFonts w:ascii="Times New Roman" w:eastAsia="Times New Roman" w:hAnsi="Times New Roman" w:cs="Times New Roman"/>
      <w:sz w:val="20"/>
      <w:szCs w:val="20"/>
      <w:lang w:eastAsia="es-ES"/>
    </w:rPr>
  </w:style>
  <w:style w:type="character" w:styleId="Refdenotaalpie">
    <w:name w:val="footnote reference"/>
    <w:aliases w:val="Footnotes refss Char,Texto de nota al pie Char,Appel note de bas de page Char,referencia nota al pie Char,BVI fnr Char,Footnote number Char,f Char,Ref. de nota al pie. Char,Footnote symbol Char,Footnote Char,4_G Char,16 Point Char"/>
    <w:basedOn w:val="Fuentedeprrafopredeter"/>
    <w:link w:val="Footnotesrefss"/>
    <w:uiPriority w:val="99"/>
    <w:unhideWhenUsed/>
    <w:qFormat/>
    <w:rsid w:val="00813055"/>
    <w:rPr>
      <w:vertAlign w:val="superscript"/>
    </w:rPr>
  </w:style>
  <w:style w:type="character" w:customStyle="1" w:styleId="apple-converted-space">
    <w:name w:val="apple-converted-space"/>
    <w:basedOn w:val="Fuentedeprrafopredeter"/>
    <w:rsid w:val="00813055"/>
  </w:style>
  <w:style w:type="paragraph" w:customStyle="1" w:styleId="yiv1513105915msolistparagraph">
    <w:name w:val="yiv1513105915msolistparagraph"/>
    <w:basedOn w:val="Normal"/>
    <w:rsid w:val="003969E5"/>
    <w:pPr>
      <w:autoSpaceDN/>
      <w:spacing w:before="100" w:beforeAutospacing="1" w:after="100" w:afterAutospacing="1"/>
    </w:pPr>
    <w:rPr>
      <w:lang w:eastAsia="es-CO"/>
    </w:rPr>
  </w:style>
  <w:style w:type="paragraph" w:customStyle="1" w:styleId="yiv1513105915msonormal">
    <w:name w:val="yiv1513105915msonormal"/>
    <w:basedOn w:val="Normal"/>
    <w:rsid w:val="003969E5"/>
    <w:pPr>
      <w:autoSpaceDN/>
      <w:spacing w:before="100" w:beforeAutospacing="1" w:after="100" w:afterAutospacing="1"/>
    </w:pPr>
    <w:rPr>
      <w:lang w:eastAsia="es-CO"/>
    </w:rPr>
  </w:style>
  <w:style w:type="paragraph" w:customStyle="1" w:styleId="Body1">
    <w:name w:val="Body 1"/>
    <w:rsid w:val="00523E69"/>
    <w:pPr>
      <w:spacing w:after="0" w:line="240" w:lineRule="auto"/>
      <w:outlineLvl w:val="0"/>
    </w:pPr>
    <w:rPr>
      <w:rFonts w:ascii="Times New Roman" w:eastAsia="Arial Unicode MS" w:hAnsi="Times New Roman" w:cs="Times New Roman"/>
      <w:color w:val="000000"/>
      <w:sz w:val="24"/>
      <w:szCs w:val="20"/>
      <w:u w:color="000000"/>
      <w:lang w:eastAsia="es-CO"/>
    </w:rPr>
  </w:style>
  <w:style w:type="paragraph" w:customStyle="1" w:styleId="ImportWordListStyleDefinition416560225">
    <w:name w:val="Import Word List Style Definition 416560225"/>
    <w:rsid w:val="00311149"/>
    <w:pPr>
      <w:numPr>
        <w:numId w:val="8"/>
      </w:numPr>
      <w:spacing w:after="0" w:line="240" w:lineRule="auto"/>
    </w:pPr>
    <w:rPr>
      <w:rFonts w:ascii="Times New Roman" w:eastAsia="Times New Roman" w:hAnsi="Times New Roman" w:cs="Times New Roman"/>
      <w:sz w:val="20"/>
      <w:szCs w:val="20"/>
      <w:lang w:eastAsia="es-CO"/>
    </w:rPr>
  </w:style>
  <w:style w:type="paragraph" w:styleId="Textoindependiente">
    <w:name w:val="Body Text"/>
    <w:basedOn w:val="Normal"/>
    <w:link w:val="TextoindependienteCar"/>
    <w:semiHidden/>
    <w:unhideWhenUsed/>
    <w:rsid w:val="0054131D"/>
    <w:pPr>
      <w:widowControl w:val="0"/>
      <w:suppressAutoHyphens/>
      <w:autoSpaceDN/>
      <w:jc w:val="both"/>
    </w:pPr>
    <w:rPr>
      <w:rFonts w:ascii="Verdana" w:eastAsia="Verdana" w:hAnsi="Verdana"/>
      <w:sz w:val="20"/>
      <w:szCs w:val="20"/>
    </w:rPr>
  </w:style>
  <w:style w:type="character" w:customStyle="1" w:styleId="TextoindependienteCar">
    <w:name w:val="Texto independiente Car"/>
    <w:basedOn w:val="Fuentedeprrafopredeter"/>
    <w:link w:val="Textoindependiente"/>
    <w:semiHidden/>
    <w:rsid w:val="0054131D"/>
    <w:rPr>
      <w:rFonts w:ascii="Verdana" w:eastAsia="Verdana" w:hAnsi="Verdana" w:cs="Times New Roman"/>
      <w:sz w:val="20"/>
      <w:szCs w:val="20"/>
      <w:lang w:eastAsia="es-ES"/>
    </w:rPr>
  </w:style>
  <w:style w:type="character" w:customStyle="1" w:styleId="PrrafodelistaCar">
    <w:name w:val="Párrafo de lista Car"/>
    <w:link w:val="Prrafodelista"/>
    <w:uiPriority w:val="34"/>
    <w:locked/>
    <w:rsid w:val="0054131D"/>
    <w:rPr>
      <w:rFonts w:ascii="Times New Roman" w:eastAsia="Times New Roman" w:hAnsi="Times New Roman" w:cs="Times New Roman"/>
      <w:sz w:val="24"/>
      <w:szCs w:val="24"/>
      <w:lang w:eastAsia="es-ES"/>
    </w:rPr>
  </w:style>
  <w:style w:type="character" w:customStyle="1" w:styleId="cuerpotexto1">
    <w:name w:val="cuerpo_texto1"/>
    <w:rsid w:val="00B55ED3"/>
    <w:rPr>
      <w:rFonts w:ascii="Verdana" w:hAnsi="Verdana" w:hint="default"/>
      <w:color w:val="000000"/>
      <w:sz w:val="18"/>
      <w:szCs w:val="18"/>
    </w:rPr>
  </w:style>
  <w:style w:type="table" w:styleId="Tablaconcuadrcula">
    <w:name w:val="Table Grid"/>
    <w:basedOn w:val="Tablanormal"/>
    <w:uiPriority w:val="59"/>
    <w:rsid w:val="00C63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011FE"/>
    <w:pPr>
      <w:tabs>
        <w:tab w:val="center" w:pos="4419"/>
        <w:tab w:val="right" w:pos="8838"/>
      </w:tabs>
    </w:pPr>
  </w:style>
  <w:style w:type="character" w:customStyle="1" w:styleId="EncabezadoCar">
    <w:name w:val="Encabezado Car"/>
    <w:basedOn w:val="Fuentedeprrafopredeter"/>
    <w:link w:val="Encabezado"/>
    <w:uiPriority w:val="99"/>
    <w:rsid w:val="008011FE"/>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8011FE"/>
    <w:pPr>
      <w:tabs>
        <w:tab w:val="center" w:pos="4419"/>
        <w:tab w:val="right" w:pos="8838"/>
      </w:tabs>
    </w:pPr>
  </w:style>
  <w:style w:type="character" w:customStyle="1" w:styleId="PiedepginaCar">
    <w:name w:val="Pie de página Car"/>
    <w:basedOn w:val="Fuentedeprrafopredeter"/>
    <w:link w:val="Piedepgina"/>
    <w:rsid w:val="008011FE"/>
    <w:rPr>
      <w:rFonts w:ascii="Times New Roman" w:eastAsia="Times New Roman" w:hAnsi="Times New Roman" w:cs="Times New Roman"/>
      <w:sz w:val="24"/>
      <w:szCs w:val="24"/>
      <w:lang w:eastAsia="es-ES"/>
    </w:rPr>
  </w:style>
  <w:style w:type="paragraph" w:customStyle="1" w:styleId="Default">
    <w:name w:val="Default"/>
    <w:rsid w:val="003D0280"/>
    <w:pPr>
      <w:autoSpaceDE w:val="0"/>
      <w:autoSpaceDN w:val="0"/>
      <w:adjustRightInd w:val="0"/>
      <w:spacing w:after="0" w:line="240" w:lineRule="auto"/>
    </w:pPr>
    <w:rPr>
      <w:rFonts w:ascii="Arial" w:hAnsi="Arial" w:cs="Arial"/>
      <w:color w:val="000000"/>
      <w:sz w:val="24"/>
      <w:szCs w:val="24"/>
    </w:rPr>
  </w:style>
  <w:style w:type="paragraph" w:customStyle="1" w:styleId="Footnotesrefss">
    <w:name w:val="Footnotes refss"/>
    <w:aliases w:val="Texto de nota al pie,Appel note de bas de page,referencia nota al pie,BVI fnr,Footnote number,f,Ref. de nota al pie.,Footnote symbol,Footnote,4_G,16 Point,Superscript 6 Point,Texto nota al pie,Ref. de nota al pi,Ref,f1"/>
    <w:basedOn w:val="Normal"/>
    <w:link w:val="Refdenotaalpie"/>
    <w:uiPriority w:val="99"/>
    <w:rsid w:val="008158BD"/>
    <w:pPr>
      <w:autoSpaceDN/>
      <w:spacing w:before="200" w:after="160" w:line="240" w:lineRule="exact"/>
    </w:pPr>
    <w:rPr>
      <w:rFonts w:asciiTheme="minorHAnsi" w:eastAsiaTheme="minorHAnsi" w:hAnsiTheme="minorHAnsi" w:cstheme="minorBidi"/>
      <w:sz w:val="22"/>
      <w:szCs w:val="22"/>
      <w:vertAlign w:val="superscript"/>
      <w:lang w:eastAsia="en-US"/>
    </w:rPr>
  </w:style>
  <w:style w:type="paragraph" w:styleId="Lista">
    <w:name w:val="List"/>
    <w:basedOn w:val="Normal"/>
    <w:uiPriority w:val="99"/>
    <w:semiHidden/>
    <w:unhideWhenUsed/>
    <w:rsid w:val="00CD27DC"/>
    <w:pPr>
      <w:autoSpaceDN/>
      <w:ind w:left="283" w:hanging="283"/>
      <w:contextualSpacing/>
    </w:pPr>
    <w:rPr>
      <w:rFonts w:ascii="Calibri" w:hAnsi="Calibri"/>
      <w:lang w:val="es-ES_tradnl"/>
    </w:rPr>
  </w:style>
  <w:style w:type="character" w:customStyle="1" w:styleId="Ttulo3Car">
    <w:name w:val="Título 3 Car"/>
    <w:basedOn w:val="Fuentedeprrafopredeter"/>
    <w:link w:val="Ttulo3"/>
    <w:semiHidden/>
    <w:rsid w:val="00BB308E"/>
    <w:rPr>
      <w:rFonts w:ascii="Times New Roman" w:eastAsia="Times New Roman" w:hAnsi="Times New Roman" w:cs="Times New Roman"/>
      <w:b/>
      <w:sz w:val="28"/>
      <w:szCs w:val="28"/>
      <w:lang w:eastAsia="es-CO"/>
    </w:rPr>
  </w:style>
  <w:style w:type="character" w:customStyle="1" w:styleId="Ttulo4Car">
    <w:name w:val="Título 4 Car"/>
    <w:basedOn w:val="Fuentedeprrafopredeter"/>
    <w:link w:val="Ttulo4"/>
    <w:rsid w:val="00BB308E"/>
    <w:rPr>
      <w:rFonts w:ascii="Times New Roman" w:eastAsia="Times New Roman" w:hAnsi="Times New Roman" w:cs="Times New Roman"/>
      <w:b/>
      <w:sz w:val="24"/>
      <w:szCs w:val="24"/>
      <w:lang w:eastAsia="es-CO"/>
    </w:rPr>
  </w:style>
  <w:style w:type="character" w:customStyle="1" w:styleId="Ttulo5Car">
    <w:name w:val="Título 5 Car"/>
    <w:basedOn w:val="Fuentedeprrafopredeter"/>
    <w:link w:val="Ttulo5"/>
    <w:semiHidden/>
    <w:rsid w:val="00BB308E"/>
    <w:rPr>
      <w:rFonts w:ascii="Times New Roman" w:eastAsia="Times New Roman" w:hAnsi="Times New Roman" w:cs="Times New Roman"/>
      <w:b/>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91167">
      <w:bodyDiv w:val="1"/>
      <w:marLeft w:val="0"/>
      <w:marRight w:val="0"/>
      <w:marTop w:val="0"/>
      <w:marBottom w:val="0"/>
      <w:divBdr>
        <w:top w:val="none" w:sz="0" w:space="0" w:color="auto"/>
        <w:left w:val="none" w:sz="0" w:space="0" w:color="auto"/>
        <w:bottom w:val="none" w:sz="0" w:space="0" w:color="auto"/>
        <w:right w:val="none" w:sz="0" w:space="0" w:color="auto"/>
      </w:divBdr>
    </w:div>
    <w:div w:id="70779416">
      <w:bodyDiv w:val="1"/>
      <w:marLeft w:val="0"/>
      <w:marRight w:val="0"/>
      <w:marTop w:val="0"/>
      <w:marBottom w:val="0"/>
      <w:divBdr>
        <w:top w:val="none" w:sz="0" w:space="0" w:color="auto"/>
        <w:left w:val="none" w:sz="0" w:space="0" w:color="auto"/>
        <w:bottom w:val="none" w:sz="0" w:space="0" w:color="auto"/>
        <w:right w:val="none" w:sz="0" w:space="0" w:color="auto"/>
      </w:divBdr>
    </w:div>
    <w:div w:id="76753193">
      <w:bodyDiv w:val="1"/>
      <w:marLeft w:val="0"/>
      <w:marRight w:val="0"/>
      <w:marTop w:val="0"/>
      <w:marBottom w:val="0"/>
      <w:divBdr>
        <w:top w:val="none" w:sz="0" w:space="0" w:color="auto"/>
        <w:left w:val="none" w:sz="0" w:space="0" w:color="auto"/>
        <w:bottom w:val="none" w:sz="0" w:space="0" w:color="auto"/>
        <w:right w:val="none" w:sz="0" w:space="0" w:color="auto"/>
      </w:divBdr>
    </w:div>
    <w:div w:id="131098622">
      <w:bodyDiv w:val="1"/>
      <w:marLeft w:val="0"/>
      <w:marRight w:val="0"/>
      <w:marTop w:val="0"/>
      <w:marBottom w:val="0"/>
      <w:divBdr>
        <w:top w:val="none" w:sz="0" w:space="0" w:color="auto"/>
        <w:left w:val="none" w:sz="0" w:space="0" w:color="auto"/>
        <w:bottom w:val="none" w:sz="0" w:space="0" w:color="auto"/>
        <w:right w:val="none" w:sz="0" w:space="0" w:color="auto"/>
      </w:divBdr>
    </w:div>
    <w:div w:id="158086649">
      <w:bodyDiv w:val="1"/>
      <w:marLeft w:val="0"/>
      <w:marRight w:val="0"/>
      <w:marTop w:val="0"/>
      <w:marBottom w:val="0"/>
      <w:divBdr>
        <w:top w:val="none" w:sz="0" w:space="0" w:color="auto"/>
        <w:left w:val="none" w:sz="0" w:space="0" w:color="auto"/>
        <w:bottom w:val="none" w:sz="0" w:space="0" w:color="auto"/>
        <w:right w:val="none" w:sz="0" w:space="0" w:color="auto"/>
      </w:divBdr>
    </w:div>
    <w:div w:id="158621042">
      <w:bodyDiv w:val="1"/>
      <w:marLeft w:val="0"/>
      <w:marRight w:val="0"/>
      <w:marTop w:val="0"/>
      <w:marBottom w:val="0"/>
      <w:divBdr>
        <w:top w:val="none" w:sz="0" w:space="0" w:color="auto"/>
        <w:left w:val="none" w:sz="0" w:space="0" w:color="auto"/>
        <w:bottom w:val="none" w:sz="0" w:space="0" w:color="auto"/>
        <w:right w:val="none" w:sz="0" w:space="0" w:color="auto"/>
      </w:divBdr>
    </w:div>
    <w:div w:id="202719079">
      <w:bodyDiv w:val="1"/>
      <w:marLeft w:val="0"/>
      <w:marRight w:val="0"/>
      <w:marTop w:val="0"/>
      <w:marBottom w:val="0"/>
      <w:divBdr>
        <w:top w:val="none" w:sz="0" w:space="0" w:color="auto"/>
        <w:left w:val="none" w:sz="0" w:space="0" w:color="auto"/>
        <w:bottom w:val="none" w:sz="0" w:space="0" w:color="auto"/>
        <w:right w:val="none" w:sz="0" w:space="0" w:color="auto"/>
      </w:divBdr>
    </w:div>
    <w:div w:id="240411796">
      <w:bodyDiv w:val="1"/>
      <w:marLeft w:val="0"/>
      <w:marRight w:val="0"/>
      <w:marTop w:val="0"/>
      <w:marBottom w:val="0"/>
      <w:divBdr>
        <w:top w:val="none" w:sz="0" w:space="0" w:color="auto"/>
        <w:left w:val="none" w:sz="0" w:space="0" w:color="auto"/>
        <w:bottom w:val="none" w:sz="0" w:space="0" w:color="auto"/>
        <w:right w:val="none" w:sz="0" w:space="0" w:color="auto"/>
      </w:divBdr>
    </w:div>
    <w:div w:id="267810423">
      <w:bodyDiv w:val="1"/>
      <w:marLeft w:val="0"/>
      <w:marRight w:val="0"/>
      <w:marTop w:val="0"/>
      <w:marBottom w:val="0"/>
      <w:divBdr>
        <w:top w:val="none" w:sz="0" w:space="0" w:color="auto"/>
        <w:left w:val="none" w:sz="0" w:space="0" w:color="auto"/>
        <w:bottom w:val="none" w:sz="0" w:space="0" w:color="auto"/>
        <w:right w:val="none" w:sz="0" w:space="0" w:color="auto"/>
      </w:divBdr>
    </w:div>
    <w:div w:id="329522139">
      <w:bodyDiv w:val="1"/>
      <w:marLeft w:val="0"/>
      <w:marRight w:val="0"/>
      <w:marTop w:val="0"/>
      <w:marBottom w:val="0"/>
      <w:divBdr>
        <w:top w:val="none" w:sz="0" w:space="0" w:color="auto"/>
        <w:left w:val="none" w:sz="0" w:space="0" w:color="auto"/>
        <w:bottom w:val="none" w:sz="0" w:space="0" w:color="auto"/>
        <w:right w:val="none" w:sz="0" w:space="0" w:color="auto"/>
      </w:divBdr>
    </w:div>
    <w:div w:id="334235003">
      <w:bodyDiv w:val="1"/>
      <w:marLeft w:val="0"/>
      <w:marRight w:val="0"/>
      <w:marTop w:val="0"/>
      <w:marBottom w:val="0"/>
      <w:divBdr>
        <w:top w:val="none" w:sz="0" w:space="0" w:color="auto"/>
        <w:left w:val="none" w:sz="0" w:space="0" w:color="auto"/>
        <w:bottom w:val="none" w:sz="0" w:space="0" w:color="auto"/>
        <w:right w:val="none" w:sz="0" w:space="0" w:color="auto"/>
      </w:divBdr>
    </w:div>
    <w:div w:id="351342812">
      <w:bodyDiv w:val="1"/>
      <w:marLeft w:val="0"/>
      <w:marRight w:val="0"/>
      <w:marTop w:val="0"/>
      <w:marBottom w:val="0"/>
      <w:divBdr>
        <w:top w:val="none" w:sz="0" w:space="0" w:color="auto"/>
        <w:left w:val="none" w:sz="0" w:space="0" w:color="auto"/>
        <w:bottom w:val="none" w:sz="0" w:space="0" w:color="auto"/>
        <w:right w:val="none" w:sz="0" w:space="0" w:color="auto"/>
      </w:divBdr>
    </w:div>
    <w:div w:id="371924030">
      <w:bodyDiv w:val="1"/>
      <w:marLeft w:val="0"/>
      <w:marRight w:val="0"/>
      <w:marTop w:val="0"/>
      <w:marBottom w:val="0"/>
      <w:divBdr>
        <w:top w:val="none" w:sz="0" w:space="0" w:color="auto"/>
        <w:left w:val="none" w:sz="0" w:space="0" w:color="auto"/>
        <w:bottom w:val="none" w:sz="0" w:space="0" w:color="auto"/>
        <w:right w:val="none" w:sz="0" w:space="0" w:color="auto"/>
      </w:divBdr>
    </w:div>
    <w:div w:id="378866483">
      <w:bodyDiv w:val="1"/>
      <w:marLeft w:val="0"/>
      <w:marRight w:val="0"/>
      <w:marTop w:val="0"/>
      <w:marBottom w:val="0"/>
      <w:divBdr>
        <w:top w:val="none" w:sz="0" w:space="0" w:color="auto"/>
        <w:left w:val="none" w:sz="0" w:space="0" w:color="auto"/>
        <w:bottom w:val="none" w:sz="0" w:space="0" w:color="auto"/>
        <w:right w:val="none" w:sz="0" w:space="0" w:color="auto"/>
      </w:divBdr>
    </w:div>
    <w:div w:id="443186315">
      <w:bodyDiv w:val="1"/>
      <w:marLeft w:val="0"/>
      <w:marRight w:val="0"/>
      <w:marTop w:val="0"/>
      <w:marBottom w:val="0"/>
      <w:divBdr>
        <w:top w:val="none" w:sz="0" w:space="0" w:color="auto"/>
        <w:left w:val="none" w:sz="0" w:space="0" w:color="auto"/>
        <w:bottom w:val="none" w:sz="0" w:space="0" w:color="auto"/>
        <w:right w:val="none" w:sz="0" w:space="0" w:color="auto"/>
      </w:divBdr>
    </w:div>
    <w:div w:id="444665332">
      <w:bodyDiv w:val="1"/>
      <w:marLeft w:val="0"/>
      <w:marRight w:val="0"/>
      <w:marTop w:val="0"/>
      <w:marBottom w:val="0"/>
      <w:divBdr>
        <w:top w:val="none" w:sz="0" w:space="0" w:color="auto"/>
        <w:left w:val="none" w:sz="0" w:space="0" w:color="auto"/>
        <w:bottom w:val="none" w:sz="0" w:space="0" w:color="auto"/>
        <w:right w:val="none" w:sz="0" w:space="0" w:color="auto"/>
      </w:divBdr>
    </w:div>
    <w:div w:id="451051293">
      <w:bodyDiv w:val="1"/>
      <w:marLeft w:val="0"/>
      <w:marRight w:val="0"/>
      <w:marTop w:val="0"/>
      <w:marBottom w:val="0"/>
      <w:divBdr>
        <w:top w:val="none" w:sz="0" w:space="0" w:color="auto"/>
        <w:left w:val="none" w:sz="0" w:space="0" w:color="auto"/>
        <w:bottom w:val="none" w:sz="0" w:space="0" w:color="auto"/>
        <w:right w:val="none" w:sz="0" w:space="0" w:color="auto"/>
      </w:divBdr>
    </w:div>
    <w:div w:id="497230055">
      <w:bodyDiv w:val="1"/>
      <w:marLeft w:val="0"/>
      <w:marRight w:val="0"/>
      <w:marTop w:val="0"/>
      <w:marBottom w:val="0"/>
      <w:divBdr>
        <w:top w:val="none" w:sz="0" w:space="0" w:color="auto"/>
        <w:left w:val="none" w:sz="0" w:space="0" w:color="auto"/>
        <w:bottom w:val="none" w:sz="0" w:space="0" w:color="auto"/>
        <w:right w:val="none" w:sz="0" w:space="0" w:color="auto"/>
      </w:divBdr>
    </w:div>
    <w:div w:id="519860468">
      <w:bodyDiv w:val="1"/>
      <w:marLeft w:val="0"/>
      <w:marRight w:val="0"/>
      <w:marTop w:val="0"/>
      <w:marBottom w:val="0"/>
      <w:divBdr>
        <w:top w:val="none" w:sz="0" w:space="0" w:color="auto"/>
        <w:left w:val="none" w:sz="0" w:space="0" w:color="auto"/>
        <w:bottom w:val="none" w:sz="0" w:space="0" w:color="auto"/>
        <w:right w:val="none" w:sz="0" w:space="0" w:color="auto"/>
      </w:divBdr>
      <w:divsChild>
        <w:div w:id="129252047">
          <w:marLeft w:val="0"/>
          <w:marRight w:val="0"/>
          <w:marTop w:val="0"/>
          <w:marBottom w:val="0"/>
          <w:divBdr>
            <w:top w:val="none" w:sz="0" w:space="0" w:color="auto"/>
            <w:left w:val="none" w:sz="0" w:space="0" w:color="auto"/>
            <w:bottom w:val="none" w:sz="0" w:space="0" w:color="auto"/>
            <w:right w:val="none" w:sz="0" w:space="0" w:color="auto"/>
          </w:divBdr>
          <w:divsChild>
            <w:div w:id="707795911">
              <w:marLeft w:val="0"/>
              <w:marRight w:val="0"/>
              <w:marTop w:val="0"/>
              <w:marBottom w:val="0"/>
              <w:divBdr>
                <w:top w:val="none" w:sz="0" w:space="0" w:color="auto"/>
                <w:left w:val="none" w:sz="0" w:space="0" w:color="auto"/>
                <w:bottom w:val="none" w:sz="0" w:space="0" w:color="auto"/>
                <w:right w:val="none" w:sz="0" w:space="0" w:color="auto"/>
              </w:divBdr>
            </w:div>
            <w:div w:id="1761752174">
              <w:marLeft w:val="0"/>
              <w:marRight w:val="0"/>
              <w:marTop w:val="0"/>
              <w:marBottom w:val="0"/>
              <w:divBdr>
                <w:top w:val="none" w:sz="0" w:space="0" w:color="auto"/>
                <w:left w:val="none" w:sz="0" w:space="0" w:color="auto"/>
                <w:bottom w:val="none" w:sz="0" w:space="0" w:color="auto"/>
                <w:right w:val="none" w:sz="0" w:space="0" w:color="auto"/>
              </w:divBdr>
              <w:divsChild>
                <w:div w:id="9555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242567">
      <w:bodyDiv w:val="1"/>
      <w:marLeft w:val="0"/>
      <w:marRight w:val="0"/>
      <w:marTop w:val="0"/>
      <w:marBottom w:val="0"/>
      <w:divBdr>
        <w:top w:val="none" w:sz="0" w:space="0" w:color="auto"/>
        <w:left w:val="none" w:sz="0" w:space="0" w:color="auto"/>
        <w:bottom w:val="none" w:sz="0" w:space="0" w:color="auto"/>
        <w:right w:val="none" w:sz="0" w:space="0" w:color="auto"/>
      </w:divBdr>
    </w:div>
    <w:div w:id="534932021">
      <w:bodyDiv w:val="1"/>
      <w:marLeft w:val="0"/>
      <w:marRight w:val="0"/>
      <w:marTop w:val="0"/>
      <w:marBottom w:val="0"/>
      <w:divBdr>
        <w:top w:val="none" w:sz="0" w:space="0" w:color="auto"/>
        <w:left w:val="none" w:sz="0" w:space="0" w:color="auto"/>
        <w:bottom w:val="none" w:sz="0" w:space="0" w:color="auto"/>
        <w:right w:val="none" w:sz="0" w:space="0" w:color="auto"/>
      </w:divBdr>
      <w:divsChild>
        <w:div w:id="1630210006">
          <w:marLeft w:val="0"/>
          <w:marRight w:val="0"/>
          <w:marTop w:val="0"/>
          <w:marBottom w:val="0"/>
          <w:divBdr>
            <w:top w:val="none" w:sz="0" w:space="0" w:color="auto"/>
            <w:left w:val="none" w:sz="0" w:space="0" w:color="auto"/>
            <w:bottom w:val="single" w:sz="12" w:space="8" w:color="D5D5D5"/>
            <w:right w:val="none" w:sz="0" w:space="0" w:color="auto"/>
          </w:divBdr>
          <w:divsChild>
            <w:div w:id="1826781277">
              <w:marLeft w:val="0"/>
              <w:marRight w:val="0"/>
              <w:marTop w:val="0"/>
              <w:marBottom w:val="0"/>
              <w:divBdr>
                <w:top w:val="none" w:sz="0" w:space="0" w:color="auto"/>
                <w:left w:val="none" w:sz="0" w:space="0" w:color="auto"/>
                <w:bottom w:val="none" w:sz="0" w:space="0" w:color="auto"/>
                <w:right w:val="none" w:sz="0" w:space="0" w:color="auto"/>
              </w:divBdr>
            </w:div>
            <w:div w:id="971908264">
              <w:marLeft w:val="0"/>
              <w:marRight w:val="0"/>
              <w:marTop w:val="0"/>
              <w:marBottom w:val="0"/>
              <w:divBdr>
                <w:top w:val="none" w:sz="0" w:space="0" w:color="auto"/>
                <w:left w:val="none" w:sz="0" w:space="0" w:color="auto"/>
                <w:bottom w:val="none" w:sz="0" w:space="0" w:color="auto"/>
                <w:right w:val="none" w:sz="0" w:space="0" w:color="auto"/>
              </w:divBdr>
            </w:div>
          </w:divsChild>
        </w:div>
        <w:div w:id="1968537588">
          <w:marLeft w:val="0"/>
          <w:marRight w:val="0"/>
          <w:marTop w:val="150"/>
          <w:marBottom w:val="342"/>
          <w:divBdr>
            <w:top w:val="none" w:sz="0" w:space="0" w:color="auto"/>
            <w:left w:val="none" w:sz="0" w:space="0" w:color="auto"/>
            <w:bottom w:val="none" w:sz="0" w:space="0" w:color="auto"/>
            <w:right w:val="none" w:sz="0" w:space="0" w:color="auto"/>
          </w:divBdr>
          <w:divsChild>
            <w:div w:id="418134745">
              <w:marLeft w:val="0"/>
              <w:marRight w:val="0"/>
              <w:marTop w:val="0"/>
              <w:marBottom w:val="0"/>
              <w:divBdr>
                <w:top w:val="none" w:sz="0" w:space="0" w:color="auto"/>
                <w:left w:val="none" w:sz="0" w:space="0" w:color="auto"/>
                <w:bottom w:val="none" w:sz="0" w:space="0" w:color="auto"/>
                <w:right w:val="none" w:sz="0" w:space="0" w:color="auto"/>
              </w:divBdr>
            </w:div>
            <w:div w:id="885872355">
              <w:marLeft w:val="0"/>
              <w:marRight w:val="0"/>
              <w:marTop w:val="0"/>
              <w:marBottom w:val="0"/>
              <w:divBdr>
                <w:top w:val="none" w:sz="0" w:space="0" w:color="auto"/>
                <w:left w:val="none" w:sz="0" w:space="0" w:color="auto"/>
                <w:bottom w:val="none" w:sz="0" w:space="0" w:color="auto"/>
                <w:right w:val="none" w:sz="0" w:space="0" w:color="auto"/>
              </w:divBdr>
            </w:div>
            <w:div w:id="1574268762">
              <w:marLeft w:val="0"/>
              <w:marRight w:val="0"/>
              <w:marTop w:val="0"/>
              <w:marBottom w:val="0"/>
              <w:divBdr>
                <w:top w:val="none" w:sz="0" w:space="0" w:color="auto"/>
                <w:left w:val="none" w:sz="0" w:space="0" w:color="auto"/>
                <w:bottom w:val="none" w:sz="0" w:space="0" w:color="auto"/>
                <w:right w:val="none" w:sz="0" w:space="0" w:color="auto"/>
              </w:divBdr>
            </w:div>
            <w:div w:id="1949194169">
              <w:marLeft w:val="0"/>
              <w:marRight w:val="0"/>
              <w:marTop w:val="0"/>
              <w:marBottom w:val="0"/>
              <w:divBdr>
                <w:top w:val="none" w:sz="0" w:space="0" w:color="auto"/>
                <w:left w:val="none" w:sz="0" w:space="0" w:color="auto"/>
                <w:bottom w:val="none" w:sz="0" w:space="0" w:color="auto"/>
                <w:right w:val="none" w:sz="0" w:space="0" w:color="auto"/>
              </w:divBdr>
            </w:div>
            <w:div w:id="119349043">
              <w:marLeft w:val="0"/>
              <w:marRight w:val="0"/>
              <w:marTop w:val="0"/>
              <w:marBottom w:val="0"/>
              <w:divBdr>
                <w:top w:val="none" w:sz="0" w:space="0" w:color="auto"/>
                <w:left w:val="none" w:sz="0" w:space="0" w:color="auto"/>
                <w:bottom w:val="none" w:sz="0" w:space="0" w:color="auto"/>
                <w:right w:val="none" w:sz="0" w:space="0" w:color="auto"/>
              </w:divBdr>
            </w:div>
            <w:div w:id="1863863047">
              <w:marLeft w:val="0"/>
              <w:marRight w:val="0"/>
              <w:marTop w:val="0"/>
              <w:marBottom w:val="0"/>
              <w:divBdr>
                <w:top w:val="none" w:sz="0" w:space="0" w:color="auto"/>
                <w:left w:val="none" w:sz="0" w:space="0" w:color="auto"/>
                <w:bottom w:val="none" w:sz="0" w:space="0" w:color="auto"/>
                <w:right w:val="none" w:sz="0" w:space="0" w:color="auto"/>
              </w:divBdr>
            </w:div>
            <w:div w:id="2079352585">
              <w:marLeft w:val="0"/>
              <w:marRight w:val="0"/>
              <w:marTop w:val="0"/>
              <w:marBottom w:val="0"/>
              <w:divBdr>
                <w:top w:val="none" w:sz="0" w:space="0" w:color="auto"/>
                <w:left w:val="none" w:sz="0" w:space="0" w:color="auto"/>
                <w:bottom w:val="none" w:sz="0" w:space="0" w:color="auto"/>
                <w:right w:val="none" w:sz="0" w:space="0" w:color="auto"/>
              </w:divBdr>
            </w:div>
          </w:divsChild>
        </w:div>
        <w:div w:id="1882353926">
          <w:marLeft w:val="0"/>
          <w:marRight w:val="0"/>
          <w:marTop w:val="0"/>
          <w:marBottom w:val="0"/>
          <w:divBdr>
            <w:top w:val="none" w:sz="0" w:space="0" w:color="auto"/>
            <w:left w:val="none" w:sz="0" w:space="0" w:color="auto"/>
            <w:bottom w:val="none" w:sz="0" w:space="0" w:color="auto"/>
            <w:right w:val="none" w:sz="0" w:space="0" w:color="auto"/>
          </w:divBdr>
        </w:div>
      </w:divsChild>
    </w:div>
    <w:div w:id="587732161">
      <w:bodyDiv w:val="1"/>
      <w:marLeft w:val="0"/>
      <w:marRight w:val="0"/>
      <w:marTop w:val="0"/>
      <w:marBottom w:val="0"/>
      <w:divBdr>
        <w:top w:val="none" w:sz="0" w:space="0" w:color="auto"/>
        <w:left w:val="none" w:sz="0" w:space="0" w:color="auto"/>
        <w:bottom w:val="none" w:sz="0" w:space="0" w:color="auto"/>
        <w:right w:val="none" w:sz="0" w:space="0" w:color="auto"/>
      </w:divBdr>
    </w:div>
    <w:div w:id="625696622">
      <w:bodyDiv w:val="1"/>
      <w:marLeft w:val="0"/>
      <w:marRight w:val="0"/>
      <w:marTop w:val="0"/>
      <w:marBottom w:val="0"/>
      <w:divBdr>
        <w:top w:val="none" w:sz="0" w:space="0" w:color="auto"/>
        <w:left w:val="none" w:sz="0" w:space="0" w:color="auto"/>
        <w:bottom w:val="none" w:sz="0" w:space="0" w:color="auto"/>
        <w:right w:val="none" w:sz="0" w:space="0" w:color="auto"/>
      </w:divBdr>
    </w:div>
    <w:div w:id="651716509">
      <w:bodyDiv w:val="1"/>
      <w:marLeft w:val="0"/>
      <w:marRight w:val="0"/>
      <w:marTop w:val="0"/>
      <w:marBottom w:val="0"/>
      <w:divBdr>
        <w:top w:val="none" w:sz="0" w:space="0" w:color="auto"/>
        <w:left w:val="none" w:sz="0" w:space="0" w:color="auto"/>
        <w:bottom w:val="none" w:sz="0" w:space="0" w:color="auto"/>
        <w:right w:val="none" w:sz="0" w:space="0" w:color="auto"/>
      </w:divBdr>
    </w:div>
    <w:div w:id="721977218">
      <w:bodyDiv w:val="1"/>
      <w:marLeft w:val="0"/>
      <w:marRight w:val="0"/>
      <w:marTop w:val="0"/>
      <w:marBottom w:val="0"/>
      <w:divBdr>
        <w:top w:val="none" w:sz="0" w:space="0" w:color="auto"/>
        <w:left w:val="none" w:sz="0" w:space="0" w:color="auto"/>
        <w:bottom w:val="none" w:sz="0" w:space="0" w:color="auto"/>
        <w:right w:val="none" w:sz="0" w:space="0" w:color="auto"/>
      </w:divBdr>
    </w:div>
    <w:div w:id="740639702">
      <w:bodyDiv w:val="1"/>
      <w:marLeft w:val="0"/>
      <w:marRight w:val="0"/>
      <w:marTop w:val="0"/>
      <w:marBottom w:val="0"/>
      <w:divBdr>
        <w:top w:val="none" w:sz="0" w:space="0" w:color="auto"/>
        <w:left w:val="none" w:sz="0" w:space="0" w:color="auto"/>
        <w:bottom w:val="none" w:sz="0" w:space="0" w:color="auto"/>
        <w:right w:val="none" w:sz="0" w:space="0" w:color="auto"/>
      </w:divBdr>
    </w:div>
    <w:div w:id="772675880">
      <w:bodyDiv w:val="1"/>
      <w:marLeft w:val="0"/>
      <w:marRight w:val="0"/>
      <w:marTop w:val="0"/>
      <w:marBottom w:val="0"/>
      <w:divBdr>
        <w:top w:val="none" w:sz="0" w:space="0" w:color="auto"/>
        <w:left w:val="none" w:sz="0" w:space="0" w:color="auto"/>
        <w:bottom w:val="none" w:sz="0" w:space="0" w:color="auto"/>
        <w:right w:val="none" w:sz="0" w:space="0" w:color="auto"/>
      </w:divBdr>
    </w:div>
    <w:div w:id="773744866">
      <w:bodyDiv w:val="1"/>
      <w:marLeft w:val="0"/>
      <w:marRight w:val="0"/>
      <w:marTop w:val="0"/>
      <w:marBottom w:val="0"/>
      <w:divBdr>
        <w:top w:val="none" w:sz="0" w:space="0" w:color="auto"/>
        <w:left w:val="none" w:sz="0" w:space="0" w:color="auto"/>
        <w:bottom w:val="none" w:sz="0" w:space="0" w:color="auto"/>
        <w:right w:val="none" w:sz="0" w:space="0" w:color="auto"/>
      </w:divBdr>
    </w:div>
    <w:div w:id="776560548">
      <w:bodyDiv w:val="1"/>
      <w:marLeft w:val="0"/>
      <w:marRight w:val="0"/>
      <w:marTop w:val="0"/>
      <w:marBottom w:val="0"/>
      <w:divBdr>
        <w:top w:val="none" w:sz="0" w:space="0" w:color="auto"/>
        <w:left w:val="none" w:sz="0" w:space="0" w:color="auto"/>
        <w:bottom w:val="none" w:sz="0" w:space="0" w:color="auto"/>
        <w:right w:val="none" w:sz="0" w:space="0" w:color="auto"/>
      </w:divBdr>
    </w:div>
    <w:div w:id="788862217">
      <w:bodyDiv w:val="1"/>
      <w:marLeft w:val="0"/>
      <w:marRight w:val="0"/>
      <w:marTop w:val="0"/>
      <w:marBottom w:val="0"/>
      <w:divBdr>
        <w:top w:val="none" w:sz="0" w:space="0" w:color="auto"/>
        <w:left w:val="none" w:sz="0" w:space="0" w:color="auto"/>
        <w:bottom w:val="none" w:sz="0" w:space="0" w:color="auto"/>
        <w:right w:val="none" w:sz="0" w:space="0" w:color="auto"/>
      </w:divBdr>
    </w:div>
    <w:div w:id="792942504">
      <w:bodyDiv w:val="1"/>
      <w:marLeft w:val="0"/>
      <w:marRight w:val="0"/>
      <w:marTop w:val="0"/>
      <w:marBottom w:val="0"/>
      <w:divBdr>
        <w:top w:val="none" w:sz="0" w:space="0" w:color="auto"/>
        <w:left w:val="none" w:sz="0" w:space="0" w:color="auto"/>
        <w:bottom w:val="none" w:sz="0" w:space="0" w:color="auto"/>
        <w:right w:val="none" w:sz="0" w:space="0" w:color="auto"/>
      </w:divBdr>
    </w:div>
    <w:div w:id="827356836">
      <w:bodyDiv w:val="1"/>
      <w:marLeft w:val="0"/>
      <w:marRight w:val="0"/>
      <w:marTop w:val="0"/>
      <w:marBottom w:val="0"/>
      <w:divBdr>
        <w:top w:val="none" w:sz="0" w:space="0" w:color="auto"/>
        <w:left w:val="none" w:sz="0" w:space="0" w:color="auto"/>
        <w:bottom w:val="none" w:sz="0" w:space="0" w:color="auto"/>
        <w:right w:val="none" w:sz="0" w:space="0" w:color="auto"/>
      </w:divBdr>
    </w:div>
    <w:div w:id="931282202">
      <w:bodyDiv w:val="1"/>
      <w:marLeft w:val="0"/>
      <w:marRight w:val="0"/>
      <w:marTop w:val="0"/>
      <w:marBottom w:val="0"/>
      <w:divBdr>
        <w:top w:val="none" w:sz="0" w:space="0" w:color="auto"/>
        <w:left w:val="none" w:sz="0" w:space="0" w:color="auto"/>
        <w:bottom w:val="none" w:sz="0" w:space="0" w:color="auto"/>
        <w:right w:val="none" w:sz="0" w:space="0" w:color="auto"/>
      </w:divBdr>
    </w:div>
    <w:div w:id="934631095">
      <w:bodyDiv w:val="1"/>
      <w:marLeft w:val="0"/>
      <w:marRight w:val="0"/>
      <w:marTop w:val="0"/>
      <w:marBottom w:val="0"/>
      <w:divBdr>
        <w:top w:val="none" w:sz="0" w:space="0" w:color="auto"/>
        <w:left w:val="none" w:sz="0" w:space="0" w:color="auto"/>
        <w:bottom w:val="none" w:sz="0" w:space="0" w:color="auto"/>
        <w:right w:val="none" w:sz="0" w:space="0" w:color="auto"/>
      </w:divBdr>
    </w:div>
    <w:div w:id="955985053">
      <w:bodyDiv w:val="1"/>
      <w:marLeft w:val="0"/>
      <w:marRight w:val="0"/>
      <w:marTop w:val="0"/>
      <w:marBottom w:val="0"/>
      <w:divBdr>
        <w:top w:val="none" w:sz="0" w:space="0" w:color="auto"/>
        <w:left w:val="none" w:sz="0" w:space="0" w:color="auto"/>
        <w:bottom w:val="none" w:sz="0" w:space="0" w:color="auto"/>
        <w:right w:val="none" w:sz="0" w:space="0" w:color="auto"/>
      </w:divBdr>
    </w:div>
    <w:div w:id="1059474686">
      <w:bodyDiv w:val="1"/>
      <w:marLeft w:val="0"/>
      <w:marRight w:val="0"/>
      <w:marTop w:val="0"/>
      <w:marBottom w:val="0"/>
      <w:divBdr>
        <w:top w:val="none" w:sz="0" w:space="0" w:color="auto"/>
        <w:left w:val="none" w:sz="0" w:space="0" w:color="auto"/>
        <w:bottom w:val="none" w:sz="0" w:space="0" w:color="auto"/>
        <w:right w:val="none" w:sz="0" w:space="0" w:color="auto"/>
      </w:divBdr>
    </w:div>
    <w:div w:id="1101561780">
      <w:bodyDiv w:val="1"/>
      <w:marLeft w:val="0"/>
      <w:marRight w:val="0"/>
      <w:marTop w:val="0"/>
      <w:marBottom w:val="0"/>
      <w:divBdr>
        <w:top w:val="none" w:sz="0" w:space="0" w:color="auto"/>
        <w:left w:val="none" w:sz="0" w:space="0" w:color="auto"/>
        <w:bottom w:val="none" w:sz="0" w:space="0" w:color="auto"/>
        <w:right w:val="none" w:sz="0" w:space="0" w:color="auto"/>
      </w:divBdr>
    </w:div>
    <w:div w:id="1131677781">
      <w:bodyDiv w:val="1"/>
      <w:marLeft w:val="0"/>
      <w:marRight w:val="0"/>
      <w:marTop w:val="0"/>
      <w:marBottom w:val="0"/>
      <w:divBdr>
        <w:top w:val="none" w:sz="0" w:space="0" w:color="auto"/>
        <w:left w:val="none" w:sz="0" w:space="0" w:color="auto"/>
        <w:bottom w:val="none" w:sz="0" w:space="0" w:color="auto"/>
        <w:right w:val="none" w:sz="0" w:space="0" w:color="auto"/>
      </w:divBdr>
    </w:div>
    <w:div w:id="1148132098">
      <w:bodyDiv w:val="1"/>
      <w:marLeft w:val="0"/>
      <w:marRight w:val="0"/>
      <w:marTop w:val="0"/>
      <w:marBottom w:val="0"/>
      <w:divBdr>
        <w:top w:val="none" w:sz="0" w:space="0" w:color="auto"/>
        <w:left w:val="none" w:sz="0" w:space="0" w:color="auto"/>
        <w:bottom w:val="none" w:sz="0" w:space="0" w:color="auto"/>
        <w:right w:val="none" w:sz="0" w:space="0" w:color="auto"/>
      </w:divBdr>
    </w:div>
    <w:div w:id="1172795777">
      <w:bodyDiv w:val="1"/>
      <w:marLeft w:val="0"/>
      <w:marRight w:val="0"/>
      <w:marTop w:val="0"/>
      <w:marBottom w:val="0"/>
      <w:divBdr>
        <w:top w:val="none" w:sz="0" w:space="0" w:color="auto"/>
        <w:left w:val="none" w:sz="0" w:space="0" w:color="auto"/>
        <w:bottom w:val="none" w:sz="0" w:space="0" w:color="auto"/>
        <w:right w:val="none" w:sz="0" w:space="0" w:color="auto"/>
      </w:divBdr>
    </w:div>
    <w:div w:id="1206017683">
      <w:bodyDiv w:val="1"/>
      <w:marLeft w:val="0"/>
      <w:marRight w:val="0"/>
      <w:marTop w:val="0"/>
      <w:marBottom w:val="0"/>
      <w:divBdr>
        <w:top w:val="none" w:sz="0" w:space="0" w:color="auto"/>
        <w:left w:val="none" w:sz="0" w:space="0" w:color="auto"/>
        <w:bottom w:val="none" w:sz="0" w:space="0" w:color="auto"/>
        <w:right w:val="none" w:sz="0" w:space="0" w:color="auto"/>
      </w:divBdr>
    </w:div>
    <w:div w:id="1266352464">
      <w:bodyDiv w:val="1"/>
      <w:marLeft w:val="0"/>
      <w:marRight w:val="0"/>
      <w:marTop w:val="0"/>
      <w:marBottom w:val="0"/>
      <w:divBdr>
        <w:top w:val="none" w:sz="0" w:space="0" w:color="auto"/>
        <w:left w:val="none" w:sz="0" w:space="0" w:color="auto"/>
        <w:bottom w:val="none" w:sz="0" w:space="0" w:color="auto"/>
        <w:right w:val="none" w:sz="0" w:space="0" w:color="auto"/>
      </w:divBdr>
    </w:div>
    <w:div w:id="1307736777">
      <w:bodyDiv w:val="1"/>
      <w:marLeft w:val="0"/>
      <w:marRight w:val="0"/>
      <w:marTop w:val="0"/>
      <w:marBottom w:val="0"/>
      <w:divBdr>
        <w:top w:val="none" w:sz="0" w:space="0" w:color="auto"/>
        <w:left w:val="none" w:sz="0" w:space="0" w:color="auto"/>
        <w:bottom w:val="none" w:sz="0" w:space="0" w:color="auto"/>
        <w:right w:val="none" w:sz="0" w:space="0" w:color="auto"/>
      </w:divBdr>
    </w:div>
    <w:div w:id="1310016215">
      <w:bodyDiv w:val="1"/>
      <w:marLeft w:val="0"/>
      <w:marRight w:val="0"/>
      <w:marTop w:val="0"/>
      <w:marBottom w:val="0"/>
      <w:divBdr>
        <w:top w:val="none" w:sz="0" w:space="0" w:color="auto"/>
        <w:left w:val="none" w:sz="0" w:space="0" w:color="auto"/>
        <w:bottom w:val="none" w:sz="0" w:space="0" w:color="auto"/>
        <w:right w:val="none" w:sz="0" w:space="0" w:color="auto"/>
      </w:divBdr>
    </w:div>
    <w:div w:id="1372799582">
      <w:bodyDiv w:val="1"/>
      <w:marLeft w:val="0"/>
      <w:marRight w:val="0"/>
      <w:marTop w:val="0"/>
      <w:marBottom w:val="0"/>
      <w:divBdr>
        <w:top w:val="none" w:sz="0" w:space="0" w:color="auto"/>
        <w:left w:val="none" w:sz="0" w:space="0" w:color="auto"/>
        <w:bottom w:val="none" w:sz="0" w:space="0" w:color="auto"/>
        <w:right w:val="none" w:sz="0" w:space="0" w:color="auto"/>
      </w:divBdr>
    </w:div>
    <w:div w:id="1378970728">
      <w:bodyDiv w:val="1"/>
      <w:marLeft w:val="0"/>
      <w:marRight w:val="0"/>
      <w:marTop w:val="0"/>
      <w:marBottom w:val="0"/>
      <w:divBdr>
        <w:top w:val="none" w:sz="0" w:space="0" w:color="auto"/>
        <w:left w:val="none" w:sz="0" w:space="0" w:color="auto"/>
        <w:bottom w:val="none" w:sz="0" w:space="0" w:color="auto"/>
        <w:right w:val="none" w:sz="0" w:space="0" w:color="auto"/>
      </w:divBdr>
    </w:div>
    <w:div w:id="1381905352">
      <w:bodyDiv w:val="1"/>
      <w:marLeft w:val="0"/>
      <w:marRight w:val="0"/>
      <w:marTop w:val="0"/>
      <w:marBottom w:val="0"/>
      <w:divBdr>
        <w:top w:val="none" w:sz="0" w:space="0" w:color="auto"/>
        <w:left w:val="none" w:sz="0" w:space="0" w:color="auto"/>
        <w:bottom w:val="none" w:sz="0" w:space="0" w:color="auto"/>
        <w:right w:val="none" w:sz="0" w:space="0" w:color="auto"/>
      </w:divBdr>
    </w:div>
    <w:div w:id="1384982498">
      <w:bodyDiv w:val="1"/>
      <w:marLeft w:val="0"/>
      <w:marRight w:val="0"/>
      <w:marTop w:val="0"/>
      <w:marBottom w:val="0"/>
      <w:divBdr>
        <w:top w:val="none" w:sz="0" w:space="0" w:color="auto"/>
        <w:left w:val="none" w:sz="0" w:space="0" w:color="auto"/>
        <w:bottom w:val="none" w:sz="0" w:space="0" w:color="auto"/>
        <w:right w:val="none" w:sz="0" w:space="0" w:color="auto"/>
      </w:divBdr>
    </w:div>
    <w:div w:id="1434086323">
      <w:bodyDiv w:val="1"/>
      <w:marLeft w:val="0"/>
      <w:marRight w:val="0"/>
      <w:marTop w:val="0"/>
      <w:marBottom w:val="0"/>
      <w:divBdr>
        <w:top w:val="none" w:sz="0" w:space="0" w:color="auto"/>
        <w:left w:val="none" w:sz="0" w:space="0" w:color="auto"/>
        <w:bottom w:val="none" w:sz="0" w:space="0" w:color="auto"/>
        <w:right w:val="none" w:sz="0" w:space="0" w:color="auto"/>
      </w:divBdr>
    </w:div>
    <w:div w:id="1528522544">
      <w:bodyDiv w:val="1"/>
      <w:marLeft w:val="0"/>
      <w:marRight w:val="0"/>
      <w:marTop w:val="0"/>
      <w:marBottom w:val="0"/>
      <w:divBdr>
        <w:top w:val="none" w:sz="0" w:space="0" w:color="auto"/>
        <w:left w:val="none" w:sz="0" w:space="0" w:color="auto"/>
        <w:bottom w:val="none" w:sz="0" w:space="0" w:color="auto"/>
        <w:right w:val="none" w:sz="0" w:space="0" w:color="auto"/>
      </w:divBdr>
    </w:div>
    <w:div w:id="1567060136">
      <w:bodyDiv w:val="1"/>
      <w:marLeft w:val="0"/>
      <w:marRight w:val="0"/>
      <w:marTop w:val="0"/>
      <w:marBottom w:val="0"/>
      <w:divBdr>
        <w:top w:val="none" w:sz="0" w:space="0" w:color="auto"/>
        <w:left w:val="none" w:sz="0" w:space="0" w:color="auto"/>
        <w:bottom w:val="none" w:sz="0" w:space="0" w:color="auto"/>
        <w:right w:val="none" w:sz="0" w:space="0" w:color="auto"/>
      </w:divBdr>
    </w:div>
    <w:div w:id="1574659941">
      <w:bodyDiv w:val="1"/>
      <w:marLeft w:val="0"/>
      <w:marRight w:val="0"/>
      <w:marTop w:val="0"/>
      <w:marBottom w:val="0"/>
      <w:divBdr>
        <w:top w:val="none" w:sz="0" w:space="0" w:color="auto"/>
        <w:left w:val="none" w:sz="0" w:space="0" w:color="auto"/>
        <w:bottom w:val="none" w:sz="0" w:space="0" w:color="auto"/>
        <w:right w:val="none" w:sz="0" w:space="0" w:color="auto"/>
      </w:divBdr>
    </w:div>
    <w:div w:id="1639142438">
      <w:bodyDiv w:val="1"/>
      <w:marLeft w:val="0"/>
      <w:marRight w:val="0"/>
      <w:marTop w:val="0"/>
      <w:marBottom w:val="0"/>
      <w:divBdr>
        <w:top w:val="none" w:sz="0" w:space="0" w:color="auto"/>
        <w:left w:val="none" w:sz="0" w:space="0" w:color="auto"/>
        <w:bottom w:val="none" w:sz="0" w:space="0" w:color="auto"/>
        <w:right w:val="none" w:sz="0" w:space="0" w:color="auto"/>
      </w:divBdr>
    </w:div>
    <w:div w:id="1661616527">
      <w:bodyDiv w:val="1"/>
      <w:marLeft w:val="0"/>
      <w:marRight w:val="0"/>
      <w:marTop w:val="0"/>
      <w:marBottom w:val="0"/>
      <w:divBdr>
        <w:top w:val="none" w:sz="0" w:space="0" w:color="auto"/>
        <w:left w:val="none" w:sz="0" w:space="0" w:color="auto"/>
        <w:bottom w:val="none" w:sz="0" w:space="0" w:color="auto"/>
        <w:right w:val="none" w:sz="0" w:space="0" w:color="auto"/>
      </w:divBdr>
    </w:div>
    <w:div w:id="1678800770">
      <w:bodyDiv w:val="1"/>
      <w:marLeft w:val="0"/>
      <w:marRight w:val="0"/>
      <w:marTop w:val="0"/>
      <w:marBottom w:val="0"/>
      <w:divBdr>
        <w:top w:val="none" w:sz="0" w:space="0" w:color="auto"/>
        <w:left w:val="none" w:sz="0" w:space="0" w:color="auto"/>
        <w:bottom w:val="none" w:sz="0" w:space="0" w:color="auto"/>
        <w:right w:val="none" w:sz="0" w:space="0" w:color="auto"/>
      </w:divBdr>
    </w:div>
    <w:div w:id="1808811758">
      <w:bodyDiv w:val="1"/>
      <w:marLeft w:val="0"/>
      <w:marRight w:val="0"/>
      <w:marTop w:val="0"/>
      <w:marBottom w:val="0"/>
      <w:divBdr>
        <w:top w:val="none" w:sz="0" w:space="0" w:color="auto"/>
        <w:left w:val="none" w:sz="0" w:space="0" w:color="auto"/>
        <w:bottom w:val="none" w:sz="0" w:space="0" w:color="auto"/>
        <w:right w:val="none" w:sz="0" w:space="0" w:color="auto"/>
      </w:divBdr>
    </w:div>
    <w:div w:id="1850633846">
      <w:bodyDiv w:val="1"/>
      <w:marLeft w:val="0"/>
      <w:marRight w:val="0"/>
      <w:marTop w:val="0"/>
      <w:marBottom w:val="0"/>
      <w:divBdr>
        <w:top w:val="none" w:sz="0" w:space="0" w:color="auto"/>
        <w:left w:val="none" w:sz="0" w:space="0" w:color="auto"/>
        <w:bottom w:val="none" w:sz="0" w:space="0" w:color="auto"/>
        <w:right w:val="none" w:sz="0" w:space="0" w:color="auto"/>
      </w:divBdr>
    </w:div>
    <w:div w:id="1938709528">
      <w:bodyDiv w:val="1"/>
      <w:marLeft w:val="0"/>
      <w:marRight w:val="0"/>
      <w:marTop w:val="0"/>
      <w:marBottom w:val="0"/>
      <w:divBdr>
        <w:top w:val="none" w:sz="0" w:space="0" w:color="auto"/>
        <w:left w:val="none" w:sz="0" w:space="0" w:color="auto"/>
        <w:bottom w:val="none" w:sz="0" w:space="0" w:color="auto"/>
        <w:right w:val="none" w:sz="0" w:space="0" w:color="auto"/>
      </w:divBdr>
    </w:div>
    <w:div w:id="1938832319">
      <w:bodyDiv w:val="1"/>
      <w:marLeft w:val="0"/>
      <w:marRight w:val="0"/>
      <w:marTop w:val="0"/>
      <w:marBottom w:val="0"/>
      <w:divBdr>
        <w:top w:val="none" w:sz="0" w:space="0" w:color="auto"/>
        <w:left w:val="none" w:sz="0" w:space="0" w:color="auto"/>
        <w:bottom w:val="none" w:sz="0" w:space="0" w:color="auto"/>
        <w:right w:val="none" w:sz="0" w:space="0" w:color="auto"/>
      </w:divBdr>
    </w:div>
    <w:div w:id="1949728670">
      <w:bodyDiv w:val="1"/>
      <w:marLeft w:val="0"/>
      <w:marRight w:val="0"/>
      <w:marTop w:val="0"/>
      <w:marBottom w:val="0"/>
      <w:divBdr>
        <w:top w:val="none" w:sz="0" w:space="0" w:color="auto"/>
        <w:left w:val="none" w:sz="0" w:space="0" w:color="auto"/>
        <w:bottom w:val="none" w:sz="0" w:space="0" w:color="auto"/>
        <w:right w:val="none" w:sz="0" w:space="0" w:color="auto"/>
      </w:divBdr>
    </w:div>
    <w:div w:id="1988626463">
      <w:bodyDiv w:val="1"/>
      <w:marLeft w:val="0"/>
      <w:marRight w:val="0"/>
      <w:marTop w:val="0"/>
      <w:marBottom w:val="0"/>
      <w:divBdr>
        <w:top w:val="none" w:sz="0" w:space="0" w:color="auto"/>
        <w:left w:val="none" w:sz="0" w:space="0" w:color="auto"/>
        <w:bottom w:val="none" w:sz="0" w:space="0" w:color="auto"/>
        <w:right w:val="none" w:sz="0" w:space="0" w:color="auto"/>
      </w:divBdr>
    </w:div>
    <w:div w:id="2000621071">
      <w:bodyDiv w:val="1"/>
      <w:marLeft w:val="0"/>
      <w:marRight w:val="0"/>
      <w:marTop w:val="0"/>
      <w:marBottom w:val="0"/>
      <w:divBdr>
        <w:top w:val="none" w:sz="0" w:space="0" w:color="auto"/>
        <w:left w:val="none" w:sz="0" w:space="0" w:color="auto"/>
        <w:bottom w:val="none" w:sz="0" w:space="0" w:color="auto"/>
        <w:right w:val="none" w:sz="0" w:space="0" w:color="auto"/>
      </w:divBdr>
    </w:div>
    <w:div w:id="2008316093">
      <w:bodyDiv w:val="1"/>
      <w:marLeft w:val="0"/>
      <w:marRight w:val="0"/>
      <w:marTop w:val="0"/>
      <w:marBottom w:val="0"/>
      <w:divBdr>
        <w:top w:val="none" w:sz="0" w:space="0" w:color="auto"/>
        <w:left w:val="none" w:sz="0" w:space="0" w:color="auto"/>
        <w:bottom w:val="none" w:sz="0" w:space="0" w:color="auto"/>
        <w:right w:val="none" w:sz="0" w:space="0" w:color="auto"/>
      </w:divBdr>
    </w:div>
    <w:div w:id="2020765528">
      <w:bodyDiv w:val="1"/>
      <w:marLeft w:val="0"/>
      <w:marRight w:val="0"/>
      <w:marTop w:val="0"/>
      <w:marBottom w:val="0"/>
      <w:divBdr>
        <w:top w:val="none" w:sz="0" w:space="0" w:color="auto"/>
        <w:left w:val="none" w:sz="0" w:space="0" w:color="auto"/>
        <w:bottom w:val="none" w:sz="0" w:space="0" w:color="auto"/>
        <w:right w:val="none" w:sz="0" w:space="0" w:color="auto"/>
      </w:divBdr>
    </w:div>
    <w:div w:id="2061321417">
      <w:bodyDiv w:val="1"/>
      <w:marLeft w:val="0"/>
      <w:marRight w:val="0"/>
      <w:marTop w:val="0"/>
      <w:marBottom w:val="0"/>
      <w:divBdr>
        <w:top w:val="none" w:sz="0" w:space="0" w:color="auto"/>
        <w:left w:val="none" w:sz="0" w:space="0" w:color="auto"/>
        <w:bottom w:val="none" w:sz="0" w:space="0" w:color="auto"/>
        <w:right w:val="none" w:sz="0" w:space="0" w:color="auto"/>
      </w:divBdr>
    </w:div>
    <w:div w:id="210294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representantes/samuel-alejandro-hoyos-mejia" TargetMode="External"/><Relationship Id="rId13" Type="http://schemas.openxmlformats.org/officeDocument/2006/relationships/hyperlink" Target="http://www.camara.gov.co/representantes/carlos-german-navas-talero" TargetMode="External"/><Relationship Id="rId18" Type="http://schemas.openxmlformats.org/officeDocument/2006/relationships/hyperlink" Target="http://www.camara.gov.co/representantes/luis-alberto-alban-urbano" TargetMode="External"/><Relationship Id="rId26" Type="http://schemas.openxmlformats.org/officeDocument/2006/relationships/hyperlink" Target="http://www.camara.gov.co/representantes/alfredo-rafael-deluque-zuleta" TargetMode="External"/><Relationship Id="rId3" Type="http://schemas.openxmlformats.org/officeDocument/2006/relationships/styles" Target="styles.xml"/><Relationship Id="rId21" Type="http://schemas.openxmlformats.org/officeDocument/2006/relationships/hyperlink" Target="http://www.camara.gov.co/representantes/jorge-mendez-hernandez" TargetMode="External"/><Relationship Id="rId7" Type="http://schemas.openxmlformats.org/officeDocument/2006/relationships/endnotes" Target="endnotes.xml"/><Relationship Id="rId12" Type="http://schemas.openxmlformats.org/officeDocument/2006/relationships/hyperlink" Target="http://www.camara.gov.co/representantes/jorge-mendez-hernandez" TargetMode="External"/><Relationship Id="rId17" Type="http://schemas.openxmlformats.org/officeDocument/2006/relationships/hyperlink" Target="http://www.camara.gov.co/representantes/alfredo-rafael-deluque-zuleta" TargetMode="External"/><Relationship Id="rId25" Type="http://schemas.openxmlformats.org/officeDocument/2006/relationships/hyperlink" Target="http://www.camara.gov.co/representantes/adriana-magali-matiz-vargas" TargetMode="External"/><Relationship Id="rId2" Type="http://schemas.openxmlformats.org/officeDocument/2006/relationships/numbering" Target="numbering.xml"/><Relationship Id="rId16" Type="http://schemas.openxmlformats.org/officeDocument/2006/relationships/hyperlink" Target="http://www.camara.gov.co/representantes/adriana-magali-matiz-vargas" TargetMode="External"/><Relationship Id="rId20" Type="http://schemas.openxmlformats.org/officeDocument/2006/relationships/hyperlink" Target="http://www.camara.gov.co/representantes/harry-giovanny-gonzalez-garci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representantes/harry-giovanny-gonzalez-garcia" TargetMode="External"/><Relationship Id="rId24" Type="http://schemas.openxmlformats.org/officeDocument/2006/relationships/hyperlink" Target="http://www.camara.gov.co/representantes/gabriel-jaime-vallejo-chujfi" TargetMode="External"/><Relationship Id="rId5" Type="http://schemas.openxmlformats.org/officeDocument/2006/relationships/webSettings" Target="webSettings.xml"/><Relationship Id="rId15" Type="http://schemas.openxmlformats.org/officeDocument/2006/relationships/hyperlink" Target="http://www.camara.gov.co/representantes/gabriel-jaime-vallejo-chujfi" TargetMode="External"/><Relationship Id="rId23" Type="http://schemas.openxmlformats.org/officeDocument/2006/relationships/hyperlink" Target="http://www.camara.gov.co/representantes/juanita-maria-goebertus-estrada" TargetMode="External"/><Relationship Id="rId28" Type="http://schemas.openxmlformats.org/officeDocument/2006/relationships/hyperlink" Target="http://www.camara.gov.co/representantes/angela-maria-robledo-gomez" TargetMode="External"/><Relationship Id="rId10" Type="http://schemas.openxmlformats.org/officeDocument/2006/relationships/footer" Target="footer1.xml"/><Relationship Id="rId19" Type="http://schemas.openxmlformats.org/officeDocument/2006/relationships/hyperlink" Target="http://www.camara.gov.co/representantes/angela-maria-robledo-gomez"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amara.gov.co/representantes/juanita-maria-goebertus-estrada" TargetMode="External"/><Relationship Id="rId22" Type="http://schemas.openxmlformats.org/officeDocument/2006/relationships/hyperlink" Target="http://www.camara.gov.co/representantes/carlos-german-navas-talero" TargetMode="External"/><Relationship Id="rId27" Type="http://schemas.openxmlformats.org/officeDocument/2006/relationships/hyperlink" Target="http://www.camara.gov.co/representantes/luis-alberto-alban-urbano"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un.org/spanish/waterforlifedecade/human_right_to_water.shtml" TargetMode="External"/><Relationship Id="rId2" Type="http://schemas.openxmlformats.org/officeDocument/2006/relationships/hyperlink" Target="http://www.un.org/sustainabledevelopment/es/water-and-sanitation/" TargetMode="External"/><Relationship Id="rId1" Type="http://schemas.openxmlformats.org/officeDocument/2006/relationships/hyperlink" Target="https://revistas.uexternado.edu.co/index.php/derest/article/view/4341/5069" TargetMode="External"/><Relationship Id="rId6" Type="http://schemas.openxmlformats.org/officeDocument/2006/relationships/hyperlink" Target="http://www.harmonywithnatureun.org/content/documents/159Bolivia%20Consitucion.pdf" TargetMode="External"/><Relationship Id="rId5" Type="http://schemas.openxmlformats.org/officeDocument/2006/relationships/hyperlink" Target="http://www.oas.org/juridico/pdfs/mesicic4_ecu_const.pdf" TargetMode="External"/><Relationship Id="rId4" Type="http://schemas.openxmlformats.org/officeDocument/2006/relationships/hyperlink" Target="http://daccess-dds-ny.un.org/doc/UNDOC/GEN/G12/149/22/PDF/G1214922.pdf?OpenEl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EDU08</b:Tag>
    <b:SourceType>InternetSite</b:SourceType>
    <b:Guid>{6A754EB3-AB8F-4359-912E-61D084621D44}</b:Guid>
    <b:Title>EDUCACION EN TECNOLOGIA PARA K-12</b:Title>
    <b:Year>2008</b:Year>
    <b:Month>04</b:Month>
    <b:Day>27</b:Day>
    <b:YearAccessed>2011</b:YearAccessed>
    <b:MonthAccessed>12</b:MonthAccessed>
    <b:DayAccessed>12</b:DayAccessed>
    <b:URL>  http://edutecno.org/2008/04/27/seminario_internacional</b:URL>
    <b:RefOrder>1</b:RefOrder>
  </b:Source>
</b:Sources>
</file>

<file path=customXml/itemProps1.xml><?xml version="1.0" encoding="utf-8"?>
<ds:datastoreItem xmlns:ds="http://schemas.openxmlformats.org/officeDocument/2006/customXml" ds:itemID="{146CFA2D-1E04-4A36-B88C-D6BC55B04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44</Pages>
  <Words>12680</Words>
  <Characters>69742</Characters>
  <Application>Microsoft Office Word</Application>
  <DocSecurity>0</DocSecurity>
  <Lines>581</Lines>
  <Paragraphs>164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dc:creator>
  <cp:lastModifiedBy>PRACTICANTES PO. OFICINA 544B</cp:lastModifiedBy>
  <cp:revision>15</cp:revision>
  <cp:lastPrinted>2018-12-05T19:06:00Z</cp:lastPrinted>
  <dcterms:created xsi:type="dcterms:W3CDTF">2018-11-12T00:42:00Z</dcterms:created>
  <dcterms:modified xsi:type="dcterms:W3CDTF">2018-12-05T19:21:00Z</dcterms:modified>
</cp:coreProperties>
</file>