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30222" w14:textId="3E62033A" w:rsidR="005A1FEB" w:rsidRPr="009F5C37" w:rsidRDefault="001F110D" w:rsidP="001A6175">
      <w:pPr>
        <w:jc w:val="center"/>
        <w:rPr>
          <w:b/>
          <w:lang w:val="es-ES_tradnl"/>
        </w:rPr>
      </w:pPr>
      <w:r w:rsidRPr="009F5C37">
        <w:rPr>
          <w:b/>
          <w:lang w:val="es-ES_tradnl"/>
        </w:rPr>
        <w:t xml:space="preserve">TEXTO APROBADO EN LA COMISION PRIMERA DE LA HONORABLE CAMARA DE REPRESENTANTES EN PRIMER DEBATE </w:t>
      </w:r>
    </w:p>
    <w:p w14:paraId="1AFB84CF" w14:textId="44DE4E27" w:rsidR="009F5C37" w:rsidRPr="009F5C37" w:rsidRDefault="00FF5FBC" w:rsidP="00FF5FBC">
      <w:pPr>
        <w:jc w:val="center"/>
        <w:rPr>
          <w:rFonts w:eastAsia="Calibri"/>
          <w:i/>
          <w:lang w:eastAsia="en-US"/>
        </w:rPr>
      </w:pPr>
      <w:r>
        <w:rPr>
          <w:b/>
        </w:rPr>
        <w:t xml:space="preserve">AL </w:t>
      </w:r>
      <w:r w:rsidR="009F5C37" w:rsidRPr="009F5C37">
        <w:rPr>
          <w:b/>
        </w:rPr>
        <w:t>PROYECTO DE LEY No. 163 DE 2018 C</w:t>
      </w:r>
      <w:r>
        <w:rPr>
          <w:b/>
        </w:rPr>
        <w:t xml:space="preserve">ÁMARA </w:t>
      </w:r>
    </w:p>
    <w:p w14:paraId="3E22A9E7" w14:textId="1F6910A0" w:rsidR="009F5C37" w:rsidRPr="005F42C1" w:rsidRDefault="005F42C1" w:rsidP="009F5C37">
      <w:pPr>
        <w:widowControl w:val="0"/>
        <w:spacing w:after="100"/>
        <w:jc w:val="center"/>
        <w:rPr>
          <w:rFonts w:eastAsia="Times"/>
          <w:b/>
          <w:color w:val="000000"/>
        </w:rPr>
      </w:pPr>
      <w:r w:rsidRPr="009F5C37">
        <w:rPr>
          <w:rFonts w:eastAsia="Times"/>
          <w:b/>
        </w:rPr>
        <w:t>“POR MEDIO DE LA CUAL SE REGULA LAS SANCIONES PARA LOS CONDENADOS POR CORRUPCIÓN Y DELITOS CONTRA LA ADMINISTRACIÓN PÚBLICA, ASÍ COMO LA TERMINACIÓN UNILATERAL ADMINISTRATIVA DEL CONTRATO POR ACTOS DE CORRUPCIÓN Y SE DICTAN OTRAS DISPOSICIONES”</w:t>
      </w:r>
    </w:p>
    <w:p w14:paraId="52DCDF4E" w14:textId="77777777" w:rsidR="009F5C37" w:rsidRPr="005F42C1" w:rsidRDefault="009F5C37" w:rsidP="009F5C37">
      <w:pPr>
        <w:spacing w:after="160" w:line="360" w:lineRule="auto"/>
        <w:jc w:val="center"/>
        <w:rPr>
          <w:rFonts w:eastAsia="Calibri"/>
          <w:b/>
          <w:lang w:eastAsia="en-US"/>
        </w:rPr>
      </w:pPr>
    </w:p>
    <w:p w14:paraId="7E6F8BBF" w14:textId="6CCC1ED7" w:rsidR="009F5C37" w:rsidRPr="00AD41A3" w:rsidRDefault="005F42C1" w:rsidP="009F5C37">
      <w:pPr>
        <w:spacing w:after="160" w:line="360" w:lineRule="auto"/>
        <w:jc w:val="center"/>
        <w:rPr>
          <w:rFonts w:eastAsia="Calibri"/>
          <w:b/>
          <w:lang w:eastAsia="en-US"/>
        </w:rPr>
      </w:pPr>
      <w:r w:rsidRPr="00AD41A3">
        <w:rPr>
          <w:rFonts w:eastAsia="Calibri"/>
          <w:b/>
          <w:lang w:eastAsia="en-US"/>
        </w:rPr>
        <w:t>EL CONGRESO DE LA REPÚBLICA DE COLOMBIA</w:t>
      </w:r>
    </w:p>
    <w:p w14:paraId="18512B7B" w14:textId="2F3D0586" w:rsidR="009F5C37" w:rsidRPr="005F42C1" w:rsidRDefault="005F42C1" w:rsidP="009F5C37">
      <w:pPr>
        <w:spacing w:after="160" w:line="360" w:lineRule="auto"/>
        <w:jc w:val="center"/>
        <w:rPr>
          <w:rFonts w:eastAsia="Calibri"/>
          <w:b/>
          <w:lang w:eastAsia="en-US"/>
        </w:rPr>
      </w:pPr>
      <w:r w:rsidRPr="005F42C1">
        <w:rPr>
          <w:rFonts w:eastAsia="Calibri"/>
          <w:b/>
          <w:lang w:eastAsia="en-US"/>
        </w:rPr>
        <w:t>DECRETA:</w:t>
      </w:r>
    </w:p>
    <w:p w14:paraId="7CFDC25B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b/>
          <w:color w:val="000000"/>
        </w:rPr>
        <w:t>Artículo 1°. OBJETO.</w:t>
      </w:r>
      <w:r w:rsidRPr="009F5C37">
        <w:rPr>
          <w:rFonts w:eastAsia="Times"/>
          <w:color w:val="000000"/>
        </w:rPr>
        <w:t xml:space="preserve"> La presente ley tiene por objeto adoptar medidas para la sanción efectiva de los delitos cometidos contra la administración pública, a través de la eliminación de beneficios penales y de la modificación del régimen de inhabilidades para contratar con el Estado. Lo anterior, con el fin de garantizar el principio constitucional de igualdad y transparencia.</w:t>
      </w:r>
    </w:p>
    <w:p w14:paraId="2E161180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b/>
          <w:color w:val="000000"/>
        </w:rPr>
      </w:pPr>
    </w:p>
    <w:p w14:paraId="1FAA1978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b/>
          <w:color w:val="000000"/>
        </w:rPr>
        <w:t>Artículo 2°. INHABILIDAD PARA CONTRATAR</w:t>
      </w:r>
      <w:r w:rsidRPr="009F5C37">
        <w:rPr>
          <w:rFonts w:eastAsia="Times"/>
          <w:color w:val="000000"/>
        </w:rPr>
        <w:t>. Modifíquese literal j) del numeral 1 del artículo 8o de la Ley 80 de 1993, el cual quedará así:</w:t>
      </w:r>
    </w:p>
    <w:p w14:paraId="5B9FCC63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</w:p>
    <w:p w14:paraId="1C70C9DC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>j) Las personas naturales que hayan sido declaradas responsables judicialmente por la comisión de delitos contra la Administración Pública o de cualquiera de los delitos o faltas contemplados por la Ley 1474 de 2011 y sus normas modificatorias o de cualquiera de las conductas delictivas contempladas por las convenciones o tratados de lucha contra la corrupción suscritos y ratificados por Colombia, así como las personas jurídicas que hayan sido declaradas responsables administrativamente por la conducta de soborno transnacional.</w:t>
      </w:r>
    </w:p>
    <w:p w14:paraId="718830C9" w14:textId="77777777" w:rsidR="001C1875" w:rsidRDefault="001C1875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</w:p>
    <w:p w14:paraId="2DFCB2DF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>Esta inhabilidad procederá preventivamente aún en los casos en los que esté pendiente la decisión sobre la impugnación de la sentencia condenatoria.</w:t>
      </w:r>
    </w:p>
    <w:p w14:paraId="10C49598" w14:textId="77777777" w:rsidR="001C1875" w:rsidRDefault="001C1875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</w:p>
    <w:p w14:paraId="5266E675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>Asimismo, la inhabilidad se extenderá a las sociedades de las que hagan parte dichas personas en calidad de administradores, representantes legales, miembros de junta directiva o de socios controlantes, a sus matrices y a sus subordinadas, a los grupos empresariales a los que estas pertenezcan y a las sucursales de sociedades extranjeras, con excepción de las sociedades anónimas abiertas.</w:t>
      </w:r>
    </w:p>
    <w:p w14:paraId="50A4015A" w14:textId="0BF9CE6B" w:rsidR="009F5C37" w:rsidRPr="00AD41A3" w:rsidRDefault="009F5C37" w:rsidP="009F5C37">
      <w:pPr>
        <w:jc w:val="both"/>
        <w:rPr>
          <w:rFonts w:eastAsia="Times"/>
        </w:rPr>
      </w:pPr>
      <w:r w:rsidRPr="00AD41A3">
        <w:rPr>
          <w:rFonts w:eastAsia="Times"/>
        </w:rPr>
        <w:lastRenderedPageBreak/>
        <w:t>La inhabilidad prevista en este literal se</w:t>
      </w:r>
      <w:r w:rsidR="001C1875" w:rsidRPr="00AD41A3">
        <w:rPr>
          <w:rFonts w:eastAsia="Times"/>
        </w:rPr>
        <w:t>rá permanente, en la medida en que las conductas afecten patrimonialmente al Estado; de lo contrario, las personas condenadas por tales ilícitos quedarán sujetas a una inhabilidad en materia de contratación estatal de veinte (20) años.</w:t>
      </w:r>
    </w:p>
    <w:p w14:paraId="3ED4B449" w14:textId="77777777" w:rsidR="009F5C37" w:rsidRPr="001C1875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"/>
          <w:b/>
          <w:color w:val="000000"/>
        </w:rPr>
      </w:pPr>
    </w:p>
    <w:p w14:paraId="01151F27" w14:textId="77777777" w:rsidR="009F5C37" w:rsidRPr="009F5C37" w:rsidRDefault="009F5C37" w:rsidP="001C18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b/>
          <w:color w:val="000000"/>
        </w:rPr>
      </w:pPr>
    </w:p>
    <w:p w14:paraId="2258CB59" w14:textId="77777777" w:rsidR="009F5C37" w:rsidRPr="009F5C37" w:rsidRDefault="009F5C37" w:rsidP="001C18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b/>
          <w:color w:val="000000"/>
        </w:rPr>
        <w:t xml:space="preserve">Artículo </w:t>
      </w:r>
      <w:r w:rsidRPr="009F5C37">
        <w:rPr>
          <w:rFonts w:eastAsia="Times"/>
          <w:b/>
        </w:rPr>
        <w:t>3</w:t>
      </w:r>
      <w:r w:rsidRPr="009F5C37">
        <w:rPr>
          <w:rFonts w:eastAsia="Times"/>
          <w:b/>
          <w:color w:val="000000"/>
        </w:rPr>
        <w:t>°.</w:t>
      </w:r>
      <w:r w:rsidRPr="009F5C37">
        <w:rPr>
          <w:rFonts w:eastAsia="Times"/>
          <w:color w:val="000000"/>
        </w:rPr>
        <w:t xml:space="preserve"> Adiciónese un parágrafo al artículo 68A de la Ley 599 de 2000, el cual quedará así:</w:t>
      </w:r>
    </w:p>
    <w:p w14:paraId="437DE74E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</w:p>
    <w:p w14:paraId="501F75BC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 xml:space="preserve">ARTÍCULO 68 A EXCLUSIÓN DE LOS BENEFICIOS Y SUBROGADOS PENALES </w:t>
      </w:r>
    </w:p>
    <w:p w14:paraId="61F4A016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</w:p>
    <w:p w14:paraId="00AE5053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>No se concederán; la suspensión condicional de la ejecución de la pena; la prisión domiciliaria como sustitutiva de la prisión; ni habrá lugar a ningún otro beneficio, judicial o administrativo, salvo los beneficios por colaboración regulados por la ley, siempre que esta sea efectiva, cuando la persona haya sido condenada por delito doloso dentro de los cinco (5) años anteriores.</w:t>
      </w:r>
    </w:p>
    <w:p w14:paraId="3A4C3BF2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</w:p>
    <w:p w14:paraId="19A48ACF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 xml:space="preserve">Tampoco quienes hayan sido condenados por delitos dolosos contra la Administración Pública; delitos contra las personas y bienes protegidos por el Derecho Internacional Humanitario; delitos contra la libertad, integridad y formación sexual; estafa y abuso de confianza que recaigan sobre los bienes del Estado; captación masiva y habitual de dineros; utilización indebida de información privilegiada; concierto para delinquir agravado; lavado de activos; soborno transnacional; violencia intrafamiliar; hurto calificado; extorsión, lesiones personales con deformidad causadas con elemento corrosivo; violación ilícita de comunicaciones; violación ilícita de comunicaciones o correspondencia de carácter oficial; trata de personas; apología al genocidio; lesiones personales por pérdida anatómica o funcional de un órgano o miembro; desplazamiento forzado; tráfico de migrantes; </w:t>
      </w:r>
      <w:proofErr w:type="spellStart"/>
      <w:r w:rsidRPr="009F5C37">
        <w:rPr>
          <w:rFonts w:eastAsia="Times"/>
          <w:color w:val="000000"/>
        </w:rPr>
        <w:t>testaferrato</w:t>
      </w:r>
      <w:proofErr w:type="spellEnd"/>
      <w:r w:rsidRPr="009F5C37">
        <w:rPr>
          <w:rFonts w:eastAsia="Times"/>
          <w:color w:val="000000"/>
        </w:rPr>
        <w:t>; enriquecimiento ilícito de particulares; apoderamiento de hidrocarburos, sus derivados, biocombustibles o mezclas que los contengan; receptación; instigación a delinquir; empleo o lanzamiento de sustancias u objetos peligrosos; fabricación, importación, tráfico, posesión o uso de armas químicas, biológicas y nucleares; delitos relacionados con el tráfico de estupefacientes y otras infracciones; espionaje; rebelión; y desplazamiento forzado; usurpación de inmuebles, falsificación de moneda nacional o extranjera; exportación o importación ficticia; evasión fiscal; negativa de reintegro; contrabando agravado; contrabando de hidrocarburos y sus derivados; ayuda e instigación al empleo, producción y transferencia de minas antipersonal.</w:t>
      </w:r>
    </w:p>
    <w:p w14:paraId="586DE89C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</w:p>
    <w:p w14:paraId="0B819878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 xml:space="preserve">Lo dispuesto en el presente artículo no se aplicará respecto de la sustitución de la detención preventiva y de la sustitución de la ejecución de la pena en los eventos contemplados en los </w:t>
      </w:r>
      <w:r w:rsidRPr="009F5C37">
        <w:rPr>
          <w:rFonts w:eastAsia="Times"/>
          <w:color w:val="000000"/>
        </w:rPr>
        <w:lastRenderedPageBreak/>
        <w:t>numerales 2, 3, 4 y 5 del artículo 314 de la Ley 906 de 2004.</w:t>
      </w:r>
    </w:p>
    <w:p w14:paraId="05C2E760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0838DB">
        <w:rPr>
          <w:rFonts w:eastAsia="Times"/>
          <w:b/>
          <w:color w:val="000000"/>
        </w:rPr>
        <w:t>Parágrafo 1º.</w:t>
      </w:r>
      <w:r w:rsidRPr="009F5C37">
        <w:rPr>
          <w:rFonts w:eastAsia="Times"/>
          <w:color w:val="000000"/>
        </w:rPr>
        <w:t xml:space="preserve"> Lo dispuesto en el presente artículo no se aplicará a la libertad condicional contemplada en el artículo 64 de este Código, ni tampoco para lo dispuesto en el artículo 38G del presente Código.</w:t>
      </w:r>
    </w:p>
    <w:p w14:paraId="2132EEB2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</w:p>
    <w:p w14:paraId="39FBEB92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0838DB">
        <w:rPr>
          <w:rFonts w:eastAsia="Times"/>
          <w:b/>
          <w:color w:val="000000"/>
        </w:rPr>
        <w:t>Parágrafo 2º.</w:t>
      </w:r>
      <w:r w:rsidRPr="009F5C37">
        <w:rPr>
          <w:rFonts w:eastAsia="Times"/>
          <w:color w:val="000000"/>
        </w:rPr>
        <w:t xml:space="preserve"> Lo dispuesto en el primer inciso del presente artículo no se aplicará respecto de la suspensión de la ejecución de la pena, cuando los antecedentes personales, sociales y familiares sean indicativos de que no existe la posibilidad de la ejecución de la pena.</w:t>
      </w:r>
    </w:p>
    <w:p w14:paraId="10890FC4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</w:p>
    <w:p w14:paraId="752E8FDE" w14:textId="77777777" w:rsidR="009F5C37" w:rsidRPr="00276166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276166">
        <w:rPr>
          <w:rFonts w:eastAsia="Times"/>
          <w:b/>
          <w:color w:val="000000"/>
        </w:rPr>
        <w:t>Parágrafo 3º.</w:t>
      </w:r>
      <w:r w:rsidRPr="00276166">
        <w:rPr>
          <w:rFonts w:eastAsia="Times"/>
          <w:color w:val="000000"/>
        </w:rPr>
        <w:t xml:space="preserve"> </w:t>
      </w:r>
      <w:r w:rsidRPr="00276166">
        <w:rPr>
          <w:rFonts w:eastAsia="Times"/>
        </w:rPr>
        <w:t xml:space="preserve">En lo que respecta a los delitos contra la administración pública, </w:t>
      </w:r>
      <w:r w:rsidRPr="00276166">
        <w:rPr>
          <w:rFonts w:eastAsia="Times"/>
          <w:color w:val="000000"/>
        </w:rPr>
        <w:t xml:space="preserve">el orden económico y social y los mecanismos de participación democrática, no se concederán medidas de aseguramiento no </w:t>
      </w:r>
      <w:proofErr w:type="spellStart"/>
      <w:r w:rsidRPr="00276166">
        <w:rPr>
          <w:rFonts w:eastAsia="Times"/>
          <w:color w:val="000000"/>
        </w:rPr>
        <w:t>intramurales</w:t>
      </w:r>
      <w:proofErr w:type="spellEnd"/>
      <w:r w:rsidRPr="00276166">
        <w:rPr>
          <w:rFonts w:eastAsia="Times"/>
          <w:color w:val="000000"/>
        </w:rPr>
        <w:t>, los beneficios y subrogados penales, la reclusión en lugares</w:t>
      </w:r>
      <w:r w:rsidRPr="00276166">
        <w:rPr>
          <w:rFonts w:eastAsia="Times"/>
        </w:rPr>
        <w:t xml:space="preserve"> o</w:t>
      </w:r>
      <w:r w:rsidRPr="00276166">
        <w:rPr>
          <w:rFonts w:eastAsia="Times"/>
          <w:color w:val="000000"/>
        </w:rPr>
        <w:t xml:space="preserve"> establecimientos especiales y la vigilancia a través de mecanismos de seguridad electrónica.</w:t>
      </w:r>
    </w:p>
    <w:p w14:paraId="1652244C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</w:p>
    <w:p w14:paraId="684739C5" w14:textId="77777777" w:rsidR="009F5C37" w:rsidRPr="00276166" w:rsidRDefault="009F5C37" w:rsidP="00C540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276166">
        <w:rPr>
          <w:rFonts w:eastAsia="Times"/>
          <w:b/>
          <w:color w:val="000000"/>
        </w:rPr>
        <w:t xml:space="preserve">Artículo </w:t>
      </w:r>
      <w:r w:rsidRPr="00276166">
        <w:rPr>
          <w:rFonts w:eastAsia="Times"/>
          <w:b/>
        </w:rPr>
        <w:t>4</w:t>
      </w:r>
      <w:r w:rsidRPr="00276166">
        <w:rPr>
          <w:rFonts w:eastAsia="Times"/>
          <w:b/>
          <w:color w:val="000000"/>
        </w:rPr>
        <w:t>°. INHABILIDAD SOBREVINIENTE.</w:t>
      </w:r>
      <w:r w:rsidRPr="00276166">
        <w:rPr>
          <w:rFonts w:eastAsia="Times"/>
          <w:color w:val="000000"/>
        </w:rPr>
        <w:t xml:space="preserve"> Adiciónese el siguiente parágrafo al artículo 9 de la Ley 80 de 1993, el cual quedará así:</w:t>
      </w:r>
    </w:p>
    <w:p w14:paraId="0F802352" w14:textId="77777777" w:rsidR="009F5C37" w:rsidRPr="009F5C37" w:rsidRDefault="009F5C37" w:rsidP="009F5C37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  <w:r w:rsidRPr="009F5C37">
        <w:rPr>
          <w:rStyle w:val="user-highlighted-active"/>
          <w:rFonts w:ascii="Times New Roman" w:hAnsi="Times New Roman" w:cs="Times New Roman"/>
          <w:sz w:val="24"/>
          <w:szCs w:val="24"/>
        </w:rPr>
        <w:t>DE LAS INHABILIDADES E INCOMPATIBILIDADES SOBREVINIENTES.</w:t>
      </w:r>
    </w:p>
    <w:p w14:paraId="41D7B1B8" w14:textId="77777777" w:rsidR="009F5C37" w:rsidRPr="009F5C37" w:rsidRDefault="009F5C37" w:rsidP="009F5C37">
      <w:pPr>
        <w:pStyle w:val="NormalWeb"/>
        <w:jc w:val="both"/>
      </w:pPr>
      <w:r w:rsidRPr="009F5C37">
        <w:rPr>
          <w:rStyle w:val="user-highlighted-active"/>
        </w:rPr>
        <w:t>Si llegare a sobrevenir inhabilidad o incompatibilidad en el contratista, éste cederá el contrato previa autorización escrita de la entidad contratante o, si ello no fuere posible, renunciará a su ejecución.</w:t>
      </w:r>
    </w:p>
    <w:p w14:paraId="75A939FB" w14:textId="77777777" w:rsidR="009F5C37" w:rsidRPr="009F5C37" w:rsidRDefault="009F5C37" w:rsidP="009F5C37">
      <w:pPr>
        <w:pStyle w:val="NormalWeb"/>
        <w:jc w:val="both"/>
        <w:rPr>
          <w:rStyle w:val="user-highlighted-active"/>
        </w:rPr>
      </w:pPr>
      <w:r w:rsidRPr="009F5C37">
        <w:rPr>
          <w:rStyle w:val="user-highlighted-active"/>
        </w:rPr>
        <w:t>Cuando la inhabilidad o incompatibilidad sobrevenga en un proponente dentro de una licitación o concurso, se entenderá que renuncia a la participación en el proceso de selección y a los derechos surgidos del mismo.</w:t>
      </w:r>
    </w:p>
    <w:p w14:paraId="54193BD1" w14:textId="77777777" w:rsidR="009F5C37" w:rsidRPr="009F5C37" w:rsidRDefault="009F5C37" w:rsidP="009F5C37">
      <w:pPr>
        <w:pStyle w:val="NormalWeb"/>
        <w:jc w:val="both"/>
        <w:rPr>
          <w:rFonts w:eastAsia="Calibri"/>
        </w:rPr>
      </w:pPr>
      <w:r w:rsidRPr="009F5C37">
        <w:rPr>
          <w:rStyle w:val="user-highlighted-active"/>
        </w:rPr>
        <w:t xml:space="preserve">Si la inhabilidad o incompatibilidad sobreviene en uno de los miembros de un consorcio o unión temporal, éste cederá su participación a </w:t>
      </w:r>
      <w:proofErr w:type="gramStart"/>
      <w:r w:rsidRPr="009F5C37">
        <w:rPr>
          <w:rStyle w:val="user-highlighted-active"/>
        </w:rPr>
        <w:t>un tercero</w:t>
      </w:r>
      <w:proofErr w:type="gramEnd"/>
      <w:r w:rsidRPr="009F5C37">
        <w:rPr>
          <w:rStyle w:val="user-highlighted-active"/>
        </w:rPr>
        <w:t xml:space="preserve"> previa autorización escrita de la entidad contratante. En ningún caso podrá haber cesión del contrato entre quienes integran el consorcio o unión temporal.</w:t>
      </w:r>
    </w:p>
    <w:p w14:paraId="377D114A" w14:textId="22428781" w:rsidR="009F5C37" w:rsidRPr="00C54026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FFC000"/>
        </w:rPr>
      </w:pPr>
      <w:r w:rsidRPr="00C54026">
        <w:rPr>
          <w:rFonts w:eastAsia="Times"/>
          <w:color w:val="000000"/>
        </w:rPr>
        <w:t xml:space="preserve"> </w:t>
      </w:r>
      <w:r w:rsidRPr="00C54026">
        <w:rPr>
          <w:rFonts w:eastAsia="Times"/>
          <w:b/>
          <w:color w:val="000000"/>
        </w:rPr>
        <w:t>PARÁGRAFO</w:t>
      </w:r>
      <w:r w:rsidRPr="00C54026">
        <w:rPr>
          <w:rFonts w:eastAsia="Times"/>
          <w:color w:val="000000"/>
        </w:rPr>
        <w:t>: Cuando la inhabilidad sobreviniente sea la contemplada en el literal j) del numeral 1 del artículo 8o de la Ley 80 de 1993, procederá la renuncia del contrato a la que se refiere este artículo, no obstante, cuando el contratista se rehúse a ceder o renunciar a la ejecución del contrato, la entidad mediante acto administrativo debidamente motivado podrá terminar anticipada y unilateralmente el contrato, sin que haya lugar a indemnización alguna, sin perjuicio de efectuar el pago de las prestaciones efectivamente ejecutadas.</w:t>
      </w:r>
    </w:p>
    <w:p w14:paraId="540D05E5" w14:textId="77777777" w:rsidR="009F5C37" w:rsidRPr="00C54026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FFC000"/>
        </w:rPr>
      </w:pPr>
    </w:p>
    <w:p w14:paraId="12A7FD02" w14:textId="77777777" w:rsidR="009F5C37" w:rsidRPr="00C54026" w:rsidRDefault="009F5C37" w:rsidP="00DE02E7">
      <w:pPr>
        <w:jc w:val="both"/>
        <w:rPr>
          <w:rFonts w:eastAsia="Times"/>
        </w:rPr>
      </w:pPr>
      <w:r w:rsidRPr="00C54026">
        <w:rPr>
          <w:rFonts w:eastAsia="Times"/>
        </w:rPr>
        <w:t xml:space="preserve">Para el caso de la cesión, facúltese al Gobierno Nacional, para que en un término de seis (6) meses, expida la reglamentación correspondiente sobre el procedimiento de cesión del contrato.     </w:t>
      </w:r>
    </w:p>
    <w:p w14:paraId="51A1EEE5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"/>
          <w:b/>
          <w:color w:val="000000"/>
        </w:rPr>
      </w:pPr>
    </w:p>
    <w:p w14:paraId="4C56B7BC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"/>
          <w:color w:val="000000"/>
        </w:rPr>
      </w:pPr>
      <w:r w:rsidRPr="009F5C37">
        <w:rPr>
          <w:rFonts w:eastAsia="Times"/>
          <w:b/>
          <w:color w:val="000000"/>
        </w:rPr>
        <w:t xml:space="preserve">Artículo </w:t>
      </w:r>
      <w:r w:rsidRPr="009F5C37">
        <w:rPr>
          <w:rFonts w:eastAsia="Times"/>
          <w:b/>
        </w:rPr>
        <w:t>5</w:t>
      </w:r>
      <w:r w:rsidRPr="009F5C37">
        <w:rPr>
          <w:rFonts w:eastAsia="Times"/>
          <w:b/>
          <w:color w:val="000000"/>
        </w:rPr>
        <w:t xml:space="preserve">°. </w:t>
      </w:r>
      <w:r w:rsidRPr="009F5C37">
        <w:rPr>
          <w:rFonts w:eastAsia="Times"/>
          <w:color w:val="000000"/>
        </w:rPr>
        <w:t>Adiciónese un numeral 5o al artículo 17 de la Ley 80 de 1993, el cual quedará así:</w:t>
      </w:r>
    </w:p>
    <w:p w14:paraId="35D37A65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b/>
          <w:color w:val="000000"/>
        </w:rPr>
      </w:pPr>
    </w:p>
    <w:p w14:paraId="0D0B3908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b/>
          <w:color w:val="000000"/>
        </w:rPr>
        <w:t>ARTÍCULO 17. DE LA TERMINACIÓN UNILATERAL</w:t>
      </w:r>
      <w:r w:rsidRPr="009F5C37">
        <w:rPr>
          <w:rFonts w:eastAsia="Times"/>
          <w:color w:val="000000"/>
        </w:rPr>
        <w:t xml:space="preserve">. La entidad en acto administrativo debidamente motivado dispondrá la terminación anticipada del contrato en los siguientes eventos: </w:t>
      </w:r>
    </w:p>
    <w:p w14:paraId="02978E33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</w:p>
    <w:p w14:paraId="0B36E70A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 xml:space="preserve">1o. Cuando las exigencias del servicio público lo requieran o la situación de orden público lo imponga. </w:t>
      </w:r>
    </w:p>
    <w:p w14:paraId="544A1A10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 xml:space="preserve">2o. Por muerte o incapacidad física permanente del contratista, si es persona natural, o por disolución de la persona jurídica del contratista. </w:t>
      </w:r>
    </w:p>
    <w:p w14:paraId="39D6C7D2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 xml:space="preserve">3o. Por interdicción judicial o declaración de quiebra del contratista. </w:t>
      </w:r>
    </w:p>
    <w:p w14:paraId="7FBCA30B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 xml:space="preserve">4o. Por cesación de pagos, concurso de acreedores o embargos judiciales del contratista que afecten de manera grave el cumplimiento del contrato. </w:t>
      </w:r>
    </w:p>
    <w:p w14:paraId="02C7E273" w14:textId="4AC6B3A0" w:rsidR="009F5C37" w:rsidRPr="00AD41A3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</w:rPr>
      </w:pPr>
      <w:r w:rsidRPr="00AD41A3">
        <w:rPr>
          <w:rFonts w:eastAsia="Times"/>
        </w:rPr>
        <w:t xml:space="preserve">5o. Por haberse demostrado, a través de </w:t>
      </w:r>
      <w:r w:rsidR="00DE02E7" w:rsidRPr="00AD41A3">
        <w:rPr>
          <w:rFonts w:eastAsia="Times"/>
        </w:rPr>
        <w:t xml:space="preserve">decisión administrativa o judicial en firme, la </w:t>
      </w:r>
      <w:r w:rsidRPr="00AD41A3">
        <w:rPr>
          <w:rFonts w:eastAsia="Times"/>
        </w:rPr>
        <w:t xml:space="preserve"> comisión de actos de corrupción por parte del contratista en la obtención, celebración o ejecución del contrato. Esta causal se aplicará de igual forma a los integrantes de las personas jurídicas, uniones temporales o consorcio con quien se haya celebrado el contrato. </w:t>
      </w:r>
    </w:p>
    <w:p w14:paraId="4946F639" w14:textId="77777777" w:rsidR="009F5C37" w:rsidRPr="00DE02E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"/>
          <w:color w:val="000000"/>
        </w:rPr>
      </w:pPr>
    </w:p>
    <w:p w14:paraId="4260B523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>Sin embargo, en los casos a que se refieren los numerales 2o. y 3o. de este artículo podrá continuarse la ejecución con el garante de la obligación.</w:t>
      </w:r>
    </w:p>
    <w:p w14:paraId="1311D4B0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"/>
          <w:color w:val="000000"/>
        </w:rPr>
      </w:pPr>
    </w:p>
    <w:p w14:paraId="2E1916AA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color w:val="000000"/>
        </w:rPr>
        <w:t>La iniciación de trámite concordatario no dará lugar a la declaratoria de terminación unilateral. En tal evento la ejecución se hará con sujeción a las normas sobre administración de negocios del deudor en concordato. La entidad dispondrá las medidas de inspección, control y vigilancia necesarias para asegurar el cumplimiento del objeto contractual e impedir la paralización del servicio.</w:t>
      </w:r>
    </w:p>
    <w:p w14:paraId="1387507A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"/>
          <w:b/>
          <w:color w:val="000000"/>
        </w:rPr>
      </w:pPr>
    </w:p>
    <w:p w14:paraId="49270E32" w14:textId="3F59C9AD" w:rsidR="009F5C37" w:rsidRPr="009F5C37" w:rsidRDefault="009F5C37" w:rsidP="00CD0C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Times"/>
          <w:color w:val="000000"/>
        </w:rPr>
      </w:pPr>
      <w:r w:rsidRPr="009F5C37">
        <w:rPr>
          <w:rFonts w:eastAsia="Times"/>
          <w:b/>
          <w:color w:val="000000"/>
        </w:rPr>
        <w:t xml:space="preserve">Artículo </w:t>
      </w:r>
      <w:r w:rsidRPr="009F5C37">
        <w:rPr>
          <w:rFonts w:eastAsia="Times"/>
          <w:b/>
        </w:rPr>
        <w:t>6</w:t>
      </w:r>
      <w:r w:rsidRPr="009F5C37">
        <w:rPr>
          <w:rFonts w:eastAsia="Times"/>
          <w:b/>
          <w:color w:val="000000"/>
        </w:rPr>
        <w:t>°.</w:t>
      </w:r>
      <w:r w:rsidRPr="009F5C37">
        <w:rPr>
          <w:rFonts w:eastAsia="Times"/>
          <w:color w:val="000000"/>
        </w:rPr>
        <w:t xml:space="preserve"> Adiciónese el artículo 17</w:t>
      </w:r>
      <w:r w:rsidR="00466E1F">
        <w:rPr>
          <w:rFonts w:eastAsia="Times"/>
          <w:color w:val="000000"/>
        </w:rPr>
        <w:t>B</w:t>
      </w:r>
      <w:r w:rsidRPr="009F5C37">
        <w:rPr>
          <w:rFonts w:eastAsia="Times"/>
          <w:color w:val="000000"/>
        </w:rPr>
        <w:t xml:space="preserve"> a la Ley 80 de 1993, el cual será del siguiente tenor:</w:t>
      </w:r>
    </w:p>
    <w:p w14:paraId="7A585EA4" w14:textId="35F282B7" w:rsidR="009F5C37" w:rsidRPr="005773BA" w:rsidRDefault="009F5C37" w:rsidP="009F5C37">
      <w:pPr>
        <w:jc w:val="both"/>
        <w:rPr>
          <w:rFonts w:eastAsia="Times"/>
        </w:rPr>
      </w:pPr>
      <w:bookmarkStart w:id="0" w:name="_GoBack"/>
      <w:r w:rsidRPr="005773BA">
        <w:rPr>
          <w:rFonts w:eastAsia="Times"/>
          <w:b/>
        </w:rPr>
        <w:lastRenderedPageBreak/>
        <w:t>Artículo 17</w:t>
      </w:r>
      <w:r w:rsidR="00466E1F" w:rsidRPr="005773BA">
        <w:rPr>
          <w:rFonts w:eastAsia="Times"/>
          <w:b/>
        </w:rPr>
        <w:t>B</w:t>
      </w:r>
      <w:r w:rsidRPr="005773BA">
        <w:rPr>
          <w:rFonts w:eastAsia="Times"/>
          <w:b/>
        </w:rPr>
        <w:t>. Efectos de la sentencia judicial por actos de corrupción</w:t>
      </w:r>
      <w:r w:rsidR="00964342" w:rsidRPr="005773BA">
        <w:rPr>
          <w:rFonts w:eastAsia="Times"/>
          <w:b/>
        </w:rPr>
        <w:t>.</w:t>
      </w:r>
      <w:r w:rsidRPr="005773BA">
        <w:rPr>
          <w:rFonts w:eastAsia="Times"/>
          <w:b/>
        </w:rPr>
        <w:t xml:space="preserve"> </w:t>
      </w:r>
      <w:r w:rsidRPr="005773BA">
        <w:rPr>
          <w:rFonts w:eastAsia="Times"/>
        </w:rPr>
        <w:t xml:space="preserve">Una vez en firme y ejecutoriada la sentencia judicial que determina </w:t>
      </w:r>
      <w:r w:rsidR="00964342" w:rsidRPr="005773BA">
        <w:rPr>
          <w:rFonts w:eastAsia="Times"/>
        </w:rPr>
        <w:t xml:space="preserve">la comisión de delitos contra la administración pública o de cualquiera de los delitos contemplados en el literal j) del artículo 8 de la Ley 80 de 1993, se hará exigible por parte de la </w:t>
      </w:r>
      <w:r w:rsidRPr="005773BA">
        <w:rPr>
          <w:rFonts w:eastAsia="Times"/>
        </w:rPr>
        <w:t>administración la cláusula penal pecuniaria.</w:t>
      </w:r>
    </w:p>
    <w:bookmarkEnd w:id="0"/>
    <w:p w14:paraId="2B33A88C" w14:textId="77777777" w:rsidR="009F5C37" w:rsidRPr="009F5C37" w:rsidRDefault="009F5C37" w:rsidP="009F5C37">
      <w:pPr>
        <w:jc w:val="both"/>
        <w:rPr>
          <w:rFonts w:eastAsia="Times"/>
          <w:color w:val="000000"/>
          <w:u w:val="single"/>
        </w:rPr>
      </w:pPr>
    </w:p>
    <w:p w14:paraId="0EE277C4" w14:textId="77777777" w:rsidR="009F5C37" w:rsidRPr="009F5C37" w:rsidRDefault="009F5C37" w:rsidP="009F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"/>
          <w:b/>
          <w:color w:val="000000"/>
        </w:rPr>
      </w:pPr>
    </w:p>
    <w:p w14:paraId="05ED4CB3" w14:textId="21194451" w:rsidR="00C04E14" w:rsidRPr="009F5C37" w:rsidRDefault="009F5C37" w:rsidP="00635E1E">
      <w:pPr>
        <w:jc w:val="both"/>
        <w:rPr>
          <w:b/>
        </w:rPr>
      </w:pPr>
      <w:r w:rsidRPr="009F5C37">
        <w:rPr>
          <w:rFonts w:eastAsia="Times"/>
          <w:b/>
          <w:color w:val="000000"/>
        </w:rPr>
        <w:t xml:space="preserve">Artículo </w:t>
      </w:r>
      <w:r w:rsidRPr="009F5C37">
        <w:rPr>
          <w:rFonts w:eastAsia="Times"/>
          <w:b/>
        </w:rPr>
        <w:t>7</w:t>
      </w:r>
      <w:r w:rsidRPr="009F5C37">
        <w:rPr>
          <w:rFonts w:eastAsia="Times"/>
          <w:b/>
          <w:color w:val="000000"/>
        </w:rPr>
        <w:t>°. Vigencia</w:t>
      </w:r>
      <w:r w:rsidRPr="009F5C37">
        <w:rPr>
          <w:rFonts w:eastAsia="Times"/>
          <w:color w:val="000000"/>
        </w:rPr>
        <w:t>: La presente ley rige a partir de su promulgación y deroga todas las disposiciones que le sean contrarias.</w:t>
      </w:r>
    </w:p>
    <w:p w14:paraId="577C1E66" w14:textId="77777777" w:rsidR="00C04E14" w:rsidRPr="009F5C37" w:rsidRDefault="00C04E14" w:rsidP="00635E1E">
      <w:pPr>
        <w:jc w:val="both"/>
        <w:rPr>
          <w:b/>
        </w:rPr>
      </w:pPr>
    </w:p>
    <w:p w14:paraId="4FA7139C" w14:textId="77777777" w:rsidR="00C04E14" w:rsidRPr="009F5C37" w:rsidRDefault="00C04E14" w:rsidP="00D4008E">
      <w:pPr>
        <w:jc w:val="center"/>
        <w:rPr>
          <w:b/>
        </w:rPr>
      </w:pPr>
    </w:p>
    <w:p w14:paraId="39BB35B2" w14:textId="77777777" w:rsidR="00D4008E" w:rsidRPr="009F5C37" w:rsidRDefault="00D4008E" w:rsidP="008E3753">
      <w:pPr>
        <w:jc w:val="both"/>
        <w:rPr>
          <w:rFonts w:eastAsia="Calibri"/>
        </w:rPr>
      </w:pPr>
    </w:p>
    <w:p w14:paraId="79738FD4" w14:textId="5EDBFEAF" w:rsidR="00220366" w:rsidRPr="009F5C37" w:rsidRDefault="00220366" w:rsidP="00220366">
      <w:pPr>
        <w:jc w:val="both"/>
        <w:rPr>
          <w:color w:val="000000"/>
          <w:lang w:val="es-ES"/>
        </w:rPr>
      </w:pPr>
      <w:r w:rsidRPr="009F5C37">
        <w:rPr>
          <w:color w:val="000000"/>
        </w:rPr>
        <w:t xml:space="preserve">En los anteriores términos fue aprobado </w:t>
      </w:r>
      <w:r w:rsidR="00FF5FBC">
        <w:rPr>
          <w:color w:val="000000"/>
        </w:rPr>
        <w:t>co</w:t>
      </w:r>
      <w:r w:rsidRPr="009F5C37">
        <w:rPr>
          <w:color w:val="000000"/>
        </w:rPr>
        <w:t xml:space="preserve">n modificaciones el presente Proyecto de Ley según consta en Acta No. </w:t>
      </w:r>
      <w:r w:rsidR="00DA0451" w:rsidRPr="009F5C37">
        <w:rPr>
          <w:color w:val="000000"/>
        </w:rPr>
        <w:t>5</w:t>
      </w:r>
      <w:r w:rsidR="00FF5FBC">
        <w:rPr>
          <w:color w:val="000000"/>
        </w:rPr>
        <w:t>1</w:t>
      </w:r>
      <w:r w:rsidRPr="009F5C37">
        <w:rPr>
          <w:color w:val="000000"/>
        </w:rPr>
        <w:t xml:space="preserve"> de </w:t>
      </w:r>
      <w:r w:rsidR="001F110D" w:rsidRPr="009F5C37">
        <w:rPr>
          <w:color w:val="000000"/>
        </w:rPr>
        <w:t xml:space="preserve">mayo </w:t>
      </w:r>
      <w:r w:rsidR="00DA0451" w:rsidRPr="009F5C37">
        <w:rPr>
          <w:color w:val="000000"/>
        </w:rPr>
        <w:t>2</w:t>
      </w:r>
      <w:r w:rsidR="00FF5FBC">
        <w:rPr>
          <w:color w:val="000000"/>
        </w:rPr>
        <w:t>2</w:t>
      </w:r>
      <w:r w:rsidR="001F110D" w:rsidRPr="009F5C37">
        <w:rPr>
          <w:color w:val="000000"/>
        </w:rPr>
        <w:t xml:space="preserve"> </w:t>
      </w:r>
      <w:r w:rsidRPr="009F5C37">
        <w:rPr>
          <w:color w:val="000000"/>
        </w:rPr>
        <w:t xml:space="preserve">de 2019. </w:t>
      </w:r>
      <w:r w:rsidRPr="009F5C37">
        <w:rPr>
          <w:color w:val="000000"/>
          <w:lang w:val="es-ES"/>
        </w:rPr>
        <w:t xml:space="preserve">Anunciado entre otras fechas, el </w:t>
      </w:r>
      <w:r w:rsidR="00FF5FBC">
        <w:rPr>
          <w:color w:val="000000"/>
          <w:lang w:val="es-ES"/>
        </w:rPr>
        <w:t>21</w:t>
      </w:r>
      <w:r w:rsidRPr="009F5C37">
        <w:rPr>
          <w:color w:val="000000"/>
          <w:lang w:val="es-ES"/>
        </w:rPr>
        <w:t xml:space="preserve"> de </w:t>
      </w:r>
      <w:r w:rsidR="00DA0451" w:rsidRPr="009F5C37">
        <w:rPr>
          <w:color w:val="000000"/>
          <w:lang w:val="es-ES"/>
        </w:rPr>
        <w:t xml:space="preserve">mayo </w:t>
      </w:r>
      <w:r w:rsidRPr="009F5C37">
        <w:rPr>
          <w:color w:val="000000"/>
          <w:lang w:val="es-ES"/>
        </w:rPr>
        <w:t xml:space="preserve">de 2019 según consta en Acta No. </w:t>
      </w:r>
      <w:r w:rsidR="00FF5FBC">
        <w:rPr>
          <w:color w:val="000000"/>
          <w:lang w:val="es-ES"/>
        </w:rPr>
        <w:t>50</w:t>
      </w:r>
      <w:r w:rsidRPr="009F5C37">
        <w:rPr>
          <w:color w:val="000000"/>
          <w:lang w:val="es-ES"/>
        </w:rPr>
        <w:t xml:space="preserve"> de la misma fecha.  </w:t>
      </w:r>
    </w:p>
    <w:p w14:paraId="6161B18C" w14:textId="77777777" w:rsidR="00220366" w:rsidRPr="009F5C37" w:rsidRDefault="00220366" w:rsidP="00220366">
      <w:pPr>
        <w:jc w:val="both"/>
        <w:rPr>
          <w:color w:val="000000"/>
          <w:lang w:val="es-ES"/>
        </w:rPr>
      </w:pPr>
    </w:p>
    <w:p w14:paraId="210D9386" w14:textId="77777777" w:rsidR="00543020" w:rsidRPr="009F5C37" w:rsidRDefault="00543020" w:rsidP="00220366">
      <w:pPr>
        <w:jc w:val="both"/>
        <w:rPr>
          <w:color w:val="000000"/>
          <w:lang w:val="es-ES"/>
        </w:rPr>
      </w:pPr>
    </w:p>
    <w:p w14:paraId="61384FAC" w14:textId="77777777" w:rsidR="00FF5FBC" w:rsidRDefault="00FF5FBC" w:rsidP="00220366">
      <w:pPr>
        <w:jc w:val="both"/>
        <w:rPr>
          <w:b/>
        </w:rPr>
      </w:pPr>
    </w:p>
    <w:p w14:paraId="48557138" w14:textId="77777777" w:rsidR="00FF5FBC" w:rsidRDefault="00FF5FBC" w:rsidP="00220366">
      <w:pPr>
        <w:jc w:val="both"/>
        <w:rPr>
          <w:b/>
        </w:rPr>
      </w:pPr>
    </w:p>
    <w:p w14:paraId="746DE0B1" w14:textId="25223406" w:rsidR="00220366" w:rsidRDefault="00FF5FBC" w:rsidP="00220366">
      <w:pPr>
        <w:jc w:val="both"/>
        <w:rPr>
          <w:color w:val="000000" w:themeColor="text1"/>
          <w:lang w:val="es-ES"/>
        </w:rPr>
      </w:pPr>
      <w:r>
        <w:rPr>
          <w:b/>
        </w:rPr>
        <w:t xml:space="preserve">MARGARITA M. RESTREPO ARANGO </w:t>
      </w:r>
      <w:r>
        <w:rPr>
          <w:b/>
        </w:rPr>
        <w:tab/>
        <w:t xml:space="preserve">BUENAVENTURA LEÓN </w:t>
      </w:r>
      <w:proofErr w:type="spellStart"/>
      <w:r>
        <w:rPr>
          <w:b/>
        </w:rPr>
        <w:t>LEÓN</w:t>
      </w:r>
      <w:proofErr w:type="spellEnd"/>
      <w:r>
        <w:rPr>
          <w:b/>
        </w:rPr>
        <w:t xml:space="preserve"> </w:t>
      </w:r>
      <w:r w:rsidR="00220366" w:rsidRPr="009F5C37">
        <w:rPr>
          <w:color w:val="000000" w:themeColor="text1"/>
          <w:lang w:val="es-ES"/>
        </w:rPr>
        <w:t>Coordinador</w:t>
      </w:r>
      <w:r>
        <w:rPr>
          <w:color w:val="000000" w:themeColor="text1"/>
          <w:lang w:val="es-ES"/>
        </w:rPr>
        <w:t>a</w:t>
      </w:r>
      <w:r w:rsidR="00220366" w:rsidRPr="009F5C37">
        <w:rPr>
          <w:color w:val="000000" w:themeColor="text1"/>
          <w:lang w:val="es-ES"/>
        </w:rPr>
        <w:t xml:space="preserve"> Ponente</w:t>
      </w:r>
      <w:r w:rsidR="00220366" w:rsidRPr="009F5C37">
        <w:rPr>
          <w:color w:val="000000" w:themeColor="text1"/>
          <w:lang w:val="es-ES"/>
        </w:rPr>
        <w:tab/>
      </w:r>
      <w:r w:rsidR="00220366" w:rsidRPr="009F5C37">
        <w:rPr>
          <w:color w:val="000000" w:themeColor="text1"/>
          <w:lang w:val="es-ES"/>
        </w:rPr>
        <w:tab/>
        <w:t xml:space="preserve">          </w:t>
      </w:r>
      <w:r w:rsidR="00220366" w:rsidRPr="009F5C37">
        <w:rPr>
          <w:color w:val="000000" w:themeColor="text1"/>
          <w:lang w:val="es-ES"/>
        </w:rPr>
        <w:tab/>
      </w:r>
      <w:r w:rsidR="00220366" w:rsidRPr="009F5C37">
        <w:rPr>
          <w:color w:val="000000" w:themeColor="text1"/>
          <w:lang w:val="es-ES"/>
        </w:rPr>
        <w:tab/>
      </w:r>
      <w:r>
        <w:rPr>
          <w:color w:val="000000" w:themeColor="text1"/>
          <w:lang w:val="es-ES"/>
        </w:rPr>
        <w:t>Coordinador Ponente</w:t>
      </w:r>
    </w:p>
    <w:p w14:paraId="71F6AF4D" w14:textId="77777777" w:rsidR="00FF5FBC" w:rsidRDefault="00FF5FBC" w:rsidP="00220366">
      <w:pPr>
        <w:jc w:val="both"/>
        <w:rPr>
          <w:color w:val="000000" w:themeColor="text1"/>
          <w:lang w:val="es-ES"/>
        </w:rPr>
      </w:pPr>
    </w:p>
    <w:p w14:paraId="1FB013BC" w14:textId="77777777" w:rsidR="00FF5FBC" w:rsidRDefault="00FF5FBC" w:rsidP="00220366">
      <w:pPr>
        <w:jc w:val="both"/>
        <w:rPr>
          <w:color w:val="000000" w:themeColor="text1"/>
          <w:lang w:val="es-ES"/>
        </w:rPr>
      </w:pPr>
    </w:p>
    <w:p w14:paraId="40F1E964" w14:textId="77777777" w:rsidR="00FF5FBC" w:rsidRDefault="00FF5FBC" w:rsidP="00220366">
      <w:pPr>
        <w:jc w:val="both"/>
        <w:rPr>
          <w:color w:val="000000" w:themeColor="text1"/>
          <w:lang w:val="es-ES"/>
        </w:rPr>
      </w:pPr>
    </w:p>
    <w:p w14:paraId="2EB5ECD3" w14:textId="2CADB58F" w:rsidR="00FF5FBC" w:rsidRPr="009F5C37" w:rsidRDefault="00FF5FBC" w:rsidP="00FF5FBC">
      <w:pPr>
        <w:jc w:val="both"/>
        <w:rPr>
          <w:b/>
          <w:color w:val="000000" w:themeColor="text1"/>
          <w:lang w:val="es-ES"/>
        </w:rPr>
      </w:pPr>
      <w:r w:rsidRPr="009F5C37">
        <w:rPr>
          <w:b/>
        </w:rPr>
        <w:t xml:space="preserve">GABRIEL SANTOS GARCÍA   </w:t>
      </w:r>
      <w:r w:rsidRPr="009F5C37">
        <w:rPr>
          <w:b/>
        </w:rPr>
        <w:tab/>
      </w:r>
      <w:r>
        <w:rPr>
          <w:b/>
        </w:rPr>
        <w:tab/>
      </w:r>
      <w:r>
        <w:rPr>
          <w:b/>
        </w:rPr>
        <w:tab/>
        <w:t>AMPARO Y. CALDERON P.</w:t>
      </w:r>
    </w:p>
    <w:p w14:paraId="1B936FDB" w14:textId="7DE3444A" w:rsidR="00FF5FBC" w:rsidRPr="009F5C37" w:rsidRDefault="00FF5FBC" w:rsidP="00220366">
      <w:pPr>
        <w:jc w:val="both"/>
        <w:rPr>
          <w:color w:val="000000" w:themeColor="text1"/>
          <w:lang w:val="es-ES"/>
        </w:rPr>
      </w:pPr>
      <w:r w:rsidRPr="009F5C37">
        <w:rPr>
          <w:color w:val="000000" w:themeColor="text1"/>
          <w:lang w:val="es-ES"/>
        </w:rPr>
        <w:t>Presidente</w:t>
      </w:r>
      <w:r>
        <w:rPr>
          <w:color w:val="000000" w:themeColor="text1"/>
          <w:lang w:val="es-ES"/>
        </w:rPr>
        <w:tab/>
      </w:r>
      <w:r>
        <w:rPr>
          <w:color w:val="000000" w:themeColor="text1"/>
          <w:lang w:val="es-ES"/>
        </w:rPr>
        <w:tab/>
      </w:r>
      <w:r>
        <w:rPr>
          <w:color w:val="000000" w:themeColor="text1"/>
          <w:lang w:val="es-ES"/>
        </w:rPr>
        <w:tab/>
      </w:r>
      <w:r>
        <w:rPr>
          <w:color w:val="000000" w:themeColor="text1"/>
          <w:lang w:val="es-ES"/>
        </w:rPr>
        <w:tab/>
      </w:r>
      <w:r>
        <w:rPr>
          <w:color w:val="000000" w:themeColor="text1"/>
          <w:lang w:val="es-ES"/>
        </w:rPr>
        <w:tab/>
      </w:r>
      <w:r>
        <w:rPr>
          <w:color w:val="000000" w:themeColor="text1"/>
          <w:lang w:val="es-ES"/>
        </w:rPr>
        <w:tab/>
        <w:t>Secretaria</w:t>
      </w:r>
    </w:p>
    <w:p w14:paraId="2206DB4C" w14:textId="77777777" w:rsidR="00220366" w:rsidRPr="009F5C37" w:rsidRDefault="00220366" w:rsidP="00220366">
      <w:pPr>
        <w:jc w:val="both"/>
        <w:rPr>
          <w:b/>
          <w:color w:val="000000" w:themeColor="text1"/>
          <w:lang w:val="es-ES"/>
        </w:rPr>
      </w:pPr>
    </w:p>
    <w:sectPr w:rsidR="00220366" w:rsidRPr="009F5C3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66DD5" w14:textId="77777777" w:rsidR="00993025" w:rsidRDefault="00993025" w:rsidP="00400E1B">
      <w:r>
        <w:separator/>
      </w:r>
    </w:p>
  </w:endnote>
  <w:endnote w:type="continuationSeparator" w:id="0">
    <w:p w14:paraId="51E9A4AA" w14:textId="77777777" w:rsidR="00993025" w:rsidRDefault="00993025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3BA" w:rsidRPr="005773BA">
          <w:rPr>
            <w:noProof/>
            <w:lang w:val="es-ES"/>
          </w:rPr>
          <w:t>4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E3037" w14:textId="77777777" w:rsidR="00993025" w:rsidRDefault="00993025" w:rsidP="00400E1B">
      <w:r>
        <w:separator/>
      </w:r>
    </w:p>
  </w:footnote>
  <w:footnote w:type="continuationSeparator" w:id="0">
    <w:p w14:paraId="2A8E5811" w14:textId="77777777" w:rsidR="00993025" w:rsidRDefault="00993025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227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2275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227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F120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F120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F120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D4D4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D4D4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D4D4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D138C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D138C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D138C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C754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C754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C754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502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5025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502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A59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A59E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A59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A7C8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A7C8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A7C8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E09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1E09F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E09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9367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19367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9367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8A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8A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8A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9272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9272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9272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F2E1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F2E1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F2E1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DE162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DE162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DE162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934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1934B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934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824A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824A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824A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9302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93025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993025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MERGEFORMATINET</w:instrText>
    </w:r>
    <w:r w:rsidR="00993025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99302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93025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99302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824A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1934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DE162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F2E1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9272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8A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19367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1E09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A7C8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A59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502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C754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D138C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D4D4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F120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2275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32C7D"/>
    <w:multiLevelType w:val="hybridMultilevel"/>
    <w:tmpl w:val="E3E2E90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11E7B"/>
    <w:multiLevelType w:val="hybridMultilevel"/>
    <w:tmpl w:val="9CCA93F4"/>
    <w:lvl w:ilvl="0" w:tplc="FC2E04F6">
      <w:start w:val="1"/>
      <w:numFmt w:val="decimal"/>
      <w:lvlText w:val="%1."/>
      <w:lvlJc w:val="left"/>
      <w:pPr>
        <w:ind w:left="1260" w:hanging="54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D01A72"/>
    <w:multiLevelType w:val="multilevel"/>
    <w:tmpl w:val="B46C03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4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31036"/>
    <w:rsid w:val="0003509E"/>
    <w:rsid w:val="0005144B"/>
    <w:rsid w:val="00056468"/>
    <w:rsid w:val="00074DA5"/>
    <w:rsid w:val="00081104"/>
    <w:rsid w:val="000838DB"/>
    <w:rsid w:val="000860A8"/>
    <w:rsid w:val="000A0CD1"/>
    <w:rsid w:val="000B2E5D"/>
    <w:rsid w:val="000C5AFA"/>
    <w:rsid w:val="000D2028"/>
    <w:rsid w:val="000D5665"/>
    <w:rsid w:val="000E11DA"/>
    <w:rsid w:val="000E1F45"/>
    <w:rsid w:val="000F1651"/>
    <w:rsid w:val="000F4D00"/>
    <w:rsid w:val="0010003D"/>
    <w:rsid w:val="00100AFC"/>
    <w:rsid w:val="001030E1"/>
    <w:rsid w:val="00111261"/>
    <w:rsid w:val="00144AB8"/>
    <w:rsid w:val="00146EBC"/>
    <w:rsid w:val="001511DD"/>
    <w:rsid w:val="001521A8"/>
    <w:rsid w:val="0015340B"/>
    <w:rsid w:val="00157531"/>
    <w:rsid w:val="00165977"/>
    <w:rsid w:val="00173AD7"/>
    <w:rsid w:val="00187988"/>
    <w:rsid w:val="001934B9"/>
    <w:rsid w:val="0019367A"/>
    <w:rsid w:val="001A6175"/>
    <w:rsid w:val="001A75DA"/>
    <w:rsid w:val="001C1875"/>
    <w:rsid w:val="001C7352"/>
    <w:rsid w:val="001E03FB"/>
    <w:rsid w:val="001E09FB"/>
    <w:rsid w:val="001F110D"/>
    <w:rsid w:val="001F16D5"/>
    <w:rsid w:val="001F3862"/>
    <w:rsid w:val="001F68F1"/>
    <w:rsid w:val="002006D9"/>
    <w:rsid w:val="00202B64"/>
    <w:rsid w:val="0020330E"/>
    <w:rsid w:val="00203789"/>
    <w:rsid w:val="00220366"/>
    <w:rsid w:val="00232127"/>
    <w:rsid w:val="0023460F"/>
    <w:rsid w:val="002429AE"/>
    <w:rsid w:val="00244CBE"/>
    <w:rsid w:val="00245EF6"/>
    <w:rsid w:val="00260111"/>
    <w:rsid w:val="00260ADD"/>
    <w:rsid w:val="002728AC"/>
    <w:rsid w:val="00276166"/>
    <w:rsid w:val="00280C0A"/>
    <w:rsid w:val="00286E77"/>
    <w:rsid w:val="00290614"/>
    <w:rsid w:val="002B0F16"/>
    <w:rsid w:val="002C49E5"/>
    <w:rsid w:val="002C754C"/>
    <w:rsid w:val="002E7949"/>
    <w:rsid w:val="002F1E2C"/>
    <w:rsid w:val="002F578C"/>
    <w:rsid w:val="0030009B"/>
    <w:rsid w:val="00300E54"/>
    <w:rsid w:val="003015FF"/>
    <w:rsid w:val="00304565"/>
    <w:rsid w:val="00314072"/>
    <w:rsid w:val="00316708"/>
    <w:rsid w:val="00320504"/>
    <w:rsid w:val="00341041"/>
    <w:rsid w:val="00350573"/>
    <w:rsid w:val="00356691"/>
    <w:rsid w:val="00360667"/>
    <w:rsid w:val="00367C96"/>
    <w:rsid w:val="00392472"/>
    <w:rsid w:val="00394EBC"/>
    <w:rsid w:val="003B52EB"/>
    <w:rsid w:val="003C1552"/>
    <w:rsid w:val="003C45CE"/>
    <w:rsid w:val="003E4041"/>
    <w:rsid w:val="003F4D1C"/>
    <w:rsid w:val="003F73AF"/>
    <w:rsid w:val="00400E1B"/>
    <w:rsid w:val="00403776"/>
    <w:rsid w:val="0041326F"/>
    <w:rsid w:val="00422D55"/>
    <w:rsid w:val="00427362"/>
    <w:rsid w:val="00435756"/>
    <w:rsid w:val="00436226"/>
    <w:rsid w:val="00443039"/>
    <w:rsid w:val="004455B7"/>
    <w:rsid w:val="00450CAB"/>
    <w:rsid w:val="00451A49"/>
    <w:rsid w:val="00452B2A"/>
    <w:rsid w:val="004570F3"/>
    <w:rsid w:val="00466E1F"/>
    <w:rsid w:val="0047283F"/>
    <w:rsid w:val="00481C48"/>
    <w:rsid w:val="0048397C"/>
    <w:rsid w:val="004A46C3"/>
    <w:rsid w:val="004B2919"/>
    <w:rsid w:val="004C57AF"/>
    <w:rsid w:val="004C5F9B"/>
    <w:rsid w:val="004C7323"/>
    <w:rsid w:val="004D3EA4"/>
    <w:rsid w:val="004F7714"/>
    <w:rsid w:val="00523D7D"/>
    <w:rsid w:val="005258CA"/>
    <w:rsid w:val="00543020"/>
    <w:rsid w:val="00547EE8"/>
    <w:rsid w:val="00550258"/>
    <w:rsid w:val="00553D1D"/>
    <w:rsid w:val="00561360"/>
    <w:rsid w:val="005773BA"/>
    <w:rsid w:val="0058017D"/>
    <w:rsid w:val="005852FD"/>
    <w:rsid w:val="00594D4C"/>
    <w:rsid w:val="005A01D3"/>
    <w:rsid w:val="005A197D"/>
    <w:rsid w:val="005A1FEB"/>
    <w:rsid w:val="005A2456"/>
    <w:rsid w:val="005A72CD"/>
    <w:rsid w:val="005A78FC"/>
    <w:rsid w:val="005B701D"/>
    <w:rsid w:val="005D444E"/>
    <w:rsid w:val="005D5CA4"/>
    <w:rsid w:val="005F01E5"/>
    <w:rsid w:val="005F42C1"/>
    <w:rsid w:val="00613D44"/>
    <w:rsid w:val="00621388"/>
    <w:rsid w:val="00631F20"/>
    <w:rsid w:val="00635E1E"/>
    <w:rsid w:val="006435A1"/>
    <w:rsid w:val="006671B2"/>
    <w:rsid w:val="00667246"/>
    <w:rsid w:val="006675D4"/>
    <w:rsid w:val="00674B7F"/>
    <w:rsid w:val="00683103"/>
    <w:rsid w:val="0069721B"/>
    <w:rsid w:val="0069782E"/>
    <w:rsid w:val="006A59E6"/>
    <w:rsid w:val="006A5CE6"/>
    <w:rsid w:val="006B0D71"/>
    <w:rsid w:val="006C402A"/>
    <w:rsid w:val="006C4A82"/>
    <w:rsid w:val="006C52C7"/>
    <w:rsid w:val="006E3DDA"/>
    <w:rsid w:val="006E6412"/>
    <w:rsid w:val="006F26BD"/>
    <w:rsid w:val="006F6AAB"/>
    <w:rsid w:val="00702112"/>
    <w:rsid w:val="00704A60"/>
    <w:rsid w:val="00707184"/>
    <w:rsid w:val="007148A4"/>
    <w:rsid w:val="00721011"/>
    <w:rsid w:val="00736795"/>
    <w:rsid w:val="00737AA3"/>
    <w:rsid w:val="0074737E"/>
    <w:rsid w:val="00747D8F"/>
    <w:rsid w:val="007527D2"/>
    <w:rsid w:val="00771F4E"/>
    <w:rsid w:val="007757FA"/>
    <w:rsid w:val="00775BB4"/>
    <w:rsid w:val="007824A7"/>
    <w:rsid w:val="00782721"/>
    <w:rsid w:val="00792727"/>
    <w:rsid w:val="007C0885"/>
    <w:rsid w:val="007C36F0"/>
    <w:rsid w:val="007D0898"/>
    <w:rsid w:val="007D5DEE"/>
    <w:rsid w:val="007D6ABE"/>
    <w:rsid w:val="007E632C"/>
    <w:rsid w:val="007F1206"/>
    <w:rsid w:val="007F49CC"/>
    <w:rsid w:val="00800527"/>
    <w:rsid w:val="00800625"/>
    <w:rsid w:val="008034BF"/>
    <w:rsid w:val="00813DE3"/>
    <w:rsid w:val="008164F2"/>
    <w:rsid w:val="00820418"/>
    <w:rsid w:val="00833D07"/>
    <w:rsid w:val="0084028F"/>
    <w:rsid w:val="00847969"/>
    <w:rsid w:val="00847F37"/>
    <w:rsid w:val="008515B2"/>
    <w:rsid w:val="008625A3"/>
    <w:rsid w:val="00870441"/>
    <w:rsid w:val="008711D3"/>
    <w:rsid w:val="00875AD9"/>
    <w:rsid w:val="00885008"/>
    <w:rsid w:val="008A0533"/>
    <w:rsid w:val="008A4C20"/>
    <w:rsid w:val="008B139D"/>
    <w:rsid w:val="008C31A6"/>
    <w:rsid w:val="008C5282"/>
    <w:rsid w:val="008C5C44"/>
    <w:rsid w:val="008D12B9"/>
    <w:rsid w:val="008E3753"/>
    <w:rsid w:val="008E5B07"/>
    <w:rsid w:val="008F6E8C"/>
    <w:rsid w:val="00903E93"/>
    <w:rsid w:val="00910B45"/>
    <w:rsid w:val="0092120F"/>
    <w:rsid w:val="00940F28"/>
    <w:rsid w:val="0095138F"/>
    <w:rsid w:val="009617EC"/>
    <w:rsid w:val="00964342"/>
    <w:rsid w:val="00974D08"/>
    <w:rsid w:val="009759B2"/>
    <w:rsid w:val="00984A4E"/>
    <w:rsid w:val="00984BD8"/>
    <w:rsid w:val="00993025"/>
    <w:rsid w:val="00994B7C"/>
    <w:rsid w:val="009A213F"/>
    <w:rsid w:val="009B249E"/>
    <w:rsid w:val="009D4FE0"/>
    <w:rsid w:val="009D798E"/>
    <w:rsid w:val="009E0B0F"/>
    <w:rsid w:val="009E24F3"/>
    <w:rsid w:val="009E58D6"/>
    <w:rsid w:val="009F330D"/>
    <w:rsid w:val="009F5C37"/>
    <w:rsid w:val="009F7E9D"/>
    <w:rsid w:val="00A02795"/>
    <w:rsid w:val="00A05633"/>
    <w:rsid w:val="00A1797A"/>
    <w:rsid w:val="00A31154"/>
    <w:rsid w:val="00A364C4"/>
    <w:rsid w:val="00A444C9"/>
    <w:rsid w:val="00A52A53"/>
    <w:rsid w:val="00A755F7"/>
    <w:rsid w:val="00A76C9B"/>
    <w:rsid w:val="00A9096A"/>
    <w:rsid w:val="00AA4708"/>
    <w:rsid w:val="00AA48A8"/>
    <w:rsid w:val="00AB1676"/>
    <w:rsid w:val="00AB5672"/>
    <w:rsid w:val="00AB70E5"/>
    <w:rsid w:val="00AB76DC"/>
    <w:rsid w:val="00AC2757"/>
    <w:rsid w:val="00AC6158"/>
    <w:rsid w:val="00AD41A3"/>
    <w:rsid w:val="00AD4509"/>
    <w:rsid w:val="00AD6EE4"/>
    <w:rsid w:val="00AF2658"/>
    <w:rsid w:val="00AF2BDA"/>
    <w:rsid w:val="00B0358A"/>
    <w:rsid w:val="00B1511A"/>
    <w:rsid w:val="00B22752"/>
    <w:rsid w:val="00B22B3F"/>
    <w:rsid w:val="00B23AC1"/>
    <w:rsid w:val="00B32080"/>
    <w:rsid w:val="00B47D3D"/>
    <w:rsid w:val="00B61595"/>
    <w:rsid w:val="00B63E87"/>
    <w:rsid w:val="00B64CE9"/>
    <w:rsid w:val="00B730EE"/>
    <w:rsid w:val="00B73531"/>
    <w:rsid w:val="00B755B3"/>
    <w:rsid w:val="00B7732F"/>
    <w:rsid w:val="00B904D5"/>
    <w:rsid w:val="00B91956"/>
    <w:rsid w:val="00BA003C"/>
    <w:rsid w:val="00BA140B"/>
    <w:rsid w:val="00BA1700"/>
    <w:rsid w:val="00BC38F6"/>
    <w:rsid w:val="00BC3FC3"/>
    <w:rsid w:val="00BC74FC"/>
    <w:rsid w:val="00BC7EF5"/>
    <w:rsid w:val="00BD3556"/>
    <w:rsid w:val="00BE05E3"/>
    <w:rsid w:val="00BE672B"/>
    <w:rsid w:val="00BE7D01"/>
    <w:rsid w:val="00BF2E1C"/>
    <w:rsid w:val="00C04E14"/>
    <w:rsid w:val="00C10F75"/>
    <w:rsid w:val="00C12B35"/>
    <w:rsid w:val="00C14F9F"/>
    <w:rsid w:val="00C159E1"/>
    <w:rsid w:val="00C15B7F"/>
    <w:rsid w:val="00C24A4A"/>
    <w:rsid w:val="00C25284"/>
    <w:rsid w:val="00C54026"/>
    <w:rsid w:val="00C64435"/>
    <w:rsid w:val="00C65535"/>
    <w:rsid w:val="00C66CD8"/>
    <w:rsid w:val="00C709AD"/>
    <w:rsid w:val="00C7399A"/>
    <w:rsid w:val="00C74EDE"/>
    <w:rsid w:val="00C81C61"/>
    <w:rsid w:val="00C86BC5"/>
    <w:rsid w:val="00CA11B8"/>
    <w:rsid w:val="00CA4D7F"/>
    <w:rsid w:val="00CB0177"/>
    <w:rsid w:val="00CD0C8E"/>
    <w:rsid w:val="00CD416A"/>
    <w:rsid w:val="00CE2FDE"/>
    <w:rsid w:val="00CE744E"/>
    <w:rsid w:val="00CF1380"/>
    <w:rsid w:val="00CF2D1F"/>
    <w:rsid w:val="00CF62D5"/>
    <w:rsid w:val="00D06B20"/>
    <w:rsid w:val="00D138CE"/>
    <w:rsid w:val="00D24F7A"/>
    <w:rsid w:val="00D2576A"/>
    <w:rsid w:val="00D2780A"/>
    <w:rsid w:val="00D32D6B"/>
    <w:rsid w:val="00D4008E"/>
    <w:rsid w:val="00D435A5"/>
    <w:rsid w:val="00D44913"/>
    <w:rsid w:val="00D51505"/>
    <w:rsid w:val="00D56938"/>
    <w:rsid w:val="00D5698E"/>
    <w:rsid w:val="00D70A28"/>
    <w:rsid w:val="00D973A7"/>
    <w:rsid w:val="00DA0451"/>
    <w:rsid w:val="00DB2F96"/>
    <w:rsid w:val="00DB40B9"/>
    <w:rsid w:val="00DE02E7"/>
    <w:rsid w:val="00DE162F"/>
    <w:rsid w:val="00DE64F7"/>
    <w:rsid w:val="00DE7131"/>
    <w:rsid w:val="00E12100"/>
    <w:rsid w:val="00E23C77"/>
    <w:rsid w:val="00E2551E"/>
    <w:rsid w:val="00E26DB5"/>
    <w:rsid w:val="00E400A3"/>
    <w:rsid w:val="00E406D0"/>
    <w:rsid w:val="00E42587"/>
    <w:rsid w:val="00E72DCD"/>
    <w:rsid w:val="00E82DB8"/>
    <w:rsid w:val="00E87F62"/>
    <w:rsid w:val="00E96AC7"/>
    <w:rsid w:val="00E96BED"/>
    <w:rsid w:val="00EA68BB"/>
    <w:rsid w:val="00EA7C86"/>
    <w:rsid w:val="00EB1A11"/>
    <w:rsid w:val="00EB37DB"/>
    <w:rsid w:val="00EC6950"/>
    <w:rsid w:val="00ED1AEC"/>
    <w:rsid w:val="00ED4CD9"/>
    <w:rsid w:val="00ED4D4F"/>
    <w:rsid w:val="00F00734"/>
    <w:rsid w:val="00F01714"/>
    <w:rsid w:val="00F029CD"/>
    <w:rsid w:val="00F051A0"/>
    <w:rsid w:val="00F0586B"/>
    <w:rsid w:val="00F17664"/>
    <w:rsid w:val="00F610E0"/>
    <w:rsid w:val="00F61786"/>
    <w:rsid w:val="00F6408D"/>
    <w:rsid w:val="00F65CBD"/>
    <w:rsid w:val="00F65EC5"/>
    <w:rsid w:val="00F71B30"/>
    <w:rsid w:val="00F87245"/>
    <w:rsid w:val="00F90BE2"/>
    <w:rsid w:val="00F9746C"/>
    <w:rsid w:val="00FA3A8E"/>
    <w:rsid w:val="00FA3C0A"/>
    <w:rsid w:val="00FB6792"/>
    <w:rsid w:val="00FC6079"/>
    <w:rsid w:val="00FC686E"/>
    <w:rsid w:val="00FD0AEA"/>
    <w:rsid w:val="00FE2EDC"/>
    <w:rsid w:val="00FE6DC2"/>
    <w:rsid w:val="00FF46F4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character" w:customStyle="1" w:styleId="user-highlighted-active">
    <w:name w:val="user-highlighted-active"/>
    <w:basedOn w:val="Fuentedeprrafopredeter"/>
    <w:rsid w:val="00452B2A"/>
  </w:style>
  <w:style w:type="paragraph" w:customStyle="1" w:styleId="Normal2">
    <w:name w:val="Normal2"/>
    <w:rsid w:val="00392472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customStyle="1" w:styleId="SinespaciadoCar">
    <w:name w:val="Sin espaciado Car"/>
    <w:link w:val="Sinespaciado"/>
    <w:uiPriority w:val="1"/>
    <w:locked/>
    <w:rsid w:val="008E3753"/>
  </w:style>
  <w:style w:type="character" w:customStyle="1" w:styleId="normaltextrun">
    <w:name w:val="normaltextrun"/>
    <w:basedOn w:val="Fuentedeprrafopredeter"/>
    <w:rsid w:val="008E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48ABCF-D561-4EA9-B62E-B5F2309E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1526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19</cp:revision>
  <cp:lastPrinted>2019-05-22T20:44:00Z</cp:lastPrinted>
  <dcterms:created xsi:type="dcterms:W3CDTF">2019-05-23T18:08:00Z</dcterms:created>
  <dcterms:modified xsi:type="dcterms:W3CDTF">2019-05-27T20:40:00Z</dcterms:modified>
</cp:coreProperties>
</file>