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3E62033A" w:rsidR="005A1FEB" w:rsidRPr="008E3753" w:rsidRDefault="001F110D" w:rsidP="001A6175">
      <w:pPr>
        <w:jc w:val="center"/>
        <w:rPr>
          <w:rFonts w:ascii="Arial" w:hAnsi="Arial" w:cs="Arial"/>
          <w:b/>
          <w:lang w:val="es-ES_tradnl"/>
        </w:rPr>
      </w:pPr>
      <w:r w:rsidRPr="008E3753">
        <w:rPr>
          <w:rFonts w:ascii="Arial" w:hAnsi="Arial" w:cs="Arial"/>
          <w:b/>
          <w:lang w:val="es-ES_tradnl"/>
        </w:rPr>
        <w:t xml:space="preserve">TEXTO APROBADO EN LA COMISION PRIMERA DE LA HONORABLE CAMARA DE REPRESENTANTES EN PRIMER DEBATE </w:t>
      </w:r>
    </w:p>
    <w:p w14:paraId="56FB44BB" w14:textId="43D6A6E4" w:rsidR="008E3753" w:rsidRPr="008E3753" w:rsidRDefault="001F110D" w:rsidP="008E3753">
      <w:pPr>
        <w:jc w:val="center"/>
        <w:rPr>
          <w:rFonts w:ascii="Arial" w:eastAsia="Calibri" w:hAnsi="Arial" w:cs="Arial"/>
          <w:b/>
        </w:rPr>
      </w:pPr>
      <w:r w:rsidRPr="008E3753">
        <w:rPr>
          <w:rFonts w:ascii="Arial" w:hAnsi="Arial" w:cs="Arial"/>
          <w:b/>
        </w:rPr>
        <w:t xml:space="preserve">AL </w:t>
      </w:r>
      <w:r w:rsidRPr="008E3753">
        <w:rPr>
          <w:rFonts w:ascii="Arial" w:eastAsia="Calibri" w:hAnsi="Arial" w:cs="Arial"/>
          <w:b/>
        </w:rPr>
        <w:t>PROYECTO DE LEY N</w:t>
      </w:r>
      <w:r>
        <w:rPr>
          <w:rFonts w:ascii="Arial" w:eastAsia="Calibri" w:hAnsi="Arial" w:cs="Arial"/>
          <w:b/>
        </w:rPr>
        <w:t>o</w:t>
      </w:r>
      <w:r w:rsidRPr="008E3753">
        <w:rPr>
          <w:rFonts w:ascii="Arial" w:eastAsia="Calibri" w:hAnsi="Arial" w:cs="Arial"/>
          <w:b/>
        </w:rPr>
        <w:t>. 068 DE 2018 CÁMARA</w:t>
      </w:r>
    </w:p>
    <w:p w14:paraId="008897AC" w14:textId="40903B14" w:rsidR="008E3753" w:rsidRPr="008E3753" w:rsidRDefault="001F110D" w:rsidP="008E3753">
      <w:pPr>
        <w:spacing w:before="45" w:after="45"/>
        <w:jc w:val="center"/>
        <w:rPr>
          <w:rFonts w:ascii="Arial" w:eastAsia="Calibri" w:hAnsi="Arial" w:cs="Arial"/>
          <w:b/>
        </w:rPr>
      </w:pPr>
      <w:r>
        <w:rPr>
          <w:rFonts w:ascii="Arial" w:hAnsi="Arial" w:cs="Arial"/>
          <w:b/>
        </w:rPr>
        <w:t>“</w:t>
      </w:r>
      <w:r w:rsidRPr="008E3753">
        <w:rPr>
          <w:rFonts w:ascii="Arial" w:hAnsi="Arial" w:cs="Arial"/>
          <w:b/>
        </w:rPr>
        <w:t>POR MEDIO DE LA CUAL SE DICTAN DISPOSICIONES PARA FORTALECER EL FUNCIONAMIENTO DE LAS PERSONERÍAS EN COLOMBIA"</w:t>
      </w:r>
      <w:r w:rsidRPr="008E3753">
        <w:rPr>
          <w:rFonts w:ascii="Arial" w:eastAsia="Calibri" w:hAnsi="Arial" w:cs="Arial"/>
          <w:b/>
        </w:rPr>
        <w:t xml:space="preserve">: </w:t>
      </w:r>
    </w:p>
    <w:p w14:paraId="132F5DE1" w14:textId="77777777" w:rsidR="008E3753" w:rsidRPr="008E3753" w:rsidRDefault="008E3753" w:rsidP="008E3753">
      <w:pPr>
        <w:spacing w:before="45" w:after="45"/>
        <w:jc w:val="center"/>
        <w:rPr>
          <w:rFonts w:ascii="Arial" w:eastAsia="Calibri" w:hAnsi="Arial" w:cs="Arial"/>
          <w:b/>
        </w:rPr>
      </w:pPr>
    </w:p>
    <w:p w14:paraId="1B3143A7" w14:textId="47C850EE" w:rsidR="008E3753" w:rsidRPr="008E3753" w:rsidRDefault="001F110D" w:rsidP="008E3753">
      <w:pPr>
        <w:spacing w:before="45" w:after="45"/>
        <w:jc w:val="center"/>
        <w:rPr>
          <w:rFonts w:ascii="Arial" w:eastAsia="Calibri" w:hAnsi="Arial" w:cs="Arial"/>
          <w:b/>
        </w:rPr>
      </w:pPr>
      <w:r w:rsidRPr="008E3753">
        <w:rPr>
          <w:rFonts w:ascii="Arial" w:eastAsia="Calibri" w:hAnsi="Arial" w:cs="Arial"/>
          <w:b/>
        </w:rPr>
        <w:t>EL CONGRESO DE COLOMBIA</w:t>
      </w:r>
    </w:p>
    <w:p w14:paraId="7DCD6151" w14:textId="77777777" w:rsidR="00FA3C0A" w:rsidRDefault="00FA3C0A" w:rsidP="008E3753">
      <w:pPr>
        <w:spacing w:before="45" w:after="45"/>
        <w:jc w:val="center"/>
        <w:rPr>
          <w:rFonts w:ascii="Arial" w:eastAsia="Calibri" w:hAnsi="Arial" w:cs="Arial"/>
          <w:b/>
        </w:rPr>
      </w:pPr>
    </w:p>
    <w:p w14:paraId="4BFD2483" w14:textId="1FE0718D" w:rsidR="008E3753" w:rsidRPr="008E3753" w:rsidRDefault="001F110D" w:rsidP="008E3753">
      <w:pPr>
        <w:spacing w:before="45" w:after="45"/>
        <w:jc w:val="center"/>
        <w:rPr>
          <w:rFonts w:ascii="Arial" w:eastAsia="Calibri" w:hAnsi="Arial" w:cs="Arial"/>
          <w:b/>
        </w:rPr>
      </w:pPr>
      <w:r w:rsidRPr="008E3753">
        <w:rPr>
          <w:rFonts w:ascii="Arial" w:eastAsia="Calibri" w:hAnsi="Arial" w:cs="Arial"/>
          <w:b/>
        </w:rPr>
        <w:t xml:space="preserve">DECRETA: </w:t>
      </w:r>
    </w:p>
    <w:p w14:paraId="4B1B6439" w14:textId="77777777" w:rsidR="00FA3C0A" w:rsidRDefault="00FA3C0A" w:rsidP="008E3753">
      <w:pPr>
        <w:jc w:val="both"/>
        <w:rPr>
          <w:rFonts w:ascii="Arial" w:eastAsia="Calibri" w:hAnsi="Arial" w:cs="Arial"/>
        </w:rPr>
      </w:pPr>
    </w:p>
    <w:p w14:paraId="496E98AF" w14:textId="15631D22" w:rsidR="008E3753" w:rsidRPr="00C54F95" w:rsidRDefault="001F110D" w:rsidP="008E3753">
      <w:pPr>
        <w:jc w:val="both"/>
        <w:rPr>
          <w:rFonts w:ascii="Arial" w:hAnsi="Arial"/>
          <w:b/>
        </w:rPr>
      </w:pPr>
      <w:r w:rsidRPr="008E3753">
        <w:rPr>
          <w:rFonts w:ascii="Arial" w:eastAsia="Calibri" w:hAnsi="Arial" w:cs="Arial"/>
        </w:rPr>
        <w:br/>
      </w:r>
      <w:r w:rsidRPr="008E3753">
        <w:rPr>
          <w:rFonts w:ascii="Arial" w:hAnsi="Arial" w:cs="Arial"/>
          <w:b/>
        </w:rPr>
        <w:t>A</w:t>
      </w:r>
      <w:r>
        <w:rPr>
          <w:rFonts w:ascii="Arial" w:hAnsi="Arial" w:cs="Arial"/>
          <w:b/>
        </w:rPr>
        <w:t xml:space="preserve">rtículo </w:t>
      </w:r>
      <w:r w:rsidR="008E3753" w:rsidRPr="00C54F95">
        <w:rPr>
          <w:rFonts w:ascii="Arial" w:hAnsi="Arial"/>
          <w:b/>
        </w:rPr>
        <w:t xml:space="preserve">1. Objeto. </w:t>
      </w:r>
      <w:r w:rsidR="008E3753" w:rsidRPr="00C54F95">
        <w:rPr>
          <w:rFonts w:ascii="Arial" w:hAnsi="Arial"/>
        </w:rPr>
        <w:t>La presente ley tiene como propósito fortalecer la gestión, administrativa y financiera de las personerías municipales y distritales para el óptimo ejercicio sus funciones.</w:t>
      </w:r>
    </w:p>
    <w:p w14:paraId="32E440B3" w14:textId="77777777" w:rsidR="008E3753" w:rsidRDefault="008E3753" w:rsidP="008E3753">
      <w:pPr>
        <w:rPr>
          <w:rFonts w:ascii="Arial" w:hAnsi="Arial"/>
        </w:rPr>
      </w:pPr>
    </w:p>
    <w:p w14:paraId="166169CF" w14:textId="77777777" w:rsidR="001F110D" w:rsidRPr="00C54F95" w:rsidRDefault="001F110D" w:rsidP="008E3753">
      <w:pPr>
        <w:rPr>
          <w:rFonts w:ascii="Arial" w:hAnsi="Arial"/>
        </w:rPr>
      </w:pPr>
    </w:p>
    <w:p w14:paraId="7992E5AC" w14:textId="77777777" w:rsidR="008E3753" w:rsidRPr="00C54F95" w:rsidRDefault="008E3753" w:rsidP="008E3753">
      <w:pPr>
        <w:pStyle w:val="Sinespaciado"/>
        <w:jc w:val="both"/>
        <w:rPr>
          <w:rFonts w:ascii="Arial" w:hAnsi="Arial" w:cs="Arial"/>
          <w:sz w:val="24"/>
          <w:szCs w:val="24"/>
          <w:u w:val="single"/>
        </w:rPr>
      </w:pPr>
      <w:r w:rsidRPr="00C54F95">
        <w:rPr>
          <w:rFonts w:ascii="Arial" w:hAnsi="Arial" w:cs="Arial"/>
          <w:b/>
          <w:bCs/>
          <w:iCs/>
          <w:sz w:val="24"/>
          <w:szCs w:val="24"/>
        </w:rPr>
        <w:t xml:space="preserve">Artículo </w:t>
      </w:r>
      <w:r w:rsidRPr="001F110D">
        <w:rPr>
          <w:rFonts w:ascii="Arial" w:hAnsi="Arial" w:cs="Arial"/>
          <w:b/>
          <w:bCs/>
          <w:iCs/>
          <w:sz w:val="24"/>
          <w:szCs w:val="24"/>
        </w:rPr>
        <w:t>2</w:t>
      </w:r>
      <w:r w:rsidRPr="00C54F95">
        <w:rPr>
          <w:rFonts w:ascii="Arial" w:hAnsi="Arial" w:cs="Arial"/>
          <w:b/>
          <w:bCs/>
          <w:iCs/>
          <w:sz w:val="24"/>
          <w:szCs w:val="24"/>
        </w:rPr>
        <w:t>.  Estructura interna de las Personerías</w:t>
      </w:r>
      <w:r w:rsidRPr="00C54F95">
        <w:rPr>
          <w:rFonts w:ascii="Arial" w:hAnsi="Arial" w:cs="Arial"/>
          <w:sz w:val="24"/>
          <w:szCs w:val="24"/>
        </w:rPr>
        <w:t>: Las personerías contarán con una planta de personal, conformada por al menos, un profesional universitario y un secretario, siempre que el presupuesto de la entidad permita la respectiva remuneración conforme a la Ley laboral Vigente.</w:t>
      </w:r>
      <w:r w:rsidRPr="00C54F95">
        <w:rPr>
          <w:rFonts w:ascii="Arial" w:hAnsi="Arial" w:cs="Arial"/>
          <w:sz w:val="24"/>
          <w:szCs w:val="24"/>
          <w:u w:val="single"/>
        </w:rPr>
        <w:t xml:space="preserve"> </w:t>
      </w:r>
    </w:p>
    <w:p w14:paraId="1381DEBD" w14:textId="77777777" w:rsidR="008E3753" w:rsidRPr="00C54F95" w:rsidRDefault="008E3753" w:rsidP="008E3753">
      <w:pPr>
        <w:pStyle w:val="Sinespaciado"/>
        <w:jc w:val="both"/>
        <w:rPr>
          <w:rFonts w:ascii="Arial" w:hAnsi="Arial" w:cs="Arial"/>
          <w:sz w:val="24"/>
          <w:szCs w:val="24"/>
        </w:rPr>
      </w:pPr>
    </w:p>
    <w:p w14:paraId="784AB7D2" w14:textId="77777777" w:rsidR="008E3753" w:rsidRPr="00C54F95" w:rsidRDefault="008E3753" w:rsidP="008E3753">
      <w:pPr>
        <w:pStyle w:val="Sinespaciado"/>
        <w:jc w:val="both"/>
        <w:rPr>
          <w:rFonts w:ascii="Arial" w:hAnsi="Arial" w:cs="Arial"/>
          <w:sz w:val="24"/>
          <w:szCs w:val="24"/>
        </w:rPr>
      </w:pPr>
      <w:r w:rsidRPr="00C54F95">
        <w:rPr>
          <w:rFonts w:ascii="Arial" w:hAnsi="Arial" w:cs="Arial"/>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14:paraId="657AF836" w14:textId="77777777" w:rsidR="008E3753" w:rsidRPr="00C54F95" w:rsidRDefault="008E3753" w:rsidP="008E3753">
      <w:pPr>
        <w:rPr>
          <w:rFonts w:ascii="Arial" w:hAnsi="Arial"/>
        </w:rPr>
      </w:pPr>
    </w:p>
    <w:p w14:paraId="3224F67A" w14:textId="77777777" w:rsidR="001F110D" w:rsidRDefault="001F110D" w:rsidP="008E3753">
      <w:pPr>
        <w:pStyle w:val="Sinespaciado"/>
        <w:jc w:val="both"/>
        <w:rPr>
          <w:rFonts w:ascii="Arial" w:hAnsi="Arial" w:cs="Arial"/>
          <w:b/>
          <w:bCs/>
          <w:iCs/>
          <w:sz w:val="24"/>
          <w:szCs w:val="24"/>
        </w:rPr>
      </w:pPr>
    </w:p>
    <w:p w14:paraId="39911273" w14:textId="33576B19" w:rsidR="008E3753" w:rsidRPr="00C54F95" w:rsidRDefault="008E3753" w:rsidP="008E3753">
      <w:pPr>
        <w:pStyle w:val="Sinespaciado"/>
        <w:jc w:val="both"/>
        <w:rPr>
          <w:rFonts w:ascii="Arial" w:hAnsi="Arial" w:cs="Arial"/>
          <w:b/>
          <w:bCs/>
          <w:iCs/>
          <w:sz w:val="24"/>
          <w:szCs w:val="24"/>
        </w:rPr>
      </w:pPr>
      <w:r w:rsidRPr="00C54F95">
        <w:rPr>
          <w:rFonts w:ascii="Arial" w:hAnsi="Arial" w:cs="Arial"/>
          <w:b/>
          <w:bCs/>
          <w:iCs/>
          <w:sz w:val="24"/>
          <w:szCs w:val="24"/>
        </w:rPr>
        <w:t>Art</w:t>
      </w:r>
      <w:r w:rsidR="001F110D">
        <w:rPr>
          <w:rFonts w:ascii="Arial" w:hAnsi="Arial" w:cs="Arial"/>
          <w:b/>
          <w:bCs/>
          <w:iCs/>
          <w:sz w:val="24"/>
          <w:szCs w:val="24"/>
        </w:rPr>
        <w:t>í</w:t>
      </w:r>
      <w:r w:rsidRPr="00C54F95">
        <w:rPr>
          <w:rFonts w:ascii="Arial" w:hAnsi="Arial" w:cs="Arial"/>
          <w:b/>
          <w:bCs/>
          <w:iCs/>
          <w:sz w:val="24"/>
          <w:szCs w:val="24"/>
        </w:rPr>
        <w:t>culo 3</w:t>
      </w:r>
      <w:r w:rsidR="001F110D">
        <w:rPr>
          <w:rFonts w:ascii="Arial" w:hAnsi="Arial" w:cs="Arial"/>
          <w:b/>
          <w:bCs/>
          <w:iCs/>
          <w:sz w:val="24"/>
          <w:szCs w:val="24"/>
        </w:rPr>
        <w:t>.</w:t>
      </w:r>
      <w:r w:rsidRPr="00C54F95">
        <w:rPr>
          <w:rFonts w:ascii="Arial" w:hAnsi="Arial" w:cs="Arial"/>
          <w:b/>
          <w:bCs/>
          <w:iCs/>
          <w:sz w:val="24"/>
          <w:szCs w:val="24"/>
        </w:rPr>
        <w:t xml:space="preserve"> Modifíquese el artículo 10 de la Ley 617de 2000 el cual quedara de la siguiente forma:</w:t>
      </w:r>
    </w:p>
    <w:p w14:paraId="0D7D8FA9" w14:textId="77777777" w:rsidR="008E3753" w:rsidRPr="00C54F95" w:rsidRDefault="008E3753" w:rsidP="008E3753">
      <w:pPr>
        <w:rPr>
          <w:rFonts w:ascii="Arial" w:hAnsi="Arial"/>
        </w:rPr>
      </w:pPr>
    </w:p>
    <w:p w14:paraId="189A6B38" w14:textId="2B4AF27E" w:rsidR="008E3753" w:rsidRPr="00C54F95" w:rsidRDefault="008E3753" w:rsidP="00FA3C0A">
      <w:pPr>
        <w:jc w:val="both"/>
        <w:rPr>
          <w:rFonts w:ascii="Arial" w:hAnsi="Arial"/>
        </w:rPr>
      </w:pPr>
      <w:r w:rsidRPr="00FA3C0A">
        <w:rPr>
          <w:rFonts w:ascii="Arial" w:hAnsi="Arial"/>
          <w:b/>
        </w:rPr>
        <w:t>ARTICULO 10</w:t>
      </w:r>
      <w:r w:rsidR="00FA3C0A" w:rsidRPr="00FA3C0A">
        <w:rPr>
          <w:rFonts w:ascii="Arial" w:hAnsi="Arial"/>
          <w:b/>
        </w:rPr>
        <w:t>.</w:t>
      </w:r>
      <w:r w:rsidR="00FA3C0A">
        <w:rPr>
          <w:rFonts w:ascii="Arial" w:hAnsi="Arial"/>
        </w:rPr>
        <w:t xml:space="preserve"> V</w:t>
      </w:r>
      <w:r w:rsidRPr="00C54F95">
        <w:rPr>
          <w:rFonts w:ascii="Arial" w:hAnsi="Arial"/>
        </w:rPr>
        <w:t xml:space="preserve">alor máximo de los gastos de los concejos, personerías, contralorías distritales y municipales. </w:t>
      </w:r>
    </w:p>
    <w:p w14:paraId="6F0002E7" w14:textId="77777777" w:rsidR="00FA3C0A" w:rsidRDefault="00FA3C0A" w:rsidP="008E3753">
      <w:pPr>
        <w:jc w:val="both"/>
        <w:rPr>
          <w:rFonts w:ascii="Arial" w:hAnsi="Arial"/>
        </w:rPr>
      </w:pPr>
    </w:p>
    <w:p w14:paraId="77100E7E" w14:textId="77777777" w:rsidR="008E3753" w:rsidRPr="00C54F95" w:rsidRDefault="008E3753" w:rsidP="008E3753">
      <w:pPr>
        <w:jc w:val="both"/>
        <w:rPr>
          <w:rFonts w:ascii="Arial" w:hAnsi="Arial"/>
        </w:rPr>
      </w:pPr>
      <w:r w:rsidRPr="00C54F95">
        <w:rPr>
          <w:rFonts w:ascii="Arial" w:hAnsi="Arial"/>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14:paraId="6E7C5A84" w14:textId="77777777" w:rsidR="00FA3C0A" w:rsidRDefault="00FA3C0A" w:rsidP="008E3753">
      <w:pPr>
        <w:jc w:val="both"/>
        <w:rPr>
          <w:rFonts w:ascii="Arial" w:hAnsi="Arial"/>
        </w:rPr>
      </w:pPr>
    </w:p>
    <w:p w14:paraId="3E08FF18" w14:textId="77777777" w:rsidR="008E3753" w:rsidRPr="00C54F95" w:rsidRDefault="008E3753" w:rsidP="008E3753">
      <w:pPr>
        <w:jc w:val="both"/>
        <w:rPr>
          <w:rFonts w:ascii="Arial" w:hAnsi="Arial"/>
        </w:rPr>
      </w:pPr>
      <w:r w:rsidRPr="00C54F95">
        <w:rPr>
          <w:rFonts w:ascii="Arial" w:hAnsi="Arial"/>
        </w:rPr>
        <w:t xml:space="preserve">Los gastos de personerías, contralorías distritales y municipales, donde las hubiere, no podrán superar los siguientes límites: </w:t>
      </w:r>
    </w:p>
    <w:p w14:paraId="7A2F175A" w14:textId="77777777" w:rsidR="008E3753" w:rsidRPr="00C54F95" w:rsidRDefault="008E3753" w:rsidP="008E3753">
      <w:pPr>
        <w:rPr>
          <w:rFonts w:ascii="Arial" w:hAnsi="Arial"/>
        </w:rPr>
      </w:pPr>
    </w:p>
    <w:p w14:paraId="7B9FDD84" w14:textId="77777777" w:rsidR="008E3753" w:rsidRPr="00FA3C0A" w:rsidRDefault="008E3753" w:rsidP="008E3753">
      <w:pPr>
        <w:rPr>
          <w:rFonts w:ascii="Arial" w:hAnsi="Arial"/>
          <w:b/>
        </w:rPr>
      </w:pPr>
      <w:r w:rsidRPr="00FA3C0A">
        <w:rPr>
          <w:rFonts w:ascii="Arial" w:hAnsi="Arial"/>
          <w:b/>
        </w:rPr>
        <w:lastRenderedPageBreak/>
        <w:t xml:space="preserve">PERSONERÍAS </w:t>
      </w:r>
    </w:p>
    <w:p w14:paraId="3F01FAAD" w14:textId="77777777" w:rsidR="008E3753" w:rsidRPr="00C54F95" w:rsidRDefault="008E3753" w:rsidP="008E3753">
      <w:pPr>
        <w:jc w:val="both"/>
        <w:rPr>
          <w:rFonts w:ascii="Arial" w:hAnsi="Arial"/>
        </w:rPr>
      </w:pPr>
      <w:r w:rsidRPr="00C54F95">
        <w:rPr>
          <w:rFonts w:ascii="Arial" w:hAnsi="Arial"/>
        </w:rPr>
        <w:t xml:space="preserve">Aportes máximos en la vigencia Porcentaje de los Ingresos Corrientes de Libre Destinación </w:t>
      </w:r>
    </w:p>
    <w:p w14:paraId="49FAA413" w14:textId="77777777" w:rsidR="008E3753" w:rsidRPr="00C54F95" w:rsidRDefault="008E3753" w:rsidP="008E3753">
      <w:pPr>
        <w:rPr>
          <w:rFonts w:ascii="Arial" w:hAnsi="Arial"/>
        </w:rPr>
      </w:pPr>
    </w:p>
    <w:p w14:paraId="2F7555F4" w14:textId="77777777" w:rsidR="008E3753" w:rsidRPr="00FA3C0A" w:rsidRDefault="008E3753" w:rsidP="008E3753">
      <w:pPr>
        <w:rPr>
          <w:rFonts w:ascii="Arial" w:hAnsi="Arial"/>
          <w:b/>
        </w:rPr>
      </w:pPr>
      <w:r w:rsidRPr="00FA3C0A">
        <w:rPr>
          <w:rFonts w:ascii="Arial" w:hAnsi="Arial"/>
          <w:b/>
        </w:rPr>
        <w:t xml:space="preserve">CATEGORIA </w:t>
      </w:r>
    </w:p>
    <w:p w14:paraId="436F3E71" w14:textId="77777777" w:rsidR="008E3753" w:rsidRPr="00C54F95" w:rsidRDefault="008E3753" w:rsidP="008E3753">
      <w:pPr>
        <w:rPr>
          <w:rFonts w:ascii="Arial" w:hAnsi="Arial"/>
        </w:rPr>
      </w:pPr>
      <w:r w:rsidRPr="00C54F95">
        <w:rPr>
          <w:rFonts w:ascii="Arial" w:hAnsi="Arial"/>
        </w:rPr>
        <w:t xml:space="preserve">Especial 1.6% </w:t>
      </w:r>
    </w:p>
    <w:p w14:paraId="1DBB55DC" w14:textId="77777777" w:rsidR="008E3753" w:rsidRPr="00C54F95" w:rsidRDefault="008E3753" w:rsidP="008E3753">
      <w:pPr>
        <w:rPr>
          <w:rFonts w:ascii="Arial" w:hAnsi="Arial"/>
        </w:rPr>
      </w:pPr>
      <w:r w:rsidRPr="00C54F95">
        <w:rPr>
          <w:rFonts w:ascii="Arial" w:hAnsi="Arial"/>
        </w:rPr>
        <w:t xml:space="preserve">Primera 1.7% </w:t>
      </w:r>
    </w:p>
    <w:p w14:paraId="36D9A679" w14:textId="77777777" w:rsidR="008E3753" w:rsidRPr="00C54F95" w:rsidRDefault="008E3753" w:rsidP="008E3753">
      <w:pPr>
        <w:rPr>
          <w:rFonts w:ascii="Arial" w:hAnsi="Arial"/>
        </w:rPr>
      </w:pPr>
      <w:r w:rsidRPr="00C54F95">
        <w:rPr>
          <w:rFonts w:ascii="Arial" w:hAnsi="Arial"/>
        </w:rPr>
        <w:t xml:space="preserve">Segunda 2.2% </w:t>
      </w:r>
    </w:p>
    <w:p w14:paraId="56D449B8" w14:textId="77777777" w:rsidR="008E3753" w:rsidRPr="00C54F95" w:rsidRDefault="008E3753" w:rsidP="008E3753">
      <w:pPr>
        <w:rPr>
          <w:rFonts w:ascii="Arial" w:hAnsi="Arial"/>
        </w:rPr>
      </w:pPr>
    </w:p>
    <w:p w14:paraId="291D08EA" w14:textId="77777777" w:rsidR="008E3753" w:rsidRPr="00C54F95" w:rsidRDefault="008E3753" w:rsidP="008E3753">
      <w:pPr>
        <w:rPr>
          <w:rFonts w:ascii="Arial" w:hAnsi="Arial"/>
        </w:rPr>
      </w:pPr>
      <w:r w:rsidRPr="00C54F95">
        <w:rPr>
          <w:rFonts w:ascii="Arial" w:hAnsi="Arial"/>
        </w:rPr>
        <w:t xml:space="preserve">Aportes Máximos en la vigencia en Salarios Mínimos legales mensuales </w:t>
      </w:r>
    </w:p>
    <w:p w14:paraId="59EBB027" w14:textId="77777777" w:rsidR="008E3753" w:rsidRPr="00C54F95" w:rsidRDefault="008E3753" w:rsidP="008E3753">
      <w:pPr>
        <w:rPr>
          <w:rFonts w:ascii="Arial" w:hAnsi="Arial"/>
        </w:rPr>
      </w:pPr>
    </w:p>
    <w:p w14:paraId="41D1BC62" w14:textId="77777777" w:rsidR="008E3753" w:rsidRPr="0036558C" w:rsidRDefault="008E3753" w:rsidP="008E3753">
      <w:pPr>
        <w:rPr>
          <w:rFonts w:ascii="Arial" w:hAnsi="Arial"/>
          <w:u w:val="single"/>
        </w:rPr>
      </w:pPr>
      <w:r w:rsidRPr="0036558C">
        <w:rPr>
          <w:rFonts w:ascii="Arial" w:hAnsi="Arial"/>
          <w:u w:val="single"/>
        </w:rPr>
        <w:t xml:space="preserve">Tercera 400 SMML </w:t>
      </w:r>
    </w:p>
    <w:p w14:paraId="2634CAE1" w14:textId="77777777" w:rsidR="008E3753" w:rsidRPr="0036558C" w:rsidRDefault="008E3753" w:rsidP="008E3753">
      <w:pPr>
        <w:rPr>
          <w:rFonts w:ascii="Arial" w:hAnsi="Arial"/>
          <w:u w:val="single"/>
        </w:rPr>
      </w:pPr>
      <w:r w:rsidRPr="0036558C">
        <w:rPr>
          <w:rFonts w:ascii="Arial" w:hAnsi="Arial"/>
          <w:u w:val="single"/>
        </w:rPr>
        <w:t xml:space="preserve">Cuarta 330 SMML </w:t>
      </w:r>
    </w:p>
    <w:p w14:paraId="5257D3F5" w14:textId="77777777" w:rsidR="008E3753" w:rsidRPr="0036558C" w:rsidRDefault="008E3753" w:rsidP="008E3753">
      <w:pPr>
        <w:rPr>
          <w:rFonts w:ascii="Arial" w:hAnsi="Arial"/>
          <w:u w:val="single"/>
        </w:rPr>
      </w:pPr>
      <w:r w:rsidRPr="0036558C">
        <w:rPr>
          <w:rFonts w:ascii="Arial" w:hAnsi="Arial"/>
          <w:u w:val="single"/>
        </w:rPr>
        <w:t xml:space="preserve">Quinta 240 SMML </w:t>
      </w:r>
    </w:p>
    <w:p w14:paraId="0E6B3D04" w14:textId="77777777" w:rsidR="008E3753" w:rsidRPr="00C54F95" w:rsidRDefault="008E3753" w:rsidP="008E3753">
      <w:pPr>
        <w:rPr>
          <w:rFonts w:ascii="Arial" w:hAnsi="Arial"/>
        </w:rPr>
      </w:pPr>
      <w:r w:rsidRPr="0036558C">
        <w:rPr>
          <w:rFonts w:ascii="Arial" w:hAnsi="Arial"/>
          <w:u w:val="single"/>
        </w:rPr>
        <w:t>Sexta 200 SMML</w:t>
      </w:r>
      <w:r w:rsidRPr="00C54F95">
        <w:rPr>
          <w:rFonts w:ascii="Arial" w:hAnsi="Arial"/>
        </w:rPr>
        <w:t xml:space="preserve"> </w:t>
      </w:r>
    </w:p>
    <w:p w14:paraId="43108238" w14:textId="77777777" w:rsidR="008E3753" w:rsidRDefault="008E3753" w:rsidP="008E3753">
      <w:pPr>
        <w:rPr>
          <w:rFonts w:ascii="Arial" w:hAnsi="Arial"/>
        </w:rPr>
      </w:pPr>
    </w:p>
    <w:p w14:paraId="6B6067EC" w14:textId="77777777" w:rsidR="008E3753" w:rsidRPr="00FA3C0A" w:rsidRDefault="008E3753" w:rsidP="008E3753">
      <w:pPr>
        <w:rPr>
          <w:rFonts w:ascii="Arial" w:hAnsi="Arial"/>
          <w:b/>
        </w:rPr>
      </w:pPr>
      <w:r w:rsidRPr="00FA3C0A">
        <w:rPr>
          <w:rFonts w:ascii="Arial" w:hAnsi="Arial"/>
          <w:b/>
        </w:rPr>
        <w:t xml:space="preserve">CONTRALORIAS </w:t>
      </w:r>
    </w:p>
    <w:p w14:paraId="79AEDA93" w14:textId="33A96ADF" w:rsidR="008E3753" w:rsidRPr="00C54F95" w:rsidRDefault="008E3753" w:rsidP="00FA3C0A">
      <w:pPr>
        <w:jc w:val="both"/>
        <w:rPr>
          <w:rFonts w:ascii="Arial" w:hAnsi="Arial"/>
        </w:rPr>
      </w:pPr>
      <w:r w:rsidRPr="00C54F95">
        <w:rPr>
          <w:rFonts w:ascii="Arial" w:hAnsi="Arial"/>
        </w:rPr>
        <w:t xml:space="preserve">Límites a los gastos de las Contralorías municipales. Porcentaje de los Ingresos Corrientes de Libre Destinación </w:t>
      </w:r>
    </w:p>
    <w:p w14:paraId="44043077" w14:textId="77777777" w:rsidR="008E3753" w:rsidRPr="00C54F95" w:rsidRDefault="008E3753" w:rsidP="008E3753">
      <w:pPr>
        <w:rPr>
          <w:rFonts w:ascii="Arial" w:hAnsi="Arial"/>
        </w:rPr>
      </w:pPr>
    </w:p>
    <w:p w14:paraId="6FC410D5" w14:textId="77777777" w:rsidR="008E3753" w:rsidRPr="00FA3C0A" w:rsidRDefault="008E3753" w:rsidP="008E3753">
      <w:pPr>
        <w:rPr>
          <w:rFonts w:ascii="Arial" w:hAnsi="Arial"/>
          <w:b/>
        </w:rPr>
      </w:pPr>
      <w:r w:rsidRPr="00FA3C0A">
        <w:rPr>
          <w:rFonts w:ascii="Arial" w:hAnsi="Arial"/>
          <w:b/>
        </w:rPr>
        <w:t xml:space="preserve">CATEGORIA </w:t>
      </w:r>
    </w:p>
    <w:p w14:paraId="4FC69FC8" w14:textId="77777777" w:rsidR="008E3753" w:rsidRPr="00C54F95" w:rsidRDefault="008E3753" w:rsidP="008E3753">
      <w:pPr>
        <w:rPr>
          <w:rFonts w:ascii="Arial" w:hAnsi="Arial"/>
        </w:rPr>
      </w:pPr>
      <w:r w:rsidRPr="00C54F95">
        <w:rPr>
          <w:rFonts w:ascii="Arial" w:hAnsi="Arial"/>
        </w:rPr>
        <w:t xml:space="preserve">Especial 2.8% </w:t>
      </w:r>
    </w:p>
    <w:p w14:paraId="11ECA4C9" w14:textId="77777777" w:rsidR="008E3753" w:rsidRPr="00C54F95" w:rsidRDefault="008E3753" w:rsidP="008E3753">
      <w:pPr>
        <w:rPr>
          <w:rFonts w:ascii="Arial" w:hAnsi="Arial"/>
        </w:rPr>
      </w:pPr>
      <w:r w:rsidRPr="00C54F95">
        <w:rPr>
          <w:rFonts w:ascii="Arial" w:hAnsi="Arial"/>
        </w:rPr>
        <w:t xml:space="preserve">Primera 2.5% </w:t>
      </w:r>
    </w:p>
    <w:p w14:paraId="3E7A606D" w14:textId="77777777" w:rsidR="008E3753" w:rsidRPr="00C54F95" w:rsidRDefault="008E3753" w:rsidP="008E3753">
      <w:pPr>
        <w:rPr>
          <w:rFonts w:ascii="Arial" w:hAnsi="Arial"/>
        </w:rPr>
      </w:pPr>
      <w:r w:rsidRPr="00C54F95">
        <w:rPr>
          <w:rFonts w:ascii="Arial" w:hAnsi="Arial"/>
        </w:rPr>
        <w:t xml:space="preserve">Segunda (más de 100.000 habitantes) 2.8% </w:t>
      </w:r>
    </w:p>
    <w:p w14:paraId="77D21248" w14:textId="77777777" w:rsidR="008E3753" w:rsidRPr="00C54F95" w:rsidRDefault="008E3753" w:rsidP="008E3753">
      <w:pPr>
        <w:jc w:val="both"/>
        <w:rPr>
          <w:rFonts w:ascii="Arial" w:hAnsi="Arial"/>
        </w:rPr>
      </w:pPr>
    </w:p>
    <w:p w14:paraId="51144872" w14:textId="0575BCAA" w:rsidR="008E3753" w:rsidRPr="00C54F95" w:rsidRDefault="008E3753" w:rsidP="008E3753">
      <w:pPr>
        <w:jc w:val="both"/>
        <w:rPr>
          <w:rFonts w:ascii="Arial" w:hAnsi="Arial"/>
        </w:rPr>
      </w:pPr>
      <w:r w:rsidRPr="00FA3C0A">
        <w:rPr>
          <w:rFonts w:ascii="Arial" w:hAnsi="Arial"/>
          <w:b/>
        </w:rPr>
        <w:t>PARAGRAFO</w:t>
      </w:r>
      <w:r w:rsidR="00FA3C0A">
        <w:rPr>
          <w:rFonts w:ascii="Arial" w:hAnsi="Arial"/>
          <w:b/>
        </w:rPr>
        <w:t>.</w:t>
      </w:r>
      <w:r w:rsidRPr="00C54F95">
        <w:rPr>
          <w:rFonts w:ascii="Arial" w:hAnsi="Arial"/>
        </w:rPr>
        <w:t xml:space="preserve"> 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14:paraId="122C13A9" w14:textId="77777777" w:rsidR="008E3753" w:rsidRDefault="008E3753" w:rsidP="008E3753">
      <w:pPr>
        <w:jc w:val="both"/>
        <w:rPr>
          <w:rFonts w:ascii="Arial" w:hAnsi="Arial"/>
        </w:rPr>
      </w:pPr>
    </w:p>
    <w:p w14:paraId="10D37C75" w14:textId="77777777" w:rsidR="00FA3C0A" w:rsidRPr="00C54F95" w:rsidRDefault="00FA3C0A" w:rsidP="008E3753">
      <w:pPr>
        <w:jc w:val="both"/>
        <w:rPr>
          <w:rFonts w:ascii="Arial" w:hAnsi="Arial"/>
        </w:rPr>
      </w:pPr>
    </w:p>
    <w:p w14:paraId="3FFAF07E" w14:textId="303EB144" w:rsidR="008E3753" w:rsidRDefault="008E3753" w:rsidP="008E3753">
      <w:pPr>
        <w:pStyle w:val="Sinespaciado"/>
        <w:jc w:val="both"/>
        <w:rPr>
          <w:rFonts w:ascii="Arial" w:hAnsi="Arial" w:cs="Arial"/>
          <w:b/>
          <w:bCs/>
          <w:iCs/>
          <w:sz w:val="24"/>
          <w:szCs w:val="24"/>
        </w:rPr>
      </w:pPr>
      <w:r w:rsidRPr="00C54F95">
        <w:rPr>
          <w:rFonts w:ascii="Arial" w:hAnsi="Arial" w:cs="Arial"/>
          <w:b/>
          <w:bCs/>
          <w:iCs/>
          <w:sz w:val="24"/>
          <w:szCs w:val="24"/>
        </w:rPr>
        <w:t>Art</w:t>
      </w:r>
      <w:r w:rsidR="001F110D">
        <w:rPr>
          <w:rFonts w:ascii="Arial" w:hAnsi="Arial" w:cs="Arial"/>
          <w:b/>
          <w:bCs/>
          <w:iCs/>
          <w:sz w:val="24"/>
          <w:szCs w:val="24"/>
        </w:rPr>
        <w:t>í</w:t>
      </w:r>
      <w:r w:rsidRPr="00C54F95">
        <w:rPr>
          <w:rFonts w:ascii="Arial" w:hAnsi="Arial" w:cs="Arial"/>
          <w:b/>
          <w:bCs/>
          <w:iCs/>
          <w:sz w:val="24"/>
          <w:szCs w:val="24"/>
        </w:rPr>
        <w:t>culo 4</w:t>
      </w:r>
      <w:r w:rsidR="001F110D">
        <w:rPr>
          <w:rFonts w:ascii="Arial" w:hAnsi="Arial" w:cs="Arial"/>
          <w:b/>
          <w:bCs/>
          <w:iCs/>
          <w:sz w:val="24"/>
          <w:szCs w:val="24"/>
        </w:rPr>
        <w:t>.</w:t>
      </w:r>
      <w:r w:rsidRPr="00C54F95">
        <w:rPr>
          <w:rFonts w:ascii="Arial" w:hAnsi="Arial" w:cs="Arial"/>
          <w:b/>
          <w:bCs/>
          <w:iCs/>
          <w:sz w:val="24"/>
          <w:szCs w:val="24"/>
        </w:rPr>
        <w:t xml:space="preserve"> Modifíquese el artículo 177 de la Ley 136 de 1994, el cual quedara de la siguiente forma:</w:t>
      </w:r>
    </w:p>
    <w:p w14:paraId="70235524" w14:textId="77777777" w:rsidR="001F110D" w:rsidRDefault="001F110D" w:rsidP="008E3753">
      <w:pPr>
        <w:pStyle w:val="Sinespaciado"/>
        <w:jc w:val="both"/>
        <w:rPr>
          <w:rFonts w:ascii="Arial" w:hAnsi="Arial"/>
          <w:sz w:val="24"/>
          <w:szCs w:val="24"/>
        </w:rPr>
      </w:pPr>
    </w:p>
    <w:p w14:paraId="18E8F129" w14:textId="77777777" w:rsidR="008E3753" w:rsidRPr="004A6146" w:rsidRDefault="008E3753" w:rsidP="008E3753">
      <w:pPr>
        <w:pStyle w:val="Sinespaciado"/>
        <w:jc w:val="both"/>
        <w:rPr>
          <w:rFonts w:ascii="Arial" w:hAnsi="Arial" w:cs="Arial"/>
          <w:b/>
          <w:bCs/>
          <w:iCs/>
          <w:sz w:val="24"/>
          <w:szCs w:val="24"/>
        </w:rPr>
      </w:pPr>
      <w:r w:rsidRPr="00C54F95">
        <w:rPr>
          <w:rFonts w:ascii="Arial" w:hAnsi="Arial"/>
          <w:sz w:val="24"/>
          <w:szCs w:val="24"/>
        </w:rPr>
        <w:t>Los salarios y prestaciones de los personeros, como empleados de los municipios, se pagarán con cargo al presupuesto del municipio. La asignación mensual de los personeros, será igual al cien por ciento (100%) del salario mensual aprobado por el Concejo para el alcalde</w:t>
      </w:r>
      <w:r>
        <w:rPr>
          <w:rFonts w:ascii="Arial" w:hAnsi="Arial"/>
          <w:sz w:val="24"/>
          <w:szCs w:val="24"/>
        </w:rPr>
        <w:t xml:space="preserve"> </w:t>
      </w:r>
      <w:r w:rsidRPr="004D7848">
        <w:rPr>
          <w:rFonts w:ascii="Arial" w:hAnsi="Arial"/>
          <w:sz w:val="24"/>
          <w:szCs w:val="24"/>
        </w:rPr>
        <w:t>y tendrán derecho a los mismos factores salariales que rigen para él mismo.  </w:t>
      </w:r>
    </w:p>
    <w:p w14:paraId="1686454F" w14:textId="77777777" w:rsidR="001F110D" w:rsidRDefault="001F110D" w:rsidP="008E3753">
      <w:pPr>
        <w:jc w:val="both"/>
        <w:rPr>
          <w:rFonts w:ascii="Arial" w:hAnsi="Arial"/>
        </w:rPr>
      </w:pPr>
    </w:p>
    <w:p w14:paraId="36508038" w14:textId="1B7AF17B" w:rsidR="00316708" w:rsidRDefault="00316708" w:rsidP="008E3753">
      <w:pPr>
        <w:jc w:val="both"/>
        <w:rPr>
          <w:rFonts w:ascii="Arial" w:hAnsi="Arial"/>
        </w:rPr>
      </w:pPr>
      <w:r>
        <w:rPr>
          <w:rFonts w:ascii="Arial" w:hAnsi="Arial"/>
        </w:rPr>
        <w:lastRenderedPageBreak/>
        <w:t>En ningún caso el valor de los salarios y de las prestaciones de los personeros podrá deducirse del presupuesto asignado para gastos, de que trata el artículo 10 de la Ley 617 de 2000.</w:t>
      </w:r>
    </w:p>
    <w:p w14:paraId="568ECACF" w14:textId="77777777" w:rsidR="00316708" w:rsidRDefault="00316708" w:rsidP="008E3753">
      <w:pPr>
        <w:jc w:val="both"/>
        <w:rPr>
          <w:rFonts w:ascii="Arial" w:hAnsi="Arial"/>
        </w:rPr>
      </w:pPr>
    </w:p>
    <w:p w14:paraId="3B786E23" w14:textId="77777777" w:rsidR="008E3753" w:rsidRPr="00C54F95" w:rsidRDefault="008E3753" w:rsidP="008E3753">
      <w:pPr>
        <w:jc w:val="both"/>
        <w:rPr>
          <w:rFonts w:ascii="Arial" w:hAnsi="Arial"/>
        </w:rPr>
      </w:pPr>
      <w:r w:rsidRPr="00C54F95">
        <w:rPr>
          <w:rFonts w:ascii="Arial" w:hAnsi="Arial"/>
        </w:rPr>
        <w:t>Los personeros tendrán derecho a un seguro por muerte violenta, el cual debe ser contratado por el alcalde respectivo.</w:t>
      </w:r>
    </w:p>
    <w:p w14:paraId="1626100E" w14:textId="77777777" w:rsidR="008E3753" w:rsidRDefault="008E3753" w:rsidP="008E3753">
      <w:pPr>
        <w:jc w:val="both"/>
        <w:rPr>
          <w:rStyle w:val="normaltextrun"/>
          <w:rFonts w:ascii="Arial" w:hAnsi="Arial"/>
          <w:b/>
          <w:bCs/>
          <w:iCs/>
        </w:rPr>
      </w:pPr>
    </w:p>
    <w:p w14:paraId="694AB86D" w14:textId="77777777" w:rsidR="008E3753" w:rsidRDefault="008E3753" w:rsidP="008E3753">
      <w:pPr>
        <w:jc w:val="both"/>
        <w:rPr>
          <w:rStyle w:val="normaltextrun"/>
          <w:rFonts w:ascii="Arial" w:hAnsi="Arial"/>
          <w:b/>
          <w:bCs/>
          <w:iCs/>
        </w:rPr>
      </w:pPr>
    </w:p>
    <w:p w14:paraId="72922601" w14:textId="67A85816" w:rsidR="008E3753" w:rsidRPr="00C54F95" w:rsidRDefault="008E3753" w:rsidP="008E3753">
      <w:pPr>
        <w:jc w:val="both"/>
        <w:rPr>
          <w:rStyle w:val="normaltextrun"/>
          <w:rFonts w:ascii="Arial" w:hAnsi="Arial"/>
        </w:rPr>
      </w:pPr>
      <w:r w:rsidRPr="00C54F95">
        <w:rPr>
          <w:rStyle w:val="normaltextrun"/>
          <w:rFonts w:ascii="Arial" w:hAnsi="Arial"/>
          <w:b/>
          <w:bCs/>
          <w:iCs/>
        </w:rPr>
        <w:t xml:space="preserve">Artículo 5. Modifíquese el inciso 7 del </w:t>
      </w:r>
      <w:r w:rsidR="001F110D">
        <w:rPr>
          <w:rStyle w:val="normaltextrun"/>
          <w:rFonts w:ascii="Arial" w:hAnsi="Arial"/>
          <w:b/>
          <w:bCs/>
          <w:iCs/>
        </w:rPr>
        <w:t>artí</w:t>
      </w:r>
      <w:r w:rsidRPr="00C54F95">
        <w:rPr>
          <w:rStyle w:val="normaltextrun"/>
          <w:rFonts w:ascii="Arial" w:hAnsi="Arial"/>
          <w:b/>
          <w:bCs/>
          <w:iCs/>
        </w:rPr>
        <w:t>culo 35 de la Ley 1551 el cual quedara de la siguiente forma:</w:t>
      </w:r>
      <w:r w:rsidRPr="00C54F95">
        <w:rPr>
          <w:rStyle w:val="normaltextrun"/>
          <w:rFonts w:ascii="Arial" w:hAnsi="Arial"/>
        </w:rPr>
        <w:t xml:space="preserve"> </w:t>
      </w:r>
    </w:p>
    <w:p w14:paraId="381DABA9" w14:textId="77777777" w:rsidR="001F110D" w:rsidRDefault="001F110D" w:rsidP="008E3753">
      <w:pPr>
        <w:jc w:val="both"/>
        <w:rPr>
          <w:rFonts w:ascii="Arial" w:hAnsi="Arial"/>
        </w:rPr>
      </w:pPr>
    </w:p>
    <w:p w14:paraId="54743A33" w14:textId="097706E7" w:rsidR="00316708" w:rsidRDefault="00316708" w:rsidP="008E3753">
      <w:pPr>
        <w:jc w:val="both"/>
        <w:rPr>
          <w:rFonts w:ascii="Arial" w:hAnsi="Arial"/>
        </w:rPr>
      </w:pPr>
      <w:r>
        <w:rPr>
          <w:rFonts w:ascii="Arial" w:hAnsi="Arial"/>
        </w:rPr>
        <w:t>(…)</w:t>
      </w:r>
    </w:p>
    <w:p w14:paraId="475B0260" w14:textId="77777777" w:rsidR="00316708" w:rsidRDefault="00316708" w:rsidP="008E3753">
      <w:pPr>
        <w:jc w:val="both"/>
        <w:rPr>
          <w:rFonts w:ascii="Arial" w:hAnsi="Arial"/>
        </w:rPr>
      </w:pPr>
    </w:p>
    <w:p w14:paraId="6BC8F098" w14:textId="77777777" w:rsidR="008E3753" w:rsidRPr="00C54F95" w:rsidRDefault="008E3753" w:rsidP="008E3753">
      <w:pPr>
        <w:jc w:val="both"/>
        <w:rPr>
          <w:rStyle w:val="normaltextrun"/>
          <w:rFonts w:ascii="Arial" w:hAnsi="Arial"/>
        </w:rPr>
      </w:pPr>
      <w:r w:rsidRPr="00C54F95">
        <w:rPr>
          <w:rFonts w:ascii="Arial" w:hAnsi="Arial"/>
        </w:rPr>
        <w:t>Igualmente, para optar al título profesional de carreras afines a las funciones de las personerías, se podrá realizar en las personerías municipales o distritales prácticas profesionales o laborales previa designación de su respectivo decano.</w:t>
      </w:r>
    </w:p>
    <w:p w14:paraId="5A390181" w14:textId="77777777" w:rsidR="001F110D" w:rsidRDefault="001F110D" w:rsidP="008E3753">
      <w:pPr>
        <w:jc w:val="both"/>
        <w:rPr>
          <w:rFonts w:ascii="Arial" w:hAnsi="Arial"/>
          <w:b/>
        </w:rPr>
      </w:pPr>
    </w:p>
    <w:p w14:paraId="6C9D96D9" w14:textId="77777777" w:rsidR="001F110D" w:rsidRDefault="001F110D" w:rsidP="008E3753">
      <w:pPr>
        <w:jc w:val="both"/>
        <w:rPr>
          <w:rFonts w:ascii="Arial" w:hAnsi="Arial"/>
          <w:b/>
        </w:rPr>
      </w:pPr>
    </w:p>
    <w:p w14:paraId="16C2D75B" w14:textId="2C1814E9" w:rsidR="008E3753" w:rsidRDefault="008E3753" w:rsidP="008E3753">
      <w:pPr>
        <w:jc w:val="both"/>
        <w:rPr>
          <w:rFonts w:ascii="Arial" w:hAnsi="Arial"/>
        </w:rPr>
      </w:pPr>
      <w:r w:rsidRPr="00C54F95">
        <w:rPr>
          <w:rFonts w:ascii="Arial" w:hAnsi="Arial"/>
          <w:b/>
        </w:rPr>
        <w:t>Artículo 6.</w:t>
      </w:r>
      <w:r w:rsidRPr="00C54F95">
        <w:rPr>
          <w:rFonts w:ascii="Arial" w:hAnsi="Arial"/>
        </w:rPr>
        <w:t xml:space="preserve"> De los </w:t>
      </w:r>
      <w:r w:rsidR="00316708">
        <w:rPr>
          <w:rFonts w:ascii="Arial" w:hAnsi="Arial"/>
        </w:rPr>
        <w:t xml:space="preserve">encargos a los personeros municipales o distritales. En los </w:t>
      </w:r>
      <w:r w:rsidRPr="00C54F95">
        <w:rPr>
          <w:rFonts w:ascii="Arial" w:hAnsi="Arial"/>
        </w:rPr>
        <w:t>encarg</w:t>
      </w:r>
      <w:r w:rsidR="00316708">
        <w:rPr>
          <w:rFonts w:ascii="Arial" w:hAnsi="Arial"/>
        </w:rPr>
        <w:t>o</w:t>
      </w:r>
      <w:r w:rsidRPr="00C54F95">
        <w:rPr>
          <w:rFonts w:ascii="Arial" w:hAnsi="Arial"/>
        </w:rPr>
        <w:t xml:space="preserve">s </w:t>
      </w:r>
      <w:r w:rsidR="00316708">
        <w:rPr>
          <w:rFonts w:ascii="Arial" w:hAnsi="Arial"/>
        </w:rPr>
        <w:t xml:space="preserve">que hagan a los personeros municipales o distritales las autoridades nacionales y departamentales que no dispongan de dependencias en el respectivo municipio o distrito, </w:t>
      </w:r>
      <w:r w:rsidRPr="00C54F95">
        <w:rPr>
          <w:rFonts w:ascii="Arial" w:hAnsi="Arial"/>
        </w:rPr>
        <w:t>deberá incluir</w:t>
      </w:r>
      <w:r w:rsidR="00316708">
        <w:rPr>
          <w:rFonts w:ascii="Arial" w:hAnsi="Arial"/>
        </w:rPr>
        <w:t>se l</w:t>
      </w:r>
      <w:r w:rsidRPr="00C54F95">
        <w:rPr>
          <w:rFonts w:ascii="Arial" w:hAnsi="Arial"/>
        </w:rPr>
        <w:t>os recursos financieros, logísticos y/o</w:t>
      </w:r>
      <w:bookmarkStart w:id="0" w:name="_GoBack"/>
      <w:bookmarkEnd w:id="0"/>
      <w:r w:rsidRPr="00C54F95">
        <w:rPr>
          <w:rFonts w:ascii="Arial" w:hAnsi="Arial"/>
        </w:rPr>
        <w:t xml:space="preserve"> técnicos necesarios para el cumplimento de</w:t>
      </w:r>
      <w:r w:rsidR="00ED4CD9">
        <w:rPr>
          <w:rFonts w:ascii="Arial" w:hAnsi="Arial"/>
        </w:rPr>
        <w:t xml:space="preserve"> </w:t>
      </w:r>
      <w:r w:rsidRPr="00C54F95">
        <w:rPr>
          <w:rFonts w:ascii="Arial" w:hAnsi="Arial"/>
        </w:rPr>
        <w:t>l</w:t>
      </w:r>
      <w:r w:rsidR="00ED4CD9">
        <w:rPr>
          <w:rFonts w:ascii="Arial" w:hAnsi="Arial"/>
        </w:rPr>
        <w:t>os mismos.</w:t>
      </w:r>
    </w:p>
    <w:p w14:paraId="4BCC7355" w14:textId="77777777" w:rsidR="008E3753" w:rsidRPr="00C54F95" w:rsidRDefault="008E3753" w:rsidP="008E3753">
      <w:pPr>
        <w:jc w:val="both"/>
        <w:rPr>
          <w:rFonts w:ascii="Arial" w:hAnsi="Arial"/>
        </w:rPr>
      </w:pPr>
    </w:p>
    <w:p w14:paraId="57FBA95F" w14:textId="77777777" w:rsidR="001F110D" w:rsidRDefault="001F110D" w:rsidP="008E3753">
      <w:pPr>
        <w:spacing w:line="276" w:lineRule="auto"/>
        <w:jc w:val="both"/>
        <w:rPr>
          <w:rFonts w:ascii="Arial" w:hAnsi="Arial"/>
          <w:b/>
        </w:rPr>
      </w:pPr>
    </w:p>
    <w:p w14:paraId="7D716356" w14:textId="77777777" w:rsidR="008E3753" w:rsidRPr="00C54F95" w:rsidRDefault="008E3753" w:rsidP="008E3753">
      <w:pPr>
        <w:spacing w:line="276" w:lineRule="auto"/>
        <w:jc w:val="both"/>
        <w:rPr>
          <w:rFonts w:ascii="Arial" w:hAnsi="Arial"/>
        </w:rPr>
      </w:pPr>
      <w:r w:rsidRPr="00C54F95">
        <w:rPr>
          <w:rFonts w:ascii="Arial" w:hAnsi="Arial"/>
          <w:b/>
        </w:rPr>
        <w:t>Artículo 7</w:t>
      </w:r>
      <w:r w:rsidRPr="00C54F95">
        <w:rPr>
          <w:rFonts w:ascii="Arial" w:hAnsi="Arial"/>
          <w:b/>
          <w:rtl/>
        </w:rPr>
        <w:t>°</w:t>
      </w:r>
      <w:r w:rsidRPr="00C54F95">
        <w:rPr>
          <w:rFonts w:ascii="Arial" w:hAnsi="Arial"/>
          <w:b/>
        </w:rPr>
        <w:t>. Vigencia.</w:t>
      </w:r>
      <w:r w:rsidRPr="00C54F95">
        <w:rPr>
          <w:rFonts w:ascii="Arial" w:hAnsi="Arial"/>
        </w:rPr>
        <w:t xml:space="preserve"> La presente ley rige a partir de su publicación y deroga todas las disposiciones que le sean contrarias.</w:t>
      </w:r>
    </w:p>
    <w:p w14:paraId="1F8D5A36" w14:textId="77777777" w:rsidR="005258CA" w:rsidRDefault="005258CA" w:rsidP="008711D3">
      <w:pPr>
        <w:jc w:val="center"/>
        <w:rPr>
          <w:rFonts w:ascii="Arial" w:hAnsi="Arial" w:cs="Arial"/>
          <w:b/>
        </w:rPr>
      </w:pPr>
    </w:p>
    <w:p w14:paraId="40C9C74A" w14:textId="77777777" w:rsidR="005258CA" w:rsidRPr="00BE05E3" w:rsidRDefault="005258CA" w:rsidP="008711D3">
      <w:pPr>
        <w:jc w:val="both"/>
        <w:rPr>
          <w:rFonts w:ascii="Arial" w:eastAsia="Arial" w:hAnsi="Arial" w:cs="Arial"/>
        </w:rPr>
      </w:pPr>
    </w:p>
    <w:p w14:paraId="79738FD4" w14:textId="0567E98D" w:rsidR="00220366" w:rsidRPr="008711D3" w:rsidRDefault="00220366" w:rsidP="00220366">
      <w:pPr>
        <w:jc w:val="both"/>
        <w:rPr>
          <w:rFonts w:ascii="Arial" w:hAnsi="Arial" w:cs="Arial"/>
          <w:color w:val="000000"/>
          <w:lang w:val="es-ES"/>
        </w:rPr>
      </w:pPr>
      <w:r w:rsidRPr="008711D3">
        <w:rPr>
          <w:rFonts w:ascii="Arial" w:hAnsi="Arial" w:cs="Arial"/>
          <w:color w:val="000000"/>
        </w:rPr>
        <w:t>En los anteriores términos fue aprobado con modificaciones el presente Proyecto de Ley según consta en Acta No. 4</w:t>
      </w:r>
      <w:r w:rsidR="001F110D">
        <w:rPr>
          <w:rFonts w:ascii="Arial" w:hAnsi="Arial" w:cs="Arial"/>
          <w:color w:val="000000"/>
        </w:rPr>
        <w:t>7</w:t>
      </w:r>
      <w:r w:rsidRPr="008711D3">
        <w:rPr>
          <w:rFonts w:ascii="Arial" w:hAnsi="Arial" w:cs="Arial"/>
          <w:color w:val="000000"/>
        </w:rPr>
        <w:t xml:space="preserve"> de </w:t>
      </w:r>
      <w:r w:rsidR="001F110D">
        <w:rPr>
          <w:rFonts w:ascii="Arial" w:hAnsi="Arial" w:cs="Arial"/>
          <w:color w:val="000000"/>
        </w:rPr>
        <w:t xml:space="preserve">mayo 07 </w:t>
      </w:r>
      <w:r w:rsidRPr="008711D3">
        <w:rPr>
          <w:rFonts w:ascii="Arial" w:hAnsi="Arial" w:cs="Arial"/>
          <w:color w:val="000000"/>
        </w:rPr>
        <w:t xml:space="preserve">de 2019. </w:t>
      </w:r>
      <w:r w:rsidRPr="008711D3">
        <w:rPr>
          <w:rFonts w:ascii="Arial" w:hAnsi="Arial" w:cs="Arial"/>
          <w:color w:val="000000"/>
          <w:lang w:val="es-ES"/>
        </w:rPr>
        <w:t xml:space="preserve">Anunciado entre otras fechas, el </w:t>
      </w:r>
      <w:r w:rsidR="001F110D">
        <w:rPr>
          <w:rFonts w:ascii="Arial" w:hAnsi="Arial" w:cs="Arial"/>
          <w:color w:val="000000"/>
          <w:lang w:val="es-ES"/>
        </w:rPr>
        <w:t>3</w:t>
      </w:r>
      <w:r w:rsidRPr="008711D3">
        <w:rPr>
          <w:rFonts w:ascii="Arial" w:hAnsi="Arial" w:cs="Arial"/>
          <w:color w:val="000000"/>
          <w:lang w:val="es-ES"/>
        </w:rPr>
        <w:t xml:space="preserve">0 de abril de 2019 según consta en Acta No. </w:t>
      </w:r>
      <w:r>
        <w:rPr>
          <w:rFonts w:ascii="Arial" w:hAnsi="Arial" w:cs="Arial"/>
          <w:color w:val="000000"/>
          <w:lang w:val="es-ES"/>
        </w:rPr>
        <w:t>4</w:t>
      </w:r>
      <w:r w:rsidR="001F110D">
        <w:rPr>
          <w:rFonts w:ascii="Arial" w:hAnsi="Arial" w:cs="Arial"/>
          <w:color w:val="000000"/>
          <w:lang w:val="es-ES"/>
        </w:rPr>
        <w:t>6</w:t>
      </w:r>
      <w:r w:rsidRPr="008711D3">
        <w:rPr>
          <w:rFonts w:ascii="Arial" w:hAnsi="Arial" w:cs="Arial"/>
          <w:color w:val="000000"/>
          <w:lang w:val="es-ES"/>
        </w:rPr>
        <w:t xml:space="preserve"> de la misma fecha.  </w:t>
      </w:r>
    </w:p>
    <w:p w14:paraId="6161B18C" w14:textId="77777777" w:rsidR="00220366" w:rsidRDefault="00220366" w:rsidP="00220366">
      <w:pPr>
        <w:jc w:val="both"/>
        <w:rPr>
          <w:rFonts w:ascii="Arial" w:hAnsi="Arial" w:cs="Arial"/>
          <w:color w:val="000000"/>
          <w:lang w:val="es-ES"/>
        </w:rPr>
      </w:pPr>
    </w:p>
    <w:p w14:paraId="210D9386" w14:textId="77777777" w:rsidR="00543020" w:rsidRPr="008711D3" w:rsidRDefault="00543020" w:rsidP="00220366">
      <w:pPr>
        <w:jc w:val="both"/>
        <w:rPr>
          <w:rFonts w:ascii="Arial" w:hAnsi="Arial" w:cs="Arial"/>
          <w:color w:val="000000"/>
          <w:lang w:val="es-ES"/>
        </w:rPr>
      </w:pPr>
    </w:p>
    <w:p w14:paraId="422E8694" w14:textId="77777777" w:rsidR="00220366" w:rsidRPr="008711D3" w:rsidRDefault="00220366" w:rsidP="00220366">
      <w:pPr>
        <w:jc w:val="both"/>
        <w:rPr>
          <w:rFonts w:ascii="Arial" w:hAnsi="Arial" w:cs="Arial"/>
          <w:b/>
        </w:rPr>
      </w:pPr>
    </w:p>
    <w:p w14:paraId="0DEDBCBA" w14:textId="6BA5FF1E" w:rsidR="00220366" w:rsidRPr="008711D3" w:rsidRDefault="001F110D" w:rsidP="00220366">
      <w:pPr>
        <w:jc w:val="both"/>
        <w:rPr>
          <w:rFonts w:ascii="Arial" w:hAnsi="Arial" w:cs="Arial"/>
          <w:b/>
          <w:color w:val="000000" w:themeColor="text1"/>
          <w:lang w:val="es-ES"/>
        </w:rPr>
      </w:pPr>
      <w:r>
        <w:rPr>
          <w:rFonts w:ascii="Arial" w:hAnsi="Arial" w:cs="Arial"/>
          <w:b/>
        </w:rPr>
        <w:t xml:space="preserve">OSCAR HERNÁN SÁNCHEZ LEÓN </w:t>
      </w:r>
      <w:r>
        <w:rPr>
          <w:rFonts w:ascii="Arial" w:hAnsi="Arial" w:cs="Arial"/>
          <w:b/>
        </w:rPr>
        <w:tab/>
      </w:r>
      <w:r w:rsidR="00220366">
        <w:rPr>
          <w:rFonts w:ascii="Arial" w:hAnsi="Arial" w:cs="Arial"/>
          <w:b/>
        </w:rPr>
        <w:t xml:space="preserve"> </w:t>
      </w:r>
      <w:r w:rsidR="00220366">
        <w:rPr>
          <w:rFonts w:ascii="Arial" w:hAnsi="Arial" w:cs="Arial"/>
          <w:b/>
        </w:rPr>
        <w:tab/>
        <w:t>GABRIEL SANTOS GARCÍA</w:t>
      </w:r>
      <w:r w:rsidR="00220366" w:rsidRPr="008711D3">
        <w:rPr>
          <w:rFonts w:ascii="Arial" w:hAnsi="Arial" w:cs="Arial"/>
          <w:b/>
        </w:rPr>
        <w:t xml:space="preserve">   </w:t>
      </w:r>
      <w:r w:rsidR="00220366" w:rsidRPr="008711D3">
        <w:rPr>
          <w:rFonts w:ascii="Arial" w:hAnsi="Arial" w:cs="Arial"/>
          <w:b/>
        </w:rPr>
        <w:tab/>
      </w:r>
    </w:p>
    <w:p w14:paraId="746DE0B1" w14:textId="45AE4D45" w:rsidR="00220366" w:rsidRPr="008711D3" w:rsidRDefault="00220366" w:rsidP="00220366">
      <w:pPr>
        <w:jc w:val="both"/>
        <w:rPr>
          <w:rFonts w:ascii="Arial" w:hAnsi="Arial" w:cs="Arial"/>
          <w:color w:val="000000" w:themeColor="text1"/>
          <w:lang w:val="es-ES"/>
        </w:rPr>
      </w:pPr>
      <w:r w:rsidRPr="008711D3">
        <w:rPr>
          <w:rFonts w:ascii="Arial" w:hAnsi="Arial" w:cs="Arial"/>
          <w:color w:val="000000" w:themeColor="text1"/>
          <w:lang w:val="es-ES"/>
        </w:rPr>
        <w:t>Coordinador Ponente</w:t>
      </w:r>
      <w:r w:rsidRPr="008711D3">
        <w:rPr>
          <w:rFonts w:ascii="Arial" w:hAnsi="Arial" w:cs="Arial"/>
          <w:color w:val="000000" w:themeColor="text1"/>
          <w:lang w:val="es-ES"/>
        </w:rPr>
        <w:tab/>
      </w:r>
      <w:r w:rsidRPr="008711D3">
        <w:rPr>
          <w:rFonts w:ascii="Arial" w:hAnsi="Arial" w:cs="Arial"/>
          <w:color w:val="000000" w:themeColor="text1"/>
          <w:lang w:val="es-ES"/>
        </w:rPr>
        <w:tab/>
        <w:t xml:space="preserve">          </w:t>
      </w:r>
      <w:r w:rsidRPr="008711D3">
        <w:rPr>
          <w:rFonts w:ascii="Arial" w:hAnsi="Arial" w:cs="Arial"/>
          <w:color w:val="000000" w:themeColor="text1"/>
          <w:lang w:val="es-ES"/>
        </w:rPr>
        <w:tab/>
      </w:r>
      <w:r>
        <w:rPr>
          <w:rFonts w:ascii="Arial" w:hAnsi="Arial" w:cs="Arial"/>
          <w:color w:val="000000" w:themeColor="text1"/>
          <w:lang w:val="es-ES"/>
        </w:rPr>
        <w:tab/>
        <w:t>Presidente</w:t>
      </w:r>
    </w:p>
    <w:p w14:paraId="2206DB4C" w14:textId="77777777" w:rsidR="00220366" w:rsidRPr="008711D3" w:rsidRDefault="00220366" w:rsidP="00220366">
      <w:pPr>
        <w:jc w:val="both"/>
        <w:rPr>
          <w:rFonts w:ascii="Arial" w:hAnsi="Arial" w:cs="Arial"/>
          <w:b/>
          <w:color w:val="000000" w:themeColor="text1"/>
          <w:lang w:val="es-ES"/>
        </w:rPr>
      </w:pPr>
    </w:p>
    <w:p w14:paraId="20E14C74" w14:textId="77777777" w:rsidR="00543020" w:rsidRPr="008711D3" w:rsidRDefault="00543020" w:rsidP="00220366">
      <w:pPr>
        <w:jc w:val="both"/>
        <w:rPr>
          <w:rFonts w:ascii="Arial" w:hAnsi="Arial" w:cs="Arial"/>
          <w:b/>
          <w:color w:val="000000" w:themeColor="text1"/>
          <w:lang w:val="es-ES"/>
        </w:rPr>
      </w:pPr>
    </w:p>
    <w:p w14:paraId="35D7C2CC" w14:textId="4AD72389" w:rsidR="00220366" w:rsidRPr="008711D3" w:rsidRDefault="00220366" w:rsidP="00220366">
      <w:pPr>
        <w:ind w:firstLine="708"/>
        <w:jc w:val="both"/>
        <w:rPr>
          <w:rFonts w:ascii="Arial" w:hAnsi="Arial" w:cs="Arial"/>
          <w:b/>
          <w:color w:val="000000" w:themeColor="text1"/>
          <w:lang w:val="es-ES"/>
        </w:rPr>
      </w:pPr>
      <w:r w:rsidRPr="008711D3">
        <w:rPr>
          <w:rFonts w:ascii="Arial" w:hAnsi="Arial" w:cs="Arial"/>
          <w:b/>
          <w:color w:val="000000" w:themeColor="text1"/>
          <w:lang w:val="es-ES"/>
        </w:rPr>
        <w:t xml:space="preserve"> </w:t>
      </w:r>
      <w:r w:rsidRPr="008711D3">
        <w:rPr>
          <w:rFonts w:ascii="Arial" w:hAnsi="Arial" w:cs="Arial"/>
          <w:b/>
          <w:color w:val="000000" w:themeColor="text1"/>
          <w:lang w:val="es-ES"/>
        </w:rPr>
        <w:tab/>
      </w:r>
      <w:r w:rsidRPr="008711D3">
        <w:rPr>
          <w:rFonts w:ascii="Arial" w:hAnsi="Arial" w:cs="Arial"/>
          <w:b/>
          <w:color w:val="000000" w:themeColor="text1"/>
          <w:lang w:val="es-ES"/>
        </w:rPr>
        <w:tab/>
        <w:t>AMPARO Y. CALDERÓN PERDOMO</w:t>
      </w:r>
    </w:p>
    <w:p w14:paraId="74C1204B" w14:textId="2DFB6686" w:rsidR="00D24F7A" w:rsidRPr="008711D3" w:rsidRDefault="00220366" w:rsidP="00220366">
      <w:pPr>
        <w:jc w:val="both"/>
        <w:rPr>
          <w:rFonts w:ascii="Arial" w:hAnsi="Arial" w:cs="Arial"/>
        </w:rPr>
      </w:pP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t>Secretaria</w:t>
      </w:r>
    </w:p>
    <w:sectPr w:rsidR="00D24F7A" w:rsidRPr="008711D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63026" w14:textId="77777777" w:rsidR="001E09FB" w:rsidRDefault="001E09FB" w:rsidP="00400E1B">
      <w:r>
        <w:separator/>
      </w:r>
    </w:p>
  </w:endnote>
  <w:endnote w:type="continuationSeparator" w:id="0">
    <w:p w14:paraId="0C3150DC" w14:textId="77777777" w:rsidR="001E09FB" w:rsidRDefault="001E09FB"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D4CD9" w:rsidRPr="00ED4CD9">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01C42" w14:textId="77777777" w:rsidR="001E09FB" w:rsidRDefault="001E09FB" w:rsidP="00400E1B">
      <w:r>
        <w:separator/>
      </w:r>
    </w:p>
  </w:footnote>
  <w:footnote w:type="continuationSeparator" w:id="0">
    <w:p w14:paraId="5903344F" w14:textId="77777777" w:rsidR="001E09FB" w:rsidRDefault="001E09FB"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0258">
      <w:rPr>
        <w:rFonts w:asciiTheme="minorHAnsi" w:eastAsiaTheme="minorHAnsi" w:hAnsiTheme="minorHAnsi" w:cstheme="minorBidi"/>
        <w:b/>
        <w:sz w:val="22"/>
        <w:szCs w:val="22"/>
        <w:lang w:eastAsia="en-US"/>
      </w:rPr>
      <w:fldChar w:fldCharType="separate"/>
    </w:r>
    <w:r w:rsidR="006A59E6">
      <w:rPr>
        <w:rFonts w:asciiTheme="minorHAnsi" w:eastAsiaTheme="minorHAnsi" w:hAnsiTheme="minorHAnsi" w:cstheme="minorBidi"/>
        <w:b/>
        <w:sz w:val="22"/>
        <w:szCs w:val="22"/>
        <w:lang w:eastAsia="en-US"/>
      </w:rPr>
      <w:fldChar w:fldCharType="begin"/>
    </w:r>
    <w:r w:rsidR="006A59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9E6">
      <w:rPr>
        <w:rFonts w:asciiTheme="minorHAnsi" w:eastAsiaTheme="minorHAnsi" w:hAnsiTheme="minorHAnsi" w:cstheme="minorBidi"/>
        <w:b/>
        <w:sz w:val="22"/>
        <w:szCs w:val="22"/>
        <w:lang w:eastAsia="en-US"/>
      </w:rPr>
      <w:fldChar w:fldCharType="separate"/>
    </w:r>
    <w:r w:rsidR="00EA7C86">
      <w:rPr>
        <w:rFonts w:asciiTheme="minorHAnsi" w:eastAsiaTheme="minorHAnsi" w:hAnsiTheme="minorHAnsi" w:cstheme="minorBidi"/>
        <w:b/>
        <w:sz w:val="22"/>
        <w:szCs w:val="22"/>
        <w:lang w:eastAsia="en-US"/>
      </w:rPr>
      <w:fldChar w:fldCharType="begin"/>
    </w:r>
    <w:r w:rsidR="00EA7C8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7C86">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fldChar w:fldCharType="begin"/>
    </w:r>
    <w:r w:rsidR="001E09FB">
      <w:rPr>
        <w:rFonts w:asciiTheme="minorHAnsi" w:eastAsiaTheme="minorHAnsi" w:hAnsiTheme="minorHAnsi" w:cstheme="minorBidi"/>
        <w:b/>
        <w:sz w:val="22"/>
        <w:szCs w:val="22"/>
        <w:lang w:eastAsia="en-US"/>
      </w:rPr>
      <w:instrText xml:space="preserve"> </w:instrText>
    </w:r>
    <w:r w:rsidR="001E09FB">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1E09FB">
      <w:rPr>
        <w:rFonts w:asciiTheme="minorHAnsi" w:eastAsiaTheme="minorHAnsi" w:hAnsiTheme="minorHAnsi" w:cstheme="minorBidi"/>
        <w:b/>
        <w:sz w:val="22"/>
        <w:szCs w:val="22"/>
        <w:lang w:eastAsia="en-US"/>
      </w:rPr>
      <w:instrText xml:space="preserve"> </w:instrText>
    </w:r>
    <w:r w:rsidR="001E09FB">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1E09FB">
      <w:rPr>
        <w:rFonts w:asciiTheme="minorHAnsi" w:eastAsiaTheme="minorHAnsi" w:hAnsiTheme="minorHAnsi" w:cstheme="minorBidi"/>
        <w:b/>
        <w:sz w:val="22"/>
        <w:szCs w:val="22"/>
        <w:lang w:eastAsia="en-US"/>
      </w:rPr>
      <w:fldChar w:fldCharType="end"/>
    </w:r>
    <w:r w:rsidR="00EA7C86">
      <w:rPr>
        <w:rFonts w:asciiTheme="minorHAnsi" w:eastAsiaTheme="minorHAnsi" w:hAnsiTheme="minorHAnsi" w:cstheme="minorBidi"/>
        <w:b/>
        <w:sz w:val="22"/>
        <w:szCs w:val="22"/>
        <w:lang w:eastAsia="en-US"/>
      </w:rPr>
      <w:fldChar w:fldCharType="end"/>
    </w:r>
    <w:r w:rsidR="006A59E6">
      <w:rPr>
        <w:rFonts w:asciiTheme="minorHAnsi" w:eastAsiaTheme="minorHAnsi" w:hAnsiTheme="minorHAnsi" w:cstheme="minorBidi"/>
        <w:b/>
        <w:sz w:val="22"/>
        <w:szCs w:val="22"/>
        <w:lang w:eastAsia="en-US"/>
      </w:rPr>
      <w:fldChar w:fldCharType="end"/>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11261"/>
    <w:rsid w:val="00144AB8"/>
    <w:rsid w:val="00146EBC"/>
    <w:rsid w:val="001511DD"/>
    <w:rsid w:val="001521A8"/>
    <w:rsid w:val="0015340B"/>
    <w:rsid w:val="00157531"/>
    <w:rsid w:val="00165977"/>
    <w:rsid w:val="00173AD7"/>
    <w:rsid w:val="00187988"/>
    <w:rsid w:val="001A6175"/>
    <w:rsid w:val="001A75DA"/>
    <w:rsid w:val="001C7352"/>
    <w:rsid w:val="001E03FB"/>
    <w:rsid w:val="001E09FB"/>
    <w:rsid w:val="001F110D"/>
    <w:rsid w:val="001F16D5"/>
    <w:rsid w:val="001F3862"/>
    <w:rsid w:val="001F68F1"/>
    <w:rsid w:val="002006D9"/>
    <w:rsid w:val="00202B64"/>
    <w:rsid w:val="0020330E"/>
    <w:rsid w:val="00203789"/>
    <w:rsid w:val="00220366"/>
    <w:rsid w:val="00232127"/>
    <w:rsid w:val="0023460F"/>
    <w:rsid w:val="002429AE"/>
    <w:rsid w:val="00244CBE"/>
    <w:rsid w:val="00245EF6"/>
    <w:rsid w:val="00260111"/>
    <w:rsid w:val="00260ADD"/>
    <w:rsid w:val="002728AC"/>
    <w:rsid w:val="00280C0A"/>
    <w:rsid w:val="00286E77"/>
    <w:rsid w:val="00290614"/>
    <w:rsid w:val="002B0F16"/>
    <w:rsid w:val="002C49E5"/>
    <w:rsid w:val="002C754C"/>
    <w:rsid w:val="002E7949"/>
    <w:rsid w:val="002F1E2C"/>
    <w:rsid w:val="002F578C"/>
    <w:rsid w:val="0030009B"/>
    <w:rsid w:val="00300E54"/>
    <w:rsid w:val="003015FF"/>
    <w:rsid w:val="00304565"/>
    <w:rsid w:val="00314072"/>
    <w:rsid w:val="00316708"/>
    <w:rsid w:val="00320504"/>
    <w:rsid w:val="00341041"/>
    <w:rsid w:val="00350573"/>
    <w:rsid w:val="00356691"/>
    <w:rsid w:val="00360667"/>
    <w:rsid w:val="00367C96"/>
    <w:rsid w:val="00392472"/>
    <w:rsid w:val="00394EBC"/>
    <w:rsid w:val="003B52EB"/>
    <w:rsid w:val="003C1552"/>
    <w:rsid w:val="003C45CE"/>
    <w:rsid w:val="003E4041"/>
    <w:rsid w:val="003F4D1C"/>
    <w:rsid w:val="003F73AF"/>
    <w:rsid w:val="00400E1B"/>
    <w:rsid w:val="00403776"/>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57AF"/>
    <w:rsid w:val="004C5F9B"/>
    <w:rsid w:val="004C7323"/>
    <w:rsid w:val="004D3EA4"/>
    <w:rsid w:val="004F7714"/>
    <w:rsid w:val="00523D7D"/>
    <w:rsid w:val="005258CA"/>
    <w:rsid w:val="00543020"/>
    <w:rsid w:val="00547EE8"/>
    <w:rsid w:val="00550258"/>
    <w:rsid w:val="00553D1D"/>
    <w:rsid w:val="00561360"/>
    <w:rsid w:val="0058017D"/>
    <w:rsid w:val="005852FD"/>
    <w:rsid w:val="00594D4C"/>
    <w:rsid w:val="005A01D3"/>
    <w:rsid w:val="005A197D"/>
    <w:rsid w:val="005A1FEB"/>
    <w:rsid w:val="005A2456"/>
    <w:rsid w:val="005A72CD"/>
    <w:rsid w:val="005B701D"/>
    <w:rsid w:val="005D444E"/>
    <w:rsid w:val="005D5CA4"/>
    <w:rsid w:val="005F01E5"/>
    <w:rsid w:val="00613D44"/>
    <w:rsid w:val="00621388"/>
    <w:rsid w:val="00631F20"/>
    <w:rsid w:val="006435A1"/>
    <w:rsid w:val="006671B2"/>
    <w:rsid w:val="00667246"/>
    <w:rsid w:val="006675D4"/>
    <w:rsid w:val="00674B7F"/>
    <w:rsid w:val="00683103"/>
    <w:rsid w:val="0069721B"/>
    <w:rsid w:val="0069782E"/>
    <w:rsid w:val="006A59E6"/>
    <w:rsid w:val="006A5CE6"/>
    <w:rsid w:val="006B0D71"/>
    <w:rsid w:val="006C402A"/>
    <w:rsid w:val="006C4A82"/>
    <w:rsid w:val="006C52C7"/>
    <w:rsid w:val="006E3DDA"/>
    <w:rsid w:val="006E6412"/>
    <w:rsid w:val="006F26BD"/>
    <w:rsid w:val="006F6AAB"/>
    <w:rsid w:val="00702112"/>
    <w:rsid w:val="00704A60"/>
    <w:rsid w:val="00707184"/>
    <w:rsid w:val="007148A4"/>
    <w:rsid w:val="00721011"/>
    <w:rsid w:val="00736795"/>
    <w:rsid w:val="00737AA3"/>
    <w:rsid w:val="0074737E"/>
    <w:rsid w:val="00747D8F"/>
    <w:rsid w:val="007527D2"/>
    <w:rsid w:val="00771F4E"/>
    <w:rsid w:val="007757FA"/>
    <w:rsid w:val="00775BB4"/>
    <w:rsid w:val="00782721"/>
    <w:rsid w:val="007C36F0"/>
    <w:rsid w:val="007D0898"/>
    <w:rsid w:val="007D5DEE"/>
    <w:rsid w:val="007D6ABE"/>
    <w:rsid w:val="007E632C"/>
    <w:rsid w:val="007F1206"/>
    <w:rsid w:val="007F49CC"/>
    <w:rsid w:val="00800527"/>
    <w:rsid w:val="00800625"/>
    <w:rsid w:val="008034BF"/>
    <w:rsid w:val="00813DE3"/>
    <w:rsid w:val="008164F2"/>
    <w:rsid w:val="00820418"/>
    <w:rsid w:val="0084028F"/>
    <w:rsid w:val="00847969"/>
    <w:rsid w:val="00847F37"/>
    <w:rsid w:val="008515B2"/>
    <w:rsid w:val="008625A3"/>
    <w:rsid w:val="00870441"/>
    <w:rsid w:val="008711D3"/>
    <w:rsid w:val="00875AD9"/>
    <w:rsid w:val="00885008"/>
    <w:rsid w:val="008A0533"/>
    <w:rsid w:val="008A4C20"/>
    <w:rsid w:val="008B139D"/>
    <w:rsid w:val="008C31A6"/>
    <w:rsid w:val="008C5282"/>
    <w:rsid w:val="008C5C44"/>
    <w:rsid w:val="008D12B9"/>
    <w:rsid w:val="008E3753"/>
    <w:rsid w:val="008E5B07"/>
    <w:rsid w:val="008F6E8C"/>
    <w:rsid w:val="00903E93"/>
    <w:rsid w:val="00910B45"/>
    <w:rsid w:val="0092120F"/>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05633"/>
    <w:rsid w:val="00A1797A"/>
    <w:rsid w:val="00A31154"/>
    <w:rsid w:val="00A364C4"/>
    <w:rsid w:val="00A444C9"/>
    <w:rsid w:val="00A52A53"/>
    <w:rsid w:val="00A755F7"/>
    <w:rsid w:val="00A76C9B"/>
    <w:rsid w:val="00A9096A"/>
    <w:rsid w:val="00AA470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64CE9"/>
    <w:rsid w:val="00B730EE"/>
    <w:rsid w:val="00B73531"/>
    <w:rsid w:val="00B755B3"/>
    <w:rsid w:val="00B7732F"/>
    <w:rsid w:val="00B904D5"/>
    <w:rsid w:val="00B91956"/>
    <w:rsid w:val="00BA003C"/>
    <w:rsid w:val="00BA140B"/>
    <w:rsid w:val="00BA1700"/>
    <w:rsid w:val="00BC38F6"/>
    <w:rsid w:val="00BC3FC3"/>
    <w:rsid w:val="00BC74FC"/>
    <w:rsid w:val="00BC7EF5"/>
    <w:rsid w:val="00BD3556"/>
    <w:rsid w:val="00BE05E3"/>
    <w:rsid w:val="00BE672B"/>
    <w:rsid w:val="00BE7D01"/>
    <w:rsid w:val="00C10F75"/>
    <w:rsid w:val="00C12B35"/>
    <w:rsid w:val="00C14F9F"/>
    <w:rsid w:val="00C159E1"/>
    <w:rsid w:val="00C15B7F"/>
    <w:rsid w:val="00C24A4A"/>
    <w:rsid w:val="00C64435"/>
    <w:rsid w:val="00C65535"/>
    <w:rsid w:val="00C709AD"/>
    <w:rsid w:val="00C7399A"/>
    <w:rsid w:val="00C74EDE"/>
    <w:rsid w:val="00C81C61"/>
    <w:rsid w:val="00C86BC5"/>
    <w:rsid w:val="00CA11B8"/>
    <w:rsid w:val="00CA4D7F"/>
    <w:rsid w:val="00CB0177"/>
    <w:rsid w:val="00CD416A"/>
    <w:rsid w:val="00CE2FDE"/>
    <w:rsid w:val="00CE744E"/>
    <w:rsid w:val="00CF1380"/>
    <w:rsid w:val="00CF2D1F"/>
    <w:rsid w:val="00CF62D5"/>
    <w:rsid w:val="00D06B20"/>
    <w:rsid w:val="00D138CE"/>
    <w:rsid w:val="00D24F7A"/>
    <w:rsid w:val="00D2576A"/>
    <w:rsid w:val="00D2780A"/>
    <w:rsid w:val="00D32D6B"/>
    <w:rsid w:val="00D435A5"/>
    <w:rsid w:val="00D44913"/>
    <w:rsid w:val="00D51505"/>
    <w:rsid w:val="00D56938"/>
    <w:rsid w:val="00D5698E"/>
    <w:rsid w:val="00D70A28"/>
    <w:rsid w:val="00D973A7"/>
    <w:rsid w:val="00DB2F96"/>
    <w:rsid w:val="00DB40B9"/>
    <w:rsid w:val="00DE64F7"/>
    <w:rsid w:val="00DE7131"/>
    <w:rsid w:val="00E12100"/>
    <w:rsid w:val="00E23C77"/>
    <w:rsid w:val="00E2551E"/>
    <w:rsid w:val="00E26DB5"/>
    <w:rsid w:val="00E406D0"/>
    <w:rsid w:val="00E42587"/>
    <w:rsid w:val="00E72DCD"/>
    <w:rsid w:val="00E82DB8"/>
    <w:rsid w:val="00E87F62"/>
    <w:rsid w:val="00E96AC7"/>
    <w:rsid w:val="00E96BED"/>
    <w:rsid w:val="00EA68BB"/>
    <w:rsid w:val="00EA7C86"/>
    <w:rsid w:val="00EB1A11"/>
    <w:rsid w:val="00EB37DB"/>
    <w:rsid w:val="00EC6950"/>
    <w:rsid w:val="00ED1AEC"/>
    <w:rsid w:val="00ED4CD9"/>
    <w:rsid w:val="00ED4D4F"/>
    <w:rsid w:val="00F00734"/>
    <w:rsid w:val="00F01714"/>
    <w:rsid w:val="00F029CD"/>
    <w:rsid w:val="00F051A0"/>
    <w:rsid w:val="00F0586B"/>
    <w:rsid w:val="00F17664"/>
    <w:rsid w:val="00F610E0"/>
    <w:rsid w:val="00F61786"/>
    <w:rsid w:val="00F6408D"/>
    <w:rsid w:val="00F65CBD"/>
    <w:rsid w:val="00F65EC5"/>
    <w:rsid w:val="00F71B30"/>
    <w:rsid w:val="00F87245"/>
    <w:rsid w:val="00F90BE2"/>
    <w:rsid w:val="00F9746C"/>
    <w:rsid w:val="00FA3A8E"/>
    <w:rsid w:val="00FA3C0A"/>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SinespaciadoCar">
    <w:name w:val="Sin espaciado Car"/>
    <w:link w:val="Sinespaciado"/>
    <w:uiPriority w:val="1"/>
    <w:locked/>
    <w:rsid w:val="008E3753"/>
  </w:style>
  <w:style w:type="character" w:customStyle="1" w:styleId="normaltextrun">
    <w:name w:val="normaltextrun"/>
    <w:basedOn w:val="Fuentedeprrafopredeter"/>
    <w:rsid w:val="008E3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53893-59BC-4C24-9D46-E0A127DF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701</Words>
  <Characters>3859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8</cp:revision>
  <cp:lastPrinted>2019-05-09T14:45:00Z</cp:lastPrinted>
  <dcterms:created xsi:type="dcterms:W3CDTF">2019-05-09T14:23:00Z</dcterms:created>
  <dcterms:modified xsi:type="dcterms:W3CDTF">2019-05-10T15:55:00Z</dcterms:modified>
</cp:coreProperties>
</file>