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2496D" w14:textId="4DB55676" w:rsidR="0064457D" w:rsidRPr="00CE043A" w:rsidRDefault="008B7F49" w:rsidP="008B7F49">
      <w:pPr>
        <w:jc w:val="center"/>
        <w:rPr>
          <w:rFonts w:ascii="Arial" w:hAnsi="Arial" w:cs="Arial"/>
          <w:b/>
          <w:color w:val="000000" w:themeColor="text1"/>
        </w:rPr>
      </w:pPr>
      <w:r w:rsidRPr="008E3753">
        <w:rPr>
          <w:rFonts w:ascii="Arial" w:hAnsi="Arial" w:cs="Arial"/>
          <w:b/>
          <w:lang w:val="es-ES_tradnl"/>
        </w:rPr>
        <w:t>TEXTO APROBADO EN LA COMISION PRIMERA DE LA HONORABLE CAMARA DE REPRESENTANTES EN PRIMER DEBATE</w:t>
      </w:r>
      <w:r>
        <w:rPr>
          <w:rFonts w:ascii="Arial" w:hAnsi="Arial" w:cs="Arial"/>
          <w:b/>
          <w:lang w:val="es-ES_tradnl"/>
        </w:rPr>
        <w:t xml:space="preserve"> </w:t>
      </w:r>
      <w:r w:rsidR="0064457D">
        <w:rPr>
          <w:rFonts w:ascii="Arial" w:hAnsi="Arial" w:cs="Arial"/>
          <w:b/>
          <w:color w:val="000000" w:themeColor="text1"/>
        </w:rPr>
        <w:t>DE LOS PROYECTOS 154 DE 2018 CÁMARA ACUMULADO CON EL PROY</w:t>
      </w:r>
      <w:r w:rsidR="00C14448">
        <w:rPr>
          <w:rFonts w:ascii="Arial" w:hAnsi="Arial" w:cs="Arial"/>
          <w:b/>
          <w:color w:val="000000" w:themeColor="text1"/>
        </w:rPr>
        <w:t>ECTO DE LEY 207 DE 2018 CÁMARA</w:t>
      </w:r>
    </w:p>
    <w:p w14:paraId="73D648F6" w14:textId="77777777" w:rsidR="0064457D" w:rsidRPr="0064457D" w:rsidRDefault="0064457D" w:rsidP="0064457D">
      <w:pPr>
        <w:pStyle w:val="Poromisin"/>
        <w:jc w:val="center"/>
        <w:rPr>
          <w:rFonts w:ascii="Arial" w:hAnsi="Arial" w:cs="Arial"/>
          <w:b/>
          <w:i/>
          <w:color w:val="000000" w:themeColor="text1"/>
          <w:sz w:val="24"/>
          <w:szCs w:val="24"/>
        </w:rPr>
      </w:pPr>
    </w:p>
    <w:p w14:paraId="7EB9FDC6" w14:textId="4A0BF4A0" w:rsidR="0064457D" w:rsidRPr="0064457D" w:rsidRDefault="0064457D" w:rsidP="0064457D">
      <w:pPr>
        <w:pStyle w:val="Poromisin"/>
        <w:jc w:val="center"/>
        <w:rPr>
          <w:rStyle w:val="Ninguno"/>
          <w:rFonts w:ascii="Arial" w:eastAsia="Avenir Book" w:hAnsi="Arial" w:cs="Arial"/>
          <w:b/>
          <w:i/>
          <w:color w:val="000000" w:themeColor="text1"/>
          <w:sz w:val="24"/>
          <w:szCs w:val="24"/>
        </w:rPr>
      </w:pPr>
      <w:r w:rsidRPr="0064457D">
        <w:rPr>
          <w:rFonts w:ascii="Arial" w:hAnsi="Arial" w:cs="Arial"/>
          <w:b/>
          <w:i/>
          <w:color w:val="000000" w:themeColor="text1"/>
          <w:sz w:val="24"/>
          <w:szCs w:val="24"/>
        </w:rPr>
        <w:t>“POR MEDIO DE LA CUAL SE GARANTIZAN LOS DERECHOS FUNDAMENTALES A LA VIDA, LA INTEGRIDAD FÍSICA, LA SALUD Y LA RECREACIÓN DE TODOS LOS HABITANTES EN ESPECIAL LOS NIÑOS Y NIÑAS EN EL TERRITORIO NACIONAL MEDIANTE LA REGLAMENTACIÓN Y REGULACIÓN DEL USO, LA FABRICACIÓN, LA MANIPULACIÓN, EL TRANSPORTE, EL ALMACENAMIENTO, LA COMERCIALIZACIÓN, LA COMPRA, LA VENTA Y EL EXPENDIO DE PÓLVORA Y PRODUCTOS PIROTÉCNICOS EN EL TERRITORIO NACIONAL Y SE DICTAN OTRAS DISPOSICIONES”</w:t>
      </w:r>
    </w:p>
    <w:p w14:paraId="4049913C" w14:textId="77777777" w:rsidR="0064457D" w:rsidRPr="0064457D" w:rsidRDefault="0064457D" w:rsidP="0064457D">
      <w:pPr>
        <w:jc w:val="center"/>
        <w:rPr>
          <w:rFonts w:ascii="Arial" w:hAnsi="Arial" w:cs="Arial"/>
          <w:b/>
          <w:i/>
          <w:color w:val="000000" w:themeColor="text1"/>
        </w:rPr>
      </w:pPr>
    </w:p>
    <w:p w14:paraId="05878B80" w14:textId="77777777" w:rsidR="008B7F49" w:rsidRDefault="008B7F49" w:rsidP="0064457D">
      <w:pPr>
        <w:pStyle w:val="Poromisin"/>
        <w:jc w:val="center"/>
        <w:rPr>
          <w:rStyle w:val="Ninguno"/>
          <w:rFonts w:ascii="Arial" w:hAnsi="Arial" w:cs="Arial"/>
          <w:b/>
          <w:i/>
          <w:color w:val="000000" w:themeColor="text1"/>
          <w:sz w:val="24"/>
          <w:szCs w:val="24"/>
        </w:rPr>
      </w:pPr>
    </w:p>
    <w:p w14:paraId="615591D2" w14:textId="71AD2D6D" w:rsidR="0064457D" w:rsidRPr="0064457D" w:rsidRDefault="0064457D" w:rsidP="0064457D">
      <w:pPr>
        <w:pStyle w:val="Poromisin"/>
        <w:jc w:val="center"/>
        <w:rPr>
          <w:rStyle w:val="Ninguno"/>
          <w:rFonts w:ascii="Arial" w:eastAsia="Avenir Book" w:hAnsi="Arial" w:cs="Arial"/>
          <w:b/>
          <w:i/>
          <w:color w:val="000000" w:themeColor="text1"/>
          <w:sz w:val="24"/>
          <w:szCs w:val="24"/>
        </w:rPr>
      </w:pPr>
      <w:r w:rsidRPr="0064457D">
        <w:rPr>
          <w:rStyle w:val="Ninguno"/>
          <w:rFonts w:ascii="Arial" w:hAnsi="Arial" w:cs="Arial"/>
          <w:b/>
          <w:i/>
          <w:color w:val="000000" w:themeColor="text1"/>
          <w:sz w:val="24"/>
          <w:szCs w:val="24"/>
        </w:rPr>
        <w:t>EL CONGRESO DE COLOMBIA</w:t>
      </w:r>
    </w:p>
    <w:p w14:paraId="2AC81C20" w14:textId="77777777" w:rsidR="0064457D" w:rsidRDefault="0064457D" w:rsidP="0064457D">
      <w:pPr>
        <w:jc w:val="center"/>
        <w:rPr>
          <w:rStyle w:val="Ninguno"/>
          <w:rFonts w:ascii="Arial" w:hAnsi="Arial" w:cs="Arial"/>
          <w:b/>
          <w:i/>
          <w:color w:val="000000" w:themeColor="text1"/>
        </w:rPr>
      </w:pPr>
    </w:p>
    <w:p w14:paraId="3AE56A6D" w14:textId="77777777" w:rsidR="00310F93" w:rsidRPr="0064457D" w:rsidRDefault="00310F93" w:rsidP="0064457D">
      <w:pPr>
        <w:jc w:val="center"/>
        <w:rPr>
          <w:rStyle w:val="Ninguno"/>
          <w:rFonts w:ascii="Arial" w:hAnsi="Arial" w:cs="Arial"/>
          <w:b/>
          <w:i/>
          <w:color w:val="000000" w:themeColor="text1"/>
        </w:rPr>
      </w:pPr>
    </w:p>
    <w:p w14:paraId="59EBD49C" w14:textId="7ADCC016" w:rsidR="0064457D" w:rsidRPr="0064457D" w:rsidRDefault="0064457D" w:rsidP="0064457D">
      <w:pPr>
        <w:jc w:val="center"/>
        <w:rPr>
          <w:rStyle w:val="Ninguno"/>
          <w:rFonts w:ascii="Arial" w:hAnsi="Arial" w:cs="Arial"/>
          <w:b/>
          <w:i/>
          <w:color w:val="000000" w:themeColor="text1"/>
        </w:rPr>
      </w:pPr>
      <w:r w:rsidRPr="0064457D">
        <w:rPr>
          <w:rStyle w:val="Ninguno"/>
          <w:rFonts w:ascii="Arial" w:hAnsi="Arial" w:cs="Arial"/>
          <w:b/>
          <w:i/>
          <w:color w:val="000000" w:themeColor="text1"/>
        </w:rPr>
        <w:t>DECRETA</w:t>
      </w:r>
    </w:p>
    <w:p w14:paraId="47484E78" w14:textId="77777777" w:rsidR="0064457D" w:rsidRDefault="0064457D" w:rsidP="0064457D">
      <w:pPr>
        <w:jc w:val="both"/>
        <w:rPr>
          <w:rStyle w:val="Ninguno"/>
          <w:rFonts w:ascii="Arial" w:hAnsi="Arial" w:cs="Arial"/>
          <w:b/>
          <w:i/>
          <w:color w:val="000000" w:themeColor="text1"/>
        </w:rPr>
      </w:pPr>
    </w:p>
    <w:p w14:paraId="3BFF64CC" w14:textId="77777777" w:rsidR="008B7F49" w:rsidRPr="0064457D" w:rsidRDefault="008B7F49" w:rsidP="0064457D">
      <w:pPr>
        <w:jc w:val="both"/>
        <w:rPr>
          <w:rStyle w:val="Ninguno"/>
          <w:rFonts w:ascii="Arial" w:hAnsi="Arial" w:cs="Arial"/>
          <w:b/>
          <w:i/>
          <w:color w:val="000000" w:themeColor="text1"/>
        </w:rPr>
      </w:pPr>
    </w:p>
    <w:p w14:paraId="3BF73DB7" w14:textId="1E3CC9D9" w:rsidR="0064457D" w:rsidRDefault="0064457D" w:rsidP="0064457D">
      <w:pPr>
        <w:pStyle w:val="Poromisin"/>
        <w:jc w:val="both"/>
        <w:rPr>
          <w:rFonts w:ascii="Arial" w:hAnsi="Arial" w:cs="Arial"/>
          <w:color w:val="000000" w:themeColor="text1"/>
          <w:sz w:val="24"/>
          <w:szCs w:val="24"/>
        </w:rPr>
      </w:pPr>
      <w:r w:rsidRPr="0072566B">
        <w:rPr>
          <w:rStyle w:val="Ninguno"/>
          <w:rFonts w:ascii="Arial" w:hAnsi="Arial" w:cs="Arial"/>
          <w:b/>
          <w:color w:val="000000" w:themeColor="text1"/>
          <w:sz w:val="24"/>
          <w:szCs w:val="24"/>
        </w:rPr>
        <w:t>A</w:t>
      </w:r>
      <w:r w:rsidR="0072566B" w:rsidRPr="0072566B">
        <w:rPr>
          <w:rStyle w:val="Ninguno"/>
          <w:rFonts w:ascii="Arial" w:hAnsi="Arial" w:cs="Arial"/>
          <w:b/>
          <w:color w:val="000000" w:themeColor="text1"/>
          <w:sz w:val="24"/>
          <w:szCs w:val="24"/>
        </w:rPr>
        <w:t>rtículo</w:t>
      </w:r>
      <w:r w:rsidRPr="00236D9C">
        <w:rPr>
          <w:rStyle w:val="Ninguno"/>
          <w:rFonts w:ascii="Arial" w:hAnsi="Arial" w:cs="Arial"/>
          <w:b/>
          <w:color w:val="000000" w:themeColor="text1"/>
          <w:sz w:val="24"/>
          <w:szCs w:val="24"/>
        </w:rPr>
        <w:t xml:space="preserve"> 1º.</w:t>
      </w:r>
      <w:r w:rsidRPr="00236D9C">
        <w:rPr>
          <w:rStyle w:val="Ninguno"/>
          <w:rFonts w:ascii="Arial" w:hAnsi="Arial" w:cs="Arial"/>
          <w:color w:val="000000" w:themeColor="text1"/>
          <w:sz w:val="24"/>
          <w:szCs w:val="24"/>
        </w:rPr>
        <w:t> </w:t>
      </w:r>
      <w:r w:rsidRPr="00236D9C">
        <w:rPr>
          <w:rFonts w:ascii="Arial" w:hAnsi="Arial" w:cs="Arial"/>
          <w:b/>
          <w:i/>
          <w:color w:val="000000" w:themeColor="text1"/>
          <w:sz w:val="24"/>
          <w:szCs w:val="24"/>
        </w:rPr>
        <w:t xml:space="preserve">Objeto de la ley. </w:t>
      </w:r>
      <w:r w:rsidRPr="00236D9C">
        <w:rPr>
          <w:rFonts w:ascii="Arial" w:hAnsi="Arial" w:cs="Arial"/>
          <w:color w:val="000000" w:themeColor="text1"/>
          <w:sz w:val="24"/>
          <w:szCs w:val="24"/>
        </w:rPr>
        <w:t>La presente ley tiene por objeto garantizar los derechos fundamentales a la vida, la integridad, física, la salud y la recreación de todos los habitantes en especial los niños y niñas en el territorio nacional mediante la reg</w:t>
      </w:r>
      <w:r>
        <w:rPr>
          <w:rFonts w:ascii="Arial" w:hAnsi="Arial" w:cs="Arial"/>
          <w:color w:val="000000" w:themeColor="text1"/>
          <w:sz w:val="24"/>
          <w:szCs w:val="24"/>
        </w:rPr>
        <w:t>ulación d</w:t>
      </w:r>
      <w:r w:rsidRPr="00236D9C">
        <w:rPr>
          <w:rFonts w:ascii="Arial" w:hAnsi="Arial" w:cs="Arial"/>
          <w:color w:val="000000" w:themeColor="text1"/>
          <w:sz w:val="24"/>
          <w:szCs w:val="24"/>
        </w:rPr>
        <w:t>el uso, la fabricación, la manipulación, el transporte, el almacenamiento, la comercialización, la compra, la venta y el expendio de pólvora y productos pirotécnicos en el territorio nacional y se dictan otras disposiciones.</w:t>
      </w:r>
    </w:p>
    <w:p w14:paraId="17077372" w14:textId="77777777" w:rsidR="0064457D" w:rsidRPr="00236D9C" w:rsidRDefault="0064457D" w:rsidP="0064457D">
      <w:pPr>
        <w:pStyle w:val="Poromisin"/>
        <w:jc w:val="both"/>
        <w:rPr>
          <w:rFonts w:ascii="Arial" w:hAnsi="Arial" w:cs="Arial"/>
          <w:color w:val="000000" w:themeColor="text1"/>
          <w:sz w:val="24"/>
          <w:szCs w:val="24"/>
        </w:rPr>
      </w:pPr>
    </w:p>
    <w:p w14:paraId="13E4875A" w14:textId="77777777" w:rsidR="0064457D" w:rsidRPr="00236D9C" w:rsidRDefault="0064457D" w:rsidP="0064457D">
      <w:pPr>
        <w:pStyle w:val="Poromisin"/>
        <w:jc w:val="both"/>
        <w:rPr>
          <w:rFonts w:ascii="Arial" w:hAnsi="Arial" w:cs="Arial"/>
          <w:color w:val="000000" w:themeColor="text1"/>
          <w:sz w:val="24"/>
          <w:szCs w:val="24"/>
        </w:rPr>
      </w:pPr>
      <w:r w:rsidRPr="00236D9C">
        <w:rPr>
          <w:rFonts w:ascii="Arial" w:hAnsi="Arial" w:cs="Arial"/>
          <w:b/>
          <w:color w:val="000000" w:themeColor="text1"/>
          <w:sz w:val="24"/>
          <w:szCs w:val="24"/>
        </w:rPr>
        <w:t>Parágrafo 1.</w:t>
      </w:r>
      <w:r w:rsidRPr="00236D9C">
        <w:rPr>
          <w:rFonts w:ascii="Arial" w:hAnsi="Arial" w:cs="Arial"/>
          <w:color w:val="000000" w:themeColor="text1"/>
          <w:sz w:val="24"/>
          <w:szCs w:val="24"/>
        </w:rPr>
        <w:t xml:space="preserve"> </w:t>
      </w:r>
      <w:r>
        <w:rPr>
          <w:rFonts w:ascii="Arial" w:hAnsi="Arial" w:cs="Arial"/>
          <w:color w:val="000000" w:themeColor="text1"/>
          <w:sz w:val="24"/>
          <w:szCs w:val="24"/>
        </w:rPr>
        <w:t>En un término no mayor a seis (6) meses, el g</w:t>
      </w:r>
      <w:r w:rsidRPr="00236D9C">
        <w:rPr>
          <w:rFonts w:ascii="Arial" w:hAnsi="Arial" w:cs="Arial"/>
          <w:color w:val="000000" w:themeColor="text1"/>
          <w:sz w:val="24"/>
          <w:szCs w:val="24"/>
        </w:rPr>
        <w:t xml:space="preserve">obierno nacional en cabeza del Ministerio de Defensa y el Ministerio del Interior realizará </w:t>
      </w:r>
      <w:r>
        <w:rPr>
          <w:rFonts w:ascii="Arial" w:hAnsi="Arial" w:cs="Arial"/>
          <w:color w:val="000000" w:themeColor="text1"/>
          <w:sz w:val="24"/>
          <w:szCs w:val="24"/>
        </w:rPr>
        <w:t xml:space="preserve">reglamentará el </w:t>
      </w:r>
      <w:r w:rsidRPr="00236D9C">
        <w:rPr>
          <w:rFonts w:ascii="Arial" w:hAnsi="Arial" w:cs="Arial"/>
          <w:color w:val="000000" w:themeColor="text1"/>
          <w:sz w:val="24"/>
          <w:szCs w:val="24"/>
        </w:rPr>
        <w:t>uso, la fabricación, la manipulación, el transporte, el almacenamiento, la comercialización, la compra, la venta y el exp</w:t>
      </w:r>
      <w:r>
        <w:rPr>
          <w:rFonts w:ascii="Arial" w:hAnsi="Arial" w:cs="Arial"/>
          <w:color w:val="000000" w:themeColor="text1"/>
          <w:sz w:val="24"/>
          <w:szCs w:val="24"/>
        </w:rPr>
        <w:t xml:space="preserve">endio en el territorio nacional de </w:t>
      </w:r>
      <w:r w:rsidRPr="00236D9C">
        <w:rPr>
          <w:rFonts w:ascii="Arial" w:hAnsi="Arial" w:cs="Arial"/>
          <w:color w:val="000000" w:themeColor="text1"/>
          <w:sz w:val="24"/>
          <w:szCs w:val="24"/>
        </w:rPr>
        <w:t>pólvora y productos pirotécnicos</w:t>
      </w:r>
      <w:r>
        <w:rPr>
          <w:rFonts w:ascii="Arial" w:hAnsi="Arial" w:cs="Arial"/>
          <w:color w:val="000000" w:themeColor="text1"/>
          <w:sz w:val="24"/>
          <w:szCs w:val="24"/>
        </w:rPr>
        <w:t>.</w:t>
      </w:r>
    </w:p>
    <w:p w14:paraId="41293E3E" w14:textId="77777777" w:rsidR="0064457D" w:rsidRPr="00236D9C" w:rsidRDefault="0064457D" w:rsidP="0064457D">
      <w:pPr>
        <w:pStyle w:val="Poromisin"/>
        <w:jc w:val="both"/>
        <w:rPr>
          <w:rFonts w:ascii="Arial" w:hAnsi="Arial" w:cs="Arial"/>
          <w:color w:val="000000" w:themeColor="text1"/>
          <w:sz w:val="24"/>
          <w:szCs w:val="24"/>
        </w:rPr>
      </w:pPr>
    </w:p>
    <w:p w14:paraId="765E4E02" w14:textId="77777777" w:rsidR="00BC4535" w:rsidRDefault="00BC4535" w:rsidP="0064457D">
      <w:pPr>
        <w:pStyle w:val="Poromisin"/>
        <w:jc w:val="both"/>
        <w:rPr>
          <w:rStyle w:val="Ninguno"/>
          <w:rFonts w:ascii="Arial" w:hAnsi="Arial" w:cs="Arial"/>
          <w:b/>
          <w:color w:val="000000" w:themeColor="text1"/>
          <w:sz w:val="24"/>
          <w:szCs w:val="24"/>
        </w:rPr>
      </w:pPr>
    </w:p>
    <w:p w14:paraId="6645B35A" w14:textId="77777777" w:rsidR="0064457D" w:rsidRPr="00236D9C" w:rsidRDefault="0064457D" w:rsidP="0064457D">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b/>
          <w:color w:val="000000" w:themeColor="text1"/>
          <w:sz w:val="24"/>
          <w:szCs w:val="24"/>
        </w:rPr>
        <w:t>Artículo 2º</w:t>
      </w:r>
      <w:r w:rsidRPr="00236D9C">
        <w:rPr>
          <w:rStyle w:val="Ninguno"/>
          <w:rFonts w:ascii="Arial" w:hAnsi="Arial" w:cs="Arial"/>
          <w:color w:val="000000" w:themeColor="text1"/>
          <w:sz w:val="24"/>
          <w:szCs w:val="24"/>
        </w:rPr>
        <w:t>. </w:t>
      </w:r>
      <w:r w:rsidRPr="00236D9C">
        <w:rPr>
          <w:rStyle w:val="Ninguno"/>
          <w:rFonts w:ascii="Arial" w:hAnsi="Arial" w:cs="Arial"/>
          <w:b/>
          <w:i/>
          <w:iCs/>
          <w:color w:val="000000" w:themeColor="text1"/>
          <w:sz w:val="24"/>
          <w:szCs w:val="24"/>
        </w:rPr>
        <w:t>Definiciones</w:t>
      </w:r>
      <w:r w:rsidRPr="00236D9C">
        <w:rPr>
          <w:rStyle w:val="Ninguno"/>
          <w:rFonts w:ascii="Arial" w:hAnsi="Arial" w:cs="Arial"/>
          <w:b/>
          <w:color w:val="000000" w:themeColor="text1"/>
          <w:sz w:val="24"/>
          <w:szCs w:val="24"/>
        </w:rPr>
        <w:t>.</w:t>
      </w:r>
      <w:r w:rsidRPr="00236D9C">
        <w:rPr>
          <w:rStyle w:val="Ninguno"/>
          <w:rFonts w:ascii="Arial" w:hAnsi="Arial" w:cs="Arial"/>
          <w:color w:val="000000" w:themeColor="text1"/>
          <w:sz w:val="24"/>
          <w:szCs w:val="24"/>
        </w:rPr>
        <w:t xml:space="preserve"> Para la aplicación e interpretación de esta ley, se tendrán en cuenta las siguientes definiciones:</w:t>
      </w:r>
    </w:p>
    <w:p w14:paraId="1AFE73F1" w14:textId="77777777" w:rsidR="0064457D" w:rsidRPr="00236D9C" w:rsidRDefault="0064457D" w:rsidP="0064457D">
      <w:pPr>
        <w:pStyle w:val="Poromisin"/>
        <w:jc w:val="both"/>
        <w:rPr>
          <w:rStyle w:val="Ninguno"/>
          <w:rFonts w:ascii="Arial" w:hAnsi="Arial" w:cs="Arial"/>
          <w:i/>
          <w:color w:val="000000" w:themeColor="text1"/>
          <w:sz w:val="24"/>
          <w:szCs w:val="24"/>
        </w:rPr>
      </w:pPr>
    </w:p>
    <w:p w14:paraId="2EB29BC6" w14:textId="77777777" w:rsidR="0064457D" w:rsidRPr="00236D9C" w:rsidRDefault="0064457D" w:rsidP="0064457D">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Artículos pirotécnicos</w:t>
      </w:r>
      <w:r w:rsidRPr="00236D9C">
        <w:rPr>
          <w:rStyle w:val="Ninguno"/>
          <w:rFonts w:ascii="Arial" w:hAnsi="Arial" w:cs="Arial"/>
          <w:b/>
          <w:color w:val="000000" w:themeColor="text1"/>
          <w:sz w:val="24"/>
          <w:szCs w:val="24"/>
        </w:rPr>
        <w:t>:</w:t>
      </w:r>
      <w:r w:rsidRPr="00236D9C">
        <w:rPr>
          <w:rStyle w:val="Ninguno"/>
          <w:rFonts w:ascii="Arial" w:hAnsi="Arial" w:cs="Arial"/>
          <w:color w:val="000000" w:themeColor="text1"/>
          <w:sz w:val="24"/>
          <w:szCs w:val="24"/>
        </w:rPr>
        <w:t xml:space="preserve"> Toda clase de artefactos que contengan una o varias materias o mezclas de elementos destinados a producir efecto calorífico, luminoso, </w:t>
      </w:r>
      <w:r w:rsidRPr="00236D9C">
        <w:rPr>
          <w:rStyle w:val="Ninguno"/>
          <w:rFonts w:ascii="Arial" w:hAnsi="Arial" w:cs="Arial"/>
          <w:color w:val="000000" w:themeColor="text1"/>
          <w:sz w:val="24"/>
          <w:szCs w:val="24"/>
        </w:rPr>
        <w:lastRenderedPageBreak/>
        <w:t>sonoro, gaseoso o fumígeno, o una combinación de estos efectos, como consecuencia de reacciones químicas exotérmicas auto sostenidas, potenciales causantes de quemaduras e incendios en los que pueden arder otros materiales. Para efectos de esta ley, se entenderán como sinónimos de artículos pirotécnicos, (la pólvora), los juegos pirotécnicos y los fuegos artificiales.</w:t>
      </w:r>
    </w:p>
    <w:p w14:paraId="150ECFC0" w14:textId="77777777" w:rsidR="0064457D" w:rsidRPr="00236D9C" w:rsidRDefault="0064457D" w:rsidP="0064457D">
      <w:pPr>
        <w:pStyle w:val="Poromisin"/>
        <w:jc w:val="both"/>
        <w:rPr>
          <w:rStyle w:val="Ninguno"/>
          <w:rFonts w:ascii="Arial" w:hAnsi="Arial" w:cs="Arial"/>
          <w:i/>
          <w:color w:val="000000" w:themeColor="text1"/>
          <w:sz w:val="24"/>
          <w:szCs w:val="24"/>
        </w:rPr>
      </w:pPr>
    </w:p>
    <w:p w14:paraId="7444C3E6" w14:textId="77777777" w:rsidR="0064457D" w:rsidRPr="00236D9C" w:rsidRDefault="0064457D" w:rsidP="0064457D">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Categoría uno.</w:t>
      </w:r>
      <w:r w:rsidRPr="00236D9C">
        <w:rPr>
          <w:rStyle w:val="Ninguno"/>
          <w:rFonts w:ascii="Arial" w:hAnsi="Arial" w:cs="Arial"/>
          <w:color w:val="000000" w:themeColor="text1"/>
          <w:sz w:val="24"/>
          <w:szCs w:val="24"/>
        </w:rPr>
        <w:t xml:space="preserve"> Pertenecen a esta categoría aquellos artículos pirotécnicos o fuegos artificiales que, desde criterios técnicos aceptados a nivel internacional, presentan </w:t>
      </w:r>
      <w:r>
        <w:rPr>
          <w:rStyle w:val="Ninguno"/>
          <w:rFonts w:ascii="Arial" w:hAnsi="Arial" w:cs="Arial"/>
          <w:color w:val="000000" w:themeColor="text1"/>
          <w:sz w:val="24"/>
          <w:szCs w:val="24"/>
        </w:rPr>
        <w:t xml:space="preserve">    </w:t>
      </w:r>
      <w:r w:rsidRPr="00236D9C">
        <w:rPr>
          <w:rStyle w:val="Ninguno"/>
          <w:rFonts w:ascii="Arial" w:hAnsi="Arial" w:cs="Arial"/>
          <w:color w:val="000000" w:themeColor="text1"/>
          <w:sz w:val="24"/>
          <w:szCs w:val="24"/>
        </w:rPr>
        <w:t>un riesgo reducido,</w:t>
      </w:r>
      <w:r>
        <w:rPr>
          <w:rStyle w:val="Ninguno"/>
          <w:rFonts w:ascii="Arial" w:hAnsi="Arial" w:cs="Arial"/>
          <w:color w:val="000000" w:themeColor="text1"/>
          <w:sz w:val="24"/>
          <w:szCs w:val="24"/>
        </w:rPr>
        <w:t xml:space="preserve"> por lo cual pueden ser usados, </w:t>
      </w:r>
      <w:r w:rsidRPr="00236D9C">
        <w:rPr>
          <w:rStyle w:val="Ninguno"/>
          <w:rFonts w:ascii="Arial" w:hAnsi="Arial" w:cs="Arial"/>
          <w:color w:val="000000" w:themeColor="text1"/>
          <w:sz w:val="24"/>
          <w:szCs w:val="24"/>
        </w:rPr>
        <w:t>bajo instrucciones y criterios de uso definidos, en áreas confinadas, tales como el interior de edificios y viviendas. Su composición no puede contener pólvora, ni cloratos, ni percloratos. Estos artículos pueden ser distribuidos o comercializados en almacenes por departamentos, mercados, supermercados e hipermercados de acuerdo a los criterios</w:t>
      </w:r>
      <w:r>
        <w:rPr>
          <w:rStyle w:val="Ninguno"/>
          <w:rFonts w:ascii="Arial" w:hAnsi="Arial" w:cs="Arial"/>
          <w:color w:val="000000" w:themeColor="text1"/>
          <w:sz w:val="24"/>
          <w:szCs w:val="24"/>
        </w:rPr>
        <w:t xml:space="preserve"> técnicos aceptados y comunes.</w:t>
      </w:r>
    </w:p>
    <w:p w14:paraId="0D1C55E1" w14:textId="77777777" w:rsidR="0064457D" w:rsidRPr="00236D9C" w:rsidRDefault="0064457D" w:rsidP="0064457D">
      <w:pPr>
        <w:pStyle w:val="Poromisin"/>
        <w:jc w:val="both"/>
        <w:rPr>
          <w:rStyle w:val="Ninguno"/>
          <w:rFonts w:ascii="Arial" w:hAnsi="Arial" w:cs="Arial"/>
          <w:color w:val="000000" w:themeColor="text1"/>
          <w:sz w:val="24"/>
          <w:szCs w:val="24"/>
        </w:rPr>
      </w:pPr>
    </w:p>
    <w:p w14:paraId="13174E04" w14:textId="77777777" w:rsidR="0064457D" w:rsidRPr="00236D9C" w:rsidRDefault="0064457D" w:rsidP="0064457D">
      <w:pPr>
        <w:pStyle w:val="Poromisin"/>
        <w:jc w:val="both"/>
        <w:rPr>
          <w:rStyle w:val="Ninguno"/>
          <w:rFonts w:ascii="Arial" w:eastAsia="Avenir Book" w:hAnsi="Arial" w:cs="Arial"/>
          <w:color w:val="000000" w:themeColor="text1"/>
          <w:sz w:val="24"/>
          <w:szCs w:val="24"/>
        </w:rPr>
      </w:pPr>
      <w:r w:rsidRPr="00236D9C">
        <w:rPr>
          <w:rStyle w:val="Ninguno"/>
          <w:rFonts w:ascii="Arial" w:eastAsia="Avenir Book" w:hAnsi="Arial" w:cs="Arial"/>
          <w:color w:val="000000" w:themeColor="text1"/>
          <w:sz w:val="24"/>
          <w:szCs w:val="24"/>
        </w:rPr>
        <w:t xml:space="preserve">Categoría dos. Pertenecen a esta categoría los artículos pirotécnicos o fuegos artificiales </w:t>
      </w:r>
      <w:r w:rsidRPr="00236D9C">
        <w:rPr>
          <w:rStyle w:val="Ninguno"/>
          <w:rFonts w:ascii="Arial" w:hAnsi="Arial" w:cs="Arial"/>
          <w:color w:val="000000" w:themeColor="text1"/>
          <w:sz w:val="24"/>
          <w:szCs w:val="24"/>
        </w:rPr>
        <w:t>que, desde criterios técnicos aceptados a nivel internacional, presentan un riesgo moderado, por lo cual pueden ser usados, bajo instrucciones y criterios de uso definidos, en áreas relativamente confinadas, tales como jardines, antejardines, balcones y espacios abiertos al aire libre</w:t>
      </w:r>
      <w:r w:rsidRPr="00236D9C">
        <w:rPr>
          <w:rStyle w:val="Ninguno"/>
          <w:rFonts w:ascii="Arial" w:eastAsia="Avenir Book" w:hAnsi="Arial" w:cs="Arial"/>
          <w:color w:val="000000" w:themeColor="text1"/>
          <w:sz w:val="24"/>
          <w:szCs w:val="24"/>
        </w:rPr>
        <w:t xml:space="preserve">. </w:t>
      </w:r>
      <w:r w:rsidRPr="00236D9C">
        <w:rPr>
          <w:rStyle w:val="Ninguno"/>
          <w:rFonts w:ascii="Arial" w:hAnsi="Arial" w:cs="Arial"/>
          <w:color w:val="000000" w:themeColor="text1"/>
          <w:sz w:val="24"/>
          <w:szCs w:val="24"/>
        </w:rPr>
        <w:t xml:space="preserve">Su composición debe presentar cargas píricas de acuerdo a criterios de seguridad nacionales/internacionales de la industria. </w:t>
      </w:r>
      <w:r w:rsidRPr="00236D9C">
        <w:rPr>
          <w:rStyle w:val="Ninguno"/>
          <w:rFonts w:ascii="Arial" w:eastAsia="Avenir Book" w:hAnsi="Arial" w:cs="Arial"/>
          <w:color w:val="000000" w:themeColor="text1"/>
          <w:sz w:val="24"/>
          <w:szCs w:val="24"/>
        </w:rPr>
        <w:t>Estos artículos pueden ser distribuidos o comercializados en tiendas especializadas, autorizadas por el Ministerio de Defensa y/o en espacios adecuados para tal fin de acuerdo a los criterios de seguridad acordados, en almacenes por departamentos, mercados</w:t>
      </w:r>
      <w:r>
        <w:rPr>
          <w:rStyle w:val="Ninguno"/>
          <w:rFonts w:ascii="Arial" w:eastAsia="Avenir Book" w:hAnsi="Arial" w:cs="Arial"/>
          <w:color w:val="000000" w:themeColor="text1"/>
          <w:sz w:val="24"/>
          <w:szCs w:val="24"/>
        </w:rPr>
        <w:t>, supermercados o hipermercados</w:t>
      </w:r>
      <w:r w:rsidRPr="00236D9C">
        <w:rPr>
          <w:rStyle w:val="Ninguno"/>
          <w:rFonts w:ascii="Arial" w:eastAsia="Avenir Book" w:hAnsi="Arial" w:cs="Arial"/>
          <w:color w:val="000000" w:themeColor="text1"/>
          <w:sz w:val="24"/>
          <w:szCs w:val="24"/>
        </w:rPr>
        <w:t>.</w:t>
      </w:r>
    </w:p>
    <w:p w14:paraId="0018A88D" w14:textId="77777777" w:rsidR="0064457D" w:rsidRPr="00236D9C" w:rsidRDefault="0064457D" w:rsidP="0064457D">
      <w:pPr>
        <w:pStyle w:val="Poromisin"/>
        <w:jc w:val="both"/>
        <w:rPr>
          <w:rStyle w:val="Ninguno"/>
          <w:rFonts w:ascii="Arial" w:eastAsia="Avenir Book" w:hAnsi="Arial" w:cs="Arial"/>
          <w:color w:val="000000" w:themeColor="text1"/>
          <w:sz w:val="24"/>
          <w:szCs w:val="24"/>
        </w:rPr>
      </w:pPr>
    </w:p>
    <w:p w14:paraId="4D06EC6F" w14:textId="77777777" w:rsidR="0064457D" w:rsidRPr="00236D9C" w:rsidRDefault="0064457D" w:rsidP="0064457D">
      <w:pPr>
        <w:pStyle w:val="Poromisin"/>
        <w:jc w:val="both"/>
        <w:rPr>
          <w:rStyle w:val="Ninguno"/>
          <w:rFonts w:ascii="Arial" w:eastAsia="Avenir Book" w:hAnsi="Arial" w:cs="Arial"/>
          <w:color w:val="000000" w:themeColor="text1"/>
          <w:sz w:val="24"/>
          <w:szCs w:val="24"/>
        </w:rPr>
      </w:pPr>
      <w:r w:rsidRPr="00236D9C">
        <w:rPr>
          <w:rStyle w:val="Ninguno"/>
          <w:rFonts w:ascii="Arial" w:eastAsia="Avenir Book" w:hAnsi="Arial" w:cs="Arial"/>
          <w:color w:val="000000" w:themeColor="text1"/>
          <w:sz w:val="24"/>
          <w:szCs w:val="24"/>
        </w:rPr>
        <w:t xml:space="preserve">Categoría tres. Pertenecen a esta categoría los artículos pirotécnicos o fuegos artificiales que, </w:t>
      </w:r>
      <w:r w:rsidRPr="00236D9C">
        <w:rPr>
          <w:rStyle w:val="Ninguno"/>
          <w:rFonts w:ascii="Arial" w:hAnsi="Arial" w:cs="Arial"/>
          <w:color w:val="000000" w:themeColor="text1"/>
          <w:sz w:val="24"/>
          <w:szCs w:val="24"/>
        </w:rPr>
        <w:t xml:space="preserve">desde criterios técnicos aceptados a nivel internacional, presentan un riesgo alto </w:t>
      </w:r>
      <w:r w:rsidRPr="00236D9C">
        <w:rPr>
          <w:rStyle w:val="Ninguno"/>
          <w:rFonts w:ascii="Arial" w:eastAsia="Avenir Book" w:hAnsi="Arial" w:cs="Arial"/>
          <w:color w:val="000000" w:themeColor="text1"/>
          <w:sz w:val="24"/>
          <w:szCs w:val="24"/>
        </w:rPr>
        <w:t xml:space="preserve">y cuyo uso está destinado exclusivamente para espectáculos públicos en grandes espacios abiertos. Para ser importados, adquiridos y utilizados, se requiere ser un experto pirotécnico, acreditado por autoridades civiles y/o públicas competentes, o un técnico especialista asociado a una empresa cuya actividad esté inscrita en Cámara y Comercio y autorizada por el </w:t>
      </w:r>
      <w:r>
        <w:rPr>
          <w:rStyle w:val="Ninguno"/>
          <w:rFonts w:ascii="Arial" w:eastAsia="Avenir Book" w:hAnsi="Arial" w:cs="Arial"/>
          <w:color w:val="000000" w:themeColor="text1"/>
          <w:sz w:val="24"/>
          <w:szCs w:val="24"/>
        </w:rPr>
        <w:t>Ministerio de Defensa Nacional.</w:t>
      </w:r>
    </w:p>
    <w:p w14:paraId="1DA9358B" w14:textId="77777777" w:rsidR="0064457D" w:rsidRPr="00236D9C" w:rsidRDefault="0064457D" w:rsidP="0064457D">
      <w:pPr>
        <w:pStyle w:val="Poromisin"/>
        <w:jc w:val="both"/>
        <w:rPr>
          <w:rStyle w:val="Ninguno"/>
          <w:rFonts w:ascii="Arial" w:eastAsia="Avenir Book" w:hAnsi="Arial" w:cs="Arial"/>
          <w:color w:val="000000" w:themeColor="text1"/>
          <w:sz w:val="24"/>
          <w:szCs w:val="24"/>
        </w:rPr>
      </w:pPr>
    </w:p>
    <w:p w14:paraId="7F77E717" w14:textId="77777777" w:rsidR="0064457D" w:rsidRPr="00236D9C" w:rsidRDefault="0064457D" w:rsidP="0064457D">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t>Mechas de uso deportivo:</w:t>
      </w:r>
      <w:r w:rsidRPr="00236D9C">
        <w:rPr>
          <w:rStyle w:val="Ninguno"/>
          <w:rFonts w:ascii="Arial" w:hAnsi="Arial" w:cs="Arial"/>
          <w:color w:val="000000" w:themeColor="text1"/>
          <w:sz w:val="24"/>
          <w:szCs w:val="24"/>
        </w:rPr>
        <w:t> Porción de pólvora recubierta con un papel rojo fosforescente o blanco, en forma de triángulo equilátero, de seis centímetros (0,06 m) por lado, y que tiene una mínima explosión con el fin de evitar estruendos que ocasionen malestar.</w:t>
      </w:r>
    </w:p>
    <w:p w14:paraId="35E95624" w14:textId="77777777" w:rsidR="0064457D" w:rsidRPr="00236D9C" w:rsidRDefault="0064457D" w:rsidP="0064457D">
      <w:pPr>
        <w:pStyle w:val="Poromisin"/>
        <w:jc w:val="both"/>
        <w:rPr>
          <w:rStyle w:val="Ninguno"/>
          <w:rFonts w:ascii="Arial" w:hAnsi="Arial" w:cs="Arial"/>
          <w:i/>
          <w:color w:val="000000" w:themeColor="text1"/>
          <w:sz w:val="24"/>
          <w:szCs w:val="24"/>
        </w:rPr>
      </w:pPr>
    </w:p>
    <w:p w14:paraId="539A756C" w14:textId="77777777" w:rsidR="0064457D" w:rsidRPr="00236D9C" w:rsidRDefault="0064457D" w:rsidP="0064457D">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lastRenderedPageBreak/>
        <w:t>Pirotecnia:</w:t>
      </w:r>
      <w:r w:rsidRPr="00236D9C">
        <w:rPr>
          <w:rStyle w:val="Ninguno"/>
          <w:rFonts w:ascii="Arial" w:hAnsi="Arial" w:cs="Arial"/>
          <w:color w:val="000000" w:themeColor="text1"/>
          <w:sz w:val="24"/>
          <w:szCs w:val="24"/>
        </w:rPr>
        <w:t> Técnica de la fabricación, manipulación y utilización de a</w:t>
      </w:r>
      <w:r>
        <w:rPr>
          <w:rStyle w:val="Ninguno"/>
          <w:rFonts w:ascii="Arial" w:hAnsi="Arial" w:cs="Arial"/>
          <w:color w:val="000000" w:themeColor="text1"/>
          <w:sz w:val="24"/>
          <w:szCs w:val="24"/>
        </w:rPr>
        <w:t xml:space="preserve">rtículos pirotécnicos </w:t>
      </w:r>
      <w:r w:rsidRPr="00236D9C">
        <w:rPr>
          <w:rStyle w:val="Ninguno"/>
          <w:rFonts w:ascii="Arial" w:hAnsi="Arial" w:cs="Arial"/>
          <w:color w:val="000000" w:themeColor="text1"/>
          <w:sz w:val="24"/>
          <w:szCs w:val="24"/>
        </w:rPr>
        <w:t>para celeb</w:t>
      </w:r>
      <w:r>
        <w:rPr>
          <w:rStyle w:val="Ninguno"/>
          <w:rFonts w:ascii="Arial" w:hAnsi="Arial" w:cs="Arial"/>
          <w:color w:val="000000" w:themeColor="text1"/>
          <w:sz w:val="24"/>
          <w:szCs w:val="24"/>
        </w:rPr>
        <w:t>ración particular o profesional</w:t>
      </w:r>
      <w:r w:rsidRPr="00236D9C">
        <w:rPr>
          <w:rStyle w:val="Ninguno"/>
          <w:rFonts w:ascii="Arial" w:hAnsi="Arial" w:cs="Arial"/>
          <w:color w:val="000000" w:themeColor="text1"/>
          <w:sz w:val="24"/>
          <w:szCs w:val="24"/>
        </w:rPr>
        <w:t>.</w:t>
      </w:r>
    </w:p>
    <w:p w14:paraId="6797A1F9" w14:textId="77777777" w:rsidR="0064457D" w:rsidRPr="00236D9C" w:rsidRDefault="0064457D" w:rsidP="0064457D">
      <w:pPr>
        <w:pStyle w:val="Poromisin"/>
        <w:jc w:val="both"/>
        <w:rPr>
          <w:rStyle w:val="Ninguno"/>
          <w:rFonts w:ascii="Arial" w:hAnsi="Arial" w:cs="Arial"/>
          <w:i/>
          <w:color w:val="000000" w:themeColor="text1"/>
          <w:sz w:val="24"/>
          <w:szCs w:val="24"/>
        </w:rPr>
      </w:pPr>
    </w:p>
    <w:p w14:paraId="3F2DC352" w14:textId="77777777" w:rsidR="0064457D" w:rsidRPr="00236D9C" w:rsidRDefault="0064457D" w:rsidP="0064457D">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t>Pirotécnico:</w:t>
      </w:r>
      <w:r>
        <w:rPr>
          <w:rStyle w:val="Ninguno"/>
          <w:rFonts w:ascii="Arial" w:hAnsi="Arial" w:cs="Arial"/>
          <w:color w:val="000000" w:themeColor="text1"/>
          <w:sz w:val="24"/>
          <w:szCs w:val="24"/>
        </w:rPr>
        <w:t xml:space="preserve"> Persona que arma </w:t>
      </w:r>
      <w:r w:rsidRPr="00236D9C">
        <w:rPr>
          <w:rStyle w:val="Ninguno"/>
          <w:rFonts w:ascii="Arial" w:hAnsi="Arial" w:cs="Arial"/>
          <w:color w:val="000000" w:themeColor="text1"/>
          <w:sz w:val="24"/>
          <w:szCs w:val="24"/>
        </w:rPr>
        <w:t>en lugares autorizados por la ley</w:t>
      </w:r>
      <w:r>
        <w:rPr>
          <w:rStyle w:val="Ninguno"/>
          <w:rFonts w:ascii="Arial" w:hAnsi="Arial" w:cs="Arial"/>
          <w:color w:val="000000" w:themeColor="text1"/>
          <w:sz w:val="24"/>
          <w:szCs w:val="24"/>
        </w:rPr>
        <w:t xml:space="preserve"> y enciende fuegos artificiales.</w:t>
      </w:r>
    </w:p>
    <w:p w14:paraId="59AAEFE9" w14:textId="77777777" w:rsidR="0064457D" w:rsidRPr="00236D9C" w:rsidRDefault="0064457D" w:rsidP="0064457D">
      <w:pPr>
        <w:pStyle w:val="Poromisin"/>
        <w:jc w:val="both"/>
        <w:rPr>
          <w:rStyle w:val="Ninguno"/>
          <w:rFonts w:ascii="Arial" w:hAnsi="Arial" w:cs="Arial"/>
          <w:i/>
          <w:color w:val="000000" w:themeColor="text1"/>
          <w:sz w:val="24"/>
          <w:szCs w:val="24"/>
        </w:rPr>
      </w:pPr>
    </w:p>
    <w:p w14:paraId="0DC2B6A8" w14:textId="77777777" w:rsidR="0064457D" w:rsidRDefault="0064457D" w:rsidP="0064457D">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Pólvora Blanca:</w:t>
      </w:r>
      <w:r w:rsidRPr="00236D9C">
        <w:rPr>
          <w:rStyle w:val="Ninguno"/>
          <w:rFonts w:ascii="Arial" w:hAnsi="Arial" w:cs="Arial"/>
          <w:color w:val="000000" w:themeColor="text1"/>
          <w:sz w:val="24"/>
          <w:szCs w:val="24"/>
        </w:rPr>
        <w:t> Sustancia tóxica fabricada con base en clorato de potasio y nitrato de amonio, más azúcar pulverizada y azufre, también conocida como fósforo blanco y que está prohibida por la ley.</w:t>
      </w:r>
    </w:p>
    <w:p w14:paraId="01E60BEC" w14:textId="77777777" w:rsidR="0064457D" w:rsidRPr="00236D9C" w:rsidRDefault="0064457D" w:rsidP="0064457D">
      <w:pPr>
        <w:pStyle w:val="Poromisin"/>
        <w:jc w:val="both"/>
        <w:rPr>
          <w:rStyle w:val="Ninguno"/>
          <w:rFonts w:ascii="Arial" w:eastAsia="Avenir Book" w:hAnsi="Arial" w:cs="Arial"/>
          <w:color w:val="000000" w:themeColor="text1"/>
          <w:sz w:val="24"/>
          <w:szCs w:val="24"/>
        </w:rPr>
      </w:pPr>
    </w:p>
    <w:p w14:paraId="71641BBF" w14:textId="77777777" w:rsidR="0064457D" w:rsidRPr="00236D9C" w:rsidRDefault="0064457D" w:rsidP="0064457D">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t>Pólvora Negra:</w:t>
      </w:r>
      <w:r w:rsidRPr="00236D9C">
        <w:rPr>
          <w:rStyle w:val="Ninguno"/>
          <w:rFonts w:ascii="Arial" w:hAnsi="Arial" w:cs="Arial"/>
          <w:color w:val="000000" w:themeColor="text1"/>
          <w:sz w:val="24"/>
          <w:szCs w:val="24"/>
        </w:rPr>
        <w:t> Bajo explosivo constituido por una mezcla elaborada con clorato de potasio y nitrato de amonio, más carbón y azufre.</w:t>
      </w:r>
    </w:p>
    <w:p w14:paraId="28896560" w14:textId="77777777" w:rsidR="0064457D" w:rsidRPr="00236D9C" w:rsidRDefault="0064457D" w:rsidP="0064457D">
      <w:pPr>
        <w:pStyle w:val="Poromisin"/>
        <w:jc w:val="both"/>
        <w:rPr>
          <w:rStyle w:val="Ninguno"/>
          <w:rFonts w:ascii="Arial" w:hAnsi="Arial" w:cs="Arial"/>
          <w:i/>
          <w:color w:val="000000" w:themeColor="text1"/>
          <w:sz w:val="24"/>
          <w:szCs w:val="24"/>
        </w:rPr>
      </w:pPr>
    </w:p>
    <w:p w14:paraId="3A02EF83" w14:textId="77777777" w:rsidR="0064457D" w:rsidRPr="00236D9C" w:rsidRDefault="0064457D" w:rsidP="0064457D">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Polvorín:</w:t>
      </w:r>
      <w:r w:rsidRPr="00236D9C">
        <w:rPr>
          <w:rStyle w:val="Ninguno"/>
          <w:rFonts w:ascii="Arial" w:hAnsi="Arial" w:cs="Arial"/>
          <w:color w:val="000000" w:themeColor="text1"/>
          <w:sz w:val="24"/>
          <w:szCs w:val="24"/>
        </w:rPr>
        <w:t> Construcción o edificio que cumple con las normas técnicas y de seguridad y es utilizado para el almacenamiento permanente: e o transitorio de explosivos.</w:t>
      </w:r>
    </w:p>
    <w:p w14:paraId="1DAB540D" w14:textId="77777777" w:rsidR="0064457D" w:rsidRPr="00236D9C" w:rsidRDefault="0064457D" w:rsidP="0064457D">
      <w:pPr>
        <w:pStyle w:val="Poromisin"/>
        <w:jc w:val="both"/>
        <w:rPr>
          <w:rStyle w:val="Ninguno"/>
          <w:rFonts w:ascii="Arial" w:hAnsi="Arial" w:cs="Arial"/>
          <w:color w:val="000000" w:themeColor="text1"/>
          <w:sz w:val="24"/>
          <w:szCs w:val="24"/>
        </w:rPr>
      </w:pPr>
    </w:p>
    <w:p w14:paraId="50C439EF" w14:textId="77777777" w:rsidR="0064457D" w:rsidRPr="00236D9C" w:rsidRDefault="0064457D" w:rsidP="0064457D">
      <w:pPr>
        <w:pStyle w:val="Poromisin"/>
        <w:jc w:val="both"/>
        <w:rPr>
          <w:rStyle w:val="Ninguno"/>
          <w:rFonts w:ascii="Arial" w:hAnsi="Arial" w:cs="Arial"/>
          <w:color w:val="000000" w:themeColor="text1"/>
          <w:sz w:val="24"/>
          <w:szCs w:val="24"/>
        </w:rPr>
      </w:pPr>
      <w:r w:rsidRPr="00236D9C">
        <w:rPr>
          <w:rStyle w:val="Ninguno"/>
          <w:rFonts w:ascii="Arial" w:hAnsi="Arial" w:cs="Arial"/>
          <w:color w:val="000000" w:themeColor="text1"/>
          <w:sz w:val="24"/>
          <w:szCs w:val="24"/>
        </w:rPr>
        <w:t xml:space="preserve">Espectáculo Pirotécnico: evento de entrenamiento contratado para realizar un despliegue público con productos pirotécnicos de categoría III, diseñado y organizado por expertos profesionales acreditados. </w:t>
      </w:r>
    </w:p>
    <w:p w14:paraId="12EF5D0B" w14:textId="77777777" w:rsidR="0064457D" w:rsidRDefault="0064457D" w:rsidP="0064457D">
      <w:pPr>
        <w:pStyle w:val="Poromisin"/>
        <w:jc w:val="both"/>
        <w:rPr>
          <w:rStyle w:val="Ninguno"/>
          <w:rFonts w:ascii="Arial" w:hAnsi="Arial" w:cs="Arial"/>
          <w:color w:val="000000" w:themeColor="text1"/>
          <w:sz w:val="24"/>
          <w:szCs w:val="24"/>
        </w:rPr>
      </w:pPr>
      <w:r w:rsidRPr="00236D9C">
        <w:rPr>
          <w:rStyle w:val="Ninguno"/>
          <w:rFonts w:ascii="Arial" w:hAnsi="Arial" w:cs="Arial"/>
          <w:color w:val="000000" w:themeColor="text1"/>
          <w:sz w:val="24"/>
          <w:szCs w:val="24"/>
        </w:rPr>
        <w:t xml:space="preserve">Lesiones: afectaciones físicas a la salud humana por productos pirotécnicos que incluyen laceraciones, quemaduras en diferentes grados y amputaciones de extremidades. </w:t>
      </w:r>
    </w:p>
    <w:p w14:paraId="03D132F6" w14:textId="77777777" w:rsidR="0064457D" w:rsidRPr="00236D9C" w:rsidRDefault="0064457D" w:rsidP="0064457D">
      <w:pPr>
        <w:pStyle w:val="Poromisin"/>
        <w:jc w:val="both"/>
        <w:rPr>
          <w:rStyle w:val="Ninguno"/>
          <w:rFonts w:ascii="Arial" w:hAnsi="Arial" w:cs="Arial"/>
          <w:color w:val="000000" w:themeColor="text1"/>
          <w:sz w:val="24"/>
          <w:szCs w:val="24"/>
        </w:rPr>
      </w:pPr>
    </w:p>
    <w:p w14:paraId="0B9CB12E" w14:textId="77777777" w:rsidR="0064457D" w:rsidRPr="00236D9C" w:rsidRDefault="0064457D" w:rsidP="0064457D">
      <w:pPr>
        <w:pStyle w:val="Poromisin"/>
        <w:jc w:val="both"/>
        <w:rPr>
          <w:rFonts w:ascii="Arial" w:hAnsi="Arial" w:cs="Arial"/>
          <w:color w:val="000000" w:themeColor="text1"/>
          <w:sz w:val="24"/>
          <w:szCs w:val="24"/>
        </w:rPr>
      </w:pPr>
      <w:r w:rsidRPr="00236D9C">
        <w:rPr>
          <w:rStyle w:val="Ninguno"/>
          <w:rFonts w:ascii="Arial" w:hAnsi="Arial" w:cs="Arial"/>
          <w:color w:val="000000" w:themeColor="text1"/>
          <w:sz w:val="24"/>
          <w:szCs w:val="24"/>
        </w:rPr>
        <w:t>Formalidad: Proceso de diseño, fabricación y comercialización, de un producto pirotécnico, de tal forma que presente el mínimo riesgo para la seguridad de la vida y la salud humana, y evite daños a la propiedad y al medio ambiente en condiciones normales y previsibles, en particular en lo que se refiere a las reglas de seguridad y a las prácticas correctas, incluido el período previo a su utilización.</w:t>
      </w:r>
    </w:p>
    <w:p w14:paraId="1545F2D4" w14:textId="77777777" w:rsidR="0064457D" w:rsidRPr="00236D9C" w:rsidRDefault="0064457D" w:rsidP="0064457D">
      <w:pPr>
        <w:jc w:val="both"/>
        <w:rPr>
          <w:rFonts w:ascii="Arial" w:hAnsi="Arial" w:cs="Arial"/>
          <w:color w:val="000000" w:themeColor="text1"/>
        </w:rPr>
      </w:pPr>
    </w:p>
    <w:p w14:paraId="1AE3A2C8" w14:textId="77777777" w:rsidR="00BC4535" w:rsidRDefault="00BC4535" w:rsidP="0064457D">
      <w:pPr>
        <w:pStyle w:val="Poromisin"/>
        <w:spacing w:after="60"/>
        <w:jc w:val="both"/>
        <w:rPr>
          <w:rFonts w:ascii="Arial" w:hAnsi="Arial" w:cs="Arial"/>
          <w:b/>
          <w:i/>
          <w:color w:val="000000" w:themeColor="text1"/>
          <w:sz w:val="24"/>
          <w:szCs w:val="24"/>
        </w:rPr>
      </w:pPr>
    </w:p>
    <w:p w14:paraId="37815C93" w14:textId="77777777" w:rsidR="0064457D" w:rsidRDefault="0064457D" w:rsidP="0064457D">
      <w:pPr>
        <w:pStyle w:val="Poromisin"/>
        <w:spacing w:after="60"/>
        <w:jc w:val="both"/>
        <w:rPr>
          <w:rStyle w:val="Ninguno"/>
          <w:rFonts w:ascii="Arial" w:hAnsi="Arial" w:cs="Arial"/>
          <w:sz w:val="24"/>
          <w:szCs w:val="24"/>
        </w:rPr>
      </w:pPr>
      <w:r w:rsidRPr="00236D9C">
        <w:rPr>
          <w:rFonts w:ascii="Arial" w:hAnsi="Arial" w:cs="Arial"/>
          <w:b/>
          <w:i/>
          <w:color w:val="000000" w:themeColor="text1"/>
          <w:sz w:val="24"/>
          <w:szCs w:val="24"/>
        </w:rPr>
        <w:t>Artículo 3. Requisitos.</w:t>
      </w:r>
      <w:r w:rsidRPr="00236D9C">
        <w:rPr>
          <w:rFonts w:ascii="Arial" w:hAnsi="Arial" w:cs="Arial"/>
          <w:color w:val="000000" w:themeColor="text1"/>
          <w:sz w:val="24"/>
          <w:szCs w:val="24"/>
        </w:rPr>
        <w:t xml:space="preserve"> </w:t>
      </w:r>
      <w:r w:rsidRPr="00236D9C">
        <w:rPr>
          <w:rStyle w:val="Ninguno"/>
          <w:rFonts w:ascii="Arial" w:hAnsi="Arial" w:cs="Arial"/>
          <w:i/>
          <w:iCs/>
          <w:sz w:val="24"/>
          <w:szCs w:val="24"/>
        </w:rPr>
        <w:t>Requisitos para espectáculos pirotécnicos</w:t>
      </w:r>
      <w:r w:rsidRPr="00236D9C">
        <w:rPr>
          <w:rStyle w:val="Ninguno"/>
          <w:rFonts w:ascii="Arial" w:hAnsi="Arial" w:cs="Arial"/>
          <w:sz w:val="24"/>
          <w:szCs w:val="24"/>
        </w:rPr>
        <w:t>. Sólo se permiten las demostraciones pirotécnicas, con fines recreativos, siempre que cumplan con los siguientes requisitos y condiciones:</w:t>
      </w:r>
    </w:p>
    <w:p w14:paraId="74A1870B" w14:textId="77777777" w:rsidR="00BE211C" w:rsidRPr="00236D9C" w:rsidRDefault="00BE211C" w:rsidP="0064457D">
      <w:pPr>
        <w:pStyle w:val="Poromisin"/>
        <w:spacing w:after="60"/>
        <w:jc w:val="both"/>
        <w:rPr>
          <w:rStyle w:val="Ninguno"/>
          <w:rFonts w:ascii="Arial" w:eastAsia="Avenir Book" w:hAnsi="Arial" w:cs="Arial"/>
          <w:sz w:val="24"/>
          <w:szCs w:val="24"/>
        </w:rPr>
      </w:pPr>
    </w:p>
    <w:p w14:paraId="78C937A9" w14:textId="77777777" w:rsidR="0064457D" w:rsidRPr="00236D9C" w:rsidRDefault="0064457D" w:rsidP="0064457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a)</w:t>
      </w:r>
      <w:r w:rsidRPr="00236D9C">
        <w:rPr>
          <w:rStyle w:val="Ninguno"/>
          <w:rFonts w:ascii="Arial" w:hAnsi="Arial" w:cs="Arial"/>
          <w:sz w:val="24"/>
          <w:szCs w:val="24"/>
        </w:rPr>
        <w:t xml:space="preserve"> Que se cumplan las condiciones consignadas en la Norma Técnica Colombiana 5236;</w:t>
      </w:r>
    </w:p>
    <w:p w14:paraId="5A693A71" w14:textId="77777777" w:rsidR="0064457D" w:rsidRPr="00236D9C" w:rsidRDefault="0064457D" w:rsidP="0064457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b)</w:t>
      </w:r>
      <w:r w:rsidRPr="00236D9C">
        <w:rPr>
          <w:rStyle w:val="Ninguno"/>
          <w:rFonts w:ascii="Arial" w:hAnsi="Arial" w:cs="Arial"/>
          <w:sz w:val="24"/>
          <w:szCs w:val="24"/>
        </w:rPr>
        <w:t xml:space="preserve"> Permiso expedido por la Alcaldía Distrital o Municipal a través de la entidad que se delegue para ello, previa aprobación del Plan de Contingencia;</w:t>
      </w:r>
    </w:p>
    <w:p w14:paraId="11F3D832" w14:textId="77777777" w:rsidR="0064457D" w:rsidRPr="00236D9C" w:rsidRDefault="0064457D" w:rsidP="0064457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c)</w:t>
      </w:r>
      <w:r w:rsidRPr="00236D9C">
        <w:rPr>
          <w:rStyle w:val="Ninguno"/>
          <w:rFonts w:ascii="Arial" w:hAnsi="Arial" w:cs="Arial"/>
          <w:sz w:val="24"/>
          <w:szCs w:val="24"/>
        </w:rPr>
        <w:t xml:space="preserve"> La demostración o espectáculo deberá realizarse en el lugar señalado para ello en la autorización;</w:t>
      </w:r>
    </w:p>
    <w:p w14:paraId="52B9B328" w14:textId="77777777" w:rsidR="0064457D" w:rsidRPr="00236D9C" w:rsidRDefault="0064457D" w:rsidP="0064457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lastRenderedPageBreak/>
        <w:t>d)</w:t>
      </w:r>
      <w:r w:rsidRPr="00236D9C">
        <w:rPr>
          <w:rStyle w:val="Ninguno"/>
          <w:rFonts w:ascii="Arial" w:hAnsi="Arial" w:cs="Arial"/>
          <w:sz w:val="24"/>
          <w:szCs w:val="24"/>
        </w:rPr>
        <w:t xml:space="preserve"> Forma en que se transportarán y almacenarán los diferentes artículos o elementos necesarios para realizar la exhibición pirotécnica, las formas de transporte deben tener en cuenta las condiciones determinadas en el transporte de mercancías peligrosas, dispuestas en la Norma Técnica Colombiana 1692 “Transporte de mercancías peligrosas, definiciones, clasificación, marcado, etiquetado y rotulado”;</w:t>
      </w:r>
    </w:p>
    <w:p w14:paraId="391AD9D4" w14:textId="77777777" w:rsidR="0064457D" w:rsidRPr="00236D9C" w:rsidRDefault="0064457D" w:rsidP="0064457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e)</w:t>
      </w:r>
      <w:r w:rsidRPr="00236D9C">
        <w:rPr>
          <w:rStyle w:val="Ninguno"/>
          <w:rFonts w:ascii="Arial" w:hAnsi="Arial" w:cs="Arial"/>
          <w:sz w:val="24"/>
          <w:szCs w:val="24"/>
        </w:rPr>
        <w:t xml:space="preserve"> Manipulación de los artefactos pirotécnicos por parte de personal técnico o con experiencia autorizado en virtud del artículo 7º de la presente ley;</w:t>
      </w:r>
    </w:p>
    <w:p w14:paraId="56235AC1" w14:textId="77777777" w:rsidR="0064457D" w:rsidRPr="00236D9C" w:rsidRDefault="0064457D" w:rsidP="0064457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f)</w:t>
      </w:r>
      <w:r w:rsidRPr="00236D9C">
        <w:rPr>
          <w:rStyle w:val="Ninguno"/>
          <w:rFonts w:ascii="Arial" w:hAnsi="Arial" w:cs="Arial"/>
          <w:sz w:val="24"/>
          <w:szCs w:val="24"/>
        </w:rPr>
        <w:t xml:space="preserve"> Disponibilidad como mínimo de tres (3) extintores de agua a presión de 2.5 galones cada uno y en perfectas condiciones de uso;</w:t>
      </w:r>
    </w:p>
    <w:p w14:paraId="255D758E" w14:textId="77777777" w:rsidR="0064457D" w:rsidRPr="00236D9C" w:rsidRDefault="0064457D" w:rsidP="0064457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g)</w:t>
      </w:r>
      <w:r w:rsidRPr="00236D9C">
        <w:rPr>
          <w:rStyle w:val="Ninguno"/>
          <w:rFonts w:ascii="Arial" w:hAnsi="Arial" w:cs="Arial"/>
          <w:sz w:val="24"/>
          <w:szCs w:val="24"/>
        </w:rPr>
        <w:t xml:space="preserve"> Cuando la demostración se efectúe sobre un medio de transporte acuático o terrestre, la embarcación o vehículo que contenga los productos pirotécnicos guardará una distancia mínima de quince (15) metros, en relación con otros medios de transporte y no podrá llevar más personas que las necesarias para la manipulación de los artefactos;</w:t>
      </w:r>
    </w:p>
    <w:p w14:paraId="0D73A174" w14:textId="77777777" w:rsidR="0064457D" w:rsidRDefault="0064457D" w:rsidP="0064457D">
      <w:pPr>
        <w:pStyle w:val="Poromisin"/>
        <w:spacing w:after="60"/>
        <w:ind w:firstLine="377"/>
        <w:jc w:val="both"/>
        <w:rPr>
          <w:rStyle w:val="Ninguno"/>
          <w:rFonts w:ascii="Arial" w:hAnsi="Arial" w:cs="Arial"/>
          <w:sz w:val="24"/>
          <w:szCs w:val="24"/>
        </w:rPr>
      </w:pPr>
      <w:r w:rsidRPr="00236D9C">
        <w:rPr>
          <w:rStyle w:val="Ninguno"/>
          <w:rFonts w:ascii="Arial" w:hAnsi="Arial" w:cs="Arial"/>
          <w:b/>
          <w:sz w:val="24"/>
          <w:szCs w:val="24"/>
        </w:rPr>
        <w:t>h)</w:t>
      </w:r>
      <w:r w:rsidRPr="00236D9C">
        <w:rPr>
          <w:rStyle w:val="Ninguno"/>
          <w:rFonts w:ascii="Arial" w:hAnsi="Arial" w:cs="Arial"/>
          <w:sz w:val="24"/>
          <w:szCs w:val="24"/>
        </w:rPr>
        <w:t xml:space="preserve"> El responsable del espectáculo o demostración deberá recoger todos los desechos de estos productos y dejar el lugar utilizado y sus alrededores libres de cualquier riesgo.</w:t>
      </w:r>
    </w:p>
    <w:p w14:paraId="2805A2F4" w14:textId="77777777" w:rsidR="0064457D" w:rsidRDefault="0064457D" w:rsidP="0064457D">
      <w:pPr>
        <w:pStyle w:val="Poromisin"/>
        <w:spacing w:after="60"/>
        <w:jc w:val="both"/>
        <w:rPr>
          <w:rStyle w:val="Ninguno"/>
          <w:rFonts w:ascii="Arial" w:hAnsi="Arial" w:cs="Arial"/>
          <w:sz w:val="24"/>
          <w:szCs w:val="24"/>
        </w:rPr>
      </w:pPr>
    </w:p>
    <w:p w14:paraId="7B492CE0" w14:textId="77777777" w:rsidR="0064457D" w:rsidRDefault="0064457D" w:rsidP="0064457D">
      <w:pPr>
        <w:pStyle w:val="Poromisin"/>
        <w:spacing w:after="60"/>
        <w:jc w:val="both"/>
        <w:rPr>
          <w:rFonts w:ascii="Arial" w:eastAsiaTheme="minorHAnsi" w:hAnsi="Arial" w:cs="Arial"/>
          <w:color w:val="000000" w:themeColor="text1"/>
          <w:sz w:val="24"/>
          <w:szCs w:val="24"/>
          <w:bdr w:val="none" w:sz="0" w:space="0" w:color="auto"/>
          <w:lang w:eastAsia="en-US"/>
        </w:rPr>
      </w:pPr>
      <w:r w:rsidRPr="00236D9C">
        <w:rPr>
          <w:rFonts w:ascii="Arial" w:eastAsiaTheme="minorHAnsi" w:hAnsi="Arial" w:cs="Arial"/>
          <w:b/>
          <w:color w:val="000000" w:themeColor="text1"/>
          <w:sz w:val="24"/>
          <w:szCs w:val="24"/>
          <w:bdr w:val="none" w:sz="0" w:space="0" w:color="auto"/>
          <w:lang w:eastAsia="en-US"/>
        </w:rPr>
        <w:t>Parágrafo 1.</w:t>
      </w:r>
      <w:r w:rsidRPr="00236D9C">
        <w:rPr>
          <w:rFonts w:ascii="Arial" w:eastAsiaTheme="minorHAnsi" w:hAnsi="Arial" w:cs="Arial"/>
          <w:color w:val="000000" w:themeColor="text1"/>
          <w:sz w:val="24"/>
          <w:szCs w:val="24"/>
          <w:bdr w:val="none" w:sz="0" w:space="0" w:color="auto"/>
          <w:lang w:eastAsia="en-US"/>
        </w:rPr>
        <w:t xml:space="preserve"> Empresas de espectáculos pirotécnicos. Quienes deseen realizar actividades de exhibiciones públicas con artículos pirotécnicos deben cumplir con los requisitos para el transporte y manipulación de fuegos artificiales, además de obtener el permiso requerido que será sujeto a la reglamentación del artículo 1 de la presente ley.</w:t>
      </w:r>
    </w:p>
    <w:p w14:paraId="414B7D18" w14:textId="77777777" w:rsidR="0064457D" w:rsidRDefault="0064457D" w:rsidP="0064457D">
      <w:pPr>
        <w:pStyle w:val="Poromisin"/>
        <w:spacing w:after="60"/>
        <w:jc w:val="both"/>
        <w:rPr>
          <w:rFonts w:ascii="Arial" w:eastAsiaTheme="minorHAnsi" w:hAnsi="Arial" w:cs="Arial"/>
          <w:color w:val="000000" w:themeColor="text1"/>
          <w:sz w:val="24"/>
          <w:szCs w:val="24"/>
          <w:bdr w:val="none" w:sz="0" w:space="0" w:color="auto"/>
          <w:lang w:eastAsia="en-US"/>
        </w:rPr>
      </w:pPr>
    </w:p>
    <w:p w14:paraId="080AD4F8" w14:textId="77777777" w:rsidR="0064457D" w:rsidRPr="00236D9C" w:rsidRDefault="0064457D" w:rsidP="00BC4535">
      <w:pPr>
        <w:pStyle w:val="Poromisin"/>
        <w:jc w:val="both"/>
        <w:rPr>
          <w:rFonts w:ascii="Arial" w:eastAsia="Times New Roman" w:hAnsi="Arial" w:cs="Arial"/>
          <w:color w:val="000000" w:themeColor="text1"/>
          <w:sz w:val="24"/>
          <w:szCs w:val="24"/>
        </w:rPr>
      </w:pPr>
      <w:r w:rsidRPr="00236D9C">
        <w:rPr>
          <w:rFonts w:ascii="Arial" w:eastAsia="Times New Roman" w:hAnsi="Arial" w:cs="Arial"/>
          <w:b/>
          <w:bCs/>
          <w:i/>
          <w:iCs/>
          <w:color w:val="000000" w:themeColor="text1"/>
          <w:sz w:val="24"/>
          <w:szCs w:val="24"/>
        </w:rPr>
        <w:t>Artículo 4. Del fondo cuenta para la prevención de las lesiones.</w:t>
      </w:r>
      <w:r w:rsidRPr="00236D9C">
        <w:rPr>
          <w:rFonts w:ascii="Arial" w:eastAsia="Times New Roman" w:hAnsi="Arial" w:cs="Arial"/>
          <w:b/>
          <w:bCs/>
          <w:color w:val="000000" w:themeColor="text1"/>
          <w:sz w:val="24"/>
          <w:szCs w:val="24"/>
        </w:rPr>
        <w:t> </w:t>
      </w:r>
      <w:r w:rsidRPr="00236D9C">
        <w:rPr>
          <w:rFonts w:ascii="Arial" w:eastAsia="Times New Roman" w:hAnsi="Arial" w:cs="Arial"/>
          <w:color w:val="000000" w:themeColor="text1"/>
          <w:sz w:val="24"/>
          <w:szCs w:val="24"/>
        </w:rPr>
        <w:t>Créase la cuenta especial denominada fondo “ni una víctima más”, adscrito a cargo del Ministerio de Salud y Protección Social. El objetivo del fondo es proveer recursos destinados a inversión social con el fin de garantizar la financiación de planes y programas de prevención que busquen sensibilizar a toda la población sobre el peligro del uso, la fabricación, la manipulación, el transporte, el almacenamiento, la comercialización, la compra, la venta y el expendio de pólvora, además brindar atención especializada a víctimas quemadas por pólvora, en cualquier circunstancia, priorizando niños, niñas y adolescentes. </w:t>
      </w:r>
    </w:p>
    <w:p w14:paraId="5AE13BD4" w14:textId="77777777" w:rsidR="00BC4535" w:rsidRDefault="00BC4535" w:rsidP="00BC4535">
      <w:pPr>
        <w:shd w:val="clear" w:color="auto" w:fill="FFFFFF"/>
        <w:jc w:val="both"/>
        <w:rPr>
          <w:rFonts w:ascii="Arial" w:hAnsi="Arial" w:cs="Arial"/>
          <w:b/>
          <w:bCs/>
          <w:i/>
          <w:iCs/>
          <w:color w:val="000000" w:themeColor="text1"/>
        </w:rPr>
      </w:pPr>
    </w:p>
    <w:p w14:paraId="79617FBB" w14:textId="77777777" w:rsidR="00BC4535" w:rsidRDefault="00BC4535" w:rsidP="00BC4535">
      <w:pPr>
        <w:shd w:val="clear" w:color="auto" w:fill="FFFFFF"/>
        <w:jc w:val="both"/>
        <w:rPr>
          <w:rFonts w:ascii="Arial" w:hAnsi="Arial" w:cs="Arial"/>
          <w:b/>
          <w:bCs/>
          <w:i/>
          <w:iCs/>
          <w:color w:val="000000" w:themeColor="text1"/>
        </w:rPr>
      </w:pPr>
    </w:p>
    <w:p w14:paraId="2298DA01" w14:textId="77777777" w:rsidR="0064457D" w:rsidRPr="00236D9C" w:rsidRDefault="0064457D" w:rsidP="00BC4535">
      <w:pPr>
        <w:shd w:val="clear" w:color="auto" w:fill="FFFFFF"/>
        <w:jc w:val="both"/>
        <w:rPr>
          <w:rFonts w:ascii="Arial" w:hAnsi="Arial" w:cs="Arial"/>
          <w:color w:val="000000" w:themeColor="text1"/>
        </w:rPr>
      </w:pPr>
      <w:r w:rsidRPr="00236D9C">
        <w:rPr>
          <w:rFonts w:ascii="Arial" w:hAnsi="Arial" w:cs="Arial"/>
          <w:b/>
          <w:bCs/>
          <w:i/>
          <w:iCs/>
          <w:color w:val="000000" w:themeColor="text1"/>
        </w:rPr>
        <w:t>Artículo 5. Destinación de los recursos del fondo cuenta “ni una víctima más”</w:t>
      </w:r>
      <w:r w:rsidRPr="00236D9C">
        <w:rPr>
          <w:rFonts w:ascii="Arial" w:hAnsi="Arial" w:cs="Arial"/>
          <w:color w:val="000000" w:themeColor="text1"/>
        </w:rPr>
        <w:t>. Los recursos tendrán la siguiente destinación:</w:t>
      </w:r>
    </w:p>
    <w:p w14:paraId="5CF01CC5" w14:textId="77777777" w:rsidR="0064457D" w:rsidRPr="00236D9C" w:rsidRDefault="0064457D" w:rsidP="0064457D">
      <w:pPr>
        <w:shd w:val="clear" w:color="auto" w:fill="FFFFFF"/>
        <w:spacing w:before="100" w:beforeAutospacing="1" w:after="100" w:afterAutospacing="1"/>
        <w:jc w:val="both"/>
        <w:rPr>
          <w:rFonts w:ascii="Arial" w:hAnsi="Arial" w:cs="Arial"/>
          <w:color w:val="000000" w:themeColor="text1"/>
        </w:rPr>
      </w:pPr>
      <w:r w:rsidRPr="00236D9C">
        <w:rPr>
          <w:rFonts w:ascii="Arial" w:hAnsi="Arial" w:cs="Arial"/>
          <w:color w:val="000000" w:themeColor="text1"/>
        </w:rPr>
        <w:lastRenderedPageBreak/>
        <w:t>1.    La atención en salud especializada a víctimas quemadas por pólvora, en cualquier circunstancia y se priorizará a niños, niñas, adolescentes o personas sujetos de especial protección constitucional como personas de la tercera edad, entre otros. </w:t>
      </w:r>
    </w:p>
    <w:p w14:paraId="028CAB8E" w14:textId="77777777" w:rsidR="0064457D" w:rsidRPr="00236D9C" w:rsidRDefault="0064457D" w:rsidP="0064457D">
      <w:pPr>
        <w:shd w:val="clear" w:color="auto" w:fill="FFFFFF"/>
        <w:spacing w:before="100" w:beforeAutospacing="1" w:after="100" w:afterAutospacing="1"/>
        <w:jc w:val="both"/>
        <w:rPr>
          <w:rFonts w:ascii="Arial" w:hAnsi="Arial" w:cs="Arial"/>
          <w:color w:val="000000" w:themeColor="text1"/>
        </w:rPr>
      </w:pPr>
      <w:r w:rsidRPr="00236D9C">
        <w:rPr>
          <w:rFonts w:ascii="Arial" w:hAnsi="Arial" w:cs="Arial"/>
          <w:color w:val="000000" w:themeColor="text1"/>
        </w:rPr>
        <w:t>2. Programas de orientación, rehabilitación y recuperación física y psicológica de personas que resulten afectadas físicamente producto del uso, la fabricación, la manipulación, el transporte, el almacenamiento, la comercialización, la compra, la venta y el expendio de pólvora y</w:t>
      </w:r>
      <w:r w:rsidRPr="00236D9C">
        <w:rPr>
          <w:rFonts w:ascii="Arial" w:hAnsi="Arial" w:cs="Arial"/>
          <w:b/>
          <w:bCs/>
          <w:i/>
          <w:iCs/>
          <w:color w:val="000000" w:themeColor="text1"/>
        </w:rPr>
        <w:t> </w:t>
      </w:r>
      <w:r w:rsidRPr="00236D9C">
        <w:rPr>
          <w:rFonts w:ascii="Arial" w:hAnsi="Arial" w:cs="Arial"/>
          <w:color w:val="000000" w:themeColor="text1"/>
        </w:rPr>
        <w:t>productos pirotécnicos.</w:t>
      </w:r>
    </w:p>
    <w:p w14:paraId="699E0EF8" w14:textId="77777777" w:rsidR="0064457D" w:rsidRPr="00236D9C" w:rsidRDefault="0064457D" w:rsidP="0064457D">
      <w:pPr>
        <w:shd w:val="clear" w:color="auto" w:fill="FFFFFF"/>
        <w:spacing w:before="100" w:beforeAutospacing="1" w:after="100" w:afterAutospacing="1"/>
        <w:jc w:val="both"/>
        <w:rPr>
          <w:rFonts w:ascii="Arial" w:hAnsi="Arial" w:cs="Arial"/>
          <w:color w:val="000000" w:themeColor="text1"/>
        </w:rPr>
      </w:pPr>
      <w:r w:rsidRPr="00236D9C">
        <w:rPr>
          <w:rFonts w:ascii="Arial" w:hAnsi="Arial" w:cs="Arial"/>
          <w:color w:val="000000" w:themeColor="text1"/>
        </w:rPr>
        <w:t>3. Financiación de campañas educativas que creen mecanismos de sensibilización, conocimiento y prevención en el manejo y uso de la pólvora, artículos pirotécnicos y fuegos artificiales.</w:t>
      </w:r>
    </w:p>
    <w:p w14:paraId="6FB13CA0" w14:textId="77777777" w:rsidR="0064457D" w:rsidRPr="00236D9C" w:rsidRDefault="0064457D" w:rsidP="0064457D">
      <w:pPr>
        <w:shd w:val="clear" w:color="auto" w:fill="FFFFFF"/>
        <w:spacing w:before="100" w:beforeAutospacing="1" w:after="100" w:afterAutospacing="1"/>
        <w:jc w:val="both"/>
        <w:rPr>
          <w:rFonts w:ascii="Arial" w:hAnsi="Arial" w:cs="Arial"/>
          <w:color w:val="000000" w:themeColor="text1"/>
        </w:rPr>
      </w:pPr>
      <w:r w:rsidRPr="00236D9C">
        <w:rPr>
          <w:rFonts w:ascii="Arial" w:hAnsi="Arial" w:cs="Arial"/>
          <w:color w:val="000000" w:themeColor="text1"/>
        </w:rPr>
        <w:t>4. Demás que se dispongan una vez se reglamente el fondo “ni una víctima más”.</w:t>
      </w:r>
    </w:p>
    <w:p w14:paraId="7D6FB29E" w14:textId="77777777" w:rsidR="0064457D" w:rsidRPr="00236D9C" w:rsidRDefault="0064457D" w:rsidP="0064457D">
      <w:pPr>
        <w:shd w:val="clear" w:color="auto" w:fill="FFFFFF"/>
        <w:spacing w:before="100" w:beforeAutospacing="1" w:after="100" w:afterAutospacing="1"/>
        <w:jc w:val="both"/>
        <w:rPr>
          <w:rFonts w:ascii="Arial" w:hAnsi="Arial" w:cs="Arial"/>
          <w:color w:val="000000" w:themeColor="text1"/>
        </w:rPr>
      </w:pPr>
      <w:r w:rsidRPr="00236D9C">
        <w:rPr>
          <w:rFonts w:ascii="Arial" w:hAnsi="Arial" w:cs="Arial"/>
          <w:b/>
          <w:bCs/>
          <w:color w:val="000000" w:themeColor="text1"/>
        </w:rPr>
        <w:t>Parágrafo 1°.</w:t>
      </w:r>
      <w:r w:rsidRPr="00236D9C">
        <w:rPr>
          <w:rFonts w:ascii="Arial" w:hAnsi="Arial" w:cs="Arial"/>
          <w:color w:val="000000" w:themeColor="text1"/>
        </w:rPr>
        <w:t> La reglamentación del fondo “ni una víctima más” estará a cargo del Ministerio de Salud y Protección Social se tendrá que desarrollar en un término máximo de 6 meses contados a partir de la publicación de la ley.</w:t>
      </w:r>
    </w:p>
    <w:p w14:paraId="41245833" w14:textId="77777777" w:rsidR="0064457D" w:rsidRPr="00236D9C" w:rsidRDefault="0064457D" w:rsidP="0064457D">
      <w:pPr>
        <w:shd w:val="clear" w:color="auto" w:fill="FFFFFF"/>
        <w:spacing w:before="100" w:beforeAutospacing="1" w:after="100" w:afterAutospacing="1"/>
        <w:jc w:val="both"/>
        <w:rPr>
          <w:rFonts w:ascii="Arial" w:hAnsi="Arial" w:cs="Arial"/>
          <w:color w:val="000000" w:themeColor="text1"/>
        </w:rPr>
      </w:pPr>
      <w:r w:rsidRPr="00236D9C">
        <w:rPr>
          <w:rFonts w:ascii="Arial" w:hAnsi="Arial" w:cs="Arial"/>
          <w:b/>
          <w:bCs/>
          <w:color w:val="000000" w:themeColor="text1"/>
        </w:rPr>
        <w:t>Parágrafo 2°.</w:t>
      </w:r>
      <w:r w:rsidRPr="00236D9C">
        <w:rPr>
          <w:rFonts w:ascii="Arial" w:hAnsi="Arial" w:cs="Arial"/>
          <w:color w:val="000000" w:themeColor="text1"/>
        </w:rPr>
        <w:t> El Gobierno reglamentará lo relacionado con las funciones y responsabilidades del Ministerio de Salud y Protección Social como ordenador del gasto en relación con el Fondo cuenta, mientras que el control interno y fiscal deberá adelantarse de acuerdo con las normas constitucionales y legales vigentes.</w:t>
      </w:r>
    </w:p>
    <w:p w14:paraId="2A587FA9" w14:textId="77777777" w:rsidR="0064457D" w:rsidRPr="00236D9C" w:rsidRDefault="0064457D" w:rsidP="0064457D">
      <w:pPr>
        <w:shd w:val="clear" w:color="auto" w:fill="FFFFFF"/>
        <w:spacing w:before="100" w:beforeAutospacing="1" w:after="100" w:afterAutospacing="1"/>
        <w:jc w:val="both"/>
        <w:rPr>
          <w:rFonts w:ascii="Arial" w:hAnsi="Arial" w:cs="Arial"/>
          <w:color w:val="000000" w:themeColor="text1"/>
        </w:rPr>
      </w:pPr>
      <w:r w:rsidRPr="00236D9C">
        <w:rPr>
          <w:rFonts w:ascii="Arial" w:hAnsi="Arial" w:cs="Arial"/>
          <w:b/>
          <w:bCs/>
          <w:color w:val="000000" w:themeColor="text1"/>
        </w:rPr>
        <w:t>Parágrafo 3°.</w:t>
      </w:r>
      <w:r w:rsidRPr="00236D9C">
        <w:rPr>
          <w:rFonts w:ascii="Arial" w:hAnsi="Arial" w:cs="Arial"/>
          <w:color w:val="000000" w:themeColor="text1"/>
        </w:rPr>
        <w:t> El Ministerio de Salud y Protección Social definirá cada año cuáles serán los gastos concretos con cargo al fondo tomando en cuenta las condiciones de inversión fijadas en la presente ley.</w:t>
      </w:r>
    </w:p>
    <w:p w14:paraId="457386D3" w14:textId="77777777" w:rsidR="00BC4535" w:rsidRDefault="00BC4535" w:rsidP="00BC4535">
      <w:pPr>
        <w:pStyle w:val="Poromisin"/>
        <w:jc w:val="both"/>
        <w:rPr>
          <w:rStyle w:val="Ninguno"/>
          <w:rFonts w:ascii="Arial" w:hAnsi="Arial" w:cs="Arial"/>
          <w:b/>
          <w:color w:val="000000" w:themeColor="text1"/>
          <w:sz w:val="24"/>
          <w:szCs w:val="24"/>
        </w:rPr>
      </w:pPr>
    </w:p>
    <w:p w14:paraId="202635C9" w14:textId="77777777" w:rsidR="0064457D" w:rsidRDefault="0064457D" w:rsidP="00BC4535">
      <w:pPr>
        <w:pStyle w:val="Poromisin"/>
        <w:jc w:val="both"/>
        <w:rPr>
          <w:rStyle w:val="Ninguno"/>
          <w:rFonts w:ascii="Arial" w:hAnsi="Arial" w:cs="Arial"/>
          <w:b/>
          <w:color w:val="000000" w:themeColor="text1"/>
          <w:sz w:val="24"/>
          <w:szCs w:val="24"/>
        </w:rPr>
      </w:pPr>
      <w:r w:rsidRPr="00236D9C">
        <w:rPr>
          <w:rStyle w:val="Ninguno"/>
          <w:rFonts w:ascii="Arial" w:hAnsi="Arial" w:cs="Arial"/>
          <w:b/>
          <w:color w:val="000000" w:themeColor="text1"/>
          <w:sz w:val="24"/>
          <w:szCs w:val="24"/>
        </w:rPr>
        <w:t>Artículo 6. Coordinación Institucional para Reducir el Número de Lesionados. El Ministerio del Interior</w:t>
      </w:r>
      <w:r>
        <w:rPr>
          <w:rStyle w:val="Ninguno"/>
          <w:rFonts w:ascii="Arial" w:hAnsi="Arial" w:cs="Arial"/>
          <w:b/>
          <w:color w:val="000000" w:themeColor="text1"/>
          <w:sz w:val="24"/>
          <w:szCs w:val="24"/>
        </w:rPr>
        <w:t>.</w:t>
      </w:r>
      <w:r w:rsidRPr="00236D9C">
        <w:rPr>
          <w:rStyle w:val="Ninguno"/>
          <w:rFonts w:ascii="Arial" w:hAnsi="Arial" w:cs="Arial"/>
          <w:b/>
          <w:color w:val="000000" w:themeColor="text1"/>
          <w:sz w:val="24"/>
          <w:szCs w:val="24"/>
        </w:rPr>
        <w:t xml:space="preserve"> </w:t>
      </w:r>
      <w:r w:rsidRPr="00236D9C">
        <w:rPr>
          <w:rStyle w:val="Ninguno"/>
          <w:rFonts w:ascii="Arial" w:hAnsi="Arial" w:cs="Arial"/>
          <w:color w:val="000000" w:themeColor="text1"/>
          <w:sz w:val="24"/>
          <w:szCs w:val="24"/>
        </w:rPr>
        <w:t>con base en la información construida por el Ministerio de Defensa, el Instituto Nacional de Salud, el Instituto Nacional de Salud INS, el Ministerio debe organizar una mesa de trabajo anual entre las instituciones que considere necesarias, promoviendo principios de alineación y coordinación en la reglamentación de la importación, fabricación, transporte, comercialización y uso de ar</w:t>
      </w:r>
      <w:r>
        <w:rPr>
          <w:rStyle w:val="Ninguno"/>
          <w:rFonts w:ascii="Arial" w:hAnsi="Arial" w:cs="Arial"/>
          <w:color w:val="000000" w:themeColor="text1"/>
          <w:sz w:val="24"/>
          <w:szCs w:val="24"/>
        </w:rPr>
        <w:t>tículos pirotécnicos categoría I</w:t>
      </w:r>
      <w:r w:rsidRPr="00236D9C">
        <w:rPr>
          <w:rStyle w:val="Ninguno"/>
          <w:rFonts w:ascii="Arial" w:hAnsi="Arial" w:cs="Arial"/>
          <w:color w:val="000000" w:themeColor="text1"/>
          <w:sz w:val="24"/>
          <w:szCs w:val="24"/>
        </w:rPr>
        <w:t>, II y III, en función de reducir y gestionar el riesgo para todos sus participantes, de manera proactiva.</w:t>
      </w:r>
      <w:r w:rsidRPr="00236D9C">
        <w:rPr>
          <w:rStyle w:val="Ninguno"/>
          <w:rFonts w:ascii="Arial" w:hAnsi="Arial" w:cs="Arial"/>
          <w:b/>
          <w:color w:val="000000" w:themeColor="text1"/>
          <w:sz w:val="24"/>
          <w:szCs w:val="24"/>
        </w:rPr>
        <w:t xml:space="preserve"> </w:t>
      </w:r>
    </w:p>
    <w:p w14:paraId="1F769F71" w14:textId="77777777" w:rsidR="00BC4535" w:rsidRPr="00236D9C" w:rsidRDefault="00BC4535" w:rsidP="00BC4535">
      <w:pPr>
        <w:pStyle w:val="Poromisin"/>
        <w:jc w:val="both"/>
        <w:rPr>
          <w:rStyle w:val="Ninguno"/>
          <w:rFonts w:ascii="Arial" w:hAnsi="Arial" w:cs="Arial"/>
          <w:color w:val="000000" w:themeColor="text1"/>
          <w:sz w:val="24"/>
          <w:szCs w:val="24"/>
        </w:rPr>
      </w:pPr>
    </w:p>
    <w:p w14:paraId="2C6E22FE" w14:textId="77777777" w:rsidR="00BC4535" w:rsidRDefault="00BC4535" w:rsidP="00BC4535">
      <w:pPr>
        <w:shd w:val="clear" w:color="auto" w:fill="FFFFFF"/>
        <w:jc w:val="both"/>
        <w:rPr>
          <w:rFonts w:ascii="Arial" w:hAnsi="Arial" w:cs="Arial"/>
          <w:b/>
          <w:i/>
          <w:color w:val="000000" w:themeColor="text1"/>
        </w:rPr>
      </w:pPr>
    </w:p>
    <w:p w14:paraId="74EA2D1E" w14:textId="77777777" w:rsidR="0064457D" w:rsidRPr="00236D9C" w:rsidRDefault="0064457D" w:rsidP="00BC4535">
      <w:pPr>
        <w:shd w:val="clear" w:color="auto" w:fill="FFFFFF"/>
        <w:jc w:val="both"/>
        <w:rPr>
          <w:rFonts w:ascii="Arial" w:hAnsi="Arial" w:cs="Arial"/>
          <w:color w:val="000000" w:themeColor="text1"/>
        </w:rPr>
      </w:pPr>
      <w:r w:rsidRPr="00236D9C">
        <w:rPr>
          <w:rFonts w:ascii="Arial" w:hAnsi="Arial" w:cs="Arial"/>
          <w:b/>
          <w:i/>
          <w:color w:val="000000" w:themeColor="text1"/>
        </w:rPr>
        <w:lastRenderedPageBreak/>
        <w:t xml:space="preserve">Artículo 7. De las sanciones. </w:t>
      </w:r>
      <w:r w:rsidRPr="00236D9C">
        <w:rPr>
          <w:rFonts w:ascii="Arial" w:hAnsi="Arial" w:cs="Arial"/>
          <w:color w:val="000000" w:themeColor="text1"/>
        </w:rPr>
        <w:t xml:space="preserve">Toda persona natural o jurídica, que sin cumplir los requisitos legales descritos en la presente ley </w:t>
      </w:r>
      <w:r>
        <w:rPr>
          <w:rFonts w:ascii="Arial" w:hAnsi="Arial" w:cs="Arial"/>
          <w:color w:val="000000" w:themeColor="text1"/>
        </w:rPr>
        <w:t>e incumpla la reglamentación de la que trata el artículo 1°</w:t>
      </w:r>
      <w:r w:rsidRPr="00236D9C">
        <w:rPr>
          <w:rFonts w:ascii="Arial" w:hAnsi="Arial" w:cs="Arial"/>
          <w:color w:val="000000" w:themeColor="text1"/>
        </w:rPr>
        <w:t>, será sancionada con medida correctiva de carác</w:t>
      </w:r>
      <w:r>
        <w:rPr>
          <w:rFonts w:ascii="Arial" w:hAnsi="Arial" w:cs="Arial"/>
          <w:color w:val="000000" w:themeColor="text1"/>
        </w:rPr>
        <w:t>ter pecuniario entre quinientos (500) a un millón (10</w:t>
      </w:r>
      <w:r w:rsidRPr="00236D9C">
        <w:rPr>
          <w:rFonts w:ascii="Arial" w:hAnsi="Arial" w:cs="Arial"/>
          <w:color w:val="000000" w:themeColor="text1"/>
        </w:rPr>
        <w:t xml:space="preserve">00) Salarios Mínimos Legales Vigentes –SMLV. </w:t>
      </w:r>
    </w:p>
    <w:p w14:paraId="24CF72CA" w14:textId="77777777" w:rsidR="00BC4535" w:rsidRDefault="00BC4535" w:rsidP="0064457D">
      <w:pPr>
        <w:shd w:val="clear" w:color="auto" w:fill="FFFFFF"/>
        <w:spacing w:after="150"/>
        <w:jc w:val="both"/>
        <w:rPr>
          <w:rFonts w:ascii="Arial" w:hAnsi="Arial" w:cs="Arial"/>
          <w:b/>
          <w:color w:val="000000" w:themeColor="text1"/>
        </w:rPr>
      </w:pPr>
    </w:p>
    <w:p w14:paraId="56D1D494" w14:textId="77777777" w:rsidR="0064457D" w:rsidRDefault="0064457D" w:rsidP="0064457D">
      <w:pPr>
        <w:shd w:val="clear" w:color="auto" w:fill="FFFFFF"/>
        <w:spacing w:after="150"/>
        <w:jc w:val="both"/>
        <w:rPr>
          <w:rFonts w:ascii="Arial" w:hAnsi="Arial" w:cs="Arial"/>
          <w:color w:val="000000" w:themeColor="text1"/>
        </w:rPr>
      </w:pPr>
      <w:r w:rsidRPr="00236D9C">
        <w:rPr>
          <w:rFonts w:ascii="Arial" w:hAnsi="Arial" w:cs="Arial"/>
          <w:b/>
          <w:color w:val="000000" w:themeColor="text1"/>
        </w:rPr>
        <w:t>Parágrafo</w:t>
      </w:r>
      <w:r>
        <w:rPr>
          <w:rFonts w:ascii="Arial" w:hAnsi="Arial" w:cs="Arial"/>
          <w:b/>
          <w:color w:val="000000" w:themeColor="text1"/>
        </w:rPr>
        <w:t xml:space="preserve"> </w:t>
      </w:r>
      <w:r w:rsidRPr="00236D9C">
        <w:rPr>
          <w:rFonts w:ascii="Arial" w:hAnsi="Arial" w:cs="Arial"/>
          <w:b/>
          <w:color w:val="000000" w:themeColor="text1"/>
        </w:rPr>
        <w:t>1</w:t>
      </w:r>
      <w:r w:rsidRPr="00236D9C">
        <w:rPr>
          <w:rFonts w:ascii="Arial" w:hAnsi="Arial" w:cs="Arial"/>
          <w:b/>
          <w:bCs/>
          <w:color w:val="000000" w:themeColor="text1"/>
        </w:rPr>
        <w:t>°</w:t>
      </w:r>
      <w:r w:rsidRPr="00236D9C">
        <w:rPr>
          <w:rFonts w:ascii="Arial" w:hAnsi="Arial" w:cs="Arial"/>
          <w:b/>
          <w:color w:val="000000" w:themeColor="text1"/>
        </w:rPr>
        <w:t>. Agravantes de la sanción</w:t>
      </w:r>
      <w:r w:rsidRPr="00236D9C">
        <w:rPr>
          <w:rFonts w:ascii="Arial" w:hAnsi="Arial" w:cs="Arial"/>
          <w:b/>
          <w:i/>
          <w:color w:val="000000" w:themeColor="text1"/>
        </w:rPr>
        <w:t>.</w:t>
      </w:r>
      <w:r w:rsidRPr="00236D9C">
        <w:rPr>
          <w:rFonts w:ascii="Arial" w:hAnsi="Arial" w:cs="Arial"/>
          <w:i/>
          <w:color w:val="000000" w:themeColor="text1"/>
        </w:rPr>
        <w:t xml:space="preserve"> </w:t>
      </w:r>
      <w:r w:rsidRPr="00236D9C">
        <w:rPr>
          <w:rFonts w:ascii="Arial" w:hAnsi="Arial" w:cs="Arial"/>
          <w:color w:val="000000" w:themeColor="text1"/>
        </w:rPr>
        <w:t xml:space="preserve">Si en el marco de la contravención a la presente ley se afecta la vida y la integridad de terceros, o de bienes públicos o privados, o el que fabrique artículos pirotécnicos o fuegos artificiales que contengan fósforo blanco incurrirá en sanción pecuniaria entre doscientos (200) a quinientos (500) SMLV.  </w:t>
      </w:r>
    </w:p>
    <w:p w14:paraId="7C082584" w14:textId="77777777" w:rsidR="00BC4535" w:rsidRDefault="00BC4535" w:rsidP="0064457D">
      <w:pPr>
        <w:shd w:val="clear" w:color="auto" w:fill="FFFFFF"/>
        <w:spacing w:after="150"/>
        <w:jc w:val="both"/>
        <w:rPr>
          <w:rFonts w:ascii="Arial" w:hAnsi="Arial" w:cs="Arial"/>
          <w:b/>
          <w:color w:val="000000" w:themeColor="text1"/>
        </w:rPr>
      </w:pPr>
    </w:p>
    <w:p w14:paraId="4AD51532" w14:textId="77777777" w:rsidR="0064457D" w:rsidRPr="0021134B" w:rsidRDefault="0064457D" w:rsidP="0064457D">
      <w:pPr>
        <w:shd w:val="clear" w:color="auto" w:fill="FFFFFF"/>
        <w:spacing w:after="150"/>
        <w:jc w:val="both"/>
        <w:rPr>
          <w:rFonts w:ascii="Arial" w:hAnsi="Arial" w:cs="Arial"/>
        </w:rPr>
      </w:pPr>
      <w:r>
        <w:rPr>
          <w:rFonts w:ascii="Arial" w:hAnsi="Arial" w:cs="Arial"/>
          <w:b/>
          <w:color w:val="000000" w:themeColor="text1"/>
        </w:rPr>
        <w:t>Artículo 8</w:t>
      </w:r>
      <w:r w:rsidRPr="00236D9C">
        <w:rPr>
          <w:rFonts w:ascii="Arial" w:hAnsi="Arial" w:cs="Arial"/>
          <w:b/>
          <w:bCs/>
          <w:color w:val="000000" w:themeColor="text1"/>
        </w:rPr>
        <w:t>°</w:t>
      </w:r>
      <w:r w:rsidRPr="00236D9C">
        <w:rPr>
          <w:rFonts w:ascii="Arial" w:hAnsi="Arial" w:cs="Arial"/>
          <w:b/>
          <w:color w:val="000000" w:themeColor="text1"/>
        </w:rPr>
        <w:t>.</w:t>
      </w:r>
      <w:r w:rsidRPr="00236D9C">
        <w:rPr>
          <w:rFonts w:ascii="Arial" w:hAnsi="Arial" w:cs="Arial"/>
          <w:color w:val="000000" w:themeColor="text1"/>
        </w:rPr>
        <w:t xml:space="preserve"> </w:t>
      </w:r>
      <w:r w:rsidRPr="0094012B">
        <w:rPr>
          <w:rFonts w:ascii="Arial" w:hAnsi="Arial" w:cs="Arial"/>
          <w:b/>
        </w:rPr>
        <w:t>Modifíquese el artículo 15 de la ley 6</w:t>
      </w:r>
      <w:r>
        <w:rPr>
          <w:rFonts w:ascii="Arial" w:hAnsi="Arial" w:cs="Arial"/>
          <w:b/>
        </w:rPr>
        <w:t xml:space="preserve">70 de 2001 el cual quedará así. </w:t>
      </w:r>
      <w:r w:rsidRPr="0094012B">
        <w:rPr>
          <w:rFonts w:ascii="Arial" w:hAnsi="Arial" w:cs="Arial"/>
        </w:rPr>
        <w:t xml:space="preserve">“Todo artículo pirotécnico debe llevar una </w:t>
      </w:r>
      <w:r>
        <w:rPr>
          <w:rFonts w:ascii="Arial" w:hAnsi="Arial" w:cs="Arial"/>
        </w:rPr>
        <w:t>etiqueta</w:t>
      </w:r>
      <w:r w:rsidRPr="0094012B">
        <w:rPr>
          <w:rFonts w:ascii="Arial" w:hAnsi="Arial" w:cs="Arial"/>
        </w:rPr>
        <w:t xml:space="preserve"> sobre la necesidad de usarlo con implementos aptos para la manipulación y las prohibiciones de la presente ley, así como la circulación restringida de estos materiales por su grado de toxicidad y peligrosidad</w:t>
      </w:r>
      <w:r>
        <w:rPr>
          <w:rFonts w:ascii="Arial" w:hAnsi="Arial" w:cs="Arial"/>
        </w:rPr>
        <w:t xml:space="preserve">. Debe quedar expresamente señalado que todo tipo de </w:t>
      </w:r>
      <w:proofErr w:type="spellStart"/>
      <w:r>
        <w:rPr>
          <w:rFonts w:ascii="Arial" w:hAnsi="Arial" w:cs="Arial"/>
        </w:rPr>
        <w:t>polvora</w:t>
      </w:r>
      <w:proofErr w:type="spellEnd"/>
      <w:r>
        <w:rPr>
          <w:rFonts w:ascii="Arial" w:hAnsi="Arial" w:cs="Arial"/>
        </w:rPr>
        <w:t xml:space="preserve"> está expresamente prohibido para menores de edad mediante una etiqueta y personas que estén en </w:t>
      </w:r>
      <w:r w:rsidRPr="0021134B">
        <w:rPr>
          <w:rFonts w:ascii="Arial" w:hAnsi="Arial" w:cs="Arial"/>
        </w:rPr>
        <w:t>estado de embriaguez</w:t>
      </w:r>
      <w:r>
        <w:rPr>
          <w:rFonts w:ascii="Arial" w:hAnsi="Arial" w:cs="Arial"/>
        </w:rPr>
        <w:t>.</w:t>
      </w:r>
    </w:p>
    <w:p w14:paraId="5F942320" w14:textId="77777777" w:rsidR="00BC4535" w:rsidRDefault="00BC4535" w:rsidP="0064457D">
      <w:pPr>
        <w:pStyle w:val="Poromisin"/>
        <w:jc w:val="both"/>
        <w:rPr>
          <w:rStyle w:val="Ninguno"/>
          <w:rFonts w:ascii="Arial" w:hAnsi="Arial" w:cs="Arial"/>
          <w:b/>
          <w:sz w:val="24"/>
          <w:szCs w:val="24"/>
        </w:rPr>
      </w:pPr>
    </w:p>
    <w:p w14:paraId="6B9AFA6D" w14:textId="77777777" w:rsidR="0064457D" w:rsidRPr="00902C58" w:rsidRDefault="0064457D" w:rsidP="0064457D">
      <w:pPr>
        <w:pStyle w:val="Poromisin"/>
        <w:jc w:val="both"/>
        <w:rPr>
          <w:rStyle w:val="Ninguno"/>
          <w:rFonts w:ascii="Arial" w:eastAsia="Avenir Book" w:hAnsi="Arial" w:cs="Arial"/>
          <w:sz w:val="24"/>
          <w:szCs w:val="24"/>
        </w:rPr>
      </w:pPr>
      <w:r>
        <w:rPr>
          <w:rStyle w:val="Ninguno"/>
          <w:rFonts w:ascii="Arial" w:hAnsi="Arial" w:cs="Arial"/>
          <w:b/>
          <w:sz w:val="24"/>
          <w:szCs w:val="24"/>
        </w:rPr>
        <w:t>Artículo 9</w:t>
      </w:r>
      <w:r w:rsidRPr="00902C58">
        <w:rPr>
          <w:rStyle w:val="Ninguno"/>
          <w:rFonts w:ascii="Arial" w:hAnsi="Arial" w:cs="Arial"/>
          <w:b/>
          <w:sz w:val="24"/>
          <w:szCs w:val="24"/>
        </w:rPr>
        <w:t>º.</w:t>
      </w:r>
      <w:r w:rsidRPr="00902C58">
        <w:rPr>
          <w:rStyle w:val="Ninguno"/>
          <w:rFonts w:ascii="Arial" w:hAnsi="Arial" w:cs="Arial"/>
          <w:sz w:val="24"/>
          <w:szCs w:val="24"/>
        </w:rPr>
        <w:t> </w:t>
      </w:r>
      <w:r w:rsidRPr="00902C58">
        <w:rPr>
          <w:rStyle w:val="Ninguno"/>
          <w:rFonts w:ascii="Arial" w:hAnsi="Arial" w:cs="Arial"/>
          <w:i/>
          <w:iCs/>
          <w:sz w:val="24"/>
          <w:szCs w:val="24"/>
        </w:rPr>
        <w:t>Cultura Ciudadana y uso de la pólvora</w:t>
      </w:r>
      <w:r w:rsidRPr="00902C58">
        <w:rPr>
          <w:rStyle w:val="Ninguno"/>
          <w:rFonts w:ascii="Arial" w:hAnsi="Arial" w:cs="Arial"/>
          <w:sz w:val="24"/>
          <w:szCs w:val="24"/>
        </w:rPr>
        <w:t>. Cada entidad territorial hará propuestas pedagógicas (de auto y mutua regulación) que promuevan cambios de actitudes y comportamientos en el uso responsable de la pólvora.</w:t>
      </w:r>
    </w:p>
    <w:p w14:paraId="33860A94" w14:textId="77777777" w:rsidR="0064457D" w:rsidRPr="00902C58" w:rsidRDefault="0064457D" w:rsidP="0064457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 xml:space="preserve">a) </w:t>
      </w:r>
      <w:r w:rsidRPr="00902C58">
        <w:rPr>
          <w:rStyle w:val="Ninguno"/>
          <w:rFonts w:ascii="Arial" w:hAnsi="Arial" w:cs="Arial"/>
          <w:sz w:val="24"/>
          <w:szCs w:val="24"/>
        </w:rPr>
        <w:t>Pedagogía a la ciudadanía en general;</w:t>
      </w:r>
    </w:p>
    <w:p w14:paraId="3850A7A8" w14:textId="77777777" w:rsidR="0064457D" w:rsidRPr="00902C58" w:rsidRDefault="0064457D" w:rsidP="0064457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 xml:space="preserve">b) </w:t>
      </w:r>
      <w:r w:rsidRPr="00902C58">
        <w:rPr>
          <w:rStyle w:val="Ninguno"/>
          <w:rFonts w:ascii="Arial" w:hAnsi="Arial" w:cs="Arial"/>
          <w:sz w:val="24"/>
          <w:szCs w:val="24"/>
        </w:rPr>
        <w:t>Pedagogía a los involucrados en el mercado de la pólvora;</w:t>
      </w:r>
    </w:p>
    <w:p w14:paraId="093CB459" w14:textId="77777777" w:rsidR="0064457D" w:rsidRPr="00902C58" w:rsidRDefault="0064457D" w:rsidP="0064457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c)</w:t>
      </w:r>
      <w:r w:rsidRPr="00902C58">
        <w:rPr>
          <w:rStyle w:val="Ninguno"/>
          <w:rFonts w:ascii="Arial" w:hAnsi="Arial" w:cs="Arial"/>
          <w:sz w:val="24"/>
          <w:szCs w:val="24"/>
        </w:rPr>
        <w:t xml:space="preserve"> Pedagogía a los padres, madres o responsables de las niñas, niños y adolescentes;</w:t>
      </w:r>
    </w:p>
    <w:p w14:paraId="78DF656A" w14:textId="77777777" w:rsidR="0064457D" w:rsidRPr="00902C58" w:rsidRDefault="0064457D" w:rsidP="0064457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d)</w:t>
      </w:r>
      <w:r w:rsidRPr="00902C58">
        <w:rPr>
          <w:rStyle w:val="Ninguno"/>
          <w:rFonts w:ascii="Arial" w:hAnsi="Arial" w:cs="Arial"/>
          <w:sz w:val="24"/>
          <w:szCs w:val="24"/>
        </w:rPr>
        <w:t xml:space="preserve"> Pedagogía a las y los profesores;</w:t>
      </w:r>
    </w:p>
    <w:p w14:paraId="2D427E5B" w14:textId="77777777" w:rsidR="0064457D" w:rsidRPr="00902C58" w:rsidRDefault="0064457D" w:rsidP="0064457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e)</w:t>
      </w:r>
      <w:r w:rsidRPr="00902C58">
        <w:rPr>
          <w:rStyle w:val="Ninguno"/>
          <w:rFonts w:ascii="Arial" w:hAnsi="Arial" w:cs="Arial"/>
          <w:sz w:val="24"/>
          <w:szCs w:val="24"/>
        </w:rPr>
        <w:t xml:space="preserve"> Pedagogía a las niñas, niños y adolescentes;</w:t>
      </w:r>
    </w:p>
    <w:p w14:paraId="6AF643CB" w14:textId="77777777" w:rsidR="0064457D" w:rsidRPr="00902C58" w:rsidRDefault="0064457D" w:rsidP="0064457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f)</w:t>
      </w:r>
      <w:r w:rsidRPr="00902C58">
        <w:rPr>
          <w:rStyle w:val="Ninguno"/>
          <w:rFonts w:ascii="Arial" w:hAnsi="Arial" w:cs="Arial"/>
          <w:sz w:val="24"/>
          <w:szCs w:val="24"/>
        </w:rPr>
        <w:t xml:space="preserve"> Interlocución de las autoridades municipales con los polvoreros, con sus voceros institucionales y con sus abogados.</w:t>
      </w:r>
    </w:p>
    <w:p w14:paraId="0493C1AE" w14:textId="77777777" w:rsidR="0064457D" w:rsidRDefault="0064457D" w:rsidP="0064457D">
      <w:pPr>
        <w:pStyle w:val="Poromisin"/>
        <w:jc w:val="both"/>
        <w:rPr>
          <w:rStyle w:val="Ninguno"/>
          <w:rFonts w:ascii="Arial" w:hAnsi="Arial" w:cs="Arial"/>
          <w:b/>
          <w:sz w:val="24"/>
          <w:szCs w:val="24"/>
        </w:rPr>
      </w:pPr>
    </w:p>
    <w:p w14:paraId="51146B4D" w14:textId="77777777" w:rsidR="00BC4535" w:rsidRDefault="00BC4535" w:rsidP="00BC4535">
      <w:pPr>
        <w:rPr>
          <w:rStyle w:val="Ninguno"/>
          <w:rFonts w:ascii="Arial" w:hAnsi="Arial" w:cs="Arial"/>
          <w:b/>
        </w:rPr>
      </w:pPr>
    </w:p>
    <w:p w14:paraId="4157C2C2" w14:textId="3379D84C" w:rsidR="003073D1" w:rsidRDefault="0064457D" w:rsidP="00C24ACC">
      <w:pPr>
        <w:jc w:val="both"/>
        <w:rPr>
          <w:rFonts w:ascii="Arial" w:hAnsi="Arial" w:cs="Arial"/>
          <w:b/>
        </w:rPr>
      </w:pPr>
      <w:bookmarkStart w:id="0" w:name="_GoBack"/>
      <w:r>
        <w:rPr>
          <w:rStyle w:val="Ninguno"/>
          <w:rFonts w:ascii="Arial" w:hAnsi="Arial" w:cs="Arial"/>
          <w:b/>
        </w:rPr>
        <w:t>Artículo 10</w:t>
      </w:r>
      <w:r w:rsidRPr="00236D9C">
        <w:rPr>
          <w:rStyle w:val="Ninguno"/>
          <w:rFonts w:ascii="Arial" w:hAnsi="Arial" w:cs="Arial"/>
          <w:b/>
        </w:rPr>
        <w:t>º.</w:t>
      </w:r>
      <w:r w:rsidRPr="00236D9C">
        <w:rPr>
          <w:rStyle w:val="Ninguno"/>
          <w:rFonts w:ascii="Arial" w:hAnsi="Arial" w:cs="Arial"/>
        </w:rPr>
        <w:t> </w:t>
      </w:r>
      <w:r w:rsidRPr="00236D9C">
        <w:rPr>
          <w:rStyle w:val="Ninguno"/>
          <w:rFonts w:ascii="Arial" w:hAnsi="Arial" w:cs="Arial"/>
          <w:b/>
          <w:i/>
          <w:iCs/>
        </w:rPr>
        <w:t>Vigencia y derogatorias</w:t>
      </w:r>
      <w:r w:rsidRPr="00236D9C">
        <w:rPr>
          <w:rStyle w:val="Ninguno"/>
          <w:rFonts w:ascii="Arial" w:hAnsi="Arial" w:cs="Arial"/>
          <w:b/>
          <w:i/>
        </w:rPr>
        <w:t>.</w:t>
      </w:r>
      <w:r w:rsidRPr="00236D9C">
        <w:rPr>
          <w:rStyle w:val="Ninguno"/>
          <w:rFonts w:ascii="Arial" w:hAnsi="Arial" w:cs="Arial"/>
        </w:rPr>
        <w:t xml:space="preserve"> La presente ley rige a partir de su promulgación y </w:t>
      </w:r>
      <w:r>
        <w:rPr>
          <w:rStyle w:val="Ninguno"/>
          <w:rFonts w:ascii="Arial" w:hAnsi="Arial" w:cs="Arial"/>
        </w:rPr>
        <w:t>modifica el artículo 15</w:t>
      </w:r>
      <w:r w:rsidRPr="00236D9C">
        <w:rPr>
          <w:rStyle w:val="Ninguno"/>
          <w:rFonts w:ascii="Arial" w:hAnsi="Arial" w:cs="Arial"/>
        </w:rPr>
        <w:t>, de la Ley 670 de 2001 y las demás disposiciones que le sean contrarias.</w:t>
      </w:r>
    </w:p>
    <w:bookmarkEnd w:id="0"/>
    <w:p w14:paraId="5737845F" w14:textId="77777777" w:rsidR="003073D1" w:rsidRDefault="003073D1" w:rsidP="00D4008E">
      <w:pPr>
        <w:jc w:val="center"/>
        <w:rPr>
          <w:rFonts w:ascii="Arial" w:hAnsi="Arial" w:cs="Arial"/>
          <w:b/>
        </w:rPr>
      </w:pPr>
    </w:p>
    <w:p w14:paraId="39BB35B2" w14:textId="77777777" w:rsidR="00D4008E" w:rsidRDefault="00D4008E" w:rsidP="008E3753">
      <w:pPr>
        <w:jc w:val="both"/>
        <w:rPr>
          <w:rFonts w:ascii="Arial" w:eastAsia="Calibri" w:hAnsi="Arial" w:cs="Arial"/>
        </w:rPr>
      </w:pPr>
    </w:p>
    <w:p w14:paraId="79738FD4" w14:textId="702E3DC9" w:rsidR="00220366" w:rsidRPr="008711D3" w:rsidRDefault="00220366" w:rsidP="00220366">
      <w:pPr>
        <w:jc w:val="both"/>
        <w:rPr>
          <w:rFonts w:ascii="Arial" w:hAnsi="Arial" w:cs="Arial"/>
          <w:color w:val="000000"/>
          <w:lang w:val="es-ES"/>
        </w:rPr>
      </w:pPr>
      <w:r w:rsidRPr="008711D3">
        <w:rPr>
          <w:rFonts w:ascii="Arial" w:hAnsi="Arial" w:cs="Arial"/>
          <w:color w:val="000000"/>
        </w:rPr>
        <w:lastRenderedPageBreak/>
        <w:t xml:space="preserve">En los anteriores términos fue aprobado </w:t>
      </w:r>
      <w:r w:rsidR="00DA0451">
        <w:rPr>
          <w:rFonts w:ascii="Arial" w:hAnsi="Arial" w:cs="Arial"/>
          <w:color w:val="000000"/>
        </w:rPr>
        <w:t>si</w:t>
      </w:r>
      <w:r w:rsidRPr="008711D3">
        <w:rPr>
          <w:rFonts w:ascii="Arial" w:hAnsi="Arial" w:cs="Arial"/>
          <w:color w:val="000000"/>
        </w:rPr>
        <w:t xml:space="preserve">n modificaciones el presente Proyecto de Ley según consta en Acta No. </w:t>
      </w:r>
      <w:r w:rsidR="00DA0451">
        <w:rPr>
          <w:rFonts w:ascii="Arial" w:hAnsi="Arial" w:cs="Arial"/>
          <w:color w:val="000000"/>
        </w:rPr>
        <w:t>5</w:t>
      </w:r>
      <w:r w:rsidR="008B7F49">
        <w:rPr>
          <w:rFonts w:ascii="Arial" w:hAnsi="Arial" w:cs="Arial"/>
          <w:color w:val="000000"/>
        </w:rPr>
        <w:t>1</w:t>
      </w:r>
      <w:r w:rsidRPr="008711D3">
        <w:rPr>
          <w:rFonts w:ascii="Arial" w:hAnsi="Arial" w:cs="Arial"/>
          <w:color w:val="000000"/>
        </w:rPr>
        <w:t xml:space="preserve"> de </w:t>
      </w:r>
      <w:r w:rsidR="001F110D">
        <w:rPr>
          <w:rFonts w:ascii="Arial" w:hAnsi="Arial" w:cs="Arial"/>
          <w:color w:val="000000"/>
        </w:rPr>
        <w:t xml:space="preserve">mayo </w:t>
      </w:r>
      <w:r w:rsidR="00DA0451">
        <w:rPr>
          <w:rFonts w:ascii="Arial" w:hAnsi="Arial" w:cs="Arial"/>
          <w:color w:val="000000"/>
        </w:rPr>
        <w:t>2</w:t>
      </w:r>
      <w:r w:rsidR="008B7F49">
        <w:rPr>
          <w:rFonts w:ascii="Arial" w:hAnsi="Arial" w:cs="Arial"/>
          <w:color w:val="000000"/>
        </w:rPr>
        <w:t>2</w:t>
      </w:r>
      <w:r w:rsidR="001F110D">
        <w:rPr>
          <w:rFonts w:ascii="Arial" w:hAnsi="Arial" w:cs="Arial"/>
          <w:color w:val="000000"/>
        </w:rPr>
        <w:t xml:space="preserve"> </w:t>
      </w:r>
      <w:r w:rsidRPr="008711D3">
        <w:rPr>
          <w:rFonts w:ascii="Arial" w:hAnsi="Arial" w:cs="Arial"/>
          <w:color w:val="000000"/>
        </w:rPr>
        <w:t xml:space="preserve">de 2019. </w:t>
      </w:r>
      <w:r w:rsidRPr="008711D3">
        <w:rPr>
          <w:rFonts w:ascii="Arial" w:hAnsi="Arial" w:cs="Arial"/>
          <w:color w:val="000000"/>
          <w:lang w:val="es-ES"/>
        </w:rPr>
        <w:t xml:space="preserve">Anunciado el </w:t>
      </w:r>
      <w:r w:rsidR="008B7F49">
        <w:rPr>
          <w:rFonts w:ascii="Arial" w:hAnsi="Arial" w:cs="Arial"/>
          <w:color w:val="000000"/>
          <w:lang w:val="es-ES"/>
        </w:rPr>
        <w:t>2</w:t>
      </w:r>
      <w:r w:rsidR="00DA0451">
        <w:rPr>
          <w:rFonts w:ascii="Arial" w:hAnsi="Arial" w:cs="Arial"/>
          <w:color w:val="000000"/>
          <w:lang w:val="es-ES"/>
        </w:rPr>
        <w:t>1</w:t>
      </w:r>
      <w:r w:rsidRPr="008711D3">
        <w:rPr>
          <w:rFonts w:ascii="Arial" w:hAnsi="Arial" w:cs="Arial"/>
          <w:color w:val="000000"/>
          <w:lang w:val="es-ES"/>
        </w:rPr>
        <w:t xml:space="preserve"> de </w:t>
      </w:r>
      <w:r w:rsidR="00DA0451">
        <w:rPr>
          <w:rFonts w:ascii="Arial" w:hAnsi="Arial" w:cs="Arial"/>
          <w:color w:val="000000"/>
          <w:lang w:val="es-ES"/>
        </w:rPr>
        <w:t xml:space="preserve">mayo </w:t>
      </w:r>
      <w:r w:rsidRPr="008711D3">
        <w:rPr>
          <w:rFonts w:ascii="Arial" w:hAnsi="Arial" w:cs="Arial"/>
          <w:color w:val="000000"/>
          <w:lang w:val="es-ES"/>
        </w:rPr>
        <w:t xml:space="preserve">de 2019 según consta en Acta No. </w:t>
      </w:r>
      <w:r w:rsidR="008B7F49">
        <w:rPr>
          <w:rFonts w:ascii="Arial" w:hAnsi="Arial" w:cs="Arial"/>
          <w:color w:val="000000"/>
          <w:lang w:val="es-ES"/>
        </w:rPr>
        <w:t>50</w:t>
      </w:r>
      <w:r w:rsidRPr="008711D3">
        <w:rPr>
          <w:rFonts w:ascii="Arial" w:hAnsi="Arial" w:cs="Arial"/>
          <w:color w:val="000000"/>
          <w:lang w:val="es-ES"/>
        </w:rPr>
        <w:t xml:space="preserve"> de la misma fecha.  </w:t>
      </w:r>
    </w:p>
    <w:p w14:paraId="6161B18C" w14:textId="77777777" w:rsidR="00220366" w:rsidRDefault="00220366" w:rsidP="00220366">
      <w:pPr>
        <w:jc w:val="both"/>
        <w:rPr>
          <w:rFonts w:ascii="Arial" w:hAnsi="Arial" w:cs="Arial"/>
          <w:color w:val="000000"/>
          <w:lang w:val="es-ES"/>
        </w:rPr>
      </w:pPr>
    </w:p>
    <w:p w14:paraId="210D9386" w14:textId="77777777" w:rsidR="00543020" w:rsidRPr="008711D3" w:rsidRDefault="00543020" w:rsidP="00220366">
      <w:pPr>
        <w:jc w:val="both"/>
        <w:rPr>
          <w:rFonts w:ascii="Arial" w:hAnsi="Arial" w:cs="Arial"/>
          <w:color w:val="000000"/>
          <w:lang w:val="es-ES"/>
        </w:rPr>
      </w:pPr>
    </w:p>
    <w:p w14:paraId="422E8694" w14:textId="77777777" w:rsidR="00220366" w:rsidRDefault="00220366" w:rsidP="00220366">
      <w:pPr>
        <w:jc w:val="both"/>
        <w:rPr>
          <w:rFonts w:ascii="Arial" w:hAnsi="Arial" w:cs="Arial"/>
          <w:b/>
        </w:rPr>
      </w:pPr>
    </w:p>
    <w:p w14:paraId="4722F01B" w14:textId="4771DDFF" w:rsidR="001C59F1" w:rsidRPr="008711D3" w:rsidRDefault="00BC4535" w:rsidP="00220366">
      <w:pPr>
        <w:jc w:val="both"/>
        <w:rPr>
          <w:rFonts w:ascii="Arial" w:hAnsi="Arial" w:cs="Arial"/>
          <w:b/>
        </w:rPr>
      </w:pPr>
      <w:r>
        <w:rPr>
          <w:rFonts w:ascii="Arial" w:hAnsi="Arial" w:cs="Arial"/>
          <w:b/>
        </w:rPr>
        <w:t xml:space="preserve">                                                                                                                                                                                     </w:t>
      </w:r>
    </w:p>
    <w:p w14:paraId="0DEDBCBA" w14:textId="182B1074" w:rsidR="00220366" w:rsidRPr="008711D3" w:rsidRDefault="001C59F1" w:rsidP="00220366">
      <w:pPr>
        <w:jc w:val="both"/>
        <w:rPr>
          <w:rFonts w:ascii="Arial" w:hAnsi="Arial" w:cs="Arial"/>
          <w:b/>
          <w:color w:val="000000" w:themeColor="text1"/>
          <w:lang w:val="es-ES"/>
        </w:rPr>
      </w:pPr>
      <w:r>
        <w:rPr>
          <w:rFonts w:ascii="Arial" w:hAnsi="Arial" w:cs="Arial"/>
          <w:b/>
        </w:rPr>
        <w:t xml:space="preserve">JUANITA M. GOEBERTUS </w:t>
      </w:r>
      <w:r w:rsidR="001F110D">
        <w:rPr>
          <w:rFonts w:ascii="Arial" w:hAnsi="Arial" w:cs="Arial"/>
          <w:b/>
        </w:rPr>
        <w:t xml:space="preserve"> </w:t>
      </w:r>
      <w:r w:rsidR="001F110D">
        <w:rPr>
          <w:rFonts w:ascii="Arial" w:hAnsi="Arial" w:cs="Arial"/>
          <w:b/>
        </w:rPr>
        <w:tab/>
      </w:r>
      <w:r>
        <w:rPr>
          <w:rFonts w:ascii="Arial" w:hAnsi="Arial" w:cs="Arial"/>
          <w:b/>
        </w:rPr>
        <w:t xml:space="preserve">           JULIÁN PEINADO RAMÍREZ</w:t>
      </w:r>
      <w:r w:rsidR="00220366" w:rsidRPr="008711D3">
        <w:rPr>
          <w:rFonts w:ascii="Arial" w:hAnsi="Arial" w:cs="Arial"/>
          <w:b/>
        </w:rPr>
        <w:t xml:space="preserve">  </w:t>
      </w:r>
      <w:r w:rsidR="00220366" w:rsidRPr="008711D3">
        <w:rPr>
          <w:rFonts w:ascii="Arial" w:hAnsi="Arial" w:cs="Arial"/>
          <w:b/>
        </w:rPr>
        <w:tab/>
      </w:r>
    </w:p>
    <w:p w14:paraId="746DE0B1" w14:textId="7A1E4865" w:rsidR="00220366" w:rsidRPr="008711D3" w:rsidRDefault="001C59F1" w:rsidP="00220366">
      <w:pPr>
        <w:jc w:val="both"/>
        <w:rPr>
          <w:rFonts w:ascii="Arial" w:hAnsi="Arial" w:cs="Arial"/>
          <w:color w:val="000000" w:themeColor="text1"/>
          <w:lang w:val="es-ES"/>
        </w:rPr>
      </w:pPr>
      <w:r>
        <w:rPr>
          <w:rFonts w:ascii="Arial" w:hAnsi="Arial" w:cs="Arial"/>
          <w:color w:val="000000" w:themeColor="text1"/>
          <w:lang w:val="es-ES"/>
        </w:rPr>
        <w:t>Coordinador Ponente</w:t>
      </w:r>
      <w:r>
        <w:rPr>
          <w:rFonts w:ascii="Arial" w:hAnsi="Arial" w:cs="Arial"/>
          <w:color w:val="000000" w:themeColor="text1"/>
          <w:lang w:val="es-ES"/>
        </w:rPr>
        <w:tab/>
      </w:r>
      <w:r>
        <w:rPr>
          <w:rFonts w:ascii="Arial" w:hAnsi="Arial" w:cs="Arial"/>
          <w:color w:val="000000" w:themeColor="text1"/>
          <w:lang w:val="es-ES"/>
        </w:rPr>
        <w:tab/>
        <w:t xml:space="preserve">           Coordinador Ponentes</w:t>
      </w:r>
    </w:p>
    <w:p w14:paraId="2206DB4C" w14:textId="77777777" w:rsidR="00220366" w:rsidRPr="008711D3" w:rsidRDefault="00220366" w:rsidP="00220366">
      <w:pPr>
        <w:jc w:val="both"/>
        <w:rPr>
          <w:rFonts w:ascii="Arial" w:hAnsi="Arial" w:cs="Arial"/>
          <w:b/>
          <w:color w:val="000000" w:themeColor="text1"/>
          <w:lang w:val="es-ES"/>
        </w:rPr>
      </w:pPr>
    </w:p>
    <w:p w14:paraId="5BF938C1" w14:textId="77777777" w:rsidR="001C59F1" w:rsidRDefault="001C59F1" w:rsidP="001C59F1">
      <w:pPr>
        <w:jc w:val="both"/>
        <w:rPr>
          <w:rFonts w:ascii="Arial" w:hAnsi="Arial" w:cs="Arial"/>
          <w:b/>
          <w:color w:val="000000" w:themeColor="text1"/>
          <w:lang w:val="es-ES"/>
        </w:rPr>
      </w:pPr>
    </w:p>
    <w:p w14:paraId="030329F2" w14:textId="77777777" w:rsidR="001C59F1" w:rsidRDefault="001C59F1" w:rsidP="001C59F1">
      <w:pPr>
        <w:jc w:val="both"/>
        <w:rPr>
          <w:rFonts w:ascii="Arial" w:hAnsi="Arial" w:cs="Arial"/>
          <w:b/>
          <w:color w:val="000000" w:themeColor="text1"/>
          <w:lang w:val="es-ES"/>
        </w:rPr>
      </w:pPr>
    </w:p>
    <w:p w14:paraId="35D7C2CC" w14:textId="0471A8D1" w:rsidR="00220366" w:rsidRPr="008711D3" w:rsidRDefault="001C59F1" w:rsidP="001C59F1">
      <w:pPr>
        <w:jc w:val="both"/>
        <w:rPr>
          <w:rFonts w:ascii="Arial" w:hAnsi="Arial" w:cs="Arial"/>
          <w:b/>
          <w:color w:val="000000" w:themeColor="text1"/>
          <w:lang w:val="es-ES"/>
        </w:rPr>
      </w:pPr>
      <w:r>
        <w:rPr>
          <w:rFonts w:ascii="Arial" w:hAnsi="Arial" w:cs="Arial"/>
          <w:b/>
          <w:color w:val="000000" w:themeColor="text1"/>
          <w:lang w:val="es-ES"/>
        </w:rPr>
        <w:t>GABRIEL SANTOS GARCÍA</w:t>
      </w:r>
      <w:r>
        <w:rPr>
          <w:rFonts w:ascii="Arial" w:hAnsi="Arial" w:cs="Arial"/>
          <w:b/>
          <w:color w:val="000000" w:themeColor="text1"/>
          <w:lang w:val="es-ES"/>
        </w:rPr>
        <w:tab/>
      </w:r>
      <w:r>
        <w:rPr>
          <w:rFonts w:ascii="Arial" w:hAnsi="Arial" w:cs="Arial"/>
          <w:b/>
          <w:color w:val="000000" w:themeColor="text1"/>
          <w:lang w:val="es-ES"/>
        </w:rPr>
        <w:tab/>
      </w:r>
      <w:r w:rsidR="00220366" w:rsidRPr="008711D3">
        <w:rPr>
          <w:rFonts w:ascii="Arial" w:hAnsi="Arial" w:cs="Arial"/>
          <w:b/>
          <w:color w:val="000000" w:themeColor="text1"/>
          <w:lang w:val="es-ES"/>
        </w:rPr>
        <w:t>AMPARO Y. CALDERÓN PERDOMO</w:t>
      </w:r>
    </w:p>
    <w:p w14:paraId="74C1204B" w14:textId="3F70AD5C" w:rsidR="00D24F7A" w:rsidRPr="008711D3" w:rsidRDefault="001C59F1" w:rsidP="00220366">
      <w:pPr>
        <w:jc w:val="both"/>
        <w:rPr>
          <w:rFonts w:ascii="Arial" w:hAnsi="Arial" w:cs="Arial"/>
        </w:rPr>
      </w:pPr>
      <w:r>
        <w:rPr>
          <w:rFonts w:ascii="Arial" w:hAnsi="Arial" w:cs="Arial"/>
          <w:color w:val="000000" w:themeColor="text1"/>
          <w:lang w:val="es-ES"/>
        </w:rPr>
        <w:t>Presidente</w:t>
      </w:r>
      <w:r>
        <w:rPr>
          <w:rFonts w:ascii="Arial" w:hAnsi="Arial" w:cs="Arial"/>
          <w:color w:val="000000" w:themeColor="text1"/>
          <w:lang w:val="es-ES"/>
        </w:rPr>
        <w:tab/>
      </w:r>
      <w:r>
        <w:rPr>
          <w:rFonts w:ascii="Arial" w:hAnsi="Arial" w:cs="Arial"/>
          <w:color w:val="000000" w:themeColor="text1"/>
          <w:lang w:val="es-ES"/>
        </w:rPr>
        <w:tab/>
      </w:r>
      <w:r>
        <w:rPr>
          <w:rFonts w:ascii="Arial" w:hAnsi="Arial" w:cs="Arial"/>
          <w:color w:val="000000" w:themeColor="text1"/>
          <w:lang w:val="es-ES"/>
        </w:rPr>
        <w:tab/>
      </w:r>
      <w:r>
        <w:rPr>
          <w:rFonts w:ascii="Arial" w:hAnsi="Arial" w:cs="Arial"/>
          <w:color w:val="000000" w:themeColor="text1"/>
          <w:lang w:val="es-ES"/>
        </w:rPr>
        <w:tab/>
      </w:r>
      <w:r>
        <w:rPr>
          <w:rFonts w:ascii="Arial" w:hAnsi="Arial" w:cs="Arial"/>
          <w:color w:val="000000" w:themeColor="text1"/>
          <w:lang w:val="es-ES"/>
        </w:rPr>
        <w:tab/>
      </w:r>
      <w:r w:rsidR="00220366" w:rsidRPr="008711D3">
        <w:rPr>
          <w:rFonts w:ascii="Arial" w:hAnsi="Arial" w:cs="Arial"/>
          <w:color w:val="000000" w:themeColor="text1"/>
          <w:lang w:val="es-ES"/>
        </w:rPr>
        <w:t>Secretaria</w:t>
      </w:r>
    </w:p>
    <w:sectPr w:rsidR="00D24F7A" w:rsidRPr="008711D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A612D" w14:textId="77777777" w:rsidR="00541528" w:rsidRDefault="00541528" w:rsidP="00400E1B">
      <w:r>
        <w:separator/>
      </w:r>
    </w:p>
  </w:endnote>
  <w:endnote w:type="continuationSeparator" w:id="0">
    <w:p w14:paraId="10897D0E" w14:textId="77777777" w:rsidR="00541528" w:rsidRDefault="00541528"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C24ACC" w:rsidRPr="00C24ACC">
          <w:rPr>
            <w:noProof/>
            <w:lang w:val="es-ES"/>
          </w:rPr>
          <w:t>7</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FB027" w14:textId="77777777" w:rsidR="00541528" w:rsidRDefault="00541528" w:rsidP="00400E1B">
      <w:r>
        <w:separator/>
      </w:r>
    </w:p>
  </w:footnote>
  <w:footnote w:type="continuationSeparator" w:id="0">
    <w:p w14:paraId="4851DC77" w14:textId="77777777" w:rsidR="00541528" w:rsidRDefault="00541528"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B22752">
      <w:rPr>
        <w:rFonts w:asciiTheme="minorHAnsi" w:eastAsiaTheme="minorHAnsi" w:hAnsiTheme="minorHAnsi" w:cstheme="minorBidi"/>
        <w:b/>
        <w:sz w:val="22"/>
        <w:szCs w:val="22"/>
        <w:lang w:eastAsia="en-US"/>
      </w:rPr>
      <w:fldChar w:fldCharType="begin"/>
    </w:r>
    <w:r w:rsidR="00B2275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22752">
      <w:rPr>
        <w:rFonts w:asciiTheme="minorHAnsi" w:eastAsiaTheme="minorHAnsi" w:hAnsiTheme="minorHAnsi" w:cstheme="minorBidi"/>
        <w:b/>
        <w:sz w:val="22"/>
        <w:szCs w:val="22"/>
        <w:lang w:eastAsia="en-US"/>
      </w:rPr>
      <w:fldChar w:fldCharType="separate"/>
    </w:r>
    <w:r w:rsidR="007F1206">
      <w:rPr>
        <w:rFonts w:asciiTheme="minorHAnsi" w:eastAsiaTheme="minorHAnsi" w:hAnsiTheme="minorHAnsi" w:cstheme="minorBidi"/>
        <w:b/>
        <w:sz w:val="22"/>
        <w:szCs w:val="22"/>
        <w:lang w:eastAsia="en-US"/>
      </w:rPr>
      <w:fldChar w:fldCharType="begin"/>
    </w:r>
    <w:r w:rsidR="007F120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F1206">
      <w:rPr>
        <w:rFonts w:asciiTheme="minorHAnsi" w:eastAsiaTheme="minorHAnsi" w:hAnsiTheme="minorHAnsi" w:cstheme="minorBidi"/>
        <w:b/>
        <w:sz w:val="22"/>
        <w:szCs w:val="22"/>
        <w:lang w:eastAsia="en-US"/>
      </w:rPr>
      <w:fldChar w:fldCharType="separate"/>
    </w:r>
    <w:r w:rsidR="00ED4D4F">
      <w:rPr>
        <w:rFonts w:asciiTheme="minorHAnsi" w:eastAsiaTheme="minorHAnsi" w:hAnsiTheme="minorHAnsi" w:cstheme="minorBidi"/>
        <w:b/>
        <w:sz w:val="22"/>
        <w:szCs w:val="22"/>
        <w:lang w:eastAsia="en-US"/>
      </w:rPr>
      <w:fldChar w:fldCharType="begin"/>
    </w:r>
    <w:r w:rsidR="00ED4D4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D4D4F">
      <w:rPr>
        <w:rFonts w:asciiTheme="minorHAnsi" w:eastAsiaTheme="minorHAnsi" w:hAnsiTheme="minorHAnsi" w:cstheme="minorBidi"/>
        <w:b/>
        <w:sz w:val="22"/>
        <w:szCs w:val="22"/>
        <w:lang w:eastAsia="en-US"/>
      </w:rPr>
      <w:fldChar w:fldCharType="separate"/>
    </w:r>
    <w:r w:rsidR="00D138CE">
      <w:rPr>
        <w:rFonts w:asciiTheme="minorHAnsi" w:eastAsiaTheme="minorHAnsi" w:hAnsiTheme="minorHAnsi" w:cstheme="minorBidi"/>
        <w:b/>
        <w:sz w:val="22"/>
        <w:szCs w:val="22"/>
        <w:lang w:eastAsia="en-US"/>
      </w:rPr>
      <w:fldChar w:fldCharType="begin"/>
    </w:r>
    <w:r w:rsidR="00D138C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138CE">
      <w:rPr>
        <w:rFonts w:asciiTheme="minorHAnsi" w:eastAsiaTheme="minorHAnsi" w:hAnsiTheme="minorHAnsi" w:cstheme="minorBidi"/>
        <w:b/>
        <w:sz w:val="22"/>
        <w:szCs w:val="22"/>
        <w:lang w:eastAsia="en-US"/>
      </w:rPr>
      <w:fldChar w:fldCharType="separate"/>
    </w:r>
    <w:r w:rsidR="002C754C">
      <w:rPr>
        <w:rFonts w:asciiTheme="minorHAnsi" w:eastAsiaTheme="minorHAnsi" w:hAnsiTheme="minorHAnsi" w:cstheme="minorBidi"/>
        <w:b/>
        <w:sz w:val="22"/>
        <w:szCs w:val="22"/>
        <w:lang w:eastAsia="en-US"/>
      </w:rPr>
      <w:fldChar w:fldCharType="begin"/>
    </w:r>
    <w:r w:rsidR="002C754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C754C">
      <w:rPr>
        <w:rFonts w:asciiTheme="minorHAnsi" w:eastAsiaTheme="minorHAnsi" w:hAnsiTheme="minorHAnsi" w:cstheme="minorBidi"/>
        <w:b/>
        <w:sz w:val="22"/>
        <w:szCs w:val="22"/>
        <w:lang w:eastAsia="en-US"/>
      </w:rPr>
      <w:fldChar w:fldCharType="separate"/>
    </w:r>
    <w:r w:rsidR="00550258">
      <w:rPr>
        <w:rFonts w:asciiTheme="minorHAnsi" w:eastAsiaTheme="minorHAnsi" w:hAnsiTheme="minorHAnsi" w:cstheme="minorBidi"/>
        <w:b/>
        <w:sz w:val="22"/>
        <w:szCs w:val="22"/>
        <w:lang w:eastAsia="en-US"/>
      </w:rPr>
      <w:fldChar w:fldCharType="begin"/>
    </w:r>
    <w:r w:rsidR="0055025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50258">
      <w:rPr>
        <w:rFonts w:asciiTheme="minorHAnsi" w:eastAsiaTheme="minorHAnsi" w:hAnsiTheme="minorHAnsi" w:cstheme="minorBidi"/>
        <w:b/>
        <w:sz w:val="22"/>
        <w:szCs w:val="22"/>
        <w:lang w:eastAsia="en-US"/>
      </w:rPr>
      <w:fldChar w:fldCharType="separate"/>
    </w:r>
    <w:r w:rsidR="006A59E6">
      <w:rPr>
        <w:rFonts w:asciiTheme="minorHAnsi" w:eastAsiaTheme="minorHAnsi" w:hAnsiTheme="minorHAnsi" w:cstheme="minorBidi"/>
        <w:b/>
        <w:sz w:val="22"/>
        <w:szCs w:val="22"/>
        <w:lang w:eastAsia="en-US"/>
      </w:rPr>
      <w:fldChar w:fldCharType="begin"/>
    </w:r>
    <w:r w:rsidR="006A59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9E6">
      <w:rPr>
        <w:rFonts w:asciiTheme="minorHAnsi" w:eastAsiaTheme="minorHAnsi" w:hAnsiTheme="minorHAnsi" w:cstheme="minorBidi"/>
        <w:b/>
        <w:sz w:val="22"/>
        <w:szCs w:val="22"/>
        <w:lang w:eastAsia="en-US"/>
      </w:rPr>
      <w:fldChar w:fldCharType="separate"/>
    </w:r>
    <w:r w:rsidR="00EA7C86">
      <w:rPr>
        <w:rFonts w:asciiTheme="minorHAnsi" w:eastAsiaTheme="minorHAnsi" w:hAnsiTheme="minorHAnsi" w:cstheme="minorBidi"/>
        <w:b/>
        <w:sz w:val="22"/>
        <w:szCs w:val="22"/>
        <w:lang w:eastAsia="en-US"/>
      </w:rPr>
      <w:fldChar w:fldCharType="begin"/>
    </w:r>
    <w:r w:rsidR="00EA7C8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A7C86">
      <w:rPr>
        <w:rFonts w:asciiTheme="minorHAnsi" w:eastAsiaTheme="minorHAnsi" w:hAnsiTheme="minorHAnsi" w:cstheme="minorBidi"/>
        <w:b/>
        <w:sz w:val="22"/>
        <w:szCs w:val="22"/>
        <w:lang w:eastAsia="en-US"/>
      </w:rPr>
      <w:fldChar w:fldCharType="separate"/>
    </w:r>
    <w:r w:rsidR="001E09FB">
      <w:rPr>
        <w:rFonts w:asciiTheme="minorHAnsi" w:eastAsiaTheme="minorHAnsi" w:hAnsiTheme="minorHAnsi" w:cstheme="minorBidi"/>
        <w:b/>
        <w:sz w:val="22"/>
        <w:szCs w:val="22"/>
        <w:lang w:eastAsia="en-US"/>
      </w:rPr>
      <w:fldChar w:fldCharType="begin"/>
    </w:r>
    <w:r w:rsidR="001E09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E09FB">
      <w:rPr>
        <w:rFonts w:asciiTheme="minorHAnsi" w:eastAsiaTheme="minorHAnsi" w:hAnsiTheme="minorHAnsi" w:cstheme="minorBidi"/>
        <w:b/>
        <w:sz w:val="22"/>
        <w:szCs w:val="22"/>
        <w:lang w:eastAsia="en-US"/>
      </w:rPr>
      <w:fldChar w:fldCharType="separate"/>
    </w:r>
    <w:r w:rsidR="0019367A">
      <w:rPr>
        <w:rFonts w:asciiTheme="minorHAnsi" w:eastAsiaTheme="minorHAnsi" w:hAnsiTheme="minorHAnsi" w:cstheme="minorBidi"/>
        <w:b/>
        <w:sz w:val="22"/>
        <w:szCs w:val="22"/>
        <w:lang w:eastAsia="en-US"/>
      </w:rPr>
      <w:fldChar w:fldCharType="begin"/>
    </w:r>
    <w:r w:rsidR="0019367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9367A">
      <w:rPr>
        <w:rFonts w:asciiTheme="minorHAnsi" w:eastAsiaTheme="minorHAnsi" w:hAnsiTheme="minorHAnsi" w:cstheme="minorBidi"/>
        <w:b/>
        <w:sz w:val="22"/>
        <w:szCs w:val="22"/>
        <w:lang w:eastAsia="en-US"/>
      </w:rPr>
      <w:fldChar w:fldCharType="separate"/>
    </w:r>
    <w:r w:rsidR="00AA48A8">
      <w:rPr>
        <w:rFonts w:asciiTheme="minorHAnsi" w:eastAsiaTheme="minorHAnsi" w:hAnsiTheme="minorHAnsi" w:cstheme="minorBidi"/>
        <w:b/>
        <w:sz w:val="22"/>
        <w:szCs w:val="22"/>
        <w:lang w:eastAsia="en-US"/>
      </w:rPr>
      <w:fldChar w:fldCharType="begin"/>
    </w:r>
    <w:r w:rsidR="00AA48A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8A8">
      <w:rPr>
        <w:rFonts w:asciiTheme="minorHAnsi" w:eastAsiaTheme="minorHAnsi" w:hAnsiTheme="minorHAnsi" w:cstheme="minorBidi"/>
        <w:b/>
        <w:sz w:val="22"/>
        <w:szCs w:val="22"/>
        <w:lang w:eastAsia="en-US"/>
      </w:rPr>
      <w:fldChar w:fldCharType="separate"/>
    </w:r>
    <w:r w:rsidR="00792727">
      <w:rPr>
        <w:rFonts w:asciiTheme="minorHAnsi" w:eastAsiaTheme="minorHAnsi" w:hAnsiTheme="minorHAnsi" w:cstheme="minorBidi"/>
        <w:b/>
        <w:sz w:val="22"/>
        <w:szCs w:val="22"/>
        <w:lang w:eastAsia="en-US"/>
      </w:rPr>
      <w:fldChar w:fldCharType="begin"/>
    </w:r>
    <w:r w:rsidR="0079272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92727">
      <w:rPr>
        <w:rFonts w:asciiTheme="minorHAnsi" w:eastAsiaTheme="minorHAnsi" w:hAnsiTheme="minorHAnsi" w:cstheme="minorBidi"/>
        <w:b/>
        <w:sz w:val="22"/>
        <w:szCs w:val="22"/>
        <w:lang w:eastAsia="en-US"/>
      </w:rPr>
      <w:fldChar w:fldCharType="separate"/>
    </w:r>
    <w:r w:rsidR="00BF2E1C">
      <w:rPr>
        <w:rFonts w:asciiTheme="minorHAnsi" w:eastAsiaTheme="minorHAnsi" w:hAnsiTheme="minorHAnsi" w:cstheme="minorBidi"/>
        <w:b/>
        <w:sz w:val="22"/>
        <w:szCs w:val="22"/>
        <w:lang w:eastAsia="en-US"/>
      </w:rPr>
      <w:fldChar w:fldCharType="begin"/>
    </w:r>
    <w:r w:rsidR="00BF2E1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F2E1C">
      <w:rPr>
        <w:rFonts w:asciiTheme="minorHAnsi" w:eastAsiaTheme="minorHAnsi" w:hAnsiTheme="minorHAnsi" w:cstheme="minorBidi"/>
        <w:b/>
        <w:sz w:val="22"/>
        <w:szCs w:val="22"/>
        <w:lang w:eastAsia="en-US"/>
      </w:rPr>
      <w:fldChar w:fldCharType="separate"/>
    </w:r>
    <w:r w:rsidR="00DE162F">
      <w:rPr>
        <w:rFonts w:asciiTheme="minorHAnsi" w:eastAsiaTheme="minorHAnsi" w:hAnsiTheme="minorHAnsi" w:cstheme="minorBidi"/>
        <w:b/>
        <w:sz w:val="22"/>
        <w:szCs w:val="22"/>
        <w:lang w:eastAsia="en-US"/>
      </w:rPr>
      <w:fldChar w:fldCharType="begin"/>
    </w:r>
    <w:r w:rsidR="00DE162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E162F">
      <w:rPr>
        <w:rFonts w:asciiTheme="minorHAnsi" w:eastAsiaTheme="minorHAnsi" w:hAnsiTheme="minorHAnsi" w:cstheme="minorBidi"/>
        <w:b/>
        <w:sz w:val="22"/>
        <w:szCs w:val="22"/>
        <w:lang w:eastAsia="en-US"/>
      </w:rPr>
      <w:fldChar w:fldCharType="separate"/>
    </w:r>
    <w:r w:rsidR="00D327D9">
      <w:rPr>
        <w:rFonts w:asciiTheme="minorHAnsi" w:eastAsiaTheme="minorHAnsi" w:hAnsiTheme="minorHAnsi" w:cstheme="minorBidi"/>
        <w:b/>
        <w:sz w:val="22"/>
        <w:szCs w:val="22"/>
        <w:lang w:eastAsia="en-US"/>
      </w:rPr>
      <w:fldChar w:fldCharType="begin"/>
    </w:r>
    <w:r w:rsidR="00D327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327D9">
      <w:rPr>
        <w:rFonts w:asciiTheme="minorHAnsi" w:eastAsiaTheme="minorHAnsi" w:hAnsiTheme="minorHAnsi" w:cstheme="minorBidi"/>
        <w:b/>
        <w:sz w:val="22"/>
        <w:szCs w:val="22"/>
        <w:lang w:eastAsia="en-US"/>
      </w:rPr>
      <w:fldChar w:fldCharType="separate"/>
    </w:r>
    <w:r w:rsidR="00333AAF">
      <w:rPr>
        <w:rFonts w:asciiTheme="minorHAnsi" w:eastAsiaTheme="minorHAnsi" w:hAnsiTheme="minorHAnsi" w:cstheme="minorBidi"/>
        <w:b/>
        <w:sz w:val="22"/>
        <w:szCs w:val="22"/>
        <w:lang w:eastAsia="en-US"/>
      </w:rPr>
      <w:fldChar w:fldCharType="begin"/>
    </w:r>
    <w:r w:rsidR="00333AA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33AAF">
      <w:rPr>
        <w:rFonts w:asciiTheme="minorHAnsi" w:eastAsiaTheme="minorHAnsi" w:hAnsiTheme="minorHAnsi" w:cstheme="minorBidi"/>
        <w:b/>
        <w:sz w:val="22"/>
        <w:szCs w:val="22"/>
        <w:lang w:eastAsia="en-US"/>
      </w:rPr>
      <w:fldChar w:fldCharType="separate"/>
    </w:r>
    <w:r w:rsidR="00FB63FD">
      <w:rPr>
        <w:rFonts w:asciiTheme="minorHAnsi" w:eastAsiaTheme="minorHAnsi" w:hAnsiTheme="minorHAnsi" w:cstheme="minorBidi"/>
        <w:b/>
        <w:sz w:val="22"/>
        <w:szCs w:val="22"/>
        <w:lang w:eastAsia="en-US"/>
      </w:rPr>
      <w:fldChar w:fldCharType="begin"/>
    </w:r>
    <w:r w:rsidR="00FB63F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B63FD">
      <w:rPr>
        <w:rFonts w:asciiTheme="minorHAnsi" w:eastAsiaTheme="minorHAnsi" w:hAnsiTheme="minorHAnsi" w:cstheme="minorBidi"/>
        <w:b/>
        <w:sz w:val="22"/>
        <w:szCs w:val="22"/>
        <w:lang w:eastAsia="en-US"/>
      </w:rPr>
      <w:fldChar w:fldCharType="separate"/>
    </w:r>
    <w:r w:rsidR="008F28DC">
      <w:rPr>
        <w:rFonts w:asciiTheme="minorHAnsi" w:eastAsiaTheme="minorHAnsi" w:hAnsiTheme="minorHAnsi" w:cstheme="minorBidi"/>
        <w:b/>
        <w:sz w:val="22"/>
        <w:szCs w:val="22"/>
        <w:lang w:eastAsia="en-US"/>
      </w:rPr>
      <w:fldChar w:fldCharType="begin"/>
    </w:r>
    <w:r w:rsidR="008F28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F28DC">
      <w:rPr>
        <w:rFonts w:asciiTheme="minorHAnsi" w:eastAsiaTheme="minorHAnsi" w:hAnsiTheme="minorHAnsi" w:cstheme="minorBidi"/>
        <w:b/>
        <w:sz w:val="22"/>
        <w:szCs w:val="22"/>
        <w:lang w:eastAsia="en-US"/>
      </w:rPr>
      <w:fldChar w:fldCharType="separate"/>
    </w:r>
    <w:r w:rsidR="004C3242">
      <w:rPr>
        <w:rFonts w:asciiTheme="minorHAnsi" w:eastAsiaTheme="minorHAnsi" w:hAnsiTheme="minorHAnsi" w:cstheme="minorBidi"/>
        <w:b/>
        <w:sz w:val="22"/>
        <w:szCs w:val="22"/>
        <w:lang w:eastAsia="en-US"/>
      </w:rPr>
      <w:fldChar w:fldCharType="begin"/>
    </w:r>
    <w:r w:rsidR="004C324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C3242">
      <w:rPr>
        <w:rFonts w:asciiTheme="minorHAnsi" w:eastAsiaTheme="minorHAnsi" w:hAnsiTheme="minorHAnsi" w:cstheme="minorBidi"/>
        <w:b/>
        <w:sz w:val="22"/>
        <w:szCs w:val="22"/>
        <w:lang w:eastAsia="en-US"/>
      </w:rPr>
      <w:fldChar w:fldCharType="separate"/>
    </w:r>
    <w:r w:rsidR="00541528">
      <w:rPr>
        <w:rFonts w:asciiTheme="minorHAnsi" w:eastAsiaTheme="minorHAnsi" w:hAnsiTheme="minorHAnsi" w:cstheme="minorBidi"/>
        <w:b/>
        <w:sz w:val="22"/>
        <w:szCs w:val="22"/>
        <w:lang w:eastAsia="en-US"/>
      </w:rPr>
      <w:fldChar w:fldCharType="begin"/>
    </w:r>
    <w:r w:rsidR="00541528">
      <w:rPr>
        <w:rFonts w:asciiTheme="minorHAnsi" w:eastAsiaTheme="minorHAnsi" w:hAnsiTheme="minorHAnsi" w:cstheme="minorBidi"/>
        <w:b/>
        <w:sz w:val="22"/>
        <w:szCs w:val="22"/>
        <w:lang w:eastAsia="en-US"/>
      </w:rPr>
      <w:instrText xml:space="preserve"> </w:instrText>
    </w:r>
    <w:r w:rsidR="00541528">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541528">
      <w:rPr>
        <w:rFonts w:asciiTheme="minorHAnsi" w:eastAsiaTheme="minorHAnsi" w:hAnsiTheme="minorHAnsi" w:cstheme="minorBidi"/>
        <w:b/>
        <w:sz w:val="22"/>
        <w:szCs w:val="22"/>
        <w:lang w:eastAsia="en-US"/>
      </w:rPr>
      <w:instrText xml:space="preserve"> </w:instrText>
    </w:r>
    <w:r w:rsidR="00541528">
      <w:rPr>
        <w:rFonts w:asciiTheme="minorHAnsi" w:eastAsiaTheme="minorHAnsi" w:hAnsiTheme="minorHAnsi" w:cstheme="minorBidi"/>
        <w:b/>
        <w:sz w:val="22"/>
        <w:szCs w:val="22"/>
        <w:lang w:eastAsia="en-US"/>
      </w:rPr>
      <w:fldChar w:fldCharType="separate"/>
    </w:r>
    <w:r w:rsidR="00541528">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541528">
      <w:rPr>
        <w:rFonts w:asciiTheme="minorHAnsi" w:eastAsiaTheme="minorHAnsi" w:hAnsiTheme="minorHAnsi" w:cstheme="minorBidi"/>
        <w:b/>
        <w:sz w:val="22"/>
        <w:szCs w:val="22"/>
        <w:lang w:eastAsia="en-US"/>
      </w:rPr>
      <w:fldChar w:fldCharType="end"/>
    </w:r>
    <w:r w:rsidR="004C3242">
      <w:rPr>
        <w:rFonts w:asciiTheme="minorHAnsi" w:eastAsiaTheme="minorHAnsi" w:hAnsiTheme="minorHAnsi" w:cstheme="minorBidi"/>
        <w:b/>
        <w:sz w:val="22"/>
        <w:szCs w:val="22"/>
        <w:lang w:eastAsia="en-US"/>
      </w:rPr>
      <w:fldChar w:fldCharType="end"/>
    </w:r>
    <w:r w:rsidR="008F28DC">
      <w:rPr>
        <w:rFonts w:asciiTheme="minorHAnsi" w:eastAsiaTheme="minorHAnsi" w:hAnsiTheme="minorHAnsi" w:cstheme="minorBidi"/>
        <w:b/>
        <w:sz w:val="22"/>
        <w:szCs w:val="22"/>
        <w:lang w:eastAsia="en-US"/>
      </w:rPr>
      <w:fldChar w:fldCharType="end"/>
    </w:r>
    <w:r w:rsidR="00FB63FD">
      <w:rPr>
        <w:rFonts w:asciiTheme="minorHAnsi" w:eastAsiaTheme="minorHAnsi" w:hAnsiTheme="minorHAnsi" w:cstheme="minorBidi"/>
        <w:b/>
        <w:sz w:val="22"/>
        <w:szCs w:val="22"/>
        <w:lang w:eastAsia="en-US"/>
      </w:rPr>
      <w:fldChar w:fldCharType="end"/>
    </w:r>
    <w:r w:rsidR="00333AAF">
      <w:rPr>
        <w:rFonts w:asciiTheme="minorHAnsi" w:eastAsiaTheme="minorHAnsi" w:hAnsiTheme="minorHAnsi" w:cstheme="minorBidi"/>
        <w:b/>
        <w:sz w:val="22"/>
        <w:szCs w:val="22"/>
        <w:lang w:eastAsia="en-US"/>
      </w:rPr>
      <w:fldChar w:fldCharType="end"/>
    </w:r>
    <w:r w:rsidR="00D327D9">
      <w:rPr>
        <w:rFonts w:asciiTheme="minorHAnsi" w:eastAsiaTheme="minorHAnsi" w:hAnsiTheme="minorHAnsi" w:cstheme="minorBidi"/>
        <w:b/>
        <w:sz w:val="22"/>
        <w:szCs w:val="22"/>
        <w:lang w:eastAsia="en-US"/>
      </w:rPr>
      <w:fldChar w:fldCharType="end"/>
    </w:r>
    <w:r w:rsidR="00DE162F">
      <w:rPr>
        <w:rFonts w:asciiTheme="minorHAnsi" w:eastAsiaTheme="minorHAnsi" w:hAnsiTheme="minorHAnsi" w:cstheme="minorBidi"/>
        <w:b/>
        <w:sz w:val="22"/>
        <w:szCs w:val="22"/>
        <w:lang w:eastAsia="en-US"/>
      </w:rPr>
      <w:fldChar w:fldCharType="end"/>
    </w:r>
    <w:r w:rsidR="00BF2E1C">
      <w:rPr>
        <w:rFonts w:asciiTheme="minorHAnsi" w:eastAsiaTheme="minorHAnsi" w:hAnsiTheme="minorHAnsi" w:cstheme="minorBidi"/>
        <w:b/>
        <w:sz w:val="22"/>
        <w:szCs w:val="22"/>
        <w:lang w:eastAsia="en-US"/>
      </w:rPr>
      <w:fldChar w:fldCharType="end"/>
    </w:r>
    <w:r w:rsidR="00792727">
      <w:rPr>
        <w:rFonts w:asciiTheme="minorHAnsi" w:eastAsiaTheme="minorHAnsi" w:hAnsiTheme="minorHAnsi" w:cstheme="minorBidi"/>
        <w:b/>
        <w:sz w:val="22"/>
        <w:szCs w:val="22"/>
        <w:lang w:eastAsia="en-US"/>
      </w:rPr>
      <w:fldChar w:fldCharType="end"/>
    </w:r>
    <w:r w:rsidR="00AA48A8">
      <w:rPr>
        <w:rFonts w:asciiTheme="minorHAnsi" w:eastAsiaTheme="minorHAnsi" w:hAnsiTheme="minorHAnsi" w:cstheme="minorBidi"/>
        <w:b/>
        <w:sz w:val="22"/>
        <w:szCs w:val="22"/>
        <w:lang w:eastAsia="en-US"/>
      </w:rPr>
      <w:fldChar w:fldCharType="end"/>
    </w:r>
    <w:r w:rsidR="0019367A">
      <w:rPr>
        <w:rFonts w:asciiTheme="minorHAnsi" w:eastAsiaTheme="minorHAnsi" w:hAnsiTheme="minorHAnsi" w:cstheme="minorBidi"/>
        <w:b/>
        <w:sz w:val="22"/>
        <w:szCs w:val="22"/>
        <w:lang w:eastAsia="en-US"/>
      </w:rPr>
      <w:fldChar w:fldCharType="end"/>
    </w:r>
    <w:r w:rsidR="001E09FB">
      <w:rPr>
        <w:rFonts w:asciiTheme="minorHAnsi" w:eastAsiaTheme="minorHAnsi" w:hAnsiTheme="minorHAnsi" w:cstheme="minorBidi"/>
        <w:b/>
        <w:sz w:val="22"/>
        <w:szCs w:val="22"/>
        <w:lang w:eastAsia="en-US"/>
      </w:rPr>
      <w:fldChar w:fldCharType="end"/>
    </w:r>
    <w:r w:rsidR="00EA7C86">
      <w:rPr>
        <w:rFonts w:asciiTheme="minorHAnsi" w:eastAsiaTheme="minorHAnsi" w:hAnsiTheme="minorHAnsi" w:cstheme="minorBidi"/>
        <w:b/>
        <w:sz w:val="22"/>
        <w:szCs w:val="22"/>
        <w:lang w:eastAsia="en-US"/>
      </w:rPr>
      <w:fldChar w:fldCharType="end"/>
    </w:r>
    <w:r w:rsidR="006A59E6">
      <w:rPr>
        <w:rFonts w:asciiTheme="minorHAnsi" w:eastAsiaTheme="minorHAnsi" w:hAnsiTheme="minorHAnsi" w:cstheme="minorBidi"/>
        <w:b/>
        <w:sz w:val="22"/>
        <w:szCs w:val="22"/>
        <w:lang w:eastAsia="en-US"/>
      </w:rPr>
      <w:fldChar w:fldCharType="end"/>
    </w:r>
    <w:r w:rsidR="00550258">
      <w:rPr>
        <w:rFonts w:asciiTheme="minorHAnsi" w:eastAsiaTheme="minorHAnsi" w:hAnsiTheme="minorHAnsi" w:cstheme="minorBidi"/>
        <w:b/>
        <w:sz w:val="22"/>
        <w:szCs w:val="22"/>
        <w:lang w:eastAsia="en-US"/>
      </w:rPr>
      <w:fldChar w:fldCharType="end"/>
    </w:r>
    <w:r w:rsidR="002C754C">
      <w:rPr>
        <w:rFonts w:asciiTheme="minorHAnsi" w:eastAsiaTheme="minorHAnsi" w:hAnsiTheme="minorHAnsi" w:cstheme="minorBidi"/>
        <w:b/>
        <w:sz w:val="22"/>
        <w:szCs w:val="22"/>
        <w:lang w:eastAsia="en-US"/>
      </w:rPr>
      <w:fldChar w:fldCharType="end"/>
    </w:r>
    <w:r w:rsidR="00D138CE">
      <w:rPr>
        <w:rFonts w:asciiTheme="minorHAnsi" w:eastAsiaTheme="minorHAnsi" w:hAnsiTheme="minorHAnsi" w:cstheme="minorBidi"/>
        <w:b/>
        <w:sz w:val="22"/>
        <w:szCs w:val="22"/>
        <w:lang w:eastAsia="en-US"/>
      </w:rPr>
      <w:fldChar w:fldCharType="end"/>
    </w:r>
    <w:r w:rsidR="00ED4D4F">
      <w:rPr>
        <w:rFonts w:asciiTheme="minorHAnsi" w:eastAsiaTheme="minorHAnsi" w:hAnsiTheme="minorHAnsi" w:cstheme="minorBidi"/>
        <w:b/>
        <w:sz w:val="22"/>
        <w:szCs w:val="22"/>
        <w:lang w:eastAsia="en-US"/>
      </w:rPr>
      <w:fldChar w:fldCharType="end"/>
    </w:r>
    <w:r w:rsidR="007F1206">
      <w:rPr>
        <w:rFonts w:asciiTheme="minorHAnsi" w:eastAsiaTheme="minorHAnsi" w:hAnsiTheme="minorHAnsi" w:cstheme="minorBidi"/>
        <w:b/>
        <w:sz w:val="22"/>
        <w:szCs w:val="22"/>
        <w:lang w:eastAsia="en-US"/>
      </w:rPr>
      <w:fldChar w:fldCharType="end"/>
    </w:r>
    <w:r w:rsidR="00B22752">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D01A72"/>
    <w:multiLevelType w:val="multilevel"/>
    <w:tmpl w:val="B46C03C2"/>
    <w:lvl w:ilvl="0">
      <w:start w:val="3"/>
      <w:numFmt w:val="decimal"/>
      <w:lvlText w:val="%1."/>
      <w:lvlJc w:val="left"/>
      <w:pPr>
        <w:ind w:left="390" w:hanging="390"/>
      </w:pPr>
      <w:rPr>
        <w:rFonts w:hint="default"/>
      </w:rPr>
    </w:lvl>
    <w:lvl w:ilvl="1">
      <w:start w:val="8"/>
      <w:numFmt w:val="decimal"/>
      <w:lvlText w:val="%1.%2."/>
      <w:lvlJc w:val="left"/>
      <w:pPr>
        <w:ind w:left="1003" w:hanging="720"/>
      </w:pPr>
      <w:rPr>
        <w:rFonts w:hint="default"/>
        <w:b/>
        <w:color w:val="auto"/>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5"/>
  </w:num>
  <w:num w:numId="12">
    <w:abstractNumId w:val="4"/>
  </w:num>
  <w:num w:numId="13">
    <w:abstractNumId w:val="7"/>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09E"/>
    <w:rsid w:val="0005144B"/>
    <w:rsid w:val="00056468"/>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11261"/>
    <w:rsid w:val="00144AB8"/>
    <w:rsid w:val="00146EBC"/>
    <w:rsid w:val="001511DD"/>
    <w:rsid w:val="001521A8"/>
    <w:rsid w:val="0015340B"/>
    <w:rsid w:val="00157531"/>
    <w:rsid w:val="00165977"/>
    <w:rsid w:val="00173AD7"/>
    <w:rsid w:val="00187988"/>
    <w:rsid w:val="0019367A"/>
    <w:rsid w:val="001A6175"/>
    <w:rsid w:val="001A75DA"/>
    <w:rsid w:val="001C59F1"/>
    <w:rsid w:val="001C7352"/>
    <w:rsid w:val="001E03FB"/>
    <w:rsid w:val="001E09FB"/>
    <w:rsid w:val="001F110D"/>
    <w:rsid w:val="001F16D5"/>
    <w:rsid w:val="001F3862"/>
    <w:rsid w:val="001F68F1"/>
    <w:rsid w:val="002006D9"/>
    <w:rsid w:val="00202B64"/>
    <w:rsid w:val="0020330E"/>
    <w:rsid w:val="00203789"/>
    <w:rsid w:val="00220366"/>
    <w:rsid w:val="00232127"/>
    <w:rsid w:val="0023460F"/>
    <w:rsid w:val="002429AE"/>
    <w:rsid w:val="00244CBE"/>
    <w:rsid w:val="00245EF6"/>
    <w:rsid w:val="00260111"/>
    <w:rsid w:val="0026018B"/>
    <w:rsid w:val="00260ADD"/>
    <w:rsid w:val="002728AC"/>
    <w:rsid w:val="00280C0A"/>
    <w:rsid w:val="00286E77"/>
    <w:rsid w:val="00290614"/>
    <w:rsid w:val="002B0F16"/>
    <w:rsid w:val="002C49E5"/>
    <w:rsid w:val="002C754C"/>
    <w:rsid w:val="002E7949"/>
    <w:rsid w:val="002F1E2C"/>
    <w:rsid w:val="002F578C"/>
    <w:rsid w:val="0030009B"/>
    <w:rsid w:val="00300E54"/>
    <w:rsid w:val="003015FF"/>
    <w:rsid w:val="00304565"/>
    <w:rsid w:val="003073D1"/>
    <w:rsid w:val="00310F93"/>
    <w:rsid w:val="00314072"/>
    <w:rsid w:val="00316708"/>
    <w:rsid w:val="00320504"/>
    <w:rsid w:val="00333AAF"/>
    <w:rsid w:val="00341041"/>
    <w:rsid w:val="00350573"/>
    <w:rsid w:val="00356691"/>
    <w:rsid w:val="00360667"/>
    <w:rsid w:val="00367C96"/>
    <w:rsid w:val="00392472"/>
    <w:rsid w:val="00394EBC"/>
    <w:rsid w:val="003B52EB"/>
    <w:rsid w:val="003C1552"/>
    <w:rsid w:val="003C45CE"/>
    <w:rsid w:val="003E4041"/>
    <w:rsid w:val="003F4D1C"/>
    <w:rsid w:val="003F73AF"/>
    <w:rsid w:val="00400E1B"/>
    <w:rsid w:val="00403776"/>
    <w:rsid w:val="0041326F"/>
    <w:rsid w:val="00422D55"/>
    <w:rsid w:val="00427362"/>
    <w:rsid w:val="00435756"/>
    <w:rsid w:val="00436226"/>
    <w:rsid w:val="00443039"/>
    <w:rsid w:val="004455B7"/>
    <w:rsid w:val="00450CAB"/>
    <w:rsid w:val="00451A49"/>
    <w:rsid w:val="00452B2A"/>
    <w:rsid w:val="004570F3"/>
    <w:rsid w:val="0047283F"/>
    <w:rsid w:val="00481C48"/>
    <w:rsid w:val="0048397C"/>
    <w:rsid w:val="004A46C3"/>
    <w:rsid w:val="004B2919"/>
    <w:rsid w:val="004C3242"/>
    <w:rsid w:val="004C57AF"/>
    <w:rsid w:val="004C5F9B"/>
    <w:rsid w:val="004C7323"/>
    <w:rsid w:val="004D3EA4"/>
    <w:rsid w:val="004F7714"/>
    <w:rsid w:val="00523D7D"/>
    <w:rsid w:val="005258CA"/>
    <w:rsid w:val="00541528"/>
    <w:rsid w:val="00543020"/>
    <w:rsid w:val="00547EE8"/>
    <w:rsid w:val="00550258"/>
    <w:rsid w:val="00553D1D"/>
    <w:rsid w:val="00561360"/>
    <w:rsid w:val="0058017D"/>
    <w:rsid w:val="005852FD"/>
    <w:rsid w:val="00594D4C"/>
    <w:rsid w:val="005A01D3"/>
    <w:rsid w:val="005A197D"/>
    <w:rsid w:val="005A1FEB"/>
    <w:rsid w:val="005A2456"/>
    <w:rsid w:val="005A72CD"/>
    <w:rsid w:val="005A78FC"/>
    <w:rsid w:val="005B701D"/>
    <w:rsid w:val="005D444E"/>
    <w:rsid w:val="005D5CA4"/>
    <w:rsid w:val="005F01E5"/>
    <w:rsid w:val="00613D44"/>
    <w:rsid w:val="00621388"/>
    <w:rsid w:val="00631F20"/>
    <w:rsid w:val="006435A1"/>
    <w:rsid w:val="0064457D"/>
    <w:rsid w:val="006671B2"/>
    <w:rsid w:val="00667246"/>
    <w:rsid w:val="006675D4"/>
    <w:rsid w:val="00674B7F"/>
    <w:rsid w:val="00683103"/>
    <w:rsid w:val="0069721B"/>
    <w:rsid w:val="0069782E"/>
    <w:rsid w:val="006A59E6"/>
    <w:rsid w:val="006A5CE6"/>
    <w:rsid w:val="006B0D71"/>
    <w:rsid w:val="006C402A"/>
    <w:rsid w:val="006C4A82"/>
    <w:rsid w:val="006C52C7"/>
    <w:rsid w:val="006E3DDA"/>
    <w:rsid w:val="006E6412"/>
    <w:rsid w:val="006F26BD"/>
    <w:rsid w:val="006F6AAB"/>
    <w:rsid w:val="00702112"/>
    <w:rsid w:val="00704A60"/>
    <w:rsid w:val="00707184"/>
    <w:rsid w:val="007148A4"/>
    <w:rsid w:val="00721011"/>
    <w:rsid w:val="0072566B"/>
    <w:rsid w:val="00736795"/>
    <w:rsid w:val="00737AA3"/>
    <w:rsid w:val="0074737E"/>
    <w:rsid w:val="00747D8F"/>
    <w:rsid w:val="007527D2"/>
    <w:rsid w:val="00771F4E"/>
    <w:rsid w:val="007757FA"/>
    <w:rsid w:val="00775BB4"/>
    <w:rsid w:val="00782721"/>
    <w:rsid w:val="00792727"/>
    <w:rsid w:val="007C0885"/>
    <w:rsid w:val="007C36F0"/>
    <w:rsid w:val="007D0898"/>
    <w:rsid w:val="007D5DEE"/>
    <w:rsid w:val="007D6ABE"/>
    <w:rsid w:val="007E632C"/>
    <w:rsid w:val="007F1206"/>
    <w:rsid w:val="007F49CC"/>
    <w:rsid w:val="00800527"/>
    <w:rsid w:val="00800625"/>
    <w:rsid w:val="008034BF"/>
    <w:rsid w:val="00813DE3"/>
    <w:rsid w:val="008164F2"/>
    <w:rsid w:val="00820418"/>
    <w:rsid w:val="00833D07"/>
    <w:rsid w:val="0084028F"/>
    <w:rsid w:val="00847969"/>
    <w:rsid w:val="00847F37"/>
    <w:rsid w:val="008515B2"/>
    <w:rsid w:val="008625A3"/>
    <w:rsid w:val="00870441"/>
    <w:rsid w:val="008711D3"/>
    <w:rsid w:val="00875AD9"/>
    <w:rsid w:val="00885008"/>
    <w:rsid w:val="008A0533"/>
    <w:rsid w:val="008A4C20"/>
    <w:rsid w:val="008B139D"/>
    <w:rsid w:val="008B7F49"/>
    <w:rsid w:val="008C31A6"/>
    <w:rsid w:val="008C5282"/>
    <w:rsid w:val="008C5C44"/>
    <w:rsid w:val="008D12B9"/>
    <w:rsid w:val="008E3753"/>
    <w:rsid w:val="008E5B07"/>
    <w:rsid w:val="008F28DC"/>
    <w:rsid w:val="008F6E8C"/>
    <w:rsid w:val="00903E93"/>
    <w:rsid w:val="00910B45"/>
    <w:rsid w:val="0092120F"/>
    <w:rsid w:val="00940F28"/>
    <w:rsid w:val="0095138F"/>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02795"/>
    <w:rsid w:val="00A05633"/>
    <w:rsid w:val="00A1797A"/>
    <w:rsid w:val="00A31154"/>
    <w:rsid w:val="00A364C4"/>
    <w:rsid w:val="00A444C9"/>
    <w:rsid w:val="00A52A53"/>
    <w:rsid w:val="00A755F7"/>
    <w:rsid w:val="00A76C9B"/>
    <w:rsid w:val="00A9096A"/>
    <w:rsid w:val="00AA4708"/>
    <w:rsid w:val="00AA48A8"/>
    <w:rsid w:val="00AB1676"/>
    <w:rsid w:val="00AB5672"/>
    <w:rsid w:val="00AB70E5"/>
    <w:rsid w:val="00AB76DC"/>
    <w:rsid w:val="00AC2757"/>
    <w:rsid w:val="00AC6158"/>
    <w:rsid w:val="00AD4509"/>
    <w:rsid w:val="00AD6EE4"/>
    <w:rsid w:val="00AF2658"/>
    <w:rsid w:val="00AF2BDA"/>
    <w:rsid w:val="00B0358A"/>
    <w:rsid w:val="00B1511A"/>
    <w:rsid w:val="00B22752"/>
    <w:rsid w:val="00B22B3F"/>
    <w:rsid w:val="00B23AC1"/>
    <w:rsid w:val="00B32080"/>
    <w:rsid w:val="00B47D3D"/>
    <w:rsid w:val="00B61595"/>
    <w:rsid w:val="00B63E87"/>
    <w:rsid w:val="00B64CE9"/>
    <w:rsid w:val="00B730EE"/>
    <w:rsid w:val="00B73531"/>
    <w:rsid w:val="00B755B3"/>
    <w:rsid w:val="00B7732F"/>
    <w:rsid w:val="00B904D5"/>
    <w:rsid w:val="00B91956"/>
    <w:rsid w:val="00BA003C"/>
    <w:rsid w:val="00BA140B"/>
    <w:rsid w:val="00BA1700"/>
    <w:rsid w:val="00BC38F6"/>
    <w:rsid w:val="00BC3FC3"/>
    <w:rsid w:val="00BC4535"/>
    <w:rsid w:val="00BC74FC"/>
    <w:rsid w:val="00BC7EF5"/>
    <w:rsid w:val="00BD3556"/>
    <w:rsid w:val="00BE05E3"/>
    <w:rsid w:val="00BE211C"/>
    <w:rsid w:val="00BE672B"/>
    <w:rsid w:val="00BE7D01"/>
    <w:rsid w:val="00BF2E1C"/>
    <w:rsid w:val="00C10F75"/>
    <w:rsid w:val="00C12B35"/>
    <w:rsid w:val="00C14448"/>
    <w:rsid w:val="00C14F9F"/>
    <w:rsid w:val="00C159E1"/>
    <w:rsid w:val="00C15B7F"/>
    <w:rsid w:val="00C24A4A"/>
    <w:rsid w:val="00C24ACC"/>
    <w:rsid w:val="00C64435"/>
    <w:rsid w:val="00C65535"/>
    <w:rsid w:val="00C66CD8"/>
    <w:rsid w:val="00C709AD"/>
    <w:rsid w:val="00C7399A"/>
    <w:rsid w:val="00C74EDE"/>
    <w:rsid w:val="00C81C61"/>
    <w:rsid w:val="00C86BC5"/>
    <w:rsid w:val="00CA11B8"/>
    <w:rsid w:val="00CA4D7F"/>
    <w:rsid w:val="00CB0177"/>
    <w:rsid w:val="00CD416A"/>
    <w:rsid w:val="00CE2FDE"/>
    <w:rsid w:val="00CE744E"/>
    <w:rsid w:val="00CF1380"/>
    <w:rsid w:val="00CF2D1F"/>
    <w:rsid w:val="00CF62D5"/>
    <w:rsid w:val="00D06B20"/>
    <w:rsid w:val="00D138CE"/>
    <w:rsid w:val="00D24F7A"/>
    <w:rsid w:val="00D2576A"/>
    <w:rsid w:val="00D2780A"/>
    <w:rsid w:val="00D327D9"/>
    <w:rsid w:val="00D32D6B"/>
    <w:rsid w:val="00D4008E"/>
    <w:rsid w:val="00D435A5"/>
    <w:rsid w:val="00D44913"/>
    <w:rsid w:val="00D51505"/>
    <w:rsid w:val="00D56938"/>
    <w:rsid w:val="00D5698E"/>
    <w:rsid w:val="00D70A28"/>
    <w:rsid w:val="00D973A7"/>
    <w:rsid w:val="00DA0451"/>
    <w:rsid w:val="00DB2F96"/>
    <w:rsid w:val="00DB40B9"/>
    <w:rsid w:val="00DE162F"/>
    <w:rsid w:val="00DE64F7"/>
    <w:rsid w:val="00DE7131"/>
    <w:rsid w:val="00E12100"/>
    <w:rsid w:val="00E23C77"/>
    <w:rsid w:val="00E2551E"/>
    <w:rsid w:val="00E26DB5"/>
    <w:rsid w:val="00E406D0"/>
    <w:rsid w:val="00E42587"/>
    <w:rsid w:val="00E72DCD"/>
    <w:rsid w:val="00E82DB8"/>
    <w:rsid w:val="00E87F62"/>
    <w:rsid w:val="00E96AC7"/>
    <w:rsid w:val="00E96BED"/>
    <w:rsid w:val="00EA68BB"/>
    <w:rsid w:val="00EA7C86"/>
    <w:rsid w:val="00EB1A11"/>
    <w:rsid w:val="00EB37DB"/>
    <w:rsid w:val="00EC6950"/>
    <w:rsid w:val="00ED1AEC"/>
    <w:rsid w:val="00ED4CD9"/>
    <w:rsid w:val="00ED4D4F"/>
    <w:rsid w:val="00F00734"/>
    <w:rsid w:val="00F01714"/>
    <w:rsid w:val="00F029CD"/>
    <w:rsid w:val="00F051A0"/>
    <w:rsid w:val="00F0586B"/>
    <w:rsid w:val="00F069C3"/>
    <w:rsid w:val="00F17664"/>
    <w:rsid w:val="00F610E0"/>
    <w:rsid w:val="00F61786"/>
    <w:rsid w:val="00F6408D"/>
    <w:rsid w:val="00F65CBD"/>
    <w:rsid w:val="00F65EC5"/>
    <w:rsid w:val="00F71B30"/>
    <w:rsid w:val="00F87245"/>
    <w:rsid w:val="00F90BE2"/>
    <w:rsid w:val="00F9746C"/>
    <w:rsid w:val="00FA3A8E"/>
    <w:rsid w:val="00FA3C0A"/>
    <w:rsid w:val="00FB63FD"/>
    <w:rsid w:val="00FB6792"/>
    <w:rsid w:val="00FC6079"/>
    <w:rsid w:val="00FC686E"/>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link w:val="SinespaciadoCar"/>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paragraph" w:customStyle="1" w:styleId="Normal2">
    <w:name w:val="Normal2"/>
    <w:rsid w:val="00392472"/>
    <w:pPr>
      <w:spacing w:after="200" w:line="276" w:lineRule="auto"/>
    </w:pPr>
    <w:rPr>
      <w:rFonts w:ascii="Calibri" w:eastAsia="Calibri" w:hAnsi="Calibri" w:cs="Calibri"/>
      <w:lang w:eastAsia="es-CO"/>
    </w:rPr>
  </w:style>
  <w:style w:type="character" w:customStyle="1" w:styleId="SinespaciadoCar">
    <w:name w:val="Sin espaciado Car"/>
    <w:link w:val="Sinespaciado"/>
    <w:uiPriority w:val="1"/>
    <w:locked/>
    <w:rsid w:val="008E3753"/>
  </w:style>
  <w:style w:type="character" w:customStyle="1" w:styleId="normaltextrun">
    <w:name w:val="normaltextrun"/>
    <w:basedOn w:val="Fuentedeprrafopredeter"/>
    <w:rsid w:val="008E3753"/>
  </w:style>
  <w:style w:type="paragraph" w:customStyle="1" w:styleId="Poromisin">
    <w:name w:val="Por omisión"/>
    <w:rsid w:val="0064457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s-CO"/>
    </w:rPr>
  </w:style>
  <w:style w:type="character" w:customStyle="1" w:styleId="Ninguno">
    <w:name w:val="Ninguno"/>
    <w:rsid w:val="00644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8C2C2-3915-4E6E-9E0D-1FB462CC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2100</Words>
  <Characters>11551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11</cp:revision>
  <cp:lastPrinted>2019-05-27T21:04:00Z</cp:lastPrinted>
  <dcterms:created xsi:type="dcterms:W3CDTF">2019-05-23T18:08:00Z</dcterms:created>
  <dcterms:modified xsi:type="dcterms:W3CDTF">2019-05-27T21:05:00Z</dcterms:modified>
</cp:coreProperties>
</file>