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5C" w:rsidRPr="000F7CCC" w:rsidRDefault="00351B66" w:rsidP="00351B66">
      <w:pPr>
        <w:rPr>
          <w:rFonts w:ascii="Times New Roman" w:hAnsi="Times New Roman" w:cs="Times New Roman"/>
          <w:bCs/>
          <w:sz w:val="26"/>
          <w:szCs w:val="26"/>
          <w:shd w:val="clear" w:color="auto" w:fill="FFFFFF"/>
        </w:rPr>
      </w:pPr>
      <w:r w:rsidRPr="000F7CCC">
        <w:rPr>
          <w:rFonts w:ascii="Times New Roman" w:hAnsi="Times New Roman" w:cs="Times New Roman"/>
          <w:bCs/>
          <w:caps/>
          <w:sz w:val="26"/>
          <w:szCs w:val="26"/>
          <w:shd w:val="clear" w:color="auto" w:fill="FFFFFF"/>
        </w:rPr>
        <w:t>B</w:t>
      </w:r>
      <w:r w:rsidRPr="000F7CCC">
        <w:rPr>
          <w:rFonts w:ascii="Times New Roman" w:hAnsi="Times New Roman" w:cs="Times New Roman"/>
          <w:bCs/>
          <w:sz w:val="26"/>
          <w:szCs w:val="26"/>
          <w:shd w:val="clear" w:color="auto" w:fill="FFFFFF"/>
        </w:rPr>
        <w:t xml:space="preserve">ogotá D.C. noviembre 6 de 2018 </w:t>
      </w:r>
    </w:p>
    <w:p w:rsidR="00351B66" w:rsidRPr="000F7CCC" w:rsidRDefault="00351B66" w:rsidP="00351B66">
      <w:pPr>
        <w:rPr>
          <w:rFonts w:ascii="Times New Roman" w:hAnsi="Times New Roman" w:cs="Times New Roman"/>
          <w:b/>
          <w:bCs/>
          <w:sz w:val="26"/>
          <w:szCs w:val="26"/>
          <w:shd w:val="clear" w:color="auto" w:fill="FFFFFF"/>
        </w:rPr>
      </w:pPr>
    </w:p>
    <w:p w:rsidR="00351B66" w:rsidRPr="000F7CCC" w:rsidRDefault="00351B66" w:rsidP="00351B66">
      <w:pPr>
        <w:pStyle w:val="Sinespaciado"/>
        <w:rPr>
          <w:rFonts w:ascii="Times New Roman" w:hAnsi="Times New Roman" w:cs="Times New Roman"/>
          <w:sz w:val="26"/>
          <w:szCs w:val="26"/>
          <w:shd w:val="clear" w:color="auto" w:fill="FFFFFF"/>
        </w:rPr>
      </w:pPr>
      <w:r w:rsidRPr="000F7CCC">
        <w:rPr>
          <w:rFonts w:ascii="Times New Roman" w:hAnsi="Times New Roman" w:cs="Times New Roman"/>
          <w:sz w:val="26"/>
          <w:szCs w:val="26"/>
          <w:shd w:val="clear" w:color="auto" w:fill="FFFFFF"/>
        </w:rPr>
        <w:t xml:space="preserve">Doctor </w:t>
      </w:r>
    </w:p>
    <w:p w:rsidR="00351B66" w:rsidRPr="000F7CCC" w:rsidRDefault="00351B66" w:rsidP="00351B66">
      <w:pPr>
        <w:pStyle w:val="Sinespaciado"/>
        <w:rPr>
          <w:rFonts w:ascii="Times New Roman" w:hAnsi="Times New Roman" w:cs="Times New Roman"/>
          <w:b/>
          <w:sz w:val="26"/>
          <w:szCs w:val="26"/>
          <w:shd w:val="clear" w:color="auto" w:fill="FFFFFF"/>
        </w:rPr>
      </w:pPr>
      <w:r w:rsidRPr="000F7CCC">
        <w:rPr>
          <w:rFonts w:ascii="Times New Roman" w:hAnsi="Times New Roman" w:cs="Times New Roman"/>
          <w:b/>
          <w:sz w:val="26"/>
          <w:szCs w:val="26"/>
          <w:shd w:val="clear" w:color="auto" w:fill="FFFFFF"/>
        </w:rPr>
        <w:t xml:space="preserve">SAMUEL HOYOS MEJÍA </w:t>
      </w:r>
    </w:p>
    <w:p w:rsidR="00351B66" w:rsidRPr="000F7CCC" w:rsidRDefault="00351B66" w:rsidP="00351B66">
      <w:pPr>
        <w:pStyle w:val="Sinespaciado"/>
        <w:rPr>
          <w:rFonts w:ascii="Times New Roman" w:hAnsi="Times New Roman" w:cs="Times New Roman"/>
          <w:sz w:val="26"/>
          <w:szCs w:val="26"/>
          <w:shd w:val="clear" w:color="auto" w:fill="FFFFFF"/>
        </w:rPr>
      </w:pPr>
      <w:r w:rsidRPr="000F7CCC">
        <w:rPr>
          <w:rFonts w:ascii="Times New Roman" w:hAnsi="Times New Roman" w:cs="Times New Roman"/>
          <w:sz w:val="26"/>
          <w:szCs w:val="26"/>
          <w:shd w:val="clear" w:color="auto" w:fill="FFFFFF"/>
        </w:rPr>
        <w:t xml:space="preserve">Presidente Comisión Primera Constitucional </w:t>
      </w:r>
    </w:p>
    <w:p w:rsidR="00351B66" w:rsidRPr="000F7CCC" w:rsidRDefault="00351B66" w:rsidP="00351B66">
      <w:pPr>
        <w:pStyle w:val="Sinespaciado"/>
        <w:rPr>
          <w:rFonts w:ascii="Times New Roman" w:hAnsi="Times New Roman" w:cs="Times New Roman"/>
          <w:sz w:val="26"/>
          <w:szCs w:val="26"/>
          <w:shd w:val="clear" w:color="auto" w:fill="FFFFFF"/>
        </w:rPr>
      </w:pPr>
      <w:r w:rsidRPr="000F7CCC">
        <w:rPr>
          <w:rFonts w:ascii="Times New Roman" w:hAnsi="Times New Roman" w:cs="Times New Roman"/>
          <w:sz w:val="26"/>
          <w:szCs w:val="26"/>
          <w:shd w:val="clear" w:color="auto" w:fill="FFFFFF"/>
        </w:rPr>
        <w:t xml:space="preserve">Cámara de Representantes </w:t>
      </w:r>
    </w:p>
    <w:p w:rsidR="00351B66" w:rsidRPr="000F7CCC" w:rsidRDefault="00351B66" w:rsidP="00351B66">
      <w:pPr>
        <w:pStyle w:val="Sinespaciado"/>
        <w:rPr>
          <w:rFonts w:ascii="Times New Roman" w:hAnsi="Times New Roman" w:cs="Times New Roman"/>
          <w:sz w:val="26"/>
          <w:szCs w:val="26"/>
          <w:shd w:val="clear" w:color="auto" w:fill="FFFFFF"/>
        </w:rPr>
      </w:pPr>
      <w:r w:rsidRPr="000F7CCC">
        <w:rPr>
          <w:rFonts w:ascii="Times New Roman" w:hAnsi="Times New Roman" w:cs="Times New Roman"/>
          <w:sz w:val="26"/>
          <w:szCs w:val="26"/>
          <w:shd w:val="clear" w:color="auto" w:fill="FFFFFF"/>
        </w:rPr>
        <w:t>E.</w:t>
      </w:r>
      <w:r w:rsidRPr="000F7CCC">
        <w:rPr>
          <w:rFonts w:ascii="Times New Roman" w:hAnsi="Times New Roman" w:cs="Times New Roman"/>
          <w:sz w:val="26"/>
          <w:szCs w:val="26"/>
          <w:shd w:val="clear" w:color="auto" w:fill="FFFFFF"/>
        </w:rPr>
        <w:tab/>
      </w:r>
      <w:r w:rsidRPr="000F7CCC">
        <w:rPr>
          <w:rFonts w:ascii="Times New Roman" w:hAnsi="Times New Roman" w:cs="Times New Roman"/>
          <w:sz w:val="26"/>
          <w:szCs w:val="26"/>
          <w:shd w:val="clear" w:color="auto" w:fill="FFFFFF"/>
        </w:rPr>
        <w:tab/>
        <w:t>S.</w:t>
      </w:r>
      <w:r w:rsidRPr="000F7CCC">
        <w:rPr>
          <w:rFonts w:ascii="Times New Roman" w:hAnsi="Times New Roman" w:cs="Times New Roman"/>
          <w:sz w:val="26"/>
          <w:szCs w:val="26"/>
          <w:shd w:val="clear" w:color="auto" w:fill="FFFFFF"/>
        </w:rPr>
        <w:tab/>
      </w:r>
      <w:r w:rsidRPr="000F7CCC">
        <w:rPr>
          <w:rFonts w:ascii="Times New Roman" w:hAnsi="Times New Roman" w:cs="Times New Roman"/>
          <w:sz w:val="26"/>
          <w:szCs w:val="26"/>
          <w:shd w:val="clear" w:color="auto" w:fill="FFFFFF"/>
        </w:rPr>
        <w:tab/>
        <w:t xml:space="preserve">D. </w:t>
      </w:r>
    </w:p>
    <w:p w:rsidR="00351B66" w:rsidRPr="000F7CCC" w:rsidRDefault="00351B66" w:rsidP="00351B66">
      <w:pPr>
        <w:pStyle w:val="Sinespaciado"/>
        <w:rPr>
          <w:rFonts w:ascii="Times New Roman" w:hAnsi="Times New Roman" w:cs="Times New Roman"/>
          <w:sz w:val="26"/>
          <w:szCs w:val="26"/>
          <w:shd w:val="clear" w:color="auto" w:fill="FFFFFF"/>
        </w:rPr>
      </w:pPr>
    </w:p>
    <w:p w:rsidR="00351B66" w:rsidRPr="000F7CCC" w:rsidRDefault="00351B66" w:rsidP="00351B66">
      <w:pPr>
        <w:pStyle w:val="Sinespaciado"/>
        <w:rPr>
          <w:rFonts w:ascii="Times New Roman" w:hAnsi="Times New Roman" w:cs="Times New Roman"/>
          <w:sz w:val="26"/>
          <w:szCs w:val="26"/>
          <w:shd w:val="clear" w:color="auto" w:fill="FFFFFF"/>
        </w:rPr>
      </w:pPr>
    </w:p>
    <w:p w:rsidR="00351B66" w:rsidRPr="000F7CCC" w:rsidRDefault="00351B66" w:rsidP="00351B66">
      <w:pPr>
        <w:ind w:left="1416"/>
        <w:rPr>
          <w:rFonts w:ascii="Times New Roman" w:hAnsi="Times New Roman" w:cs="Times New Roman"/>
          <w:bCs/>
          <w:i/>
          <w:sz w:val="26"/>
          <w:szCs w:val="26"/>
          <w:shd w:val="clear" w:color="auto" w:fill="FFFFFF"/>
        </w:rPr>
      </w:pPr>
      <w:r w:rsidRPr="000F7CCC">
        <w:rPr>
          <w:rFonts w:ascii="Times New Roman" w:hAnsi="Times New Roman" w:cs="Times New Roman"/>
          <w:bCs/>
          <w:i/>
          <w:sz w:val="26"/>
          <w:szCs w:val="26"/>
          <w:shd w:val="clear" w:color="auto" w:fill="FFFFFF"/>
        </w:rPr>
        <w:t xml:space="preserve">Referencia. / Informe de ponencia proyecto de acto legislativo no. 021 de 2018 </w:t>
      </w:r>
    </w:p>
    <w:p w:rsidR="00716E5C" w:rsidRPr="000F7CCC" w:rsidRDefault="00716E5C" w:rsidP="00D51203">
      <w:pPr>
        <w:pStyle w:val="NormalWeb"/>
        <w:shd w:val="clear" w:color="auto" w:fill="FFFFFF"/>
        <w:spacing w:before="0" w:beforeAutospacing="0" w:after="150" w:afterAutospacing="0"/>
        <w:jc w:val="both"/>
        <w:rPr>
          <w:sz w:val="26"/>
          <w:szCs w:val="26"/>
        </w:rPr>
      </w:pPr>
      <w:r w:rsidRPr="000F7CCC">
        <w:rPr>
          <w:sz w:val="26"/>
          <w:szCs w:val="26"/>
        </w:rPr>
        <w:t>Honora</w:t>
      </w:r>
      <w:r w:rsidR="00351B66" w:rsidRPr="000F7CCC">
        <w:rPr>
          <w:sz w:val="26"/>
          <w:szCs w:val="26"/>
        </w:rPr>
        <w:t>bles Representantes</w:t>
      </w:r>
    </w:p>
    <w:p w:rsidR="00716E5C" w:rsidRPr="000F7CCC" w:rsidRDefault="00716E5C" w:rsidP="00D51203">
      <w:pPr>
        <w:pStyle w:val="NormalWeb"/>
        <w:shd w:val="clear" w:color="auto" w:fill="FFFFFF"/>
        <w:spacing w:before="0" w:beforeAutospacing="0" w:after="150" w:afterAutospacing="0"/>
        <w:jc w:val="both"/>
        <w:rPr>
          <w:sz w:val="26"/>
          <w:szCs w:val="26"/>
        </w:rPr>
      </w:pPr>
      <w:r w:rsidRPr="000F7CCC">
        <w:rPr>
          <w:sz w:val="26"/>
          <w:szCs w:val="26"/>
        </w:rPr>
        <w:t>En cumplimiento de la honrosa designación hecha por la Mesa Directiva de la Comisión Segunda de la Cámara de Representantes, y en cumplimiento de lo establecido en el Artículo 150 de la Ley 5ª de 1992, someto a consideración de los Representantes el informe de ponencia del proyecto de Acto Legislativo 021 de 2018</w:t>
      </w:r>
      <w:r w:rsidRPr="000F7CCC">
        <w:rPr>
          <w:b/>
          <w:sz w:val="26"/>
          <w:szCs w:val="26"/>
        </w:rPr>
        <w:t xml:space="preserve"> </w:t>
      </w:r>
      <w:r w:rsidRPr="000F7CCC">
        <w:rPr>
          <w:sz w:val="26"/>
          <w:szCs w:val="26"/>
        </w:rPr>
        <w:t>“</w:t>
      </w:r>
      <w:r w:rsidR="00351B66" w:rsidRPr="000F7CCC">
        <w:rPr>
          <w:i/>
          <w:iCs/>
          <w:sz w:val="26"/>
          <w:szCs w:val="26"/>
          <w:lang w:val="es-ES_tradnl"/>
        </w:rPr>
        <w:t>P</w:t>
      </w:r>
      <w:r w:rsidRPr="000F7CCC">
        <w:rPr>
          <w:i/>
          <w:iCs/>
          <w:sz w:val="26"/>
          <w:szCs w:val="26"/>
          <w:lang w:val="es-ES_tradnl"/>
        </w:rPr>
        <w:t>or medio del cual se adiciona el artículo 125 de la Constitución Política y se otorgan derechos de carrera administrativa”,</w:t>
      </w:r>
      <w:r w:rsidRPr="000F7CCC">
        <w:rPr>
          <w:sz w:val="26"/>
          <w:szCs w:val="26"/>
        </w:rPr>
        <w:t xml:space="preserve"> al tenor de</w:t>
      </w:r>
      <w:r w:rsidR="00351B66" w:rsidRPr="000F7CCC">
        <w:rPr>
          <w:sz w:val="26"/>
          <w:szCs w:val="26"/>
        </w:rPr>
        <w:t>l</w:t>
      </w:r>
      <w:r w:rsidRPr="000F7CCC">
        <w:rPr>
          <w:sz w:val="26"/>
          <w:szCs w:val="26"/>
        </w:rPr>
        <w:t xml:space="preserve"> Artículo 157</w:t>
      </w:r>
      <w:r w:rsidR="00351B66" w:rsidRPr="000F7CCC">
        <w:rPr>
          <w:sz w:val="26"/>
          <w:szCs w:val="26"/>
        </w:rPr>
        <w:t>,</w:t>
      </w:r>
      <w:r w:rsidRPr="000F7CCC">
        <w:rPr>
          <w:sz w:val="26"/>
          <w:szCs w:val="26"/>
        </w:rPr>
        <w:t xml:space="preserve"> </w:t>
      </w:r>
      <w:r w:rsidR="00351B66" w:rsidRPr="000F7CCC">
        <w:rPr>
          <w:sz w:val="26"/>
          <w:szCs w:val="26"/>
        </w:rPr>
        <w:t>p</w:t>
      </w:r>
      <w:r w:rsidRPr="000F7CCC">
        <w:rPr>
          <w:sz w:val="26"/>
          <w:szCs w:val="26"/>
        </w:rPr>
        <w:t xml:space="preserve">reviamente, </w:t>
      </w:r>
      <w:r w:rsidR="00351B66" w:rsidRPr="000F7CCC">
        <w:rPr>
          <w:sz w:val="26"/>
          <w:szCs w:val="26"/>
        </w:rPr>
        <w:t xml:space="preserve">se tengan </w:t>
      </w:r>
      <w:r w:rsidRPr="000F7CCC">
        <w:rPr>
          <w:sz w:val="26"/>
          <w:szCs w:val="26"/>
        </w:rPr>
        <w:t>en cuenta las siguientes consideraciones.</w:t>
      </w:r>
    </w:p>
    <w:p w:rsidR="00064ECB" w:rsidRPr="000F7CCC" w:rsidRDefault="00064ECB" w:rsidP="00D51203">
      <w:pPr>
        <w:jc w:val="center"/>
        <w:rPr>
          <w:rFonts w:ascii="Times New Roman" w:hAnsi="Times New Roman" w:cs="Times New Roman"/>
          <w:b/>
          <w:sz w:val="26"/>
          <w:szCs w:val="26"/>
        </w:rPr>
      </w:pPr>
      <w:r w:rsidRPr="000F7CCC">
        <w:rPr>
          <w:rFonts w:ascii="Times New Roman" w:hAnsi="Times New Roman" w:cs="Times New Roman"/>
          <w:b/>
          <w:sz w:val="26"/>
          <w:szCs w:val="26"/>
        </w:rPr>
        <w:t>OBJETO</w:t>
      </w:r>
    </w:p>
    <w:p w:rsidR="00064ECB" w:rsidRPr="000F7CCC" w:rsidRDefault="00D51203" w:rsidP="00D51203">
      <w:pPr>
        <w:jc w:val="both"/>
        <w:rPr>
          <w:rFonts w:ascii="Times New Roman" w:hAnsi="Times New Roman" w:cs="Times New Roman"/>
          <w:sz w:val="26"/>
          <w:szCs w:val="26"/>
        </w:rPr>
      </w:pPr>
      <w:r w:rsidRPr="000F7CCC">
        <w:rPr>
          <w:rFonts w:ascii="Times New Roman" w:hAnsi="Times New Roman" w:cs="Times New Roman"/>
          <w:sz w:val="26"/>
          <w:szCs w:val="26"/>
        </w:rPr>
        <w:t>El Objeto del Acto Legislativo 021 de 2018 es el de c</w:t>
      </w:r>
      <w:r w:rsidR="00064ECB" w:rsidRPr="000F7CCC">
        <w:rPr>
          <w:rFonts w:ascii="Times New Roman" w:hAnsi="Times New Roman" w:cs="Times New Roman"/>
          <w:sz w:val="26"/>
          <w:szCs w:val="26"/>
        </w:rPr>
        <w:t>onceder los derechos de carrera administrativa a los empleados que están ocupando puestos de carrera de forma provisional, en virtud del tiempo en que vienen desempeñando el cargo, y si poseen los requerimientos académicos y de experiencia que el cargo demande. Todo esto a través de la inscripción extraordinaria, sin necesidad de concurso público.</w:t>
      </w:r>
    </w:p>
    <w:p w:rsidR="00064ECB" w:rsidRPr="000F7CCC" w:rsidRDefault="00064ECB" w:rsidP="00377E42">
      <w:pPr>
        <w:jc w:val="center"/>
        <w:rPr>
          <w:rFonts w:ascii="Times New Roman" w:hAnsi="Times New Roman" w:cs="Times New Roman"/>
          <w:b/>
          <w:sz w:val="26"/>
          <w:szCs w:val="26"/>
        </w:rPr>
      </w:pPr>
      <w:r w:rsidRPr="000F7CCC">
        <w:rPr>
          <w:rFonts w:ascii="Times New Roman" w:hAnsi="Times New Roman" w:cs="Times New Roman"/>
          <w:b/>
          <w:sz w:val="26"/>
          <w:szCs w:val="26"/>
        </w:rPr>
        <w:t>CONTEXTUALIZACIÓN</w:t>
      </w:r>
    </w:p>
    <w:p w:rsidR="00064ECB" w:rsidRPr="000F7CCC" w:rsidRDefault="00064ECB" w:rsidP="00D51203">
      <w:pPr>
        <w:pStyle w:val="Prrafodelista"/>
        <w:numPr>
          <w:ilvl w:val="0"/>
          <w:numId w:val="2"/>
        </w:numPr>
        <w:jc w:val="both"/>
        <w:rPr>
          <w:rFonts w:ascii="Times New Roman" w:hAnsi="Times New Roman" w:cs="Times New Roman"/>
          <w:sz w:val="26"/>
          <w:szCs w:val="26"/>
        </w:rPr>
      </w:pPr>
      <w:r w:rsidRPr="000F7CCC">
        <w:rPr>
          <w:rFonts w:ascii="Times New Roman" w:hAnsi="Times New Roman" w:cs="Times New Roman"/>
          <w:sz w:val="26"/>
          <w:szCs w:val="26"/>
        </w:rPr>
        <w:t xml:space="preserve">Señalan los autores que sobre la interrupción de los concursos de méritos es importante mencionar que el acto legislativo 021 de 2018 ya no entraría en su suspensión a diferencia del proyecto de ley radicado en el 2008 el cual resultó inexequible por la Corte Constitucional. </w:t>
      </w:r>
    </w:p>
    <w:p w:rsidR="00064ECB" w:rsidRPr="000F7CCC" w:rsidRDefault="00064ECB" w:rsidP="00D51203">
      <w:pPr>
        <w:pStyle w:val="Prrafodelista"/>
        <w:numPr>
          <w:ilvl w:val="0"/>
          <w:numId w:val="2"/>
        </w:numPr>
        <w:jc w:val="both"/>
        <w:rPr>
          <w:rFonts w:ascii="Times New Roman" w:hAnsi="Times New Roman" w:cs="Times New Roman"/>
          <w:sz w:val="26"/>
          <w:szCs w:val="26"/>
        </w:rPr>
      </w:pPr>
      <w:r w:rsidRPr="000F7CCC">
        <w:rPr>
          <w:rFonts w:ascii="Times New Roman" w:hAnsi="Times New Roman" w:cs="Times New Roman"/>
          <w:sz w:val="26"/>
          <w:szCs w:val="26"/>
        </w:rPr>
        <w:lastRenderedPageBreak/>
        <w:t>La corte constitucional declaró inexequible el acto legislativo 01 de 2008 la reforma como se menciona en el artículo 241 de la constitución tal y como se podría aquí acusar.</w:t>
      </w:r>
    </w:p>
    <w:p w:rsidR="00064ECB" w:rsidRPr="000F7CCC" w:rsidRDefault="00064ECB" w:rsidP="00D51203">
      <w:pPr>
        <w:pStyle w:val="Prrafodelista"/>
        <w:numPr>
          <w:ilvl w:val="0"/>
          <w:numId w:val="2"/>
        </w:numPr>
        <w:jc w:val="both"/>
        <w:rPr>
          <w:rFonts w:ascii="Times New Roman" w:hAnsi="Times New Roman" w:cs="Times New Roman"/>
          <w:sz w:val="26"/>
          <w:szCs w:val="26"/>
        </w:rPr>
      </w:pPr>
      <w:r w:rsidRPr="000F7CCC">
        <w:rPr>
          <w:rFonts w:ascii="Times New Roman" w:hAnsi="Times New Roman" w:cs="Times New Roman"/>
          <w:sz w:val="26"/>
          <w:szCs w:val="26"/>
        </w:rPr>
        <w:t>A pesar de los argumentos que indican que no hubo sustitución de la Constitución por parte del acto legislativo 01 de 2008, se debe mencionar que toma una posición que puede ir en contra de los principios establecidos en la ley 909 de 2004 además que puede afectar a una población al vulnerar sus derechos de acceso al concurso de méritos para una vacante (Gráfica 1).</w:t>
      </w:r>
    </w:p>
    <w:p w:rsidR="00064ECB" w:rsidRPr="000F7CCC" w:rsidRDefault="00064ECB" w:rsidP="00377E42">
      <w:pPr>
        <w:jc w:val="center"/>
        <w:rPr>
          <w:rFonts w:ascii="Times New Roman" w:hAnsi="Times New Roman" w:cs="Times New Roman"/>
          <w:b/>
          <w:sz w:val="26"/>
          <w:szCs w:val="26"/>
        </w:rPr>
      </w:pPr>
      <w:r w:rsidRPr="000F7CCC">
        <w:rPr>
          <w:rFonts w:ascii="Times New Roman" w:hAnsi="Times New Roman" w:cs="Times New Roman"/>
          <w:b/>
          <w:sz w:val="26"/>
          <w:szCs w:val="26"/>
        </w:rPr>
        <w:t>ANÁLISIS</w:t>
      </w:r>
    </w:p>
    <w:p w:rsidR="00064ECB" w:rsidRPr="000F7CCC" w:rsidRDefault="00064ECB" w:rsidP="00D51203">
      <w:pPr>
        <w:pStyle w:val="Prrafodelista"/>
        <w:numPr>
          <w:ilvl w:val="0"/>
          <w:numId w:val="3"/>
        </w:numPr>
        <w:jc w:val="both"/>
        <w:rPr>
          <w:rFonts w:ascii="Times New Roman" w:hAnsi="Times New Roman" w:cs="Times New Roman"/>
          <w:b/>
          <w:sz w:val="26"/>
          <w:szCs w:val="26"/>
        </w:rPr>
      </w:pPr>
      <w:r w:rsidRPr="000F7CCC">
        <w:rPr>
          <w:rFonts w:ascii="Times New Roman" w:hAnsi="Times New Roman" w:cs="Times New Roman"/>
          <w:sz w:val="26"/>
          <w:szCs w:val="26"/>
        </w:rPr>
        <w:t>El acto legislativo 021 de 2018 plantea un mecanismo que pretende beneficiar a los empleados públicos que se encuentran ocupando puestos de carrera de forma provisional. Esta propuesta es similar a la que establecía que el acto legislativo 01 de 2008, sin embargo, este último fue declarado inexequible por la corte constitucional mediante la sentencia C-588/09. Los argumentos que la corte constitucional expuso tras su fallo de declarar inconstitucional al acto legislativo 01 de 2008 incluían:</w:t>
      </w:r>
    </w:p>
    <w:p w:rsidR="00064ECB" w:rsidRPr="000F7CCC" w:rsidRDefault="00064ECB" w:rsidP="00D51203">
      <w:pPr>
        <w:pStyle w:val="Prrafodelista"/>
        <w:numPr>
          <w:ilvl w:val="0"/>
          <w:numId w:val="1"/>
        </w:numPr>
        <w:jc w:val="both"/>
        <w:rPr>
          <w:rFonts w:ascii="Times New Roman" w:hAnsi="Times New Roman" w:cs="Times New Roman"/>
          <w:i/>
          <w:sz w:val="26"/>
          <w:szCs w:val="26"/>
        </w:rPr>
      </w:pPr>
      <w:r w:rsidRPr="000F7CCC">
        <w:rPr>
          <w:rFonts w:ascii="Times New Roman" w:hAnsi="Times New Roman" w:cs="Times New Roman"/>
          <w:sz w:val="26"/>
          <w:szCs w:val="26"/>
        </w:rPr>
        <w:t xml:space="preserve">La declaración de que éste último constituía una sustitución parcial y temporal de la Constitución ya que inducía modificaciones tácitas con incidencia sobre los derechos fundamentales. La sentencia C-588/09 </w:t>
      </w:r>
      <w:r w:rsidR="00D51203" w:rsidRPr="000F7CCC">
        <w:rPr>
          <w:rFonts w:ascii="Times New Roman" w:hAnsi="Times New Roman" w:cs="Times New Roman"/>
          <w:sz w:val="26"/>
          <w:szCs w:val="26"/>
        </w:rPr>
        <w:t>específica</w:t>
      </w:r>
      <w:r w:rsidRPr="000F7CCC">
        <w:rPr>
          <w:rFonts w:ascii="Times New Roman" w:hAnsi="Times New Roman" w:cs="Times New Roman"/>
          <w:sz w:val="26"/>
          <w:szCs w:val="26"/>
        </w:rPr>
        <w:t xml:space="preserve"> sobre el artículo 1 del acto legislativo</w:t>
      </w:r>
      <w:r w:rsidR="00D51203" w:rsidRPr="000F7CCC">
        <w:rPr>
          <w:rFonts w:ascii="Times New Roman" w:hAnsi="Times New Roman" w:cs="Times New Roman"/>
          <w:sz w:val="26"/>
          <w:szCs w:val="26"/>
        </w:rPr>
        <w:t>: “</w:t>
      </w:r>
      <w:r w:rsidR="00D51203" w:rsidRPr="000F7CCC">
        <w:rPr>
          <w:rFonts w:ascii="Times New Roman" w:hAnsi="Times New Roman" w:cs="Times New Roman"/>
          <w:i/>
          <w:iCs/>
          <w:sz w:val="26"/>
          <w:szCs w:val="26"/>
          <w:bdr w:val="none" w:sz="0" w:space="0" w:color="auto" w:frame="1"/>
        </w:rPr>
        <w:t xml:space="preserve">La propia Corte ha reconocido que el de sustitución de la Constitución no es un concepto completo, acabado o definitivamente agotado que permita identificar el conjunto total de hipótesis que lo caracterizan, puesto que las situaciones concretas estudiadas por la Corte sólo le han permitido a la Corporación sentar unas premisas a partir de las cuales, deberá avanzar en la difícil tarea de precisar los contornos de ese límite competencial al poder de reforma constitucional. Como concepto, la sustitución es un reemplazo de la Constitución en términos materiales e implica franca oposición entre lo nuevo y lo anterior, en la medida en que, so pretexto de la reforma, la Constitución es transformada en otra completamente distinta, y cuando se produce la sustitución se incorpora a la Constitución un nuevo elemento que reemplaza al originalmente adoptado por el Constituyente. Para establecer si hay o </w:t>
      </w:r>
      <w:r w:rsidR="00D51203" w:rsidRPr="000F7CCC">
        <w:rPr>
          <w:rFonts w:ascii="Times New Roman" w:hAnsi="Times New Roman" w:cs="Times New Roman"/>
          <w:i/>
          <w:iCs/>
          <w:sz w:val="26"/>
          <w:szCs w:val="26"/>
          <w:bdr w:val="none" w:sz="0" w:space="0" w:color="auto" w:frame="1"/>
        </w:rPr>
        <w:lastRenderedPageBreak/>
        <w:t>no sustitución, es necesario tener en cuenta los principios y valores que la Constitución contiene, y aquellos que surgen del bloque de constitucionalidad, no para revisar el contenido mismo de la reforma comparando un artículo del texto reformatorio con una regla, norma o principio constitucional, sino para determinar si los principios anteriores y los introducidos son opuestos o integralmente diferentes, al punto que resulten incompatibles. La sustitución puede ser total cuando la Constitución como un todo, es remplazada por otra; o parcial, caso este último en el cual un eje definitorio de la identidad de la Constitución es reemplazado por otro opuesto o integralmente diferente que torna imposible la armonización de la pretendida reforma con el resto de normas constitucionales que no fueron modificadas por ella y que reflejan aspectos claves de lo insustituible. En el caso concreto, la suspensión propiciada por el parágrafo demandado, no sólo se proyecta a la regulación de la carrera administrativa establecida en el artículo 125 y en el resto de disposiciones superiores referentes a los regímenes especiales de carrera, por la interrupción del principio del mérito y del mecanismo del concurso público sino que por obra de la modificación operada, se interrumpe también de manera temporal el nexo intrínseco que la Corte ha encontrado entre la carrera y la realización de los fines del Estado y de la función pública en particular, así como la vigencia del artículo 40-7 que deja, durante cierto tiempo, de amparar el derecho de acceso al desempeño de cargos públicos a los ciudadanos que no ocupan en provisionalidad o por encargo los empleos de carrera a los que se refiere el artículo cuestionado, y lo propio cabe aseverar del derecho a la igualdad que, durante idéntico lapso temporal, dejará de aplicarse a los mismos ciudadanos y todo para otorgarle viabilidad al privilegio reconocido a los beneficiarios del ingreso automático a carrera, mediante la inscripción extraordinaria establecida en las condiciones del parágrafo acusado”.</w:t>
      </w:r>
    </w:p>
    <w:p w:rsidR="00064ECB" w:rsidRPr="000F7CCC" w:rsidRDefault="00064ECB" w:rsidP="00D51203">
      <w:pPr>
        <w:pStyle w:val="Prrafodelista"/>
        <w:ind w:left="1068"/>
        <w:jc w:val="both"/>
        <w:rPr>
          <w:rFonts w:ascii="Times New Roman" w:hAnsi="Times New Roman" w:cs="Times New Roman"/>
          <w:sz w:val="26"/>
          <w:szCs w:val="26"/>
        </w:rPr>
      </w:pPr>
      <w:r w:rsidRPr="000F7CCC">
        <w:rPr>
          <w:rFonts w:ascii="Times New Roman" w:hAnsi="Times New Roman" w:cs="Times New Roman"/>
          <w:sz w:val="26"/>
          <w:szCs w:val="26"/>
        </w:rPr>
        <w:t>Por lo que se considera que el parágrafo mencionado viola el principio de igualdad y el derecho de todos los ciudadanos para acceder al desempeño de cargos públicos establecidos en los artículos 40 y 47 de la Constitución.</w:t>
      </w:r>
    </w:p>
    <w:p w:rsidR="00645BB7" w:rsidRPr="000F7CCC" w:rsidRDefault="00064ECB" w:rsidP="00645BB7">
      <w:pPr>
        <w:pStyle w:val="Prrafodelista"/>
        <w:numPr>
          <w:ilvl w:val="0"/>
          <w:numId w:val="1"/>
        </w:numPr>
        <w:jc w:val="both"/>
        <w:rPr>
          <w:rFonts w:ascii="Times New Roman" w:hAnsi="Times New Roman" w:cs="Times New Roman"/>
          <w:sz w:val="26"/>
          <w:szCs w:val="26"/>
        </w:rPr>
      </w:pPr>
      <w:r w:rsidRPr="000F7CCC">
        <w:rPr>
          <w:rFonts w:ascii="Times New Roman" w:hAnsi="Times New Roman" w:cs="Times New Roman"/>
          <w:sz w:val="26"/>
          <w:szCs w:val="26"/>
        </w:rPr>
        <w:lastRenderedPageBreak/>
        <w:t xml:space="preserve">Interrumpía el principio de mérito para hacer posible el derecho de inscripción extraordinaria en carrera administrativa, los mecanismos de concurso público y suspende los que ya estuvieran en proceso, lo cual afectaría a todos los funcionarios en provisional o encargo laborando a la fecha. </w:t>
      </w:r>
    </w:p>
    <w:p w:rsidR="00645BB7" w:rsidRPr="000F7CCC" w:rsidRDefault="00064ECB" w:rsidP="000E05E7">
      <w:pPr>
        <w:pStyle w:val="Prrafodelista"/>
        <w:numPr>
          <w:ilvl w:val="0"/>
          <w:numId w:val="1"/>
        </w:numPr>
        <w:jc w:val="both"/>
        <w:rPr>
          <w:rFonts w:ascii="Times New Roman" w:eastAsia="Times New Roman" w:hAnsi="Times New Roman" w:cs="Times New Roman"/>
          <w:sz w:val="26"/>
          <w:szCs w:val="26"/>
          <w:lang w:eastAsia="es-CO"/>
        </w:rPr>
      </w:pPr>
      <w:r w:rsidRPr="000F7CCC">
        <w:rPr>
          <w:rFonts w:ascii="Times New Roman" w:hAnsi="Times New Roman" w:cs="Times New Roman"/>
          <w:sz w:val="26"/>
          <w:szCs w:val="26"/>
        </w:rPr>
        <w:t>De este caso, la sentencia mencionaba al artículo 125 de la constitución,</w:t>
      </w:r>
      <w:r w:rsidRPr="000F7CCC">
        <w:rPr>
          <w:rFonts w:ascii="Times New Roman" w:hAnsi="Times New Roman" w:cs="Times New Roman"/>
          <w:sz w:val="26"/>
          <w:szCs w:val="26"/>
        </w:rPr>
        <w:br/>
        <w:t xml:space="preserve"> “</w:t>
      </w:r>
      <w:r w:rsidRPr="000F7CCC">
        <w:rPr>
          <w:rFonts w:ascii="Times New Roman" w:hAnsi="Times New Roman" w:cs="Times New Roman"/>
          <w:i/>
          <w:sz w:val="26"/>
          <w:szCs w:val="26"/>
        </w:rPr>
        <w:t>Artículo 125. Los empleados de los órganos y entidades del estado son de carrera</w:t>
      </w:r>
      <w:r w:rsidRPr="000F7CCC">
        <w:rPr>
          <w:rFonts w:ascii="Times New Roman" w:hAnsi="Times New Roman" w:cs="Times New Roman"/>
          <w:sz w:val="26"/>
          <w:szCs w:val="26"/>
        </w:rPr>
        <w:t>” y La Ley 909 de 2004 en los artículos 27, 28 y 29 que establecen los principios que regulan el ingreso y el ascenso a los empleos públicos de carrera administrativa donde se declara: “</w:t>
      </w:r>
      <w:r w:rsidRPr="000F7CCC">
        <w:rPr>
          <w:rFonts w:ascii="Times New Roman" w:hAnsi="Times New Roman" w:cs="Times New Roman"/>
          <w:i/>
          <w:sz w:val="26"/>
          <w:szCs w:val="26"/>
        </w:rPr>
        <w:t>Artículo 27. … el ingreso y la permanencia en los empleos de carrera administrativa se hará exclusivamente con base en el mérito, mediante procesos de selección en los que se garantice la transparencia y la objetividad, sin discriminación alguna.”</w:t>
      </w:r>
      <w:r w:rsidR="00D51203" w:rsidRPr="000F7CCC">
        <w:rPr>
          <w:rFonts w:ascii="Times New Roman" w:hAnsi="Times New Roman" w:cs="Times New Roman"/>
          <w:i/>
          <w:sz w:val="26"/>
          <w:szCs w:val="26"/>
        </w:rPr>
        <w:t xml:space="preserve"> </w:t>
      </w:r>
    </w:p>
    <w:p w:rsidR="00645BB7" w:rsidRPr="000F7CCC" w:rsidRDefault="00D51203" w:rsidP="00757034">
      <w:pPr>
        <w:pStyle w:val="Prrafodelista"/>
        <w:numPr>
          <w:ilvl w:val="0"/>
          <w:numId w:val="1"/>
        </w:numPr>
        <w:shd w:val="clear" w:color="auto" w:fill="FFFFFF"/>
        <w:spacing w:after="0" w:line="240" w:lineRule="auto"/>
        <w:jc w:val="both"/>
        <w:textAlignment w:val="baseline"/>
        <w:rPr>
          <w:rFonts w:ascii="Times New Roman" w:eastAsia="Times New Roman" w:hAnsi="Times New Roman" w:cs="Times New Roman"/>
          <w:sz w:val="26"/>
          <w:szCs w:val="26"/>
          <w:lang w:eastAsia="es-CO"/>
        </w:rPr>
      </w:pPr>
      <w:r w:rsidRPr="000F7CCC">
        <w:rPr>
          <w:rFonts w:ascii="Times New Roman" w:hAnsi="Times New Roman" w:cs="Times New Roman"/>
          <w:i/>
          <w:sz w:val="26"/>
          <w:szCs w:val="26"/>
        </w:rPr>
        <w:t xml:space="preserve">Señala la Corte que el </w:t>
      </w:r>
      <w:r w:rsidRPr="000F7CCC">
        <w:rPr>
          <w:rFonts w:ascii="Times New Roman" w:hAnsi="Times New Roman" w:cs="Times New Roman"/>
          <w:sz w:val="26"/>
          <w:szCs w:val="26"/>
        </w:rPr>
        <w:t>“</w:t>
      </w:r>
      <w:r w:rsidRPr="000F7CCC">
        <w:rPr>
          <w:rFonts w:ascii="Times New Roman" w:eastAsia="Times New Roman" w:hAnsi="Times New Roman" w:cs="Times New Roman"/>
          <w:b/>
          <w:bCs/>
          <w:sz w:val="26"/>
          <w:szCs w:val="26"/>
          <w:bdr w:val="none" w:sz="0" w:space="0" w:color="auto" w:frame="1"/>
          <w:lang w:eastAsia="es-CO"/>
        </w:rPr>
        <w:t>ACTO LEGISLATIVO DE INSCRIPCION EXTRAORDINARIA EN CARRERA ADMINISTRATIVA SIN PREVIO CONCURSO-</w:t>
      </w:r>
      <w:r w:rsidRPr="000F7CCC">
        <w:rPr>
          <w:rFonts w:ascii="Times New Roman" w:eastAsia="Times New Roman" w:hAnsi="Times New Roman" w:cs="Times New Roman"/>
          <w:sz w:val="26"/>
          <w:szCs w:val="26"/>
          <w:bdr w:val="none" w:sz="0" w:space="0" w:color="auto" w:frame="1"/>
          <w:lang w:eastAsia="es-CO"/>
        </w:rPr>
        <w:t xml:space="preserve">Inconstitucional por sustitución parcial y temporal de la Constitución. / </w:t>
      </w:r>
      <w:r w:rsidRPr="000F7CCC">
        <w:rPr>
          <w:rFonts w:ascii="Times New Roman" w:eastAsia="Times New Roman" w:hAnsi="Times New Roman" w:cs="Times New Roman"/>
          <w:i/>
          <w:iCs/>
          <w:sz w:val="26"/>
          <w:szCs w:val="26"/>
          <w:bdr w:val="none" w:sz="0" w:space="0" w:color="auto" w:frame="1"/>
          <w:lang w:eastAsia="es-CO"/>
        </w:rPr>
        <w:t xml:space="preserve">La sustitución temporal y parcial de la Constitución ha sido detectada con fundamento en el examen estricto que la Corte debe adelantar siempre que las modificaciones introducidas a la Constitución, so pretexto de reformarla, carezcan del carácter permanente propio de las constituciones, exceptúen supuestos normativos en ellas establecidos y afecten su índole escrita, mediante la producción de cambios tácitos que, sin reflejarse en los textos, incidan en ellos para restringir los derechos o las situaciones favorables a los asociados, establecidas por el Constituyente Primario, sobre todo en aspectos considerados axiales o definitorios de nuestro Estado Social de Derecho. En el caso concreto del artículo 1º del Acto Legislativo 01 de 2008  la Corte observa que la sustitución parcial y temporal ha operado en razón al reemplazo del contenido del artículo 125 superior por otro integralmente distinto, la sustitución de aquellos contenidos constitucionales que tienen relación directa con la carrera administrativa y finalmente, la afectación de la supremacía constitucional, del principio de separación de poderes y de la pretensión de universalidad de las reglas, evidenciada por la no superación del test de efectividad, razón por la que la Corte considera que, ante tal concurrencia de motivos, no tiene alternativa diferente a </w:t>
      </w:r>
      <w:r w:rsidRPr="000F7CCC">
        <w:rPr>
          <w:rFonts w:ascii="Times New Roman" w:eastAsia="Times New Roman" w:hAnsi="Times New Roman" w:cs="Times New Roman"/>
          <w:i/>
          <w:iCs/>
          <w:sz w:val="26"/>
          <w:szCs w:val="26"/>
          <w:bdr w:val="none" w:sz="0" w:space="0" w:color="auto" w:frame="1"/>
          <w:lang w:eastAsia="es-CO"/>
        </w:rPr>
        <w:lastRenderedPageBreak/>
        <w:t>la declaración de inconstitucionalidad de la pretendida reforma que excepciona y suspende importantes contenidos de la Constitución”.</w:t>
      </w:r>
      <w:r w:rsidR="00645BB7" w:rsidRPr="000F7CCC">
        <w:rPr>
          <w:rFonts w:ascii="Times New Roman" w:eastAsia="Times New Roman" w:hAnsi="Times New Roman" w:cs="Times New Roman"/>
          <w:i/>
          <w:iCs/>
          <w:sz w:val="26"/>
          <w:szCs w:val="26"/>
          <w:bdr w:val="none" w:sz="0" w:space="0" w:color="auto" w:frame="1"/>
          <w:lang w:eastAsia="es-CO"/>
        </w:rPr>
        <w:t xml:space="preserve"> </w:t>
      </w:r>
    </w:p>
    <w:p w:rsidR="004B2831" w:rsidRPr="000F7CCC" w:rsidRDefault="00645BB7" w:rsidP="00743D97">
      <w:pPr>
        <w:pStyle w:val="Prrafodelista"/>
        <w:numPr>
          <w:ilvl w:val="0"/>
          <w:numId w:val="1"/>
        </w:numPr>
        <w:shd w:val="clear" w:color="auto" w:fill="FFFFFF"/>
        <w:spacing w:after="0" w:line="240" w:lineRule="auto"/>
        <w:jc w:val="both"/>
        <w:textAlignment w:val="baseline"/>
        <w:rPr>
          <w:rFonts w:ascii="Times New Roman" w:eastAsia="Times New Roman" w:hAnsi="Times New Roman" w:cs="Times New Roman"/>
          <w:sz w:val="26"/>
          <w:szCs w:val="26"/>
          <w:lang w:eastAsia="es-CO"/>
        </w:rPr>
      </w:pPr>
      <w:r w:rsidRPr="000F7CCC">
        <w:rPr>
          <w:rFonts w:ascii="Times New Roman" w:hAnsi="Times New Roman" w:cs="Times New Roman"/>
          <w:i/>
          <w:sz w:val="26"/>
          <w:szCs w:val="26"/>
        </w:rPr>
        <w:t>Señala así mismo la Sentencia de la Referencia que un “</w:t>
      </w:r>
      <w:r w:rsidRPr="000F7CCC">
        <w:rPr>
          <w:rFonts w:ascii="Times New Roman" w:eastAsia="Times New Roman" w:hAnsi="Times New Roman" w:cs="Times New Roman"/>
          <w:b/>
          <w:bCs/>
          <w:sz w:val="26"/>
          <w:szCs w:val="26"/>
          <w:bdr w:val="none" w:sz="0" w:space="0" w:color="auto" w:frame="1"/>
          <w:lang w:eastAsia="es-CO"/>
        </w:rPr>
        <w:t>JUICIO DE SUSTITUCION DE LA CONSTITUCION-</w:t>
      </w:r>
      <w:r w:rsidRPr="000F7CCC">
        <w:rPr>
          <w:rFonts w:ascii="Times New Roman" w:eastAsia="Times New Roman" w:hAnsi="Times New Roman" w:cs="Times New Roman"/>
          <w:sz w:val="26"/>
          <w:szCs w:val="26"/>
          <w:bdr w:val="none" w:sz="0" w:space="0" w:color="auto" w:frame="1"/>
          <w:lang w:eastAsia="es-CO"/>
        </w:rPr>
        <w:t>No es un juicio de intangibilidad/</w:t>
      </w:r>
      <w:r w:rsidRPr="000F7CCC">
        <w:rPr>
          <w:rFonts w:ascii="Times New Roman" w:eastAsia="Times New Roman" w:hAnsi="Times New Roman" w:cs="Times New Roman"/>
          <w:b/>
          <w:bCs/>
          <w:sz w:val="26"/>
          <w:szCs w:val="26"/>
          <w:bdr w:val="none" w:sz="0" w:space="0" w:color="auto" w:frame="1"/>
          <w:lang w:eastAsia="es-CO"/>
        </w:rPr>
        <w:t>JUICIO DE SUSTITUCION DE LA CONSTITUCION-</w:t>
      </w:r>
      <w:r w:rsidRPr="000F7CCC">
        <w:rPr>
          <w:rFonts w:ascii="Times New Roman" w:eastAsia="Times New Roman" w:hAnsi="Times New Roman" w:cs="Times New Roman"/>
          <w:sz w:val="26"/>
          <w:szCs w:val="26"/>
          <w:bdr w:val="none" w:sz="0" w:space="0" w:color="auto" w:frame="1"/>
          <w:lang w:eastAsia="es-CO"/>
        </w:rPr>
        <w:t>No es un juicio de control material</w:t>
      </w:r>
      <w:r w:rsidRPr="000F7CCC">
        <w:rPr>
          <w:rFonts w:ascii="Times New Roman" w:eastAsia="Times New Roman" w:hAnsi="Times New Roman" w:cs="Times New Roman"/>
          <w:b/>
          <w:bCs/>
          <w:sz w:val="26"/>
          <w:szCs w:val="26"/>
          <w:bdr w:val="none" w:sz="0" w:space="0" w:color="auto" w:frame="1"/>
          <w:lang w:eastAsia="es-CO"/>
        </w:rPr>
        <w:t>/JUICIO DE SUSTITUCION DE LA CONSTITUCION-</w:t>
      </w:r>
      <w:r w:rsidRPr="000F7CCC">
        <w:rPr>
          <w:rFonts w:ascii="Times New Roman" w:eastAsia="Times New Roman" w:hAnsi="Times New Roman" w:cs="Times New Roman"/>
          <w:sz w:val="26"/>
          <w:szCs w:val="26"/>
          <w:bdr w:val="none" w:sz="0" w:space="0" w:color="auto" w:frame="1"/>
          <w:lang w:eastAsia="es-CO"/>
        </w:rPr>
        <w:t>Objeto/</w:t>
      </w:r>
      <w:r w:rsidRPr="000F7CCC">
        <w:rPr>
          <w:rFonts w:ascii="Times New Roman" w:eastAsia="Times New Roman" w:hAnsi="Times New Roman" w:cs="Times New Roman"/>
          <w:b/>
          <w:bCs/>
          <w:sz w:val="26"/>
          <w:szCs w:val="26"/>
          <w:bdr w:val="none" w:sz="0" w:space="0" w:color="auto" w:frame="1"/>
          <w:lang w:eastAsia="es-CO"/>
        </w:rPr>
        <w:t>JUICIO DE SUSTITUCION DE LA CONSTITUCION-</w:t>
      </w:r>
      <w:r w:rsidRPr="000F7CCC">
        <w:rPr>
          <w:rFonts w:ascii="Times New Roman" w:eastAsia="Times New Roman" w:hAnsi="Times New Roman" w:cs="Times New Roman"/>
          <w:sz w:val="26"/>
          <w:szCs w:val="26"/>
          <w:bdr w:val="none" w:sz="0" w:space="0" w:color="auto" w:frame="1"/>
          <w:lang w:eastAsia="es-CO"/>
        </w:rPr>
        <w:t>Elementos y etapas”… “</w:t>
      </w:r>
      <w:r w:rsidRPr="000F7CCC">
        <w:rPr>
          <w:rFonts w:ascii="Times New Roman" w:eastAsia="Times New Roman" w:hAnsi="Times New Roman" w:cs="Times New Roman"/>
          <w:i/>
          <w:iCs/>
          <w:sz w:val="26"/>
          <w:szCs w:val="26"/>
          <w:bdr w:val="none" w:sz="0" w:space="0" w:color="auto" w:frame="1"/>
          <w:lang w:eastAsia="es-CO"/>
        </w:rPr>
        <w:t xml:space="preserve">El juicio de sustitución de la Constitución tiene por objeto evaluar la constitucionalidad de un Acto Legislativo, y  comporta la confrontación entre lo modificado y la Carta anterior, no para determinar si hay diferencias, que siempre las habrá, sino para establecer si en realidad se oponen radicalmente y hay reemplazo, y dado que como la Constitución no prevé cláusulas pétreas, el de sustitución no es un juicio de intangibilidad y tampoco es un juicio de control material por cuya virtud se compare la modificación operada mediante reforma con principios constitucionales o provenientes del bloque de constitucionalidad. La Corporación ha puntualizado que para determinar, en el ámbito de la competencia, si el órgano que modificó la Carta era competente para modificarla en el sentido en que lo hizo o si no lo era y, so pretexto de la reforma, sustituyó la Constitución, se debe adelantar un examen que tenga, como premisa mayor, la enunciación de aquellos aspectos definitorios de la identidad de la Constitución que se supone han sido sustituidos por el acto reformatorio. A la fijación de la anterior premisa debe suceder el examen del acto acusado, para establecer cuál es su alcance jurídico, en relación con los elementos identificadores de la Constitución, a partir de los cuales se han aislado los parámetros del control, de manera que, al contrastar las anteriores premisas resulte posible verificar si la reforma reemplaza un elemento definitorio identificador de la Constitución por otro integralmente diferente, así como establecer, finalmente, si se ha incurrido o no en un vicio de competencia. Para la fijación de la premisa mayor se debe enunciar, con suma claridad, cuál es el elemento reemplazado e indicar, a partir de múltiples referentes normativos, cuáles son sus especificidades en la Carta de 1991, y, así mismo, evitar que algún artículo sea transformado por la propia Corte en cláusula pétrea a partir de la cual efectúe un juicio de contradicción material”. </w:t>
      </w:r>
      <w:r w:rsidRPr="000F7CCC">
        <w:rPr>
          <w:rFonts w:ascii="Times New Roman" w:eastAsia="Times New Roman" w:hAnsi="Times New Roman" w:cs="Times New Roman"/>
          <w:iCs/>
          <w:sz w:val="26"/>
          <w:szCs w:val="26"/>
          <w:bdr w:val="none" w:sz="0" w:space="0" w:color="auto" w:frame="1"/>
          <w:lang w:eastAsia="es-CO"/>
        </w:rPr>
        <w:t xml:space="preserve">En tal sentido y para subsanar lo que ya en reiteradas jurisprudencias de la Corte Constitucional sobre el particular a fijado y sobre el </w:t>
      </w:r>
      <w:r w:rsidRPr="000F7CCC">
        <w:rPr>
          <w:rFonts w:ascii="Times New Roman" w:hAnsi="Times New Roman" w:cs="Times New Roman"/>
          <w:sz w:val="26"/>
          <w:szCs w:val="26"/>
        </w:rPr>
        <w:t xml:space="preserve">acto legislativo 01 </w:t>
      </w:r>
      <w:r w:rsidRPr="000F7CCC">
        <w:rPr>
          <w:rFonts w:ascii="Times New Roman" w:hAnsi="Times New Roman" w:cs="Times New Roman"/>
          <w:sz w:val="26"/>
          <w:szCs w:val="26"/>
        </w:rPr>
        <w:lastRenderedPageBreak/>
        <w:t xml:space="preserve">de 2008 que se encontraba en el mismo sentido, se propone archivar la iniciativa de la referencia. </w:t>
      </w:r>
    </w:p>
    <w:p w:rsidR="004B2831" w:rsidRPr="000F7CCC" w:rsidRDefault="004B2831" w:rsidP="00CF7006">
      <w:pPr>
        <w:pStyle w:val="Prrafodelista"/>
        <w:numPr>
          <w:ilvl w:val="0"/>
          <w:numId w:val="1"/>
        </w:numPr>
        <w:shd w:val="clear" w:color="auto" w:fill="FFFFFF"/>
        <w:spacing w:after="0" w:line="240" w:lineRule="auto"/>
        <w:jc w:val="both"/>
        <w:textAlignment w:val="baseline"/>
        <w:rPr>
          <w:rFonts w:ascii="Times New Roman" w:eastAsia="Times New Roman" w:hAnsi="Times New Roman" w:cs="Times New Roman"/>
          <w:sz w:val="26"/>
          <w:szCs w:val="26"/>
          <w:lang w:eastAsia="es-CO"/>
        </w:rPr>
      </w:pPr>
      <w:r w:rsidRPr="000F7CCC">
        <w:rPr>
          <w:rFonts w:ascii="Times New Roman" w:eastAsia="Times New Roman" w:hAnsi="Times New Roman" w:cs="Times New Roman"/>
          <w:bCs/>
          <w:sz w:val="26"/>
          <w:szCs w:val="26"/>
          <w:bdr w:val="none" w:sz="0" w:space="0" w:color="auto" w:frame="1"/>
          <w:lang w:eastAsia="es-CO"/>
        </w:rPr>
        <w:t xml:space="preserve">En este mismo sentido la Sentencia </w:t>
      </w:r>
      <w:r w:rsidRPr="000F7CCC">
        <w:rPr>
          <w:rFonts w:ascii="Times New Roman" w:hAnsi="Times New Roman" w:cs="Times New Roman"/>
          <w:bCs/>
          <w:sz w:val="26"/>
          <w:szCs w:val="26"/>
          <w:bdr w:val="none" w:sz="0" w:space="0" w:color="auto" w:frame="1"/>
        </w:rPr>
        <w:t xml:space="preserve">C-053/16, señala que las características del  </w:t>
      </w:r>
      <w:r w:rsidRPr="000F7CCC">
        <w:rPr>
          <w:rFonts w:ascii="Times New Roman" w:eastAsia="Times New Roman" w:hAnsi="Times New Roman" w:cs="Times New Roman"/>
          <w:bCs/>
          <w:sz w:val="26"/>
          <w:szCs w:val="26"/>
          <w:bdr w:val="none" w:sz="0" w:space="0" w:color="auto" w:frame="1"/>
          <w:lang w:eastAsia="es-CO"/>
        </w:rPr>
        <w:t>JUICIO DE SUSTITUCION DE LA CONSTITUCION en el cual se encontraría el proyecto de Acto Legislativo 021 de 2018, tal y como lo hemos venido analizando:</w:t>
      </w:r>
      <w:r w:rsidRPr="000F7CCC">
        <w:rPr>
          <w:rFonts w:ascii="Times New Roman" w:eastAsia="Times New Roman" w:hAnsi="Times New Roman" w:cs="Times New Roman"/>
          <w:b/>
          <w:bCs/>
          <w:sz w:val="26"/>
          <w:szCs w:val="26"/>
          <w:bdr w:val="none" w:sz="0" w:space="0" w:color="auto" w:frame="1"/>
          <w:lang w:eastAsia="es-CO"/>
        </w:rPr>
        <w:t xml:space="preserve"> </w:t>
      </w:r>
      <w:r w:rsidRPr="000F7CCC">
        <w:rPr>
          <w:rFonts w:ascii="Times New Roman" w:eastAsia="Times New Roman" w:hAnsi="Times New Roman" w:cs="Times New Roman"/>
          <w:sz w:val="26"/>
          <w:szCs w:val="26"/>
          <w:bdr w:val="none" w:sz="0" w:space="0" w:color="auto" w:frame="1"/>
          <w:lang w:eastAsia="es-CO"/>
        </w:rPr>
        <w:t xml:space="preserve"> “</w:t>
      </w:r>
      <w:r w:rsidRPr="000F7CCC">
        <w:rPr>
          <w:rFonts w:ascii="Times New Roman" w:eastAsia="Times New Roman" w:hAnsi="Times New Roman" w:cs="Times New Roman"/>
          <w:i/>
          <w:iCs/>
          <w:sz w:val="26"/>
          <w:szCs w:val="26"/>
          <w:bdr w:val="none" w:sz="0" w:space="0" w:color="auto" w:frame="1"/>
          <w:lang w:eastAsia="es-CO"/>
        </w:rPr>
        <w:t xml:space="preserve">La definición del concepto de sustitución ha dado lugar a que la Corte establezca un método de análisis que tiene por objeto (i) fijar las etapas del examen de sustitución y (ii) prevenir los riesgos de “subjetivismo” asociados a la inexistencia de referentes positivos y precisos que indiquen cuando una variación de la Carta tiene dicho alcance. Ese método, denominado “test o juicio de sustitución” se encuentra compuesto por tres etapas básicas cada una de las cuales impone exigencias argumentativas específicas”. </w:t>
      </w:r>
    </w:p>
    <w:p w:rsidR="004B2831" w:rsidRPr="000F7CCC" w:rsidRDefault="004B2831" w:rsidP="004B2831">
      <w:pPr>
        <w:pStyle w:val="Prrafodelista"/>
        <w:numPr>
          <w:ilvl w:val="0"/>
          <w:numId w:val="1"/>
        </w:numPr>
        <w:shd w:val="clear" w:color="auto" w:fill="FFFFFF"/>
        <w:spacing w:after="0" w:line="240" w:lineRule="auto"/>
        <w:jc w:val="both"/>
        <w:textAlignment w:val="baseline"/>
        <w:rPr>
          <w:rFonts w:ascii="Times New Roman" w:eastAsia="Times New Roman" w:hAnsi="Times New Roman" w:cs="Times New Roman"/>
          <w:sz w:val="26"/>
          <w:szCs w:val="26"/>
          <w:lang w:eastAsia="es-CO"/>
        </w:rPr>
      </w:pPr>
      <w:r w:rsidRPr="000F7CCC">
        <w:rPr>
          <w:rFonts w:ascii="Times New Roman" w:eastAsia="Times New Roman" w:hAnsi="Times New Roman" w:cs="Times New Roman"/>
          <w:bCs/>
          <w:sz w:val="26"/>
          <w:szCs w:val="26"/>
          <w:bdr w:val="none" w:sz="0" w:space="0" w:color="auto" w:frame="1"/>
          <w:lang w:eastAsia="es-CO"/>
        </w:rPr>
        <w:t xml:space="preserve">Aunado al concepto que sobre el particular a evidenciado la Corte Constitucional en la citada Sentencia </w:t>
      </w:r>
      <w:r w:rsidRPr="000F7CCC">
        <w:rPr>
          <w:rFonts w:ascii="Times New Roman" w:hAnsi="Times New Roman" w:cs="Times New Roman"/>
          <w:bCs/>
          <w:sz w:val="26"/>
          <w:szCs w:val="26"/>
          <w:bdr w:val="none" w:sz="0" w:space="0" w:color="auto" w:frame="1"/>
        </w:rPr>
        <w:t>C-053/16, sobre la sustitución de la Constitución en el cual advierte:</w:t>
      </w:r>
      <w:r w:rsidRPr="000F7CCC">
        <w:rPr>
          <w:rFonts w:ascii="Times New Roman" w:hAnsi="Times New Roman" w:cs="Times New Roman"/>
          <w:b/>
          <w:bCs/>
          <w:sz w:val="26"/>
          <w:szCs w:val="26"/>
          <w:bdr w:val="none" w:sz="0" w:space="0" w:color="auto" w:frame="1"/>
        </w:rPr>
        <w:t xml:space="preserve"> “</w:t>
      </w:r>
      <w:r w:rsidRPr="000F7CCC">
        <w:rPr>
          <w:rFonts w:ascii="Times New Roman" w:eastAsia="Times New Roman" w:hAnsi="Times New Roman" w:cs="Times New Roman"/>
          <w:i/>
          <w:iCs/>
          <w:sz w:val="26"/>
          <w:szCs w:val="26"/>
          <w:bdr w:val="none" w:sz="0" w:space="0" w:color="auto" w:frame="1"/>
          <w:lang w:eastAsia="es-CO"/>
        </w:rPr>
        <w:t xml:space="preserve">La sustitución de la Constitución es un vicio de competencia en el cual incurre el reformador de la Carta cuando, al actuar como constituyente secundario o derivado, en lugar de introducir enmiendas a la Constitución, según las exigencias de los cambios políticos, económicos, sociales, etc., “inserta en ella elementos que cambian su sentido, haciéndola radicalmente distinta a la adoptada por la Asamblea Nacional Constituyente en 1991, lo que puede acontecer de manera total o parcial y también de modo permanente o transitorio”. </w:t>
      </w:r>
      <w:proofErr w:type="spellStart"/>
      <w:r w:rsidRPr="000F7CCC">
        <w:rPr>
          <w:rFonts w:ascii="Times New Roman" w:eastAsia="Times New Roman" w:hAnsi="Times New Roman" w:cs="Times New Roman"/>
          <w:iCs/>
          <w:sz w:val="26"/>
          <w:szCs w:val="26"/>
          <w:bdr w:val="none" w:sz="0" w:space="0" w:color="auto" w:frame="1"/>
          <w:lang w:eastAsia="es-CO"/>
        </w:rPr>
        <w:t>Cual</w:t>
      </w:r>
      <w:proofErr w:type="spellEnd"/>
      <w:r w:rsidRPr="000F7CCC">
        <w:rPr>
          <w:rFonts w:ascii="Times New Roman" w:eastAsia="Times New Roman" w:hAnsi="Times New Roman" w:cs="Times New Roman"/>
          <w:iCs/>
          <w:sz w:val="26"/>
          <w:szCs w:val="26"/>
          <w:bdr w:val="none" w:sz="0" w:space="0" w:color="auto" w:frame="1"/>
          <w:lang w:eastAsia="es-CO"/>
        </w:rPr>
        <w:t xml:space="preserve"> es el caso del Acto Legislativo 021 de 2018 pues viene con los mismos presupuestos facticos del Artículo 1º del Acto Legislativo 01 de 2008</w:t>
      </w:r>
    </w:p>
    <w:p w:rsidR="00027568" w:rsidRPr="000F7CCC" w:rsidRDefault="00027568" w:rsidP="004B2831">
      <w:pPr>
        <w:jc w:val="both"/>
        <w:rPr>
          <w:rFonts w:ascii="Times New Roman" w:hAnsi="Times New Roman" w:cs="Times New Roman"/>
          <w:sz w:val="26"/>
          <w:szCs w:val="26"/>
        </w:rPr>
      </w:pP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 xml:space="preserve">Con todo esto la </w:t>
      </w:r>
      <w:r w:rsidR="004B2831" w:rsidRPr="000F7CCC">
        <w:rPr>
          <w:rFonts w:ascii="Times New Roman" w:hAnsi="Times New Roman" w:cs="Times New Roman"/>
          <w:sz w:val="26"/>
          <w:szCs w:val="26"/>
        </w:rPr>
        <w:t>S</w:t>
      </w:r>
      <w:r w:rsidRPr="000F7CCC">
        <w:rPr>
          <w:rFonts w:ascii="Times New Roman" w:hAnsi="Times New Roman" w:cs="Times New Roman"/>
          <w:sz w:val="26"/>
          <w:szCs w:val="26"/>
        </w:rPr>
        <w:t xml:space="preserve">entencia </w:t>
      </w:r>
      <w:r w:rsidR="004B2831" w:rsidRPr="000F7CCC">
        <w:rPr>
          <w:rFonts w:ascii="Times New Roman" w:hAnsi="Times New Roman" w:cs="Times New Roman"/>
          <w:sz w:val="26"/>
          <w:szCs w:val="26"/>
        </w:rPr>
        <w:t>C-588/09</w:t>
      </w:r>
      <w:r w:rsidR="00377E42" w:rsidRPr="000F7CCC">
        <w:rPr>
          <w:rFonts w:ascii="Times New Roman" w:hAnsi="Times New Roman" w:cs="Times New Roman"/>
          <w:sz w:val="26"/>
          <w:szCs w:val="26"/>
        </w:rPr>
        <w:t xml:space="preserve"> </w:t>
      </w:r>
      <w:r w:rsidRPr="000F7CCC">
        <w:rPr>
          <w:rFonts w:ascii="Times New Roman" w:hAnsi="Times New Roman" w:cs="Times New Roman"/>
          <w:sz w:val="26"/>
          <w:szCs w:val="26"/>
        </w:rPr>
        <w:t>concluye:</w:t>
      </w: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w:t>
      </w:r>
      <w:r w:rsidRPr="000F7CCC">
        <w:rPr>
          <w:rFonts w:ascii="Times New Roman" w:hAnsi="Times New Roman" w:cs="Times New Roman"/>
          <w:i/>
          <w:sz w:val="26"/>
          <w:szCs w:val="26"/>
        </w:rPr>
        <w:t>En resumidas cuentas, el artículo 1º del Acto Legislativo No. 01 de 2008 reemplaza la regulación general que sobre la carrera administrativa consagra el artículo 125 de la Constitución, pues establece un régimen distinto para acceder a la carrera, régimen del que son beneficiarios determinados servidores y, fuera de reemplazar lo regulado, suspende transitoriamente la vigencia del artículo 125 superior, para que “durante un tiempo de tres años” opere el régimen contemplado en el parágrafo adicionado a la preceptiva constitucional reemplazada y suspendida”.</w:t>
      </w: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lastRenderedPageBreak/>
        <w:t xml:space="preserve">Si bien el parágrafo del presente acto legislativo especifica que sólo podrán acceder al beneficio los servidores públicos que </w:t>
      </w:r>
      <w:r w:rsidRPr="000F7CCC">
        <w:rPr>
          <w:rFonts w:ascii="Times New Roman" w:hAnsi="Times New Roman" w:cs="Times New Roman"/>
          <w:i/>
          <w:sz w:val="26"/>
          <w:szCs w:val="26"/>
        </w:rPr>
        <w:t>“se encuentren prestando el servicio en el mismo cargo ininterrumpidamente y cumplan con las calidades y requisitos académicos y de experiencia laboral que la ley exige para el desempeño de los mismos</w:t>
      </w:r>
      <w:r w:rsidRPr="000F7CCC">
        <w:rPr>
          <w:rFonts w:ascii="Times New Roman" w:hAnsi="Times New Roman" w:cs="Times New Roman"/>
          <w:sz w:val="26"/>
          <w:szCs w:val="26"/>
        </w:rPr>
        <w:t xml:space="preserve">” y obedece el principio de méritos establecido en el numeral </w:t>
      </w:r>
      <w:r w:rsidRPr="000F7CCC">
        <w:rPr>
          <w:rFonts w:ascii="Times New Roman" w:hAnsi="Times New Roman" w:cs="Times New Roman"/>
          <w:b/>
          <w:sz w:val="26"/>
          <w:szCs w:val="26"/>
        </w:rPr>
        <w:t>a)</w:t>
      </w:r>
      <w:r w:rsidRPr="000F7CCC">
        <w:rPr>
          <w:rFonts w:ascii="Times New Roman" w:hAnsi="Times New Roman" w:cs="Times New Roman"/>
          <w:sz w:val="26"/>
          <w:szCs w:val="26"/>
        </w:rPr>
        <w:t xml:space="preserve"> del artículo 28; al garantizarles a los empleados la inscripción extraordinaria, incurre en la violación de los numerales </w:t>
      </w:r>
      <w:r w:rsidRPr="000F7CCC">
        <w:rPr>
          <w:rFonts w:ascii="Times New Roman" w:hAnsi="Times New Roman" w:cs="Times New Roman"/>
          <w:b/>
          <w:sz w:val="26"/>
          <w:szCs w:val="26"/>
        </w:rPr>
        <w:t>b)</w:t>
      </w:r>
      <w:r w:rsidRPr="000F7CCC">
        <w:rPr>
          <w:rFonts w:ascii="Times New Roman" w:hAnsi="Times New Roman" w:cs="Times New Roman"/>
          <w:sz w:val="26"/>
          <w:szCs w:val="26"/>
        </w:rPr>
        <w:t xml:space="preserve"> y </w:t>
      </w:r>
      <w:r w:rsidRPr="000F7CCC">
        <w:rPr>
          <w:rFonts w:ascii="Times New Roman" w:hAnsi="Times New Roman" w:cs="Times New Roman"/>
          <w:b/>
          <w:sz w:val="26"/>
          <w:szCs w:val="26"/>
        </w:rPr>
        <w:t>f)</w:t>
      </w:r>
      <w:r w:rsidRPr="000F7CCC">
        <w:rPr>
          <w:rFonts w:ascii="Times New Roman" w:hAnsi="Times New Roman" w:cs="Times New Roman"/>
          <w:sz w:val="26"/>
          <w:szCs w:val="26"/>
        </w:rPr>
        <w:t xml:space="preserve"> que promueven la igualdad y el libre ingreso para todos los ciudadanos a las convocatorias, además de la imparcialidad en los órganos encargados de llevar a cabo los procesos de selección.</w:t>
      </w: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 xml:space="preserve">Este mecanismo de inscripción extraordinaria puede prestarse para crear un sistema de nombramiento que vaya en contra de los principios de méritos como lo establece la constitución que deben ser los empleos de carrera administrativa, </w:t>
      </w:r>
      <w:bookmarkStart w:id="0" w:name="_Hlk528614850"/>
      <w:r w:rsidRPr="000F7CCC">
        <w:rPr>
          <w:rFonts w:ascii="Times New Roman" w:hAnsi="Times New Roman" w:cs="Times New Roman"/>
          <w:sz w:val="26"/>
          <w:szCs w:val="26"/>
        </w:rPr>
        <w:t>pues sólo sería potestad del directivo seleccionar la persona, colocarla en provisionalidad para después de un período específico inscribirla de forma extraordinaria a carrera administrativa</w:t>
      </w:r>
      <w:bookmarkEnd w:id="0"/>
      <w:r w:rsidRPr="000F7CCC">
        <w:rPr>
          <w:rFonts w:ascii="Times New Roman" w:hAnsi="Times New Roman" w:cs="Times New Roman"/>
          <w:sz w:val="26"/>
          <w:szCs w:val="26"/>
        </w:rPr>
        <w:t>. Por lo que se sugiere que se podrían implementar otros mecanismos si se quiere generar la protección a los empleados en provisionalidad, como el libre acceso a las capacitaciones independiente de su tipo de vinculación (ley 1567 de 1998).</w:t>
      </w:r>
    </w:p>
    <w:p w:rsidR="00064ECB" w:rsidRPr="000F7CCC" w:rsidRDefault="00064ECB" w:rsidP="00D51203">
      <w:pPr>
        <w:jc w:val="both"/>
        <w:rPr>
          <w:rFonts w:ascii="Times New Roman" w:hAnsi="Times New Roman" w:cs="Times New Roman"/>
          <w:i/>
          <w:sz w:val="26"/>
          <w:szCs w:val="26"/>
        </w:rPr>
      </w:pPr>
      <w:r w:rsidRPr="000F7CCC">
        <w:rPr>
          <w:rFonts w:ascii="Times New Roman" w:hAnsi="Times New Roman" w:cs="Times New Roman"/>
          <w:sz w:val="26"/>
          <w:szCs w:val="26"/>
        </w:rPr>
        <w:t xml:space="preserve">Si bien los numerales del Art. 28 de la ley 909 de 2004 establecen los principios de los que habla el artículo 125 de la constitución, se presentó el argumento en la exposición de motivos del Acto Legislativo que </w:t>
      </w:r>
      <w:r w:rsidRPr="000F7CCC">
        <w:rPr>
          <w:rFonts w:ascii="Times New Roman" w:hAnsi="Times New Roman" w:cs="Times New Roman"/>
          <w:i/>
          <w:sz w:val="26"/>
          <w:szCs w:val="26"/>
        </w:rPr>
        <w:t xml:space="preserve">“no son suficientes para concluir que se tratan de elementos definitorios de la Carta cuyo desconocimiento acarrea la sustitución, aún parcial, de la Constitución” </w:t>
      </w:r>
      <w:r w:rsidRPr="000F7CCC">
        <w:rPr>
          <w:rFonts w:ascii="Times New Roman" w:hAnsi="Times New Roman" w:cs="Times New Roman"/>
          <w:sz w:val="26"/>
          <w:szCs w:val="26"/>
        </w:rPr>
        <w:t xml:space="preserve"> ya que como la misma sentencia aclara, sobre el juicio de sustitución: </w:t>
      </w:r>
      <w:r w:rsidRPr="000F7CCC">
        <w:rPr>
          <w:rFonts w:ascii="Times New Roman" w:hAnsi="Times New Roman" w:cs="Times New Roman"/>
          <w:i/>
          <w:sz w:val="26"/>
          <w:szCs w:val="26"/>
        </w:rPr>
        <w:t xml:space="preserve">“Para establecer si hay o no sustitución, es necesario tener en cuenta los principios y valores que la Constitución contiene, y aquellos que surgen del bloque de constitucionalidad, no para revisar el contenido mismo de la reforma comparando un artículo del texto reformatorio con una regla, norma o principio constitucional, sino </w:t>
      </w:r>
      <w:r w:rsidRPr="000F7CCC">
        <w:rPr>
          <w:rFonts w:ascii="Times New Roman" w:hAnsi="Times New Roman" w:cs="Times New Roman"/>
          <w:i/>
          <w:sz w:val="26"/>
          <w:szCs w:val="26"/>
          <w:u w:val="single"/>
        </w:rPr>
        <w:t>para determinar si los principios anteriores y los introducidos son opuestos o integralmente diferentes, al punto que resulten incompatibles.</w:t>
      </w:r>
      <w:r w:rsidRPr="000F7CCC">
        <w:rPr>
          <w:rFonts w:ascii="Times New Roman" w:hAnsi="Times New Roman" w:cs="Times New Roman"/>
          <w:i/>
          <w:sz w:val="26"/>
          <w:szCs w:val="26"/>
        </w:rPr>
        <w:t>” (subrayado fuera de texto)</w:t>
      </w:r>
      <w:r w:rsidR="00645BB7" w:rsidRPr="000F7CCC">
        <w:rPr>
          <w:rFonts w:ascii="Times New Roman" w:hAnsi="Times New Roman" w:cs="Times New Roman"/>
          <w:i/>
          <w:sz w:val="26"/>
          <w:szCs w:val="26"/>
        </w:rPr>
        <w:t xml:space="preserve">, </w:t>
      </w:r>
      <w:r w:rsidR="00645BB7" w:rsidRPr="000F7CCC">
        <w:rPr>
          <w:rFonts w:ascii="Times New Roman" w:hAnsi="Times New Roman" w:cs="Times New Roman"/>
          <w:sz w:val="26"/>
          <w:szCs w:val="26"/>
        </w:rPr>
        <w:t xml:space="preserve">los cuales expresa la jurisprudencia de la Corte Constitucional la cual precedentemente advertimos.  </w:t>
      </w:r>
      <w:r w:rsidR="00645BB7" w:rsidRPr="000F7CCC">
        <w:rPr>
          <w:rFonts w:ascii="Times New Roman" w:hAnsi="Times New Roman" w:cs="Times New Roman"/>
          <w:i/>
          <w:sz w:val="26"/>
          <w:szCs w:val="26"/>
        </w:rPr>
        <w:t xml:space="preserve"> </w:t>
      </w:r>
      <w:r w:rsidRPr="000F7CCC">
        <w:rPr>
          <w:rFonts w:ascii="Times New Roman" w:hAnsi="Times New Roman" w:cs="Times New Roman"/>
          <w:i/>
          <w:sz w:val="26"/>
          <w:szCs w:val="26"/>
        </w:rPr>
        <w:t xml:space="preserve"> </w:t>
      </w: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lastRenderedPageBreak/>
        <w:t>A lo cual se concluye que el Acto Legislativo 21 de 2018, va en contra de lo establecido en el artículo 125 de la constitución.</w:t>
      </w: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 xml:space="preserve">Para </w:t>
      </w:r>
      <w:r w:rsidR="00645BB7" w:rsidRPr="000F7CCC">
        <w:rPr>
          <w:rFonts w:ascii="Times New Roman" w:hAnsi="Times New Roman" w:cs="Times New Roman"/>
          <w:sz w:val="26"/>
          <w:szCs w:val="26"/>
        </w:rPr>
        <w:t xml:space="preserve">puntualizar </w:t>
      </w:r>
      <w:r w:rsidRPr="000F7CCC">
        <w:rPr>
          <w:rFonts w:ascii="Times New Roman" w:hAnsi="Times New Roman" w:cs="Times New Roman"/>
          <w:sz w:val="26"/>
          <w:szCs w:val="26"/>
        </w:rPr>
        <w:t xml:space="preserve">se incluyen algunas cifras que ayudan a esclarecer el impacto que tiene este proyecto para las entidades del estado. La Comisión Nacional del Servicio Civil, encargada de adelantar los concursos o procesos de selección, reportó entre el año 2012 y 2015 la cantidad de convocatorias realizadas por 24 entidades Nacionales y Territoriales, entre las que se incluían el INPEC, el Ministerio de Educación Nacional, las contralorías territoriales y el DANE. </w:t>
      </w:r>
    </w:p>
    <w:tbl>
      <w:tblPr>
        <w:tblStyle w:val="Tablaconcuadrcula"/>
        <w:tblW w:w="9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1242"/>
        <w:gridCol w:w="982"/>
        <w:gridCol w:w="1473"/>
        <w:gridCol w:w="1083"/>
        <w:gridCol w:w="1415"/>
        <w:gridCol w:w="1061"/>
      </w:tblGrid>
      <w:tr w:rsidR="000F7CCC" w:rsidRPr="000F7CCC" w:rsidTr="00F95038">
        <w:trPr>
          <w:trHeight w:val="307"/>
          <w:jc w:val="center"/>
        </w:trPr>
        <w:tc>
          <w:tcPr>
            <w:tcW w:w="2396" w:type="dxa"/>
            <w:noWrap/>
          </w:tcPr>
          <w:p w:rsidR="00064ECB" w:rsidRPr="000F7CCC" w:rsidRDefault="00064ECB" w:rsidP="00D51203">
            <w:pPr>
              <w:jc w:val="both"/>
              <w:rPr>
                <w:rFonts w:ascii="Times New Roman" w:hAnsi="Times New Roman" w:cs="Times New Roman"/>
                <w:sz w:val="26"/>
                <w:szCs w:val="26"/>
              </w:rPr>
            </w:pPr>
          </w:p>
        </w:tc>
        <w:tc>
          <w:tcPr>
            <w:tcW w:w="7049" w:type="dxa"/>
            <w:gridSpan w:val="6"/>
            <w:tcBorders>
              <w:bottom w:val="single" w:sz="4" w:space="0" w:color="auto"/>
            </w:tcBorders>
            <w:noWrap/>
          </w:tcPr>
          <w:p w:rsidR="00064ECB" w:rsidRPr="000F7CCC" w:rsidRDefault="00064ECB" w:rsidP="000F7CCC">
            <w:pPr>
              <w:jc w:val="center"/>
              <w:rPr>
                <w:rFonts w:ascii="Times New Roman" w:hAnsi="Times New Roman" w:cs="Times New Roman"/>
                <w:b/>
                <w:sz w:val="26"/>
                <w:szCs w:val="26"/>
              </w:rPr>
            </w:pPr>
            <w:r w:rsidRPr="000F7CCC">
              <w:rPr>
                <w:rFonts w:ascii="Times New Roman" w:hAnsi="Times New Roman" w:cs="Times New Roman"/>
                <w:b/>
                <w:sz w:val="26"/>
                <w:szCs w:val="26"/>
              </w:rPr>
              <w:t>Nivel Jerárquico</w:t>
            </w:r>
          </w:p>
        </w:tc>
      </w:tr>
      <w:tr w:rsidR="000F7CCC" w:rsidRPr="000F7CCC" w:rsidTr="00F95038">
        <w:trPr>
          <w:trHeight w:val="307"/>
          <w:jc w:val="center"/>
        </w:trPr>
        <w:tc>
          <w:tcPr>
            <w:tcW w:w="2396" w:type="dxa"/>
            <w:tcBorders>
              <w:bottom w:val="single" w:sz="4" w:space="0" w:color="auto"/>
            </w:tcBorders>
            <w:noWrap/>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 </w:t>
            </w:r>
          </w:p>
        </w:tc>
        <w:tc>
          <w:tcPr>
            <w:tcW w:w="1181" w:type="dxa"/>
            <w:tcBorders>
              <w:top w:val="single" w:sz="4" w:space="0" w:color="auto"/>
              <w:bottom w:val="single" w:sz="4" w:space="0" w:color="auto"/>
            </w:tcBorders>
            <w:noWrap/>
            <w:vAlign w:val="center"/>
            <w:hideMark/>
          </w:tcPr>
          <w:p w:rsidR="00064ECB" w:rsidRPr="000F7CCC" w:rsidRDefault="00064ECB" w:rsidP="00D51203">
            <w:pPr>
              <w:jc w:val="both"/>
              <w:rPr>
                <w:rFonts w:ascii="Times New Roman" w:hAnsi="Times New Roman" w:cs="Times New Roman"/>
                <w:b/>
                <w:sz w:val="26"/>
                <w:szCs w:val="26"/>
              </w:rPr>
            </w:pPr>
            <w:r w:rsidRPr="000F7CCC">
              <w:rPr>
                <w:rFonts w:ascii="Times New Roman" w:hAnsi="Times New Roman" w:cs="Times New Roman"/>
                <w:b/>
                <w:sz w:val="26"/>
                <w:szCs w:val="26"/>
              </w:rPr>
              <w:t>Directivo</w:t>
            </w:r>
          </w:p>
        </w:tc>
        <w:tc>
          <w:tcPr>
            <w:tcW w:w="982" w:type="dxa"/>
            <w:tcBorders>
              <w:top w:val="single" w:sz="4" w:space="0" w:color="auto"/>
              <w:bottom w:val="single" w:sz="4" w:space="0" w:color="auto"/>
            </w:tcBorders>
            <w:noWrap/>
            <w:vAlign w:val="center"/>
            <w:hideMark/>
          </w:tcPr>
          <w:p w:rsidR="00064ECB" w:rsidRPr="000F7CCC" w:rsidRDefault="00064ECB" w:rsidP="00D51203">
            <w:pPr>
              <w:jc w:val="both"/>
              <w:rPr>
                <w:rFonts w:ascii="Times New Roman" w:hAnsi="Times New Roman" w:cs="Times New Roman"/>
                <w:b/>
                <w:sz w:val="26"/>
                <w:szCs w:val="26"/>
              </w:rPr>
            </w:pPr>
            <w:r w:rsidRPr="000F7CCC">
              <w:rPr>
                <w:rFonts w:ascii="Times New Roman" w:hAnsi="Times New Roman" w:cs="Times New Roman"/>
                <w:b/>
                <w:sz w:val="26"/>
                <w:szCs w:val="26"/>
              </w:rPr>
              <w:t>Asesor</w:t>
            </w:r>
          </w:p>
        </w:tc>
        <w:tc>
          <w:tcPr>
            <w:tcW w:w="1442" w:type="dxa"/>
            <w:tcBorders>
              <w:top w:val="single" w:sz="4" w:space="0" w:color="auto"/>
              <w:bottom w:val="single" w:sz="4" w:space="0" w:color="auto"/>
            </w:tcBorders>
            <w:noWrap/>
            <w:vAlign w:val="center"/>
            <w:hideMark/>
          </w:tcPr>
          <w:p w:rsidR="00064ECB" w:rsidRPr="000F7CCC" w:rsidRDefault="00064ECB" w:rsidP="00D51203">
            <w:pPr>
              <w:jc w:val="both"/>
              <w:rPr>
                <w:rFonts w:ascii="Times New Roman" w:hAnsi="Times New Roman" w:cs="Times New Roman"/>
                <w:b/>
                <w:sz w:val="26"/>
                <w:szCs w:val="26"/>
              </w:rPr>
            </w:pPr>
            <w:r w:rsidRPr="000F7CCC">
              <w:rPr>
                <w:rFonts w:ascii="Times New Roman" w:hAnsi="Times New Roman" w:cs="Times New Roman"/>
                <w:b/>
                <w:sz w:val="26"/>
                <w:szCs w:val="26"/>
              </w:rPr>
              <w:t>Profesional</w:t>
            </w:r>
          </w:p>
        </w:tc>
        <w:tc>
          <w:tcPr>
            <w:tcW w:w="1069" w:type="dxa"/>
            <w:tcBorders>
              <w:top w:val="single" w:sz="4" w:space="0" w:color="auto"/>
              <w:bottom w:val="single" w:sz="4" w:space="0" w:color="auto"/>
            </w:tcBorders>
            <w:noWrap/>
            <w:vAlign w:val="center"/>
            <w:hideMark/>
          </w:tcPr>
          <w:p w:rsidR="00064ECB" w:rsidRPr="000F7CCC" w:rsidRDefault="00064ECB" w:rsidP="00D51203">
            <w:pPr>
              <w:jc w:val="both"/>
              <w:rPr>
                <w:rFonts w:ascii="Times New Roman" w:hAnsi="Times New Roman" w:cs="Times New Roman"/>
                <w:b/>
                <w:sz w:val="26"/>
                <w:szCs w:val="26"/>
              </w:rPr>
            </w:pPr>
            <w:r w:rsidRPr="000F7CCC">
              <w:rPr>
                <w:rFonts w:ascii="Times New Roman" w:hAnsi="Times New Roman" w:cs="Times New Roman"/>
                <w:b/>
                <w:sz w:val="26"/>
                <w:szCs w:val="26"/>
              </w:rPr>
              <w:t>Técnico</w:t>
            </w:r>
          </w:p>
        </w:tc>
        <w:tc>
          <w:tcPr>
            <w:tcW w:w="1404" w:type="dxa"/>
            <w:tcBorders>
              <w:top w:val="single" w:sz="4" w:space="0" w:color="auto"/>
              <w:bottom w:val="single" w:sz="4" w:space="0" w:color="auto"/>
            </w:tcBorders>
            <w:noWrap/>
            <w:vAlign w:val="center"/>
            <w:hideMark/>
          </w:tcPr>
          <w:p w:rsidR="00064ECB" w:rsidRPr="000F7CCC" w:rsidRDefault="00064ECB" w:rsidP="00D51203">
            <w:pPr>
              <w:jc w:val="both"/>
              <w:rPr>
                <w:rFonts w:ascii="Times New Roman" w:hAnsi="Times New Roman" w:cs="Times New Roman"/>
                <w:b/>
                <w:sz w:val="26"/>
                <w:szCs w:val="26"/>
              </w:rPr>
            </w:pPr>
            <w:r w:rsidRPr="000F7CCC">
              <w:rPr>
                <w:rFonts w:ascii="Times New Roman" w:hAnsi="Times New Roman" w:cs="Times New Roman"/>
                <w:b/>
                <w:sz w:val="26"/>
                <w:szCs w:val="26"/>
              </w:rPr>
              <w:t>Asistencial</w:t>
            </w:r>
          </w:p>
        </w:tc>
        <w:tc>
          <w:tcPr>
            <w:tcW w:w="971" w:type="dxa"/>
            <w:tcBorders>
              <w:top w:val="single" w:sz="4" w:space="0" w:color="auto"/>
              <w:bottom w:val="single" w:sz="4" w:space="0" w:color="auto"/>
            </w:tcBorders>
            <w:noWrap/>
            <w:vAlign w:val="center"/>
            <w:hideMark/>
          </w:tcPr>
          <w:p w:rsidR="00064ECB" w:rsidRPr="000F7CCC" w:rsidRDefault="00064ECB" w:rsidP="00D51203">
            <w:pPr>
              <w:jc w:val="both"/>
              <w:rPr>
                <w:rFonts w:ascii="Times New Roman" w:hAnsi="Times New Roman" w:cs="Times New Roman"/>
                <w:b/>
                <w:sz w:val="26"/>
                <w:szCs w:val="26"/>
              </w:rPr>
            </w:pPr>
            <w:r w:rsidRPr="000F7CCC">
              <w:rPr>
                <w:rFonts w:ascii="Times New Roman" w:hAnsi="Times New Roman" w:cs="Times New Roman"/>
                <w:b/>
                <w:sz w:val="26"/>
                <w:szCs w:val="26"/>
              </w:rPr>
              <w:t>Total</w:t>
            </w:r>
          </w:p>
        </w:tc>
      </w:tr>
      <w:tr w:rsidR="000F7CCC" w:rsidRPr="000F7CCC" w:rsidTr="00F95038">
        <w:trPr>
          <w:trHeight w:val="307"/>
          <w:jc w:val="center"/>
        </w:trPr>
        <w:tc>
          <w:tcPr>
            <w:tcW w:w="2396" w:type="dxa"/>
            <w:tcBorders>
              <w:top w:val="single" w:sz="4" w:space="0" w:color="auto"/>
            </w:tcBorders>
            <w:noWrap/>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 xml:space="preserve">Cargos Ofertados </w:t>
            </w:r>
          </w:p>
        </w:tc>
        <w:tc>
          <w:tcPr>
            <w:tcW w:w="1181" w:type="dxa"/>
            <w:tcBorders>
              <w:top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2</w:t>
            </w:r>
          </w:p>
        </w:tc>
        <w:tc>
          <w:tcPr>
            <w:tcW w:w="982" w:type="dxa"/>
            <w:tcBorders>
              <w:top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75</w:t>
            </w:r>
          </w:p>
        </w:tc>
        <w:tc>
          <w:tcPr>
            <w:tcW w:w="1442" w:type="dxa"/>
            <w:tcBorders>
              <w:top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5.941</w:t>
            </w:r>
          </w:p>
        </w:tc>
        <w:tc>
          <w:tcPr>
            <w:tcW w:w="1069" w:type="dxa"/>
            <w:tcBorders>
              <w:top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2.589</w:t>
            </w:r>
          </w:p>
        </w:tc>
        <w:tc>
          <w:tcPr>
            <w:tcW w:w="1404" w:type="dxa"/>
            <w:tcBorders>
              <w:top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2.501</w:t>
            </w:r>
          </w:p>
        </w:tc>
        <w:tc>
          <w:tcPr>
            <w:tcW w:w="971" w:type="dxa"/>
            <w:tcBorders>
              <w:top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11.108</w:t>
            </w:r>
          </w:p>
        </w:tc>
      </w:tr>
      <w:tr w:rsidR="000F7CCC" w:rsidRPr="000F7CCC" w:rsidTr="00F95038">
        <w:trPr>
          <w:trHeight w:val="307"/>
          <w:jc w:val="center"/>
        </w:trPr>
        <w:tc>
          <w:tcPr>
            <w:tcW w:w="2396" w:type="dxa"/>
            <w:noWrap/>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 xml:space="preserve">Aspirantes admitidos </w:t>
            </w:r>
          </w:p>
        </w:tc>
        <w:tc>
          <w:tcPr>
            <w:tcW w:w="1181"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10</w:t>
            </w:r>
          </w:p>
        </w:tc>
        <w:tc>
          <w:tcPr>
            <w:tcW w:w="982"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1.894</w:t>
            </w:r>
          </w:p>
        </w:tc>
        <w:tc>
          <w:tcPr>
            <w:tcW w:w="1442"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93.917</w:t>
            </w:r>
          </w:p>
        </w:tc>
        <w:tc>
          <w:tcPr>
            <w:tcW w:w="1069"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30.005</w:t>
            </w:r>
          </w:p>
        </w:tc>
        <w:tc>
          <w:tcPr>
            <w:tcW w:w="1404"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66.689</w:t>
            </w:r>
          </w:p>
        </w:tc>
        <w:tc>
          <w:tcPr>
            <w:tcW w:w="971"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192.515</w:t>
            </w:r>
          </w:p>
        </w:tc>
      </w:tr>
      <w:tr w:rsidR="000F7CCC" w:rsidRPr="000F7CCC" w:rsidTr="00F95038">
        <w:trPr>
          <w:trHeight w:val="307"/>
          <w:jc w:val="center"/>
        </w:trPr>
        <w:tc>
          <w:tcPr>
            <w:tcW w:w="2396" w:type="dxa"/>
            <w:noWrap/>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Inscritos Definitivos</w:t>
            </w:r>
          </w:p>
        </w:tc>
        <w:tc>
          <w:tcPr>
            <w:tcW w:w="1181"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18</w:t>
            </w:r>
          </w:p>
        </w:tc>
        <w:tc>
          <w:tcPr>
            <w:tcW w:w="982"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6.612</w:t>
            </w:r>
          </w:p>
        </w:tc>
        <w:tc>
          <w:tcPr>
            <w:tcW w:w="1442"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279.594</w:t>
            </w:r>
          </w:p>
        </w:tc>
        <w:tc>
          <w:tcPr>
            <w:tcW w:w="1069"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146.988</w:t>
            </w:r>
          </w:p>
        </w:tc>
        <w:tc>
          <w:tcPr>
            <w:tcW w:w="1404"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158.653</w:t>
            </w:r>
          </w:p>
        </w:tc>
        <w:tc>
          <w:tcPr>
            <w:tcW w:w="971" w:type="dxa"/>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591.865</w:t>
            </w:r>
          </w:p>
        </w:tc>
      </w:tr>
      <w:tr w:rsidR="00064ECB" w:rsidRPr="000F7CCC" w:rsidTr="00F95038">
        <w:trPr>
          <w:trHeight w:val="307"/>
          <w:jc w:val="center"/>
        </w:trPr>
        <w:tc>
          <w:tcPr>
            <w:tcW w:w="2396" w:type="dxa"/>
            <w:tcBorders>
              <w:bottom w:val="single" w:sz="4" w:space="0" w:color="auto"/>
            </w:tcBorders>
            <w:noWrap/>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Pines Vendidos</w:t>
            </w:r>
          </w:p>
        </w:tc>
        <w:tc>
          <w:tcPr>
            <w:tcW w:w="1181" w:type="dxa"/>
            <w:tcBorders>
              <w:bottom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0</w:t>
            </w:r>
          </w:p>
        </w:tc>
        <w:tc>
          <w:tcPr>
            <w:tcW w:w="982" w:type="dxa"/>
            <w:tcBorders>
              <w:bottom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0</w:t>
            </w:r>
          </w:p>
        </w:tc>
        <w:tc>
          <w:tcPr>
            <w:tcW w:w="1442" w:type="dxa"/>
            <w:tcBorders>
              <w:bottom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354.374</w:t>
            </w:r>
          </w:p>
        </w:tc>
        <w:tc>
          <w:tcPr>
            <w:tcW w:w="1069" w:type="dxa"/>
            <w:tcBorders>
              <w:bottom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257.847</w:t>
            </w:r>
          </w:p>
        </w:tc>
        <w:tc>
          <w:tcPr>
            <w:tcW w:w="1404" w:type="dxa"/>
            <w:tcBorders>
              <w:bottom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25.325</w:t>
            </w:r>
          </w:p>
        </w:tc>
        <w:tc>
          <w:tcPr>
            <w:tcW w:w="971" w:type="dxa"/>
            <w:tcBorders>
              <w:bottom w:val="single" w:sz="4" w:space="0" w:color="auto"/>
            </w:tcBorders>
            <w:noWrap/>
            <w:vAlign w:val="center"/>
            <w:hideMark/>
          </w:tcPr>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sz w:val="26"/>
                <w:szCs w:val="26"/>
              </w:rPr>
              <w:t>637.546</w:t>
            </w:r>
          </w:p>
        </w:tc>
      </w:tr>
    </w:tbl>
    <w:p w:rsidR="00064ECB" w:rsidRPr="000F7CCC" w:rsidRDefault="00064ECB" w:rsidP="00D51203">
      <w:pPr>
        <w:jc w:val="both"/>
        <w:rPr>
          <w:rFonts w:ascii="Times New Roman" w:hAnsi="Times New Roman" w:cs="Times New Roman"/>
          <w:sz w:val="26"/>
          <w:szCs w:val="26"/>
        </w:rPr>
      </w:pPr>
    </w:p>
    <w:p w:rsidR="00064ECB" w:rsidRPr="000F7CCC" w:rsidRDefault="00064ECB" w:rsidP="00D51203">
      <w:pPr>
        <w:jc w:val="both"/>
        <w:rPr>
          <w:rFonts w:ascii="Times New Roman" w:hAnsi="Times New Roman" w:cs="Times New Roman"/>
          <w:sz w:val="26"/>
          <w:szCs w:val="26"/>
        </w:rPr>
      </w:pPr>
      <w:r w:rsidRPr="000F7CCC">
        <w:rPr>
          <w:rFonts w:ascii="Times New Roman" w:hAnsi="Times New Roman" w:cs="Times New Roman"/>
          <w:b/>
          <w:sz w:val="26"/>
          <w:szCs w:val="26"/>
        </w:rPr>
        <w:t>Tabla 1</w:t>
      </w:r>
      <w:r w:rsidRPr="000F7CCC">
        <w:rPr>
          <w:rFonts w:ascii="Times New Roman" w:hAnsi="Times New Roman" w:cs="Times New Roman"/>
          <w:sz w:val="26"/>
          <w:szCs w:val="26"/>
        </w:rPr>
        <w:t>. Información de procesos de selección desarrolladas por la Comisión Nacional del Servicio Civil desde la convocatoria 134 de 2012 a 2015. (Fuente: Datos Abiertos, 2017)</w:t>
      </w:r>
    </w:p>
    <w:p w:rsidR="00064ECB" w:rsidRPr="000F7CCC" w:rsidRDefault="00064ECB" w:rsidP="00D51203">
      <w:pPr>
        <w:jc w:val="both"/>
        <w:rPr>
          <w:rFonts w:ascii="Times New Roman" w:hAnsi="Times New Roman" w:cs="Times New Roman"/>
          <w:noProof/>
          <w:sz w:val="26"/>
          <w:szCs w:val="26"/>
          <w:lang w:eastAsia="es-CO"/>
        </w:rPr>
      </w:pPr>
      <w:r w:rsidRPr="000F7CCC">
        <w:rPr>
          <w:rFonts w:ascii="Times New Roman" w:hAnsi="Times New Roman" w:cs="Times New Roman"/>
          <w:noProof/>
          <w:sz w:val="26"/>
          <w:szCs w:val="26"/>
          <w:lang w:eastAsia="es-CO"/>
        </w:rPr>
        <w:t xml:space="preserve">En este reporte se evidencia la proporción entre vacantes ofrecidas por las entidades del estado y la oferta de candidatos para estas posiciones. Si bien el Acto legislativo propuesto dignificaría las condiciones de trabajo de los empleados en provisionalidad se debe tener en cuenta la gran cantidad de ciudadanos que se presentan a los concursos por méritos. En promedio, por cada cargo ofertado por las entidades públicas hay 53 candidatos inscritos para su concurso de méritos. Es un márgen muy amplio de la población que se inscribe bajo el derecho de desempeñar cargos público, a los cuales se les estaría vulnerando sus derechos al momento de hablar de inscripciones extraordinarias para unos cuantos sin necesidad de pasar por los procesos normales. </w:t>
      </w:r>
    </w:p>
    <w:p w:rsidR="00504AEF" w:rsidRPr="000F7CCC" w:rsidRDefault="00504AEF" w:rsidP="00D51203">
      <w:pPr>
        <w:jc w:val="both"/>
        <w:rPr>
          <w:rFonts w:ascii="Times New Roman" w:hAnsi="Times New Roman" w:cs="Times New Roman"/>
          <w:noProof/>
          <w:sz w:val="26"/>
          <w:szCs w:val="26"/>
          <w:lang w:eastAsia="es-CO"/>
        </w:rPr>
      </w:pPr>
    </w:p>
    <w:p w:rsidR="00064ECB" w:rsidRPr="000F7CCC" w:rsidRDefault="00064ECB" w:rsidP="00D51203">
      <w:pPr>
        <w:jc w:val="both"/>
        <w:rPr>
          <w:rFonts w:ascii="Times New Roman" w:hAnsi="Times New Roman" w:cs="Times New Roman"/>
          <w:noProof/>
          <w:sz w:val="26"/>
          <w:szCs w:val="26"/>
          <w:lang w:eastAsia="es-CO"/>
        </w:rPr>
      </w:pPr>
      <w:r w:rsidRPr="000F7CCC">
        <w:rPr>
          <w:rFonts w:ascii="Times New Roman" w:hAnsi="Times New Roman" w:cs="Times New Roman"/>
          <w:noProof/>
          <w:sz w:val="26"/>
          <w:szCs w:val="26"/>
          <w:shd w:val="clear" w:color="auto" w:fill="FFFFFF" w:themeFill="background1"/>
          <w:lang w:eastAsia="es-CO"/>
        </w:rPr>
        <w:drawing>
          <wp:inline distT="0" distB="0" distL="0" distR="0" wp14:anchorId="4F6537C2" wp14:editId="7918DFD2">
            <wp:extent cx="5547360" cy="3791918"/>
            <wp:effectExtent l="0" t="0" r="15240" b="184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4ECB" w:rsidRDefault="00064ECB" w:rsidP="00D51203">
      <w:pPr>
        <w:jc w:val="both"/>
        <w:rPr>
          <w:rFonts w:ascii="Times New Roman" w:hAnsi="Times New Roman" w:cs="Times New Roman"/>
          <w:sz w:val="26"/>
          <w:szCs w:val="26"/>
        </w:rPr>
      </w:pPr>
      <w:r w:rsidRPr="000F7CCC">
        <w:rPr>
          <w:rFonts w:ascii="Times New Roman" w:hAnsi="Times New Roman" w:cs="Times New Roman"/>
          <w:b/>
          <w:noProof/>
          <w:sz w:val="26"/>
          <w:szCs w:val="26"/>
          <w:lang w:eastAsia="es-CO"/>
        </w:rPr>
        <w:t>Grafica 1.</w:t>
      </w:r>
      <w:r w:rsidRPr="000F7CCC">
        <w:rPr>
          <w:rFonts w:ascii="Times New Roman" w:hAnsi="Times New Roman" w:cs="Times New Roman"/>
          <w:noProof/>
          <w:sz w:val="26"/>
          <w:szCs w:val="26"/>
          <w:lang w:eastAsia="es-CO"/>
        </w:rPr>
        <w:t xml:space="preserve"> Comparativo por nivel Jerárquico de aspirantes y cargos ofertados en las diferentes entidades durante las convocatorias de 2012 a 2015. </w:t>
      </w:r>
      <w:r w:rsidRPr="000F7CCC">
        <w:rPr>
          <w:rFonts w:ascii="Times New Roman" w:hAnsi="Times New Roman" w:cs="Times New Roman"/>
          <w:sz w:val="26"/>
          <w:szCs w:val="26"/>
        </w:rPr>
        <w:t>(Fuente: Datos Abiertos, 2017)</w:t>
      </w:r>
      <w:r w:rsidR="000F7CCC">
        <w:rPr>
          <w:rFonts w:ascii="Times New Roman" w:hAnsi="Times New Roman" w:cs="Times New Roman"/>
          <w:sz w:val="26"/>
          <w:szCs w:val="26"/>
        </w:rPr>
        <w:t xml:space="preserve"> </w:t>
      </w:r>
    </w:p>
    <w:p w:rsidR="000F7CCC" w:rsidRPr="000F7CCC" w:rsidRDefault="000F7CCC" w:rsidP="000F7CCC">
      <w:pPr>
        <w:ind w:left="708" w:hanging="708"/>
        <w:jc w:val="both"/>
        <w:rPr>
          <w:rFonts w:ascii="Times New Roman" w:hAnsi="Times New Roman" w:cs="Times New Roman"/>
          <w:b/>
          <w:sz w:val="26"/>
          <w:szCs w:val="26"/>
        </w:rPr>
      </w:pPr>
      <w:r>
        <w:rPr>
          <w:rFonts w:ascii="Times New Roman" w:hAnsi="Times New Roman" w:cs="Times New Roman"/>
          <w:b/>
          <w:sz w:val="26"/>
          <w:szCs w:val="26"/>
        </w:rPr>
        <w:t>Fuente</w:t>
      </w:r>
    </w:p>
    <w:p w:rsidR="000F7CCC" w:rsidRPr="000F7CCC" w:rsidRDefault="000F7CCC" w:rsidP="000F7CCC">
      <w:pPr>
        <w:jc w:val="both"/>
        <w:rPr>
          <w:rFonts w:ascii="Times New Roman" w:hAnsi="Times New Roman" w:cs="Times New Roman"/>
          <w:sz w:val="26"/>
          <w:szCs w:val="26"/>
        </w:rPr>
      </w:pPr>
      <w:r w:rsidRPr="000F7CCC">
        <w:rPr>
          <w:rFonts w:ascii="Times New Roman" w:hAnsi="Times New Roman" w:cs="Times New Roman"/>
          <w:sz w:val="26"/>
          <w:szCs w:val="26"/>
        </w:rPr>
        <w:t>Datos Abiertos, 2017. Información Convocatorias.  Comisión Nacional del Servicio Civil. Disponible en: https://www.datos.gov.co/Inclusi-n-Social-y-Reconciliaci-n/Informaci-n-Convocatorias/vutd-jk93</w:t>
      </w:r>
      <w:bookmarkStart w:id="1" w:name="_GoBack"/>
      <w:bookmarkEnd w:id="1"/>
    </w:p>
    <w:p w:rsidR="000F7CCC" w:rsidRPr="000F7CCC" w:rsidRDefault="000F7CCC" w:rsidP="00D51203">
      <w:pPr>
        <w:jc w:val="both"/>
        <w:rPr>
          <w:rFonts w:ascii="Times New Roman" w:hAnsi="Times New Roman" w:cs="Times New Roman"/>
          <w:sz w:val="26"/>
          <w:szCs w:val="26"/>
        </w:rPr>
      </w:pPr>
    </w:p>
    <w:p w:rsidR="00504AEF" w:rsidRPr="000F7CCC" w:rsidRDefault="00504AEF" w:rsidP="00377E42">
      <w:pPr>
        <w:jc w:val="center"/>
        <w:rPr>
          <w:rFonts w:ascii="Times New Roman" w:hAnsi="Times New Roman" w:cs="Times New Roman"/>
          <w:b/>
          <w:noProof/>
          <w:sz w:val="26"/>
          <w:szCs w:val="26"/>
          <w:lang w:eastAsia="es-CO"/>
        </w:rPr>
      </w:pPr>
      <w:r w:rsidRPr="000F7CCC">
        <w:rPr>
          <w:rFonts w:ascii="Times New Roman" w:hAnsi="Times New Roman" w:cs="Times New Roman"/>
          <w:b/>
          <w:noProof/>
          <w:sz w:val="26"/>
          <w:szCs w:val="26"/>
          <w:lang w:eastAsia="es-CO"/>
        </w:rPr>
        <w:t>CONCEPTO DE LA FUNCIÓN PÚBLICA</w:t>
      </w:r>
    </w:p>
    <w:p w:rsidR="00504AEF" w:rsidRPr="000F7CCC" w:rsidRDefault="00504AEF" w:rsidP="00504AEF">
      <w:pPr>
        <w:jc w:val="both"/>
        <w:rPr>
          <w:rFonts w:ascii="Times New Roman" w:hAnsi="Times New Roman" w:cs="Times New Roman"/>
          <w:noProof/>
          <w:sz w:val="26"/>
          <w:szCs w:val="26"/>
          <w:lang w:eastAsia="es-CO"/>
        </w:rPr>
      </w:pPr>
      <w:r w:rsidRPr="000F7CCC">
        <w:rPr>
          <w:rFonts w:ascii="Times New Roman" w:hAnsi="Times New Roman" w:cs="Times New Roman"/>
          <w:noProof/>
          <w:sz w:val="26"/>
          <w:szCs w:val="26"/>
          <w:lang w:eastAsia="es-CO"/>
        </w:rPr>
        <w:t xml:space="preserve">El concepto de la Función Pública sobre el proyecto de ley de la referencia señala que presenta los mismos vicios de inscontitucionalidad que llevaron a la </w:t>
      </w:r>
      <w:r w:rsidR="00B030D9" w:rsidRPr="000F7CCC">
        <w:rPr>
          <w:rFonts w:ascii="Times New Roman" w:hAnsi="Times New Roman" w:cs="Times New Roman"/>
          <w:noProof/>
          <w:sz w:val="26"/>
          <w:szCs w:val="26"/>
          <w:lang w:eastAsia="es-CO"/>
        </w:rPr>
        <w:t>C</w:t>
      </w:r>
      <w:r w:rsidRPr="000F7CCC">
        <w:rPr>
          <w:rFonts w:ascii="Times New Roman" w:hAnsi="Times New Roman" w:cs="Times New Roman"/>
          <w:noProof/>
          <w:sz w:val="26"/>
          <w:szCs w:val="26"/>
          <w:lang w:eastAsia="es-CO"/>
        </w:rPr>
        <w:t xml:space="preserve">orte </w:t>
      </w:r>
      <w:r w:rsidR="00B030D9" w:rsidRPr="000F7CCC">
        <w:rPr>
          <w:rFonts w:ascii="Times New Roman" w:hAnsi="Times New Roman" w:cs="Times New Roman"/>
          <w:noProof/>
          <w:sz w:val="26"/>
          <w:szCs w:val="26"/>
          <w:lang w:eastAsia="es-CO"/>
        </w:rPr>
        <w:t>C</w:t>
      </w:r>
      <w:r w:rsidRPr="000F7CCC">
        <w:rPr>
          <w:rFonts w:ascii="Times New Roman" w:hAnsi="Times New Roman" w:cs="Times New Roman"/>
          <w:noProof/>
          <w:sz w:val="26"/>
          <w:szCs w:val="26"/>
          <w:lang w:eastAsia="es-CO"/>
        </w:rPr>
        <w:t>o</w:t>
      </w:r>
      <w:r w:rsidR="00B030D9" w:rsidRPr="000F7CCC">
        <w:rPr>
          <w:rFonts w:ascii="Times New Roman" w:hAnsi="Times New Roman" w:cs="Times New Roman"/>
          <w:noProof/>
          <w:sz w:val="26"/>
          <w:szCs w:val="26"/>
          <w:lang w:eastAsia="es-CO"/>
        </w:rPr>
        <w:t>n</w:t>
      </w:r>
      <w:r w:rsidRPr="000F7CCC">
        <w:rPr>
          <w:rFonts w:ascii="Times New Roman" w:hAnsi="Times New Roman" w:cs="Times New Roman"/>
          <w:noProof/>
          <w:sz w:val="26"/>
          <w:szCs w:val="26"/>
          <w:lang w:eastAsia="es-CO"/>
        </w:rPr>
        <w:t>stitu</w:t>
      </w:r>
      <w:r w:rsidR="00B030D9" w:rsidRPr="000F7CCC">
        <w:rPr>
          <w:rFonts w:ascii="Times New Roman" w:hAnsi="Times New Roman" w:cs="Times New Roman"/>
          <w:noProof/>
          <w:sz w:val="26"/>
          <w:szCs w:val="26"/>
          <w:lang w:eastAsia="es-CO"/>
        </w:rPr>
        <w:t>c</w:t>
      </w:r>
      <w:r w:rsidRPr="000F7CCC">
        <w:rPr>
          <w:rFonts w:ascii="Times New Roman" w:hAnsi="Times New Roman" w:cs="Times New Roman"/>
          <w:noProof/>
          <w:sz w:val="26"/>
          <w:szCs w:val="26"/>
          <w:lang w:eastAsia="es-CO"/>
        </w:rPr>
        <w:t xml:space="preserve">ional la inexiquibilidad del Acto Legislativo 01 de 2008, esto es ratifica </w:t>
      </w:r>
      <w:r w:rsidRPr="000F7CCC">
        <w:rPr>
          <w:rFonts w:ascii="Times New Roman" w:hAnsi="Times New Roman" w:cs="Times New Roman"/>
          <w:noProof/>
          <w:sz w:val="26"/>
          <w:szCs w:val="26"/>
          <w:lang w:eastAsia="es-CO"/>
        </w:rPr>
        <w:lastRenderedPageBreak/>
        <w:t>lo expuesto en el presente informe de ponencia así como lo reiterado por la jurisprudencia de la Corte Constitucional</w:t>
      </w:r>
      <w:r w:rsidR="00377E42" w:rsidRPr="000F7CCC">
        <w:rPr>
          <w:rFonts w:ascii="Times New Roman" w:hAnsi="Times New Roman" w:cs="Times New Roman"/>
          <w:noProof/>
          <w:sz w:val="26"/>
          <w:szCs w:val="26"/>
          <w:lang w:eastAsia="es-CO"/>
        </w:rPr>
        <w:t xml:space="preserve">; en tal sentido el concepto de la Función Pública con número de referencia C.P.C.P.3.1.0540-2018 del 30 de octubre de 2018, examina y analiza la Sentencia </w:t>
      </w:r>
      <w:r w:rsidR="00377E42" w:rsidRPr="000F7CCC">
        <w:rPr>
          <w:rFonts w:ascii="Times New Roman" w:hAnsi="Times New Roman" w:cs="Times New Roman"/>
          <w:sz w:val="26"/>
          <w:szCs w:val="26"/>
        </w:rPr>
        <w:t xml:space="preserve">C-588/09 señalando que “tendrá en sede de revisión constitucional, la misma suerte del Acto Legislativo No 01 de 2009, precepto que fue declarado inexequible al configurarse la ausencia del Congreso de la República para promover actos sustitutos de la Constitución Política y por ser contrario a los principios que ésta regenta”.   </w:t>
      </w:r>
      <w:r w:rsidR="00377E42" w:rsidRPr="000F7CCC">
        <w:rPr>
          <w:rFonts w:ascii="Times New Roman" w:hAnsi="Times New Roman" w:cs="Times New Roman"/>
          <w:noProof/>
          <w:sz w:val="26"/>
          <w:szCs w:val="26"/>
          <w:lang w:eastAsia="es-CO"/>
        </w:rPr>
        <w:t xml:space="preserve"> </w:t>
      </w:r>
      <w:r w:rsidRPr="000F7CCC">
        <w:rPr>
          <w:rFonts w:ascii="Times New Roman" w:hAnsi="Times New Roman" w:cs="Times New Roman"/>
          <w:noProof/>
          <w:sz w:val="26"/>
          <w:szCs w:val="26"/>
          <w:lang w:eastAsia="es-CO"/>
        </w:rPr>
        <w:t xml:space="preserve">   </w:t>
      </w:r>
    </w:p>
    <w:p w:rsidR="004B2831" w:rsidRPr="000F7CCC" w:rsidRDefault="004B2831" w:rsidP="004B2831">
      <w:pPr>
        <w:jc w:val="center"/>
        <w:rPr>
          <w:rFonts w:ascii="Times New Roman" w:hAnsi="Times New Roman" w:cs="Times New Roman"/>
          <w:b/>
          <w:sz w:val="32"/>
          <w:szCs w:val="26"/>
        </w:rPr>
      </w:pPr>
      <w:r w:rsidRPr="000F7CCC">
        <w:rPr>
          <w:rFonts w:ascii="Times New Roman" w:hAnsi="Times New Roman" w:cs="Times New Roman"/>
          <w:b/>
          <w:sz w:val="32"/>
          <w:szCs w:val="26"/>
        </w:rPr>
        <w:t>PROPOSICIÓN</w:t>
      </w:r>
    </w:p>
    <w:p w:rsidR="004B2831" w:rsidRPr="000F7CCC" w:rsidRDefault="004B2831" w:rsidP="004B2831">
      <w:pPr>
        <w:jc w:val="both"/>
        <w:rPr>
          <w:rFonts w:ascii="Times New Roman" w:hAnsi="Times New Roman" w:cs="Times New Roman"/>
          <w:sz w:val="26"/>
          <w:szCs w:val="26"/>
        </w:rPr>
      </w:pPr>
      <w:r w:rsidRPr="000F7CCC">
        <w:rPr>
          <w:rFonts w:ascii="Times New Roman" w:hAnsi="Times New Roman" w:cs="Times New Roman"/>
          <w:sz w:val="26"/>
          <w:szCs w:val="26"/>
        </w:rPr>
        <w:t>De conformidad con las precedentes consideraciones, se propone a los honorables Representantes de la Comisión Primera Constitucional de la Cámara de Representantes ARCHIVAR el Proyecto de Acto Legislativo 021 de 2018, “</w:t>
      </w:r>
      <w:r w:rsidRPr="000F7CCC">
        <w:rPr>
          <w:rFonts w:ascii="Times New Roman" w:hAnsi="Times New Roman" w:cs="Times New Roman"/>
          <w:i/>
          <w:iCs/>
          <w:sz w:val="26"/>
          <w:szCs w:val="26"/>
          <w:lang w:val="es-ES_tradnl"/>
        </w:rPr>
        <w:t>Por medio del cual se adiciona el artículo 125 de la Constitución Política y se otorgan derechos de carrera administrativa”</w:t>
      </w:r>
    </w:p>
    <w:p w:rsidR="00027568" w:rsidRPr="000F7CCC" w:rsidRDefault="00027568" w:rsidP="004B2831">
      <w:pPr>
        <w:jc w:val="both"/>
        <w:rPr>
          <w:rFonts w:ascii="Times New Roman" w:hAnsi="Times New Roman" w:cs="Times New Roman"/>
          <w:sz w:val="26"/>
          <w:szCs w:val="26"/>
        </w:rPr>
      </w:pPr>
    </w:p>
    <w:p w:rsidR="006155E9" w:rsidRPr="000F7CCC" w:rsidRDefault="000F7CCC" w:rsidP="00D51203">
      <w:pPr>
        <w:jc w:val="both"/>
        <w:rPr>
          <w:rFonts w:ascii="Times New Roman" w:hAnsi="Times New Roman" w:cs="Times New Roman"/>
          <w:sz w:val="26"/>
          <w:szCs w:val="26"/>
        </w:rPr>
      </w:pPr>
    </w:p>
    <w:p w:rsidR="004B2831" w:rsidRPr="000F7CCC" w:rsidRDefault="004B2831" w:rsidP="004B2831">
      <w:pPr>
        <w:pStyle w:val="Sinespaciado"/>
        <w:rPr>
          <w:rFonts w:ascii="Times New Roman" w:hAnsi="Times New Roman" w:cs="Times New Roman"/>
          <w:b/>
          <w:sz w:val="28"/>
        </w:rPr>
      </w:pPr>
      <w:r w:rsidRPr="000F7CCC">
        <w:rPr>
          <w:rFonts w:ascii="Times New Roman" w:hAnsi="Times New Roman" w:cs="Times New Roman"/>
          <w:b/>
          <w:sz w:val="28"/>
        </w:rPr>
        <w:t xml:space="preserve">JULIO CESAR TRIANA QUINTERO </w:t>
      </w:r>
    </w:p>
    <w:p w:rsidR="004B2831" w:rsidRPr="000F7CCC" w:rsidRDefault="004B2831" w:rsidP="004B2831">
      <w:pPr>
        <w:pStyle w:val="Sinespaciado"/>
        <w:rPr>
          <w:rFonts w:ascii="Times New Roman" w:hAnsi="Times New Roman" w:cs="Times New Roman"/>
          <w:sz w:val="28"/>
        </w:rPr>
      </w:pPr>
      <w:r w:rsidRPr="000F7CCC">
        <w:rPr>
          <w:rFonts w:ascii="Times New Roman" w:hAnsi="Times New Roman" w:cs="Times New Roman"/>
          <w:sz w:val="28"/>
        </w:rPr>
        <w:t xml:space="preserve">REPRESENTANTE A LA CÁMARA </w:t>
      </w:r>
    </w:p>
    <w:p w:rsidR="004B2831" w:rsidRPr="000F7CCC" w:rsidRDefault="004B2831" w:rsidP="00027568">
      <w:pPr>
        <w:pStyle w:val="Sinespaciado"/>
        <w:rPr>
          <w:rFonts w:ascii="Times New Roman" w:hAnsi="Times New Roman" w:cs="Times New Roman"/>
          <w:sz w:val="26"/>
          <w:szCs w:val="26"/>
        </w:rPr>
      </w:pPr>
      <w:r w:rsidRPr="000F7CCC">
        <w:rPr>
          <w:rFonts w:ascii="Times New Roman" w:hAnsi="Times New Roman" w:cs="Times New Roman"/>
          <w:sz w:val="28"/>
        </w:rPr>
        <w:t xml:space="preserve">DEPARTAMENTO DEL HUILA </w:t>
      </w:r>
    </w:p>
    <w:sectPr w:rsidR="004B2831" w:rsidRPr="000F7CCC" w:rsidSect="00504AEF">
      <w:headerReference w:type="default" r:id="rId10"/>
      <w:footerReference w:type="default" r:id="rId11"/>
      <w:pgSz w:w="12240" w:h="15840" w:code="1"/>
      <w:pgMar w:top="1985"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1B" w:rsidRDefault="00BA7F1B" w:rsidP="00716E5C">
      <w:pPr>
        <w:spacing w:after="0" w:line="240" w:lineRule="auto"/>
      </w:pPr>
      <w:r>
        <w:separator/>
      </w:r>
    </w:p>
  </w:endnote>
  <w:endnote w:type="continuationSeparator" w:id="0">
    <w:p w:rsidR="00BA7F1B" w:rsidRDefault="00BA7F1B" w:rsidP="007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284907"/>
      <w:docPartObj>
        <w:docPartGallery w:val="Page Numbers (Bottom of Page)"/>
        <w:docPartUnique/>
      </w:docPartObj>
    </w:sdtPr>
    <w:sdtEndPr/>
    <w:sdtContent>
      <w:p w:rsidR="00504AEF" w:rsidRDefault="00504AEF">
        <w:pPr>
          <w:pStyle w:val="Piedepgina"/>
          <w:jc w:val="right"/>
        </w:pPr>
        <w:r>
          <w:fldChar w:fldCharType="begin"/>
        </w:r>
        <w:r>
          <w:instrText>PAGE   \* MERGEFORMAT</w:instrText>
        </w:r>
        <w:r>
          <w:fldChar w:fldCharType="separate"/>
        </w:r>
        <w:r w:rsidR="000F7CCC" w:rsidRPr="000F7CCC">
          <w:rPr>
            <w:noProof/>
            <w:lang w:val="es-ES"/>
          </w:rPr>
          <w:t>10</w:t>
        </w:r>
        <w:r>
          <w:fldChar w:fldCharType="end"/>
        </w:r>
      </w:p>
    </w:sdtContent>
  </w:sdt>
  <w:p w:rsidR="00504AEF" w:rsidRDefault="00504A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1B" w:rsidRDefault="00BA7F1B" w:rsidP="00716E5C">
      <w:pPr>
        <w:spacing w:after="0" w:line="240" w:lineRule="auto"/>
      </w:pPr>
      <w:r>
        <w:separator/>
      </w:r>
    </w:p>
  </w:footnote>
  <w:footnote w:type="continuationSeparator" w:id="0">
    <w:p w:rsidR="00BA7F1B" w:rsidRDefault="00BA7F1B" w:rsidP="00716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66" w:rsidRPr="00351B66" w:rsidRDefault="00483695" w:rsidP="00351B66">
    <w:pPr>
      <w:pStyle w:val="Encabezado"/>
      <w:rPr>
        <w:rFonts w:ascii="Arial Black" w:hAnsi="Arial Black"/>
        <w:color w:val="7F7F7F" w:themeColor="text1" w:themeTint="80"/>
        <w:sz w:val="18"/>
      </w:rPr>
    </w:pPr>
    <w:r w:rsidRPr="00351B66">
      <w:rPr>
        <w:rFonts w:ascii="Arial Black" w:hAnsi="Arial Black"/>
        <w:noProof/>
        <w:color w:val="7F7F7F" w:themeColor="text1" w:themeTint="80"/>
        <w:sz w:val="10"/>
        <w:lang w:eastAsia="es-CO"/>
      </w:rPr>
      <w:drawing>
        <wp:anchor distT="0" distB="0" distL="114300" distR="114300" simplePos="0" relativeHeight="251659264" behindDoc="0" locked="0" layoutInCell="1" allowOverlap="1" wp14:anchorId="1E986E40" wp14:editId="58CA6271">
          <wp:simplePos x="0" y="0"/>
          <wp:positionH relativeFrom="margin">
            <wp:posOffset>1693545</wp:posOffset>
          </wp:positionH>
          <wp:positionV relativeFrom="paragraph">
            <wp:posOffset>-145415</wp:posOffset>
          </wp:positionV>
          <wp:extent cx="2727398" cy="807720"/>
          <wp:effectExtent l="0" t="0" r="0" b="0"/>
          <wp:wrapNone/>
          <wp:docPr id="3" name="Imagen 3" descr="Image result for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mara de representant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1796" cy="8090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8F7" w:rsidRDefault="000F7CCC" w:rsidP="00716E5C">
    <w:pPr>
      <w:pStyle w:val="Encabezado"/>
      <w:jc w:val="center"/>
      <w:rPr>
        <w:rFonts w:ascii="Agency FB" w:hAnsi="Agency FB"/>
        <w:color w:val="7F7F7F" w:themeColor="text1" w:themeTint="80"/>
      </w:rPr>
    </w:pPr>
  </w:p>
  <w:p w:rsidR="00351B66" w:rsidRPr="00351B66" w:rsidRDefault="00351B66" w:rsidP="00716E5C">
    <w:pPr>
      <w:pStyle w:val="Encabezado"/>
      <w:jc w:val="center"/>
      <w:rPr>
        <w:rFonts w:ascii="Agency FB" w:hAnsi="Agency FB"/>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B4788"/>
    <w:multiLevelType w:val="hybridMultilevel"/>
    <w:tmpl w:val="1B2A5B1C"/>
    <w:lvl w:ilvl="0" w:tplc="B5D2EF7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690523A4"/>
    <w:multiLevelType w:val="hybridMultilevel"/>
    <w:tmpl w:val="C044648E"/>
    <w:lvl w:ilvl="0" w:tplc="3112D8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8AA62AB"/>
    <w:multiLevelType w:val="hybridMultilevel"/>
    <w:tmpl w:val="E9C02AA4"/>
    <w:lvl w:ilvl="0" w:tplc="B082DD9A">
      <w:start w:val="8"/>
      <w:numFmt w:val="bullet"/>
      <w:lvlText w:val="-"/>
      <w:lvlJc w:val="left"/>
      <w:pPr>
        <w:ind w:left="1068" w:hanging="360"/>
      </w:pPr>
      <w:rPr>
        <w:rFonts w:ascii="Calibri" w:eastAsiaTheme="minorHAnsi" w:hAnsi="Calibri" w:cstheme="minorBid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CB"/>
    <w:rsid w:val="00027568"/>
    <w:rsid w:val="00064ECB"/>
    <w:rsid w:val="000F7CCC"/>
    <w:rsid w:val="00351B66"/>
    <w:rsid w:val="00377E42"/>
    <w:rsid w:val="00483695"/>
    <w:rsid w:val="004B2831"/>
    <w:rsid w:val="00504AEF"/>
    <w:rsid w:val="005325CF"/>
    <w:rsid w:val="00645BB7"/>
    <w:rsid w:val="006770AC"/>
    <w:rsid w:val="00716E5C"/>
    <w:rsid w:val="00B030D9"/>
    <w:rsid w:val="00BA7F1B"/>
    <w:rsid w:val="00D51203"/>
    <w:rsid w:val="00DE09F2"/>
    <w:rsid w:val="00E61D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C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ECB"/>
    <w:pPr>
      <w:ind w:left="720"/>
      <w:contextualSpacing/>
    </w:pPr>
  </w:style>
  <w:style w:type="table" w:styleId="Tablaconcuadrcula">
    <w:name w:val="Table Grid"/>
    <w:basedOn w:val="Tablanormal"/>
    <w:uiPriority w:val="59"/>
    <w:rsid w:val="0006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4E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ECB"/>
  </w:style>
  <w:style w:type="paragraph" w:styleId="Piedepgina">
    <w:name w:val="footer"/>
    <w:basedOn w:val="Normal"/>
    <w:link w:val="PiedepginaCar"/>
    <w:uiPriority w:val="99"/>
    <w:unhideWhenUsed/>
    <w:rsid w:val="00064E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ECB"/>
  </w:style>
  <w:style w:type="paragraph" w:styleId="NormalWeb">
    <w:name w:val="Normal (Web)"/>
    <w:basedOn w:val="Normal"/>
    <w:uiPriority w:val="99"/>
    <w:semiHidden/>
    <w:unhideWhenUsed/>
    <w:rsid w:val="00716E5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16E5C"/>
    <w:rPr>
      <w:color w:val="0000FF"/>
      <w:u w:val="single"/>
    </w:rPr>
  </w:style>
  <w:style w:type="paragraph" w:styleId="Sinespaciado">
    <w:name w:val="No Spacing"/>
    <w:uiPriority w:val="1"/>
    <w:qFormat/>
    <w:rsid w:val="00351B66"/>
    <w:pPr>
      <w:spacing w:after="0" w:line="240" w:lineRule="auto"/>
    </w:pPr>
  </w:style>
  <w:style w:type="paragraph" w:styleId="Textodeglobo">
    <w:name w:val="Balloon Text"/>
    <w:basedOn w:val="Normal"/>
    <w:link w:val="TextodegloboCar"/>
    <w:uiPriority w:val="99"/>
    <w:semiHidden/>
    <w:unhideWhenUsed/>
    <w:rsid w:val="00B030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30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C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ECB"/>
    <w:pPr>
      <w:ind w:left="720"/>
      <w:contextualSpacing/>
    </w:pPr>
  </w:style>
  <w:style w:type="table" w:styleId="Tablaconcuadrcula">
    <w:name w:val="Table Grid"/>
    <w:basedOn w:val="Tablanormal"/>
    <w:uiPriority w:val="59"/>
    <w:rsid w:val="0006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4E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ECB"/>
  </w:style>
  <w:style w:type="paragraph" w:styleId="Piedepgina">
    <w:name w:val="footer"/>
    <w:basedOn w:val="Normal"/>
    <w:link w:val="PiedepginaCar"/>
    <w:uiPriority w:val="99"/>
    <w:unhideWhenUsed/>
    <w:rsid w:val="00064E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ECB"/>
  </w:style>
  <w:style w:type="paragraph" w:styleId="NormalWeb">
    <w:name w:val="Normal (Web)"/>
    <w:basedOn w:val="Normal"/>
    <w:uiPriority w:val="99"/>
    <w:semiHidden/>
    <w:unhideWhenUsed/>
    <w:rsid w:val="00716E5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16E5C"/>
    <w:rPr>
      <w:color w:val="0000FF"/>
      <w:u w:val="single"/>
    </w:rPr>
  </w:style>
  <w:style w:type="paragraph" w:styleId="Sinespaciado">
    <w:name w:val="No Spacing"/>
    <w:uiPriority w:val="1"/>
    <w:qFormat/>
    <w:rsid w:val="00351B66"/>
    <w:pPr>
      <w:spacing w:after="0" w:line="240" w:lineRule="auto"/>
    </w:pPr>
  </w:style>
  <w:style w:type="paragraph" w:styleId="Textodeglobo">
    <w:name w:val="Balloon Text"/>
    <w:basedOn w:val="Normal"/>
    <w:link w:val="TextodegloboCar"/>
    <w:uiPriority w:val="99"/>
    <w:semiHidden/>
    <w:unhideWhenUsed/>
    <w:rsid w:val="00B030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30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65867">
      <w:bodyDiv w:val="1"/>
      <w:marLeft w:val="0"/>
      <w:marRight w:val="0"/>
      <w:marTop w:val="0"/>
      <w:marBottom w:val="0"/>
      <w:divBdr>
        <w:top w:val="none" w:sz="0" w:space="0" w:color="auto"/>
        <w:left w:val="none" w:sz="0" w:space="0" w:color="auto"/>
        <w:bottom w:val="none" w:sz="0" w:space="0" w:color="auto"/>
        <w:right w:val="none" w:sz="0" w:space="0" w:color="auto"/>
      </w:divBdr>
    </w:div>
    <w:div w:id="915673502">
      <w:bodyDiv w:val="1"/>
      <w:marLeft w:val="0"/>
      <w:marRight w:val="0"/>
      <w:marTop w:val="0"/>
      <w:marBottom w:val="0"/>
      <w:divBdr>
        <w:top w:val="none" w:sz="0" w:space="0" w:color="auto"/>
        <w:left w:val="none" w:sz="0" w:space="0" w:color="auto"/>
        <w:bottom w:val="none" w:sz="0" w:space="0" w:color="auto"/>
        <w:right w:val="none" w:sz="0" w:space="0" w:color="auto"/>
      </w:divBdr>
    </w:div>
    <w:div w:id="944388030">
      <w:bodyDiv w:val="1"/>
      <w:marLeft w:val="0"/>
      <w:marRight w:val="0"/>
      <w:marTop w:val="0"/>
      <w:marBottom w:val="0"/>
      <w:divBdr>
        <w:top w:val="none" w:sz="0" w:space="0" w:color="auto"/>
        <w:left w:val="none" w:sz="0" w:space="0" w:color="auto"/>
        <w:bottom w:val="none" w:sz="0" w:space="0" w:color="auto"/>
        <w:right w:val="none" w:sz="0" w:space="0" w:color="auto"/>
      </w:divBdr>
    </w:div>
    <w:div w:id="1042051568">
      <w:bodyDiv w:val="1"/>
      <w:marLeft w:val="0"/>
      <w:marRight w:val="0"/>
      <w:marTop w:val="0"/>
      <w:marBottom w:val="0"/>
      <w:divBdr>
        <w:top w:val="none" w:sz="0" w:space="0" w:color="auto"/>
        <w:left w:val="none" w:sz="0" w:space="0" w:color="auto"/>
        <w:bottom w:val="none" w:sz="0" w:space="0" w:color="auto"/>
        <w:right w:val="none" w:sz="0" w:space="0" w:color="auto"/>
      </w:divBdr>
    </w:div>
    <w:div w:id="1068310715">
      <w:bodyDiv w:val="1"/>
      <w:marLeft w:val="0"/>
      <w:marRight w:val="0"/>
      <w:marTop w:val="0"/>
      <w:marBottom w:val="0"/>
      <w:divBdr>
        <w:top w:val="none" w:sz="0" w:space="0" w:color="auto"/>
        <w:left w:val="none" w:sz="0" w:space="0" w:color="auto"/>
        <w:bottom w:val="none" w:sz="0" w:space="0" w:color="auto"/>
        <w:right w:val="none" w:sz="0" w:space="0" w:color="auto"/>
      </w:divBdr>
    </w:div>
    <w:div w:id="16820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H:\Carrera%20Administrati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344329554959478"/>
          <c:y val="8.8443473917986959E-2"/>
          <c:w val="0.78589060982761771"/>
          <c:h val="0.77872261864101688"/>
        </c:manualLayout>
      </c:layout>
      <c:barChart>
        <c:barDir val="bar"/>
        <c:grouping val="clustered"/>
        <c:varyColors val="0"/>
        <c:ser>
          <c:idx val="0"/>
          <c:order val="0"/>
          <c:tx>
            <c:strRef>
              <c:f>Hoja1!$B$29</c:f>
              <c:strCache>
                <c:ptCount val="1"/>
                <c:pt idx="0">
                  <c:v> Cargos Ofertados </c:v>
                </c:pt>
              </c:strCache>
            </c:strRef>
          </c:tx>
          <c:spPr>
            <a:solidFill>
              <a:schemeClr val="dk1">
                <a:tint val="88500"/>
              </a:schemeClr>
            </a:solidFill>
            <a:ln>
              <a:noFill/>
            </a:ln>
            <a:effectLst/>
          </c:spPr>
          <c:invertIfNegative val="0"/>
          <c:dLbls>
            <c:dLbl>
              <c:idx val="2"/>
              <c:layout/>
              <c:tx>
                <c:rich>
                  <a:bodyPr/>
                  <a:lstStyle/>
                  <a:p>
                    <a:r>
                      <a:rPr lang="en-US"/>
                      <a:t>5.941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43-4D3E-91D0-8BBAAB43B96B}"/>
                </c:ext>
              </c:extLst>
            </c:dLbl>
            <c:dLbl>
              <c:idx val="3"/>
              <c:layout/>
              <c:tx>
                <c:rich>
                  <a:bodyPr/>
                  <a:lstStyle/>
                  <a:p>
                    <a:r>
                      <a:rPr lang="en-US"/>
                      <a:t>2.589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43-4D3E-91D0-8BBAAB43B96B}"/>
                </c:ext>
              </c:extLst>
            </c:dLbl>
            <c:dLbl>
              <c:idx val="4"/>
              <c:layout/>
              <c:tx>
                <c:rich>
                  <a:bodyPr/>
                  <a:lstStyle/>
                  <a:p>
                    <a:r>
                      <a:rPr lang="en-US"/>
                      <a:t>2.501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943-4D3E-91D0-8BBAAB43B96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Hoja1!$C$28:$G$28</c:f>
              <c:strCache>
                <c:ptCount val="5"/>
                <c:pt idx="0">
                  <c:v>Directivo</c:v>
                </c:pt>
                <c:pt idx="1">
                  <c:v>Asesor</c:v>
                </c:pt>
                <c:pt idx="2">
                  <c:v>Profesional</c:v>
                </c:pt>
                <c:pt idx="3">
                  <c:v>Técnico</c:v>
                </c:pt>
                <c:pt idx="4">
                  <c:v>Asistencial</c:v>
                </c:pt>
              </c:strCache>
            </c:strRef>
          </c:cat>
          <c:val>
            <c:numRef>
              <c:f>Hoja1!$C$29:$G$29</c:f>
              <c:numCache>
                <c:formatCode>General</c:formatCode>
                <c:ptCount val="5"/>
                <c:pt idx="0">
                  <c:v>2</c:v>
                </c:pt>
                <c:pt idx="1">
                  <c:v>75</c:v>
                </c:pt>
                <c:pt idx="2" formatCode="0">
                  <c:v>5941.0029999999997</c:v>
                </c:pt>
                <c:pt idx="3">
                  <c:v>2589</c:v>
                </c:pt>
                <c:pt idx="4">
                  <c:v>2501</c:v>
                </c:pt>
              </c:numCache>
            </c:numRef>
          </c:val>
          <c:extLst xmlns:c16r2="http://schemas.microsoft.com/office/drawing/2015/06/chart">
            <c:ext xmlns:c16="http://schemas.microsoft.com/office/drawing/2014/chart" uri="{C3380CC4-5D6E-409C-BE32-E72D297353CC}">
              <c16:uniqueId val="{00000003-0943-4D3E-91D0-8BBAAB43B96B}"/>
            </c:ext>
          </c:extLst>
        </c:ser>
        <c:ser>
          <c:idx val="1"/>
          <c:order val="1"/>
          <c:tx>
            <c:strRef>
              <c:f>Hoja1!$B$30</c:f>
              <c:strCache>
                <c:ptCount val="1"/>
                <c:pt idx="0">
                  <c:v> Aspirantes admitidos </c:v>
                </c:pt>
              </c:strCache>
            </c:strRef>
          </c:tx>
          <c:spPr>
            <a:solidFill>
              <a:schemeClr val="dk1">
                <a:tint val="55000"/>
              </a:schemeClr>
            </a:solidFill>
            <a:ln>
              <a:noFill/>
            </a:ln>
            <a:effectLst/>
          </c:spPr>
          <c:invertIfNegative val="0"/>
          <c:dLbls>
            <c:dLbl>
              <c:idx val="1"/>
              <c:layout/>
              <c:tx>
                <c:rich>
                  <a:bodyPr/>
                  <a:lstStyle/>
                  <a:p>
                    <a:r>
                      <a:rPr lang="en-US"/>
                      <a:t>1.894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943-4D3E-91D0-8BBAAB43B96B}"/>
                </c:ext>
              </c:extLst>
            </c:dLbl>
            <c:dLbl>
              <c:idx val="2"/>
              <c:layout/>
              <c:tx>
                <c:rich>
                  <a:bodyPr/>
                  <a:lstStyle/>
                  <a:p>
                    <a:r>
                      <a:rPr lang="en-US"/>
                      <a:t>93.917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943-4D3E-91D0-8BBAAB43B96B}"/>
                </c:ext>
              </c:extLst>
            </c:dLbl>
            <c:dLbl>
              <c:idx val="3"/>
              <c:layout/>
              <c:tx>
                <c:rich>
                  <a:bodyPr/>
                  <a:lstStyle/>
                  <a:p>
                    <a:r>
                      <a:rPr lang="en-US"/>
                      <a:t>30.005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943-4D3E-91D0-8BBAAB43B96B}"/>
                </c:ext>
              </c:extLst>
            </c:dLbl>
            <c:dLbl>
              <c:idx val="4"/>
              <c:layout/>
              <c:tx>
                <c:rich>
                  <a:bodyPr/>
                  <a:lstStyle/>
                  <a:p>
                    <a:r>
                      <a:rPr lang="en-US"/>
                      <a:t>66.689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43-4D3E-91D0-8BBAAB43B96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Hoja1!$C$28:$G$28</c:f>
              <c:strCache>
                <c:ptCount val="5"/>
                <c:pt idx="0">
                  <c:v>Directivo</c:v>
                </c:pt>
                <c:pt idx="1">
                  <c:v>Asesor</c:v>
                </c:pt>
                <c:pt idx="2">
                  <c:v>Profesional</c:v>
                </c:pt>
                <c:pt idx="3">
                  <c:v>Técnico</c:v>
                </c:pt>
                <c:pt idx="4">
                  <c:v>Asistencial</c:v>
                </c:pt>
              </c:strCache>
            </c:strRef>
          </c:cat>
          <c:val>
            <c:numRef>
              <c:f>Hoja1!$C$30:$G$30</c:f>
              <c:numCache>
                <c:formatCode>General</c:formatCode>
                <c:ptCount val="5"/>
                <c:pt idx="0">
                  <c:v>10</c:v>
                </c:pt>
                <c:pt idx="1">
                  <c:v>1894</c:v>
                </c:pt>
                <c:pt idx="2">
                  <c:v>93917</c:v>
                </c:pt>
                <c:pt idx="3">
                  <c:v>30005</c:v>
                </c:pt>
                <c:pt idx="4">
                  <c:v>66689</c:v>
                </c:pt>
              </c:numCache>
            </c:numRef>
          </c:val>
          <c:extLst xmlns:c16r2="http://schemas.microsoft.com/office/drawing/2015/06/chart">
            <c:ext xmlns:c16="http://schemas.microsoft.com/office/drawing/2014/chart" uri="{C3380CC4-5D6E-409C-BE32-E72D297353CC}">
              <c16:uniqueId val="{00000008-0943-4D3E-91D0-8BBAAB43B96B}"/>
            </c:ext>
          </c:extLst>
        </c:ser>
        <c:ser>
          <c:idx val="2"/>
          <c:order val="2"/>
          <c:tx>
            <c:strRef>
              <c:f>Hoja1!$B$31</c:f>
              <c:strCache>
                <c:ptCount val="1"/>
                <c:pt idx="0">
                  <c:v> Inscritos Definitivos</c:v>
                </c:pt>
              </c:strCache>
            </c:strRef>
          </c:tx>
          <c:spPr>
            <a:solidFill>
              <a:schemeClr val="dk1">
                <a:tint val="75000"/>
              </a:schemeClr>
            </a:solidFill>
            <a:ln>
              <a:noFill/>
            </a:ln>
            <a:effectLst/>
          </c:spPr>
          <c:invertIfNegative val="0"/>
          <c:dLbls>
            <c:dLbl>
              <c:idx val="1"/>
              <c:layout/>
              <c:tx>
                <c:rich>
                  <a:bodyPr/>
                  <a:lstStyle/>
                  <a:p>
                    <a:r>
                      <a:rPr lang="en-US"/>
                      <a:t>6.612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943-4D3E-91D0-8BBAAB43B96B}"/>
                </c:ext>
              </c:extLst>
            </c:dLbl>
            <c:dLbl>
              <c:idx val="2"/>
              <c:layout/>
              <c:tx>
                <c:rich>
                  <a:bodyPr/>
                  <a:lstStyle/>
                  <a:p>
                    <a:r>
                      <a:rPr lang="en-US"/>
                      <a:t>279.594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943-4D3E-91D0-8BBAAB43B96B}"/>
                </c:ext>
              </c:extLst>
            </c:dLbl>
            <c:dLbl>
              <c:idx val="3"/>
              <c:layout/>
              <c:tx>
                <c:rich>
                  <a:bodyPr/>
                  <a:lstStyle/>
                  <a:p>
                    <a:r>
                      <a:rPr lang="en-US"/>
                      <a:t>146.988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943-4D3E-91D0-8BBAAB43B96B}"/>
                </c:ext>
              </c:extLst>
            </c:dLbl>
            <c:dLbl>
              <c:idx val="4"/>
              <c:layout/>
              <c:tx>
                <c:rich>
                  <a:bodyPr/>
                  <a:lstStyle/>
                  <a:p>
                    <a:r>
                      <a:rPr lang="en-US"/>
                      <a:t>158.653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943-4D3E-91D0-8BBAAB43B96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Hoja1!$C$28:$G$28</c:f>
              <c:strCache>
                <c:ptCount val="5"/>
                <c:pt idx="0">
                  <c:v>Directivo</c:v>
                </c:pt>
                <c:pt idx="1">
                  <c:v>Asesor</c:v>
                </c:pt>
                <c:pt idx="2">
                  <c:v>Profesional</c:v>
                </c:pt>
                <c:pt idx="3">
                  <c:v>Técnico</c:v>
                </c:pt>
                <c:pt idx="4">
                  <c:v>Asistencial</c:v>
                </c:pt>
              </c:strCache>
            </c:strRef>
          </c:cat>
          <c:val>
            <c:numRef>
              <c:f>Hoja1!$C$31:$G$31</c:f>
              <c:numCache>
                <c:formatCode>General</c:formatCode>
                <c:ptCount val="5"/>
                <c:pt idx="0">
                  <c:v>18</c:v>
                </c:pt>
                <c:pt idx="1">
                  <c:v>6612</c:v>
                </c:pt>
                <c:pt idx="2" formatCode="0">
                  <c:v>279594</c:v>
                </c:pt>
                <c:pt idx="3">
                  <c:v>146988</c:v>
                </c:pt>
                <c:pt idx="4">
                  <c:v>158653</c:v>
                </c:pt>
              </c:numCache>
            </c:numRef>
          </c:val>
          <c:extLst xmlns:c16r2="http://schemas.microsoft.com/office/drawing/2015/06/chart">
            <c:ext xmlns:c16="http://schemas.microsoft.com/office/drawing/2014/chart" uri="{C3380CC4-5D6E-409C-BE32-E72D297353CC}">
              <c16:uniqueId val="{0000000D-0943-4D3E-91D0-8BBAAB43B96B}"/>
            </c:ext>
          </c:extLst>
        </c:ser>
        <c:ser>
          <c:idx val="3"/>
          <c:order val="3"/>
          <c:tx>
            <c:strRef>
              <c:f>Hoja1!$B$32</c:f>
              <c:strCache>
                <c:ptCount val="1"/>
                <c:pt idx="0">
                  <c:v> Pines Vendidos</c:v>
                </c:pt>
              </c:strCache>
            </c:strRef>
          </c:tx>
          <c:spPr>
            <a:solidFill>
              <a:schemeClr val="dk1">
                <a:tint val="98500"/>
              </a:schemeClr>
            </a:solidFill>
            <a:ln>
              <a:noFill/>
            </a:ln>
            <a:effectLst/>
          </c:spPr>
          <c:invertIfNegative val="0"/>
          <c:dLbls>
            <c:dLbl>
              <c:idx val="2"/>
              <c:layout/>
              <c:tx>
                <c:rich>
                  <a:bodyPr/>
                  <a:lstStyle/>
                  <a:p>
                    <a:r>
                      <a:rPr lang="en-US"/>
                      <a:t>354.374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943-4D3E-91D0-8BBAAB43B96B}"/>
                </c:ext>
              </c:extLst>
            </c:dLbl>
            <c:dLbl>
              <c:idx val="3"/>
              <c:layout/>
              <c:tx>
                <c:rich>
                  <a:bodyPr/>
                  <a:lstStyle/>
                  <a:p>
                    <a:r>
                      <a:rPr lang="en-US"/>
                      <a:t>257.847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943-4D3E-91D0-8BBAAB43B96B}"/>
                </c:ext>
              </c:extLst>
            </c:dLbl>
            <c:dLbl>
              <c:idx val="4"/>
              <c:layout/>
              <c:tx>
                <c:rich>
                  <a:bodyPr/>
                  <a:lstStyle/>
                  <a:p>
                    <a:r>
                      <a:rPr lang="en-US"/>
                      <a:t>25.325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943-4D3E-91D0-8BBAAB43B96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Hoja1!$C$28:$G$28</c:f>
              <c:strCache>
                <c:ptCount val="5"/>
                <c:pt idx="0">
                  <c:v>Directivo</c:v>
                </c:pt>
                <c:pt idx="1">
                  <c:v>Asesor</c:v>
                </c:pt>
                <c:pt idx="2">
                  <c:v>Profesional</c:v>
                </c:pt>
                <c:pt idx="3">
                  <c:v>Técnico</c:v>
                </c:pt>
                <c:pt idx="4">
                  <c:v>Asistencial</c:v>
                </c:pt>
              </c:strCache>
            </c:strRef>
          </c:cat>
          <c:val>
            <c:numRef>
              <c:f>Hoja1!$C$32:$G$32</c:f>
              <c:numCache>
                <c:formatCode>General</c:formatCode>
                <c:ptCount val="5"/>
                <c:pt idx="0">
                  <c:v>0</c:v>
                </c:pt>
                <c:pt idx="1">
                  <c:v>0</c:v>
                </c:pt>
                <c:pt idx="2" formatCode="0">
                  <c:v>354374</c:v>
                </c:pt>
                <c:pt idx="3">
                  <c:v>257847</c:v>
                </c:pt>
                <c:pt idx="4">
                  <c:v>25325</c:v>
                </c:pt>
              </c:numCache>
            </c:numRef>
          </c:val>
          <c:extLst xmlns:c16r2="http://schemas.microsoft.com/office/drawing/2015/06/chart">
            <c:ext xmlns:c16="http://schemas.microsoft.com/office/drawing/2014/chart" uri="{C3380CC4-5D6E-409C-BE32-E72D297353CC}">
              <c16:uniqueId val="{00000011-0943-4D3E-91D0-8BBAAB43B96B}"/>
            </c:ext>
          </c:extLst>
        </c:ser>
        <c:dLbls>
          <c:showLegendKey val="0"/>
          <c:showVal val="0"/>
          <c:showCatName val="0"/>
          <c:showSerName val="0"/>
          <c:showPercent val="0"/>
          <c:showBubbleSize val="0"/>
        </c:dLbls>
        <c:gapWidth val="150"/>
        <c:axId val="40072704"/>
        <c:axId val="40074240"/>
      </c:barChart>
      <c:catAx>
        <c:axId val="40072704"/>
        <c:scaling>
          <c:orientation val="minMax"/>
        </c:scaling>
        <c:delete val="0"/>
        <c:axPos val="l"/>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CO"/>
          </a:p>
        </c:txPr>
        <c:crossAx val="40074240"/>
        <c:crosses val="autoZero"/>
        <c:auto val="1"/>
        <c:lblAlgn val="ctr"/>
        <c:lblOffset val="100"/>
        <c:noMultiLvlLbl val="0"/>
      </c:catAx>
      <c:valAx>
        <c:axId val="40074240"/>
        <c:scaling>
          <c:orientation val="minMax"/>
        </c:scaling>
        <c:delete val="0"/>
        <c:axPos val="b"/>
        <c:majorGridlines>
          <c:spPr>
            <a:ln w="6350" cap="flat" cmpd="sng" algn="ctr">
              <a:solidFill>
                <a:schemeClr val="tx1">
                  <a:tint val="75000"/>
                </a:schemeClr>
              </a:solidFill>
              <a:prstDash val="solid"/>
              <a:round/>
            </a:ln>
            <a:effectLst/>
          </c:spPr>
        </c:majorGridlines>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a:t>Personas Inscritas a Convocatoria</a:t>
                </a:r>
              </a:p>
            </c:rich>
          </c:tx>
          <c:layout>
            <c:manualLayout>
              <c:xMode val="edge"/>
              <c:yMode val="edge"/>
              <c:x val="0.3399588272619769"/>
              <c:y val="0.94056258794145453"/>
            </c:manualLayout>
          </c:layout>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O"/>
          </a:p>
        </c:txPr>
        <c:crossAx val="40072704"/>
        <c:crosses val="autoZero"/>
        <c:crossBetween val="between"/>
        <c:majorUnit val="100000"/>
      </c:valAx>
      <c:spPr>
        <a:solidFill>
          <a:schemeClr val="bg1"/>
        </a:solidFill>
        <a:ln>
          <a:noFill/>
        </a:ln>
        <a:effectLst/>
      </c:spPr>
    </c:plotArea>
    <c:legend>
      <c:legendPos val="r"/>
      <c:layout>
        <c:manualLayout>
          <c:xMode val="edge"/>
          <c:yMode val="edge"/>
          <c:x val="0.69183864036226228"/>
          <c:y val="0.56689168250217259"/>
          <c:w val="0.28129501978634935"/>
          <c:h val="0.29358343528401093"/>
        </c:manualLayout>
      </c:layout>
      <c:overlay val="0"/>
      <c:spPr>
        <a:solidFill>
          <a:schemeClr val="bg1"/>
        </a:solidFill>
        <a:ln>
          <a:solidFill>
            <a:schemeClr val="bg1">
              <a:lumMod val="50000"/>
            </a:schemeClr>
          </a:solid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6350" cap="flat" cmpd="sng" algn="ctr">
      <a:solidFill>
        <a:schemeClr val="bg1"/>
      </a:solidFill>
      <a:prstDash val="solid"/>
      <a:round/>
    </a:ln>
    <a:effectLst/>
  </c:spPr>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8E4EC-A681-4452-8CE9-958F93D5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2970</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gonzalez villa utl.HR julio cesar triana</dc:creator>
  <cp:keywords/>
  <dc:description/>
  <cp:lastModifiedBy>Daniela Vargas Diaz</cp:lastModifiedBy>
  <cp:revision>5</cp:revision>
  <cp:lastPrinted>2018-11-07T21:54:00Z</cp:lastPrinted>
  <dcterms:created xsi:type="dcterms:W3CDTF">2018-11-06T15:47:00Z</dcterms:created>
  <dcterms:modified xsi:type="dcterms:W3CDTF">2018-11-07T22:14:00Z</dcterms:modified>
</cp:coreProperties>
</file>