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DC8EB" w14:textId="77777777" w:rsidR="000B00EE" w:rsidRPr="00665BE2" w:rsidRDefault="000B00EE" w:rsidP="00C2222D">
      <w:pPr>
        <w:spacing w:after="0"/>
        <w:jc w:val="both"/>
        <w:rPr>
          <w:rFonts w:ascii="Arial" w:hAnsi="Arial" w:cs="Arial"/>
          <w:sz w:val="24"/>
          <w:szCs w:val="24"/>
        </w:rPr>
      </w:pPr>
    </w:p>
    <w:p w14:paraId="46D4F6C0" w14:textId="7B001F05" w:rsidR="00AD1FC0" w:rsidRPr="00C2222D" w:rsidRDefault="00AD1FC0" w:rsidP="00AD1FC0">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Bogotá, D.C. 27 de septiembre de 2018                                                            </w:t>
      </w:r>
    </w:p>
    <w:p w14:paraId="730AF69E" w14:textId="77777777" w:rsidR="00AD1FC0" w:rsidRPr="00C2222D" w:rsidRDefault="00AD1FC0" w:rsidP="00AD1FC0">
      <w:pPr>
        <w:shd w:val="clear" w:color="auto" w:fill="FFFFFF"/>
        <w:spacing w:after="0" w:line="240" w:lineRule="auto"/>
        <w:jc w:val="both"/>
        <w:rPr>
          <w:rFonts w:ascii="Arial" w:eastAsia="Times New Roman" w:hAnsi="Arial" w:cs="Arial"/>
          <w:color w:val="000000" w:themeColor="text1"/>
          <w:sz w:val="24"/>
          <w:szCs w:val="24"/>
          <w:lang w:eastAsia="es-CO"/>
        </w:rPr>
      </w:pPr>
    </w:p>
    <w:p w14:paraId="06A4078F" w14:textId="77777777" w:rsidR="00AD1FC0" w:rsidRPr="00C2222D" w:rsidRDefault="00AD1FC0" w:rsidP="00AD1FC0">
      <w:pPr>
        <w:shd w:val="clear" w:color="auto" w:fill="FFFFFF"/>
        <w:spacing w:after="0"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Doctor</w:t>
      </w:r>
    </w:p>
    <w:p w14:paraId="5DC2ABAD" w14:textId="77777777" w:rsidR="00AD1FC0" w:rsidRPr="00C2222D" w:rsidRDefault="00AD1FC0" w:rsidP="00AD1FC0">
      <w:pPr>
        <w:shd w:val="clear" w:color="auto" w:fill="FFFFFF"/>
        <w:spacing w:after="0" w:line="240" w:lineRule="auto"/>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 xml:space="preserve">SAMUEL ALEJANDRO HOYOS MEJÍA </w:t>
      </w:r>
    </w:p>
    <w:p w14:paraId="1040E491" w14:textId="77777777" w:rsidR="00AD1FC0" w:rsidRPr="00C2222D" w:rsidRDefault="00AD1FC0" w:rsidP="00AD1FC0">
      <w:pPr>
        <w:shd w:val="clear" w:color="auto" w:fill="FFFFFF"/>
        <w:spacing w:after="0" w:line="240" w:lineRule="auto"/>
        <w:jc w:val="both"/>
        <w:rPr>
          <w:rFonts w:ascii="Arial" w:eastAsia="Times New Roman" w:hAnsi="Arial" w:cs="Arial"/>
          <w:b/>
          <w:color w:val="000000" w:themeColor="text1"/>
          <w:sz w:val="24"/>
          <w:szCs w:val="24"/>
          <w:lang w:eastAsia="es-CO"/>
        </w:rPr>
      </w:pPr>
      <w:r w:rsidRPr="00C2222D">
        <w:rPr>
          <w:rFonts w:ascii="Arial" w:eastAsia="Times New Roman" w:hAnsi="Arial" w:cs="Arial"/>
          <w:b/>
          <w:color w:val="000000" w:themeColor="text1"/>
          <w:sz w:val="24"/>
          <w:szCs w:val="24"/>
          <w:lang w:eastAsia="es-CO"/>
        </w:rPr>
        <w:t>Presidente Comisión Primera                                                </w:t>
      </w:r>
    </w:p>
    <w:p w14:paraId="248D448D" w14:textId="77777777" w:rsidR="00AD1FC0" w:rsidRPr="00C2222D" w:rsidRDefault="00AD1FC0" w:rsidP="00AD1FC0">
      <w:pPr>
        <w:shd w:val="clear" w:color="auto" w:fill="FFFFFF"/>
        <w:spacing w:after="0"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Cámara de Representantes</w:t>
      </w:r>
    </w:p>
    <w:p w14:paraId="5A8B9FB3" w14:textId="77777777" w:rsidR="00AD1FC0" w:rsidRPr="00C2222D" w:rsidRDefault="00AD1FC0" w:rsidP="00AD1FC0">
      <w:pPr>
        <w:shd w:val="clear" w:color="auto" w:fill="FFFFFF"/>
        <w:spacing w:after="0"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Bogotá</w:t>
      </w:r>
    </w:p>
    <w:p w14:paraId="397A84FF" w14:textId="77777777" w:rsidR="00AD1FC0" w:rsidRPr="00C2222D" w:rsidRDefault="00AD1FC0" w:rsidP="00AD1FC0">
      <w:pPr>
        <w:shd w:val="clear" w:color="auto" w:fill="FFFFFF"/>
        <w:spacing w:after="0" w:line="240" w:lineRule="auto"/>
        <w:jc w:val="both"/>
        <w:rPr>
          <w:rFonts w:ascii="Arial" w:eastAsia="Times New Roman" w:hAnsi="Arial" w:cs="Arial"/>
          <w:color w:val="000000" w:themeColor="text1"/>
          <w:sz w:val="24"/>
          <w:szCs w:val="24"/>
          <w:lang w:eastAsia="es-CO"/>
        </w:rPr>
      </w:pPr>
    </w:p>
    <w:p w14:paraId="2C4D04DA" w14:textId="16737B10" w:rsidR="00AD1FC0" w:rsidRPr="00C2222D" w:rsidRDefault="00AD1FC0" w:rsidP="00AD1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eastAsia="Times New Roman" w:hAnsi="Arial" w:cs="Arial"/>
          <w:i/>
          <w:iCs/>
          <w:sz w:val="24"/>
          <w:szCs w:val="24"/>
          <w:lang w:val="es-ES_tradnl" w:eastAsia="es-CO"/>
        </w:rPr>
      </w:pPr>
      <w:r w:rsidRPr="00C2222D">
        <w:rPr>
          <w:rFonts w:ascii="Arial" w:eastAsia="Times New Roman" w:hAnsi="Arial" w:cs="Arial"/>
          <w:color w:val="000000" w:themeColor="text1"/>
          <w:sz w:val="24"/>
          <w:szCs w:val="24"/>
          <w:lang w:eastAsia="es-CO"/>
        </w:rPr>
        <w:t> </w:t>
      </w:r>
      <w:r w:rsidRPr="00C2222D">
        <w:rPr>
          <w:rFonts w:ascii="Arial" w:hAnsi="Arial" w:cs="Arial"/>
          <w:color w:val="000000" w:themeColor="text1"/>
          <w:sz w:val="24"/>
          <w:szCs w:val="24"/>
          <w:lang w:eastAsia="es-CO"/>
        </w:rPr>
        <w:t>REF:   INFORME DE PONENCIA PARA PRIMER DEBATE EN CÁMARA DEL PROYECTO DE ACTO LEGISLATIVO</w:t>
      </w:r>
      <w:r w:rsidRPr="00C2222D">
        <w:rPr>
          <w:rFonts w:ascii="Arial" w:hAnsi="Arial" w:cs="Arial"/>
          <w:sz w:val="24"/>
          <w:szCs w:val="24"/>
          <w:lang w:val="es-ES"/>
        </w:rPr>
        <w:t xml:space="preserve"> NO 105 DE 2018 CÁMARA “POR EL CUAL SE UNIFICAN LAS ELECCIONES NACIONALES Y LOCALES Y SE AMPLÍA EL PERÍODO DE MANDATO” ACUMULADO CON EL PROYECTO DE ACTO LEGISLATIVO NO 140 DE 2018 “POR EL CUAL SE REFORMA EL ARTÍCULO 261 Y SE DICTAN OTRAS DISPOSICIONES” </w:t>
      </w:r>
      <w:r w:rsidRPr="00C2222D">
        <w:rPr>
          <w:rFonts w:ascii="Arial" w:hAnsi="Arial" w:cs="Arial"/>
          <w:color w:val="000000" w:themeColor="text1"/>
          <w:sz w:val="24"/>
          <w:szCs w:val="24"/>
          <w:lang w:eastAsia="es-CO"/>
        </w:rPr>
        <w:t xml:space="preserve"> </w:t>
      </w:r>
    </w:p>
    <w:p w14:paraId="21BFED59" w14:textId="77777777" w:rsidR="00AD1FC0" w:rsidRPr="00C2222D" w:rsidRDefault="00AD1FC0" w:rsidP="00AD1FC0">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Respetado Presidente:</w:t>
      </w:r>
    </w:p>
    <w:p w14:paraId="5B01341D" w14:textId="450FBD43" w:rsidR="00AD1FC0" w:rsidRPr="00C2222D" w:rsidRDefault="00AD1FC0" w:rsidP="00AD1FC0">
      <w:pPr>
        <w:pStyle w:val="CM6"/>
        <w:spacing w:line="276" w:lineRule="auto"/>
        <w:contextualSpacing/>
        <w:jc w:val="both"/>
        <w:rPr>
          <w:rFonts w:ascii="Arial" w:eastAsia="Times New Roman" w:hAnsi="Arial" w:cs="Arial"/>
          <w:iCs/>
          <w:lang w:val="es-ES_tradnl" w:eastAsia="es-CO"/>
        </w:rPr>
      </w:pPr>
      <w:r w:rsidRPr="00C2222D">
        <w:rPr>
          <w:rFonts w:ascii="Arial" w:eastAsia="Times New Roman" w:hAnsi="Arial" w:cs="Arial"/>
          <w:color w:val="000000" w:themeColor="text1"/>
          <w:lang w:eastAsia="es-CO"/>
        </w:rPr>
        <w:t xml:space="preserve">En cumplimiento del honroso encargo impartido, por medio de la presente remito a su despacho, con el fin que se ponga a consideración para discusión de la comisión primera de la Cámara de Representantes, el informe de ponencia para primer debate en Cámara al </w:t>
      </w:r>
      <w:r w:rsidRPr="00C2222D">
        <w:rPr>
          <w:rFonts w:ascii="Arial" w:hAnsi="Arial" w:cs="Arial"/>
          <w:lang w:val="es-ES"/>
        </w:rPr>
        <w:t>Proyecto de Acto Legislativo No 105 de 2018 Cámara “Por el cual se unifican las elecciones nacionales y locales y se amplía el período de mandato” acumul</w:t>
      </w:r>
      <w:r w:rsidR="00F459F0" w:rsidRPr="00C2222D">
        <w:rPr>
          <w:rFonts w:ascii="Arial" w:hAnsi="Arial" w:cs="Arial"/>
          <w:lang w:val="es-ES"/>
        </w:rPr>
        <w:t>ado con el Proyecto de Acto L</w:t>
      </w:r>
      <w:r w:rsidRPr="00C2222D">
        <w:rPr>
          <w:rFonts w:ascii="Arial" w:hAnsi="Arial" w:cs="Arial"/>
          <w:lang w:val="es-ES"/>
        </w:rPr>
        <w:t>egislativo No 140 de 2018 “Por el cual se reforma el artículo 261 y se dictan otras disposiciones”.</w:t>
      </w:r>
    </w:p>
    <w:p w14:paraId="583932FF" w14:textId="77777777" w:rsidR="00AD1FC0" w:rsidRPr="00C2222D" w:rsidRDefault="00AD1FC0" w:rsidP="00AD1FC0">
      <w:pPr>
        <w:rPr>
          <w:rFonts w:ascii="Arial" w:hAnsi="Arial" w:cs="Arial"/>
          <w:sz w:val="24"/>
          <w:szCs w:val="24"/>
          <w:lang w:val="es-ES_tradnl" w:eastAsia="es-CO"/>
        </w:rPr>
      </w:pPr>
    </w:p>
    <w:p w14:paraId="25664125"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Cordialmente,</w:t>
      </w:r>
    </w:p>
    <w:p w14:paraId="5EDE007B"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 </w:t>
      </w:r>
    </w:p>
    <w:p w14:paraId="05C558F0" w14:textId="77777777" w:rsidR="00AD1FC0" w:rsidRPr="00C2222D" w:rsidRDefault="00AD1FC0" w:rsidP="00AD1FC0">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 </w:t>
      </w:r>
    </w:p>
    <w:p w14:paraId="7EF19207" w14:textId="77777777" w:rsidR="00AD1FC0" w:rsidRPr="00C2222D" w:rsidRDefault="00AD1FC0" w:rsidP="00AD1FC0">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147C0225" w14:textId="77777777" w:rsidR="00AD1FC0" w:rsidRPr="00C2222D" w:rsidRDefault="00AD1FC0" w:rsidP="00AD1FC0">
      <w:pPr>
        <w:shd w:val="clear" w:color="auto" w:fill="FFFFFF"/>
        <w:spacing w:after="0"/>
        <w:jc w:val="both"/>
        <w:rPr>
          <w:rFonts w:ascii="Arial" w:eastAsia="Times New Roman" w:hAnsi="Arial" w:cs="Arial"/>
          <w:b/>
          <w:bCs/>
          <w:color w:val="000000" w:themeColor="text1"/>
          <w:sz w:val="24"/>
          <w:szCs w:val="24"/>
          <w:lang w:eastAsia="es-CO"/>
        </w:rPr>
      </w:pPr>
    </w:p>
    <w:p w14:paraId="746AF29F"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45EAABE8" w14:textId="414D22DC" w:rsidR="00AD1FC0" w:rsidRPr="00C2222D" w:rsidRDefault="00AD1FC0" w:rsidP="00AD1FC0">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JAIME RODRIGUEZ CONTRERAS</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JUAN CARLOS RIVERA PEÑA </w:t>
      </w:r>
    </w:p>
    <w:p w14:paraId="56D1BDB8"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Representante a la Cámara</w:t>
      </w:r>
    </w:p>
    <w:p w14:paraId="49BA5AD0"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Ponente Coordinador</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Ponente Coordinador</w:t>
      </w:r>
    </w:p>
    <w:p w14:paraId="3B8EFB14"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34D5FB15"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39980ACB"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444F28AF"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54B87702"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51E5B456"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0479FCE2" w14:textId="3B225734" w:rsidR="00AD1FC0"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2F784653" w14:textId="77777777" w:rsidR="00D678B2" w:rsidRPr="00C2222D" w:rsidRDefault="00D678B2" w:rsidP="00AD1FC0">
      <w:pPr>
        <w:shd w:val="clear" w:color="auto" w:fill="FFFFFF"/>
        <w:spacing w:after="0"/>
        <w:jc w:val="both"/>
        <w:rPr>
          <w:rFonts w:ascii="Arial" w:eastAsia="Times New Roman" w:hAnsi="Arial" w:cs="Arial"/>
          <w:color w:val="000000" w:themeColor="text1"/>
          <w:sz w:val="24"/>
          <w:szCs w:val="24"/>
          <w:lang w:eastAsia="es-CO"/>
        </w:rPr>
      </w:pPr>
    </w:p>
    <w:p w14:paraId="38383BBC" w14:textId="42BB1CF4" w:rsidR="00AD1FC0" w:rsidRPr="00C2222D" w:rsidRDefault="00AD1FC0" w:rsidP="00AD1FC0">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JOSE JAIME USCATEGUI P.</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          JORGE ELIECER TAMAYO M.</w:t>
      </w:r>
    </w:p>
    <w:p w14:paraId="60587CC7"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Representante a la Cámara</w:t>
      </w:r>
    </w:p>
    <w:p w14:paraId="3DB7C432"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4DEE8D34"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53ABD1F7"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01A2D4EA"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5ECEC2DD"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3D16786B"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5061C83A"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524B3708" w14:textId="48CC1182"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57C88E47"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2A8B0AAB"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33251704" w14:textId="6839B7B9" w:rsidR="00AD1FC0" w:rsidRPr="00C2222D" w:rsidRDefault="00AD1FC0" w:rsidP="00AD1FC0">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JUAN CARLOS WILLS O.</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         </w:t>
      </w:r>
    </w:p>
    <w:p w14:paraId="30F0C693" w14:textId="175158F0"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 xml:space="preserve">        </w:t>
      </w:r>
    </w:p>
    <w:p w14:paraId="1FFED23E"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0DD44A07"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2428962F" w14:textId="606E6EF9"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07A41DC1"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44163FEC"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249F1914" w14:textId="77777777"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0080DDC2" w14:textId="26CDAAE8" w:rsidR="00AD1FC0" w:rsidRPr="00C2222D" w:rsidRDefault="00AD1FC0" w:rsidP="00AD1FC0">
      <w:pPr>
        <w:shd w:val="clear" w:color="auto" w:fill="FFFFFF"/>
        <w:spacing w:after="0"/>
        <w:jc w:val="both"/>
        <w:rPr>
          <w:rFonts w:ascii="Arial" w:eastAsia="Times New Roman" w:hAnsi="Arial" w:cs="Arial"/>
          <w:b/>
          <w:bCs/>
          <w:color w:val="000000" w:themeColor="text1"/>
          <w:sz w:val="24"/>
          <w:szCs w:val="24"/>
          <w:lang w:eastAsia="es-CO"/>
        </w:rPr>
      </w:pPr>
    </w:p>
    <w:p w14:paraId="0691CDAA" w14:textId="69C3C113" w:rsidR="00AD1FC0" w:rsidRPr="00C2222D" w:rsidRDefault="00AD1FC0" w:rsidP="00AD1FC0">
      <w:pPr>
        <w:shd w:val="clear" w:color="auto" w:fill="FFFFFF"/>
        <w:spacing w:after="0"/>
        <w:jc w:val="both"/>
        <w:rPr>
          <w:rFonts w:ascii="Arial" w:eastAsia="Times New Roman" w:hAnsi="Arial" w:cs="Arial"/>
          <w:color w:val="000000" w:themeColor="text1"/>
          <w:sz w:val="24"/>
          <w:szCs w:val="24"/>
          <w:lang w:eastAsia="es-CO"/>
        </w:rPr>
      </w:pPr>
    </w:p>
    <w:p w14:paraId="3121C2F4" w14:textId="11AFA162" w:rsidR="001930A4" w:rsidRPr="00C2222D" w:rsidRDefault="001930A4" w:rsidP="00C2222D">
      <w:pPr>
        <w:spacing w:after="0"/>
        <w:jc w:val="both"/>
        <w:rPr>
          <w:rFonts w:ascii="Arial" w:hAnsi="Arial" w:cs="Arial"/>
          <w:sz w:val="24"/>
          <w:szCs w:val="24"/>
        </w:rPr>
      </w:pPr>
    </w:p>
    <w:p w14:paraId="19CED72A" w14:textId="7275AE43" w:rsidR="00AD1FC0" w:rsidRPr="00C2222D" w:rsidRDefault="00AD1FC0" w:rsidP="00C2222D">
      <w:pPr>
        <w:spacing w:after="0"/>
        <w:jc w:val="both"/>
        <w:rPr>
          <w:rFonts w:ascii="Arial" w:hAnsi="Arial" w:cs="Arial"/>
          <w:sz w:val="24"/>
          <w:szCs w:val="24"/>
        </w:rPr>
      </w:pPr>
    </w:p>
    <w:p w14:paraId="27AB3C59" w14:textId="3E60CB8B" w:rsidR="00AD1FC0" w:rsidRPr="00C2222D" w:rsidRDefault="00AD1FC0" w:rsidP="00C2222D">
      <w:pPr>
        <w:spacing w:after="0"/>
        <w:jc w:val="both"/>
        <w:rPr>
          <w:rFonts w:ascii="Arial" w:hAnsi="Arial" w:cs="Arial"/>
          <w:sz w:val="24"/>
          <w:szCs w:val="24"/>
        </w:rPr>
      </w:pPr>
    </w:p>
    <w:p w14:paraId="226D5C54" w14:textId="77777777" w:rsidR="00AD1FC0" w:rsidRPr="00C2222D" w:rsidRDefault="00AD1FC0" w:rsidP="00C2222D">
      <w:pPr>
        <w:spacing w:after="0"/>
        <w:jc w:val="both"/>
        <w:rPr>
          <w:rFonts w:ascii="Arial" w:hAnsi="Arial" w:cs="Arial"/>
          <w:sz w:val="24"/>
          <w:szCs w:val="24"/>
        </w:rPr>
      </w:pPr>
    </w:p>
    <w:p w14:paraId="4A13985D" w14:textId="342EAF3A" w:rsidR="001930A4" w:rsidRDefault="001930A4" w:rsidP="00C2222D">
      <w:pPr>
        <w:spacing w:after="0"/>
        <w:rPr>
          <w:rFonts w:ascii="Arial" w:hAnsi="Arial" w:cs="Arial"/>
          <w:b/>
          <w:sz w:val="24"/>
          <w:szCs w:val="24"/>
        </w:rPr>
      </w:pPr>
    </w:p>
    <w:p w14:paraId="7E050C13" w14:textId="22AD2419" w:rsidR="00D678B2" w:rsidRDefault="00D678B2" w:rsidP="00C2222D">
      <w:pPr>
        <w:spacing w:after="0"/>
        <w:rPr>
          <w:rFonts w:ascii="Arial" w:hAnsi="Arial" w:cs="Arial"/>
          <w:b/>
          <w:sz w:val="24"/>
          <w:szCs w:val="24"/>
        </w:rPr>
      </w:pPr>
    </w:p>
    <w:p w14:paraId="674E9BD6" w14:textId="4DBD48E4" w:rsidR="00D678B2" w:rsidRDefault="00D678B2" w:rsidP="00C2222D">
      <w:pPr>
        <w:spacing w:after="0"/>
        <w:rPr>
          <w:rFonts w:ascii="Arial" w:hAnsi="Arial" w:cs="Arial"/>
          <w:b/>
          <w:sz w:val="24"/>
          <w:szCs w:val="24"/>
        </w:rPr>
      </w:pPr>
    </w:p>
    <w:p w14:paraId="71A23F19" w14:textId="77777777" w:rsidR="00D678B2" w:rsidRPr="00C2222D" w:rsidRDefault="00D678B2" w:rsidP="00C2222D">
      <w:pPr>
        <w:spacing w:after="0"/>
        <w:rPr>
          <w:rFonts w:ascii="Arial" w:hAnsi="Arial" w:cs="Arial"/>
          <w:b/>
          <w:sz w:val="24"/>
          <w:szCs w:val="24"/>
        </w:rPr>
      </w:pPr>
    </w:p>
    <w:p w14:paraId="0859ACB1" w14:textId="4C280D97" w:rsidR="0040294F" w:rsidRDefault="0040294F" w:rsidP="00C2222D">
      <w:pPr>
        <w:spacing w:after="0"/>
        <w:jc w:val="center"/>
        <w:rPr>
          <w:rFonts w:ascii="Arial" w:hAnsi="Arial" w:cs="Arial"/>
          <w:b/>
          <w:sz w:val="24"/>
          <w:szCs w:val="24"/>
        </w:rPr>
      </w:pPr>
    </w:p>
    <w:p w14:paraId="379E4980" w14:textId="435BF055" w:rsidR="00665BE2" w:rsidRDefault="00665BE2" w:rsidP="00C2222D">
      <w:pPr>
        <w:spacing w:after="0"/>
        <w:jc w:val="center"/>
        <w:rPr>
          <w:rFonts w:ascii="Arial" w:hAnsi="Arial" w:cs="Arial"/>
          <w:b/>
          <w:sz w:val="24"/>
          <w:szCs w:val="24"/>
        </w:rPr>
      </w:pPr>
    </w:p>
    <w:p w14:paraId="391FB4D0" w14:textId="7690F3F0" w:rsidR="00665BE2" w:rsidRDefault="00665BE2" w:rsidP="00C2222D">
      <w:pPr>
        <w:spacing w:after="0"/>
        <w:jc w:val="center"/>
        <w:rPr>
          <w:rFonts w:ascii="Arial" w:hAnsi="Arial" w:cs="Arial"/>
          <w:b/>
          <w:sz w:val="24"/>
          <w:szCs w:val="24"/>
        </w:rPr>
      </w:pPr>
    </w:p>
    <w:p w14:paraId="31EB4848" w14:textId="4D766115" w:rsidR="00665BE2" w:rsidRDefault="00665BE2" w:rsidP="00C2222D">
      <w:pPr>
        <w:spacing w:after="0"/>
        <w:jc w:val="center"/>
        <w:rPr>
          <w:rFonts w:ascii="Arial" w:hAnsi="Arial" w:cs="Arial"/>
          <w:b/>
          <w:sz w:val="24"/>
          <w:szCs w:val="24"/>
        </w:rPr>
      </w:pPr>
    </w:p>
    <w:p w14:paraId="51774695" w14:textId="77777777" w:rsidR="00665BE2" w:rsidRPr="00C2222D" w:rsidRDefault="00665BE2" w:rsidP="00C2222D">
      <w:pPr>
        <w:spacing w:after="0"/>
        <w:jc w:val="center"/>
        <w:rPr>
          <w:rFonts w:ascii="Arial" w:hAnsi="Arial" w:cs="Arial"/>
          <w:b/>
          <w:sz w:val="24"/>
          <w:szCs w:val="24"/>
        </w:rPr>
      </w:pPr>
    </w:p>
    <w:p w14:paraId="29025DBD" w14:textId="70364382" w:rsidR="0040294F" w:rsidRPr="00C2222D" w:rsidRDefault="0040294F" w:rsidP="0040294F">
      <w:pPr>
        <w:pStyle w:val="CM6"/>
        <w:spacing w:after="220" w:line="276" w:lineRule="auto"/>
        <w:jc w:val="center"/>
        <w:rPr>
          <w:rFonts w:ascii="Arial" w:eastAsia="Times New Roman" w:hAnsi="Arial" w:cs="Arial"/>
          <w:color w:val="000000" w:themeColor="text1"/>
          <w:lang w:val="es-ES_tradnl" w:eastAsia="es-CO"/>
        </w:rPr>
      </w:pPr>
      <w:r w:rsidRPr="00C2222D">
        <w:rPr>
          <w:rFonts w:ascii="Arial" w:eastAsia="Times New Roman" w:hAnsi="Arial" w:cs="Arial"/>
          <w:b/>
          <w:color w:val="000000" w:themeColor="text1"/>
          <w:lang w:eastAsia="es-CO"/>
        </w:rPr>
        <w:lastRenderedPageBreak/>
        <w:t>INFORME DE PONENCIA PARA PRIMER DEBATE EN CÁMARA DEL </w:t>
      </w:r>
      <w:r w:rsidRPr="00C2222D">
        <w:rPr>
          <w:rFonts w:ascii="Arial" w:hAnsi="Arial" w:cs="Arial"/>
          <w:b/>
          <w:color w:val="000000" w:themeColor="text1"/>
          <w:lang w:eastAsia="es-CO"/>
        </w:rPr>
        <w:t>PROYECTO DE ACTO LEGISLATIVO</w:t>
      </w:r>
      <w:r w:rsidRPr="00C2222D">
        <w:rPr>
          <w:rFonts w:ascii="Arial" w:hAnsi="Arial" w:cs="Arial"/>
          <w:b/>
          <w:lang w:val="es-ES"/>
        </w:rPr>
        <w:t xml:space="preserve"> NO 105 DE 2018 CÁMARA “POR EL CUAL SE UNIFICAN LAS ELECCIONES NACIONALES Y LOCALES Y SE AMPLÍA EL PERÍODO DE MANDATO” ACUMULADO CON EL PROYECTO DE ACTO LEGISLATIVO NO 140 DE 2018 “POR EL CUAL SE REFORMA EL ARTÍCULO 261 Y SE DICTAN OTRAS DISPOSICIONES”</w:t>
      </w:r>
      <w:r w:rsidRPr="00C2222D">
        <w:rPr>
          <w:rFonts w:ascii="Arial" w:eastAsia="Times New Roman" w:hAnsi="Arial" w:cs="Arial"/>
          <w:color w:val="000000" w:themeColor="text1"/>
          <w:lang w:val="es-ES_tradnl" w:eastAsia="es-CO"/>
        </w:rPr>
        <w:t xml:space="preserve">.   </w:t>
      </w:r>
    </w:p>
    <w:p w14:paraId="5AD2E277" w14:textId="77777777" w:rsidR="0040294F" w:rsidRPr="00C2222D" w:rsidRDefault="0040294F" w:rsidP="0040294F">
      <w:pPr>
        <w:adjustRightInd w:val="0"/>
        <w:spacing w:before="57" w:after="57"/>
        <w:jc w:val="both"/>
        <w:textAlignment w:val="center"/>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val="es-ES_tradnl" w:eastAsia="es-CO"/>
        </w:rPr>
        <w:br/>
        <w:t>La presente ponencia consta de las siguientes partes:</w:t>
      </w:r>
    </w:p>
    <w:p w14:paraId="6746E205" w14:textId="77777777" w:rsidR="0040294F" w:rsidRPr="00C2222D" w:rsidRDefault="0040294F" w:rsidP="0040294F">
      <w:pPr>
        <w:adjustRightInd w:val="0"/>
        <w:spacing w:after="57"/>
        <w:contextualSpacing/>
        <w:jc w:val="both"/>
        <w:textAlignment w:val="center"/>
        <w:rPr>
          <w:rFonts w:ascii="Arial" w:eastAsia="Times New Roman" w:hAnsi="Arial" w:cs="Arial"/>
          <w:b/>
          <w:color w:val="000000" w:themeColor="text1"/>
          <w:sz w:val="24"/>
          <w:szCs w:val="24"/>
          <w:lang w:val="es-ES_tradnl" w:eastAsia="es-CO"/>
        </w:rPr>
      </w:pPr>
    </w:p>
    <w:p w14:paraId="2559BE26" w14:textId="77777777" w:rsidR="0040294F" w:rsidRPr="00C2222D" w:rsidRDefault="0040294F" w:rsidP="0040294F">
      <w:pPr>
        <w:adjustRightInd w:val="0"/>
        <w:spacing w:after="57"/>
        <w:contextualSpacing/>
        <w:jc w:val="both"/>
        <w:textAlignment w:val="center"/>
        <w:rPr>
          <w:rFonts w:ascii="Arial" w:eastAsia="Times New Roman" w:hAnsi="Arial" w:cs="Arial"/>
          <w:b/>
          <w:color w:val="000000" w:themeColor="text1"/>
          <w:sz w:val="24"/>
          <w:szCs w:val="24"/>
          <w:lang w:val="es-ES_tradnl" w:eastAsia="es-CO"/>
        </w:rPr>
      </w:pPr>
      <w:r w:rsidRPr="00C2222D">
        <w:rPr>
          <w:rFonts w:ascii="Arial" w:eastAsia="Times New Roman" w:hAnsi="Arial" w:cs="Arial"/>
          <w:b/>
          <w:color w:val="000000" w:themeColor="text1"/>
          <w:sz w:val="24"/>
          <w:szCs w:val="24"/>
          <w:lang w:val="es-ES_tradnl" w:eastAsia="es-CO"/>
        </w:rPr>
        <w:t>I. TRÁMITE.</w:t>
      </w:r>
    </w:p>
    <w:p w14:paraId="7EE07398" w14:textId="77777777" w:rsidR="0040294F" w:rsidRPr="00C2222D" w:rsidRDefault="0040294F" w:rsidP="0040294F">
      <w:pPr>
        <w:adjustRightInd w:val="0"/>
        <w:spacing w:after="57"/>
        <w:contextualSpacing/>
        <w:jc w:val="both"/>
        <w:textAlignment w:val="center"/>
        <w:rPr>
          <w:rFonts w:ascii="Arial" w:eastAsia="Times New Roman" w:hAnsi="Arial" w:cs="Arial"/>
          <w:b/>
          <w:color w:val="000000" w:themeColor="text1"/>
          <w:sz w:val="24"/>
          <w:szCs w:val="24"/>
          <w:lang w:val="es-ES_tradnl" w:eastAsia="es-CO"/>
        </w:rPr>
      </w:pPr>
      <w:r w:rsidRPr="00C2222D">
        <w:rPr>
          <w:rFonts w:ascii="Arial" w:eastAsia="Times New Roman" w:hAnsi="Arial" w:cs="Arial"/>
          <w:b/>
          <w:color w:val="000000" w:themeColor="text1"/>
          <w:sz w:val="24"/>
          <w:szCs w:val="24"/>
          <w:lang w:val="es-ES_tradnl" w:eastAsia="es-CO"/>
        </w:rPr>
        <w:t>II. OBJETIVO DE LA PROPUESTA.</w:t>
      </w:r>
    </w:p>
    <w:p w14:paraId="03BF8C7A" w14:textId="77777777" w:rsidR="0040294F" w:rsidRPr="00C2222D" w:rsidRDefault="0040294F" w:rsidP="0040294F">
      <w:pPr>
        <w:contextualSpacing/>
        <w:rPr>
          <w:rFonts w:ascii="Arial" w:hAnsi="Arial" w:cs="Arial"/>
          <w:b/>
          <w:sz w:val="24"/>
          <w:szCs w:val="24"/>
        </w:rPr>
      </w:pPr>
      <w:r w:rsidRPr="00C2222D">
        <w:rPr>
          <w:rFonts w:ascii="Arial" w:hAnsi="Arial" w:cs="Arial"/>
          <w:b/>
          <w:bCs/>
          <w:sz w:val="24"/>
          <w:szCs w:val="24"/>
        </w:rPr>
        <w:t>III.</w:t>
      </w:r>
      <w:r w:rsidRPr="00C2222D">
        <w:rPr>
          <w:rFonts w:ascii="Arial" w:hAnsi="Arial" w:cs="Arial"/>
          <w:b/>
          <w:sz w:val="24"/>
          <w:szCs w:val="24"/>
        </w:rPr>
        <w:t xml:space="preserve"> CONVENIENCIA DE LA INICIATIVA </w:t>
      </w:r>
    </w:p>
    <w:p w14:paraId="667CDA57" w14:textId="77777777" w:rsidR="0040294F" w:rsidRPr="00C2222D" w:rsidRDefault="0040294F" w:rsidP="0040294F">
      <w:pPr>
        <w:contextualSpacing/>
        <w:rPr>
          <w:rFonts w:ascii="Arial" w:hAnsi="Arial" w:cs="Arial"/>
          <w:b/>
          <w:sz w:val="24"/>
          <w:szCs w:val="24"/>
        </w:rPr>
      </w:pPr>
      <w:r w:rsidRPr="00C2222D">
        <w:rPr>
          <w:rFonts w:ascii="Arial" w:hAnsi="Arial" w:cs="Arial"/>
          <w:b/>
          <w:bCs/>
          <w:color w:val="000000" w:themeColor="text1"/>
          <w:sz w:val="24"/>
          <w:szCs w:val="24"/>
        </w:rPr>
        <w:t xml:space="preserve">IV. </w:t>
      </w:r>
      <w:r w:rsidRPr="00C2222D">
        <w:rPr>
          <w:rFonts w:ascii="Arial" w:hAnsi="Arial" w:cs="Arial"/>
          <w:b/>
          <w:sz w:val="24"/>
          <w:szCs w:val="24"/>
        </w:rPr>
        <w:t>PROPUESTA DE ARTICULADO</w:t>
      </w:r>
    </w:p>
    <w:p w14:paraId="5ED13A62" w14:textId="77777777" w:rsidR="0040294F" w:rsidRPr="00C2222D" w:rsidRDefault="0040294F" w:rsidP="0040294F">
      <w:pPr>
        <w:contextualSpacing/>
        <w:rPr>
          <w:rFonts w:ascii="Arial" w:hAnsi="Arial" w:cs="Arial"/>
          <w:b/>
          <w:sz w:val="24"/>
          <w:szCs w:val="24"/>
        </w:rPr>
      </w:pPr>
      <w:r w:rsidRPr="00C2222D">
        <w:rPr>
          <w:rFonts w:ascii="Arial" w:hAnsi="Arial" w:cs="Arial"/>
          <w:b/>
          <w:sz w:val="24"/>
          <w:szCs w:val="24"/>
        </w:rPr>
        <w:t xml:space="preserve">V. MARCO CONSTITUCIONAL </w:t>
      </w:r>
    </w:p>
    <w:p w14:paraId="1BB9A855" w14:textId="77777777" w:rsidR="0040294F" w:rsidRPr="00C2222D" w:rsidRDefault="0040294F" w:rsidP="0040294F">
      <w:pPr>
        <w:contextualSpacing/>
        <w:rPr>
          <w:rFonts w:ascii="Arial" w:hAnsi="Arial" w:cs="Arial"/>
          <w:b/>
          <w:sz w:val="24"/>
          <w:szCs w:val="24"/>
        </w:rPr>
      </w:pPr>
      <w:r w:rsidRPr="00C2222D">
        <w:rPr>
          <w:rFonts w:ascii="Arial" w:hAnsi="Arial" w:cs="Arial"/>
          <w:b/>
          <w:sz w:val="24"/>
          <w:szCs w:val="24"/>
        </w:rPr>
        <w:t>VI. JUSTIFICACIÓN</w:t>
      </w:r>
    </w:p>
    <w:p w14:paraId="67F02ACA" w14:textId="49ED32F3" w:rsidR="0040294F" w:rsidRPr="00C2222D" w:rsidRDefault="008F780C" w:rsidP="0040294F">
      <w:pPr>
        <w:adjustRightInd w:val="0"/>
        <w:spacing w:after="57"/>
        <w:contextualSpacing/>
        <w:jc w:val="both"/>
        <w:textAlignment w:val="center"/>
        <w:rPr>
          <w:rFonts w:ascii="Arial" w:eastAsia="Times New Roman" w:hAnsi="Arial" w:cs="Arial"/>
          <w:b/>
          <w:color w:val="000000" w:themeColor="text1"/>
          <w:sz w:val="24"/>
          <w:szCs w:val="24"/>
          <w:lang w:val="es-ES_tradnl" w:eastAsia="es-CO"/>
        </w:rPr>
      </w:pPr>
      <w:r w:rsidRPr="00C2222D">
        <w:rPr>
          <w:rFonts w:ascii="Arial" w:hAnsi="Arial" w:cs="Arial"/>
          <w:b/>
          <w:sz w:val="24"/>
          <w:szCs w:val="24"/>
        </w:rPr>
        <w:t>V</w:t>
      </w:r>
      <w:r w:rsidR="0040294F" w:rsidRPr="00C2222D">
        <w:rPr>
          <w:rFonts w:ascii="Arial" w:hAnsi="Arial" w:cs="Arial"/>
          <w:b/>
          <w:sz w:val="24"/>
          <w:szCs w:val="24"/>
        </w:rPr>
        <w:t>II</w:t>
      </w:r>
      <w:r w:rsidR="0040294F" w:rsidRPr="00C2222D">
        <w:rPr>
          <w:rFonts w:ascii="Arial" w:eastAsia="Times New Roman" w:hAnsi="Arial" w:cs="Arial"/>
          <w:b/>
          <w:color w:val="000000" w:themeColor="text1"/>
          <w:sz w:val="24"/>
          <w:szCs w:val="24"/>
          <w:lang w:val="es-ES_tradnl" w:eastAsia="es-CO"/>
        </w:rPr>
        <w:t>. PROPOSICIÓN.</w:t>
      </w:r>
    </w:p>
    <w:p w14:paraId="03A66FB0" w14:textId="77777777"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p>
    <w:p w14:paraId="2317606C" w14:textId="77777777" w:rsidR="0040294F" w:rsidRPr="00C2222D" w:rsidRDefault="0040294F" w:rsidP="0040294F">
      <w:pPr>
        <w:adjustRightInd w:val="0"/>
        <w:spacing w:before="57" w:after="57"/>
        <w:jc w:val="both"/>
        <w:textAlignment w:val="center"/>
        <w:rPr>
          <w:rFonts w:ascii="Arial" w:eastAsia="Times New Roman" w:hAnsi="Arial" w:cs="Arial"/>
          <w:b/>
          <w:bCs/>
          <w:color w:val="000000" w:themeColor="text1"/>
          <w:sz w:val="24"/>
          <w:szCs w:val="24"/>
          <w:lang w:val="es-ES_tradnl" w:eastAsia="es-CO"/>
        </w:rPr>
      </w:pPr>
    </w:p>
    <w:p w14:paraId="52DACC86" w14:textId="77777777"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r w:rsidRPr="00C2222D">
        <w:rPr>
          <w:rFonts w:ascii="Arial" w:eastAsia="Times New Roman" w:hAnsi="Arial" w:cs="Arial"/>
          <w:b/>
          <w:color w:val="000000" w:themeColor="text1"/>
          <w:sz w:val="24"/>
          <w:szCs w:val="24"/>
          <w:lang w:val="es-ES_tradnl" w:eastAsia="es-CO"/>
        </w:rPr>
        <w:t>I. TRÁMITE.</w:t>
      </w:r>
    </w:p>
    <w:p w14:paraId="2EE520D9" w14:textId="77777777"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p>
    <w:p w14:paraId="199C6BAD" w14:textId="4E03EA65" w:rsidR="00F459F0" w:rsidRPr="00C2222D" w:rsidRDefault="00F459F0" w:rsidP="00F459F0">
      <w:pPr>
        <w:jc w:val="both"/>
        <w:rPr>
          <w:rFonts w:ascii="Arial" w:hAnsi="Arial" w:cs="Arial"/>
          <w:sz w:val="24"/>
          <w:szCs w:val="24"/>
          <w:lang w:val="es-ES"/>
        </w:rPr>
      </w:pPr>
      <w:r w:rsidRPr="00C2222D">
        <w:rPr>
          <w:rFonts w:ascii="Arial" w:eastAsia="Calibri" w:hAnsi="Arial" w:cs="Arial"/>
          <w:sz w:val="24"/>
          <w:szCs w:val="24"/>
          <w:lang w:val="es-ES_tradnl"/>
        </w:rPr>
        <w:t>El proyecto</w:t>
      </w:r>
      <w:r w:rsidRPr="00C2222D">
        <w:rPr>
          <w:rFonts w:ascii="Arial" w:hAnsi="Arial" w:cs="Arial"/>
          <w:sz w:val="24"/>
          <w:szCs w:val="24"/>
          <w:lang w:val="es-ES"/>
        </w:rPr>
        <w:t xml:space="preserve">de Acto Legislativo No 140 de 2018 Cámara “Por el cual se unifican las elecciones nacionales y locales y se amplía el período de mandato” </w:t>
      </w:r>
      <w:r w:rsidRPr="00C2222D">
        <w:rPr>
          <w:rFonts w:ascii="Arial" w:eastAsia="Calibri" w:hAnsi="Arial" w:cs="Arial"/>
          <w:sz w:val="24"/>
          <w:szCs w:val="24"/>
          <w:lang w:val="es-ES_tradnl"/>
        </w:rPr>
        <w:t xml:space="preserve">es autoría </w:t>
      </w:r>
      <w:r w:rsidRPr="00C2222D">
        <w:rPr>
          <w:rFonts w:ascii="Arial" w:hAnsi="Arial" w:cs="Arial"/>
          <w:sz w:val="24"/>
          <w:szCs w:val="24"/>
          <w:lang w:val="es-ES_tradnl" w:eastAsia="es-CO"/>
        </w:rPr>
        <w:t>de los Honorables Congresistas:</w:t>
      </w:r>
      <w:r w:rsidRPr="00C2222D">
        <w:rPr>
          <w:rFonts w:ascii="Arial" w:eastAsia="Times New Roman" w:hAnsi="Arial" w:cs="Arial"/>
          <w:sz w:val="24"/>
          <w:szCs w:val="24"/>
          <w:lang w:eastAsia="es-CO"/>
        </w:rPr>
        <w:t xml:space="preserve"> </w:t>
      </w:r>
      <w:r w:rsidRPr="00C2222D">
        <w:rPr>
          <w:rFonts w:ascii="Arial" w:hAnsi="Arial" w:cs="Arial"/>
          <w:color w:val="333333"/>
          <w:sz w:val="24"/>
          <w:szCs w:val="24"/>
          <w:lang w:val="es-ES"/>
        </w:rPr>
        <w:t>H.R.</w:t>
      </w:r>
      <w:r w:rsidR="00665BE2">
        <w:rPr>
          <w:rFonts w:ascii="Arial" w:hAnsi="Arial" w:cs="Arial"/>
          <w:color w:val="333333"/>
          <w:sz w:val="24"/>
          <w:szCs w:val="24"/>
          <w:lang w:val="es-ES"/>
        </w:rPr>
        <w:t xml:space="preserve"> </w:t>
      </w:r>
      <w:hyperlink r:id="rId8" w:history="1">
        <w:r w:rsidRPr="00C2222D">
          <w:rPr>
            <w:rFonts w:ascii="Arial" w:hAnsi="Arial" w:cs="Arial"/>
            <w:color w:val="111111"/>
            <w:sz w:val="24"/>
            <w:szCs w:val="24"/>
            <w:lang w:val="es-ES"/>
          </w:rPr>
          <w:t>Jairo Humberto Cristo Correa</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9" w:history="1">
        <w:r w:rsidRPr="00C2222D">
          <w:rPr>
            <w:rFonts w:ascii="Arial" w:hAnsi="Arial" w:cs="Arial"/>
            <w:color w:val="111111"/>
            <w:sz w:val="24"/>
            <w:szCs w:val="24"/>
            <w:lang w:val="es-ES"/>
          </w:rPr>
          <w:t>César Augusto Lorduy Maldonado</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0" w:history="1">
        <w:r w:rsidRPr="00C2222D">
          <w:rPr>
            <w:rFonts w:ascii="Arial" w:hAnsi="Arial" w:cs="Arial"/>
            <w:color w:val="111111"/>
            <w:sz w:val="24"/>
            <w:szCs w:val="24"/>
            <w:lang w:val="es-ES"/>
          </w:rPr>
          <w:t>Alfredo Rafael Deluque Zuleta</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1" w:history="1">
        <w:r w:rsidRPr="00C2222D">
          <w:rPr>
            <w:rFonts w:ascii="Arial" w:hAnsi="Arial" w:cs="Arial"/>
            <w:color w:val="111111"/>
            <w:sz w:val="24"/>
            <w:szCs w:val="24"/>
            <w:lang w:val="es-ES"/>
          </w:rPr>
          <w:t>Jorge Enrique Burgos Lugo</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2" w:history="1">
        <w:r w:rsidRPr="00C2222D">
          <w:rPr>
            <w:rFonts w:ascii="Arial" w:hAnsi="Arial" w:cs="Arial"/>
            <w:color w:val="111111"/>
            <w:sz w:val="24"/>
            <w:szCs w:val="24"/>
            <w:lang w:val="es-ES"/>
          </w:rPr>
          <w:t>Jaime Rodríguez Contreras</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3" w:history="1">
        <w:r w:rsidRPr="00C2222D">
          <w:rPr>
            <w:rFonts w:ascii="Arial" w:hAnsi="Arial" w:cs="Arial"/>
            <w:color w:val="111111"/>
            <w:sz w:val="24"/>
            <w:szCs w:val="24"/>
            <w:lang w:val="es-ES"/>
          </w:rPr>
          <w:t>Oscar Tulio Lizcano González</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4" w:history="1">
        <w:r w:rsidRPr="00C2222D">
          <w:rPr>
            <w:rFonts w:ascii="Arial" w:hAnsi="Arial" w:cs="Arial"/>
            <w:color w:val="111111"/>
            <w:sz w:val="24"/>
            <w:szCs w:val="24"/>
            <w:lang w:val="es-ES"/>
          </w:rPr>
          <w:t>Julio César Triana Quintero</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r w:rsidRPr="00C2222D">
        <w:rPr>
          <w:rFonts w:ascii="Arial" w:hAnsi="Arial" w:cs="Arial"/>
          <w:color w:val="333333"/>
          <w:sz w:val="24"/>
          <w:szCs w:val="24"/>
          <w:lang w:val="es-ES"/>
        </w:rPr>
        <w:t>.</w:t>
      </w:r>
      <w:hyperlink r:id="rId15" w:history="1">
        <w:r w:rsidRPr="00C2222D">
          <w:rPr>
            <w:rFonts w:ascii="Arial" w:hAnsi="Arial" w:cs="Arial"/>
            <w:color w:val="111111"/>
            <w:sz w:val="24"/>
            <w:szCs w:val="24"/>
            <w:lang w:val="es-ES"/>
          </w:rPr>
          <w:t>Alejandro Carlos Chacón Camargo</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6" w:history="1">
        <w:r w:rsidRPr="00C2222D">
          <w:rPr>
            <w:rFonts w:ascii="Arial" w:hAnsi="Arial" w:cs="Arial"/>
            <w:color w:val="111111"/>
            <w:sz w:val="24"/>
            <w:szCs w:val="24"/>
            <w:lang w:val="es-ES"/>
          </w:rPr>
          <w:t>Harry Giovanny González García</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7" w:history="1">
        <w:r w:rsidRPr="00C2222D">
          <w:rPr>
            <w:rFonts w:ascii="Arial" w:hAnsi="Arial" w:cs="Arial"/>
            <w:color w:val="111111"/>
            <w:sz w:val="24"/>
            <w:szCs w:val="24"/>
            <w:lang w:val="es-ES"/>
          </w:rPr>
          <w:t>Jennifer Kristin Arias Falla</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8" w:history="1">
        <w:r w:rsidRPr="00C2222D">
          <w:rPr>
            <w:rFonts w:ascii="Arial" w:hAnsi="Arial" w:cs="Arial"/>
            <w:color w:val="111111"/>
            <w:sz w:val="24"/>
            <w:szCs w:val="24"/>
            <w:lang w:val="es-ES"/>
          </w:rPr>
          <w:t>Miguel Angél Barreto Castillo</w:t>
        </w:r>
      </w:hyperlink>
      <w:r w:rsidRPr="00C2222D">
        <w:rPr>
          <w:rFonts w:ascii="Arial" w:hAnsi="Arial" w:cs="Arial"/>
          <w:color w:val="333333"/>
          <w:sz w:val="24"/>
          <w:szCs w:val="24"/>
          <w:lang w:val="es-ES"/>
        </w:rPr>
        <w:t>, H.R.</w:t>
      </w:r>
      <w:r w:rsidR="00665BE2">
        <w:rPr>
          <w:rFonts w:ascii="Arial" w:hAnsi="Arial" w:cs="Arial"/>
          <w:color w:val="333333"/>
          <w:sz w:val="24"/>
          <w:szCs w:val="24"/>
          <w:lang w:val="es-ES"/>
        </w:rPr>
        <w:t xml:space="preserve"> </w:t>
      </w:r>
      <w:hyperlink r:id="rId19" w:history="1">
        <w:r w:rsidRPr="00C2222D">
          <w:rPr>
            <w:rFonts w:ascii="Arial" w:hAnsi="Arial" w:cs="Arial"/>
            <w:color w:val="111111"/>
            <w:sz w:val="24"/>
            <w:szCs w:val="24"/>
            <w:lang w:val="es-ES"/>
          </w:rPr>
          <w:t>José Daniel López Jiménez</w:t>
        </w:r>
      </w:hyperlink>
      <w:r w:rsidRPr="00C2222D">
        <w:rPr>
          <w:rFonts w:ascii="Arial" w:hAnsi="Arial" w:cs="Arial"/>
          <w:sz w:val="24"/>
          <w:szCs w:val="24"/>
          <w:lang w:val="es-ES"/>
        </w:rPr>
        <w:t>, el cual fue acumulado con el Proyecto de Acto Legislativo No 105 de 2018 “Por el cual se reforma el artículo 261 y se dictan otras disposiciones”, es de autoría de los congresistas</w:t>
      </w:r>
      <w:r w:rsidRPr="00C2222D">
        <w:rPr>
          <w:rFonts w:ascii="Arial" w:hAnsi="Arial" w:cs="Arial"/>
          <w:color w:val="333333"/>
          <w:sz w:val="24"/>
          <w:szCs w:val="24"/>
          <w:lang w:val="es-ES"/>
        </w:rPr>
        <w:t xml:space="preserve"> H.S.</w:t>
      </w:r>
      <w:r w:rsidR="00665BE2">
        <w:rPr>
          <w:rFonts w:ascii="Arial" w:hAnsi="Arial" w:cs="Arial"/>
          <w:color w:val="333333"/>
          <w:sz w:val="24"/>
          <w:szCs w:val="24"/>
          <w:lang w:val="es-ES"/>
        </w:rPr>
        <w:t xml:space="preserve"> </w:t>
      </w:r>
      <w:hyperlink r:id="rId20" w:history="1">
        <w:r w:rsidRPr="00C2222D">
          <w:rPr>
            <w:rStyle w:val="Hipervnculo"/>
            <w:rFonts w:ascii="Arial" w:hAnsi="Arial" w:cs="Arial"/>
            <w:color w:val="auto"/>
            <w:sz w:val="24"/>
            <w:szCs w:val="24"/>
            <w:u w:val="none"/>
            <w:lang w:val="es-ES"/>
          </w:rPr>
          <w:t>Juan Samy Merheg Marun</w:t>
        </w:r>
      </w:hyperlink>
      <w:r w:rsidRPr="00C2222D">
        <w:rPr>
          <w:rFonts w:ascii="Arial" w:hAnsi="Arial" w:cs="Arial"/>
          <w:sz w:val="24"/>
          <w:szCs w:val="24"/>
          <w:lang w:val="es-ES"/>
        </w:rPr>
        <w:t>, H.S.</w:t>
      </w:r>
      <w:r w:rsidR="00665BE2" w:rsidRPr="00C2222D">
        <w:rPr>
          <w:rFonts w:ascii="Arial" w:hAnsi="Arial" w:cs="Arial"/>
          <w:sz w:val="24"/>
          <w:szCs w:val="24"/>
          <w:lang w:val="es-ES"/>
        </w:rPr>
        <w:t xml:space="preserve"> </w:t>
      </w:r>
      <w:hyperlink r:id="rId21" w:history="1">
        <w:r w:rsidRPr="00C2222D">
          <w:rPr>
            <w:rStyle w:val="Hipervnculo"/>
            <w:rFonts w:ascii="Arial" w:hAnsi="Arial" w:cs="Arial"/>
            <w:color w:val="auto"/>
            <w:sz w:val="24"/>
            <w:szCs w:val="24"/>
            <w:u w:val="none"/>
            <w:lang w:val="es-ES"/>
          </w:rPr>
          <w:t>Laureano Augusto Acuña Díaz</w:t>
        </w:r>
      </w:hyperlink>
      <w:r w:rsidRPr="00C2222D">
        <w:rPr>
          <w:rFonts w:ascii="Arial" w:hAnsi="Arial" w:cs="Arial"/>
          <w:sz w:val="24"/>
          <w:szCs w:val="24"/>
          <w:lang w:val="es-ES"/>
        </w:rPr>
        <w:t>, H.S.</w:t>
      </w:r>
      <w:r w:rsidR="00665BE2" w:rsidRPr="00C2222D">
        <w:rPr>
          <w:rFonts w:ascii="Arial" w:hAnsi="Arial" w:cs="Arial"/>
          <w:sz w:val="24"/>
          <w:szCs w:val="24"/>
          <w:lang w:val="es-ES"/>
        </w:rPr>
        <w:t xml:space="preserve"> </w:t>
      </w:r>
      <w:hyperlink r:id="rId22" w:history="1">
        <w:r w:rsidRPr="00C2222D">
          <w:rPr>
            <w:rStyle w:val="Hipervnculo"/>
            <w:rFonts w:ascii="Arial" w:hAnsi="Arial" w:cs="Arial"/>
            <w:color w:val="auto"/>
            <w:sz w:val="24"/>
            <w:szCs w:val="24"/>
            <w:u w:val="none"/>
            <w:lang w:val="es-ES"/>
          </w:rPr>
          <w:t>Nora María García Burgos</w:t>
        </w:r>
      </w:hyperlink>
      <w:r w:rsidRPr="00C2222D">
        <w:rPr>
          <w:rFonts w:ascii="Arial" w:hAnsi="Arial" w:cs="Arial"/>
          <w:sz w:val="24"/>
          <w:szCs w:val="24"/>
          <w:lang w:val="es-ES"/>
        </w:rPr>
        <w:t>, H.S.</w:t>
      </w:r>
      <w:r w:rsidR="00665BE2" w:rsidRPr="00C2222D">
        <w:rPr>
          <w:rFonts w:ascii="Arial" w:hAnsi="Arial" w:cs="Arial"/>
          <w:sz w:val="24"/>
          <w:szCs w:val="24"/>
          <w:lang w:val="es-ES"/>
        </w:rPr>
        <w:t xml:space="preserve"> </w:t>
      </w:r>
      <w:hyperlink r:id="rId23" w:history="1">
        <w:r w:rsidRPr="00C2222D">
          <w:rPr>
            <w:rStyle w:val="Hipervnculo"/>
            <w:rFonts w:ascii="Arial" w:hAnsi="Arial" w:cs="Arial"/>
            <w:color w:val="auto"/>
            <w:sz w:val="24"/>
            <w:szCs w:val="24"/>
            <w:u w:val="none"/>
            <w:lang w:val="es-ES"/>
          </w:rPr>
          <w:t>Myriam Alicia Paredes Aguirre</w:t>
        </w:r>
      </w:hyperlink>
      <w:r w:rsidR="00665BE2" w:rsidRPr="00C2222D">
        <w:rPr>
          <w:rFonts w:ascii="Arial" w:hAnsi="Arial" w:cs="Arial"/>
          <w:sz w:val="24"/>
          <w:szCs w:val="24"/>
          <w:lang w:val="es-ES"/>
        </w:rPr>
        <w:t>,</w:t>
      </w:r>
      <w:r w:rsidRPr="00C2222D">
        <w:rPr>
          <w:rFonts w:ascii="Arial" w:hAnsi="Arial" w:cs="Arial"/>
          <w:sz w:val="24"/>
          <w:szCs w:val="24"/>
          <w:lang w:val="es-ES"/>
        </w:rPr>
        <w:t xml:space="preserve"> H.R.</w:t>
      </w:r>
      <w:r w:rsidR="00665BE2" w:rsidRPr="00C2222D">
        <w:rPr>
          <w:rFonts w:ascii="Arial" w:hAnsi="Arial" w:cs="Arial"/>
          <w:sz w:val="24"/>
          <w:szCs w:val="24"/>
          <w:lang w:val="es-ES"/>
        </w:rPr>
        <w:t xml:space="preserve"> </w:t>
      </w:r>
      <w:hyperlink r:id="rId24" w:history="1">
        <w:r w:rsidRPr="00C2222D">
          <w:rPr>
            <w:rStyle w:val="Hipervnculo"/>
            <w:rFonts w:ascii="Arial" w:hAnsi="Arial" w:cs="Arial"/>
            <w:color w:val="auto"/>
            <w:sz w:val="24"/>
            <w:szCs w:val="24"/>
            <w:u w:val="none"/>
            <w:lang w:val="es-ES"/>
          </w:rPr>
          <w:t>Adriana Magali Matiz Vargas</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25" w:history="1">
        <w:r w:rsidRPr="00C2222D">
          <w:rPr>
            <w:rStyle w:val="Hipervnculo"/>
            <w:rFonts w:ascii="Arial" w:hAnsi="Arial" w:cs="Arial"/>
            <w:color w:val="auto"/>
            <w:sz w:val="24"/>
            <w:szCs w:val="24"/>
            <w:u w:val="none"/>
            <w:lang w:val="es-ES"/>
          </w:rPr>
          <w:t>Yamil Hernando Arana Padauí</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26" w:history="1">
        <w:r w:rsidRPr="00C2222D">
          <w:rPr>
            <w:rStyle w:val="Hipervnculo"/>
            <w:rFonts w:ascii="Arial" w:hAnsi="Arial" w:cs="Arial"/>
            <w:color w:val="auto"/>
            <w:sz w:val="24"/>
            <w:szCs w:val="24"/>
            <w:u w:val="none"/>
            <w:lang w:val="es-ES"/>
          </w:rPr>
          <w:t>Nicolás Albeiro Echeverry Alvarán</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27" w:history="1">
        <w:r w:rsidRPr="00C2222D">
          <w:rPr>
            <w:rStyle w:val="Hipervnculo"/>
            <w:rFonts w:ascii="Arial" w:hAnsi="Arial" w:cs="Arial"/>
            <w:color w:val="auto"/>
            <w:sz w:val="24"/>
            <w:szCs w:val="24"/>
            <w:u w:val="none"/>
            <w:lang w:val="es-ES"/>
          </w:rPr>
          <w:t>Germán Alcides Blanco Álvarez</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28" w:history="1">
        <w:r w:rsidRPr="00C2222D">
          <w:rPr>
            <w:rStyle w:val="Hipervnculo"/>
            <w:rFonts w:ascii="Arial" w:hAnsi="Arial" w:cs="Arial"/>
            <w:color w:val="auto"/>
            <w:sz w:val="24"/>
            <w:szCs w:val="24"/>
            <w:u w:val="none"/>
            <w:lang w:val="es-ES"/>
          </w:rPr>
          <w:t>Miguel Angél Barreto Castillo</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29" w:history="1">
        <w:r w:rsidRPr="00C2222D">
          <w:rPr>
            <w:rStyle w:val="Hipervnculo"/>
            <w:rFonts w:ascii="Arial" w:hAnsi="Arial" w:cs="Arial"/>
            <w:color w:val="auto"/>
            <w:sz w:val="24"/>
            <w:szCs w:val="24"/>
            <w:u w:val="none"/>
            <w:lang w:val="es-ES"/>
          </w:rPr>
          <w:t>Buenaventura León León</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30" w:history="1">
        <w:r w:rsidRPr="00C2222D">
          <w:rPr>
            <w:rStyle w:val="Hipervnculo"/>
            <w:rFonts w:ascii="Arial" w:hAnsi="Arial" w:cs="Arial"/>
            <w:color w:val="auto"/>
            <w:sz w:val="24"/>
            <w:szCs w:val="24"/>
            <w:u w:val="none"/>
            <w:lang w:val="es-ES"/>
          </w:rPr>
          <w:t>Juan Carlos Rivera Peña</w:t>
        </w:r>
      </w:hyperlink>
      <w:r w:rsidRPr="00C2222D">
        <w:rPr>
          <w:rFonts w:ascii="Arial" w:hAnsi="Arial" w:cs="Arial"/>
          <w:sz w:val="24"/>
          <w:szCs w:val="24"/>
          <w:lang w:val="es-ES"/>
        </w:rPr>
        <w:t>, H.R.</w:t>
      </w:r>
      <w:r w:rsidR="00665BE2" w:rsidRPr="00C2222D">
        <w:rPr>
          <w:rFonts w:ascii="Arial" w:hAnsi="Arial" w:cs="Arial"/>
          <w:sz w:val="24"/>
          <w:szCs w:val="24"/>
          <w:lang w:val="es-ES"/>
        </w:rPr>
        <w:t xml:space="preserve"> </w:t>
      </w:r>
      <w:hyperlink r:id="rId31" w:history="1">
        <w:r w:rsidR="00665BE2" w:rsidRPr="00C2222D">
          <w:rPr>
            <w:rStyle w:val="Hipervnculo"/>
            <w:rFonts w:ascii="Arial" w:hAnsi="Arial" w:cs="Arial"/>
            <w:color w:val="auto"/>
            <w:sz w:val="24"/>
            <w:szCs w:val="24"/>
            <w:u w:val="none"/>
            <w:lang w:val="es-ES"/>
          </w:rPr>
          <w:t>María</w:t>
        </w:r>
        <w:r w:rsidRPr="00C2222D">
          <w:rPr>
            <w:rStyle w:val="Hipervnculo"/>
            <w:rFonts w:ascii="Arial" w:hAnsi="Arial" w:cs="Arial"/>
            <w:color w:val="auto"/>
            <w:sz w:val="24"/>
            <w:szCs w:val="24"/>
            <w:u w:val="none"/>
            <w:lang w:val="es-ES"/>
          </w:rPr>
          <w:t xml:space="preserve"> Cristina Soto De Gómez</w:t>
        </w:r>
      </w:hyperlink>
      <w:r w:rsidRPr="00C2222D">
        <w:rPr>
          <w:rFonts w:ascii="Arial" w:hAnsi="Arial" w:cs="Arial"/>
          <w:sz w:val="24"/>
          <w:szCs w:val="24"/>
          <w:lang w:val="es-ES"/>
        </w:rPr>
        <w:t>, H.S.</w:t>
      </w:r>
      <w:r w:rsidR="00665BE2" w:rsidRPr="00C2222D">
        <w:rPr>
          <w:rFonts w:ascii="Arial" w:hAnsi="Arial" w:cs="Arial"/>
          <w:sz w:val="24"/>
          <w:szCs w:val="24"/>
          <w:lang w:val="es-ES"/>
        </w:rPr>
        <w:t xml:space="preserve"> </w:t>
      </w:r>
      <w:r w:rsidR="00C2222D">
        <w:rPr>
          <w:rFonts w:ascii="Arial" w:hAnsi="Arial" w:cs="Arial"/>
          <w:sz w:val="24"/>
          <w:szCs w:val="24"/>
          <w:lang w:val="es-ES"/>
        </w:rPr>
        <w:t>Nadia Georgete Blel Scaff</w:t>
      </w:r>
      <w:r w:rsidRPr="00C2222D">
        <w:rPr>
          <w:rFonts w:ascii="Arial" w:hAnsi="Arial" w:cs="Arial"/>
          <w:sz w:val="24"/>
          <w:szCs w:val="24"/>
          <w:lang w:val="es-ES"/>
        </w:rPr>
        <w:t>, H.</w:t>
      </w:r>
      <w:r w:rsidR="00665BE2" w:rsidRPr="00C2222D">
        <w:rPr>
          <w:rFonts w:ascii="Arial" w:hAnsi="Arial" w:cs="Arial"/>
          <w:sz w:val="24"/>
          <w:szCs w:val="24"/>
          <w:lang w:val="es-ES"/>
        </w:rPr>
        <w:t>S. Miguel Ángel Barreto Castillo</w:t>
      </w:r>
      <w:r w:rsidRPr="00C2222D">
        <w:rPr>
          <w:rFonts w:ascii="Arial" w:hAnsi="Arial" w:cs="Arial"/>
          <w:sz w:val="24"/>
          <w:szCs w:val="24"/>
          <w:lang w:val="es-ES"/>
        </w:rPr>
        <w:t>, H.S.</w:t>
      </w:r>
      <w:r w:rsidR="00665BE2" w:rsidRPr="00C2222D">
        <w:rPr>
          <w:rFonts w:ascii="Arial" w:hAnsi="Arial" w:cs="Arial"/>
          <w:sz w:val="24"/>
          <w:szCs w:val="24"/>
          <w:lang w:val="es-ES"/>
        </w:rPr>
        <w:t xml:space="preserve"> </w:t>
      </w:r>
      <w:r w:rsidRPr="00C2222D">
        <w:rPr>
          <w:rFonts w:ascii="Arial" w:hAnsi="Arial" w:cs="Arial"/>
          <w:sz w:val="24"/>
          <w:szCs w:val="24"/>
          <w:lang w:val="es-ES"/>
        </w:rPr>
        <w:t xml:space="preserve">Carlos </w:t>
      </w:r>
      <w:r w:rsidR="00665BE2" w:rsidRPr="00C2222D">
        <w:rPr>
          <w:rFonts w:ascii="Arial" w:hAnsi="Arial" w:cs="Arial"/>
          <w:sz w:val="24"/>
          <w:szCs w:val="24"/>
          <w:lang w:val="es-ES"/>
        </w:rPr>
        <w:t>Andrés</w:t>
      </w:r>
      <w:r w:rsidRPr="00C2222D">
        <w:rPr>
          <w:rFonts w:ascii="Arial" w:hAnsi="Arial" w:cs="Arial"/>
          <w:sz w:val="24"/>
          <w:szCs w:val="24"/>
          <w:lang w:val="es-ES"/>
        </w:rPr>
        <w:t xml:space="preserve"> </w:t>
      </w:r>
      <w:r w:rsidR="00665BE2" w:rsidRPr="00C2222D">
        <w:rPr>
          <w:rFonts w:ascii="Arial" w:hAnsi="Arial" w:cs="Arial"/>
          <w:sz w:val="24"/>
          <w:szCs w:val="24"/>
          <w:lang w:val="es-ES"/>
        </w:rPr>
        <w:t>Trujillo</w:t>
      </w:r>
      <w:r w:rsidRPr="00C2222D">
        <w:rPr>
          <w:rFonts w:ascii="Arial" w:hAnsi="Arial" w:cs="Arial"/>
          <w:sz w:val="24"/>
          <w:szCs w:val="24"/>
          <w:lang w:val="es-ES"/>
        </w:rPr>
        <w:t xml:space="preserve"> </w:t>
      </w:r>
      <w:r w:rsidR="00665BE2" w:rsidRPr="00C2222D">
        <w:rPr>
          <w:rFonts w:ascii="Arial" w:hAnsi="Arial" w:cs="Arial"/>
          <w:sz w:val="24"/>
          <w:szCs w:val="24"/>
          <w:lang w:val="es-ES"/>
        </w:rPr>
        <w:t>González</w:t>
      </w:r>
      <w:r w:rsidRPr="00C2222D">
        <w:rPr>
          <w:rFonts w:ascii="Arial" w:hAnsi="Arial" w:cs="Arial"/>
          <w:sz w:val="24"/>
          <w:szCs w:val="24"/>
          <w:lang w:val="es-ES"/>
        </w:rPr>
        <w:t>.</w:t>
      </w:r>
    </w:p>
    <w:p w14:paraId="10A043B8" w14:textId="31EABEB8" w:rsidR="0040294F" w:rsidRPr="00C2222D" w:rsidRDefault="00F459F0" w:rsidP="0040294F">
      <w:pPr>
        <w:adjustRightInd w:val="0"/>
        <w:spacing w:before="45" w:after="45"/>
        <w:jc w:val="both"/>
        <w:textAlignment w:val="center"/>
        <w:rPr>
          <w:rFonts w:ascii="Arial" w:eastAsia="Calibri" w:hAnsi="Arial" w:cs="Arial"/>
          <w:color w:val="000000"/>
          <w:sz w:val="24"/>
          <w:szCs w:val="24"/>
          <w:lang w:val="es-ES_tradnl"/>
        </w:rPr>
      </w:pPr>
      <w:r w:rsidRPr="00C2222D">
        <w:rPr>
          <w:rFonts w:ascii="Arial" w:hAnsi="Arial" w:cs="Arial"/>
          <w:sz w:val="24"/>
          <w:szCs w:val="24"/>
          <w:lang w:val="es-ES"/>
        </w:rPr>
        <w:lastRenderedPageBreak/>
        <w:t xml:space="preserve">Los proyectos </w:t>
      </w:r>
      <w:r w:rsidR="0040294F" w:rsidRPr="00C2222D">
        <w:rPr>
          <w:rFonts w:ascii="Arial" w:eastAsia="Calibri" w:hAnsi="Arial" w:cs="Arial"/>
          <w:color w:val="000000"/>
          <w:sz w:val="24"/>
          <w:szCs w:val="24"/>
          <w:lang w:val="es-ES_tradnl"/>
        </w:rPr>
        <w:t>objeto de estudio fue</w:t>
      </w:r>
      <w:r w:rsidRPr="00C2222D">
        <w:rPr>
          <w:rFonts w:ascii="Arial" w:eastAsia="Calibri" w:hAnsi="Arial" w:cs="Arial"/>
          <w:color w:val="000000"/>
          <w:sz w:val="24"/>
          <w:szCs w:val="24"/>
          <w:lang w:val="es-ES_tradnl"/>
        </w:rPr>
        <w:t>ron</w:t>
      </w:r>
      <w:r w:rsidR="0040294F" w:rsidRPr="00C2222D">
        <w:rPr>
          <w:rFonts w:ascii="Arial" w:eastAsia="Calibri" w:hAnsi="Arial" w:cs="Arial"/>
          <w:color w:val="000000"/>
          <w:sz w:val="24"/>
          <w:szCs w:val="24"/>
          <w:lang w:val="es-ES_tradnl"/>
        </w:rPr>
        <w:t xml:space="preserve"> radicado</w:t>
      </w:r>
      <w:r w:rsidR="00C420F2" w:rsidRPr="00C2222D">
        <w:rPr>
          <w:rFonts w:ascii="Arial" w:eastAsia="Calibri" w:hAnsi="Arial" w:cs="Arial"/>
          <w:color w:val="000000"/>
          <w:sz w:val="24"/>
          <w:szCs w:val="24"/>
          <w:lang w:val="es-ES_tradnl"/>
        </w:rPr>
        <w:t>s el 5 de septiembre de 2018 y 22</w:t>
      </w:r>
      <w:r w:rsidR="00FE485C" w:rsidRPr="00C2222D">
        <w:rPr>
          <w:rFonts w:ascii="Arial" w:eastAsia="Calibri" w:hAnsi="Arial" w:cs="Arial"/>
          <w:color w:val="000000"/>
          <w:sz w:val="24"/>
          <w:szCs w:val="24"/>
          <w:lang w:val="es-ES_tradnl"/>
        </w:rPr>
        <w:t xml:space="preserve"> de agosto de 2018</w:t>
      </w:r>
      <w:r w:rsidR="009A5F05" w:rsidRPr="00C2222D">
        <w:rPr>
          <w:rFonts w:ascii="Arial" w:eastAsia="Calibri" w:hAnsi="Arial" w:cs="Arial"/>
          <w:color w:val="000000"/>
          <w:sz w:val="24"/>
          <w:szCs w:val="24"/>
          <w:lang w:val="es-ES_tradnl"/>
        </w:rPr>
        <w:t xml:space="preserve"> respectivamente</w:t>
      </w:r>
      <w:r w:rsidR="0040294F" w:rsidRPr="00C2222D">
        <w:rPr>
          <w:rFonts w:ascii="Arial" w:eastAsia="Calibri" w:hAnsi="Arial" w:cs="Arial"/>
          <w:color w:val="000000"/>
          <w:sz w:val="24"/>
          <w:szCs w:val="24"/>
          <w:lang w:val="es-ES_tradnl"/>
        </w:rPr>
        <w:t xml:space="preserve"> ante la Secretaría General de la Cámara de Representantes y publicado</w:t>
      </w:r>
      <w:r w:rsidR="009A5F05" w:rsidRPr="00C2222D">
        <w:rPr>
          <w:rFonts w:ascii="Arial" w:eastAsia="Calibri" w:hAnsi="Arial" w:cs="Arial"/>
          <w:color w:val="000000"/>
          <w:sz w:val="24"/>
          <w:szCs w:val="24"/>
          <w:lang w:val="es-ES_tradnl"/>
        </w:rPr>
        <w:t>s</w:t>
      </w:r>
      <w:r w:rsidR="0040294F" w:rsidRPr="00C2222D">
        <w:rPr>
          <w:rFonts w:ascii="Arial" w:eastAsia="Calibri" w:hAnsi="Arial" w:cs="Arial"/>
          <w:color w:val="000000"/>
          <w:sz w:val="24"/>
          <w:szCs w:val="24"/>
          <w:lang w:val="es-ES_tradnl"/>
        </w:rPr>
        <w:t xml:space="preserve"> en la</w:t>
      </w:r>
      <w:r w:rsidR="009A5F05" w:rsidRPr="00C2222D">
        <w:rPr>
          <w:rFonts w:ascii="Arial" w:eastAsia="Calibri" w:hAnsi="Arial" w:cs="Arial"/>
          <w:color w:val="000000"/>
          <w:sz w:val="24"/>
          <w:szCs w:val="24"/>
          <w:lang w:val="es-ES_tradnl"/>
        </w:rPr>
        <w:t>s</w:t>
      </w:r>
      <w:r w:rsidR="0040294F" w:rsidRPr="00C2222D">
        <w:rPr>
          <w:rFonts w:ascii="Arial" w:eastAsia="Calibri" w:hAnsi="Arial" w:cs="Arial"/>
          <w:color w:val="000000"/>
          <w:sz w:val="24"/>
          <w:szCs w:val="24"/>
          <w:lang w:val="es-ES_tradnl"/>
        </w:rPr>
        <w:t xml:space="preserve"> </w:t>
      </w:r>
      <w:r w:rsidR="0040294F" w:rsidRPr="00C2222D">
        <w:rPr>
          <w:rFonts w:ascii="Arial" w:eastAsia="Calibri" w:hAnsi="Arial" w:cs="Arial"/>
          <w:bCs/>
          <w:iCs/>
          <w:color w:val="000000"/>
          <w:sz w:val="24"/>
          <w:szCs w:val="24"/>
          <w:lang w:val="es-ES_tradnl"/>
        </w:rPr>
        <w:t>Gaceta</w:t>
      </w:r>
      <w:r w:rsidR="009A5F05" w:rsidRPr="00C2222D">
        <w:rPr>
          <w:rFonts w:ascii="Arial" w:eastAsia="Calibri" w:hAnsi="Arial" w:cs="Arial"/>
          <w:bCs/>
          <w:iCs/>
          <w:color w:val="000000"/>
          <w:sz w:val="24"/>
          <w:szCs w:val="24"/>
          <w:lang w:val="es-ES_tradnl"/>
        </w:rPr>
        <w:t>s</w:t>
      </w:r>
      <w:r w:rsidR="0040294F" w:rsidRPr="00C2222D">
        <w:rPr>
          <w:rFonts w:ascii="Arial" w:eastAsia="Calibri" w:hAnsi="Arial" w:cs="Arial"/>
          <w:bCs/>
          <w:iCs/>
          <w:color w:val="000000"/>
          <w:sz w:val="24"/>
          <w:szCs w:val="24"/>
          <w:lang w:val="es-ES_tradnl"/>
        </w:rPr>
        <w:t xml:space="preserve"> del Congreso</w:t>
      </w:r>
      <w:r w:rsidR="0040294F" w:rsidRPr="00C2222D">
        <w:rPr>
          <w:rFonts w:ascii="Arial" w:eastAsia="Calibri" w:hAnsi="Arial" w:cs="Arial"/>
          <w:color w:val="000000"/>
          <w:sz w:val="24"/>
          <w:szCs w:val="24"/>
          <w:lang w:val="es-ES_tradnl"/>
        </w:rPr>
        <w:t xml:space="preserve"> número </w:t>
      </w:r>
      <w:r w:rsidR="009A5F05" w:rsidRPr="00C2222D">
        <w:rPr>
          <w:rFonts w:ascii="Arial" w:eastAsia="Calibri" w:hAnsi="Arial" w:cs="Arial"/>
          <w:color w:val="000000"/>
          <w:sz w:val="24"/>
          <w:szCs w:val="24"/>
          <w:lang w:val="es-ES_tradnl"/>
        </w:rPr>
        <w:t>686 de 2018 y 675 de 2018.</w:t>
      </w:r>
    </w:p>
    <w:p w14:paraId="6F52B49F" w14:textId="77777777" w:rsidR="0040294F" w:rsidRPr="00C2222D" w:rsidRDefault="0040294F" w:rsidP="0040294F">
      <w:pPr>
        <w:adjustRightInd w:val="0"/>
        <w:spacing w:before="45" w:after="45"/>
        <w:jc w:val="both"/>
        <w:textAlignment w:val="center"/>
        <w:rPr>
          <w:rFonts w:ascii="Arial" w:eastAsia="Calibri" w:hAnsi="Arial" w:cs="Arial"/>
          <w:color w:val="000000"/>
          <w:sz w:val="24"/>
          <w:szCs w:val="24"/>
          <w:lang w:val="es-ES_tradnl"/>
        </w:rPr>
      </w:pPr>
    </w:p>
    <w:p w14:paraId="1344E367" w14:textId="77777777" w:rsidR="00C2222D" w:rsidRDefault="0040294F" w:rsidP="009A5F05">
      <w:pPr>
        <w:shd w:val="clear" w:color="auto" w:fill="FFFFFF"/>
        <w:spacing w:after="0"/>
        <w:jc w:val="both"/>
        <w:rPr>
          <w:rFonts w:ascii="Arial" w:eastAsia="Times New Roman" w:hAnsi="Arial" w:cs="Arial"/>
          <w:bCs/>
          <w:color w:val="000000" w:themeColor="text1"/>
          <w:sz w:val="24"/>
          <w:szCs w:val="24"/>
          <w:lang w:eastAsia="es-CO"/>
        </w:rPr>
      </w:pPr>
      <w:r w:rsidRPr="00C2222D">
        <w:rPr>
          <w:rFonts w:ascii="Arial" w:eastAsia="Times New Roman" w:hAnsi="Arial" w:cs="Arial"/>
          <w:color w:val="000000" w:themeColor="text1"/>
          <w:sz w:val="24"/>
          <w:szCs w:val="24"/>
          <w:lang w:val="es-ES_tradnl" w:eastAsia="es-CO"/>
        </w:rPr>
        <w:t xml:space="preserve">El </w:t>
      </w:r>
      <w:r w:rsidR="009A5F05" w:rsidRPr="00C2222D">
        <w:rPr>
          <w:rFonts w:ascii="Arial" w:eastAsia="Times New Roman" w:hAnsi="Arial" w:cs="Arial"/>
          <w:color w:val="000000" w:themeColor="text1"/>
          <w:sz w:val="24"/>
          <w:szCs w:val="24"/>
          <w:lang w:val="es-ES_tradnl" w:eastAsia="es-CO"/>
        </w:rPr>
        <w:t xml:space="preserve">14 de septiembre y 30 de agosto de 2018 fueron </w:t>
      </w:r>
      <w:r w:rsidRPr="00C2222D">
        <w:rPr>
          <w:rFonts w:ascii="Arial" w:eastAsia="Times New Roman" w:hAnsi="Arial" w:cs="Arial"/>
          <w:color w:val="000000" w:themeColor="text1"/>
          <w:sz w:val="24"/>
          <w:szCs w:val="24"/>
          <w:lang w:val="es-ES_tradnl" w:eastAsia="es-CO"/>
        </w:rPr>
        <w:t>recibido</w:t>
      </w:r>
      <w:r w:rsidR="009A5F05" w:rsidRPr="00C2222D">
        <w:rPr>
          <w:rFonts w:ascii="Arial" w:eastAsia="Times New Roman" w:hAnsi="Arial" w:cs="Arial"/>
          <w:color w:val="000000" w:themeColor="text1"/>
          <w:sz w:val="24"/>
          <w:szCs w:val="24"/>
          <w:lang w:val="es-ES_tradnl" w:eastAsia="es-CO"/>
        </w:rPr>
        <w:t>s</w:t>
      </w:r>
      <w:r w:rsidRPr="00C2222D">
        <w:rPr>
          <w:rFonts w:ascii="Arial" w:eastAsia="Times New Roman" w:hAnsi="Arial" w:cs="Arial"/>
          <w:color w:val="000000" w:themeColor="text1"/>
          <w:sz w:val="24"/>
          <w:szCs w:val="24"/>
          <w:lang w:val="es-ES_tradnl" w:eastAsia="es-CO"/>
        </w:rPr>
        <w:t xml:space="preserve"> en la Comisión Primera de la Cámara de Representantes, y por designación de la Mesa Directiva de esa Comisión le correspondió a los Representantes</w:t>
      </w:r>
      <w:r w:rsidRPr="00C2222D">
        <w:rPr>
          <w:rFonts w:ascii="Arial" w:eastAsia="Times New Roman" w:hAnsi="Arial" w:cs="Arial"/>
          <w:b/>
          <w:bCs/>
          <w:color w:val="000000" w:themeColor="text1"/>
          <w:sz w:val="24"/>
          <w:szCs w:val="24"/>
          <w:lang w:eastAsia="es-CO"/>
        </w:rPr>
        <w:t xml:space="preserve"> </w:t>
      </w:r>
      <w:r w:rsidR="00665BE2" w:rsidRPr="00C2222D">
        <w:rPr>
          <w:rFonts w:ascii="Arial" w:eastAsia="Times New Roman" w:hAnsi="Arial" w:cs="Arial"/>
          <w:bCs/>
          <w:color w:val="000000" w:themeColor="text1"/>
          <w:sz w:val="24"/>
          <w:szCs w:val="24"/>
          <w:lang w:eastAsia="es-CO"/>
        </w:rPr>
        <w:t>Jaime Rodríguez Contreras, Juan Carlos Rivera Peña, José Jaime Uscategui P., Jorge Eliecer Tamayo M, Harry Giovanny González, Julián Peinado, Juan Carlos Wills O, Juanita Goebertus, Ángela María Robledo y Luis Alberto Albán.</w:t>
      </w:r>
      <w:r w:rsidR="009A5F05" w:rsidRPr="00C2222D">
        <w:rPr>
          <w:rFonts w:ascii="Arial" w:eastAsia="Times New Roman" w:hAnsi="Arial" w:cs="Arial"/>
          <w:bCs/>
          <w:color w:val="000000" w:themeColor="text1"/>
          <w:sz w:val="24"/>
          <w:szCs w:val="24"/>
          <w:lang w:eastAsia="es-CO"/>
        </w:rPr>
        <w:tab/>
      </w:r>
    </w:p>
    <w:p w14:paraId="0E66E691" w14:textId="77777777" w:rsidR="00C2222D" w:rsidRDefault="00C2222D" w:rsidP="009A5F05">
      <w:pPr>
        <w:shd w:val="clear" w:color="auto" w:fill="FFFFFF"/>
        <w:spacing w:after="0"/>
        <w:jc w:val="both"/>
        <w:rPr>
          <w:rFonts w:ascii="Arial" w:eastAsia="Times New Roman" w:hAnsi="Arial" w:cs="Arial"/>
          <w:bCs/>
          <w:color w:val="000000" w:themeColor="text1"/>
          <w:sz w:val="24"/>
          <w:szCs w:val="24"/>
          <w:lang w:eastAsia="es-CO"/>
        </w:rPr>
      </w:pPr>
    </w:p>
    <w:p w14:paraId="382E2DD3" w14:textId="17DA426E" w:rsidR="009A5F05" w:rsidRPr="00746556" w:rsidRDefault="00C2222D" w:rsidP="00746556">
      <w:pPr>
        <w:shd w:val="clear" w:color="auto" w:fill="FFFFFF"/>
        <w:spacing w:after="0"/>
        <w:jc w:val="center"/>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AUDIENCIA PÚBLICA 27 DE SEPTIEMBRE DE 2018</w:t>
      </w:r>
      <w:r w:rsidR="009A5F05" w:rsidRPr="00C2222D">
        <w:rPr>
          <w:rFonts w:ascii="Arial" w:eastAsia="Times New Roman" w:hAnsi="Arial" w:cs="Arial"/>
          <w:bCs/>
          <w:color w:val="000000" w:themeColor="text1"/>
          <w:sz w:val="24"/>
          <w:szCs w:val="24"/>
          <w:lang w:eastAsia="es-CO"/>
        </w:rPr>
        <w:t xml:space="preserve">   </w:t>
      </w:r>
    </w:p>
    <w:p w14:paraId="3EFECA4B" w14:textId="1E0E3A1D" w:rsidR="0040294F" w:rsidRPr="00746556" w:rsidRDefault="0040294F" w:rsidP="0040294F">
      <w:pPr>
        <w:autoSpaceDE w:val="0"/>
        <w:autoSpaceDN w:val="0"/>
        <w:adjustRightInd w:val="0"/>
        <w:spacing w:after="0"/>
        <w:jc w:val="both"/>
        <w:rPr>
          <w:rFonts w:ascii="Arial" w:eastAsia="Times New Roman" w:hAnsi="Arial" w:cs="Arial"/>
          <w:color w:val="000000" w:themeColor="text1"/>
          <w:sz w:val="24"/>
          <w:szCs w:val="24"/>
          <w:lang w:val="es-ES_tradnl" w:eastAsia="es-CO"/>
        </w:rPr>
      </w:pPr>
    </w:p>
    <w:p w14:paraId="33E97614" w14:textId="483E2961" w:rsidR="00746556" w:rsidRPr="00746556" w:rsidRDefault="00746556" w:rsidP="00746556">
      <w:pPr>
        <w:jc w:val="both"/>
        <w:rPr>
          <w:rFonts w:ascii="Arial" w:hAnsi="Arial" w:cs="Arial"/>
          <w:sz w:val="24"/>
          <w:szCs w:val="24"/>
        </w:rPr>
      </w:pPr>
      <w:r w:rsidRPr="00746556">
        <w:rPr>
          <w:rFonts w:ascii="Arial" w:hAnsi="Arial" w:cs="Arial"/>
          <w:sz w:val="24"/>
          <w:szCs w:val="24"/>
        </w:rPr>
        <w:t xml:space="preserve">El día 27 de septiembre de 2018, de acuerdo a la Resolución 006 del 24 de septiembre de 2018, tuvo </w:t>
      </w:r>
      <w:r>
        <w:rPr>
          <w:rFonts w:ascii="Arial" w:hAnsi="Arial" w:cs="Arial"/>
          <w:sz w:val="24"/>
          <w:szCs w:val="24"/>
        </w:rPr>
        <w:t>lugar la</w:t>
      </w:r>
      <w:r w:rsidRPr="00746556">
        <w:rPr>
          <w:rFonts w:ascii="Arial" w:hAnsi="Arial" w:cs="Arial"/>
          <w:sz w:val="24"/>
          <w:szCs w:val="24"/>
        </w:rPr>
        <w:t xml:space="preserve"> audiencia púb</w:t>
      </w:r>
      <w:r>
        <w:rPr>
          <w:rFonts w:ascii="Arial" w:hAnsi="Arial" w:cs="Arial"/>
          <w:sz w:val="24"/>
          <w:szCs w:val="24"/>
        </w:rPr>
        <w:t>lica convocada por la Comisión P</w:t>
      </w:r>
      <w:r w:rsidRPr="00746556">
        <w:rPr>
          <w:rFonts w:ascii="Arial" w:hAnsi="Arial" w:cs="Arial"/>
          <w:sz w:val="24"/>
          <w:szCs w:val="24"/>
        </w:rPr>
        <w:t>rimera de la Cámara de Representantes sobre el Proyecto de Acto Legislativo No. 105 de 2018 cámara “Por el cual se unifican las elecciones nacionales y locales y se amplía el periodo de mandato”, acumulado con el Proyecto de Acto Legislativo No. 140 de 2018 cámara “Por el cual se reforma el artículo 261 y se dictan otras disposiciones.”</w:t>
      </w:r>
    </w:p>
    <w:p w14:paraId="6E38A93C" w14:textId="493145DC" w:rsidR="00746556" w:rsidRPr="00746556" w:rsidRDefault="00746556" w:rsidP="00746556">
      <w:pPr>
        <w:jc w:val="both"/>
        <w:rPr>
          <w:rFonts w:ascii="Arial" w:hAnsi="Arial" w:cs="Arial"/>
          <w:sz w:val="24"/>
          <w:szCs w:val="24"/>
        </w:rPr>
      </w:pPr>
      <w:r>
        <w:rPr>
          <w:rFonts w:ascii="Arial" w:hAnsi="Arial" w:cs="Arial"/>
          <w:sz w:val="24"/>
          <w:szCs w:val="24"/>
        </w:rPr>
        <w:t>Intervino</w:t>
      </w:r>
      <w:r w:rsidRPr="00746556">
        <w:rPr>
          <w:rFonts w:ascii="Arial" w:hAnsi="Arial" w:cs="Arial"/>
          <w:sz w:val="24"/>
          <w:szCs w:val="24"/>
        </w:rPr>
        <w:t xml:space="preserve"> la doctora Luz María Zapata, directora ejecutiva de la Asociación de Ciudades Capitales, quien afirmó que es indispensable reformar el artículo 261 de la Constitución Política, con el fin de establecer la coincidencia de periodos de la autoridades de elección popular del orden territorial con el del Presidente de la República, ya que la unificación propende por el logro de objetivos como: la protección de la estabilidad fiscal, la eficiencia administrativa y la articulación de la planeación a nivel territorial y nacional. Finalizo su intervención expresando su apoyo irrestricto a las iniciativas legislativas.</w:t>
      </w:r>
    </w:p>
    <w:p w14:paraId="0EC14F4C" w14:textId="4C4B75D3" w:rsidR="00746556" w:rsidRPr="00746556" w:rsidRDefault="00746556" w:rsidP="00746556">
      <w:pPr>
        <w:jc w:val="both"/>
        <w:rPr>
          <w:rFonts w:ascii="Arial" w:hAnsi="Arial" w:cs="Arial"/>
          <w:sz w:val="24"/>
          <w:szCs w:val="24"/>
        </w:rPr>
      </w:pPr>
      <w:r>
        <w:rPr>
          <w:rFonts w:ascii="Arial" w:hAnsi="Arial" w:cs="Arial"/>
          <w:sz w:val="24"/>
          <w:szCs w:val="24"/>
        </w:rPr>
        <w:t>En los mismos términos, i</w:t>
      </w:r>
      <w:r w:rsidRPr="00746556">
        <w:rPr>
          <w:rFonts w:ascii="Arial" w:hAnsi="Arial" w:cs="Arial"/>
          <w:sz w:val="24"/>
          <w:szCs w:val="24"/>
        </w:rPr>
        <w:t>nterviene el</w:t>
      </w:r>
      <w:r>
        <w:rPr>
          <w:rFonts w:ascii="Arial" w:hAnsi="Arial" w:cs="Arial"/>
          <w:sz w:val="24"/>
          <w:szCs w:val="24"/>
        </w:rPr>
        <w:t xml:space="preserve"> doctor Marcelo Mejía Giraldo, D</w:t>
      </w:r>
      <w:r w:rsidRPr="00746556">
        <w:rPr>
          <w:rFonts w:ascii="Arial" w:hAnsi="Arial" w:cs="Arial"/>
          <w:sz w:val="24"/>
          <w:szCs w:val="24"/>
        </w:rPr>
        <w:t>irector suplente de la Federación Nacional de Departamentos, afirmando que la Federación considera que el debate es oportuno y necesario por lo que apoyará la coincidencia del periodo electoral, teniendo en cuenta consideraciones como:</w:t>
      </w:r>
    </w:p>
    <w:p w14:paraId="290BCAB0" w14:textId="77777777"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Aumentaría el nivel de participación ciudadana.</w:t>
      </w:r>
    </w:p>
    <w:p w14:paraId="446B7EA1" w14:textId="452F596E"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Disminuirían los costos fiscales del proceso democrático, concentrando en un año todas las elecciones.</w:t>
      </w:r>
    </w:p>
    <w:p w14:paraId="6AE5C545" w14:textId="77777777"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lastRenderedPageBreak/>
        <w:t xml:space="preserve">La ejecución de inversiones sociales se ve interrumpida por 344 días debido al cumplimiento de la ley de garantías, situación que obstaculiza la gestión pública territorial </w:t>
      </w:r>
    </w:p>
    <w:p w14:paraId="0BCDDFA8" w14:textId="77777777"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Mayores garantías y transparencia en el proceso electoral.</w:t>
      </w:r>
    </w:p>
    <w:p w14:paraId="7409DF9C" w14:textId="77777777"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 xml:space="preserve">Fortalece a los partidos políticos </w:t>
      </w:r>
    </w:p>
    <w:p w14:paraId="39D44AA0" w14:textId="7FBE6BEA"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Mejora la articulación y coordinación de la planeación económica entre las entidades territoriales y el gobierno nacional</w:t>
      </w:r>
    </w:p>
    <w:p w14:paraId="203FA5C8" w14:textId="77777777" w:rsidR="00746556" w:rsidRPr="00746556" w:rsidRDefault="00746556" w:rsidP="00746556">
      <w:pPr>
        <w:pStyle w:val="Prrafodelista"/>
        <w:numPr>
          <w:ilvl w:val="0"/>
          <w:numId w:val="30"/>
        </w:numPr>
        <w:spacing w:after="160"/>
        <w:jc w:val="both"/>
        <w:rPr>
          <w:rFonts w:ascii="Arial" w:hAnsi="Arial" w:cs="Arial"/>
          <w:sz w:val="24"/>
          <w:szCs w:val="24"/>
        </w:rPr>
      </w:pPr>
      <w:r w:rsidRPr="00746556">
        <w:rPr>
          <w:rFonts w:ascii="Arial" w:hAnsi="Arial" w:cs="Arial"/>
          <w:sz w:val="24"/>
          <w:szCs w:val="24"/>
        </w:rPr>
        <w:t>Favorece el diseño y ejecución de las políticas públicas.</w:t>
      </w:r>
    </w:p>
    <w:p w14:paraId="3C116E6D" w14:textId="155614C7" w:rsidR="00746556" w:rsidRPr="00746556" w:rsidRDefault="00746556" w:rsidP="00746556">
      <w:pPr>
        <w:jc w:val="both"/>
        <w:rPr>
          <w:rFonts w:ascii="Arial" w:hAnsi="Arial" w:cs="Arial"/>
          <w:sz w:val="24"/>
          <w:szCs w:val="24"/>
        </w:rPr>
      </w:pPr>
      <w:r w:rsidRPr="00746556">
        <w:rPr>
          <w:rFonts w:ascii="Arial" w:hAnsi="Arial" w:cs="Arial"/>
          <w:sz w:val="24"/>
          <w:szCs w:val="24"/>
        </w:rPr>
        <w:t>Finaliza su intervención reiterando el apoyo a las iniciativas, ya que sin duda estas descentralizan y modernizan el Estado, apodera a los mandatarios locales y garantiza la gobernabilidad.</w:t>
      </w:r>
    </w:p>
    <w:p w14:paraId="613886A5" w14:textId="662C1418" w:rsidR="00746556" w:rsidRPr="00746556" w:rsidRDefault="00746556" w:rsidP="00746556">
      <w:pPr>
        <w:jc w:val="both"/>
        <w:rPr>
          <w:rFonts w:ascii="Arial" w:hAnsi="Arial" w:cs="Arial"/>
          <w:sz w:val="24"/>
          <w:szCs w:val="24"/>
        </w:rPr>
      </w:pPr>
      <w:r>
        <w:rPr>
          <w:rFonts w:ascii="Arial" w:hAnsi="Arial" w:cs="Arial"/>
          <w:sz w:val="24"/>
          <w:szCs w:val="24"/>
        </w:rPr>
        <w:t>Interviene el D</w:t>
      </w:r>
      <w:r w:rsidRPr="00746556">
        <w:rPr>
          <w:rFonts w:ascii="Arial" w:hAnsi="Arial" w:cs="Arial"/>
          <w:sz w:val="24"/>
          <w:szCs w:val="24"/>
        </w:rPr>
        <w:t xml:space="preserve">octor Luis Gilberto Toro, director ejecutivo de la Federación Nacional de </w:t>
      </w:r>
      <w:r>
        <w:rPr>
          <w:rFonts w:ascii="Arial" w:hAnsi="Arial" w:cs="Arial"/>
          <w:sz w:val="24"/>
          <w:szCs w:val="24"/>
        </w:rPr>
        <w:t xml:space="preserve">Municipios, afirma que el país </w:t>
      </w:r>
      <w:r w:rsidRPr="00746556">
        <w:rPr>
          <w:rFonts w:ascii="Arial" w:hAnsi="Arial" w:cs="Arial"/>
          <w:sz w:val="24"/>
          <w:szCs w:val="24"/>
        </w:rPr>
        <w:t>está pidiendo grandes transformaciones. Así mismo argumenta que un período de 4 años hace imposible ejecutar los planes de gobierno de los mandatarios locales, por esta razón se necesitan periodos de gobierno más serios y responsables, para esto es necesario establecer periodos de 5 años para todos los servid</w:t>
      </w:r>
      <w:r>
        <w:rPr>
          <w:rFonts w:ascii="Arial" w:hAnsi="Arial" w:cs="Arial"/>
          <w:sz w:val="24"/>
          <w:szCs w:val="24"/>
        </w:rPr>
        <w:t>ores públicos, igualmente plateó</w:t>
      </w:r>
      <w:r w:rsidRPr="00746556">
        <w:rPr>
          <w:rFonts w:ascii="Arial" w:hAnsi="Arial" w:cs="Arial"/>
          <w:sz w:val="24"/>
          <w:szCs w:val="24"/>
        </w:rPr>
        <w:t xml:space="preserve"> la posibilidad de reelección por una vez y coyunturalmente. Por otro lado, afirmó que la ley de garantí</w:t>
      </w:r>
      <w:r>
        <w:rPr>
          <w:rFonts w:ascii="Arial" w:hAnsi="Arial" w:cs="Arial"/>
          <w:sz w:val="24"/>
          <w:szCs w:val="24"/>
        </w:rPr>
        <w:t>as es una figura absurda. Cerró</w:t>
      </w:r>
      <w:r w:rsidRPr="00746556">
        <w:rPr>
          <w:rFonts w:ascii="Arial" w:hAnsi="Arial" w:cs="Arial"/>
          <w:sz w:val="24"/>
          <w:szCs w:val="24"/>
        </w:rPr>
        <w:t xml:space="preserve"> su intervención afirmando que el país necesita reformas estructurales que propicien la gobernabilidad.</w:t>
      </w:r>
    </w:p>
    <w:p w14:paraId="50925AE1" w14:textId="41456129" w:rsidR="00746556" w:rsidRPr="00746556" w:rsidRDefault="00746556" w:rsidP="00746556">
      <w:pPr>
        <w:jc w:val="both"/>
        <w:rPr>
          <w:rFonts w:ascii="Arial" w:hAnsi="Arial" w:cs="Arial"/>
          <w:sz w:val="24"/>
          <w:szCs w:val="24"/>
        </w:rPr>
      </w:pPr>
      <w:r>
        <w:rPr>
          <w:rFonts w:ascii="Arial" w:hAnsi="Arial" w:cs="Arial"/>
          <w:sz w:val="24"/>
          <w:szCs w:val="24"/>
        </w:rPr>
        <w:t>Interviene el D</w:t>
      </w:r>
      <w:r w:rsidRPr="00746556">
        <w:rPr>
          <w:rFonts w:ascii="Arial" w:hAnsi="Arial" w:cs="Arial"/>
          <w:sz w:val="24"/>
          <w:szCs w:val="24"/>
        </w:rPr>
        <w:t>octor Everaldo La</w:t>
      </w:r>
      <w:r>
        <w:rPr>
          <w:rFonts w:ascii="Arial" w:hAnsi="Arial" w:cs="Arial"/>
          <w:sz w:val="24"/>
          <w:szCs w:val="24"/>
        </w:rPr>
        <w:t>mprea, profesor asociado de la Faculta de Derecho de la U</w:t>
      </w:r>
      <w:r w:rsidRPr="00746556">
        <w:rPr>
          <w:rFonts w:ascii="Arial" w:hAnsi="Arial" w:cs="Arial"/>
          <w:sz w:val="24"/>
          <w:szCs w:val="24"/>
        </w:rPr>
        <w:t>niversidad de los Andes, quien manifiesta que es evidente que en Colombia los costos de los procesos electorales dispersos son desproporcionados y afectan de manera directa la sostenibilidad fiscal. Por ejemplo, la primera vuelta de las elecciones presidenciales de 2014 costó 112.000 millones de pesos, y la segunda vuelta de las elecciones 86.700 millones de pesos. En total, el costo de las elecciones presidenciales de 2014 ascendió a 198.700 millones de pesos. Para las elecciones territoriales de octubre 2015, el Registrador General del momento estimó que elegir gobernadores, alcaldes, diputados, concejales y ediles le costó al erario 520.000 millones de pesos, de los cuales el gasto más significativo se invirtió en el equipo electoral.</w:t>
      </w:r>
    </w:p>
    <w:p w14:paraId="5D976C47" w14:textId="690B08B9" w:rsidR="00746556" w:rsidRPr="00746556" w:rsidRDefault="00746556" w:rsidP="00746556">
      <w:pPr>
        <w:jc w:val="both"/>
        <w:rPr>
          <w:rFonts w:ascii="Arial" w:hAnsi="Arial" w:cs="Arial"/>
          <w:sz w:val="24"/>
          <w:szCs w:val="24"/>
        </w:rPr>
      </w:pPr>
      <w:r w:rsidRPr="00746556">
        <w:rPr>
          <w:rFonts w:ascii="Arial" w:hAnsi="Arial" w:cs="Arial"/>
          <w:sz w:val="24"/>
          <w:szCs w:val="24"/>
        </w:rPr>
        <w:t>Termina su intervención afirmando que las iniciativas legislativas actualmente en trámite en el Congreso, son indispensables para sanear y fortalecer las finanzas públicas, proteger la estabilidad fiscal y robustecer la participación ciudadana en las contiendas democráticas.</w:t>
      </w:r>
    </w:p>
    <w:p w14:paraId="1521B870" w14:textId="4EF28580" w:rsidR="00746556" w:rsidRPr="00746556" w:rsidRDefault="00746556" w:rsidP="00746556">
      <w:pPr>
        <w:jc w:val="both"/>
        <w:rPr>
          <w:rFonts w:ascii="Arial" w:hAnsi="Arial" w:cs="Arial"/>
          <w:sz w:val="24"/>
          <w:szCs w:val="24"/>
          <w:lang w:val="es-ES"/>
        </w:rPr>
      </w:pPr>
      <w:r w:rsidRPr="00746556">
        <w:rPr>
          <w:rFonts w:ascii="Arial" w:hAnsi="Arial" w:cs="Arial"/>
          <w:sz w:val="24"/>
          <w:szCs w:val="24"/>
        </w:rPr>
        <w:t>Interv</w:t>
      </w:r>
      <w:r>
        <w:rPr>
          <w:rFonts w:ascii="Arial" w:hAnsi="Arial" w:cs="Arial"/>
          <w:sz w:val="24"/>
          <w:szCs w:val="24"/>
        </w:rPr>
        <w:t>iene el D</w:t>
      </w:r>
      <w:r w:rsidRPr="00746556">
        <w:rPr>
          <w:rFonts w:ascii="Arial" w:hAnsi="Arial" w:cs="Arial"/>
          <w:sz w:val="24"/>
          <w:szCs w:val="24"/>
        </w:rPr>
        <w:t xml:space="preserve">octor Juan Carlos Gómez, delegado de la contraloría quien afirmó que </w:t>
      </w:r>
      <w:r w:rsidRPr="00746556">
        <w:rPr>
          <w:rFonts w:ascii="Arial" w:hAnsi="Arial" w:cs="Arial"/>
          <w:sz w:val="24"/>
          <w:szCs w:val="24"/>
          <w:lang w:val="es-ES"/>
        </w:rPr>
        <w:t xml:space="preserve"> basándose en las cifras disponibles y simulando los efectos del Acto Legislativo </w:t>
      </w:r>
      <w:r w:rsidRPr="00746556">
        <w:rPr>
          <w:rFonts w:ascii="Arial" w:hAnsi="Arial" w:cs="Arial"/>
          <w:sz w:val="24"/>
          <w:szCs w:val="24"/>
          <w:lang w:val="es-ES"/>
        </w:rPr>
        <w:lastRenderedPageBreak/>
        <w:t xml:space="preserve">sobre las elecciones pasadas, el ahorro alcanzaría $409.694 millones por costos fijos ahorrables en gastos de personal ($276.676 millones) y en gastos generales por ($133.018 millones). </w:t>
      </w:r>
      <w:r w:rsidRPr="00746556">
        <w:rPr>
          <w:rFonts w:ascii="Arial" w:hAnsi="Arial" w:cs="Arial"/>
          <w:sz w:val="24"/>
          <w:szCs w:val="24"/>
        </w:rPr>
        <w:t xml:space="preserve">Lo cual representaría un </w:t>
      </w:r>
      <w:r w:rsidRPr="00746556">
        <w:rPr>
          <w:rFonts w:ascii="Arial" w:hAnsi="Arial" w:cs="Arial"/>
          <w:sz w:val="24"/>
          <w:szCs w:val="24"/>
          <w:lang w:val="es-ES"/>
        </w:rPr>
        <w:t xml:space="preserve">32,5% del total programado para elecciones en el año fiscal 2018. </w:t>
      </w:r>
    </w:p>
    <w:p w14:paraId="49AD4F98" w14:textId="77777777" w:rsidR="00746556" w:rsidRPr="00746556" w:rsidRDefault="00746556" w:rsidP="00746556">
      <w:pPr>
        <w:jc w:val="both"/>
        <w:rPr>
          <w:rFonts w:ascii="Arial" w:hAnsi="Arial" w:cs="Arial"/>
          <w:sz w:val="24"/>
          <w:szCs w:val="24"/>
          <w:lang w:val="es-ES"/>
        </w:rPr>
      </w:pPr>
      <w:r w:rsidRPr="00746556">
        <w:rPr>
          <w:rFonts w:ascii="Arial" w:hAnsi="Arial" w:cs="Arial"/>
          <w:sz w:val="24"/>
          <w:szCs w:val="24"/>
          <w:lang w:val="es-ES"/>
        </w:rPr>
        <w:t>Interviene el Doctor Jaime Hernández, registrador delegado, quien manifestó su preocupación por el problema que representaría en temas logísticos la unificación de las elecciones. Si bien manifestó que existen ventajas frente a la reducción de los días que se otorgan en beneficio a jurados y electores, así como el ahorro presupuestal. La registraduría no está en capacidad de asumir el reto en temas logísticos que representaría las elecciones en una misma jornada.</w:t>
      </w:r>
    </w:p>
    <w:p w14:paraId="21FC80E7" w14:textId="2154B4D4" w:rsidR="00870310" w:rsidRPr="00746556" w:rsidRDefault="00746556" w:rsidP="00746556">
      <w:pPr>
        <w:jc w:val="both"/>
        <w:rPr>
          <w:rFonts w:ascii="Arial" w:hAnsi="Arial" w:cs="Arial"/>
          <w:sz w:val="24"/>
          <w:szCs w:val="24"/>
        </w:rPr>
      </w:pPr>
      <w:r w:rsidRPr="00746556">
        <w:rPr>
          <w:rFonts w:ascii="Arial" w:hAnsi="Arial" w:cs="Arial"/>
          <w:sz w:val="24"/>
          <w:szCs w:val="24"/>
          <w:lang w:val="es-ES"/>
        </w:rPr>
        <w:t>Interviene el Profesor Pedro Pablo Vanegas, acompaña las iniciativas argumentando que son benéficas para el tema del fisco y la autonomía regional, así como se hace necesario extender los periodos de los actuales mandatarios en beneficio de la gestión administrativa ya que hacer elecciones para un periodo de dos años es oneroso y no contribuye a la gestión pública territorial.</w:t>
      </w:r>
    </w:p>
    <w:p w14:paraId="4FA36A06" w14:textId="77777777"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r w:rsidRPr="00C2222D">
        <w:rPr>
          <w:rFonts w:ascii="Arial" w:eastAsia="Times New Roman" w:hAnsi="Arial" w:cs="Arial"/>
          <w:b/>
          <w:color w:val="000000" w:themeColor="text1"/>
          <w:sz w:val="24"/>
          <w:szCs w:val="24"/>
          <w:lang w:val="es-ES_tradnl" w:eastAsia="es-CO"/>
        </w:rPr>
        <w:t>II. OBJETIVO DE LA PROPUESTA.</w:t>
      </w:r>
    </w:p>
    <w:p w14:paraId="77C11609" w14:textId="77777777" w:rsidR="009A5F05" w:rsidRPr="00C2222D" w:rsidRDefault="009A5F05" w:rsidP="009A5F05">
      <w:pPr>
        <w:spacing w:after="0" w:line="240" w:lineRule="auto"/>
        <w:jc w:val="both"/>
        <w:rPr>
          <w:rFonts w:ascii="Arial" w:eastAsia="Times New Roman" w:hAnsi="Arial" w:cs="Arial"/>
          <w:sz w:val="24"/>
          <w:szCs w:val="24"/>
          <w:lang w:eastAsia="es-CO"/>
        </w:rPr>
      </w:pPr>
    </w:p>
    <w:p w14:paraId="565B4E03" w14:textId="6E0A1210" w:rsidR="009A5F05" w:rsidRPr="00C2222D" w:rsidRDefault="009A5F05" w:rsidP="009A5F05">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Mediante el presente proyecto de acto legislativo se pretende modificar la Constitución para establecer los períodos</w:t>
      </w:r>
      <w:r w:rsidR="006F4C00" w:rsidRPr="00C2222D">
        <w:rPr>
          <w:rFonts w:ascii="Arial" w:eastAsia="Times New Roman" w:hAnsi="Arial" w:cs="Arial"/>
          <w:sz w:val="24"/>
          <w:szCs w:val="24"/>
          <w:lang w:eastAsia="es-CO"/>
        </w:rPr>
        <w:t xml:space="preserve"> de elección</w:t>
      </w:r>
      <w:r w:rsidRPr="00C2222D">
        <w:rPr>
          <w:rFonts w:ascii="Arial" w:eastAsia="Times New Roman" w:hAnsi="Arial" w:cs="Arial"/>
          <w:sz w:val="24"/>
          <w:szCs w:val="24"/>
          <w:lang w:eastAsia="es-CO"/>
        </w:rPr>
        <w:t xml:space="preserve"> de las autoridades de elección popular del orden territorial </w:t>
      </w:r>
      <w:r w:rsidR="003B2FE2">
        <w:rPr>
          <w:rFonts w:ascii="Arial" w:eastAsia="Times New Roman" w:hAnsi="Arial" w:cs="Arial"/>
          <w:sz w:val="24"/>
          <w:szCs w:val="24"/>
          <w:lang w:eastAsia="es-CO"/>
        </w:rPr>
        <w:t xml:space="preserve">y </w:t>
      </w:r>
      <w:r w:rsidRPr="00C2222D">
        <w:rPr>
          <w:rFonts w:ascii="Arial" w:eastAsia="Times New Roman" w:hAnsi="Arial" w:cs="Arial"/>
          <w:sz w:val="24"/>
          <w:szCs w:val="24"/>
          <w:lang w:eastAsia="es-CO"/>
        </w:rPr>
        <w:t>el del Presidente de la República.</w:t>
      </w:r>
    </w:p>
    <w:p w14:paraId="07CCB630" w14:textId="77777777" w:rsidR="009A5F05" w:rsidRPr="00C2222D" w:rsidRDefault="009A5F05" w:rsidP="009A5F05">
      <w:pPr>
        <w:spacing w:after="0" w:line="240" w:lineRule="auto"/>
        <w:jc w:val="both"/>
        <w:rPr>
          <w:rFonts w:ascii="Arial" w:eastAsia="Times New Roman" w:hAnsi="Arial" w:cs="Arial"/>
          <w:sz w:val="24"/>
          <w:szCs w:val="24"/>
          <w:lang w:eastAsia="es-CO"/>
        </w:rPr>
      </w:pPr>
    </w:p>
    <w:p w14:paraId="537614E5" w14:textId="34D1D36D" w:rsidR="009A5F05" w:rsidRPr="00C2222D" w:rsidRDefault="009A5F05" w:rsidP="009A5F05">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Se trata concretamente de modificar el artículo 261 sobre la simultaneidad de las elecciones, con el propósito de que a partir de la próxima elección del Congreso en el año 2022 (segundo domingo del mes de marzo de ese año, según lo prescribe el actual Código Electoral), en esa misma fecha se realicen las elecciones de gobernadores, diputados, alcaldes, concejales y ediles de todo el país, de tal manera que todos los elegidos en cargos de elección popular inicien sus periodos constitucionales el 20 d</w:t>
      </w:r>
      <w:r w:rsidR="006F4C00" w:rsidRPr="00C2222D">
        <w:rPr>
          <w:rFonts w:ascii="Arial" w:eastAsia="Times New Roman" w:hAnsi="Arial" w:cs="Arial"/>
          <w:sz w:val="24"/>
          <w:szCs w:val="24"/>
          <w:lang w:eastAsia="es-CO"/>
        </w:rPr>
        <w:t xml:space="preserve">e julio del año de la elección y </w:t>
      </w:r>
      <w:r w:rsidRPr="00C2222D">
        <w:rPr>
          <w:rFonts w:ascii="Arial" w:eastAsia="Times New Roman" w:hAnsi="Arial" w:cs="Arial"/>
          <w:sz w:val="24"/>
          <w:szCs w:val="24"/>
          <w:lang w:eastAsia="es-CO"/>
        </w:rPr>
        <w:t xml:space="preserve">el del Presidente de la República el 7 de agosto de ese mismo año. </w:t>
      </w:r>
    </w:p>
    <w:p w14:paraId="70A8C966" w14:textId="22C5A28A" w:rsidR="006F4C00" w:rsidRPr="00870310" w:rsidRDefault="006F4C00" w:rsidP="009A5F05">
      <w:pPr>
        <w:spacing w:after="0" w:line="240" w:lineRule="auto"/>
        <w:jc w:val="both"/>
        <w:rPr>
          <w:rFonts w:ascii="Arial" w:eastAsia="Times New Roman" w:hAnsi="Arial" w:cs="Arial"/>
          <w:sz w:val="24"/>
          <w:szCs w:val="24"/>
          <w:lang w:eastAsia="es-CO"/>
        </w:rPr>
      </w:pPr>
    </w:p>
    <w:p w14:paraId="300F1B04" w14:textId="101C700D" w:rsidR="006F4C00" w:rsidRPr="00870310" w:rsidRDefault="00665BE2" w:rsidP="00C2222D">
      <w:pPr>
        <w:pStyle w:val="Sinespaciado"/>
        <w:jc w:val="both"/>
        <w:rPr>
          <w:rFonts w:ascii="Arial" w:hAnsi="Arial" w:cs="Arial"/>
          <w:sz w:val="24"/>
          <w:szCs w:val="24"/>
        </w:rPr>
      </w:pPr>
      <w:r w:rsidRPr="00870310">
        <w:rPr>
          <w:rFonts w:ascii="Arial" w:hAnsi="Arial" w:cs="Arial"/>
          <w:sz w:val="24"/>
          <w:szCs w:val="24"/>
        </w:rPr>
        <w:t>Además,</w:t>
      </w:r>
      <w:r w:rsidR="006F4C00" w:rsidRPr="00870310">
        <w:rPr>
          <w:rFonts w:ascii="Arial" w:hAnsi="Arial" w:cs="Arial"/>
          <w:sz w:val="24"/>
          <w:szCs w:val="24"/>
        </w:rPr>
        <w:t xml:space="preserve"> se modifica el artículo 262 incluye la obligación de los partidos de inscribir listas cerradas, eliminando la posibilidad a las organizaciones políticas de presentar listas de candidatos a corporaciones públicas mediante el sistema del voto preferente o “listas abiertas”. </w:t>
      </w:r>
    </w:p>
    <w:p w14:paraId="1D6B2D6F" w14:textId="39239022" w:rsidR="006F4C00" w:rsidRPr="00870310" w:rsidRDefault="006F4C00" w:rsidP="00C2222D">
      <w:pPr>
        <w:pStyle w:val="Sinespaciado"/>
        <w:jc w:val="both"/>
        <w:rPr>
          <w:rFonts w:ascii="Arial" w:hAnsi="Arial" w:cs="Arial"/>
          <w:sz w:val="24"/>
          <w:szCs w:val="24"/>
        </w:rPr>
      </w:pPr>
    </w:p>
    <w:p w14:paraId="41A2E9D1" w14:textId="1EF9DFD4" w:rsidR="006F4C00" w:rsidRPr="00870310" w:rsidRDefault="006F4C00" w:rsidP="00C2222D">
      <w:pPr>
        <w:pStyle w:val="Sinespaciado"/>
        <w:jc w:val="both"/>
        <w:rPr>
          <w:rFonts w:ascii="Arial" w:hAnsi="Arial" w:cs="Arial"/>
          <w:sz w:val="24"/>
          <w:szCs w:val="24"/>
        </w:rPr>
      </w:pPr>
      <w:r w:rsidRPr="00870310">
        <w:rPr>
          <w:rFonts w:ascii="Arial" w:hAnsi="Arial" w:cs="Arial"/>
          <w:sz w:val="24"/>
          <w:szCs w:val="24"/>
        </w:rPr>
        <w:t xml:space="preserve">Para finalizar se establece un régimen de transición en donde se establece que </w:t>
      </w:r>
      <w:r w:rsidRPr="00870310">
        <w:rPr>
          <w:rFonts w:ascii="Arial" w:hAnsi="Arial" w:cs="Arial"/>
          <w:bCs/>
          <w:sz w:val="24"/>
          <w:szCs w:val="24"/>
          <w:shd w:val="clear" w:color="auto" w:fill="FFFFFF"/>
        </w:rPr>
        <w:t>los períodos de</w:t>
      </w:r>
      <w:r w:rsidRPr="00870310">
        <w:rPr>
          <w:rFonts w:ascii="Arial" w:eastAsia="Times New Roman" w:hAnsi="Arial" w:cs="Arial"/>
          <w:sz w:val="24"/>
          <w:szCs w:val="24"/>
          <w:lang w:eastAsia="es-CO"/>
        </w:rPr>
        <w:t xml:space="preserve"> los </w:t>
      </w:r>
      <w:r w:rsidRPr="00870310">
        <w:rPr>
          <w:rFonts w:ascii="Arial" w:hAnsi="Arial" w:cs="Arial"/>
          <w:bCs/>
          <w:sz w:val="24"/>
          <w:szCs w:val="24"/>
          <w:shd w:val="clear" w:color="auto" w:fill="FFFFFF"/>
        </w:rPr>
        <w:t xml:space="preserve">gobernadores, diputados, alcaldes, concejales y ediles cuya elección o designación, según sea el caso, se efectuó antes de la vigencia del Acto Legislativo, así como de los designados con posterioridad a esa fecha, continuarán en sus funciones hasta el 19 de julio de 2022. </w:t>
      </w:r>
    </w:p>
    <w:p w14:paraId="020077CB" w14:textId="26093CC5"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p>
    <w:p w14:paraId="67004923" w14:textId="77777777" w:rsidR="0040294F" w:rsidRPr="00C2222D" w:rsidRDefault="0040294F" w:rsidP="0040294F">
      <w:pPr>
        <w:rPr>
          <w:rFonts w:ascii="Arial" w:hAnsi="Arial" w:cs="Arial"/>
          <w:b/>
          <w:sz w:val="24"/>
          <w:szCs w:val="24"/>
        </w:rPr>
      </w:pPr>
      <w:r w:rsidRPr="00C2222D">
        <w:rPr>
          <w:rFonts w:ascii="Arial" w:hAnsi="Arial" w:cs="Arial"/>
          <w:b/>
          <w:bCs/>
          <w:sz w:val="24"/>
          <w:szCs w:val="24"/>
        </w:rPr>
        <w:lastRenderedPageBreak/>
        <w:t>III.</w:t>
      </w:r>
      <w:r w:rsidRPr="00C2222D">
        <w:rPr>
          <w:rFonts w:ascii="Arial" w:hAnsi="Arial" w:cs="Arial"/>
          <w:b/>
          <w:sz w:val="24"/>
          <w:szCs w:val="24"/>
        </w:rPr>
        <w:t xml:space="preserve"> CONVENIENCIA DE LA INICIATIVA </w:t>
      </w:r>
    </w:p>
    <w:p w14:paraId="5652EBF7" w14:textId="68D91B56" w:rsidR="006F4C00" w:rsidRPr="00C2222D" w:rsidRDefault="006F4C00" w:rsidP="006F4C00">
      <w:pPr>
        <w:spacing w:after="0" w:line="240" w:lineRule="auto"/>
        <w:jc w:val="both"/>
        <w:rPr>
          <w:rFonts w:ascii="Arial" w:hAnsi="Arial" w:cs="Arial"/>
          <w:sz w:val="24"/>
          <w:szCs w:val="24"/>
        </w:rPr>
      </w:pPr>
      <w:r w:rsidRPr="00C2222D">
        <w:rPr>
          <w:rFonts w:ascii="Arial" w:eastAsia="Times New Roman" w:hAnsi="Arial" w:cs="Arial"/>
          <w:sz w:val="24"/>
          <w:szCs w:val="24"/>
          <w:lang w:eastAsia="es-CO"/>
        </w:rPr>
        <w:t>La “unificación” resulta oportuna y necesaria, lo anterior por cuanto l</w:t>
      </w:r>
      <w:r w:rsidRPr="00C2222D">
        <w:rPr>
          <w:rFonts w:ascii="Arial" w:hAnsi="Arial" w:cs="Arial"/>
          <w:sz w:val="24"/>
          <w:szCs w:val="24"/>
        </w:rPr>
        <w:t>as bondades que conlleva implementar la uniformidad y simultaneidad del inicio y culminación ordinaria de los períodos constitucionales y legales de los cargos de elección popular, que en principio significan la materialización real de los principios constitucionales de democracia participativa, representativa y pluralista con los principios propios de la descentralización y la autonomía de las entidades territoriales que establezca las condiciones mínimas que faciliten, por un lado, las capacidades de las entidades territoriales en la planeación, gestión y administración de sus propios intereses, de conformidad con el artículo 287 superior, pero también que le permita, por el otro, la posibilidad de concertar políticas públicas entre la Nación y las entidades territoriales.</w:t>
      </w:r>
    </w:p>
    <w:p w14:paraId="463358AB" w14:textId="77777777" w:rsidR="006F4C00" w:rsidRPr="00C2222D" w:rsidRDefault="006F4C00" w:rsidP="006F4C00">
      <w:pPr>
        <w:spacing w:after="0" w:line="240" w:lineRule="auto"/>
        <w:jc w:val="both"/>
        <w:rPr>
          <w:rFonts w:ascii="Arial" w:hAnsi="Arial" w:cs="Arial"/>
          <w:sz w:val="24"/>
          <w:szCs w:val="24"/>
        </w:rPr>
      </w:pPr>
    </w:p>
    <w:p w14:paraId="3ADD79AE" w14:textId="77777777" w:rsidR="006F4C00" w:rsidRPr="00C2222D" w:rsidRDefault="006F4C00" w:rsidP="006F4C00">
      <w:pPr>
        <w:spacing w:after="0" w:line="240" w:lineRule="auto"/>
        <w:jc w:val="both"/>
        <w:rPr>
          <w:rFonts w:ascii="Arial" w:hAnsi="Arial" w:cs="Arial"/>
          <w:sz w:val="24"/>
          <w:szCs w:val="24"/>
        </w:rPr>
      </w:pPr>
      <w:r w:rsidRPr="00C2222D">
        <w:rPr>
          <w:rFonts w:ascii="Arial" w:hAnsi="Arial" w:cs="Arial"/>
          <w:sz w:val="24"/>
          <w:szCs w:val="24"/>
        </w:rPr>
        <w:t>Es evidente que la eficiencia y eficacia en la ejecución de las políticas públicas, redunda en mayores y mejores condiciones para el cumplimiento de los programas y planes de Gobierno, en suficientes garantías para la óptima ejecución de recursos públicos. Para los ciudadanos, se traduce en el aumento de las posibilidades del cumplimiento y satisfacción de los intereses y necesidades de la comunidad, y la generación de más y mejores canales de comunicación y mecanismos de control sobre el ejercicio de los cargos.</w:t>
      </w:r>
    </w:p>
    <w:p w14:paraId="5D91CEB8" w14:textId="77777777" w:rsidR="006F4C00" w:rsidRPr="00C2222D" w:rsidRDefault="006F4C00" w:rsidP="006F4C00">
      <w:pPr>
        <w:spacing w:after="0" w:line="240" w:lineRule="auto"/>
        <w:jc w:val="both"/>
        <w:rPr>
          <w:rFonts w:ascii="Arial" w:hAnsi="Arial" w:cs="Arial"/>
          <w:sz w:val="24"/>
          <w:szCs w:val="24"/>
        </w:rPr>
      </w:pPr>
    </w:p>
    <w:p w14:paraId="3DB43FC3" w14:textId="77777777" w:rsidR="006F4C00" w:rsidRPr="00C2222D" w:rsidRDefault="006F4C00" w:rsidP="006F4C00">
      <w:pPr>
        <w:spacing w:after="0" w:line="240" w:lineRule="auto"/>
        <w:jc w:val="both"/>
        <w:rPr>
          <w:rFonts w:ascii="Arial" w:hAnsi="Arial" w:cs="Arial"/>
          <w:sz w:val="24"/>
          <w:szCs w:val="24"/>
        </w:rPr>
      </w:pPr>
      <w:r w:rsidRPr="00C2222D">
        <w:rPr>
          <w:rFonts w:ascii="Arial" w:hAnsi="Arial" w:cs="Arial"/>
          <w:sz w:val="24"/>
          <w:szCs w:val="24"/>
        </w:rPr>
        <w:t>Obviamente esta identidad de períodos, no sólo desde el punto de vista de su duración sino también de su paralelismo cronológico, favorece en mayor medida la gobernabilidad, es decir que, la dirección política del Estado responda a unos mandatos populares simultáneos y de esta manera evitar los traumatismos propios que pueden ocurrir con la celebración de elecciones intermedias y el cambio de las mayorías en dichos interregnos.</w:t>
      </w:r>
    </w:p>
    <w:p w14:paraId="3C6EF98A" w14:textId="025B7BF5" w:rsidR="006F4C00" w:rsidRPr="00C2222D" w:rsidRDefault="006F4C00" w:rsidP="006F4C00">
      <w:pPr>
        <w:spacing w:after="0" w:line="240" w:lineRule="auto"/>
        <w:jc w:val="both"/>
        <w:rPr>
          <w:rFonts w:ascii="Arial" w:eastAsia="Times New Roman" w:hAnsi="Arial" w:cs="Arial"/>
          <w:sz w:val="24"/>
          <w:szCs w:val="24"/>
          <w:lang w:eastAsia="es-CO"/>
        </w:rPr>
      </w:pPr>
    </w:p>
    <w:p w14:paraId="28F49213" w14:textId="4B9F601C" w:rsidR="0040294F" w:rsidRPr="00C2222D" w:rsidRDefault="00343324" w:rsidP="00C2222D">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w:t>
      </w:r>
      <w:r w:rsidR="006F4C00" w:rsidRPr="00C2222D">
        <w:rPr>
          <w:rFonts w:ascii="Arial" w:eastAsia="Times New Roman" w:hAnsi="Arial" w:cs="Arial"/>
          <w:sz w:val="24"/>
          <w:szCs w:val="24"/>
          <w:lang w:eastAsia="es-CO"/>
        </w:rPr>
        <w:t>s importante advertir que la regulación que se propone no impone forzosamente una misma fecha para el inicio de los períodos, es decir, que de manera milimétrica exista una fecha de iniciación de los períodos de manera exacta, sino una similitud y concomitancia que permita, lo más que se pueda dicha unificación. Por esta razón se mantienen las fechas de inicio de los períodos del 20 de julio (Día de la Independencia) para la instalación del Congreso, el 7 de agosto (B</w:t>
      </w:r>
      <w:r w:rsidRPr="00C2222D">
        <w:rPr>
          <w:rFonts w:ascii="Arial" w:eastAsia="Times New Roman" w:hAnsi="Arial" w:cs="Arial"/>
          <w:sz w:val="24"/>
          <w:szCs w:val="24"/>
          <w:lang w:eastAsia="es-CO"/>
        </w:rPr>
        <w:t>atalla de Boyacá).</w:t>
      </w:r>
    </w:p>
    <w:p w14:paraId="1E2EE7E8" w14:textId="77777777" w:rsidR="00343324" w:rsidRPr="00C2222D" w:rsidRDefault="00343324" w:rsidP="00343324">
      <w:pPr>
        <w:pStyle w:val="Sinespaciado"/>
        <w:jc w:val="both"/>
        <w:rPr>
          <w:rFonts w:ascii="Arial" w:hAnsi="Arial" w:cs="Arial"/>
          <w:i/>
          <w:sz w:val="24"/>
          <w:szCs w:val="24"/>
        </w:rPr>
      </w:pPr>
    </w:p>
    <w:p w14:paraId="43E9C13C" w14:textId="2BD9850F" w:rsidR="00343324" w:rsidRPr="00870310" w:rsidRDefault="00343324" w:rsidP="00C2222D">
      <w:pPr>
        <w:pStyle w:val="Sinespaciado"/>
        <w:jc w:val="both"/>
        <w:rPr>
          <w:rFonts w:ascii="Arial" w:hAnsi="Arial" w:cs="Arial"/>
          <w:sz w:val="24"/>
          <w:szCs w:val="24"/>
        </w:rPr>
      </w:pPr>
      <w:r w:rsidRPr="00870310">
        <w:rPr>
          <w:rFonts w:ascii="Arial" w:hAnsi="Arial" w:cs="Arial"/>
          <w:sz w:val="24"/>
          <w:szCs w:val="24"/>
        </w:rPr>
        <w:t xml:space="preserve">De otro lado, la Misión Electoral Especial (MEE) recomendó que los partidos debían inscribir listas cerradas, eliminando la posibilidad a las organizaciones políticas de presentar listas de candidatos a corporaciones públicas mediante el sistema del voto preferente o “listas abiertas”. De acuerdo con lo afirmad por MEE, las listas abiertas han contribuido a la personalización de la política, al debilitamiento de los partidos políticos y han dificultado el control a las campañas políticas debido a su gran número y dispersión. </w:t>
      </w:r>
    </w:p>
    <w:p w14:paraId="28A7FF8F" w14:textId="77777777" w:rsidR="00343324" w:rsidRPr="00870310" w:rsidRDefault="00343324" w:rsidP="00C2222D">
      <w:pPr>
        <w:pStyle w:val="Sinespaciado"/>
        <w:jc w:val="both"/>
        <w:rPr>
          <w:rFonts w:ascii="Arial" w:hAnsi="Arial" w:cs="Arial"/>
          <w:sz w:val="24"/>
          <w:szCs w:val="24"/>
        </w:rPr>
      </w:pPr>
    </w:p>
    <w:p w14:paraId="278CBF36" w14:textId="772E433D" w:rsidR="00343324" w:rsidRPr="00870310" w:rsidRDefault="00343324" w:rsidP="00C2222D">
      <w:pPr>
        <w:spacing w:before="57" w:after="57" w:line="288" w:lineRule="atLeast"/>
        <w:jc w:val="both"/>
        <w:textAlignment w:val="center"/>
        <w:rPr>
          <w:rFonts w:ascii="Arial" w:hAnsi="Arial" w:cs="Arial"/>
          <w:sz w:val="24"/>
          <w:szCs w:val="24"/>
        </w:rPr>
      </w:pPr>
      <w:r w:rsidRPr="00870310">
        <w:rPr>
          <w:rFonts w:ascii="Arial" w:hAnsi="Arial" w:cs="Arial"/>
          <w:sz w:val="24"/>
          <w:szCs w:val="24"/>
        </w:rPr>
        <w:t xml:space="preserve">Se considera conveniente establecer las listas cerradas para la presentación de candidatos en todas las corporaciones públicas. Este mecanismo contribuye al </w:t>
      </w:r>
      <w:r w:rsidRPr="00870310">
        <w:rPr>
          <w:rFonts w:ascii="Arial" w:hAnsi="Arial" w:cs="Arial"/>
          <w:sz w:val="24"/>
          <w:szCs w:val="24"/>
        </w:rPr>
        <w:lastRenderedPageBreak/>
        <w:t>fortalecimiento de los partidos y movimientos con personería jurídica y sin duda contribuye al mejoramiento del sistema democrático. Ello va acompañado con el establecimiento de temas relacionados con la democracia interna, específicamente, la realización de consultas internas de los partidos y movimientos políticos para la elaboración de las listas cerradas, ello permite partidos cohesionados y con una representación clara ideológica frente a la ciudadanía.</w:t>
      </w:r>
    </w:p>
    <w:p w14:paraId="3C36E9EA" w14:textId="77777777" w:rsidR="00343324" w:rsidRPr="00C2222D" w:rsidRDefault="00343324" w:rsidP="00C2222D">
      <w:pPr>
        <w:spacing w:after="0" w:line="240" w:lineRule="auto"/>
        <w:jc w:val="both"/>
        <w:rPr>
          <w:rFonts w:ascii="Arial" w:hAnsi="Arial" w:cs="Arial"/>
          <w:sz w:val="24"/>
          <w:szCs w:val="24"/>
        </w:rPr>
      </w:pPr>
    </w:p>
    <w:p w14:paraId="4994B9BE" w14:textId="3133B801" w:rsidR="0040294F" w:rsidRPr="00C2222D" w:rsidRDefault="0040294F" w:rsidP="0040294F">
      <w:pPr>
        <w:rPr>
          <w:rFonts w:ascii="Arial" w:hAnsi="Arial" w:cs="Arial"/>
          <w:b/>
          <w:sz w:val="24"/>
          <w:szCs w:val="24"/>
        </w:rPr>
      </w:pPr>
      <w:r w:rsidRPr="00C2222D">
        <w:rPr>
          <w:rFonts w:ascii="Arial" w:hAnsi="Arial" w:cs="Arial"/>
          <w:b/>
          <w:bCs/>
          <w:color w:val="000000" w:themeColor="text1"/>
          <w:sz w:val="24"/>
          <w:szCs w:val="24"/>
        </w:rPr>
        <w:t xml:space="preserve">IV. </w:t>
      </w:r>
      <w:r w:rsidRPr="00C2222D">
        <w:rPr>
          <w:rFonts w:ascii="Arial" w:hAnsi="Arial" w:cs="Arial"/>
          <w:b/>
          <w:sz w:val="24"/>
          <w:szCs w:val="24"/>
        </w:rPr>
        <w:t>PROPUESTA DE ARTICULADO</w:t>
      </w:r>
    </w:p>
    <w:tbl>
      <w:tblPr>
        <w:tblStyle w:val="Tablaconcuadrcula"/>
        <w:tblW w:w="0" w:type="auto"/>
        <w:tblLayout w:type="fixed"/>
        <w:tblLook w:val="04A0" w:firstRow="1" w:lastRow="0" w:firstColumn="1" w:lastColumn="0" w:noHBand="0" w:noVBand="1"/>
      </w:tblPr>
      <w:tblGrid>
        <w:gridCol w:w="4531"/>
        <w:gridCol w:w="4297"/>
      </w:tblGrid>
      <w:tr w:rsidR="00665BE2" w:rsidRPr="00C2222D" w14:paraId="1175E6DA" w14:textId="77777777" w:rsidTr="00732F66">
        <w:tc>
          <w:tcPr>
            <w:tcW w:w="4531" w:type="dxa"/>
          </w:tcPr>
          <w:p w14:paraId="669A5EF7" w14:textId="77777777" w:rsidR="00665BE2" w:rsidRPr="00C2222D" w:rsidRDefault="00665BE2" w:rsidP="00732F66">
            <w:pPr>
              <w:jc w:val="center"/>
              <w:rPr>
                <w:rFonts w:ascii="Arial" w:hAnsi="Arial" w:cs="Arial"/>
                <w:b/>
                <w:sz w:val="24"/>
                <w:szCs w:val="24"/>
              </w:rPr>
            </w:pPr>
            <w:r w:rsidRPr="00C2222D">
              <w:rPr>
                <w:rFonts w:ascii="Arial" w:hAnsi="Arial" w:cs="Arial"/>
                <w:b/>
                <w:sz w:val="24"/>
                <w:szCs w:val="24"/>
              </w:rPr>
              <w:t>CONSTITUCION POLITICA DE 1991</w:t>
            </w:r>
          </w:p>
        </w:tc>
        <w:tc>
          <w:tcPr>
            <w:tcW w:w="4297" w:type="dxa"/>
          </w:tcPr>
          <w:p w14:paraId="4B3A2A4F" w14:textId="45665D3F" w:rsidR="00665BE2" w:rsidRPr="00C2222D" w:rsidRDefault="00665BE2" w:rsidP="00732F66">
            <w:pPr>
              <w:jc w:val="center"/>
              <w:rPr>
                <w:rFonts w:ascii="Arial" w:hAnsi="Arial" w:cs="Arial"/>
                <w:b/>
                <w:sz w:val="24"/>
                <w:szCs w:val="24"/>
              </w:rPr>
            </w:pPr>
            <w:r w:rsidRPr="00C2222D">
              <w:rPr>
                <w:rFonts w:ascii="Arial" w:hAnsi="Arial" w:cs="Arial"/>
                <w:b/>
                <w:sz w:val="24"/>
                <w:szCs w:val="24"/>
              </w:rPr>
              <w:t>PONENCIA PRIMER DEBATE</w:t>
            </w:r>
          </w:p>
        </w:tc>
      </w:tr>
      <w:tr w:rsidR="00665BE2" w:rsidRPr="00C2222D" w14:paraId="56892017" w14:textId="77777777" w:rsidTr="00732F66">
        <w:tc>
          <w:tcPr>
            <w:tcW w:w="4531" w:type="dxa"/>
          </w:tcPr>
          <w:p w14:paraId="7325FDFA" w14:textId="77777777" w:rsidR="00665BE2" w:rsidRPr="00C2222D" w:rsidRDefault="00665BE2" w:rsidP="00732F66">
            <w:pPr>
              <w:jc w:val="both"/>
              <w:rPr>
                <w:rFonts w:ascii="Arial" w:hAnsi="Arial" w:cs="Arial"/>
                <w:sz w:val="24"/>
                <w:szCs w:val="24"/>
              </w:rPr>
            </w:pPr>
            <w:r w:rsidRPr="00C2222D">
              <w:rPr>
                <w:rFonts w:ascii="Arial" w:hAnsi="Arial" w:cs="Arial"/>
                <w:b/>
                <w:sz w:val="24"/>
                <w:szCs w:val="24"/>
              </w:rPr>
              <w:t>ARTÍCULO 261</w:t>
            </w:r>
            <w:r w:rsidRPr="00C2222D">
              <w:rPr>
                <w:rFonts w:ascii="Arial" w:hAnsi="Arial" w:cs="Arial"/>
                <w:sz w:val="24"/>
                <w:szCs w:val="24"/>
              </w:rPr>
              <w:t>: La elección del Presidente y Vicepresidente no podrá coincidir con otra elección. La de Congreso se hará en fecha separada de la elección de autoridades departamentales y municipales.</w:t>
            </w:r>
          </w:p>
        </w:tc>
        <w:tc>
          <w:tcPr>
            <w:tcW w:w="4297" w:type="dxa"/>
          </w:tcPr>
          <w:p w14:paraId="73A74654" w14:textId="6A6A7BFC" w:rsidR="0052001A" w:rsidRPr="0052001A" w:rsidRDefault="00665BE2" w:rsidP="0052001A">
            <w:pPr>
              <w:jc w:val="both"/>
              <w:rPr>
                <w:rFonts w:ascii="Arial" w:hAnsi="Arial" w:cs="Arial"/>
                <w:b/>
                <w:sz w:val="24"/>
                <w:szCs w:val="24"/>
              </w:rPr>
            </w:pPr>
            <w:r w:rsidRPr="00C2222D">
              <w:rPr>
                <w:rFonts w:ascii="Arial" w:hAnsi="Arial" w:cs="Arial"/>
                <w:b/>
                <w:sz w:val="24"/>
                <w:szCs w:val="24"/>
              </w:rPr>
              <w:t>ARTICULO 261</w:t>
            </w:r>
            <w:r w:rsidRPr="00C2222D">
              <w:rPr>
                <w:rFonts w:ascii="Arial" w:hAnsi="Arial" w:cs="Arial"/>
                <w:sz w:val="24"/>
                <w:szCs w:val="24"/>
              </w:rPr>
              <w:t xml:space="preserve">.  </w:t>
            </w:r>
            <w:r w:rsidR="0052001A" w:rsidRPr="00C2222D">
              <w:rPr>
                <w:rFonts w:ascii="Arial" w:hAnsi="Arial" w:cs="Arial"/>
                <w:sz w:val="24"/>
                <w:szCs w:val="24"/>
              </w:rPr>
              <w:t xml:space="preserve">La elección del Presidente y Vicepresidente no podrá coincidir con otra elección. </w:t>
            </w:r>
            <w:r w:rsidR="0052001A" w:rsidRPr="0052001A">
              <w:rPr>
                <w:rFonts w:ascii="Arial" w:hAnsi="Arial" w:cs="Arial"/>
                <w:b/>
                <w:sz w:val="24"/>
                <w:szCs w:val="24"/>
              </w:rPr>
              <w:t>La elección de Congreso se hará en la misma fecha de las autoridades departamentales y municipales.</w:t>
            </w:r>
          </w:p>
          <w:p w14:paraId="122353F5" w14:textId="77777777" w:rsidR="0052001A" w:rsidRPr="0052001A" w:rsidRDefault="0052001A" w:rsidP="0052001A">
            <w:pPr>
              <w:jc w:val="both"/>
              <w:rPr>
                <w:rFonts w:ascii="Arial" w:hAnsi="Arial" w:cs="Arial"/>
                <w:b/>
                <w:sz w:val="24"/>
                <w:szCs w:val="24"/>
              </w:rPr>
            </w:pPr>
          </w:p>
          <w:p w14:paraId="7341F8BA" w14:textId="77777777" w:rsidR="0052001A" w:rsidRPr="0052001A" w:rsidRDefault="0052001A" w:rsidP="0052001A">
            <w:pPr>
              <w:pStyle w:val="Sinespaciado"/>
              <w:jc w:val="both"/>
              <w:rPr>
                <w:rFonts w:ascii="Arial" w:hAnsi="Arial" w:cs="Arial"/>
                <w:b/>
                <w:sz w:val="24"/>
                <w:szCs w:val="24"/>
              </w:rPr>
            </w:pPr>
            <w:r w:rsidRPr="0052001A">
              <w:rPr>
                <w:rFonts w:ascii="Arial" w:hAnsi="Arial" w:cs="Arial"/>
                <w:b/>
                <w:sz w:val="24"/>
                <w:szCs w:val="24"/>
              </w:rPr>
              <w:t xml:space="preserve">La elección de cargos uninominales: Presidente y Vicepresidente, se realizará el segundo domingo del mes de mayo. La elección de los miembros de corporaciones públicas, a saber: Congreso, Asambleas, Concejos y JAL, y los Gobernadores y Alcaldes se hará en fecha separada al del presidente y vicepresidente y recaerá el segundo domingo del mes de marzo. </w:t>
            </w:r>
          </w:p>
          <w:p w14:paraId="44EFED48" w14:textId="77777777" w:rsidR="0052001A" w:rsidRPr="0052001A" w:rsidRDefault="0052001A" w:rsidP="0052001A">
            <w:pPr>
              <w:pStyle w:val="Sinespaciado"/>
              <w:jc w:val="both"/>
              <w:rPr>
                <w:rFonts w:ascii="Arial" w:hAnsi="Arial" w:cs="Arial"/>
                <w:b/>
                <w:sz w:val="24"/>
                <w:szCs w:val="24"/>
              </w:rPr>
            </w:pPr>
          </w:p>
          <w:p w14:paraId="436ECAC8" w14:textId="77777777" w:rsidR="0052001A" w:rsidRPr="0052001A" w:rsidRDefault="0052001A" w:rsidP="0052001A">
            <w:pPr>
              <w:pStyle w:val="Sinespaciado"/>
              <w:jc w:val="both"/>
              <w:rPr>
                <w:rFonts w:ascii="Arial" w:hAnsi="Arial" w:cs="Arial"/>
                <w:b/>
                <w:sz w:val="24"/>
                <w:szCs w:val="24"/>
              </w:rPr>
            </w:pPr>
            <w:r w:rsidRPr="0052001A">
              <w:rPr>
                <w:rFonts w:ascii="Arial" w:hAnsi="Arial" w:cs="Arial"/>
                <w:b/>
                <w:sz w:val="24"/>
                <w:szCs w:val="24"/>
              </w:rPr>
              <w:t>Los periodos de las autoridades departamentales y municipales concordarán con las autoridades nacionales. Los miembros de corporaciones públicas, los Gobernadores y Alcaldes iniciarán su periodo cada 20 de julio, mientras, el Presidente y Vicepresidente lo harán el 7 de agosto.</w:t>
            </w:r>
          </w:p>
          <w:p w14:paraId="31C10FD5" w14:textId="1188975B" w:rsidR="00665BE2" w:rsidRPr="00C2222D" w:rsidRDefault="00665BE2" w:rsidP="00732F66">
            <w:pPr>
              <w:jc w:val="both"/>
              <w:rPr>
                <w:rFonts w:ascii="Arial" w:hAnsi="Arial" w:cs="Arial"/>
                <w:sz w:val="24"/>
                <w:szCs w:val="24"/>
              </w:rPr>
            </w:pPr>
          </w:p>
        </w:tc>
      </w:tr>
      <w:tr w:rsidR="00665BE2" w:rsidRPr="00C2222D" w14:paraId="029F03E9" w14:textId="77777777" w:rsidTr="00732F66">
        <w:tc>
          <w:tcPr>
            <w:tcW w:w="4531" w:type="dxa"/>
          </w:tcPr>
          <w:p w14:paraId="65A0F7A8" w14:textId="77777777" w:rsidR="00665BE2" w:rsidRPr="00C2222D" w:rsidRDefault="00665BE2" w:rsidP="00732F66">
            <w:pPr>
              <w:jc w:val="both"/>
              <w:rPr>
                <w:rFonts w:ascii="Arial" w:hAnsi="Arial" w:cs="Arial"/>
                <w:sz w:val="24"/>
                <w:szCs w:val="24"/>
              </w:rPr>
            </w:pPr>
            <w:r w:rsidRPr="00C2222D">
              <w:rPr>
                <w:rFonts w:ascii="Arial" w:hAnsi="Arial" w:cs="Arial"/>
                <w:b/>
                <w:sz w:val="24"/>
                <w:szCs w:val="24"/>
              </w:rPr>
              <w:t>Artículo 262</w:t>
            </w:r>
            <w:r w:rsidRPr="00C2222D">
              <w:rPr>
                <w:rFonts w:ascii="Arial" w:hAnsi="Arial" w:cs="Arial"/>
                <w:sz w:val="24"/>
                <w:szCs w:val="24"/>
              </w:rPr>
              <w:t xml:space="preserve">. Los partidos, movimientos políticos y grupos significativos de ciudadanos que decidan participar en procesos de elección popular, inscribirán </w:t>
            </w:r>
            <w:r w:rsidRPr="00C2222D">
              <w:rPr>
                <w:rFonts w:ascii="Arial" w:hAnsi="Arial" w:cs="Arial"/>
                <w:sz w:val="24"/>
                <w:szCs w:val="24"/>
              </w:rPr>
              <w:lastRenderedPageBreak/>
              <w:t>candidatos y listas únicas, cuyo número de integrantes no podrá exceder el de curules o cargos a proveer en la respectiva circunscripción, excepto en las que se eligen hasta dos miembros, las cuales podrán estar integradas hasta por tres (3) candidatos.</w:t>
            </w:r>
          </w:p>
          <w:p w14:paraId="6B49D80C"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La selección de los candidatos de los partidos y movimientos políticos con personería jurídica se hará mediante mecanismos de democracia interna, de conformidad con la ley y los estatutos. En la conformación de las listas se</w:t>
            </w:r>
          </w:p>
          <w:p w14:paraId="0AF23368"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observarán en forma progresiva, entre otros, los principios de paridad, alternancia y universalidad, según lo determine la ley.</w:t>
            </w:r>
          </w:p>
          <w:p w14:paraId="08AAD7C1"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Cada partido o movimiento político podrá optar por el mecanismo de voto preferente. En tal caso, el elector podrá señalar el candidato de su preferencia entre los nombres de la lista que aparezcan en la tarjeta electoral. La lista se</w:t>
            </w:r>
          </w:p>
          <w:p w14:paraId="1D23B8B8"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7E7227C2"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En el caso de los partidos y movimientos políticos que hayan optado por el mecanismo del voto preferente, los votos por el partido o movimiento que no hayan sido atribuidos por el elector a ningún candidato en particular, se</w:t>
            </w:r>
          </w:p>
          <w:p w14:paraId="7C6C312A"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 xml:space="preserve">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w:t>
            </w:r>
            <w:r w:rsidRPr="00C2222D">
              <w:rPr>
                <w:rFonts w:ascii="Arial" w:hAnsi="Arial" w:cs="Arial"/>
                <w:strike/>
                <w:sz w:val="24"/>
                <w:szCs w:val="24"/>
              </w:rPr>
              <w:lastRenderedPageBreak/>
              <w:t>respectiva lista, el voto será válido y se computará a favor del candidato.</w:t>
            </w:r>
          </w:p>
          <w:p w14:paraId="5DA7037B" w14:textId="77777777" w:rsidR="00665BE2" w:rsidRPr="00C2222D" w:rsidRDefault="00665BE2" w:rsidP="00732F66">
            <w:pPr>
              <w:jc w:val="both"/>
              <w:rPr>
                <w:rFonts w:ascii="Arial" w:hAnsi="Arial" w:cs="Arial"/>
                <w:strike/>
                <w:sz w:val="24"/>
                <w:szCs w:val="24"/>
              </w:rPr>
            </w:pPr>
            <w:r w:rsidRPr="00C2222D">
              <w:rPr>
                <w:rFonts w:ascii="Arial" w:hAnsi="Arial" w:cs="Arial"/>
                <w:strike/>
                <w:sz w:val="24"/>
                <w:szCs w:val="24"/>
              </w:rPr>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w:t>
            </w:r>
          </w:p>
          <w:p w14:paraId="6B3D5CD3" w14:textId="77777777" w:rsidR="00665BE2" w:rsidRPr="00C2222D" w:rsidRDefault="00665BE2" w:rsidP="00732F66">
            <w:pPr>
              <w:jc w:val="both"/>
              <w:rPr>
                <w:rFonts w:ascii="Arial" w:hAnsi="Arial" w:cs="Arial"/>
                <w:sz w:val="24"/>
                <w:szCs w:val="24"/>
              </w:rPr>
            </w:pPr>
            <w:r w:rsidRPr="00C2222D">
              <w:rPr>
                <w:rFonts w:ascii="Arial" w:hAnsi="Arial" w:cs="Arial"/>
                <w:strike/>
                <w:sz w:val="24"/>
                <w:szCs w:val="24"/>
              </w:rPr>
              <w:t>obtenido una votación de hasta el quince por ciento (15%) de los votos válidos de las Elecciones y de la Organización Electoral Artículos 261 – 262 la respectiva circunscripción, podrán presentar lista de candidatos en coalición para corporaciones públicas.</w:t>
            </w:r>
          </w:p>
        </w:tc>
        <w:tc>
          <w:tcPr>
            <w:tcW w:w="4297" w:type="dxa"/>
          </w:tcPr>
          <w:p w14:paraId="1A407F62" w14:textId="63E20675" w:rsidR="0052001A" w:rsidRPr="0052001A" w:rsidRDefault="00665BE2" w:rsidP="0052001A">
            <w:pPr>
              <w:jc w:val="both"/>
              <w:rPr>
                <w:rFonts w:ascii="Arial" w:hAnsi="Arial" w:cs="Arial"/>
                <w:sz w:val="24"/>
                <w:szCs w:val="24"/>
              </w:rPr>
            </w:pPr>
            <w:r w:rsidRPr="00C2222D">
              <w:rPr>
                <w:rFonts w:ascii="Arial" w:hAnsi="Arial" w:cs="Arial"/>
                <w:b/>
                <w:sz w:val="24"/>
                <w:szCs w:val="24"/>
              </w:rPr>
              <w:lastRenderedPageBreak/>
              <w:t>Artículo 262</w:t>
            </w:r>
            <w:r w:rsidRPr="00C2222D">
              <w:rPr>
                <w:rFonts w:ascii="Arial" w:hAnsi="Arial" w:cs="Arial"/>
                <w:sz w:val="24"/>
                <w:szCs w:val="24"/>
              </w:rPr>
              <w:t xml:space="preserve">. </w:t>
            </w:r>
            <w:r w:rsidR="0052001A" w:rsidRPr="0052001A">
              <w:rPr>
                <w:rFonts w:ascii="Arial" w:hAnsi="Arial" w:cs="Arial"/>
                <w:sz w:val="24"/>
                <w:szCs w:val="24"/>
              </w:rPr>
              <w:t xml:space="preserve">Los partidos, movimientos políticos y grupos significativos de ciudadanos que decidan participar en procesos de </w:t>
            </w:r>
            <w:r w:rsidR="0052001A" w:rsidRPr="0052001A">
              <w:rPr>
                <w:rFonts w:ascii="Arial" w:hAnsi="Arial" w:cs="Arial"/>
                <w:sz w:val="24"/>
                <w:szCs w:val="24"/>
              </w:rPr>
              <w:lastRenderedPageBreak/>
              <w:t xml:space="preserve">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 </w:t>
            </w:r>
          </w:p>
          <w:p w14:paraId="376399C9" w14:textId="77777777" w:rsidR="0052001A" w:rsidRPr="0052001A" w:rsidRDefault="0052001A" w:rsidP="0052001A">
            <w:pPr>
              <w:jc w:val="both"/>
              <w:rPr>
                <w:rFonts w:ascii="Arial" w:hAnsi="Arial" w:cs="Arial"/>
                <w:sz w:val="24"/>
                <w:szCs w:val="24"/>
              </w:rPr>
            </w:pPr>
            <w:r w:rsidRPr="0052001A">
              <w:rPr>
                <w:rFonts w:ascii="Arial" w:hAnsi="Arial" w:cs="Arial"/>
                <w:sz w:val="24"/>
                <w:szCs w:val="24"/>
              </w:rPr>
              <w:t xml:space="preserve"> </w:t>
            </w:r>
          </w:p>
          <w:p w14:paraId="030F7CEE" w14:textId="77777777" w:rsidR="0052001A" w:rsidRPr="0052001A" w:rsidRDefault="0052001A" w:rsidP="0052001A">
            <w:pPr>
              <w:jc w:val="both"/>
              <w:rPr>
                <w:rFonts w:ascii="Arial" w:hAnsi="Arial" w:cs="Arial"/>
                <w:b/>
                <w:sz w:val="24"/>
                <w:szCs w:val="24"/>
              </w:rPr>
            </w:pPr>
            <w:r w:rsidRPr="0052001A">
              <w:rPr>
                <w:rFonts w:ascii="Arial" w:hAnsi="Arial" w:cs="Arial"/>
                <w:b/>
                <w:sz w:val="24"/>
                <w:szCs w:val="24"/>
              </w:rPr>
              <w:t>Las listas serán cerradas y bloqueadas. La selección de los candidatos de los partidos y movimientos políticos con personería jurídica se hará mediante mecanismos de democracia interna, de conformidad con la ley. En la conformación de las listas se observarán, entre otros, los principios de paridad, alternancia y universalidad.</w:t>
            </w:r>
          </w:p>
          <w:p w14:paraId="108CBF99" w14:textId="1F0C0A81" w:rsidR="00665BE2" w:rsidRPr="00C2222D" w:rsidRDefault="00665BE2" w:rsidP="0052001A">
            <w:pPr>
              <w:jc w:val="both"/>
              <w:rPr>
                <w:rFonts w:ascii="Arial" w:hAnsi="Arial" w:cs="Arial"/>
                <w:sz w:val="24"/>
                <w:szCs w:val="24"/>
              </w:rPr>
            </w:pPr>
          </w:p>
        </w:tc>
      </w:tr>
      <w:tr w:rsidR="00665BE2" w:rsidRPr="00C2222D" w14:paraId="26597181" w14:textId="77777777" w:rsidTr="00732F66">
        <w:tc>
          <w:tcPr>
            <w:tcW w:w="4531" w:type="dxa"/>
          </w:tcPr>
          <w:p w14:paraId="2965C562" w14:textId="77777777" w:rsidR="00665BE2" w:rsidRPr="00C2222D" w:rsidRDefault="00665BE2" w:rsidP="00732F66">
            <w:pPr>
              <w:jc w:val="both"/>
              <w:rPr>
                <w:rFonts w:ascii="Arial" w:hAnsi="Arial" w:cs="Arial"/>
                <w:sz w:val="24"/>
                <w:szCs w:val="24"/>
              </w:rPr>
            </w:pPr>
          </w:p>
        </w:tc>
        <w:tc>
          <w:tcPr>
            <w:tcW w:w="4297" w:type="dxa"/>
          </w:tcPr>
          <w:p w14:paraId="4051FBDF" w14:textId="77777777" w:rsidR="00665BE2" w:rsidRPr="00C2222D" w:rsidRDefault="00665BE2" w:rsidP="00732F66">
            <w:pPr>
              <w:jc w:val="both"/>
              <w:rPr>
                <w:rFonts w:ascii="Arial" w:hAnsi="Arial" w:cs="Arial"/>
                <w:sz w:val="24"/>
                <w:szCs w:val="24"/>
              </w:rPr>
            </w:pPr>
            <w:r w:rsidRPr="00C2222D">
              <w:rPr>
                <w:rFonts w:ascii="Arial" w:hAnsi="Arial" w:cs="Arial"/>
                <w:sz w:val="24"/>
                <w:szCs w:val="24"/>
              </w:rPr>
              <w:t>Artículo Transitorio. Los períodos de los gobernadores, diputados, alcaldes, concejales y ediles cuya elección o designación, según sea el caso, se efectuó antes de la vigencia del presente Acto Legislativo, así como de los designados con posterioridad a esa fecha, continuarán en sus funciones hasta el 19 de julio de 2022. Sus sucesores se elegirán en el año 2022 para el período constitucional, que iniciará el 20 de julio de ese año.</w:t>
            </w:r>
          </w:p>
          <w:p w14:paraId="24387E7E" w14:textId="77777777" w:rsidR="00665BE2" w:rsidRPr="00C2222D" w:rsidRDefault="00665BE2" w:rsidP="00732F66">
            <w:pPr>
              <w:jc w:val="both"/>
              <w:rPr>
                <w:rFonts w:ascii="Arial" w:hAnsi="Arial" w:cs="Arial"/>
                <w:sz w:val="24"/>
                <w:szCs w:val="24"/>
              </w:rPr>
            </w:pPr>
            <w:r w:rsidRPr="00C2222D">
              <w:rPr>
                <w:rFonts w:ascii="Arial" w:hAnsi="Arial" w:cs="Arial"/>
                <w:sz w:val="24"/>
                <w:szCs w:val="24"/>
              </w:rPr>
              <w:t>En todo caso, los períodos de gobernadores y alcaldes deberán coincidir con el del Presidente de la República.</w:t>
            </w:r>
          </w:p>
        </w:tc>
      </w:tr>
    </w:tbl>
    <w:p w14:paraId="2826CCBD" w14:textId="4F60E642" w:rsidR="00665BE2" w:rsidRDefault="00665BE2" w:rsidP="0040294F">
      <w:pPr>
        <w:rPr>
          <w:rFonts w:ascii="Arial" w:hAnsi="Arial" w:cs="Arial"/>
          <w:b/>
          <w:sz w:val="24"/>
          <w:szCs w:val="24"/>
        </w:rPr>
      </w:pPr>
    </w:p>
    <w:p w14:paraId="536E6404" w14:textId="1325754A" w:rsidR="00870310" w:rsidRPr="00870310" w:rsidRDefault="00870310" w:rsidP="00870310">
      <w:pPr>
        <w:jc w:val="both"/>
        <w:rPr>
          <w:rFonts w:ascii="Arial" w:hAnsi="Arial" w:cs="Arial"/>
          <w:sz w:val="24"/>
          <w:szCs w:val="24"/>
        </w:rPr>
      </w:pPr>
      <w:r w:rsidRPr="00870310">
        <w:rPr>
          <w:rFonts w:ascii="Arial" w:hAnsi="Arial" w:cs="Arial"/>
          <w:sz w:val="24"/>
          <w:szCs w:val="24"/>
        </w:rPr>
        <w:t xml:space="preserve">Se ha simplificado el texto de los </w:t>
      </w:r>
      <w:r w:rsidRPr="00C2222D">
        <w:rPr>
          <w:rFonts w:ascii="Arial" w:hAnsi="Arial" w:cs="Arial"/>
          <w:lang w:val="es-ES"/>
        </w:rPr>
        <w:t>Proyecto de Acto Legislativo No 105 de 2018 Cámara “Por el cual se unifican las elecciones nacionales y locales y se amplía el período de mandato” acumulado con el Proyecto de Acto Legislativo No 140 de 2018 “Por el cual se reforma el artículo 261 y</w:t>
      </w:r>
      <w:r>
        <w:rPr>
          <w:rFonts w:ascii="Arial" w:hAnsi="Arial" w:cs="Arial"/>
          <w:lang w:val="es-ES"/>
        </w:rPr>
        <w:t xml:space="preserve"> se dictan otras disposiciones”</w:t>
      </w:r>
      <w:r w:rsidRPr="00870310">
        <w:rPr>
          <w:rFonts w:ascii="Arial" w:hAnsi="Arial" w:cs="Arial"/>
          <w:sz w:val="24"/>
          <w:szCs w:val="24"/>
        </w:rPr>
        <w:t xml:space="preserve"> y</w:t>
      </w:r>
      <w:r>
        <w:rPr>
          <w:rFonts w:ascii="Arial" w:hAnsi="Arial" w:cs="Arial"/>
          <w:sz w:val="24"/>
          <w:szCs w:val="24"/>
        </w:rPr>
        <w:t>,</w:t>
      </w:r>
      <w:r w:rsidRPr="00870310">
        <w:rPr>
          <w:rFonts w:ascii="Arial" w:hAnsi="Arial" w:cs="Arial"/>
          <w:sz w:val="24"/>
          <w:szCs w:val="24"/>
        </w:rPr>
        <w:t xml:space="preserve"> únicamente se han acogido </w:t>
      </w:r>
      <w:r>
        <w:rPr>
          <w:rFonts w:ascii="Arial" w:hAnsi="Arial" w:cs="Arial"/>
          <w:sz w:val="24"/>
          <w:szCs w:val="24"/>
        </w:rPr>
        <w:t xml:space="preserve">con modificaciones </w:t>
      </w:r>
      <w:r w:rsidRPr="00870310">
        <w:rPr>
          <w:rFonts w:ascii="Arial" w:hAnsi="Arial" w:cs="Arial"/>
          <w:sz w:val="24"/>
          <w:szCs w:val="24"/>
        </w:rPr>
        <w:t>aquellos artículos planteados dentro del texto para primer debate.</w:t>
      </w:r>
    </w:p>
    <w:p w14:paraId="37B6786E" w14:textId="15AF92D7" w:rsidR="0040294F" w:rsidRPr="00C2222D" w:rsidRDefault="0040294F" w:rsidP="0040294F">
      <w:pPr>
        <w:rPr>
          <w:rFonts w:ascii="Arial" w:hAnsi="Arial" w:cs="Arial"/>
          <w:b/>
          <w:sz w:val="24"/>
          <w:szCs w:val="24"/>
        </w:rPr>
      </w:pPr>
      <w:r w:rsidRPr="00C2222D">
        <w:rPr>
          <w:rFonts w:ascii="Arial" w:hAnsi="Arial" w:cs="Arial"/>
          <w:b/>
          <w:sz w:val="24"/>
          <w:szCs w:val="24"/>
        </w:rPr>
        <w:lastRenderedPageBreak/>
        <w:t xml:space="preserve">V. MARCO CONSTITUCIONAL </w:t>
      </w:r>
    </w:p>
    <w:p w14:paraId="7EC757A0" w14:textId="626920C2" w:rsidR="00343324" w:rsidRPr="00C2222D" w:rsidRDefault="00343324" w:rsidP="00343324">
      <w:pPr>
        <w:spacing w:after="0" w:line="240" w:lineRule="auto"/>
        <w:jc w:val="both"/>
        <w:rPr>
          <w:rFonts w:ascii="Arial" w:hAnsi="Arial" w:cs="Arial"/>
          <w:b/>
          <w:bCs/>
          <w:sz w:val="24"/>
          <w:szCs w:val="24"/>
          <w:u w:val="single"/>
        </w:rPr>
      </w:pPr>
      <w:r w:rsidRPr="00C2222D">
        <w:rPr>
          <w:rFonts w:ascii="Arial" w:hAnsi="Arial" w:cs="Arial"/>
          <w:sz w:val="24"/>
          <w:szCs w:val="24"/>
        </w:rPr>
        <w:t>El Acto Legislativo 03 de 2011 modificó los artículos 334, 339 y 346 de la Constitución para incluir el principio de la sostenibilidad fiscal, especialmente en la elaboración de Planes de Desarrollo y presupuestos. Al artículo 334 de la Carta se le agregó el siguiente pasaje: “</w:t>
      </w:r>
      <w:r w:rsidRPr="00C2222D">
        <w:rPr>
          <w:rFonts w:ascii="Arial" w:hAnsi="Arial" w:cs="Arial"/>
          <w:b/>
          <w:bCs/>
          <w:sz w:val="24"/>
          <w:szCs w:val="24"/>
          <w:u w:val="single"/>
        </w:rPr>
        <w:t>Dicho marco de sostenibilidad fiscal deberá fungir como instrumento para alcanzar de manera progresiva los objetivos del Estado Social de Derecho. En cualquier caso, el gasto público social será prioritario.”</w:t>
      </w:r>
    </w:p>
    <w:p w14:paraId="761AA291" w14:textId="77777777" w:rsidR="00343324" w:rsidRPr="00C2222D" w:rsidRDefault="00343324" w:rsidP="00343324">
      <w:pPr>
        <w:spacing w:after="0" w:line="240" w:lineRule="auto"/>
        <w:jc w:val="both"/>
        <w:rPr>
          <w:rFonts w:ascii="Arial" w:hAnsi="Arial" w:cs="Arial"/>
          <w:b/>
          <w:bCs/>
          <w:sz w:val="24"/>
          <w:szCs w:val="24"/>
          <w:u w:val="single"/>
        </w:rPr>
      </w:pPr>
    </w:p>
    <w:p w14:paraId="40797F00"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rPr>
        <w:t>El inciso tercero del artículo 334 de la Constitución Política quedó así: “La sostenibilidad fiscal debe orientar a las Ramas y Órganos del Poder Público, dentro de sus competencias, en un marco de colaboración armónica.” El contenido e interpretación del principio de sostenibilidad fiscal fue desarrollado por la Ley 1473 de 2011, que tiene como objeto “expedir normas que garanticen la sostenibilidad de largo plazo de las finanzas públicas y contribuyan a la estabilidad macroeconómica del país.” (art. 1).</w:t>
      </w:r>
    </w:p>
    <w:p w14:paraId="1009EFCE" w14:textId="77777777" w:rsidR="00343324" w:rsidRPr="00C2222D" w:rsidRDefault="00343324" w:rsidP="00343324">
      <w:pPr>
        <w:spacing w:after="0" w:line="240" w:lineRule="auto"/>
        <w:jc w:val="both"/>
        <w:rPr>
          <w:rFonts w:ascii="Arial" w:hAnsi="Arial" w:cs="Arial"/>
          <w:sz w:val="24"/>
          <w:szCs w:val="24"/>
        </w:rPr>
      </w:pPr>
    </w:p>
    <w:p w14:paraId="68416C47"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rPr>
        <w:t xml:space="preserve">La Corte Constitucional declaró la exequibilidad de este acto legislativo en las sentencias C-332 de 2012 (temas de forma) y C-288 de 2012 (temas de fondo, cargo de sustitución de la Constitución). En dichas sentencias la Corte establece que, aunque la sostenibilidad fiscal no tiene el estatus de principio constitucional, sí es una herramienta para materializar los objetivos del Estado Social de Derecho. En su examen de constitucionalidad, la Corte señaló lo siguiente: “Con todo, la introducción de un Marco de Sostenibilidad Fiscal para el ejercicio de la intervención del Estado en la economía tiene, en virtud de la siguiente disposición normativa contenida en la reforma que determina el objetivo de dicho marco, un propósito definido: fungir como instrumento para alcanzar de manera progresiva los objetivos del Estado Social de Derecho. Esta previsión es importante, pues vincula a la Sostenibilidad Fiscal con los fines esenciales del Estado y, en suma, con la cláusula de Estado Social de Derecho, en los términos explicados en esta sentencia sobre el contenido y alcance de ese eje estructural de la Constitución”. (C-288 de 2012). </w:t>
      </w:r>
    </w:p>
    <w:p w14:paraId="30E3D3B5" w14:textId="77777777" w:rsidR="00343324" w:rsidRPr="00C2222D" w:rsidRDefault="00343324" w:rsidP="00343324">
      <w:pPr>
        <w:spacing w:after="0" w:line="240" w:lineRule="auto"/>
        <w:jc w:val="both"/>
        <w:rPr>
          <w:rFonts w:ascii="Arial" w:hAnsi="Arial" w:cs="Arial"/>
          <w:sz w:val="24"/>
          <w:szCs w:val="24"/>
        </w:rPr>
      </w:pPr>
    </w:p>
    <w:p w14:paraId="2F3DA085" w14:textId="77777777" w:rsidR="00343324" w:rsidRPr="00C2222D" w:rsidRDefault="00343324" w:rsidP="00343324">
      <w:pPr>
        <w:spacing w:after="0" w:line="240" w:lineRule="auto"/>
        <w:jc w:val="both"/>
        <w:rPr>
          <w:rFonts w:ascii="Arial" w:eastAsia="Times New Roman" w:hAnsi="Arial" w:cs="Arial"/>
          <w:sz w:val="24"/>
          <w:szCs w:val="24"/>
          <w:shd w:val="clear" w:color="auto" w:fill="FFFFFF"/>
        </w:rPr>
      </w:pPr>
      <w:r w:rsidRPr="00C2222D">
        <w:rPr>
          <w:rFonts w:ascii="Arial" w:eastAsia="Times New Roman" w:hAnsi="Arial" w:cs="Arial"/>
          <w:sz w:val="24"/>
          <w:szCs w:val="24"/>
          <w:shd w:val="clear" w:color="auto" w:fill="FFFFFF"/>
        </w:rPr>
        <w:t>La Corte también “descarta la existencia de un carácter </w:t>
      </w:r>
      <w:r w:rsidRPr="00C2222D">
        <w:rPr>
          <w:rFonts w:ascii="Arial" w:eastAsia="Times New Roman" w:hAnsi="Arial" w:cs="Arial"/>
          <w:i/>
          <w:iCs/>
          <w:sz w:val="24"/>
          <w:szCs w:val="24"/>
          <w:bdr w:val="none" w:sz="0" w:space="0" w:color="auto" w:frame="1"/>
          <w:shd w:val="clear" w:color="auto" w:fill="FFFFFF"/>
        </w:rPr>
        <w:t>coactivo </w:t>
      </w:r>
      <w:r w:rsidRPr="00C2222D">
        <w:rPr>
          <w:rFonts w:ascii="Arial" w:eastAsia="Times New Roman" w:hAnsi="Arial" w:cs="Arial"/>
          <w:sz w:val="24"/>
          <w:szCs w:val="24"/>
          <w:shd w:val="clear" w:color="auto" w:fill="FFFFFF"/>
        </w:rPr>
        <w:t xml:space="preserve">en la aplicación de la Sostenibilidad Fiscal, en relación con el cumplimiento de las funciones a cargo de las autoridades estatales.” (C-870 de 2014). Se recuerda siempre que la Sostenibilidad Fiscal solo puede usarse para conseguir los fines del Estado Social de Derecho y nunca para menoscabar el cumplimiento de derechos. “La cláusula prohibitiva de mayor alcance está contenida en el parágrafo adicionado al artículo 334 Constitución Política, según el cual ninguna autoridad estatal podrá invocar la Sostenibilidad Fiscal para menoscabar los derechos fundamentales, restringir su alcance o negar su protección efectiva. Aunque esta previsión inicia señalando que su ámbito de aplicación refiere al ‘presente artículo’, lo que incidiría en la aplicación de la Sostenibilidad Fiscal en la intervención del Estado en la economía, al igual que respecto del incidente de impacto fiscal, ello no implica que la citada cláusula de </w:t>
      </w:r>
      <w:r w:rsidRPr="00C2222D">
        <w:rPr>
          <w:rFonts w:ascii="Arial" w:eastAsia="Times New Roman" w:hAnsi="Arial" w:cs="Arial"/>
          <w:sz w:val="24"/>
          <w:szCs w:val="24"/>
          <w:shd w:val="clear" w:color="auto" w:fill="FFFFFF"/>
        </w:rPr>
        <w:lastRenderedPageBreak/>
        <w:t>prohibición no sea predicable de cualquier escenario de uso o invocación de la Sostenibilidad Fiscal” (C-288 de 2012)</w:t>
      </w:r>
    </w:p>
    <w:p w14:paraId="6A43D905" w14:textId="77777777" w:rsidR="00343324" w:rsidRPr="00C2222D" w:rsidRDefault="00343324" w:rsidP="00343324">
      <w:pPr>
        <w:pStyle w:val="Prrafodelista"/>
        <w:jc w:val="both"/>
        <w:rPr>
          <w:rFonts w:ascii="Arial" w:hAnsi="Arial" w:cs="Arial"/>
          <w:sz w:val="24"/>
          <w:szCs w:val="24"/>
          <w:lang w:val="es-ES"/>
        </w:rPr>
      </w:pPr>
    </w:p>
    <w:p w14:paraId="0BA108C4" w14:textId="28F66080" w:rsidR="00343324" w:rsidRPr="00C2222D" w:rsidRDefault="00343324" w:rsidP="00C2222D">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En la práctica, por cada dos años tenemos dos años consecutivos electorales que aumentan considerablemente los costos fiscales para su realización, pero, además, también tiene un factor sociológico que influye negativamente en el comportamiento electoral, en la medida que fatiga al electorado y lo fastidia por enfrentar campañas electorales excesivamente largas. </w:t>
      </w:r>
    </w:p>
    <w:p w14:paraId="7B61A71B" w14:textId="77777777" w:rsidR="0040294F" w:rsidRPr="00C2222D" w:rsidRDefault="0040294F" w:rsidP="0040294F">
      <w:pPr>
        <w:adjustRightInd w:val="0"/>
        <w:spacing w:after="0" w:line="240" w:lineRule="auto"/>
        <w:jc w:val="both"/>
        <w:textAlignment w:val="center"/>
        <w:rPr>
          <w:rFonts w:ascii="Arial" w:hAnsi="Arial" w:cs="Arial"/>
          <w:sz w:val="24"/>
          <w:szCs w:val="24"/>
        </w:rPr>
      </w:pPr>
    </w:p>
    <w:p w14:paraId="6C54A6C0" w14:textId="042E1B6A" w:rsidR="0040294F" w:rsidRPr="00C2222D" w:rsidRDefault="0040294F" w:rsidP="0040294F">
      <w:pPr>
        <w:rPr>
          <w:rFonts w:ascii="Arial" w:hAnsi="Arial" w:cs="Arial"/>
          <w:b/>
          <w:sz w:val="24"/>
          <w:szCs w:val="24"/>
        </w:rPr>
      </w:pPr>
      <w:r w:rsidRPr="00C2222D">
        <w:rPr>
          <w:rFonts w:ascii="Arial" w:hAnsi="Arial" w:cs="Arial"/>
          <w:b/>
          <w:sz w:val="24"/>
          <w:szCs w:val="24"/>
        </w:rPr>
        <w:t>VI. JUSTIFICACIÓN DEL PROYECTO</w:t>
      </w:r>
    </w:p>
    <w:p w14:paraId="048F1B33" w14:textId="35B414BF"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El objetivo principal de la presente reforma constitucional es solucionar un problema estructural del diseño institucional del Estado colombiano que tiene que ver con los mandatos constitucionales sobre la planeación económica en todos los niveles. Sin lugar a duda, uno de los propósitos del constituyente de 1991 fue el de profundizar sobre las ideas de planeación económica, que ya había echado raíces desde la reforma de 1968.</w:t>
      </w:r>
    </w:p>
    <w:p w14:paraId="01132968"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57281EE5"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Para el Constituyente de 1991, “la planeación es el origen y al mismo tiempo la base para la toma de decisiones.</w:t>
      </w:r>
      <w:r w:rsidRPr="00C2222D">
        <w:rPr>
          <w:rFonts w:ascii="Arial" w:hAnsi="Arial" w:cs="Arial"/>
          <w:sz w:val="24"/>
          <w:szCs w:val="24"/>
          <w:shd w:val="clear" w:color="auto" w:fill="FFFFFF"/>
        </w:rPr>
        <w:t xml:space="preserve"> Es igualmente, la herramienta principal para el logro de los fines que se trazan en cualquier organización. Por lo tanto, </w:t>
      </w:r>
      <w:r w:rsidRPr="00C2222D">
        <w:rPr>
          <w:rFonts w:ascii="Arial" w:hAnsi="Arial" w:cs="Arial"/>
          <w:b/>
          <w:sz w:val="24"/>
          <w:szCs w:val="24"/>
          <w:shd w:val="clear" w:color="auto" w:fill="FFFFFF"/>
        </w:rPr>
        <w:t>ésta es esencial en el manejo de esa gran organización llamada Estado</w:t>
      </w:r>
      <w:r w:rsidRPr="00C2222D">
        <w:rPr>
          <w:rFonts w:ascii="Arial" w:hAnsi="Arial" w:cs="Arial"/>
          <w:sz w:val="24"/>
          <w:szCs w:val="24"/>
          <w:shd w:val="clear" w:color="auto" w:fill="FFFFFF"/>
        </w:rPr>
        <w:t xml:space="preserve">, por lo que se requiere que su aplicación </w:t>
      </w:r>
      <w:r w:rsidRPr="00C2222D">
        <w:rPr>
          <w:rFonts w:ascii="Arial" w:hAnsi="Arial" w:cs="Arial"/>
          <w:b/>
          <w:sz w:val="24"/>
          <w:szCs w:val="24"/>
          <w:shd w:val="clear" w:color="auto" w:fill="FFFFFF"/>
        </w:rPr>
        <w:t>sea eficaz y eficiente</w:t>
      </w:r>
      <w:r w:rsidRPr="00C2222D">
        <w:rPr>
          <w:rFonts w:ascii="Arial" w:hAnsi="Arial" w:cs="Arial"/>
          <w:sz w:val="24"/>
          <w:szCs w:val="24"/>
          <w:shd w:val="clear" w:color="auto" w:fill="FFFFFF"/>
        </w:rPr>
        <w:t>, y la eficiencia de un proceso de planeación está directamente ligada a la consecución de sus objetivos, en un tiempo razonable y a un costo racional y posible” (Informe ponencia presentado por el Constituyente Eduardo Espinosa Faciolince. </w:t>
      </w:r>
      <w:r w:rsidRPr="00C2222D">
        <w:rPr>
          <w:rFonts w:ascii="Arial" w:hAnsi="Arial" w:cs="Arial"/>
          <w:i/>
          <w:sz w:val="24"/>
          <w:szCs w:val="24"/>
          <w:shd w:val="clear" w:color="auto" w:fill="FFFFFF"/>
        </w:rPr>
        <w:t>Gaceta Constitucional,</w:t>
      </w:r>
      <w:r w:rsidRPr="00C2222D">
        <w:rPr>
          <w:rFonts w:ascii="Arial" w:hAnsi="Arial" w:cs="Arial"/>
          <w:sz w:val="24"/>
          <w:szCs w:val="24"/>
          <w:shd w:val="clear" w:color="auto" w:fill="FFFFFF"/>
        </w:rPr>
        <w:t xml:space="preserve"> No. 44 del 12 de abril de 1991, pág. 2.).</w:t>
      </w:r>
    </w:p>
    <w:p w14:paraId="3936262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6D62D892"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En efecto, el artículo 339 superior señala que habrá un </w:t>
      </w:r>
      <w:r w:rsidRPr="00C2222D">
        <w:rPr>
          <w:rFonts w:ascii="Arial" w:eastAsia="Times New Roman" w:hAnsi="Arial" w:cs="Arial"/>
          <w:i/>
          <w:sz w:val="24"/>
          <w:szCs w:val="24"/>
          <w:lang w:eastAsia="es-CO"/>
        </w:rPr>
        <w:t>“Plan Nacional de Desarrollo”</w:t>
      </w:r>
      <w:r w:rsidRPr="00C2222D">
        <w:rPr>
          <w:rFonts w:ascii="Arial" w:eastAsia="Times New Roman" w:hAnsi="Arial" w:cs="Arial"/>
          <w:sz w:val="24"/>
          <w:szCs w:val="24"/>
          <w:lang w:eastAsia="es-CO"/>
        </w:rPr>
        <w:t xml:space="preserve"> que deberá contener los distintos propósitos y objetivos nacionales a largo plazo, así como las prioridades de la acción estatal a mediano plazo, como también el plan nacional de inversiones públicas.</w:t>
      </w:r>
    </w:p>
    <w:p w14:paraId="041B458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25477336"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Asimismo, la misma norma constitucional señala que </w:t>
      </w:r>
      <w:r w:rsidRPr="00C2222D">
        <w:rPr>
          <w:rFonts w:ascii="Arial" w:eastAsia="Times New Roman" w:hAnsi="Arial" w:cs="Arial"/>
          <w:i/>
          <w:sz w:val="24"/>
          <w:szCs w:val="24"/>
          <w:lang w:eastAsia="es-CO"/>
        </w:rPr>
        <w:t xml:space="preserve">“las entidades territoriales” </w:t>
      </w:r>
      <w:r w:rsidRPr="00C2222D">
        <w:rPr>
          <w:rFonts w:ascii="Arial" w:eastAsia="Times New Roman" w:hAnsi="Arial" w:cs="Arial"/>
          <w:sz w:val="24"/>
          <w:szCs w:val="24"/>
          <w:lang w:eastAsia="es-CO"/>
        </w:rPr>
        <w:t xml:space="preserve">deberán elaborar y adoptar sus planes de desarrollo para asegurar el uso eficiente de los recursos y el ejercicio óptimo de sus competencias asignadas por la propia Constitución. Es claro que esta competencia de las entidades territoriales se enmarca dentro del principio constitucional de la </w:t>
      </w:r>
      <w:r w:rsidRPr="00C2222D">
        <w:rPr>
          <w:rFonts w:ascii="Arial" w:eastAsia="Times New Roman" w:hAnsi="Arial" w:cs="Arial"/>
          <w:i/>
          <w:sz w:val="24"/>
          <w:szCs w:val="24"/>
          <w:lang w:eastAsia="es-CO"/>
        </w:rPr>
        <w:t>“autonomía”</w:t>
      </w:r>
      <w:r w:rsidRPr="00C2222D">
        <w:rPr>
          <w:rFonts w:ascii="Arial" w:eastAsia="Times New Roman" w:hAnsi="Arial" w:cs="Arial"/>
          <w:sz w:val="24"/>
          <w:szCs w:val="24"/>
          <w:lang w:eastAsia="es-CO"/>
        </w:rPr>
        <w:t>, previsto en el artículo 1°, cuyo desarrollo constitucional se encuentra en el artículo 287 superior, que previene que las entidades territoriales tienen autonomía para ejercer las competencias que le correspondan.</w:t>
      </w:r>
    </w:p>
    <w:p w14:paraId="411B9B4F"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5B22047B"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No obstante, esta atribución constitucional encuentra un límite en el propio texto: la discusión de estos planes territoriales de desarrollo deberán ser adoptados </w:t>
      </w:r>
      <w:r w:rsidRPr="00C2222D">
        <w:rPr>
          <w:rFonts w:ascii="Arial" w:eastAsia="Times New Roman" w:hAnsi="Arial" w:cs="Arial"/>
          <w:i/>
          <w:sz w:val="24"/>
          <w:szCs w:val="24"/>
          <w:lang w:eastAsia="es-CO"/>
        </w:rPr>
        <w:t>“de manera concertada entre ellas y el gobierno nacional”</w:t>
      </w:r>
      <w:r w:rsidRPr="00C2222D">
        <w:rPr>
          <w:rFonts w:ascii="Arial" w:eastAsia="Times New Roman" w:hAnsi="Arial" w:cs="Arial"/>
          <w:sz w:val="24"/>
          <w:szCs w:val="24"/>
          <w:lang w:eastAsia="es-CO"/>
        </w:rPr>
        <w:t xml:space="preserve">. Pues bien, la manera más </w:t>
      </w:r>
      <w:r w:rsidRPr="00C2222D">
        <w:rPr>
          <w:rFonts w:ascii="Arial" w:eastAsia="Times New Roman" w:hAnsi="Arial" w:cs="Arial"/>
          <w:sz w:val="24"/>
          <w:szCs w:val="24"/>
          <w:lang w:eastAsia="es-CO"/>
        </w:rPr>
        <w:lastRenderedPageBreak/>
        <w:t>eficiente y coherente para el ejercicio de esta función debería partir del supuesto que los períodos de las autoridades encargadas de elaborar y adoptar los planes de desarrollo coincidan en el tiempo, tanto en su duración como en el ejercicio efectivo de los mismos.</w:t>
      </w:r>
    </w:p>
    <w:p w14:paraId="4312DA45"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54C5F02" w14:textId="77777777" w:rsidR="00343324" w:rsidRPr="00C2222D" w:rsidRDefault="00343324" w:rsidP="00343324">
      <w:p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La adopción del plan nacional de desarrollo y la participación de las entidades territoriales</w:t>
      </w:r>
    </w:p>
    <w:p w14:paraId="1DE5B6AE" w14:textId="77777777" w:rsidR="00343324" w:rsidRPr="00C2222D" w:rsidRDefault="00343324" w:rsidP="00343324">
      <w:pPr>
        <w:pStyle w:val="Prrafodelista"/>
        <w:jc w:val="both"/>
        <w:rPr>
          <w:rFonts w:ascii="Arial" w:eastAsia="Times New Roman" w:hAnsi="Arial" w:cs="Arial"/>
          <w:sz w:val="24"/>
          <w:szCs w:val="24"/>
          <w:u w:val="single"/>
          <w:lang w:eastAsia="es-CO"/>
        </w:rPr>
      </w:pPr>
    </w:p>
    <w:p w14:paraId="109DFAB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De conformidad con el artículo 341 constitucional, le corresponde al Gobierno Nacional elaborar el plan nacional de desarrollo con la participación activa, entre otros, de las “entidades territoriales”, y deberá presentarlo al Concepto del Consejo Nacional de Planeación. Una vez oída la opinión de este consejo, deberá presentarlo a consideración del Congreso dentro de los primeros seis meses siguientes al inicio del período presidencial.</w:t>
      </w:r>
    </w:p>
    <w:p w14:paraId="17A81F97"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27D0A6EB"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Ahora bien, como se puede apreciar, el constituyente dispuso de toda una serie de instrumentos que permitan la participación efectiva de las entidades territoriales en la elaboración, aprobación y ejecución de los planes de desarrollo, que se inicia en con el proceso de concertación con el Gobierno Nacional y su presencia en el Consejo Nacional de Planeación. Así lo ha puesto de presente el juez constitucional:</w:t>
      </w:r>
    </w:p>
    <w:p w14:paraId="0AA04EA8"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2F628DF" w14:textId="77777777" w:rsidR="00343324" w:rsidRPr="00C2222D" w:rsidRDefault="00343324" w:rsidP="00343324">
      <w:pPr>
        <w:spacing w:after="0" w:line="240" w:lineRule="auto"/>
        <w:jc w:val="both"/>
        <w:rPr>
          <w:rFonts w:ascii="Arial" w:hAnsi="Arial" w:cs="Arial"/>
          <w:sz w:val="24"/>
          <w:szCs w:val="24"/>
          <w:shd w:val="clear" w:color="auto" w:fill="FFFFFF"/>
        </w:rPr>
      </w:pPr>
      <w:r w:rsidRPr="00C2222D">
        <w:rPr>
          <w:rFonts w:ascii="Arial" w:hAnsi="Arial" w:cs="Arial"/>
          <w:i/>
          <w:sz w:val="24"/>
          <w:szCs w:val="24"/>
          <w:shd w:val="clear" w:color="auto" w:fill="FFFFFF"/>
        </w:rPr>
        <w:t xml:space="preserve">La participación de las entidades territoriales es mayor, en la medida en que hacen parte del Consejo Nacional de Planeación, órgano consultivo del Gobierno para la elaboración del Plan (Artículo 340 Constitución Política), y podrán participar activamente en la elaboración del mismo, según lo dispone el artículo 341 del nuevo Estatuto Superior… </w:t>
      </w:r>
      <w:r w:rsidRPr="00C2222D">
        <w:rPr>
          <w:rFonts w:ascii="Arial" w:hAnsi="Arial" w:cs="Arial"/>
          <w:sz w:val="24"/>
          <w:szCs w:val="24"/>
          <w:shd w:val="clear" w:color="auto" w:fill="FFFFFF"/>
        </w:rPr>
        <w:t>(Corte Constitucional. Sentencia C-524 de 2003).</w:t>
      </w:r>
    </w:p>
    <w:p w14:paraId="788AC26F" w14:textId="77777777" w:rsidR="00343324" w:rsidRPr="00C2222D" w:rsidRDefault="00343324" w:rsidP="00343324">
      <w:pPr>
        <w:spacing w:after="0" w:line="240" w:lineRule="auto"/>
        <w:jc w:val="both"/>
        <w:rPr>
          <w:rFonts w:ascii="Arial" w:hAnsi="Arial" w:cs="Arial"/>
          <w:sz w:val="24"/>
          <w:szCs w:val="24"/>
          <w:shd w:val="clear" w:color="auto" w:fill="FFFFFF"/>
        </w:rPr>
      </w:pPr>
    </w:p>
    <w:p w14:paraId="7E520AD7" w14:textId="77777777" w:rsidR="00343324" w:rsidRPr="00C2222D" w:rsidRDefault="00343324" w:rsidP="00343324">
      <w:pPr>
        <w:spacing w:after="0" w:line="240" w:lineRule="auto"/>
        <w:jc w:val="both"/>
        <w:rPr>
          <w:rFonts w:ascii="Arial" w:hAnsi="Arial" w:cs="Arial"/>
          <w:sz w:val="24"/>
          <w:szCs w:val="24"/>
          <w:shd w:val="clear" w:color="auto" w:fill="FFFFFF"/>
        </w:rPr>
      </w:pPr>
      <w:r w:rsidRPr="00C2222D">
        <w:rPr>
          <w:rFonts w:ascii="Arial" w:hAnsi="Arial" w:cs="Arial"/>
          <w:sz w:val="24"/>
          <w:szCs w:val="24"/>
          <w:shd w:val="clear" w:color="auto" w:fill="FFFFFF"/>
        </w:rPr>
        <w:t>Pero también el constituyente les atribuyó a las entidades territoriales competencias en materia de planificación del desarrollo en el ámbito de sus territorios. Así, por ejemplo, el artículo 298 señala como objetivos del departamento la planificación y promoción del desarrollo económico y social de su territorio. Prevé, que les corresponderá a las asambleas departamentales adoptar los respectivos planes y programas de desarrollo económico y social, de conformidad con el proyecto que deberá presentar oportunamente el gobernador a dicha corporación.</w:t>
      </w:r>
    </w:p>
    <w:p w14:paraId="2C76D750" w14:textId="77777777" w:rsidR="00343324" w:rsidRPr="00C2222D" w:rsidRDefault="00343324" w:rsidP="00343324">
      <w:pPr>
        <w:spacing w:after="0" w:line="240" w:lineRule="auto"/>
        <w:jc w:val="both"/>
        <w:rPr>
          <w:rFonts w:ascii="Arial" w:hAnsi="Arial" w:cs="Arial"/>
          <w:sz w:val="24"/>
          <w:szCs w:val="24"/>
          <w:shd w:val="clear" w:color="auto" w:fill="FFFFFF"/>
        </w:rPr>
      </w:pPr>
    </w:p>
    <w:p w14:paraId="662EDF9E"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shd w:val="clear" w:color="auto" w:fill="FFFFFF"/>
        </w:rPr>
        <w:t xml:space="preserve">En el mismo sentido, en el ámbito municipal. En efecto, al municipio como entidad fundamental de la división político-administrativa </w:t>
      </w:r>
      <w:r w:rsidRPr="00C2222D">
        <w:rPr>
          <w:rFonts w:ascii="Arial" w:hAnsi="Arial" w:cs="Arial"/>
          <w:i/>
          <w:sz w:val="24"/>
          <w:szCs w:val="24"/>
          <w:shd w:val="clear" w:color="auto" w:fill="FFFFFF"/>
        </w:rPr>
        <w:t xml:space="preserve">le corresponde </w:t>
      </w:r>
      <w:r w:rsidRPr="00C2222D">
        <w:rPr>
          <w:rFonts w:ascii="Arial" w:hAnsi="Arial" w:cs="Arial"/>
          <w:i/>
          <w:sz w:val="24"/>
          <w:szCs w:val="24"/>
        </w:rPr>
        <w:t xml:space="preserve">prestar los servicios públicos que determine la ley, construir las obras que demande el progreso local, ordenar el desarrollo de su territorio, promover la participación comunitaria, el mejoramiento social y cultural de sus habitantes. </w:t>
      </w:r>
      <w:r w:rsidRPr="00C2222D">
        <w:rPr>
          <w:rFonts w:ascii="Arial" w:hAnsi="Arial" w:cs="Arial"/>
          <w:sz w:val="24"/>
          <w:szCs w:val="24"/>
        </w:rPr>
        <w:t>Para tal fin, los concejos municipales “adoptarán los correspondientes planes y programas de desarrollo económico y social y de obras públicas”, de conformidad con los proyectos de acuerdo que presente el respectivo alcalde.</w:t>
      </w:r>
    </w:p>
    <w:p w14:paraId="2F459C26" w14:textId="77777777" w:rsidR="00343324" w:rsidRPr="00C2222D" w:rsidRDefault="00343324" w:rsidP="00343324">
      <w:pPr>
        <w:spacing w:after="0" w:line="240" w:lineRule="auto"/>
        <w:jc w:val="both"/>
        <w:rPr>
          <w:rFonts w:ascii="Arial" w:hAnsi="Arial" w:cs="Arial"/>
          <w:sz w:val="24"/>
          <w:szCs w:val="24"/>
        </w:rPr>
      </w:pPr>
    </w:p>
    <w:p w14:paraId="1C8418ED"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rPr>
        <w:lastRenderedPageBreak/>
        <w:t>Entonces, en materia de planeación económica encontramos una serie de competencias a las distintas autoridades nacionales, regionales y territoriales en materia de planeación, que obliga a establecer una serie de principios que permitan un adecuado desarrollo de dichas competencias en los distintos niveles. Así, por ejemplo, el artículo 3° de la Ley 152 de 1994 (ley orgánica del plan de desarrollo) señala, entre muchos, los de autonomía, ordenación de competencias y coordinación:</w:t>
      </w:r>
    </w:p>
    <w:p w14:paraId="12BCFBA4" w14:textId="77777777" w:rsidR="00343324" w:rsidRPr="00C2222D" w:rsidRDefault="00343324" w:rsidP="00343324">
      <w:pPr>
        <w:spacing w:after="0" w:line="240" w:lineRule="auto"/>
        <w:jc w:val="both"/>
        <w:rPr>
          <w:rFonts w:ascii="Arial" w:hAnsi="Arial" w:cs="Arial"/>
          <w:sz w:val="24"/>
          <w:szCs w:val="24"/>
        </w:rPr>
      </w:pPr>
    </w:p>
    <w:p w14:paraId="770E7740" w14:textId="77777777" w:rsidR="00343324" w:rsidRPr="00C2222D" w:rsidRDefault="00343324" w:rsidP="00343324">
      <w:pPr>
        <w:spacing w:after="0" w:line="240" w:lineRule="auto"/>
        <w:jc w:val="both"/>
        <w:rPr>
          <w:rFonts w:ascii="Arial" w:eastAsia="Times New Roman" w:hAnsi="Arial" w:cs="Arial"/>
          <w:i/>
          <w:sz w:val="24"/>
          <w:szCs w:val="24"/>
          <w:lang w:eastAsia="es-CO"/>
        </w:rPr>
      </w:pPr>
      <w:r w:rsidRPr="00C2222D">
        <w:rPr>
          <w:rFonts w:ascii="Arial" w:eastAsia="Times New Roman" w:hAnsi="Arial" w:cs="Arial"/>
          <w:i/>
          <w:sz w:val="24"/>
          <w:szCs w:val="24"/>
          <w:lang w:eastAsia="es-CO"/>
        </w:rPr>
        <w:t>a) Autonomía. La Nación y las entidades territoriales ejercerán libremente sus funciones en materia de planificación con estricta sujeción a las atribuciones que a cada una de ellas se les haya específicamente asignado en la Constitución y la ley, así como a las disposiciones y principios contenidos en la presente Ley orgánica;</w:t>
      </w:r>
    </w:p>
    <w:p w14:paraId="0101C6B1" w14:textId="77777777" w:rsidR="00343324" w:rsidRPr="00C2222D" w:rsidRDefault="00343324" w:rsidP="00343324">
      <w:pPr>
        <w:spacing w:after="0" w:line="240" w:lineRule="auto"/>
        <w:jc w:val="both"/>
        <w:rPr>
          <w:rFonts w:ascii="Arial" w:eastAsia="Times New Roman" w:hAnsi="Arial" w:cs="Arial"/>
          <w:i/>
          <w:sz w:val="24"/>
          <w:szCs w:val="24"/>
          <w:lang w:eastAsia="es-CO"/>
        </w:rPr>
      </w:pPr>
      <w:r w:rsidRPr="00C2222D">
        <w:rPr>
          <w:rFonts w:ascii="Arial" w:eastAsia="Times New Roman" w:hAnsi="Arial" w:cs="Arial"/>
          <w:i/>
          <w:sz w:val="24"/>
          <w:szCs w:val="24"/>
          <w:lang w:eastAsia="es-CO"/>
        </w:rPr>
        <w:t>b) Ordenación de competencias. En el contenido de los planes de desarrollo se tendrán en cuenta, para efectos del ejercicio de las respectivas competencias, la observancia de los criterios de concurrencia, complementariedad y subsidiariedad;</w:t>
      </w:r>
    </w:p>
    <w:p w14:paraId="3C303244" w14:textId="77777777" w:rsidR="00343324" w:rsidRPr="00C2222D" w:rsidRDefault="00343324" w:rsidP="00343324">
      <w:pPr>
        <w:spacing w:after="0" w:line="240" w:lineRule="auto"/>
        <w:jc w:val="both"/>
        <w:rPr>
          <w:rFonts w:ascii="Arial" w:eastAsia="Times New Roman" w:hAnsi="Arial" w:cs="Arial"/>
          <w:i/>
          <w:sz w:val="24"/>
          <w:szCs w:val="24"/>
          <w:lang w:eastAsia="es-CO"/>
        </w:rPr>
      </w:pPr>
      <w:r w:rsidRPr="00C2222D">
        <w:rPr>
          <w:rFonts w:ascii="Arial" w:eastAsia="Times New Roman" w:hAnsi="Arial" w:cs="Arial"/>
          <w:i/>
          <w:sz w:val="24"/>
          <w:szCs w:val="24"/>
          <w:lang w:eastAsia="es-CO"/>
        </w:rPr>
        <w:t>c) Coordinación. Las autoridades de planeación del orden nacional, regional y de las entidades territoriales, deberán garantizar que exista la debida armonía y coherencia entre las actividades que realicen a su interior y en relación con las demás instancias territoriales, para efectos de la formulación, ejecución y evaluación de sus planes de desarrollo…</w:t>
      </w:r>
    </w:p>
    <w:p w14:paraId="20053CDD" w14:textId="77777777" w:rsidR="00343324" w:rsidRPr="00C2222D" w:rsidRDefault="00343324" w:rsidP="00343324">
      <w:pPr>
        <w:spacing w:after="0" w:line="240" w:lineRule="auto"/>
        <w:jc w:val="both"/>
        <w:rPr>
          <w:rFonts w:ascii="Arial" w:eastAsia="Times New Roman" w:hAnsi="Arial" w:cs="Arial"/>
          <w:i/>
          <w:sz w:val="24"/>
          <w:szCs w:val="24"/>
          <w:lang w:eastAsia="es-CO"/>
        </w:rPr>
      </w:pPr>
    </w:p>
    <w:p w14:paraId="03FCA748" w14:textId="77777777" w:rsidR="00343324" w:rsidRPr="00C2222D" w:rsidRDefault="00343324" w:rsidP="00343324">
      <w:pPr>
        <w:pStyle w:val="Prrafodelista"/>
        <w:numPr>
          <w:ilvl w:val="0"/>
          <w:numId w:val="27"/>
        </w:num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El plan de desarrollo: articulación del estado unitario y la autonomía de las entidades territoriales</w:t>
      </w:r>
    </w:p>
    <w:p w14:paraId="0EAA2317" w14:textId="77777777" w:rsidR="00343324" w:rsidRPr="00C2222D" w:rsidRDefault="00343324" w:rsidP="00343324">
      <w:pPr>
        <w:pStyle w:val="Prrafodelista"/>
        <w:jc w:val="both"/>
        <w:rPr>
          <w:rFonts w:ascii="Arial" w:eastAsia="Times New Roman" w:hAnsi="Arial" w:cs="Arial"/>
          <w:sz w:val="24"/>
          <w:szCs w:val="24"/>
          <w:u w:val="single"/>
          <w:lang w:eastAsia="es-CO"/>
        </w:rPr>
      </w:pPr>
    </w:p>
    <w:p w14:paraId="3010EA1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El artículo 1° constitucional define la forma territorial del Estado como una república unitaria, que significa que existe un solo centro de impulsión política, que en materia de planeación se traduce en la existencia de competencias centralizadas para la formulación del plan nacional de desarrollo. Sin lugar a dudas, la relación entre planeación económica y régimen presidencial se hace evidente, como lo ha puesto de presente la Corte Constitucional:</w:t>
      </w:r>
    </w:p>
    <w:p w14:paraId="13F1722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0B567C3" w14:textId="77777777" w:rsidR="00343324" w:rsidRPr="00C2222D" w:rsidRDefault="00343324" w:rsidP="00343324">
      <w:pPr>
        <w:spacing w:after="0" w:line="240" w:lineRule="auto"/>
        <w:jc w:val="both"/>
        <w:rPr>
          <w:rFonts w:ascii="Arial" w:hAnsi="Arial" w:cs="Arial"/>
          <w:sz w:val="24"/>
          <w:szCs w:val="24"/>
          <w:shd w:val="clear" w:color="auto" w:fill="FFFFFF"/>
        </w:rPr>
      </w:pPr>
      <w:r w:rsidRPr="00C2222D">
        <w:rPr>
          <w:rFonts w:ascii="Arial" w:hAnsi="Arial" w:cs="Arial"/>
          <w:i/>
          <w:sz w:val="24"/>
          <w:szCs w:val="24"/>
          <w:shd w:val="clear" w:color="auto" w:fill="FFFFFF"/>
        </w:rPr>
        <w:t>Además, existe una clara relación política entre el Plan de Desarrollo y el régimen presidencial en Colombia, que exige armonía entre ellos a partir de la incorporación, en el Plan de Desarrollo, de los compromisos del elegido, que se traducen en políticas institucionales a mediano y largo plazo. Precisamente una característica del régimen democrático es el voto por un programa de gobierno, que se consolida en el vínculo formado entre la voluntad popular y la propuesta de gobierno expuesta por el candidato electo, que ha de reflejarse en el contenido del Plan de Desarrollo, pues no tendría sentido alguno que el pueblo optara por una idea de país futuro, representado en las propuestas de campaña electoral, que no fueran de recibo en el Plan de Desarrollo. </w:t>
      </w:r>
      <w:r w:rsidRPr="00C2222D">
        <w:rPr>
          <w:rFonts w:ascii="Arial" w:hAnsi="Arial" w:cs="Arial"/>
          <w:sz w:val="24"/>
          <w:szCs w:val="24"/>
          <w:shd w:val="clear" w:color="auto" w:fill="FFFFFF"/>
        </w:rPr>
        <w:t>(Corte Constitucional, Sentencia C-524 de 2003).</w:t>
      </w:r>
    </w:p>
    <w:p w14:paraId="3A5A67A7"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94733E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Esta preeminencia del jefe del ejecutivo también la desarrolla el legislador, al señalar expresamente que el Presidente de la República es el máximo orientador </w:t>
      </w:r>
      <w:r w:rsidRPr="00C2222D">
        <w:rPr>
          <w:rFonts w:ascii="Arial" w:eastAsia="Times New Roman" w:hAnsi="Arial" w:cs="Arial"/>
          <w:sz w:val="24"/>
          <w:szCs w:val="24"/>
          <w:lang w:eastAsia="es-CO"/>
        </w:rPr>
        <w:lastRenderedPageBreak/>
        <w:t>de la planeación nacional, mientras que los alcaldes y los gobernadores lo son respecto de la respectiva entidad territorial.</w:t>
      </w:r>
    </w:p>
    <w:p w14:paraId="7B9F14A2"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20E78463"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Pues bien, este diseño institucional sobre los responsables de la planeación ha traído serios problemas, especialmente el relativo a la coherencia que debe existir entre los planes de desarrollo de las entidades territoriales y las políticas y estrategias del plan nacional de desarrollo, teniendo en cuenta la falta de coincidencia de los períodos de quienes son los máximos responsables de la orientación en materia de planeación económica.</w:t>
      </w:r>
    </w:p>
    <w:p w14:paraId="6CCE956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C470057"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Si bien es cierto, los períodos de los alcaldes y gobernadores coinciden en su duración con el del Presidente de la República desde la reforma constitucional de 2002, unos y otros son elegidos para períodos de 4 años, su concomitancia en el tiempo es parcial con ocasión del período de alcaldes y gobernadores que inicialmente fue señalado en 3 años. Luego, cuando el constituyente decide ampliar el período de estas autoridades a 4 años, no los igualó en el tiempo, lo que significa que los períodos de estos jamás podrán coincidir en los términos constitucionales.</w:t>
      </w:r>
    </w:p>
    <w:p w14:paraId="5AE4D4C2"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17C2F770"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Esta circunstancia temporal tiene incidencia en el ejercicio de competencias en materia de planeación del desarrollo económico y social del Estado, tanto en el sector nacional como en el ámbito territorial. No se puede pasar por alto que, teniendo en cuenta los tiempos y procedimientos establecidos en la Constitución y en la ley, primero se aprueba el Plan Nacional de Desarrollo, que deberá presentar a consideración del Congreso el Presidente de la República, dentro de los seis meses siguientes al inicio del período presidencial; luego vendrán los planes territoriales de desarrollo que deberán presentar los alcaldes y gobernadores a consideración de los respectivos concejos y asambleas dentro de los primeros 4 meses del inicio del período constitucional de los mandatarios locales.</w:t>
      </w:r>
    </w:p>
    <w:p w14:paraId="2D9B38D0"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6DF5516"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Lo anterior significa que al momento de iniciar el nuevo período presidencial también se empieza el proceso de elaboración del proyecto del plan nacional de desarrollo, cuya formulación inicial le corresponde, una vez elegido, al Presidente de la República con participación activa de las entidades territoriales. Sin embargo, resulta que estas entidades territoriales, en virtud de los derechos que se desprenden de su autonomía, ya formularon y adoptaron sus planes seccionales y locales de desarrollo, de manera coordinada con un plan nacional de desarrollo de otro gobierno. </w:t>
      </w:r>
    </w:p>
    <w:p w14:paraId="30CFF872"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57B03E2"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Es evidente que los planes territoriales de planeación deberán armonizarse con dos planes nacionales de desarrollo, que puede contener metas, objetivos o prioridades distintas, afectando de manera grave diversos principios generales que rigen en materia de planeación, entre ellos el de la coordinación que debe existir entre las autoridades de planeación del orden nacional, regional y de las entidades territoriales, con el fin de que exista la debida armonía y coherencia entre las actividades que realicen a su interior y en relación con las demás instancias </w:t>
      </w:r>
      <w:r w:rsidRPr="00C2222D">
        <w:rPr>
          <w:rFonts w:ascii="Arial" w:eastAsia="Times New Roman" w:hAnsi="Arial" w:cs="Arial"/>
          <w:sz w:val="24"/>
          <w:szCs w:val="24"/>
          <w:lang w:eastAsia="es-CO"/>
        </w:rPr>
        <w:lastRenderedPageBreak/>
        <w:t>territoriales, para efectos de la formulación, ejecución y evaluación de sus planes de desarrollo, como se prescribe en la ley orgánica de los planes de desarrollo.</w:t>
      </w:r>
    </w:p>
    <w:p w14:paraId="4B50C01B"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73E69ED4"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Así las cosas, desde el punto de vista práctico, los gobernadores y alcaldes una vez elegidos deben preparar y presentar a consideración de las respectivas corporaciones públicas los planes seccionales y locales de planeación que deberán estar articulados con los planes de los diversos niveles, entre sí y con el Plan Nacional de Desarrollo que ya se encuentra aprobado.</w:t>
      </w:r>
    </w:p>
    <w:p w14:paraId="71680EBE"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00A863C"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Luego, cuando han transcurrido algo más de dos años y medio con los planes territoriales de desarrollo, llega un nuevo Presidente quien deberá presentar a consideración de las autoridades correspondientes de planeación el nuevo Plan Nacional de Desarrollo, que deberá armonizarse con los planes territoriales que ya fueron adoptados. </w:t>
      </w:r>
    </w:p>
    <w:p w14:paraId="6ECC8555"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7241068" w14:textId="77777777" w:rsidR="00343324" w:rsidRPr="00C2222D" w:rsidRDefault="00343324" w:rsidP="00343324">
      <w:pPr>
        <w:pStyle w:val="Prrafodelista"/>
        <w:numPr>
          <w:ilvl w:val="0"/>
          <w:numId w:val="27"/>
        </w:num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Restricciones en la contratación estatal en época electoral: pausa en la toma de decisiones que afectan el desarrollo territorial</w:t>
      </w:r>
    </w:p>
    <w:p w14:paraId="7D962970" w14:textId="77777777" w:rsidR="00343324" w:rsidRPr="00C2222D" w:rsidRDefault="00343324" w:rsidP="00343324">
      <w:pPr>
        <w:pStyle w:val="Prrafodelista"/>
        <w:jc w:val="both"/>
        <w:rPr>
          <w:rFonts w:ascii="Arial" w:eastAsia="Times New Roman" w:hAnsi="Arial" w:cs="Arial"/>
          <w:sz w:val="24"/>
          <w:szCs w:val="24"/>
          <w:u w:val="single"/>
          <w:lang w:eastAsia="es-CO"/>
        </w:rPr>
      </w:pPr>
    </w:p>
    <w:p w14:paraId="04C0AEB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Teniendo en cuenta la falta de coincidencia cronológica de los períodos de las autoridades de elección popular, siempre vamos a encontrar unas elecciones parlamentarias y presidenciales en la mitad del mandato de las autoridades territoriales, que terminan por afectar el normal desarrollo de los programas y proyectos que se están ejecutando conforme a los planes seccionales y territoriales de planeación.</w:t>
      </w:r>
    </w:p>
    <w:p w14:paraId="6EFB743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FA6B56E"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En primer lugar, por el desarrollo de las propias campañas electorales que terminan por politizar las administraciones públicas o bien por la pretensión de algunos actores políticos de involucrarlas indebidamente a favor o en contra de alguna de ellas. No son pocas las acusaciones que se presentan en épocas electorales sobre la neutralidad o imparcialidad de los funcionarios o autoridades públicas, por ejemplo, las denuncias sobre indebida participación en política.</w:t>
      </w:r>
    </w:p>
    <w:p w14:paraId="798B0736"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65A0A30B"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Como si lo anterior no fuera suficiente, estas elecciones nacionales a mitad del período trae aparejado otro inconveniente para las administraciones territoriales que tiene que ver con la aplicación de la ley de garantías electorales (Ley 996 de 2005), que a pesar de haber sido suprimida la reelección presidencial en 2015, que justificó en su momento la expedición de la mencionada ley, aún se encuentra vigente, especialmente en lo relativo a la vinculación de personal y temas de contratación directa.</w:t>
      </w:r>
    </w:p>
    <w:p w14:paraId="5E9BC3B9"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18B06B2C"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Pues bien, teniendo en cuenta lo previsto por la norma antes citada, se prohíbe la contratación directa por parte de todos los entes del Estado, así como restricciones a la vinculación de personal y modificaciones de planta de personal, durante los cuatro meses anteriores a la elección presidencial y hasta la segunda vuelta, si la hubiere. Esto significa una especie de “parálisis” en la toma de decisiones </w:t>
      </w:r>
      <w:r w:rsidRPr="00C2222D">
        <w:rPr>
          <w:rFonts w:ascii="Arial" w:eastAsia="Times New Roman" w:hAnsi="Arial" w:cs="Arial"/>
          <w:sz w:val="24"/>
          <w:szCs w:val="24"/>
          <w:lang w:eastAsia="es-CO"/>
        </w:rPr>
        <w:lastRenderedPageBreak/>
        <w:t>contractuales y nominadoras durante casi 5 meses, con las implicaciones que esto trae para la debida ejecución de los programas de gobierno plasmados en sus respetivos planes de desarrollo.</w:t>
      </w:r>
    </w:p>
    <w:p w14:paraId="430C3E17"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7B6E0A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 las anteriores restricciones, a propósito de la elección presidencial, deberá agregarse la restricción contendida en el artículo 38 de la mencionada ley que en su parágrafo señala que “la nómina del respectivo ente territorial o entidad no se podrá modificar dentro de los cuatro meses anteriores a las elecciones a cargos de elección popular”, es decir, para el caso que nos ocupa, las elecciones parlamentarias. En últimas, las facultades nominadoras de las entidades territoriales quedan prácticamente “congeladas” durante un poco más de siete meses, si tomamos en cuenta los dos procesos electorales (parlamentaria y presidencial).</w:t>
      </w:r>
    </w:p>
    <w:p w14:paraId="4DD560E0"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0DF25508" w14:textId="77777777" w:rsidR="00343324" w:rsidRPr="00C2222D" w:rsidRDefault="00343324" w:rsidP="00343324">
      <w:pPr>
        <w:spacing w:after="0" w:line="240" w:lineRule="auto"/>
        <w:jc w:val="both"/>
        <w:rPr>
          <w:rFonts w:ascii="Arial" w:eastAsia="Times New Roman" w:hAnsi="Arial" w:cs="Arial"/>
          <w:b/>
          <w:sz w:val="24"/>
          <w:szCs w:val="24"/>
          <w:lang w:eastAsia="es-CO"/>
        </w:rPr>
      </w:pPr>
      <w:r w:rsidRPr="00C2222D">
        <w:rPr>
          <w:rFonts w:ascii="Arial" w:eastAsia="Times New Roman" w:hAnsi="Arial" w:cs="Arial"/>
          <w:sz w:val="24"/>
          <w:szCs w:val="24"/>
          <w:lang w:eastAsia="es-CO"/>
        </w:rPr>
        <w:t xml:space="preserve">Finalmente, llegan las propias elecciones territoriales que implican las mismas restricciones previstas en la ley por cuatro meses más en la parte final del período constitucional. Es decir, las restricciones previstas en la ley de garantías se extienden por casi un año respecto del período constitucional; </w:t>
      </w:r>
      <w:r w:rsidRPr="00C2222D">
        <w:rPr>
          <w:rFonts w:ascii="Arial" w:eastAsia="Times New Roman" w:hAnsi="Arial" w:cs="Arial"/>
          <w:b/>
          <w:sz w:val="24"/>
          <w:szCs w:val="24"/>
          <w:lang w:eastAsia="es-CO"/>
        </w:rPr>
        <w:t xml:space="preserve">en últimas una cuarta parte de período para el cual fueron elegidos. </w:t>
      </w:r>
    </w:p>
    <w:p w14:paraId="24B4DDB6"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2C58E89" w14:textId="1B5D3F8B" w:rsidR="00870310"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Aquí entonces existe un argumento de fondo que justifica la unificación de los períodos de dichas autoridades públicas, teniendo en cuenta estas restricciones previstas en la ley.</w:t>
      </w:r>
    </w:p>
    <w:p w14:paraId="33747740" w14:textId="77777777" w:rsidR="00870310" w:rsidRPr="00C2222D" w:rsidRDefault="00870310" w:rsidP="00343324">
      <w:pPr>
        <w:spacing w:after="0" w:line="240" w:lineRule="auto"/>
        <w:jc w:val="both"/>
        <w:rPr>
          <w:rFonts w:ascii="Arial" w:eastAsia="Times New Roman" w:hAnsi="Arial" w:cs="Arial"/>
          <w:sz w:val="24"/>
          <w:szCs w:val="24"/>
          <w:lang w:eastAsia="es-CO"/>
        </w:rPr>
      </w:pPr>
    </w:p>
    <w:p w14:paraId="0E150CF1" w14:textId="77777777" w:rsidR="00343324" w:rsidRPr="00C2222D" w:rsidRDefault="00343324" w:rsidP="00343324">
      <w:pPr>
        <w:pStyle w:val="Prrafodelista"/>
        <w:numPr>
          <w:ilvl w:val="0"/>
          <w:numId w:val="27"/>
        </w:num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Los costos de las elecciones</w:t>
      </w:r>
    </w:p>
    <w:p w14:paraId="589E37AA" w14:textId="77777777" w:rsidR="00343324" w:rsidRPr="00C2222D" w:rsidRDefault="00343324" w:rsidP="00343324">
      <w:pPr>
        <w:pStyle w:val="Prrafodelista"/>
        <w:jc w:val="both"/>
        <w:rPr>
          <w:rFonts w:ascii="Arial" w:eastAsia="Times New Roman" w:hAnsi="Arial" w:cs="Arial"/>
          <w:sz w:val="24"/>
          <w:szCs w:val="24"/>
          <w:u w:val="single"/>
          <w:lang w:eastAsia="es-CO"/>
        </w:rPr>
      </w:pPr>
    </w:p>
    <w:p w14:paraId="48CA64DA"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rPr>
        <w:t xml:space="preserve">Los altos costos fiscales de los procesos electorales dispersos afectan de manera desproporcionada la sostenibilidad fiscal, la cual es considerada por el artículo 334 de la Constitución Política y por reiterada jurisprudencia de la Corte Constitucional como un “instrumento para alcanzar de manera progresiva los objetivos del Estado Social de Derecho” (artículo 334 CPC). El presente proyecto de acto legislativo reduce de manera significativa dichos costos fiscales y, por lo tanto, contribuye al objetivo de garantizar la sostenibilidad fiscal, entendida como mecanismo para la materialización del Estado Social de Derecho en Colombia. </w:t>
      </w:r>
    </w:p>
    <w:p w14:paraId="178BCED9" w14:textId="77777777" w:rsidR="00343324" w:rsidRPr="00C2222D" w:rsidRDefault="00343324" w:rsidP="00343324">
      <w:pPr>
        <w:spacing w:after="0" w:line="240" w:lineRule="auto"/>
        <w:jc w:val="both"/>
        <w:rPr>
          <w:rFonts w:ascii="Arial" w:hAnsi="Arial" w:cs="Arial"/>
          <w:sz w:val="24"/>
          <w:szCs w:val="24"/>
        </w:rPr>
      </w:pPr>
    </w:p>
    <w:p w14:paraId="698B1187" w14:textId="77777777" w:rsidR="00343324" w:rsidRPr="00C2222D" w:rsidRDefault="00343324" w:rsidP="00343324">
      <w:pPr>
        <w:spacing w:after="0" w:line="240" w:lineRule="auto"/>
        <w:jc w:val="both"/>
        <w:rPr>
          <w:rFonts w:ascii="Arial" w:hAnsi="Arial" w:cs="Arial"/>
          <w:sz w:val="24"/>
          <w:szCs w:val="24"/>
        </w:rPr>
      </w:pPr>
      <w:r w:rsidRPr="00C2222D">
        <w:rPr>
          <w:rFonts w:ascii="Arial" w:hAnsi="Arial" w:cs="Arial"/>
          <w:sz w:val="24"/>
          <w:szCs w:val="24"/>
        </w:rPr>
        <w:t>Muestra de ello son los costos de las elecciones:</w:t>
      </w:r>
    </w:p>
    <w:p w14:paraId="172C58D0" w14:textId="77777777" w:rsidR="00343324" w:rsidRPr="00C2222D" w:rsidRDefault="00343324" w:rsidP="00343324">
      <w:pPr>
        <w:spacing w:after="0" w:line="240" w:lineRule="auto"/>
        <w:jc w:val="both"/>
        <w:rPr>
          <w:rFonts w:ascii="Arial" w:hAnsi="Arial" w:cs="Arial"/>
          <w:b/>
          <w:sz w:val="24"/>
          <w:szCs w:val="24"/>
        </w:rPr>
      </w:pPr>
    </w:p>
    <w:p w14:paraId="1B57E534" w14:textId="77777777"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La primera vuelta de las elecciones presidenciales de 2014 costó 112.000 millones de pesos, y la segunda vuelta de las elecciones costó 86.700 millones de pesos. En total, el costo de las elecciones presidenciales de 2014 ascendió a 198.700 millones de pesos.</w:t>
      </w:r>
      <w:r w:rsidRPr="00C2222D">
        <w:rPr>
          <w:rStyle w:val="Refdenotaalpie"/>
          <w:rFonts w:ascii="Arial" w:hAnsi="Arial" w:cs="Arial"/>
          <w:sz w:val="24"/>
          <w:szCs w:val="24"/>
          <w:lang w:val="es-ES"/>
        </w:rPr>
        <w:footnoteReference w:id="1"/>
      </w:r>
      <w:r w:rsidRPr="00C2222D">
        <w:rPr>
          <w:rFonts w:ascii="Arial" w:hAnsi="Arial" w:cs="Arial"/>
          <w:sz w:val="24"/>
          <w:szCs w:val="24"/>
          <w:lang w:val="es-ES"/>
        </w:rPr>
        <w:t xml:space="preserve"> </w:t>
      </w:r>
    </w:p>
    <w:p w14:paraId="1600B3DD" w14:textId="77777777"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 xml:space="preserve">Según la Registraduría Nacional, las elecciones de 2018 costaron alrededor de 1,2 billones de pesos (entre congreso y primera y segunda vuelta </w:t>
      </w:r>
      <w:r w:rsidRPr="00C2222D">
        <w:rPr>
          <w:rFonts w:ascii="Arial" w:hAnsi="Arial" w:cs="Arial"/>
          <w:sz w:val="24"/>
          <w:szCs w:val="24"/>
          <w:lang w:val="es-ES"/>
        </w:rPr>
        <w:lastRenderedPageBreak/>
        <w:t>presidencial). Las consultas que se realizaron el mismo día de las elecciones de Congreso costaron 32.000 millones de pesos.</w:t>
      </w:r>
      <w:r w:rsidRPr="00C2222D">
        <w:rPr>
          <w:rStyle w:val="Refdenotaalpie"/>
          <w:rFonts w:ascii="Arial" w:hAnsi="Arial" w:cs="Arial"/>
          <w:sz w:val="24"/>
          <w:szCs w:val="24"/>
          <w:lang w:val="es-ES"/>
        </w:rPr>
        <w:footnoteReference w:id="2"/>
      </w:r>
      <w:r w:rsidRPr="00C2222D">
        <w:rPr>
          <w:rFonts w:ascii="Arial" w:hAnsi="Arial" w:cs="Arial"/>
          <w:sz w:val="24"/>
          <w:szCs w:val="24"/>
          <w:lang w:val="es-ES"/>
        </w:rPr>
        <w:t xml:space="preserve"> </w:t>
      </w:r>
    </w:p>
    <w:p w14:paraId="3400F310" w14:textId="77777777"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La consulta liberal realizada en el 2017 costó 41.000 millones de pesos y el plebiscito por la paz de 2016 costó 280.000 millones de pesos. La consulta anticorrupción de agosto de 2018 costó 310.479 millones de pesos.</w:t>
      </w:r>
      <w:r w:rsidRPr="00C2222D">
        <w:rPr>
          <w:rStyle w:val="Refdenotaalpie"/>
          <w:rFonts w:ascii="Arial" w:hAnsi="Arial" w:cs="Arial"/>
          <w:sz w:val="24"/>
          <w:szCs w:val="24"/>
          <w:lang w:val="es-ES"/>
        </w:rPr>
        <w:footnoteReference w:id="3"/>
      </w:r>
      <w:r w:rsidRPr="00C2222D">
        <w:rPr>
          <w:rFonts w:ascii="Arial" w:hAnsi="Arial" w:cs="Arial"/>
          <w:sz w:val="24"/>
          <w:szCs w:val="24"/>
          <w:lang w:val="es-ES"/>
        </w:rPr>
        <w:t xml:space="preserve">  </w:t>
      </w:r>
    </w:p>
    <w:p w14:paraId="2379751F" w14:textId="77777777"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El presupuesto destinado a elecciones en 2017 fue de 297.000 millones de pesos, mientras que en el 2018 fue de 1.3 billones de pesos aproximadamente. Una variación porcentual del 334,7%.</w:t>
      </w:r>
      <w:r w:rsidRPr="00C2222D">
        <w:rPr>
          <w:rStyle w:val="Refdenotaalpie"/>
          <w:rFonts w:ascii="Arial" w:hAnsi="Arial" w:cs="Arial"/>
          <w:sz w:val="24"/>
          <w:szCs w:val="24"/>
          <w:lang w:val="es-ES"/>
        </w:rPr>
        <w:footnoteReference w:id="4"/>
      </w:r>
      <w:r w:rsidRPr="00C2222D">
        <w:rPr>
          <w:rFonts w:ascii="Arial" w:hAnsi="Arial" w:cs="Arial"/>
          <w:sz w:val="24"/>
          <w:szCs w:val="24"/>
          <w:lang w:val="es-ES"/>
        </w:rPr>
        <w:t xml:space="preserve"> </w:t>
      </w:r>
    </w:p>
    <w:p w14:paraId="058EE49B" w14:textId="77777777"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Para las elecciones legislativas de 2018, las campañas reportaron unos gastos por 241.125 millones de pesos.</w:t>
      </w:r>
      <w:r w:rsidRPr="00C2222D">
        <w:rPr>
          <w:rStyle w:val="Refdenotaalpie"/>
          <w:rFonts w:ascii="Arial" w:hAnsi="Arial" w:cs="Arial"/>
          <w:sz w:val="24"/>
          <w:szCs w:val="24"/>
          <w:lang w:val="es-ES"/>
        </w:rPr>
        <w:footnoteReference w:id="5"/>
      </w:r>
    </w:p>
    <w:p w14:paraId="55E4C694" w14:textId="34F610B5" w:rsidR="00343324" w:rsidRPr="00C2222D" w:rsidRDefault="00343324" w:rsidP="00343324">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Las elecciones de 2015 costaron 640.000 millones de pesos, de los cuales 520.000 eran para las elecciones regionales y el resto para consultas partidistas.</w:t>
      </w:r>
      <w:r w:rsidRPr="00C2222D">
        <w:rPr>
          <w:rStyle w:val="Refdenotaalpie"/>
          <w:rFonts w:ascii="Arial" w:hAnsi="Arial" w:cs="Arial"/>
          <w:sz w:val="24"/>
          <w:szCs w:val="24"/>
          <w:lang w:val="es-ES"/>
        </w:rPr>
        <w:footnoteReference w:id="6"/>
      </w:r>
      <w:r w:rsidRPr="00C2222D">
        <w:rPr>
          <w:rFonts w:ascii="Arial" w:hAnsi="Arial" w:cs="Arial"/>
          <w:sz w:val="24"/>
          <w:szCs w:val="24"/>
          <w:lang w:val="es-ES"/>
        </w:rPr>
        <w:t xml:space="preserve"> </w:t>
      </w:r>
    </w:p>
    <w:p w14:paraId="560B389D" w14:textId="31B36D62" w:rsidR="00343324" w:rsidRPr="00C2222D" w:rsidRDefault="00C420F2" w:rsidP="00C2222D">
      <w:pPr>
        <w:pStyle w:val="Prrafodelista"/>
        <w:numPr>
          <w:ilvl w:val="0"/>
          <w:numId w:val="29"/>
        </w:numPr>
        <w:spacing w:after="0" w:line="240" w:lineRule="auto"/>
        <w:jc w:val="both"/>
        <w:rPr>
          <w:rFonts w:ascii="Arial" w:hAnsi="Arial" w:cs="Arial"/>
          <w:sz w:val="24"/>
          <w:szCs w:val="24"/>
          <w:lang w:val="es-ES"/>
        </w:rPr>
      </w:pPr>
      <w:r w:rsidRPr="00C2222D">
        <w:rPr>
          <w:rFonts w:ascii="Arial" w:hAnsi="Arial" w:cs="Arial"/>
          <w:sz w:val="24"/>
          <w:szCs w:val="24"/>
          <w:lang w:val="es-ES"/>
        </w:rPr>
        <w:t>Según la Registraduria Nacional del Estado Civil para las elecciones locales del 2019 es de 868.582 millones de pesos.</w:t>
      </w:r>
    </w:p>
    <w:p w14:paraId="4B7814CE" w14:textId="77777777" w:rsidR="00C420F2" w:rsidRPr="00C2222D" w:rsidRDefault="00C420F2" w:rsidP="00C2222D">
      <w:pPr>
        <w:pStyle w:val="Prrafodelista"/>
        <w:spacing w:after="0" w:line="240" w:lineRule="auto"/>
        <w:jc w:val="both"/>
        <w:rPr>
          <w:rFonts w:ascii="Arial" w:hAnsi="Arial" w:cs="Arial"/>
          <w:sz w:val="24"/>
          <w:szCs w:val="24"/>
          <w:lang w:val="es-ES"/>
        </w:rPr>
      </w:pPr>
    </w:p>
    <w:p w14:paraId="0787CEE8" w14:textId="77777777" w:rsidR="00343324" w:rsidRPr="00C2222D" w:rsidRDefault="00343324" w:rsidP="00343324">
      <w:pPr>
        <w:pStyle w:val="Prrafodelista"/>
        <w:numPr>
          <w:ilvl w:val="0"/>
          <w:numId w:val="27"/>
        </w:num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Fortalecimiento de los partidos políticos</w:t>
      </w:r>
    </w:p>
    <w:p w14:paraId="00195507" w14:textId="77777777" w:rsidR="00343324" w:rsidRPr="00C2222D" w:rsidRDefault="00343324" w:rsidP="00343324">
      <w:pPr>
        <w:pStyle w:val="Prrafodelista"/>
        <w:jc w:val="both"/>
        <w:rPr>
          <w:rFonts w:ascii="Arial" w:eastAsia="Times New Roman" w:hAnsi="Arial" w:cs="Arial"/>
          <w:sz w:val="24"/>
          <w:szCs w:val="24"/>
          <w:u w:val="single"/>
          <w:lang w:eastAsia="es-CO"/>
        </w:rPr>
      </w:pPr>
    </w:p>
    <w:p w14:paraId="66DFB09A"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Otro argumento que permite demostrar la conveniencia constitucional y política de este proyecto, es el que tiene que ver con el fortalecimiento institucional de los partidos. En efecto, disponer de un solo año electoral tiende a que dichas agrupaciones políticas puedan maximizar sus recursos humanos, técnicos y financieros que deben desplegar para encarar campañas electorales, y que los mismos puedan ser utilizados para el cumplimiento de las demás funciones que se les asignan a los partidos políticos en las democracias modernas.</w:t>
      </w:r>
    </w:p>
    <w:p w14:paraId="2E86F397"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0A3BC1B3" w14:textId="77777777" w:rsidR="00343324" w:rsidRPr="00C2222D" w:rsidRDefault="00343324" w:rsidP="00343324">
      <w:pPr>
        <w:pStyle w:val="Prrafodelista"/>
        <w:numPr>
          <w:ilvl w:val="0"/>
          <w:numId w:val="27"/>
        </w:numPr>
        <w:spacing w:after="0" w:line="240" w:lineRule="auto"/>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t>Elecciones y transparencia</w:t>
      </w:r>
    </w:p>
    <w:p w14:paraId="31829B56" w14:textId="77777777" w:rsidR="00343324" w:rsidRPr="00C2222D" w:rsidRDefault="00343324" w:rsidP="00343324">
      <w:pPr>
        <w:pStyle w:val="Prrafodelista"/>
        <w:jc w:val="both"/>
        <w:rPr>
          <w:rFonts w:ascii="Arial" w:eastAsia="Times New Roman" w:hAnsi="Arial" w:cs="Arial"/>
          <w:sz w:val="24"/>
          <w:szCs w:val="24"/>
          <w:u w:val="single"/>
          <w:lang w:eastAsia="es-CO"/>
        </w:rPr>
      </w:pPr>
    </w:p>
    <w:p w14:paraId="7A8E0BA1"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Sin lugar a duda, uno de los temas que más cobra vigencia en las democracias modernas es la relación que existe entre “elecciones, dinero y transparencia”. Y tal </w:t>
      </w:r>
      <w:r w:rsidRPr="00C2222D">
        <w:rPr>
          <w:rFonts w:ascii="Arial" w:eastAsia="Times New Roman" w:hAnsi="Arial" w:cs="Arial"/>
          <w:sz w:val="24"/>
          <w:szCs w:val="24"/>
          <w:lang w:eastAsia="es-CO"/>
        </w:rPr>
        <w:lastRenderedPageBreak/>
        <w:t xml:space="preserve">vez esa sea la más evidente percepción que tienen los ciudadanos sobre las elecciones: delitos electorales. En época electoral, prácticas tan arraigadas en las costumbres electorales colombianas afloran: compra y ventas de votos, violación de los topes de financiación de las campañas políticas, financiación prohibida, ausencia de controles, etc. </w:t>
      </w:r>
    </w:p>
    <w:p w14:paraId="36611414"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454C0F05"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Con el diseño actual de los procesos electorales en Colombia, en donde las campañas políticas se extienden a dos años, el primero con las elecciones nacionales y el inmediatamente siguiente con las elecciones territoriales, las posibilidades de tener comportamientos indebidos en materia de financiación se aumentan significativamente mientras que los dispositivos para sancionar dichos abusos se hacen más complejos.</w:t>
      </w:r>
    </w:p>
    <w:p w14:paraId="11E8FECC"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28392A1"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Ahora bien, la unificación de las elecciones en un solo año electoral implicaría una reducción drástica de los gastos electorales, toda vez que en la misma ficha electoral se realizarían las elecciones antes mencionadas y las consultas internas. Obviamente, se pueden redoblar los esfuerzos institucionales para el control, vigilancia y sanción de los comportamientos nocivos que afectan la transparencia de los procesos electorales.</w:t>
      </w:r>
    </w:p>
    <w:p w14:paraId="7C9CFF01" w14:textId="77777777" w:rsidR="00343324" w:rsidRPr="00C2222D" w:rsidRDefault="00343324" w:rsidP="00343324">
      <w:pPr>
        <w:spacing w:after="0" w:line="240" w:lineRule="auto"/>
        <w:jc w:val="both"/>
        <w:rPr>
          <w:rFonts w:ascii="Arial" w:hAnsi="Arial" w:cs="Arial"/>
          <w:sz w:val="24"/>
          <w:szCs w:val="24"/>
        </w:rPr>
      </w:pPr>
    </w:p>
    <w:p w14:paraId="2DEFC55F" w14:textId="77777777" w:rsidR="00343324" w:rsidRPr="00C2222D" w:rsidRDefault="00343324" w:rsidP="00343324">
      <w:pPr>
        <w:pStyle w:val="Prrafodelista"/>
        <w:numPr>
          <w:ilvl w:val="0"/>
          <w:numId w:val="27"/>
        </w:numPr>
        <w:spacing w:after="0" w:line="240" w:lineRule="auto"/>
        <w:jc w:val="both"/>
        <w:rPr>
          <w:rFonts w:ascii="Arial" w:hAnsi="Arial" w:cs="Arial"/>
          <w:sz w:val="24"/>
          <w:szCs w:val="24"/>
          <w:u w:val="single"/>
        </w:rPr>
      </w:pPr>
      <w:r w:rsidRPr="00C2222D">
        <w:rPr>
          <w:rFonts w:ascii="Arial" w:hAnsi="Arial" w:cs="Arial"/>
          <w:sz w:val="24"/>
          <w:szCs w:val="24"/>
          <w:u w:val="single"/>
        </w:rPr>
        <w:t>Régimen de transición como mecanismo más efectivo para lograr la armonización en el tiempo del período de las autoridades territoriales y del Presidente de la República</w:t>
      </w:r>
    </w:p>
    <w:p w14:paraId="627398AA" w14:textId="77777777" w:rsidR="00343324" w:rsidRPr="00C2222D" w:rsidRDefault="00343324" w:rsidP="00343324">
      <w:pPr>
        <w:pStyle w:val="Prrafodelista"/>
        <w:jc w:val="both"/>
        <w:rPr>
          <w:rFonts w:ascii="Arial" w:hAnsi="Arial" w:cs="Arial"/>
          <w:sz w:val="24"/>
          <w:szCs w:val="24"/>
          <w:u w:val="single"/>
        </w:rPr>
      </w:pPr>
    </w:p>
    <w:p w14:paraId="07B492B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Advertidos los beneficios políticos, económicos y electorales sobre la unificación de los periodos, se hace necesario adoptar las medidas pertinentes para ajustar los períodos de las autoridades territoriales con las nacionales que acaban de iniciar. </w:t>
      </w:r>
    </w:p>
    <w:p w14:paraId="356D51F8"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3DEE689E"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Las posibilidades, entre otras podrían ser las siguientes:</w:t>
      </w:r>
    </w:p>
    <w:p w14:paraId="7E3040D9"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1C34C1AA" w14:textId="77777777" w:rsidR="00343324" w:rsidRPr="00C2222D" w:rsidRDefault="00343324" w:rsidP="00343324">
      <w:pPr>
        <w:pStyle w:val="Prrafodelista"/>
        <w:numPr>
          <w:ilvl w:val="0"/>
          <w:numId w:val="28"/>
        </w:num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Diferir en el tiempo su aplicación y que dicho ajuste se haga a partir del año 2026, de suerte que para ese año inicien de forma simultánea los períodos del Presidente de la República, los congresistas, gobernadores, diputados, alcaldes y ediles en todo el país. Y para llegar a ese momento, todas las autoridades territoriales que se elijan en octubre de 2019 se elegirán por un periodo equivalente a la mitad del tiempo que existe entre el 1 de enero de 2020 y el 24 de julio de 2026 (un poco más de tres años). Sus sucesores, se elegirán para un periodo que terminará el mismo 24 de julio de 2026.</w:t>
      </w:r>
    </w:p>
    <w:p w14:paraId="2EF661EA" w14:textId="77777777" w:rsidR="00343324" w:rsidRPr="00C2222D" w:rsidRDefault="00343324" w:rsidP="00343324">
      <w:pPr>
        <w:pStyle w:val="Prrafodelista"/>
        <w:jc w:val="both"/>
        <w:rPr>
          <w:rFonts w:ascii="Arial" w:eastAsia="Times New Roman" w:hAnsi="Arial" w:cs="Arial"/>
          <w:sz w:val="24"/>
          <w:szCs w:val="24"/>
          <w:lang w:eastAsia="es-CO"/>
        </w:rPr>
      </w:pPr>
    </w:p>
    <w:p w14:paraId="3D17089A" w14:textId="77777777" w:rsidR="00343324" w:rsidRPr="00C2222D" w:rsidRDefault="00343324" w:rsidP="00343324">
      <w:pPr>
        <w:pStyle w:val="Prrafodelista"/>
        <w:numPr>
          <w:ilvl w:val="0"/>
          <w:numId w:val="28"/>
        </w:num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Diferir en el tiempo su aplicación y que dicho ajuste se haga a partir del año 2022, de tal manera que en ese año inicien en forma simultánea todos los periodos de Presidente de la República, los congresistas, gobernadores, diputados, alcaldes y ediles en todo el país. Ahora bien, que, para llegar a ese momento, todas las autoridades territoriales que se elijan en octubre de </w:t>
      </w:r>
      <w:r w:rsidRPr="00C2222D">
        <w:rPr>
          <w:rFonts w:ascii="Arial" w:eastAsia="Times New Roman" w:hAnsi="Arial" w:cs="Arial"/>
          <w:sz w:val="24"/>
          <w:szCs w:val="24"/>
          <w:lang w:eastAsia="es-CO"/>
        </w:rPr>
        <w:lastRenderedPageBreak/>
        <w:t>2019 se elegirán por un periodo que terminará el 24 de julio de 2022, es decir, por un período de un poco más de dos años y medio.</w:t>
      </w:r>
    </w:p>
    <w:p w14:paraId="37B1D76F" w14:textId="77777777" w:rsidR="00343324" w:rsidRPr="00C2222D" w:rsidRDefault="00343324" w:rsidP="00343324">
      <w:pPr>
        <w:pStyle w:val="Prrafodelista"/>
        <w:rPr>
          <w:rFonts w:ascii="Arial" w:eastAsia="Times New Roman" w:hAnsi="Arial" w:cs="Arial"/>
          <w:sz w:val="24"/>
          <w:szCs w:val="24"/>
          <w:lang w:eastAsia="es-CO"/>
        </w:rPr>
      </w:pPr>
    </w:p>
    <w:p w14:paraId="3CA28ED9" w14:textId="77777777" w:rsidR="00343324" w:rsidRPr="00C2222D" w:rsidRDefault="00343324" w:rsidP="00343324">
      <w:pPr>
        <w:pStyle w:val="Prrafodelista"/>
        <w:numPr>
          <w:ilvl w:val="0"/>
          <w:numId w:val="28"/>
        </w:num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Finalmente, la otra medida sería prorrogar los períodos actuales de las autoridades territoriales hasta el 24 de julio de 2022, de tal manera que los elegidos en ese año inicien de manera simultánea sus períodos constitucionales a partir de esa fecha, que de conformidad con la duración de los mandatos del Presidente de la República y del congreso deberán renovarse para el período 2022 – 2026.</w:t>
      </w:r>
    </w:p>
    <w:p w14:paraId="434EE649" w14:textId="77777777" w:rsidR="00343324" w:rsidRPr="00C2222D" w:rsidRDefault="00343324" w:rsidP="00343324">
      <w:pPr>
        <w:pStyle w:val="Prrafodelista"/>
        <w:rPr>
          <w:rFonts w:ascii="Arial" w:eastAsia="Times New Roman" w:hAnsi="Arial" w:cs="Arial"/>
          <w:sz w:val="24"/>
          <w:szCs w:val="24"/>
          <w:lang w:eastAsia="es-CO"/>
        </w:rPr>
      </w:pPr>
    </w:p>
    <w:p w14:paraId="44E554FD"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Es indiscutible que cualquiera de estas tres opciones no deja de tener ventajas y desventajas de índole constitucional y político, en la medida que implican un desbarajuste en los calendarios electorales, que en todo caso se hace necesario para lograr el propósito de la unificación de los períodos.</w:t>
      </w:r>
    </w:p>
    <w:p w14:paraId="2CFA38EA"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16663C08"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Respecto a las dos primeras opciones, de diferir en el tiempo dicha unificación y en el entretanto convocar a una o dos elecciones territoriales atípicas, en la medida que serían por períodos inferiores a 4 años y en todo no coincidentes con los períodos del Presidente de la República, se convierten en soluciones que van en contravía de los propios objetivos que inspiran este proyecto de reforma constitucional así como de los objetivos del constituyente de 2002 de ampliar los períodos a 4 años de las autoridades territoriales. Los objetivos de armonizar los planes de desarrollo nacionales y territoriales no se cumplirían ni a corto ni mediano plazo; la reducción de los costos fiscales no tendría ningún impacto en las finanzas públicas sino después de varios años, teniendo en cuenta que sería necesario planear en un espacio de tiempo muy reducido dos o tres procesos electorales; mientras que la planeación económica en ámbito territorial por períodos de dos años y medio o de tres, no permite la verdadera ejecución de políticas públicas, y se terminan por convertir en períodos de </w:t>
      </w:r>
      <w:r w:rsidRPr="00C2222D">
        <w:rPr>
          <w:rFonts w:ascii="Arial" w:eastAsia="Times New Roman" w:hAnsi="Arial" w:cs="Arial"/>
          <w:i/>
          <w:sz w:val="24"/>
          <w:szCs w:val="24"/>
          <w:lang w:eastAsia="es-CO"/>
        </w:rPr>
        <w:t>tiempo perdido</w:t>
      </w:r>
      <w:r w:rsidRPr="00C2222D">
        <w:rPr>
          <w:rFonts w:ascii="Arial" w:eastAsia="Times New Roman" w:hAnsi="Arial" w:cs="Arial"/>
          <w:sz w:val="24"/>
          <w:szCs w:val="24"/>
          <w:lang w:eastAsia="es-CO"/>
        </w:rPr>
        <w:t xml:space="preserve"> en el desarrollo territorial y en el mejoramiento de la calidad de vida de sus habitantes.</w:t>
      </w:r>
    </w:p>
    <w:p w14:paraId="6B19BC45"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55589A34" w14:textId="77777777" w:rsidR="00343324" w:rsidRPr="00C2222D"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 xml:space="preserve">Adicionalmente, una solución en este sentido fue la que trajo el constituyente de 2002 (Acto Legislativo 2) a propósito de la ampliación del periodo de las autoridades territoriales de 3 a 4 años, y la experiencia demostró que dicha solución trajo más inconvenientes que ventajas. </w:t>
      </w:r>
    </w:p>
    <w:p w14:paraId="43208F89"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532F6205" w14:textId="39F1EBD9" w:rsidR="00343324" w:rsidRDefault="00343324" w:rsidP="00343324">
      <w:pPr>
        <w:spacing w:after="0" w:line="240" w:lineRule="auto"/>
        <w:jc w:val="both"/>
        <w:rPr>
          <w:rFonts w:ascii="Arial" w:eastAsia="Times New Roman" w:hAnsi="Arial" w:cs="Arial"/>
          <w:sz w:val="24"/>
          <w:szCs w:val="24"/>
          <w:lang w:eastAsia="es-CO"/>
        </w:rPr>
      </w:pPr>
      <w:r w:rsidRPr="00C2222D">
        <w:rPr>
          <w:rFonts w:ascii="Arial" w:eastAsia="Times New Roman" w:hAnsi="Arial" w:cs="Arial"/>
          <w:sz w:val="24"/>
          <w:szCs w:val="24"/>
          <w:lang w:eastAsia="es-CO"/>
        </w:rPr>
        <w:t>Así las cosas, la última solución –prorrogar los periodos de las autoridades territoriales– termina siendo el procedimiento más acorde a las finalidades y propósitos de la unificación de los períodos. Los beneficios políticos, económicos e institucionales son mayores que sus eventuales críticas. Aunado a lo anterior, esta prórroga también tiene beneficios fiscales, teniendo en cuenta el alto valor que tienen las elecciones y más aún para elegir unas autoridades por un período tan corto.</w:t>
      </w:r>
    </w:p>
    <w:p w14:paraId="10F1B07D" w14:textId="77777777" w:rsidR="003B2FE2" w:rsidRPr="00C2222D" w:rsidRDefault="003B2FE2" w:rsidP="00343324">
      <w:pPr>
        <w:spacing w:after="0" w:line="240" w:lineRule="auto"/>
        <w:jc w:val="both"/>
        <w:rPr>
          <w:rFonts w:ascii="Arial" w:eastAsia="Times New Roman" w:hAnsi="Arial" w:cs="Arial"/>
          <w:sz w:val="24"/>
          <w:szCs w:val="24"/>
          <w:lang w:eastAsia="es-CO"/>
        </w:rPr>
      </w:pPr>
    </w:p>
    <w:p w14:paraId="5BD03F31" w14:textId="77777777" w:rsidR="00343324" w:rsidRPr="00C2222D" w:rsidRDefault="00343324" w:rsidP="00343324">
      <w:pPr>
        <w:spacing w:after="0" w:line="240" w:lineRule="auto"/>
        <w:jc w:val="both"/>
        <w:rPr>
          <w:rFonts w:ascii="Arial" w:eastAsia="Times New Roman" w:hAnsi="Arial" w:cs="Arial"/>
          <w:sz w:val="24"/>
          <w:szCs w:val="24"/>
          <w:lang w:eastAsia="es-CO"/>
        </w:rPr>
      </w:pPr>
    </w:p>
    <w:p w14:paraId="5F1531C9" w14:textId="31B970E2" w:rsidR="00343324" w:rsidRPr="00C2222D" w:rsidRDefault="00665BE2" w:rsidP="00343324">
      <w:pPr>
        <w:ind w:firstLine="708"/>
        <w:jc w:val="both"/>
        <w:rPr>
          <w:rFonts w:ascii="Arial" w:eastAsia="Times New Roman" w:hAnsi="Arial" w:cs="Arial"/>
          <w:sz w:val="24"/>
          <w:szCs w:val="24"/>
          <w:u w:val="single"/>
          <w:lang w:eastAsia="es-CO"/>
        </w:rPr>
      </w:pPr>
      <w:r w:rsidRPr="00C2222D">
        <w:rPr>
          <w:rFonts w:ascii="Arial" w:eastAsia="Times New Roman" w:hAnsi="Arial" w:cs="Arial"/>
          <w:sz w:val="24"/>
          <w:szCs w:val="24"/>
          <w:u w:val="single"/>
          <w:lang w:eastAsia="es-CO"/>
        </w:rPr>
        <w:lastRenderedPageBreak/>
        <w:t>8. Listas Cerradas</w:t>
      </w:r>
    </w:p>
    <w:p w14:paraId="3269D9C9" w14:textId="2C215F4A" w:rsidR="00665BE2" w:rsidRPr="00B5768E" w:rsidRDefault="00665BE2" w:rsidP="00665BE2">
      <w:pPr>
        <w:pStyle w:val="Sinespaciado"/>
        <w:jc w:val="both"/>
        <w:rPr>
          <w:rFonts w:ascii="Arial" w:hAnsi="Arial" w:cs="Arial"/>
          <w:sz w:val="24"/>
          <w:szCs w:val="24"/>
        </w:rPr>
      </w:pPr>
      <w:r w:rsidRPr="00B5768E">
        <w:rPr>
          <w:rFonts w:ascii="Arial" w:hAnsi="Arial" w:cs="Arial"/>
          <w:sz w:val="24"/>
          <w:szCs w:val="24"/>
        </w:rPr>
        <w:t xml:space="preserve">De otro lado, el Acuerdo Final con las FARC dispuso la necesidad de adelantar reforma a la organización electoral, buscando trasparencia, autonomía, </w:t>
      </w:r>
      <w:r w:rsidR="00B5768E" w:rsidRPr="00B5768E">
        <w:rPr>
          <w:rFonts w:ascii="Arial" w:hAnsi="Arial" w:cs="Arial"/>
          <w:sz w:val="24"/>
          <w:szCs w:val="24"/>
        </w:rPr>
        <w:t>modernidad y</w:t>
      </w:r>
      <w:r w:rsidRPr="00B5768E">
        <w:rPr>
          <w:rFonts w:ascii="Arial" w:hAnsi="Arial" w:cs="Arial"/>
          <w:sz w:val="24"/>
          <w:szCs w:val="24"/>
        </w:rPr>
        <w:t xml:space="preserve"> mayores garantías para la participación política en igualdad de condiciones. Con este objetivo, se acordó la creación de una Misión Electoral Especial (MEE). </w:t>
      </w:r>
    </w:p>
    <w:p w14:paraId="21D4BC41" w14:textId="77777777" w:rsidR="00665BE2" w:rsidRPr="00B5768E" w:rsidRDefault="00665BE2" w:rsidP="00665BE2">
      <w:pPr>
        <w:pStyle w:val="Sinespaciado"/>
        <w:jc w:val="both"/>
        <w:rPr>
          <w:rFonts w:ascii="Arial" w:hAnsi="Arial" w:cs="Arial"/>
          <w:sz w:val="24"/>
          <w:szCs w:val="24"/>
        </w:rPr>
      </w:pPr>
    </w:p>
    <w:p w14:paraId="7946C0FB" w14:textId="0610BC03" w:rsidR="00665BE2" w:rsidRPr="00B5768E" w:rsidRDefault="00665BE2" w:rsidP="00665BE2">
      <w:pPr>
        <w:pStyle w:val="Sinespaciado"/>
        <w:jc w:val="both"/>
        <w:rPr>
          <w:rFonts w:ascii="Arial" w:hAnsi="Arial" w:cs="Arial"/>
          <w:sz w:val="24"/>
          <w:szCs w:val="24"/>
        </w:rPr>
      </w:pPr>
      <w:r w:rsidRPr="00B5768E">
        <w:rPr>
          <w:rFonts w:ascii="Arial" w:hAnsi="Arial" w:cs="Arial"/>
          <w:sz w:val="24"/>
          <w:szCs w:val="24"/>
        </w:rPr>
        <w:t xml:space="preserve">Retomando lo propuesto por </w:t>
      </w:r>
      <w:r w:rsidR="00B5768E" w:rsidRPr="00B5768E">
        <w:rPr>
          <w:rFonts w:ascii="Arial" w:hAnsi="Arial" w:cs="Arial"/>
          <w:sz w:val="24"/>
          <w:szCs w:val="24"/>
        </w:rPr>
        <w:t>esta Misión</w:t>
      </w:r>
      <w:r w:rsidRPr="00B5768E">
        <w:rPr>
          <w:rFonts w:ascii="Arial" w:hAnsi="Arial" w:cs="Arial"/>
          <w:sz w:val="24"/>
          <w:szCs w:val="24"/>
        </w:rPr>
        <w:t>, en el presente proyecto se incluye la obligación de los partidos de inscribir listas cerradas, eliminando la posibilidad a las organizaciones políticas de presentar listas de candidatos a corporaciones públicas mediante el sistema del voto preferente o “listas abiertas”. De acuerdo con lo afirmad por MEE, las listas abiertas han contribuido a la personalización de la política, al debilitamiento de los partidos políticos y han dificultado el control a las campañas políticas debido a su gran número y dispersión. Expresamente, la Misión estableció:</w:t>
      </w:r>
    </w:p>
    <w:p w14:paraId="2A66664E" w14:textId="77777777" w:rsidR="00665BE2" w:rsidRPr="00B5768E" w:rsidRDefault="00665BE2" w:rsidP="00665BE2">
      <w:pPr>
        <w:spacing w:before="57" w:after="57" w:line="288" w:lineRule="atLeast"/>
        <w:ind w:firstLine="283"/>
        <w:jc w:val="both"/>
        <w:textAlignment w:val="center"/>
        <w:rPr>
          <w:rFonts w:ascii="Arial" w:eastAsia="Times New Roman" w:hAnsi="Arial" w:cs="Arial"/>
          <w:iCs/>
          <w:color w:val="000000"/>
          <w:sz w:val="24"/>
          <w:szCs w:val="24"/>
          <w:lang w:val="es-ES_tradnl" w:eastAsia="es-CO"/>
        </w:rPr>
      </w:pPr>
      <w:r w:rsidRPr="00B5768E">
        <w:rPr>
          <w:rFonts w:ascii="Arial" w:eastAsia="Times New Roman" w:hAnsi="Arial" w:cs="Arial"/>
          <w:iCs/>
          <w:color w:val="000000"/>
          <w:sz w:val="24"/>
          <w:szCs w:val="24"/>
          <w:lang w:val="es-ES_tradnl" w:eastAsia="es-CO"/>
        </w:rPr>
        <w:t xml:space="preserve"> </w:t>
      </w:r>
    </w:p>
    <w:p w14:paraId="356F8166" w14:textId="77777777" w:rsidR="00665BE2" w:rsidRPr="00C2222D" w:rsidRDefault="00665BE2" w:rsidP="00665BE2">
      <w:pPr>
        <w:spacing w:before="57" w:after="57" w:line="288" w:lineRule="atLeast"/>
        <w:ind w:firstLine="283"/>
        <w:jc w:val="both"/>
        <w:textAlignment w:val="center"/>
        <w:rPr>
          <w:rFonts w:ascii="Arial" w:eastAsia="Times New Roman" w:hAnsi="Arial" w:cs="Arial"/>
          <w:color w:val="000000"/>
          <w:sz w:val="24"/>
          <w:szCs w:val="24"/>
          <w:lang w:eastAsia="es-CO"/>
        </w:rPr>
      </w:pPr>
      <w:r w:rsidRPr="00C2222D">
        <w:rPr>
          <w:rFonts w:ascii="Arial" w:eastAsia="Times New Roman" w:hAnsi="Arial" w:cs="Arial"/>
          <w:i/>
          <w:iCs/>
          <w:color w:val="000000"/>
          <w:sz w:val="24"/>
          <w:szCs w:val="24"/>
          <w:lang w:val="es-ES_tradnl" w:eastAsia="es-CO"/>
        </w:rPr>
        <w:t>Se recomienda abandonar el uso del voto preferente en las listas y que los partidos presenten listas cerradas y bloqueadas. Tal como se señaló, la utilización del voto preferente “o </w:t>
      </w:r>
      <w:r w:rsidRPr="00C2222D">
        <w:rPr>
          <w:rFonts w:ascii="Arial" w:eastAsia="Times New Roman" w:hAnsi="Arial" w:cs="Arial"/>
          <w:i/>
          <w:iCs/>
          <w:color w:val="000000"/>
          <w:sz w:val="24"/>
          <w:szCs w:val="24"/>
          <w:u w:val="single"/>
          <w:lang w:val="es-ES_tradnl" w:eastAsia="es-CO"/>
        </w:rPr>
        <w:t>listas abiertas” atentan contra la organización interna de los partidos.</w:t>
      </w:r>
    </w:p>
    <w:p w14:paraId="11C3EF56" w14:textId="77777777" w:rsidR="00665BE2" w:rsidRPr="00C2222D" w:rsidRDefault="00665BE2" w:rsidP="00665BE2">
      <w:pPr>
        <w:spacing w:before="57" w:after="57" w:line="288" w:lineRule="atLeast"/>
        <w:ind w:firstLine="283"/>
        <w:jc w:val="both"/>
        <w:textAlignment w:val="center"/>
        <w:rPr>
          <w:rFonts w:ascii="Arial" w:eastAsia="Times New Roman" w:hAnsi="Arial" w:cs="Arial"/>
          <w:color w:val="000000"/>
          <w:sz w:val="24"/>
          <w:szCs w:val="24"/>
          <w:lang w:eastAsia="es-CO"/>
        </w:rPr>
      </w:pPr>
      <w:r w:rsidRPr="00C2222D">
        <w:rPr>
          <w:rFonts w:ascii="Arial" w:eastAsia="Times New Roman" w:hAnsi="Arial" w:cs="Arial"/>
          <w:i/>
          <w:iCs/>
          <w:color w:val="000000"/>
          <w:sz w:val="24"/>
          <w:szCs w:val="24"/>
          <w:lang w:val="es-ES_tradnl" w:eastAsia="es-CO"/>
        </w:rPr>
        <w:t>(…)</w:t>
      </w:r>
    </w:p>
    <w:p w14:paraId="24C18272" w14:textId="77777777" w:rsidR="00665BE2" w:rsidRPr="00C2222D" w:rsidRDefault="00665BE2" w:rsidP="00665BE2">
      <w:pPr>
        <w:spacing w:before="57" w:after="57" w:line="288" w:lineRule="atLeast"/>
        <w:ind w:firstLine="283"/>
        <w:jc w:val="both"/>
        <w:textAlignment w:val="center"/>
        <w:rPr>
          <w:rFonts w:ascii="Arial" w:eastAsia="Times New Roman" w:hAnsi="Arial" w:cs="Arial"/>
          <w:color w:val="000000"/>
          <w:sz w:val="24"/>
          <w:szCs w:val="24"/>
          <w:lang w:eastAsia="es-CO"/>
        </w:rPr>
      </w:pPr>
      <w:r w:rsidRPr="00C2222D">
        <w:rPr>
          <w:rFonts w:ascii="Arial" w:eastAsia="Times New Roman" w:hAnsi="Arial" w:cs="Arial"/>
          <w:i/>
          <w:iCs/>
          <w:color w:val="000000"/>
          <w:sz w:val="24"/>
          <w:szCs w:val="24"/>
          <w:u w:val="single"/>
          <w:lang w:val="es-ES_tradnl" w:eastAsia="es-CO"/>
        </w:rPr>
        <w:t>Las listas cerradas y bloqueadas buscan generar una lógica de representación de proyectos colectivos</w:t>
      </w:r>
      <w:r w:rsidRPr="00C2222D">
        <w:rPr>
          <w:rFonts w:ascii="Arial" w:eastAsia="Times New Roman" w:hAnsi="Arial" w:cs="Arial"/>
          <w:i/>
          <w:iCs/>
          <w:color w:val="000000"/>
          <w:sz w:val="24"/>
          <w:szCs w:val="24"/>
          <w:lang w:val="es-ES_tradnl" w:eastAsia="es-CO"/>
        </w:rPr>
        <w:t> en los que se fomenta a los electores. Para poder competir y diferenciarse unos de otros, las organizaciones políticas tendrán que recurrir a sus propias reputaciones, es decir, </w:t>
      </w:r>
      <w:r w:rsidRPr="00C2222D">
        <w:rPr>
          <w:rFonts w:ascii="Arial" w:eastAsia="Times New Roman" w:hAnsi="Arial" w:cs="Arial"/>
          <w:i/>
          <w:iCs/>
          <w:color w:val="000000"/>
          <w:sz w:val="24"/>
          <w:szCs w:val="24"/>
          <w:u w:val="single"/>
          <w:lang w:val="es-ES_tradnl" w:eastAsia="es-CO"/>
        </w:rPr>
        <w:t>deberán desarrollar programas propuestas y mensajes de amplio alcance que sean atractivos y convincentes para los votantes</w:t>
      </w:r>
      <w:r w:rsidRPr="00C2222D">
        <w:rPr>
          <w:rFonts w:ascii="Arial" w:eastAsia="Times New Roman" w:hAnsi="Arial" w:cs="Arial"/>
          <w:i/>
          <w:iCs/>
          <w:color w:val="000000"/>
          <w:sz w:val="24"/>
          <w:szCs w:val="24"/>
          <w:lang w:val="es-ES_tradnl" w:eastAsia="es-CO"/>
        </w:rPr>
        <w:t>. (…) Al mismo tiempo, se desencadenarían procesos internos para la selección de los miembros de la lista que, a su vez tendrán una campaña a nombre del partido con la expectativa de maximizar el número de votos que obtienen y, consecuentemente, el número de curules que puedan lograr.</w:t>
      </w:r>
    </w:p>
    <w:p w14:paraId="2EB61ED7" w14:textId="77777777" w:rsidR="00665BE2" w:rsidRPr="00C2222D" w:rsidRDefault="00665BE2" w:rsidP="00665BE2">
      <w:pPr>
        <w:spacing w:before="57" w:after="57" w:line="288" w:lineRule="atLeast"/>
        <w:ind w:firstLine="283"/>
        <w:jc w:val="both"/>
        <w:textAlignment w:val="center"/>
        <w:rPr>
          <w:rFonts w:ascii="Arial" w:eastAsia="Times New Roman" w:hAnsi="Arial" w:cs="Arial"/>
          <w:color w:val="000000"/>
          <w:sz w:val="24"/>
          <w:szCs w:val="24"/>
          <w:lang w:eastAsia="es-CO"/>
        </w:rPr>
      </w:pPr>
      <w:r w:rsidRPr="00C2222D">
        <w:rPr>
          <w:rFonts w:ascii="Arial" w:eastAsia="Times New Roman" w:hAnsi="Arial" w:cs="Arial"/>
          <w:i/>
          <w:iCs/>
          <w:color w:val="000000"/>
          <w:sz w:val="24"/>
          <w:szCs w:val="24"/>
          <w:lang w:val="es-ES_tradnl" w:eastAsia="es-CO"/>
        </w:rPr>
        <w:t>(…)</w:t>
      </w:r>
    </w:p>
    <w:p w14:paraId="1BC9E644" w14:textId="50CF3E12" w:rsidR="00665BE2" w:rsidRPr="00C2222D" w:rsidRDefault="00665BE2" w:rsidP="00665BE2">
      <w:pPr>
        <w:spacing w:before="57" w:after="57" w:line="288" w:lineRule="atLeast"/>
        <w:ind w:firstLine="283"/>
        <w:jc w:val="both"/>
        <w:textAlignment w:val="center"/>
        <w:rPr>
          <w:rFonts w:ascii="Arial" w:eastAsia="Times New Roman" w:hAnsi="Arial" w:cs="Arial"/>
          <w:color w:val="000000"/>
          <w:sz w:val="24"/>
          <w:szCs w:val="24"/>
          <w:lang w:eastAsia="es-CO"/>
        </w:rPr>
      </w:pPr>
      <w:r w:rsidRPr="00C2222D">
        <w:rPr>
          <w:rFonts w:ascii="Arial" w:eastAsia="Times New Roman" w:hAnsi="Arial" w:cs="Arial"/>
          <w:i/>
          <w:iCs/>
          <w:color w:val="000000"/>
          <w:sz w:val="24"/>
          <w:szCs w:val="24"/>
          <w:lang w:val="es-ES_tradnl" w:eastAsia="es-CO"/>
        </w:rPr>
        <w:t>Un efecto adicional, que no es menor, es que </w:t>
      </w:r>
      <w:r w:rsidRPr="00C2222D">
        <w:rPr>
          <w:rFonts w:ascii="Arial" w:eastAsia="Times New Roman" w:hAnsi="Arial" w:cs="Arial"/>
          <w:i/>
          <w:iCs/>
          <w:color w:val="000000"/>
          <w:sz w:val="24"/>
          <w:szCs w:val="24"/>
          <w:u w:val="single"/>
          <w:lang w:val="es-ES_tradnl" w:eastAsia="es-CO"/>
        </w:rPr>
        <w:t>el uso de listas cerradas y bloqueadas reduce dramáticamente el costo de las campañas al Senado</w:t>
      </w:r>
      <w:r w:rsidRPr="00C2222D">
        <w:rPr>
          <w:rFonts w:ascii="Arial" w:eastAsia="Times New Roman" w:hAnsi="Arial" w:cs="Arial"/>
          <w:i/>
          <w:iCs/>
          <w:color w:val="000000"/>
          <w:sz w:val="24"/>
          <w:szCs w:val="24"/>
          <w:lang w:val="es-ES_tradnl" w:eastAsia="es-CO"/>
        </w:rPr>
        <w:t>. Como ya se indicó, con el sistema de voto preferente que opera actualmente cada miembro de una lista debe emprender y buscar la financiación de su propia campaña. … Para la autoridad electoral, </w:t>
      </w:r>
      <w:r w:rsidRPr="00C2222D">
        <w:rPr>
          <w:rFonts w:ascii="Arial" w:eastAsia="Times New Roman" w:hAnsi="Arial" w:cs="Arial"/>
          <w:i/>
          <w:iCs/>
          <w:color w:val="000000"/>
          <w:sz w:val="24"/>
          <w:szCs w:val="24"/>
          <w:u w:val="single"/>
          <w:lang w:val="es-ES_tradnl" w:eastAsia="es-CO"/>
        </w:rPr>
        <w:t>controlar que el desarrollo y, en particular, la financiación de hasta cien campañas individuales por partido se desarrollen de acuerdo con las normas consagradas en la Constitución y en la ley es una tarea prácticamente imposible, lo cual constituye un riesgo enorme que facilita el ingreso de dineros de procedencia il</w:t>
      </w:r>
      <w:r w:rsidR="00870310">
        <w:rPr>
          <w:rFonts w:ascii="Arial" w:eastAsia="Times New Roman" w:hAnsi="Arial" w:cs="Arial"/>
          <w:i/>
          <w:iCs/>
          <w:color w:val="000000"/>
          <w:sz w:val="24"/>
          <w:szCs w:val="24"/>
          <w:u w:val="single"/>
          <w:lang w:val="es-ES_tradnl" w:eastAsia="es-CO"/>
        </w:rPr>
        <w:t>egítima o ilegal a las campañas</w:t>
      </w:r>
      <w:r w:rsidRPr="00C2222D">
        <w:rPr>
          <w:rFonts w:ascii="Arial" w:eastAsia="Times New Roman" w:hAnsi="Arial" w:cs="Arial"/>
          <w:i/>
          <w:iCs/>
          <w:color w:val="000000"/>
          <w:sz w:val="24"/>
          <w:szCs w:val="24"/>
          <w:lang w:val="es-ES_tradnl" w:eastAsia="es-CO"/>
        </w:rPr>
        <w:t> </w:t>
      </w:r>
      <w:r w:rsidRPr="00C2222D">
        <w:rPr>
          <w:rFonts w:ascii="Arial" w:eastAsia="Times New Roman" w:hAnsi="Arial" w:cs="Arial"/>
          <w:color w:val="000000"/>
          <w:sz w:val="24"/>
          <w:szCs w:val="24"/>
          <w:lang w:val="es-ES_tradnl" w:eastAsia="es-CO"/>
        </w:rPr>
        <w:t>(subrayado fuera del original).</w:t>
      </w:r>
    </w:p>
    <w:p w14:paraId="521A45AF" w14:textId="5113851A" w:rsidR="00665BE2" w:rsidRPr="00C2222D" w:rsidRDefault="00665BE2" w:rsidP="00665BE2">
      <w:pPr>
        <w:pStyle w:val="Sinespaciado"/>
        <w:jc w:val="both"/>
        <w:rPr>
          <w:rFonts w:ascii="Arial" w:hAnsi="Arial" w:cs="Arial"/>
          <w:i/>
          <w:sz w:val="24"/>
          <w:szCs w:val="24"/>
        </w:rPr>
      </w:pPr>
    </w:p>
    <w:p w14:paraId="54F03379" w14:textId="77777777" w:rsidR="00665BE2" w:rsidRPr="00870310" w:rsidRDefault="00665BE2" w:rsidP="00665BE2">
      <w:pPr>
        <w:spacing w:before="57" w:after="57" w:line="288" w:lineRule="atLeast"/>
        <w:jc w:val="both"/>
        <w:textAlignment w:val="center"/>
        <w:rPr>
          <w:rFonts w:ascii="Arial" w:hAnsi="Arial" w:cs="Arial"/>
          <w:sz w:val="24"/>
          <w:szCs w:val="24"/>
        </w:rPr>
      </w:pPr>
      <w:r w:rsidRPr="00870310">
        <w:rPr>
          <w:rFonts w:ascii="Arial" w:hAnsi="Arial" w:cs="Arial"/>
          <w:sz w:val="24"/>
          <w:szCs w:val="24"/>
        </w:rPr>
        <w:t xml:space="preserve">Se considera conveniente establecer las listas cerradas para la presentación de candidatos en todas las corporaciones públicas. Este mecanismo contribuye al fortalecimiento de los partidos y movimientos con personería jurídica y sin duda </w:t>
      </w:r>
      <w:r w:rsidRPr="00870310">
        <w:rPr>
          <w:rFonts w:ascii="Arial" w:hAnsi="Arial" w:cs="Arial"/>
          <w:sz w:val="24"/>
          <w:szCs w:val="24"/>
        </w:rPr>
        <w:lastRenderedPageBreak/>
        <w:t>contribuye al mejoramiento del sistema democrático. Ello va acompañado con el establecimiento de temas relacionados con la democracia interna, específicamente, la realización de consultas internas de los partidos y movimientos políticos para la elaboración de las listas cerradas, ello permite partidos cohesionados y con una representación clara ideológica frente a la ciudadanía.</w:t>
      </w:r>
    </w:p>
    <w:p w14:paraId="1DF38E30" w14:textId="77777777" w:rsidR="00665BE2" w:rsidRPr="00870310" w:rsidRDefault="00665BE2" w:rsidP="00665BE2">
      <w:pPr>
        <w:spacing w:before="57" w:after="57" w:line="288" w:lineRule="atLeast"/>
        <w:ind w:firstLine="283"/>
        <w:jc w:val="both"/>
        <w:textAlignment w:val="center"/>
        <w:rPr>
          <w:rFonts w:ascii="Arial" w:hAnsi="Arial" w:cs="Arial"/>
          <w:sz w:val="24"/>
          <w:szCs w:val="24"/>
        </w:rPr>
      </w:pPr>
    </w:p>
    <w:p w14:paraId="23A28A20" w14:textId="77777777" w:rsidR="00665BE2" w:rsidRPr="00870310" w:rsidRDefault="00665BE2" w:rsidP="00665BE2">
      <w:pPr>
        <w:spacing w:before="57" w:after="57" w:line="288" w:lineRule="atLeast"/>
        <w:jc w:val="both"/>
        <w:textAlignment w:val="center"/>
        <w:rPr>
          <w:rFonts w:ascii="Arial" w:hAnsi="Arial" w:cs="Arial"/>
          <w:sz w:val="24"/>
          <w:szCs w:val="24"/>
        </w:rPr>
      </w:pPr>
      <w:r w:rsidRPr="00870310">
        <w:rPr>
          <w:rFonts w:ascii="Arial" w:hAnsi="Arial" w:cs="Arial"/>
          <w:sz w:val="24"/>
          <w:szCs w:val="24"/>
        </w:rPr>
        <w:t>Otras virtudes de este procedimiento son: mayor control en los asuntos financieros de las campañas, reducción del gasto en las campañas y generación de diferenciación ideológica de los partidos y movimientos políticos.</w:t>
      </w:r>
    </w:p>
    <w:p w14:paraId="2D99BA6E" w14:textId="77777777" w:rsidR="00665BE2" w:rsidRPr="00870310" w:rsidRDefault="00665BE2" w:rsidP="00665BE2">
      <w:pPr>
        <w:pStyle w:val="Sinespaciado"/>
        <w:jc w:val="both"/>
        <w:rPr>
          <w:rFonts w:ascii="Arial" w:hAnsi="Arial" w:cs="Arial"/>
          <w:sz w:val="24"/>
          <w:szCs w:val="24"/>
        </w:rPr>
      </w:pPr>
    </w:p>
    <w:p w14:paraId="7D91C867" w14:textId="77777777" w:rsidR="00665BE2" w:rsidRPr="00870310" w:rsidRDefault="00665BE2" w:rsidP="00665BE2">
      <w:pPr>
        <w:pStyle w:val="Sinespaciado"/>
        <w:jc w:val="both"/>
        <w:rPr>
          <w:rFonts w:ascii="Arial" w:hAnsi="Arial" w:cs="Arial"/>
          <w:sz w:val="24"/>
          <w:szCs w:val="24"/>
        </w:rPr>
      </w:pPr>
      <w:r w:rsidRPr="00870310">
        <w:rPr>
          <w:rFonts w:ascii="Arial" w:hAnsi="Arial" w:cs="Arial"/>
          <w:sz w:val="24"/>
          <w:szCs w:val="24"/>
        </w:rPr>
        <w:t>De esta manera, el artículo séptimo del proyecto modifica el artículo 262 superior, estableciendo expresamente la obligación de las organizaciones de presentar listas cerradas y la realización de consultas internas para su elaboración.</w:t>
      </w:r>
    </w:p>
    <w:p w14:paraId="2C29827B" w14:textId="52057126" w:rsidR="0040294F" w:rsidRPr="00C2222D" w:rsidRDefault="0040294F" w:rsidP="0040294F">
      <w:pPr>
        <w:spacing w:after="0"/>
        <w:jc w:val="both"/>
        <w:rPr>
          <w:rFonts w:ascii="Arial" w:hAnsi="Arial" w:cs="Arial"/>
          <w:color w:val="000000"/>
          <w:sz w:val="24"/>
          <w:szCs w:val="24"/>
          <w:lang w:val="es-ES_tradnl" w:eastAsia="es-CO"/>
        </w:rPr>
      </w:pPr>
    </w:p>
    <w:p w14:paraId="4F7F836C" w14:textId="77777777" w:rsidR="0040294F" w:rsidRPr="00C2222D" w:rsidRDefault="0040294F" w:rsidP="0040294F">
      <w:pPr>
        <w:adjustRightInd w:val="0"/>
        <w:spacing w:before="57" w:after="57"/>
        <w:jc w:val="both"/>
        <w:textAlignment w:val="center"/>
        <w:rPr>
          <w:rFonts w:ascii="Arial" w:eastAsia="Times New Roman" w:hAnsi="Arial" w:cs="Arial"/>
          <w:b/>
          <w:color w:val="000000" w:themeColor="text1"/>
          <w:sz w:val="24"/>
          <w:szCs w:val="24"/>
          <w:lang w:val="es-ES_tradnl" w:eastAsia="es-CO"/>
        </w:rPr>
      </w:pPr>
      <w:r w:rsidRPr="00C2222D">
        <w:rPr>
          <w:rFonts w:ascii="Arial" w:hAnsi="Arial" w:cs="Arial"/>
          <w:b/>
          <w:sz w:val="24"/>
          <w:szCs w:val="24"/>
        </w:rPr>
        <w:t>VIII.</w:t>
      </w:r>
      <w:r w:rsidRPr="00C2222D">
        <w:rPr>
          <w:rFonts w:ascii="Arial" w:eastAsia="Times New Roman" w:hAnsi="Arial" w:cs="Arial"/>
          <w:b/>
          <w:color w:val="000000" w:themeColor="text1"/>
          <w:sz w:val="24"/>
          <w:szCs w:val="24"/>
          <w:lang w:val="es-ES_tradnl" w:eastAsia="es-CO"/>
        </w:rPr>
        <w:t xml:space="preserve"> PROPOSICIÓN.</w:t>
      </w:r>
    </w:p>
    <w:p w14:paraId="69E19ECC" w14:textId="097D7B8F" w:rsidR="0040294F" w:rsidRPr="00C2222D" w:rsidRDefault="0040294F" w:rsidP="0040294F">
      <w:pPr>
        <w:pStyle w:val="ecxmsonormal"/>
        <w:shd w:val="clear" w:color="auto" w:fill="FFFFFF"/>
        <w:spacing w:line="276" w:lineRule="auto"/>
        <w:jc w:val="both"/>
        <w:rPr>
          <w:rFonts w:ascii="Arial" w:hAnsi="Arial" w:cs="Arial"/>
          <w:color w:val="000000"/>
        </w:rPr>
      </w:pPr>
      <w:r w:rsidRPr="00C2222D">
        <w:rPr>
          <w:rFonts w:ascii="Arial" w:hAnsi="Arial" w:cs="Arial"/>
          <w:color w:val="000000" w:themeColor="text1"/>
          <w:spacing w:val="-5"/>
          <w:lang w:val="es-ES_tradnl" w:eastAsia="es-CO"/>
        </w:rPr>
        <w:t>Con fundamento en las anteriores consideraciones, de manera respetuosa solicito a la</w:t>
      </w:r>
      <w:r w:rsidRPr="00C2222D">
        <w:rPr>
          <w:rFonts w:ascii="Arial" w:hAnsi="Arial" w:cs="Arial"/>
          <w:color w:val="000000" w:themeColor="text1"/>
          <w:lang w:eastAsia="es-CO"/>
        </w:rPr>
        <w:t xml:space="preserve"> comisión primera de la Cámara de Representantes, </w:t>
      </w:r>
      <w:r w:rsidRPr="00C2222D">
        <w:rPr>
          <w:rFonts w:ascii="Arial" w:hAnsi="Arial" w:cs="Arial"/>
          <w:color w:val="000000" w:themeColor="text1"/>
          <w:spacing w:val="-5"/>
          <w:lang w:val="es-ES_tradnl" w:eastAsia="es-CO"/>
        </w:rPr>
        <w:t xml:space="preserve">dar primer debate y aprobar el </w:t>
      </w:r>
      <w:r w:rsidRPr="00C2222D">
        <w:rPr>
          <w:rFonts w:ascii="Arial" w:hAnsi="Arial" w:cs="Arial"/>
          <w:color w:val="000000" w:themeColor="text1"/>
          <w:lang w:eastAsia="es-CO"/>
        </w:rPr>
        <w:t xml:space="preserve">Proyecto de </w:t>
      </w:r>
      <w:r w:rsidR="00F459F0" w:rsidRPr="00C2222D">
        <w:rPr>
          <w:rFonts w:ascii="Arial" w:hAnsi="Arial" w:cs="Arial"/>
        </w:rPr>
        <w:t>Acto Legislativo No 105 de 2018 Cámara “Por el cual se unifican las elecciones nacionales y locales y se amplía el período de mandato” acumulado con el proyecto de acto legislativo No 140 de 2018 “Por el cual se reforma el artículo 261 y se dictan otras disposiciones”.</w:t>
      </w:r>
    </w:p>
    <w:p w14:paraId="0F95ECC7" w14:textId="7114780E" w:rsidR="0040294F" w:rsidRDefault="0040294F"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r w:rsidRPr="00C2222D">
        <w:rPr>
          <w:rFonts w:ascii="Arial" w:eastAsia="Times New Roman" w:hAnsi="Arial" w:cs="Arial"/>
          <w:color w:val="000000" w:themeColor="text1"/>
          <w:sz w:val="24"/>
          <w:szCs w:val="24"/>
          <w:lang w:val="es-ES_tradnl" w:eastAsia="es-CO"/>
        </w:rPr>
        <w:t> </w:t>
      </w:r>
    </w:p>
    <w:p w14:paraId="394EB52F" w14:textId="77777777" w:rsidR="00D678B2" w:rsidRPr="00C2222D" w:rsidRDefault="00D678B2" w:rsidP="0040294F">
      <w:pPr>
        <w:adjustRightInd w:val="0"/>
        <w:spacing w:before="57" w:after="57"/>
        <w:jc w:val="both"/>
        <w:textAlignment w:val="center"/>
        <w:rPr>
          <w:rFonts w:ascii="Arial" w:eastAsia="Times New Roman" w:hAnsi="Arial" w:cs="Arial"/>
          <w:color w:val="000000" w:themeColor="text1"/>
          <w:sz w:val="24"/>
          <w:szCs w:val="24"/>
          <w:lang w:eastAsia="es-CO"/>
        </w:rPr>
      </w:pPr>
    </w:p>
    <w:p w14:paraId="05A93AA8" w14:textId="2B323FAA" w:rsidR="0040294F" w:rsidRPr="00C2222D" w:rsidRDefault="0040294F"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r w:rsidRPr="00C2222D">
        <w:rPr>
          <w:rFonts w:ascii="Arial" w:eastAsia="Times New Roman" w:hAnsi="Arial" w:cs="Arial"/>
          <w:color w:val="000000" w:themeColor="text1"/>
          <w:sz w:val="24"/>
          <w:szCs w:val="24"/>
          <w:lang w:val="es-ES_tradnl" w:eastAsia="es-CO"/>
        </w:rPr>
        <w:t xml:space="preserve">Cordialmente, </w:t>
      </w:r>
    </w:p>
    <w:p w14:paraId="7D312D20" w14:textId="1F02D25F"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4A4D45AD" w14:textId="1B89AEE8" w:rsidR="0040294F"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0C07C42A" w14:textId="77777777" w:rsidR="00D678B2" w:rsidRPr="00C2222D"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4D1550A2"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629D329D" w14:textId="77777777" w:rsidR="0040294F" w:rsidRPr="00C2222D" w:rsidRDefault="0040294F" w:rsidP="0040294F">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JAIME RODRIGUEZ CONTRERAS</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JUAN CARLOS RIVERA PEÑA </w:t>
      </w:r>
    </w:p>
    <w:p w14:paraId="43AB92F7"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Representante a la Cámara</w:t>
      </w:r>
    </w:p>
    <w:p w14:paraId="2831F715"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Ponente Coordinador</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Ponente Coordinador</w:t>
      </w:r>
    </w:p>
    <w:p w14:paraId="1FE0A2F1"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07D7C7E1" w14:textId="20FD367B" w:rsidR="0040294F"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2D1FE181" w14:textId="3B1ADD04" w:rsidR="00D678B2"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109DC36A" w14:textId="0F5E6EA3" w:rsidR="00D678B2"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34C70E60" w14:textId="537F4454" w:rsidR="00D678B2"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546D20FB" w14:textId="79972E8C" w:rsidR="00D678B2"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37E1AA3E" w14:textId="77777777" w:rsidR="00D678B2" w:rsidRPr="00C2222D"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6B629F3D" w14:textId="77777777" w:rsidR="00D678B2" w:rsidRPr="00C2222D"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51806537" w14:textId="273D062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45B7E13F"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3A4907CD" w14:textId="77777777" w:rsidR="0040294F" w:rsidRPr="00C2222D" w:rsidRDefault="0040294F" w:rsidP="0040294F">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JOSE JAIME USCATEGUI P.</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          JORGE ELIECER TAMAYO M.</w:t>
      </w:r>
    </w:p>
    <w:p w14:paraId="1EBD1C1D"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Representante a la Cámara</w:t>
      </w:r>
    </w:p>
    <w:p w14:paraId="57EC59CD"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213E0270"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1F51C78E"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14D9FD77" w14:textId="4B38FE65" w:rsidR="00870310" w:rsidRDefault="00870310" w:rsidP="0040294F">
      <w:pPr>
        <w:shd w:val="clear" w:color="auto" w:fill="FFFFFF"/>
        <w:spacing w:after="0"/>
        <w:jc w:val="both"/>
        <w:rPr>
          <w:rFonts w:ascii="Arial" w:eastAsia="Times New Roman" w:hAnsi="Arial" w:cs="Arial"/>
          <w:color w:val="000000" w:themeColor="text1"/>
          <w:sz w:val="24"/>
          <w:szCs w:val="24"/>
          <w:lang w:eastAsia="es-CO"/>
        </w:rPr>
      </w:pPr>
    </w:p>
    <w:p w14:paraId="64843724" w14:textId="77777777" w:rsidR="003B2FE2" w:rsidRDefault="003B2FE2" w:rsidP="0040294F">
      <w:pPr>
        <w:shd w:val="clear" w:color="auto" w:fill="FFFFFF"/>
        <w:spacing w:after="0"/>
        <w:jc w:val="both"/>
        <w:rPr>
          <w:rFonts w:ascii="Arial" w:eastAsia="Times New Roman" w:hAnsi="Arial" w:cs="Arial"/>
          <w:color w:val="000000" w:themeColor="text1"/>
          <w:sz w:val="24"/>
          <w:szCs w:val="24"/>
          <w:lang w:eastAsia="es-CO"/>
        </w:rPr>
      </w:pPr>
    </w:p>
    <w:p w14:paraId="0955DCBC" w14:textId="77777777" w:rsidR="00870310" w:rsidRPr="00C2222D" w:rsidRDefault="00870310" w:rsidP="0040294F">
      <w:pPr>
        <w:shd w:val="clear" w:color="auto" w:fill="FFFFFF"/>
        <w:spacing w:after="0"/>
        <w:jc w:val="both"/>
        <w:rPr>
          <w:rFonts w:ascii="Arial" w:eastAsia="Times New Roman" w:hAnsi="Arial" w:cs="Arial"/>
          <w:color w:val="000000" w:themeColor="text1"/>
          <w:sz w:val="24"/>
          <w:szCs w:val="24"/>
          <w:lang w:eastAsia="es-CO"/>
        </w:rPr>
      </w:pPr>
    </w:p>
    <w:p w14:paraId="70A9A8A9"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37B83CCE" w14:textId="4183C4E5" w:rsidR="0040294F" w:rsidRPr="00C2222D" w:rsidRDefault="0040294F" w:rsidP="0040294F">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JUAN CARLOS WILLS O.</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         </w:t>
      </w:r>
    </w:p>
    <w:p w14:paraId="32017A7C" w14:textId="77256805"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 xml:space="preserve">         </w:t>
      </w:r>
    </w:p>
    <w:p w14:paraId="7DC4C41B"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00A43094"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35E85F7B"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58BBBF3E" w14:textId="18E96A72"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35A4948D" w14:textId="753B9DF1" w:rsidR="0040294F"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0B2723D6" w14:textId="77777777" w:rsidR="003B2FE2" w:rsidRPr="00C2222D" w:rsidRDefault="003B2FE2" w:rsidP="0040294F">
      <w:pPr>
        <w:shd w:val="clear" w:color="auto" w:fill="FFFFFF"/>
        <w:spacing w:after="0"/>
        <w:jc w:val="both"/>
        <w:rPr>
          <w:rFonts w:ascii="Arial" w:eastAsia="Times New Roman" w:hAnsi="Arial" w:cs="Arial"/>
          <w:color w:val="000000" w:themeColor="text1"/>
          <w:sz w:val="24"/>
          <w:szCs w:val="24"/>
          <w:lang w:eastAsia="es-CO"/>
        </w:rPr>
      </w:pPr>
    </w:p>
    <w:p w14:paraId="483BE086" w14:textId="77777777" w:rsidR="0040294F" w:rsidRPr="00C2222D" w:rsidRDefault="0040294F" w:rsidP="0040294F">
      <w:pPr>
        <w:shd w:val="clear" w:color="auto" w:fill="FFFFFF"/>
        <w:spacing w:after="0"/>
        <w:jc w:val="both"/>
        <w:rPr>
          <w:rFonts w:ascii="Arial" w:eastAsia="Times New Roman" w:hAnsi="Arial" w:cs="Arial"/>
          <w:b/>
          <w:bCs/>
          <w:color w:val="000000" w:themeColor="text1"/>
          <w:sz w:val="24"/>
          <w:szCs w:val="24"/>
          <w:lang w:eastAsia="es-CO"/>
        </w:rPr>
      </w:pPr>
    </w:p>
    <w:p w14:paraId="71298D90" w14:textId="6028EFCF" w:rsidR="0049792C" w:rsidRDefault="0049792C" w:rsidP="00C2222D">
      <w:pPr>
        <w:spacing w:after="0"/>
        <w:jc w:val="both"/>
        <w:rPr>
          <w:rFonts w:ascii="Arial" w:hAnsi="Arial" w:cs="Arial"/>
          <w:sz w:val="24"/>
          <w:szCs w:val="24"/>
          <w:lang w:val="es-ES"/>
        </w:rPr>
      </w:pPr>
    </w:p>
    <w:p w14:paraId="1D84C393" w14:textId="3BE1B5AE" w:rsidR="00870310" w:rsidRDefault="00870310" w:rsidP="00C2222D">
      <w:pPr>
        <w:spacing w:after="0"/>
        <w:jc w:val="both"/>
        <w:rPr>
          <w:rFonts w:ascii="Arial" w:hAnsi="Arial" w:cs="Arial"/>
          <w:sz w:val="24"/>
          <w:szCs w:val="24"/>
          <w:lang w:val="es-ES"/>
        </w:rPr>
      </w:pPr>
    </w:p>
    <w:p w14:paraId="5D03959F" w14:textId="0F58A903" w:rsidR="00870310" w:rsidRDefault="00870310" w:rsidP="00C2222D">
      <w:pPr>
        <w:spacing w:after="0"/>
        <w:jc w:val="both"/>
        <w:rPr>
          <w:rFonts w:ascii="Arial" w:hAnsi="Arial" w:cs="Arial"/>
          <w:sz w:val="24"/>
          <w:szCs w:val="24"/>
          <w:lang w:val="es-ES"/>
        </w:rPr>
      </w:pPr>
    </w:p>
    <w:p w14:paraId="57588845" w14:textId="3A396BEB" w:rsidR="00870310" w:rsidRDefault="00870310" w:rsidP="00C2222D">
      <w:pPr>
        <w:spacing w:after="0"/>
        <w:jc w:val="both"/>
        <w:rPr>
          <w:rFonts w:ascii="Arial" w:hAnsi="Arial" w:cs="Arial"/>
          <w:sz w:val="24"/>
          <w:szCs w:val="24"/>
          <w:lang w:val="es-ES"/>
        </w:rPr>
      </w:pPr>
    </w:p>
    <w:p w14:paraId="47EDE426" w14:textId="0785F660" w:rsidR="00870310" w:rsidRDefault="00870310" w:rsidP="00C2222D">
      <w:pPr>
        <w:spacing w:after="0"/>
        <w:jc w:val="both"/>
        <w:rPr>
          <w:rFonts w:ascii="Arial" w:hAnsi="Arial" w:cs="Arial"/>
          <w:sz w:val="24"/>
          <w:szCs w:val="24"/>
          <w:lang w:val="es-ES"/>
        </w:rPr>
      </w:pPr>
    </w:p>
    <w:p w14:paraId="394982E3" w14:textId="546C6AD0" w:rsidR="00870310" w:rsidRDefault="00870310" w:rsidP="00C2222D">
      <w:pPr>
        <w:spacing w:after="0"/>
        <w:jc w:val="both"/>
        <w:rPr>
          <w:rFonts w:ascii="Arial" w:hAnsi="Arial" w:cs="Arial"/>
          <w:sz w:val="24"/>
          <w:szCs w:val="24"/>
          <w:lang w:val="es-ES"/>
        </w:rPr>
      </w:pPr>
    </w:p>
    <w:p w14:paraId="5E4AA107" w14:textId="5169BF56" w:rsidR="00870310" w:rsidRDefault="00870310" w:rsidP="00C2222D">
      <w:pPr>
        <w:spacing w:after="0"/>
        <w:jc w:val="both"/>
        <w:rPr>
          <w:rFonts w:ascii="Arial" w:hAnsi="Arial" w:cs="Arial"/>
          <w:sz w:val="24"/>
          <w:szCs w:val="24"/>
          <w:lang w:val="es-ES"/>
        </w:rPr>
      </w:pPr>
    </w:p>
    <w:p w14:paraId="60DE191C" w14:textId="0367A9AC" w:rsidR="003B2FE2" w:rsidRDefault="003B2FE2" w:rsidP="00C2222D">
      <w:pPr>
        <w:spacing w:after="0"/>
        <w:jc w:val="both"/>
        <w:rPr>
          <w:rFonts w:ascii="Arial" w:hAnsi="Arial" w:cs="Arial"/>
          <w:sz w:val="24"/>
          <w:szCs w:val="24"/>
          <w:lang w:val="es-ES"/>
        </w:rPr>
      </w:pPr>
    </w:p>
    <w:p w14:paraId="3AE4DBF7" w14:textId="2105D065" w:rsidR="003B2FE2" w:rsidRDefault="003B2FE2" w:rsidP="00C2222D">
      <w:pPr>
        <w:spacing w:after="0"/>
        <w:jc w:val="both"/>
        <w:rPr>
          <w:rFonts w:ascii="Arial" w:hAnsi="Arial" w:cs="Arial"/>
          <w:sz w:val="24"/>
          <w:szCs w:val="24"/>
          <w:lang w:val="es-ES"/>
        </w:rPr>
      </w:pPr>
    </w:p>
    <w:p w14:paraId="7718735A" w14:textId="2552DE92" w:rsidR="003B2FE2" w:rsidRDefault="003B2FE2" w:rsidP="00C2222D">
      <w:pPr>
        <w:spacing w:after="0"/>
        <w:jc w:val="both"/>
        <w:rPr>
          <w:rFonts w:ascii="Arial" w:hAnsi="Arial" w:cs="Arial"/>
          <w:sz w:val="24"/>
          <w:szCs w:val="24"/>
          <w:lang w:val="es-ES"/>
        </w:rPr>
      </w:pPr>
    </w:p>
    <w:p w14:paraId="77314AFF" w14:textId="38796C7A" w:rsidR="003B2FE2" w:rsidRDefault="003B2FE2" w:rsidP="00C2222D">
      <w:pPr>
        <w:spacing w:after="0"/>
        <w:jc w:val="both"/>
        <w:rPr>
          <w:rFonts w:ascii="Arial" w:hAnsi="Arial" w:cs="Arial"/>
          <w:sz w:val="24"/>
          <w:szCs w:val="24"/>
          <w:lang w:val="es-ES"/>
        </w:rPr>
      </w:pPr>
    </w:p>
    <w:p w14:paraId="254363C8" w14:textId="77777777" w:rsidR="003B2FE2" w:rsidRDefault="003B2FE2" w:rsidP="00C2222D">
      <w:pPr>
        <w:spacing w:after="0"/>
        <w:jc w:val="both"/>
        <w:rPr>
          <w:rFonts w:ascii="Arial" w:hAnsi="Arial" w:cs="Arial"/>
          <w:sz w:val="24"/>
          <w:szCs w:val="24"/>
          <w:lang w:val="es-ES"/>
        </w:rPr>
      </w:pPr>
    </w:p>
    <w:p w14:paraId="1AD9B5EC" w14:textId="4B2163FD" w:rsidR="00870310" w:rsidRDefault="00870310" w:rsidP="00C2222D">
      <w:pPr>
        <w:spacing w:after="0"/>
        <w:jc w:val="both"/>
        <w:rPr>
          <w:rFonts w:ascii="Arial" w:hAnsi="Arial" w:cs="Arial"/>
          <w:sz w:val="24"/>
          <w:szCs w:val="24"/>
          <w:lang w:val="es-ES"/>
        </w:rPr>
      </w:pPr>
    </w:p>
    <w:p w14:paraId="5B05B714" w14:textId="674CF040" w:rsidR="003B2FE2" w:rsidRDefault="003B2FE2" w:rsidP="00C2222D">
      <w:pPr>
        <w:spacing w:after="0"/>
        <w:jc w:val="both"/>
        <w:rPr>
          <w:rFonts w:ascii="Arial" w:hAnsi="Arial" w:cs="Arial"/>
          <w:sz w:val="24"/>
          <w:szCs w:val="24"/>
          <w:lang w:val="es-ES"/>
        </w:rPr>
      </w:pPr>
    </w:p>
    <w:p w14:paraId="0DA9BE64" w14:textId="43F9AE76" w:rsidR="00D678B2" w:rsidRDefault="00D678B2" w:rsidP="00C2222D">
      <w:pPr>
        <w:spacing w:after="0"/>
        <w:jc w:val="both"/>
        <w:rPr>
          <w:rFonts w:ascii="Arial" w:hAnsi="Arial" w:cs="Arial"/>
          <w:sz w:val="24"/>
          <w:szCs w:val="24"/>
          <w:lang w:val="es-ES"/>
        </w:rPr>
      </w:pPr>
    </w:p>
    <w:p w14:paraId="5CA6BE2E" w14:textId="03DAD856" w:rsidR="00D678B2" w:rsidRDefault="00D678B2" w:rsidP="00C2222D">
      <w:pPr>
        <w:spacing w:after="0"/>
        <w:jc w:val="both"/>
        <w:rPr>
          <w:rFonts w:ascii="Arial" w:hAnsi="Arial" w:cs="Arial"/>
          <w:sz w:val="24"/>
          <w:szCs w:val="24"/>
          <w:lang w:val="es-ES"/>
        </w:rPr>
      </w:pPr>
    </w:p>
    <w:p w14:paraId="7DAA04C0" w14:textId="77777777" w:rsidR="00D678B2" w:rsidRDefault="00D678B2" w:rsidP="00C2222D">
      <w:pPr>
        <w:spacing w:after="0"/>
        <w:jc w:val="both"/>
        <w:rPr>
          <w:rFonts w:ascii="Arial" w:hAnsi="Arial" w:cs="Arial"/>
          <w:sz w:val="24"/>
          <w:szCs w:val="24"/>
          <w:lang w:val="es-ES"/>
        </w:rPr>
      </w:pPr>
    </w:p>
    <w:p w14:paraId="3B378B9D" w14:textId="36476E3E" w:rsidR="00870310" w:rsidRPr="00C2222D" w:rsidRDefault="00870310" w:rsidP="00C2222D">
      <w:pPr>
        <w:spacing w:after="0"/>
        <w:jc w:val="both"/>
        <w:rPr>
          <w:rFonts w:ascii="Arial" w:hAnsi="Arial" w:cs="Arial"/>
          <w:sz w:val="24"/>
          <w:szCs w:val="24"/>
          <w:lang w:val="es-ES"/>
        </w:rPr>
      </w:pPr>
    </w:p>
    <w:p w14:paraId="2E3BB2F9" w14:textId="77777777" w:rsidR="00F9017F" w:rsidRDefault="0049792C" w:rsidP="00C2222D">
      <w:pPr>
        <w:pStyle w:val="CM6"/>
        <w:spacing w:after="220" w:line="276" w:lineRule="auto"/>
        <w:jc w:val="center"/>
        <w:rPr>
          <w:rFonts w:ascii="Arial" w:hAnsi="Arial" w:cs="Arial"/>
          <w:b/>
        </w:rPr>
      </w:pPr>
      <w:r w:rsidRPr="00C2222D">
        <w:rPr>
          <w:rFonts w:ascii="Arial" w:hAnsi="Arial" w:cs="Arial"/>
          <w:b/>
        </w:rPr>
        <w:t xml:space="preserve">               </w:t>
      </w:r>
    </w:p>
    <w:p w14:paraId="6BD132BF" w14:textId="77777777" w:rsidR="00F9017F" w:rsidRDefault="00F9017F" w:rsidP="00C2222D">
      <w:pPr>
        <w:pStyle w:val="CM6"/>
        <w:spacing w:after="220" w:line="276" w:lineRule="auto"/>
        <w:jc w:val="center"/>
        <w:rPr>
          <w:rFonts w:ascii="Arial" w:hAnsi="Arial" w:cs="Arial"/>
          <w:b/>
        </w:rPr>
      </w:pPr>
    </w:p>
    <w:p w14:paraId="51671BA0" w14:textId="2C366E9D" w:rsidR="0049792C" w:rsidRPr="00C2222D" w:rsidRDefault="00F9017F" w:rsidP="00C2222D">
      <w:pPr>
        <w:pStyle w:val="CM6"/>
        <w:spacing w:after="220" w:line="276" w:lineRule="auto"/>
        <w:jc w:val="center"/>
        <w:rPr>
          <w:rFonts w:ascii="Arial" w:eastAsia="Times New Roman" w:hAnsi="Arial" w:cs="Arial"/>
          <w:color w:val="000000" w:themeColor="text1"/>
          <w:lang w:val="es-ES_tradnl" w:eastAsia="es-CO"/>
        </w:rPr>
      </w:pPr>
      <w:r>
        <w:rPr>
          <w:rFonts w:ascii="Arial" w:hAnsi="Arial" w:cs="Arial"/>
          <w:b/>
        </w:rPr>
        <w:t xml:space="preserve">TEXTO PROPUESTO PARA PRIMER DEBATE AL </w:t>
      </w:r>
      <w:r w:rsidR="0049792C" w:rsidRPr="00C2222D">
        <w:rPr>
          <w:rFonts w:ascii="Arial" w:hAnsi="Arial" w:cs="Arial"/>
          <w:b/>
        </w:rPr>
        <w:t xml:space="preserve">PROYECTO DE </w:t>
      </w:r>
      <w:r w:rsidR="0040294F" w:rsidRPr="00C2222D">
        <w:rPr>
          <w:rFonts w:ascii="Arial" w:hAnsi="Arial" w:cs="Arial"/>
          <w:b/>
          <w:color w:val="000000" w:themeColor="text1"/>
          <w:lang w:eastAsia="es-CO"/>
        </w:rPr>
        <w:t>ACTO LEGISLATIVO</w:t>
      </w:r>
      <w:r w:rsidR="0040294F" w:rsidRPr="00C2222D">
        <w:rPr>
          <w:rFonts w:ascii="Arial" w:hAnsi="Arial" w:cs="Arial"/>
          <w:b/>
          <w:lang w:val="es-ES"/>
        </w:rPr>
        <w:t xml:space="preserve"> N</w:t>
      </w:r>
      <w:r>
        <w:rPr>
          <w:rFonts w:ascii="Arial" w:hAnsi="Arial" w:cs="Arial"/>
          <w:b/>
          <w:lang w:val="es-ES"/>
        </w:rPr>
        <w:t>o</w:t>
      </w:r>
      <w:r w:rsidR="0040294F" w:rsidRPr="00C2222D">
        <w:rPr>
          <w:rFonts w:ascii="Arial" w:hAnsi="Arial" w:cs="Arial"/>
          <w:b/>
          <w:lang w:val="es-ES"/>
        </w:rPr>
        <w:t xml:space="preserve"> 105 DE 2018 CÁMARA </w:t>
      </w:r>
      <w:r>
        <w:rPr>
          <w:rFonts w:ascii="Arial" w:hAnsi="Arial" w:cs="Arial"/>
          <w:b/>
          <w:lang w:val="es-ES"/>
        </w:rPr>
        <w:t xml:space="preserve">ACUMULADO CON EL </w:t>
      </w:r>
      <w:r w:rsidR="0040294F" w:rsidRPr="00C2222D">
        <w:rPr>
          <w:rFonts w:ascii="Arial" w:hAnsi="Arial" w:cs="Arial"/>
          <w:b/>
          <w:lang w:val="es-ES"/>
        </w:rPr>
        <w:t>N</w:t>
      </w:r>
      <w:r>
        <w:rPr>
          <w:rFonts w:ascii="Arial" w:hAnsi="Arial" w:cs="Arial"/>
          <w:b/>
          <w:lang w:val="es-ES"/>
        </w:rPr>
        <w:t>o</w:t>
      </w:r>
      <w:r w:rsidR="0040294F" w:rsidRPr="00C2222D">
        <w:rPr>
          <w:rFonts w:ascii="Arial" w:hAnsi="Arial" w:cs="Arial"/>
          <w:b/>
          <w:lang w:val="es-ES"/>
        </w:rPr>
        <w:t xml:space="preserve"> 140 DE 2018 </w:t>
      </w:r>
      <w:r>
        <w:rPr>
          <w:rFonts w:ascii="Arial" w:hAnsi="Arial" w:cs="Arial"/>
          <w:b/>
          <w:lang w:val="es-ES"/>
        </w:rPr>
        <w:t xml:space="preserve">CÁMARA </w:t>
      </w:r>
      <w:r w:rsidR="0040294F" w:rsidRPr="00C2222D">
        <w:rPr>
          <w:rFonts w:ascii="Arial" w:hAnsi="Arial" w:cs="Arial"/>
          <w:b/>
          <w:lang w:val="es-ES"/>
        </w:rPr>
        <w:t>“POR EL CUAL SE REFORMA</w:t>
      </w:r>
      <w:r>
        <w:rPr>
          <w:rFonts w:ascii="Arial" w:hAnsi="Arial" w:cs="Arial"/>
          <w:b/>
          <w:lang w:val="es-ES"/>
        </w:rPr>
        <w:t>N</w:t>
      </w:r>
      <w:r w:rsidR="0040294F" w:rsidRPr="00C2222D">
        <w:rPr>
          <w:rFonts w:ascii="Arial" w:hAnsi="Arial" w:cs="Arial"/>
          <w:b/>
          <w:lang w:val="es-ES"/>
        </w:rPr>
        <w:t xml:space="preserve"> </w:t>
      </w:r>
      <w:r>
        <w:rPr>
          <w:rFonts w:ascii="Arial" w:hAnsi="Arial" w:cs="Arial"/>
          <w:b/>
          <w:lang w:val="es-ES"/>
        </w:rPr>
        <w:t>LOS</w:t>
      </w:r>
      <w:r w:rsidR="0040294F" w:rsidRPr="00C2222D">
        <w:rPr>
          <w:rFonts w:ascii="Arial" w:hAnsi="Arial" w:cs="Arial"/>
          <w:b/>
          <w:lang w:val="es-ES"/>
        </w:rPr>
        <w:t xml:space="preserve"> ARTÍCULO</w:t>
      </w:r>
      <w:r>
        <w:rPr>
          <w:rFonts w:ascii="Arial" w:hAnsi="Arial" w:cs="Arial"/>
          <w:b/>
          <w:lang w:val="es-ES"/>
        </w:rPr>
        <w:t>S</w:t>
      </w:r>
      <w:r w:rsidR="0040294F" w:rsidRPr="00C2222D">
        <w:rPr>
          <w:rFonts w:ascii="Arial" w:hAnsi="Arial" w:cs="Arial"/>
          <w:b/>
          <w:lang w:val="es-ES"/>
        </w:rPr>
        <w:t xml:space="preserve"> 261 Y </w:t>
      </w:r>
      <w:r>
        <w:rPr>
          <w:rFonts w:ascii="Arial" w:hAnsi="Arial" w:cs="Arial"/>
          <w:b/>
          <w:lang w:val="es-ES"/>
        </w:rPr>
        <w:t xml:space="preserve">262 </w:t>
      </w:r>
      <w:r w:rsidR="0040294F" w:rsidRPr="00C2222D">
        <w:rPr>
          <w:rFonts w:ascii="Arial" w:hAnsi="Arial" w:cs="Arial"/>
          <w:b/>
          <w:lang w:val="es-ES"/>
        </w:rPr>
        <w:t>SE DICTAN OTRAS DISPOSICIONES”</w:t>
      </w:r>
      <w:r w:rsidR="0040294F" w:rsidRPr="00C2222D">
        <w:rPr>
          <w:rFonts w:ascii="Arial" w:eastAsia="Times New Roman" w:hAnsi="Arial" w:cs="Arial"/>
          <w:color w:val="000000" w:themeColor="text1"/>
          <w:lang w:val="es-ES_tradnl" w:eastAsia="es-CO"/>
        </w:rPr>
        <w:t xml:space="preserve">.   </w:t>
      </w:r>
    </w:p>
    <w:p w14:paraId="7B9BB911" w14:textId="77777777" w:rsidR="0049792C" w:rsidRPr="00C2222D" w:rsidRDefault="0049792C" w:rsidP="0049792C">
      <w:pPr>
        <w:ind w:right="476"/>
        <w:jc w:val="center"/>
        <w:rPr>
          <w:rFonts w:ascii="Arial" w:hAnsi="Arial" w:cs="Arial"/>
          <w:b/>
          <w:sz w:val="24"/>
          <w:szCs w:val="24"/>
        </w:rPr>
      </w:pPr>
      <w:r w:rsidRPr="00C2222D">
        <w:rPr>
          <w:rFonts w:ascii="Arial" w:hAnsi="Arial" w:cs="Arial"/>
          <w:b/>
          <w:sz w:val="24"/>
          <w:szCs w:val="24"/>
        </w:rPr>
        <w:t>EL CONGRESO DE COLOMBIA</w:t>
      </w:r>
      <w:bookmarkStart w:id="0" w:name="_GoBack"/>
      <w:bookmarkEnd w:id="0"/>
    </w:p>
    <w:p w14:paraId="2017A941" w14:textId="77777777" w:rsidR="0049792C" w:rsidRPr="00C2222D" w:rsidRDefault="0049792C" w:rsidP="0049792C">
      <w:pPr>
        <w:ind w:right="476"/>
        <w:jc w:val="center"/>
        <w:rPr>
          <w:rFonts w:ascii="Arial" w:hAnsi="Arial" w:cs="Arial"/>
          <w:b/>
          <w:sz w:val="24"/>
          <w:szCs w:val="24"/>
        </w:rPr>
      </w:pPr>
    </w:p>
    <w:p w14:paraId="0A10AE1D" w14:textId="1C9CFF0C" w:rsidR="0049792C" w:rsidRPr="00C2222D" w:rsidRDefault="0049792C" w:rsidP="003B2FE2">
      <w:pPr>
        <w:ind w:right="476"/>
        <w:jc w:val="center"/>
        <w:rPr>
          <w:rFonts w:ascii="Arial" w:hAnsi="Arial" w:cs="Arial"/>
          <w:b/>
          <w:sz w:val="24"/>
          <w:szCs w:val="24"/>
        </w:rPr>
      </w:pPr>
      <w:r w:rsidRPr="00C2222D">
        <w:rPr>
          <w:rFonts w:ascii="Arial" w:hAnsi="Arial" w:cs="Arial"/>
          <w:b/>
          <w:sz w:val="24"/>
          <w:szCs w:val="24"/>
        </w:rPr>
        <w:t>DECRETA</w:t>
      </w:r>
    </w:p>
    <w:p w14:paraId="0424A148" w14:textId="35ED5ACF" w:rsidR="0049792C" w:rsidRPr="00C2222D" w:rsidRDefault="0049792C" w:rsidP="003B2FE2">
      <w:pPr>
        <w:ind w:right="476"/>
        <w:jc w:val="both"/>
        <w:rPr>
          <w:rFonts w:ascii="Arial" w:hAnsi="Arial" w:cs="Arial"/>
          <w:sz w:val="24"/>
          <w:szCs w:val="24"/>
        </w:rPr>
      </w:pPr>
      <w:r w:rsidRPr="00C2222D">
        <w:rPr>
          <w:rFonts w:ascii="Arial" w:hAnsi="Arial" w:cs="Arial"/>
          <w:sz w:val="24"/>
          <w:szCs w:val="24"/>
        </w:rPr>
        <w:t>ARTÍCULO 1º. El artículo 261 de la Constitución Política quedará así:</w:t>
      </w:r>
    </w:p>
    <w:p w14:paraId="0C4BE74E" w14:textId="5590DBFE" w:rsidR="0049792C" w:rsidRPr="00C2222D" w:rsidRDefault="0049792C" w:rsidP="0049792C">
      <w:pPr>
        <w:jc w:val="both"/>
        <w:rPr>
          <w:rFonts w:ascii="Arial" w:hAnsi="Arial" w:cs="Arial"/>
          <w:sz w:val="24"/>
          <w:szCs w:val="24"/>
        </w:rPr>
      </w:pPr>
      <w:bookmarkStart w:id="1" w:name="261"/>
      <w:r w:rsidRPr="00C2222D">
        <w:rPr>
          <w:rFonts w:ascii="Arial" w:hAnsi="Arial" w:cs="Arial"/>
          <w:bCs/>
          <w:sz w:val="24"/>
          <w:szCs w:val="24"/>
        </w:rPr>
        <w:t>ARTICULO 261.</w:t>
      </w:r>
      <w:bookmarkEnd w:id="1"/>
      <w:r w:rsidRPr="00C2222D">
        <w:rPr>
          <w:rFonts w:ascii="Arial" w:hAnsi="Arial" w:cs="Arial"/>
          <w:sz w:val="24"/>
          <w:szCs w:val="24"/>
        </w:rPr>
        <w:t xml:space="preserve">  La elección del Presidente y Vicepresidente no podrá coincidir con otra elección. La </w:t>
      </w:r>
      <w:r w:rsidR="0052001A">
        <w:rPr>
          <w:rFonts w:ascii="Arial" w:hAnsi="Arial" w:cs="Arial"/>
          <w:sz w:val="24"/>
          <w:szCs w:val="24"/>
        </w:rPr>
        <w:t xml:space="preserve">elección </w:t>
      </w:r>
      <w:r w:rsidRPr="00C2222D">
        <w:rPr>
          <w:rFonts w:ascii="Arial" w:hAnsi="Arial" w:cs="Arial"/>
          <w:sz w:val="24"/>
          <w:szCs w:val="24"/>
        </w:rPr>
        <w:t xml:space="preserve">de Congreso </w:t>
      </w:r>
      <w:r w:rsidRPr="00C2222D">
        <w:rPr>
          <w:rFonts w:ascii="Arial" w:hAnsi="Arial" w:cs="Arial"/>
          <w:i/>
          <w:sz w:val="24"/>
          <w:szCs w:val="24"/>
        </w:rPr>
        <w:t xml:space="preserve">se </w:t>
      </w:r>
      <w:r w:rsidR="0052001A">
        <w:rPr>
          <w:rFonts w:ascii="Arial" w:hAnsi="Arial" w:cs="Arial"/>
          <w:i/>
          <w:sz w:val="24"/>
          <w:szCs w:val="24"/>
        </w:rPr>
        <w:t xml:space="preserve">hará </w:t>
      </w:r>
      <w:r w:rsidRPr="00C2222D">
        <w:rPr>
          <w:rFonts w:ascii="Arial" w:hAnsi="Arial" w:cs="Arial"/>
          <w:i/>
          <w:sz w:val="24"/>
          <w:szCs w:val="24"/>
        </w:rPr>
        <w:t xml:space="preserve">en la misma fecha de </w:t>
      </w:r>
      <w:r w:rsidR="0052001A">
        <w:rPr>
          <w:rFonts w:ascii="Arial" w:hAnsi="Arial" w:cs="Arial"/>
          <w:i/>
          <w:sz w:val="24"/>
          <w:szCs w:val="24"/>
        </w:rPr>
        <w:t xml:space="preserve">las </w:t>
      </w:r>
      <w:r w:rsidRPr="00C2222D">
        <w:rPr>
          <w:rFonts w:ascii="Arial" w:hAnsi="Arial" w:cs="Arial"/>
          <w:i/>
          <w:sz w:val="24"/>
          <w:szCs w:val="24"/>
        </w:rPr>
        <w:t>autoridades departamentales y municipales</w:t>
      </w:r>
      <w:r w:rsidRPr="00C2222D">
        <w:rPr>
          <w:rFonts w:ascii="Arial" w:hAnsi="Arial" w:cs="Arial"/>
          <w:sz w:val="24"/>
          <w:szCs w:val="24"/>
        </w:rPr>
        <w:t>.</w:t>
      </w:r>
    </w:p>
    <w:p w14:paraId="56F54BE3" w14:textId="36DD808F" w:rsidR="0049792C" w:rsidRPr="00C2222D" w:rsidRDefault="0049792C" w:rsidP="0049792C">
      <w:pPr>
        <w:pStyle w:val="Sinespaciado"/>
        <w:jc w:val="both"/>
        <w:rPr>
          <w:rFonts w:ascii="Arial" w:hAnsi="Arial" w:cs="Arial"/>
          <w:i/>
          <w:sz w:val="24"/>
          <w:szCs w:val="24"/>
        </w:rPr>
      </w:pPr>
      <w:r w:rsidRPr="00C2222D">
        <w:rPr>
          <w:rFonts w:ascii="Arial" w:hAnsi="Arial" w:cs="Arial"/>
          <w:i/>
          <w:sz w:val="24"/>
          <w:szCs w:val="24"/>
        </w:rPr>
        <w:t>La elección de cargos uninominales: Presidente y Vicepresidente, se realizará el segundo domingo del mes de mayo. La elección de los miembros de corporaciones públicas,</w:t>
      </w:r>
      <w:r w:rsidR="0052001A">
        <w:rPr>
          <w:rFonts w:ascii="Arial" w:hAnsi="Arial" w:cs="Arial"/>
          <w:i/>
          <w:sz w:val="24"/>
          <w:szCs w:val="24"/>
        </w:rPr>
        <w:t xml:space="preserve"> a saber: Congreso,</w:t>
      </w:r>
      <w:r w:rsidRPr="00C2222D">
        <w:rPr>
          <w:rFonts w:ascii="Arial" w:hAnsi="Arial" w:cs="Arial"/>
          <w:i/>
          <w:sz w:val="24"/>
          <w:szCs w:val="24"/>
        </w:rPr>
        <w:t xml:space="preserve"> Asambleas, Concejos y JAL</w:t>
      </w:r>
      <w:r w:rsidR="0052001A">
        <w:rPr>
          <w:rFonts w:ascii="Arial" w:hAnsi="Arial" w:cs="Arial"/>
          <w:i/>
          <w:sz w:val="24"/>
          <w:szCs w:val="24"/>
        </w:rPr>
        <w:t>, y los</w:t>
      </w:r>
      <w:r w:rsidR="0052001A" w:rsidRPr="0052001A">
        <w:rPr>
          <w:rFonts w:ascii="Arial" w:hAnsi="Arial" w:cs="Arial"/>
          <w:i/>
          <w:sz w:val="24"/>
          <w:szCs w:val="24"/>
        </w:rPr>
        <w:t xml:space="preserve"> </w:t>
      </w:r>
      <w:r w:rsidR="0052001A">
        <w:rPr>
          <w:rFonts w:ascii="Arial" w:hAnsi="Arial" w:cs="Arial"/>
          <w:i/>
          <w:sz w:val="24"/>
          <w:szCs w:val="24"/>
        </w:rPr>
        <w:t xml:space="preserve">Gobernadores y Alcaldes </w:t>
      </w:r>
      <w:r w:rsidR="0052001A" w:rsidRPr="00C2222D">
        <w:rPr>
          <w:rFonts w:ascii="Arial" w:hAnsi="Arial" w:cs="Arial"/>
          <w:i/>
          <w:sz w:val="24"/>
          <w:szCs w:val="24"/>
        </w:rPr>
        <w:t>se</w:t>
      </w:r>
      <w:r w:rsidRPr="00C2222D">
        <w:rPr>
          <w:rFonts w:ascii="Arial" w:hAnsi="Arial" w:cs="Arial"/>
          <w:i/>
          <w:sz w:val="24"/>
          <w:szCs w:val="24"/>
        </w:rPr>
        <w:t xml:space="preserve"> hará en fecha separada</w:t>
      </w:r>
      <w:r w:rsidR="00870310" w:rsidRPr="00870310">
        <w:rPr>
          <w:rFonts w:ascii="Arial" w:hAnsi="Arial" w:cs="Arial"/>
          <w:b/>
          <w:sz w:val="24"/>
          <w:szCs w:val="24"/>
        </w:rPr>
        <w:t xml:space="preserve"> </w:t>
      </w:r>
      <w:r w:rsidR="00870310" w:rsidRPr="00870310">
        <w:rPr>
          <w:rFonts w:ascii="Arial" w:hAnsi="Arial" w:cs="Arial"/>
          <w:sz w:val="24"/>
          <w:szCs w:val="24"/>
        </w:rPr>
        <w:t>al del presidente y vicepresidente</w:t>
      </w:r>
      <w:r w:rsidRPr="00870310">
        <w:rPr>
          <w:rFonts w:ascii="Arial" w:hAnsi="Arial" w:cs="Arial"/>
          <w:i/>
          <w:sz w:val="24"/>
          <w:szCs w:val="24"/>
        </w:rPr>
        <w:t xml:space="preserve"> </w:t>
      </w:r>
      <w:r w:rsidRPr="00C2222D">
        <w:rPr>
          <w:rFonts w:ascii="Arial" w:hAnsi="Arial" w:cs="Arial"/>
          <w:i/>
          <w:sz w:val="24"/>
          <w:szCs w:val="24"/>
        </w:rPr>
        <w:t xml:space="preserve">y recaerá el segundo domingo del mes de marzo. </w:t>
      </w:r>
    </w:p>
    <w:p w14:paraId="1B6D3848" w14:textId="77777777" w:rsidR="0049792C" w:rsidRPr="00C2222D" w:rsidRDefault="0049792C" w:rsidP="0049792C">
      <w:pPr>
        <w:pStyle w:val="Sinespaciado"/>
        <w:jc w:val="both"/>
        <w:rPr>
          <w:rFonts w:ascii="Arial" w:hAnsi="Arial" w:cs="Arial"/>
          <w:i/>
          <w:sz w:val="24"/>
          <w:szCs w:val="24"/>
        </w:rPr>
      </w:pPr>
    </w:p>
    <w:p w14:paraId="4814DC73" w14:textId="77777777" w:rsidR="0049792C" w:rsidRPr="00C2222D" w:rsidRDefault="0049792C" w:rsidP="0049792C">
      <w:pPr>
        <w:pStyle w:val="Sinespaciado"/>
        <w:jc w:val="both"/>
        <w:rPr>
          <w:rFonts w:ascii="Arial" w:hAnsi="Arial" w:cs="Arial"/>
          <w:i/>
          <w:sz w:val="24"/>
          <w:szCs w:val="24"/>
        </w:rPr>
      </w:pPr>
      <w:r w:rsidRPr="00C2222D">
        <w:rPr>
          <w:rFonts w:ascii="Arial" w:hAnsi="Arial" w:cs="Arial"/>
          <w:i/>
          <w:sz w:val="24"/>
          <w:szCs w:val="24"/>
        </w:rPr>
        <w:t>Los periodos de las autoridades departamentales y municipales concordarán con las autoridades nacionales. Los miembros de corporaciones públicas, los Gobernadores y Alcaldes iniciarán su periodo cada 20 de julio, mientras, el Presidente y Vicepresidente lo harán el 7 de agosto.</w:t>
      </w:r>
    </w:p>
    <w:p w14:paraId="635A0DC1" w14:textId="77777777" w:rsidR="0049792C" w:rsidRPr="00C2222D" w:rsidRDefault="0049792C" w:rsidP="0049792C">
      <w:pPr>
        <w:ind w:right="476"/>
        <w:rPr>
          <w:rFonts w:ascii="Arial" w:hAnsi="Arial" w:cs="Arial"/>
          <w:b/>
          <w:sz w:val="24"/>
          <w:szCs w:val="24"/>
        </w:rPr>
      </w:pPr>
    </w:p>
    <w:p w14:paraId="10CE871F" w14:textId="77777777" w:rsidR="0049792C" w:rsidRPr="00C2222D" w:rsidRDefault="0049792C" w:rsidP="0049792C">
      <w:pPr>
        <w:ind w:right="476"/>
        <w:jc w:val="both"/>
        <w:rPr>
          <w:rFonts w:ascii="Arial" w:hAnsi="Arial" w:cs="Arial"/>
          <w:sz w:val="24"/>
          <w:szCs w:val="24"/>
        </w:rPr>
      </w:pPr>
      <w:r w:rsidRPr="00C2222D">
        <w:rPr>
          <w:rFonts w:ascii="Arial" w:hAnsi="Arial" w:cs="Arial"/>
          <w:sz w:val="24"/>
          <w:szCs w:val="24"/>
        </w:rPr>
        <w:t>ARTÍCULO 2º. El artículo 262 de la Constitución Política quedará así:</w:t>
      </w:r>
    </w:p>
    <w:p w14:paraId="0D20C810" w14:textId="77777777" w:rsidR="0052001A" w:rsidRPr="0052001A" w:rsidRDefault="0052001A" w:rsidP="0052001A">
      <w:pPr>
        <w:jc w:val="both"/>
        <w:rPr>
          <w:rFonts w:ascii="Arial" w:hAnsi="Arial" w:cs="Arial"/>
          <w:sz w:val="24"/>
          <w:szCs w:val="24"/>
        </w:rPr>
      </w:pPr>
      <w:r w:rsidRPr="0052001A">
        <w:rPr>
          <w:rFonts w:ascii="Arial" w:hAnsi="Arial" w:cs="Arial"/>
          <w:sz w:val="24"/>
          <w:szCs w:val="24"/>
        </w:rPr>
        <w:t xml:space="preserve">Artículo 262.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 </w:t>
      </w:r>
    </w:p>
    <w:p w14:paraId="78F9D331" w14:textId="7978FF0C" w:rsidR="0049792C" w:rsidRPr="0052001A" w:rsidRDefault="0052001A" w:rsidP="0052001A">
      <w:pPr>
        <w:jc w:val="both"/>
        <w:rPr>
          <w:rFonts w:ascii="Arial" w:hAnsi="Arial" w:cs="Arial"/>
          <w:sz w:val="24"/>
          <w:szCs w:val="24"/>
        </w:rPr>
      </w:pPr>
      <w:r w:rsidRPr="0052001A">
        <w:rPr>
          <w:rFonts w:ascii="Arial" w:hAnsi="Arial" w:cs="Arial"/>
          <w:sz w:val="24"/>
          <w:szCs w:val="24"/>
        </w:rPr>
        <w:t>Las listas serán cerradas y bloqueadas. La selección de los candidatos de los partidos y movimientos políticos con personería jurídica se hará mediante mecanismos de democracia interna, de conformidad con la ley. En la conformación de las listas se observarán, entre otros, los principios de paridad, alternancia y universalidad.</w:t>
      </w:r>
    </w:p>
    <w:p w14:paraId="232809A5" w14:textId="77777777" w:rsidR="0049792C" w:rsidRPr="00C2222D" w:rsidRDefault="0049792C" w:rsidP="0049792C">
      <w:pPr>
        <w:jc w:val="both"/>
        <w:rPr>
          <w:rFonts w:ascii="Arial" w:hAnsi="Arial" w:cs="Arial"/>
          <w:sz w:val="24"/>
          <w:szCs w:val="24"/>
        </w:rPr>
      </w:pPr>
      <w:r w:rsidRPr="00C2222D">
        <w:rPr>
          <w:rFonts w:ascii="Arial" w:hAnsi="Arial" w:cs="Arial"/>
          <w:sz w:val="24"/>
          <w:szCs w:val="24"/>
        </w:rPr>
        <w:lastRenderedPageBreak/>
        <w:t xml:space="preserve">ARTÍCULO 3º. </w:t>
      </w:r>
      <w:r w:rsidRPr="00C2222D">
        <w:rPr>
          <w:rFonts w:ascii="Arial" w:hAnsi="Arial" w:cs="Arial"/>
          <w:iCs/>
          <w:sz w:val="24"/>
          <w:szCs w:val="24"/>
        </w:rPr>
        <w:t>La Constitución Política tendrá un artículo nuevo</w:t>
      </w:r>
      <w:r w:rsidRPr="00C2222D">
        <w:rPr>
          <w:rStyle w:val="apple-converted-space"/>
          <w:rFonts w:ascii="Arial" w:hAnsi="Arial" w:cs="Arial"/>
          <w:iCs/>
          <w:sz w:val="24"/>
          <w:szCs w:val="24"/>
        </w:rPr>
        <w:t> </w:t>
      </w:r>
      <w:r w:rsidRPr="00C2222D">
        <w:rPr>
          <w:rFonts w:ascii="Arial" w:hAnsi="Arial" w:cs="Arial"/>
          <w:sz w:val="24"/>
          <w:szCs w:val="24"/>
        </w:rPr>
        <w:t>transitorio, así:</w:t>
      </w:r>
    </w:p>
    <w:p w14:paraId="5206C8BF" w14:textId="77777777" w:rsidR="0049792C" w:rsidRPr="00C2222D" w:rsidRDefault="0049792C" w:rsidP="0049792C">
      <w:pPr>
        <w:jc w:val="both"/>
        <w:rPr>
          <w:rFonts w:ascii="Arial" w:hAnsi="Arial" w:cs="Arial"/>
          <w:bCs/>
          <w:i/>
          <w:sz w:val="24"/>
          <w:szCs w:val="24"/>
          <w:shd w:val="clear" w:color="auto" w:fill="FFFFFF"/>
        </w:rPr>
      </w:pPr>
      <w:r w:rsidRPr="00C2222D">
        <w:rPr>
          <w:rFonts w:ascii="Arial" w:hAnsi="Arial" w:cs="Arial"/>
          <w:bCs/>
          <w:i/>
          <w:sz w:val="24"/>
          <w:szCs w:val="24"/>
          <w:shd w:val="clear" w:color="auto" w:fill="FFFFFF"/>
        </w:rPr>
        <w:t>Artículo Transitorio. Los períodos de</w:t>
      </w:r>
      <w:r w:rsidRPr="00C2222D">
        <w:rPr>
          <w:rFonts w:ascii="Arial" w:eastAsia="Times New Roman" w:hAnsi="Arial" w:cs="Arial"/>
          <w:i/>
          <w:sz w:val="24"/>
          <w:szCs w:val="24"/>
          <w:lang w:eastAsia="es-CO"/>
        </w:rPr>
        <w:t xml:space="preserve"> los </w:t>
      </w:r>
      <w:r w:rsidRPr="00C2222D">
        <w:rPr>
          <w:rFonts w:ascii="Arial" w:hAnsi="Arial" w:cs="Arial"/>
          <w:bCs/>
          <w:i/>
          <w:sz w:val="24"/>
          <w:szCs w:val="24"/>
          <w:shd w:val="clear" w:color="auto" w:fill="FFFFFF"/>
        </w:rPr>
        <w:t>gobernadores, diputados, alcaldes, concejales y ediles cuya elección o designación, según sea el caso, se efectuó antes de la vigencia del presente Acto Legislativo, así como de los designados con posterioridad a esa fecha, continuarán en sus funciones hasta el 19 de julio de 2022. Sus sucesores se elegirán en el año 2022 para el período constitucional, que iniciará el 20 de julio de ese año.</w:t>
      </w:r>
    </w:p>
    <w:p w14:paraId="69501E00" w14:textId="26FFF40A" w:rsidR="0049792C" w:rsidRPr="00C2222D" w:rsidRDefault="00AD1FC0" w:rsidP="0049792C">
      <w:pPr>
        <w:jc w:val="both"/>
        <w:rPr>
          <w:rFonts w:ascii="Arial" w:hAnsi="Arial" w:cs="Arial"/>
          <w:i/>
          <w:sz w:val="24"/>
          <w:szCs w:val="24"/>
        </w:rPr>
      </w:pPr>
      <w:r w:rsidRPr="00C2222D">
        <w:rPr>
          <w:rFonts w:ascii="Arial" w:hAnsi="Arial" w:cs="Arial"/>
          <w:bCs/>
          <w:i/>
          <w:sz w:val="24"/>
          <w:szCs w:val="24"/>
          <w:shd w:val="clear" w:color="auto" w:fill="FFFFFF"/>
        </w:rPr>
        <w:t>En todo caso, los períodos de Gobernadores y A</w:t>
      </w:r>
      <w:r w:rsidR="0049792C" w:rsidRPr="00C2222D">
        <w:rPr>
          <w:rFonts w:ascii="Arial" w:hAnsi="Arial" w:cs="Arial"/>
          <w:bCs/>
          <w:i/>
          <w:sz w:val="24"/>
          <w:szCs w:val="24"/>
          <w:shd w:val="clear" w:color="auto" w:fill="FFFFFF"/>
        </w:rPr>
        <w:t>lcaldes deberán coincidir con el del Presidente de la República.</w:t>
      </w:r>
    </w:p>
    <w:p w14:paraId="419BE54E" w14:textId="37596E3A" w:rsidR="0049792C" w:rsidRPr="00C2222D" w:rsidRDefault="0049792C" w:rsidP="0049792C">
      <w:pPr>
        <w:jc w:val="both"/>
        <w:rPr>
          <w:rFonts w:ascii="Arial" w:hAnsi="Arial" w:cs="Arial"/>
          <w:sz w:val="24"/>
          <w:szCs w:val="24"/>
        </w:rPr>
      </w:pPr>
      <w:r w:rsidRPr="00C2222D">
        <w:rPr>
          <w:rFonts w:ascii="Arial" w:hAnsi="Arial" w:cs="Arial"/>
          <w:sz w:val="24"/>
          <w:szCs w:val="24"/>
        </w:rPr>
        <w:t xml:space="preserve">ARTÍCULO 4º. </w:t>
      </w:r>
      <w:r w:rsidRPr="00C2222D">
        <w:rPr>
          <w:rStyle w:val="textonavy"/>
          <w:rFonts w:ascii="Arial" w:hAnsi="Arial" w:cs="Arial"/>
          <w:iCs/>
          <w:sz w:val="24"/>
          <w:szCs w:val="24"/>
        </w:rPr>
        <w:t>VIGENCIA</w:t>
      </w:r>
      <w:r w:rsidRPr="00C2222D">
        <w:rPr>
          <w:rStyle w:val="textonavy"/>
          <w:rFonts w:ascii="Arial" w:hAnsi="Arial" w:cs="Arial"/>
          <w:sz w:val="24"/>
          <w:szCs w:val="24"/>
        </w:rPr>
        <w:t>.</w:t>
      </w:r>
      <w:r w:rsidRPr="00C2222D">
        <w:rPr>
          <w:rStyle w:val="apple-converted-space"/>
          <w:rFonts w:ascii="Arial" w:hAnsi="Arial" w:cs="Arial"/>
          <w:sz w:val="24"/>
          <w:szCs w:val="24"/>
        </w:rPr>
        <w:t> </w:t>
      </w:r>
      <w:r w:rsidRPr="00C2222D">
        <w:rPr>
          <w:rFonts w:ascii="Arial" w:hAnsi="Arial" w:cs="Arial"/>
          <w:sz w:val="24"/>
          <w:szCs w:val="24"/>
        </w:rPr>
        <w:t>El presente acto legislativo regirá a partir de su promulgación.</w:t>
      </w:r>
    </w:p>
    <w:p w14:paraId="7CE66B07" w14:textId="130B101C" w:rsidR="0040294F" w:rsidRPr="00C2222D" w:rsidRDefault="0040294F" w:rsidP="0049792C">
      <w:pPr>
        <w:jc w:val="both"/>
        <w:rPr>
          <w:rFonts w:ascii="Arial" w:hAnsi="Arial" w:cs="Arial"/>
          <w:sz w:val="24"/>
          <w:szCs w:val="24"/>
        </w:rPr>
      </w:pPr>
    </w:p>
    <w:p w14:paraId="37949259" w14:textId="40AEF344" w:rsidR="0040294F" w:rsidRPr="00C2222D" w:rsidRDefault="0040294F"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r w:rsidRPr="00C2222D">
        <w:rPr>
          <w:rFonts w:ascii="Arial" w:eastAsia="Times New Roman" w:hAnsi="Arial" w:cs="Arial"/>
          <w:color w:val="000000" w:themeColor="text1"/>
          <w:sz w:val="24"/>
          <w:szCs w:val="24"/>
          <w:lang w:val="es-ES_tradnl" w:eastAsia="es-CO"/>
        </w:rPr>
        <w:t xml:space="preserve">Cordialmente, </w:t>
      </w:r>
    </w:p>
    <w:p w14:paraId="12B75D02" w14:textId="0D660897" w:rsidR="0040294F" w:rsidRPr="00C2222D" w:rsidRDefault="0040294F"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1E644639" w14:textId="4BC2D63D" w:rsidR="0040294F" w:rsidRDefault="0040294F"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0CA1BB1A" w14:textId="33939F3A" w:rsidR="00D678B2" w:rsidRDefault="00D678B2"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41503230" w14:textId="3CA2252B" w:rsidR="00D678B2" w:rsidRDefault="00D678B2"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3378B245" w14:textId="385BDE21" w:rsidR="00D678B2" w:rsidRDefault="00D678B2"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38A51AD4" w14:textId="7E852BB6" w:rsidR="0040294F" w:rsidRDefault="0040294F"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55EAEFF5" w14:textId="77777777" w:rsidR="00D678B2" w:rsidRPr="00C2222D" w:rsidRDefault="00D678B2" w:rsidP="0040294F">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47D56C86" w14:textId="77777777" w:rsidR="0040294F" w:rsidRPr="00C2222D" w:rsidRDefault="0040294F" w:rsidP="0040294F">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JAIME RODRIGUEZ CONTRERAS</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JUAN CARLOS RIVERA PEÑA </w:t>
      </w:r>
    </w:p>
    <w:p w14:paraId="61B130A9"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Representante a la Cámara</w:t>
      </w:r>
    </w:p>
    <w:p w14:paraId="65A4B762"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Ponente Coordinador</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Ponente Coordinador</w:t>
      </w:r>
    </w:p>
    <w:p w14:paraId="7B1C0B55"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7DEBA8D2"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54B884B0" w14:textId="477C7E54" w:rsidR="0040294F"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0E073ADB" w14:textId="46698AF9" w:rsidR="00D678B2"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5A053AC3" w14:textId="77777777" w:rsidR="00D678B2"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13CFC09B" w14:textId="241CACE3" w:rsidR="00D678B2"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7B214B3D" w14:textId="47506E01" w:rsidR="00D678B2"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7398E62A" w14:textId="77777777" w:rsidR="00D678B2" w:rsidRPr="00C2222D"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45C72C47"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04FA7F8E"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18FC234F"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1BE3546F" w14:textId="2AC5C9A4" w:rsidR="0040294F"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00D55067" w14:textId="77777777" w:rsidR="00D678B2" w:rsidRPr="00C2222D" w:rsidRDefault="00D678B2" w:rsidP="0040294F">
      <w:pPr>
        <w:shd w:val="clear" w:color="auto" w:fill="FFFFFF"/>
        <w:spacing w:after="0"/>
        <w:jc w:val="both"/>
        <w:rPr>
          <w:rFonts w:ascii="Arial" w:eastAsia="Times New Roman" w:hAnsi="Arial" w:cs="Arial"/>
          <w:color w:val="000000" w:themeColor="text1"/>
          <w:sz w:val="24"/>
          <w:szCs w:val="24"/>
          <w:lang w:eastAsia="es-CO"/>
        </w:rPr>
      </w:pPr>
    </w:p>
    <w:p w14:paraId="7B2AEBC8" w14:textId="77777777" w:rsidR="0040294F" w:rsidRPr="00C2222D" w:rsidRDefault="0040294F" w:rsidP="0040294F">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JOSE JAIME USCATEGUI P.</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          JORGE ELIECER TAMAYO M.</w:t>
      </w:r>
    </w:p>
    <w:p w14:paraId="38A4401B"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Representante a la Cámara</w:t>
      </w:r>
    </w:p>
    <w:p w14:paraId="103C2DBE"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6FB39502"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57685666"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58C77DD1"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783290F1"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1607ECC7" w14:textId="77777777" w:rsidR="00870310" w:rsidRPr="00C2222D" w:rsidRDefault="00870310" w:rsidP="0040294F">
      <w:pPr>
        <w:shd w:val="clear" w:color="auto" w:fill="FFFFFF"/>
        <w:spacing w:after="0"/>
        <w:jc w:val="both"/>
        <w:rPr>
          <w:rFonts w:ascii="Arial" w:eastAsia="Times New Roman" w:hAnsi="Arial" w:cs="Arial"/>
          <w:color w:val="000000" w:themeColor="text1"/>
          <w:sz w:val="24"/>
          <w:szCs w:val="24"/>
          <w:lang w:eastAsia="es-CO"/>
        </w:rPr>
      </w:pPr>
    </w:p>
    <w:p w14:paraId="4816AC4E"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28DD08E0"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42AA395D" w14:textId="15AC2F8C" w:rsidR="0040294F" w:rsidRPr="00C2222D" w:rsidRDefault="0040294F" w:rsidP="0040294F">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JUAN CARLOS WILLS O.</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         </w:t>
      </w:r>
    </w:p>
    <w:p w14:paraId="17678346" w14:textId="09A8C622"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t xml:space="preserve">         </w:t>
      </w:r>
    </w:p>
    <w:p w14:paraId="7923C9C7"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6D00BDB8"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507B215F" w14:textId="77777777" w:rsidR="0040294F" w:rsidRPr="00C2222D" w:rsidRDefault="0040294F" w:rsidP="0040294F">
      <w:pPr>
        <w:shd w:val="clear" w:color="auto" w:fill="FFFFFF"/>
        <w:spacing w:after="0"/>
        <w:jc w:val="both"/>
        <w:rPr>
          <w:rFonts w:ascii="Arial" w:eastAsia="Times New Roman" w:hAnsi="Arial" w:cs="Arial"/>
          <w:color w:val="000000" w:themeColor="text1"/>
          <w:sz w:val="24"/>
          <w:szCs w:val="24"/>
          <w:lang w:eastAsia="es-CO"/>
        </w:rPr>
      </w:pPr>
    </w:p>
    <w:p w14:paraId="2A75B2CD" w14:textId="77777777" w:rsidR="0040294F" w:rsidRPr="002144B0" w:rsidRDefault="0040294F" w:rsidP="0049792C">
      <w:pPr>
        <w:jc w:val="both"/>
        <w:rPr>
          <w:rFonts w:ascii="Arial" w:hAnsi="Arial" w:cs="Arial"/>
          <w:sz w:val="28"/>
          <w:szCs w:val="28"/>
        </w:rPr>
      </w:pPr>
    </w:p>
    <w:p w14:paraId="645A98CE" w14:textId="6FAD9492" w:rsidR="00C876DA" w:rsidRPr="004169AA" w:rsidRDefault="004169AA" w:rsidP="00C2222D">
      <w:pPr>
        <w:spacing w:after="0"/>
        <w:jc w:val="both"/>
        <w:rPr>
          <w:rFonts w:ascii="Arial" w:hAnsi="Arial" w:cs="Arial"/>
          <w:color w:val="000000" w:themeColor="text1"/>
          <w:sz w:val="24"/>
          <w:szCs w:val="24"/>
          <w:lang w:val="es-ES"/>
        </w:rPr>
      </w:pPr>
      <w:r w:rsidRPr="004169AA">
        <w:rPr>
          <w:rFonts w:ascii="Arial" w:hAnsi="Arial" w:cs="Arial"/>
          <w:sz w:val="24"/>
          <w:szCs w:val="24"/>
          <w:lang w:val="es-ES"/>
        </w:rPr>
        <w:t xml:space="preserve">                                                           </w:t>
      </w:r>
    </w:p>
    <w:sectPr w:rsidR="00C876DA" w:rsidRPr="004169AA" w:rsidSect="007C48E8">
      <w:headerReference w:type="default" r:id="rId32"/>
      <w:footerReference w:type="default" r:id="rId33"/>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D0CE2" w14:textId="77777777" w:rsidR="008273CA" w:rsidRDefault="008273CA" w:rsidP="009E17F2">
      <w:pPr>
        <w:spacing w:after="0" w:line="240" w:lineRule="auto"/>
      </w:pPr>
      <w:r>
        <w:separator/>
      </w:r>
    </w:p>
  </w:endnote>
  <w:endnote w:type="continuationSeparator" w:id="0">
    <w:p w14:paraId="3F2FCDE4" w14:textId="77777777" w:rsidR="008273CA" w:rsidRDefault="008273CA"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265504"/>
      <w:docPartObj>
        <w:docPartGallery w:val="Page Numbers (Bottom of Page)"/>
        <w:docPartUnique/>
      </w:docPartObj>
    </w:sdtPr>
    <w:sdtEndPr/>
    <w:sdtContent>
      <w:p w14:paraId="3D32EEA4" w14:textId="707A2012" w:rsidR="0040294F" w:rsidRDefault="0040294F">
        <w:pPr>
          <w:pStyle w:val="Piedepgina"/>
          <w:jc w:val="right"/>
        </w:pPr>
        <w:r>
          <w:fldChar w:fldCharType="begin"/>
        </w:r>
        <w:r>
          <w:instrText>PAGE   \* MERGEFORMAT</w:instrText>
        </w:r>
        <w:r>
          <w:fldChar w:fldCharType="separate"/>
        </w:r>
        <w:r w:rsidR="00BE7942" w:rsidRPr="00BE7942">
          <w:rPr>
            <w:noProof/>
            <w:lang w:val="es-ES"/>
          </w:rPr>
          <w:t>24</w:t>
        </w:r>
        <w:r>
          <w:fldChar w:fldCharType="end"/>
        </w:r>
      </w:p>
    </w:sdtContent>
  </w:sdt>
  <w:p w14:paraId="65F9D567" w14:textId="77777777" w:rsidR="0040294F" w:rsidRDefault="004029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D5860" w14:textId="77777777" w:rsidR="008273CA" w:rsidRDefault="008273CA" w:rsidP="009E17F2">
      <w:pPr>
        <w:spacing w:after="0" w:line="240" w:lineRule="auto"/>
      </w:pPr>
      <w:r>
        <w:separator/>
      </w:r>
    </w:p>
  </w:footnote>
  <w:footnote w:type="continuationSeparator" w:id="0">
    <w:p w14:paraId="3BD6E003" w14:textId="77777777" w:rsidR="008273CA" w:rsidRDefault="008273CA" w:rsidP="009E17F2">
      <w:pPr>
        <w:spacing w:after="0" w:line="240" w:lineRule="auto"/>
      </w:pPr>
      <w:r>
        <w:continuationSeparator/>
      </w:r>
    </w:p>
  </w:footnote>
  <w:footnote w:id="1">
    <w:p w14:paraId="6D46AD7D"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Comunicado de Prensa No. 210 de 2010. Registraduría Nacional del Estado Civil. Disponible en: https://wsr.registraduria.gov.co/ABC-y-40-preguntas-frecuentes.html</w:t>
      </w:r>
    </w:p>
  </w:footnote>
  <w:footnote w:id="2">
    <w:p w14:paraId="4B7A8B9F"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El tiempo, “‘Elecciones costarán 1,2 billones de pesos’: Registraduría” (29 de enero de 2018). Disponible en:</w:t>
      </w:r>
    </w:p>
    <w:p w14:paraId="374B2C4D"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Fonts w:ascii="Arial" w:hAnsi="Arial" w:cs="Arial"/>
          <w:sz w:val="16"/>
          <w:szCs w:val="16"/>
          <w:lang w:val="es-ES"/>
        </w:rPr>
        <w:t>https://www.eltiempo.com/elecciones-colombia-2018/jurados-y-votantes/elecciones-costaran-1-2-billones-de-pesos-176666</w:t>
      </w:r>
    </w:p>
  </w:footnote>
  <w:footnote w:id="3">
    <w:p w14:paraId="59EF6222"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El tiempo, “¿Por qué es tan cara la consulta anticorrupción?” (23 de julio de 2018). Disponible en: https://www.eltiempo.com/politica/congreso/por-que-es-tan-cara-la-consulta-anticorrupcion-246800</w:t>
      </w:r>
    </w:p>
  </w:footnote>
  <w:footnote w:id="4">
    <w:p w14:paraId="4F949C3A"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Ministerio de Hacienda. Boletín 151 de 2018. Disponible en: http://www.minhacienda.gov.co/HomeMinhacienda/ShowProperty?nodeId=%2FOCS%2FP_MHCP_WCC-087865%2F%2FidcPrimaryFile&amp;revision=latestreleased</w:t>
      </w:r>
    </w:p>
  </w:footnote>
  <w:footnote w:id="5">
    <w:p w14:paraId="133A29CD" w14:textId="77777777" w:rsidR="00343324" w:rsidRPr="00870310" w:rsidRDefault="00343324" w:rsidP="00870310">
      <w:pPr>
        <w:pStyle w:val="Textonotapie"/>
        <w:spacing w:before="0" w:beforeAutospacing="0"/>
        <w:jc w:val="both"/>
        <w:rPr>
          <w:rFonts w:ascii="Arial" w:hAnsi="Arial" w:cs="Arial"/>
          <w:sz w:val="16"/>
          <w:szCs w:val="16"/>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Transparencia por Colombia. “Informe No. 3. Seguimiento a financiación de campañas. Elecciones legislativas 2018” (2018). Disponible en: http://transparenciacolombia.org.co/wp-content/uploads/2018/04/Informe-3.-Cuentas-Claras-Congreso.pdf</w:t>
      </w:r>
    </w:p>
  </w:footnote>
  <w:footnote w:id="6">
    <w:p w14:paraId="396250F3" w14:textId="77777777" w:rsidR="00343324" w:rsidRPr="00706514" w:rsidRDefault="00343324" w:rsidP="00870310">
      <w:pPr>
        <w:pStyle w:val="Textonotapie"/>
        <w:spacing w:before="0" w:beforeAutospacing="0"/>
        <w:jc w:val="both"/>
        <w:rPr>
          <w:lang w:val="es-ES"/>
        </w:rPr>
      </w:pPr>
      <w:r w:rsidRPr="00870310">
        <w:rPr>
          <w:rStyle w:val="Refdenotaalpie"/>
          <w:rFonts w:ascii="Arial" w:hAnsi="Arial" w:cs="Arial"/>
          <w:sz w:val="16"/>
          <w:szCs w:val="16"/>
        </w:rPr>
        <w:footnoteRef/>
      </w:r>
      <w:r w:rsidRPr="00870310">
        <w:rPr>
          <w:rFonts w:ascii="Arial" w:hAnsi="Arial" w:cs="Arial"/>
          <w:sz w:val="16"/>
          <w:szCs w:val="16"/>
          <w:lang w:val="es-ES"/>
        </w:rPr>
        <w:t xml:space="preserve"> El Tiempo, “Elecciones del 2015 le costarían al país $ 640.000 millones” (14 de diciembre de 2014) Disponible en: https://www.eltiempo.com/archivo/documento/CMS-14974889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CEC2" w14:textId="77777777" w:rsidR="0040294F" w:rsidRDefault="0040294F"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1A2CAEC6" wp14:editId="3F39B40D">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2A8FD" w14:textId="77777777" w:rsidR="0040294F" w:rsidRDefault="0040294F" w:rsidP="0008025B">
    <w:pPr>
      <w:pStyle w:val="Encabezado"/>
      <w:rPr>
        <w:noProof/>
        <w:lang w:eastAsia="es-CO"/>
      </w:rPr>
    </w:pPr>
  </w:p>
  <w:p w14:paraId="6F09DACF" w14:textId="77777777" w:rsidR="0040294F" w:rsidRDefault="0040294F" w:rsidP="0008025B">
    <w:pPr>
      <w:pStyle w:val="Encabezado"/>
    </w:pPr>
  </w:p>
  <w:p w14:paraId="681C27E4" w14:textId="77777777" w:rsidR="0040294F" w:rsidRDefault="0040294F" w:rsidP="00710C85">
    <w:pPr>
      <w:spacing w:after="0"/>
    </w:pPr>
    <w:r>
      <w:rPr>
        <w:rFonts w:ascii="Gill Sans MT" w:hAnsi="Gill Sans MT"/>
        <w:b/>
        <w:i/>
      </w:rPr>
      <w:t xml:space="preserve"> </w:t>
    </w:r>
  </w:p>
  <w:p w14:paraId="1B3336DD" w14:textId="77777777" w:rsidR="0040294F" w:rsidRDefault="0040294F" w:rsidP="000802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15:restartNumberingAfterBreak="0">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8C4CDF"/>
    <w:multiLevelType w:val="hybridMultilevel"/>
    <w:tmpl w:val="BC1045C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4" w15:restartNumberingAfterBreak="0">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209A780B"/>
    <w:multiLevelType w:val="hybridMultilevel"/>
    <w:tmpl w:val="50809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5" w15:restartNumberingAfterBreak="0">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9AD3359"/>
    <w:multiLevelType w:val="hybridMultilevel"/>
    <w:tmpl w:val="6E2C05BA"/>
    <w:lvl w:ilvl="0" w:tplc="609249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6488D"/>
    <w:multiLevelType w:val="hybridMultilevel"/>
    <w:tmpl w:val="6B6EF8F4"/>
    <w:lvl w:ilvl="0" w:tplc="4364D29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4"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6"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62F2D"/>
    <w:multiLevelType w:val="hybridMultilevel"/>
    <w:tmpl w:val="B3BE2B80"/>
    <w:lvl w:ilvl="0" w:tplc="82FC78E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9"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2"/>
  </w:num>
  <w:num w:numId="3">
    <w:abstractNumId w:val="6"/>
  </w:num>
  <w:num w:numId="4">
    <w:abstractNumId w:val="24"/>
  </w:num>
  <w:num w:numId="5">
    <w:abstractNumId w:val="17"/>
  </w:num>
  <w:num w:numId="6">
    <w:abstractNumId w:val="25"/>
  </w:num>
  <w:num w:numId="7">
    <w:abstractNumId w:val="2"/>
  </w:num>
  <w:num w:numId="8">
    <w:abstractNumId w:val="5"/>
  </w:num>
  <w:num w:numId="9">
    <w:abstractNumId w:val="20"/>
  </w:num>
  <w:num w:numId="10">
    <w:abstractNumId w:val="7"/>
  </w:num>
  <w:num w:numId="11">
    <w:abstractNumId w:val="14"/>
  </w:num>
  <w:num w:numId="12">
    <w:abstractNumId w:val="13"/>
  </w:num>
  <w:num w:numId="13">
    <w:abstractNumId w:val="29"/>
  </w:num>
  <w:num w:numId="14">
    <w:abstractNumId w:val="4"/>
  </w:num>
  <w:num w:numId="15">
    <w:abstractNumId w:val="15"/>
  </w:num>
  <w:num w:numId="16">
    <w:abstractNumId w:val="1"/>
  </w:num>
  <w:num w:numId="17">
    <w:abstractNumId w:val="12"/>
  </w:num>
  <w:num w:numId="18">
    <w:abstractNumId w:val="27"/>
  </w:num>
  <w:num w:numId="19">
    <w:abstractNumId w:val="0"/>
  </w:num>
  <w:num w:numId="20">
    <w:abstractNumId w:val="23"/>
  </w:num>
  <w:num w:numId="21">
    <w:abstractNumId w:val="16"/>
  </w:num>
  <w:num w:numId="22">
    <w:abstractNumId w:val="11"/>
  </w:num>
  <w:num w:numId="23">
    <w:abstractNumId w:val="8"/>
  </w:num>
  <w:num w:numId="24">
    <w:abstractNumId w:val="21"/>
  </w:num>
  <w:num w:numId="25">
    <w:abstractNumId w:val="10"/>
  </w:num>
  <w:num w:numId="26">
    <w:abstractNumId w:val="28"/>
  </w:num>
  <w:num w:numId="27">
    <w:abstractNumId w:val="9"/>
  </w:num>
  <w:num w:numId="28">
    <w:abstractNumId w:val="19"/>
  </w:num>
  <w:num w:numId="29">
    <w:abstractNumId w:val="1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8A7"/>
    <w:rsid w:val="0001302B"/>
    <w:rsid w:val="000150BC"/>
    <w:rsid w:val="00020627"/>
    <w:rsid w:val="00034A2F"/>
    <w:rsid w:val="00036051"/>
    <w:rsid w:val="0003689D"/>
    <w:rsid w:val="00060226"/>
    <w:rsid w:val="000629CA"/>
    <w:rsid w:val="00064962"/>
    <w:rsid w:val="00070C0B"/>
    <w:rsid w:val="0008025B"/>
    <w:rsid w:val="000810E1"/>
    <w:rsid w:val="000819C2"/>
    <w:rsid w:val="00082F59"/>
    <w:rsid w:val="000846BD"/>
    <w:rsid w:val="00092E2B"/>
    <w:rsid w:val="000A30A0"/>
    <w:rsid w:val="000A3197"/>
    <w:rsid w:val="000A4F95"/>
    <w:rsid w:val="000A7512"/>
    <w:rsid w:val="000B00EE"/>
    <w:rsid w:val="000B1E51"/>
    <w:rsid w:val="000B351C"/>
    <w:rsid w:val="000B57EA"/>
    <w:rsid w:val="000C6525"/>
    <w:rsid w:val="000D063A"/>
    <w:rsid w:val="000D23CF"/>
    <w:rsid w:val="000E2358"/>
    <w:rsid w:val="000E28E6"/>
    <w:rsid w:val="000E4404"/>
    <w:rsid w:val="000F57E4"/>
    <w:rsid w:val="00105D2E"/>
    <w:rsid w:val="00106C5C"/>
    <w:rsid w:val="00126E56"/>
    <w:rsid w:val="00141EF0"/>
    <w:rsid w:val="0015226B"/>
    <w:rsid w:val="00160EA9"/>
    <w:rsid w:val="0017636B"/>
    <w:rsid w:val="001807F0"/>
    <w:rsid w:val="001809B1"/>
    <w:rsid w:val="00185D30"/>
    <w:rsid w:val="00187AD6"/>
    <w:rsid w:val="001930A4"/>
    <w:rsid w:val="00196F68"/>
    <w:rsid w:val="00197C5A"/>
    <w:rsid w:val="001B2F44"/>
    <w:rsid w:val="001C0437"/>
    <w:rsid w:val="001C0AEF"/>
    <w:rsid w:val="001C12FE"/>
    <w:rsid w:val="001C1C39"/>
    <w:rsid w:val="001D4DD3"/>
    <w:rsid w:val="001D6C76"/>
    <w:rsid w:val="001D6FCD"/>
    <w:rsid w:val="001D70AB"/>
    <w:rsid w:val="002004BC"/>
    <w:rsid w:val="00210D1B"/>
    <w:rsid w:val="002161CB"/>
    <w:rsid w:val="0022085C"/>
    <w:rsid w:val="00223D82"/>
    <w:rsid w:val="00225AAB"/>
    <w:rsid w:val="002274D0"/>
    <w:rsid w:val="00227AAC"/>
    <w:rsid w:val="00233AE9"/>
    <w:rsid w:val="00246518"/>
    <w:rsid w:val="002533D1"/>
    <w:rsid w:val="002579EF"/>
    <w:rsid w:val="002632B2"/>
    <w:rsid w:val="002836A5"/>
    <w:rsid w:val="0028582D"/>
    <w:rsid w:val="002A0F8F"/>
    <w:rsid w:val="002A2D45"/>
    <w:rsid w:val="002A54A7"/>
    <w:rsid w:val="002B4DDF"/>
    <w:rsid w:val="002B5343"/>
    <w:rsid w:val="002C26D5"/>
    <w:rsid w:val="002C5991"/>
    <w:rsid w:val="002D0397"/>
    <w:rsid w:val="002D172D"/>
    <w:rsid w:val="002D20ED"/>
    <w:rsid w:val="002D2ADC"/>
    <w:rsid w:val="002D3484"/>
    <w:rsid w:val="002D41DE"/>
    <w:rsid w:val="002D5259"/>
    <w:rsid w:val="002D5643"/>
    <w:rsid w:val="002D7663"/>
    <w:rsid w:val="002E1A8D"/>
    <w:rsid w:val="002E5091"/>
    <w:rsid w:val="002F30F0"/>
    <w:rsid w:val="00307165"/>
    <w:rsid w:val="00320376"/>
    <w:rsid w:val="00325CA8"/>
    <w:rsid w:val="00331450"/>
    <w:rsid w:val="00333759"/>
    <w:rsid w:val="00336217"/>
    <w:rsid w:val="003365C2"/>
    <w:rsid w:val="00343324"/>
    <w:rsid w:val="00344D62"/>
    <w:rsid w:val="0035165D"/>
    <w:rsid w:val="00352FA2"/>
    <w:rsid w:val="00357C93"/>
    <w:rsid w:val="00363DE2"/>
    <w:rsid w:val="00366814"/>
    <w:rsid w:val="003734FE"/>
    <w:rsid w:val="00377016"/>
    <w:rsid w:val="00393368"/>
    <w:rsid w:val="003B2FE2"/>
    <w:rsid w:val="003B4A85"/>
    <w:rsid w:val="003C2741"/>
    <w:rsid w:val="003C32D9"/>
    <w:rsid w:val="003D1FAE"/>
    <w:rsid w:val="003D78E6"/>
    <w:rsid w:val="0040294F"/>
    <w:rsid w:val="00404C77"/>
    <w:rsid w:val="00405DDF"/>
    <w:rsid w:val="004169AA"/>
    <w:rsid w:val="004226C5"/>
    <w:rsid w:val="00422A39"/>
    <w:rsid w:val="00434ADF"/>
    <w:rsid w:val="00434DF3"/>
    <w:rsid w:val="00436990"/>
    <w:rsid w:val="00442011"/>
    <w:rsid w:val="00443DC7"/>
    <w:rsid w:val="004446FF"/>
    <w:rsid w:val="00455FF3"/>
    <w:rsid w:val="0047067B"/>
    <w:rsid w:val="0047266D"/>
    <w:rsid w:val="00484A1B"/>
    <w:rsid w:val="0049269D"/>
    <w:rsid w:val="00492C61"/>
    <w:rsid w:val="00493573"/>
    <w:rsid w:val="0049792C"/>
    <w:rsid w:val="004A7D03"/>
    <w:rsid w:val="004C5124"/>
    <w:rsid w:val="004E4F8F"/>
    <w:rsid w:val="004E7E3E"/>
    <w:rsid w:val="004F0CE8"/>
    <w:rsid w:val="004F4E18"/>
    <w:rsid w:val="004F5FFC"/>
    <w:rsid w:val="004F79FD"/>
    <w:rsid w:val="0051473B"/>
    <w:rsid w:val="0052001A"/>
    <w:rsid w:val="005217EF"/>
    <w:rsid w:val="00522791"/>
    <w:rsid w:val="005249FD"/>
    <w:rsid w:val="00525966"/>
    <w:rsid w:val="0053040B"/>
    <w:rsid w:val="00532546"/>
    <w:rsid w:val="00532E90"/>
    <w:rsid w:val="00544A27"/>
    <w:rsid w:val="005455A3"/>
    <w:rsid w:val="0055782D"/>
    <w:rsid w:val="00561C4D"/>
    <w:rsid w:val="005627DA"/>
    <w:rsid w:val="00567F32"/>
    <w:rsid w:val="00576E49"/>
    <w:rsid w:val="00581E2F"/>
    <w:rsid w:val="00584939"/>
    <w:rsid w:val="00586B60"/>
    <w:rsid w:val="0059258C"/>
    <w:rsid w:val="005A669F"/>
    <w:rsid w:val="005B2173"/>
    <w:rsid w:val="005B7709"/>
    <w:rsid w:val="005D06F8"/>
    <w:rsid w:val="005E7A64"/>
    <w:rsid w:val="005E7DFA"/>
    <w:rsid w:val="005F2CB7"/>
    <w:rsid w:val="005F514E"/>
    <w:rsid w:val="005F63B5"/>
    <w:rsid w:val="006014B5"/>
    <w:rsid w:val="006220BC"/>
    <w:rsid w:val="006220C2"/>
    <w:rsid w:val="00623FDC"/>
    <w:rsid w:val="0063409B"/>
    <w:rsid w:val="00652B18"/>
    <w:rsid w:val="00656460"/>
    <w:rsid w:val="00660B5D"/>
    <w:rsid w:val="00662703"/>
    <w:rsid w:val="00662863"/>
    <w:rsid w:val="006635B7"/>
    <w:rsid w:val="00665380"/>
    <w:rsid w:val="00665BE2"/>
    <w:rsid w:val="00667D28"/>
    <w:rsid w:val="00670C11"/>
    <w:rsid w:val="00674063"/>
    <w:rsid w:val="0067424E"/>
    <w:rsid w:val="006759FB"/>
    <w:rsid w:val="00684D9A"/>
    <w:rsid w:val="00690AE4"/>
    <w:rsid w:val="006A150D"/>
    <w:rsid w:val="006A24B5"/>
    <w:rsid w:val="006A724E"/>
    <w:rsid w:val="006B5F60"/>
    <w:rsid w:val="006C60AD"/>
    <w:rsid w:val="006D0DA1"/>
    <w:rsid w:val="006D4CD4"/>
    <w:rsid w:val="006D6C62"/>
    <w:rsid w:val="006E40C0"/>
    <w:rsid w:val="006E4519"/>
    <w:rsid w:val="006E4550"/>
    <w:rsid w:val="006E5FE8"/>
    <w:rsid w:val="006E7767"/>
    <w:rsid w:val="006F4B78"/>
    <w:rsid w:val="006F4C00"/>
    <w:rsid w:val="007006D1"/>
    <w:rsid w:val="007019A0"/>
    <w:rsid w:val="00701A31"/>
    <w:rsid w:val="00707B3C"/>
    <w:rsid w:val="00710C85"/>
    <w:rsid w:val="0071354D"/>
    <w:rsid w:val="00717A18"/>
    <w:rsid w:val="0073447C"/>
    <w:rsid w:val="00736CAD"/>
    <w:rsid w:val="00737749"/>
    <w:rsid w:val="007422B9"/>
    <w:rsid w:val="00746556"/>
    <w:rsid w:val="007507B5"/>
    <w:rsid w:val="00775997"/>
    <w:rsid w:val="00777215"/>
    <w:rsid w:val="00780698"/>
    <w:rsid w:val="007843E1"/>
    <w:rsid w:val="00791219"/>
    <w:rsid w:val="007A4B8E"/>
    <w:rsid w:val="007B09EF"/>
    <w:rsid w:val="007B13BC"/>
    <w:rsid w:val="007B44C3"/>
    <w:rsid w:val="007B7CC9"/>
    <w:rsid w:val="007C1F3F"/>
    <w:rsid w:val="007C48E8"/>
    <w:rsid w:val="007D157F"/>
    <w:rsid w:val="007E360A"/>
    <w:rsid w:val="007F3DA3"/>
    <w:rsid w:val="00800AE7"/>
    <w:rsid w:val="0081121D"/>
    <w:rsid w:val="008163B7"/>
    <w:rsid w:val="008273CA"/>
    <w:rsid w:val="00830903"/>
    <w:rsid w:val="00835C22"/>
    <w:rsid w:val="008403A4"/>
    <w:rsid w:val="008417D4"/>
    <w:rsid w:val="00850447"/>
    <w:rsid w:val="00857DE6"/>
    <w:rsid w:val="00861FDC"/>
    <w:rsid w:val="00863350"/>
    <w:rsid w:val="0086409D"/>
    <w:rsid w:val="00870310"/>
    <w:rsid w:val="00872A58"/>
    <w:rsid w:val="00880F1A"/>
    <w:rsid w:val="00885449"/>
    <w:rsid w:val="008854EE"/>
    <w:rsid w:val="0088586E"/>
    <w:rsid w:val="008A5674"/>
    <w:rsid w:val="008C163C"/>
    <w:rsid w:val="008D5561"/>
    <w:rsid w:val="008D5BB2"/>
    <w:rsid w:val="008E1077"/>
    <w:rsid w:val="008E2202"/>
    <w:rsid w:val="008E4991"/>
    <w:rsid w:val="008E4993"/>
    <w:rsid w:val="008F108E"/>
    <w:rsid w:val="008F14E3"/>
    <w:rsid w:val="008F1EAB"/>
    <w:rsid w:val="008F780C"/>
    <w:rsid w:val="00900D71"/>
    <w:rsid w:val="0091408D"/>
    <w:rsid w:val="00914ADB"/>
    <w:rsid w:val="00922561"/>
    <w:rsid w:val="0093123C"/>
    <w:rsid w:val="00931B2F"/>
    <w:rsid w:val="00937143"/>
    <w:rsid w:val="00945A87"/>
    <w:rsid w:val="009505A5"/>
    <w:rsid w:val="00950792"/>
    <w:rsid w:val="009535A6"/>
    <w:rsid w:val="00954E92"/>
    <w:rsid w:val="0096409A"/>
    <w:rsid w:val="00974382"/>
    <w:rsid w:val="00977020"/>
    <w:rsid w:val="0098661F"/>
    <w:rsid w:val="00986EB4"/>
    <w:rsid w:val="009946F7"/>
    <w:rsid w:val="00996444"/>
    <w:rsid w:val="00996C2A"/>
    <w:rsid w:val="009A0E71"/>
    <w:rsid w:val="009A49DA"/>
    <w:rsid w:val="009A5F05"/>
    <w:rsid w:val="009B3B50"/>
    <w:rsid w:val="009C5468"/>
    <w:rsid w:val="009D3159"/>
    <w:rsid w:val="009D6D01"/>
    <w:rsid w:val="009E04F1"/>
    <w:rsid w:val="009E17F2"/>
    <w:rsid w:val="009E77DA"/>
    <w:rsid w:val="009F015E"/>
    <w:rsid w:val="009F6BD0"/>
    <w:rsid w:val="009F7AB2"/>
    <w:rsid w:val="00A025BC"/>
    <w:rsid w:val="00A10762"/>
    <w:rsid w:val="00A11849"/>
    <w:rsid w:val="00A15A56"/>
    <w:rsid w:val="00A2172D"/>
    <w:rsid w:val="00A24163"/>
    <w:rsid w:val="00A24C2F"/>
    <w:rsid w:val="00A261CE"/>
    <w:rsid w:val="00A31F30"/>
    <w:rsid w:val="00A345CB"/>
    <w:rsid w:val="00A40D7C"/>
    <w:rsid w:val="00A43B3D"/>
    <w:rsid w:val="00A4696A"/>
    <w:rsid w:val="00A509E2"/>
    <w:rsid w:val="00A50B40"/>
    <w:rsid w:val="00A55B55"/>
    <w:rsid w:val="00A56EF7"/>
    <w:rsid w:val="00A76FB0"/>
    <w:rsid w:val="00A81C67"/>
    <w:rsid w:val="00A93A3B"/>
    <w:rsid w:val="00AA2652"/>
    <w:rsid w:val="00AA477A"/>
    <w:rsid w:val="00AB111E"/>
    <w:rsid w:val="00AB25E6"/>
    <w:rsid w:val="00AB5818"/>
    <w:rsid w:val="00AB74F1"/>
    <w:rsid w:val="00AC5D82"/>
    <w:rsid w:val="00AD1FC0"/>
    <w:rsid w:val="00AD216A"/>
    <w:rsid w:val="00AD6BE6"/>
    <w:rsid w:val="00AE399C"/>
    <w:rsid w:val="00AE501B"/>
    <w:rsid w:val="00AF16DC"/>
    <w:rsid w:val="00AF3B13"/>
    <w:rsid w:val="00AF6FF0"/>
    <w:rsid w:val="00B01324"/>
    <w:rsid w:val="00B04C64"/>
    <w:rsid w:val="00B05066"/>
    <w:rsid w:val="00B05F2D"/>
    <w:rsid w:val="00B0697B"/>
    <w:rsid w:val="00B15E7B"/>
    <w:rsid w:val="00B16FE7"/>
    <w:rsid w:val="00B25F84"/>
    <w:rsid w:val="00B33ECE"/>
    <w:rsid w:val="00B36B1B"/>
    <w:rsid w:val="00B5768E"/>
    <w:rsid w:val="00B57738"/>
    <w:rsid w:val="00B622F2"/>
    <w:rsid w:val="00B63C50"/>
    <w:rsid w:val="00B71185"/>
    <w:rsid w:val="00B71A1C"/>
    <w:rsid w:val="00B71D80"/>
    <w:rsid w:val="00B77514"/>
    <w:rsid w:val="00B81FF0"/>
    <w:rsid w:val="00B85EAB"/>
    <w:rsid w:val="00B86261"/>
    <w:rsid w:val="00B86D47"/>
    <w:rsid w:val="00B920AE"/>
    <w:rsid w:val="00B9465B"/>
    <w:rsid w:val="00BA18C6"/>
    <w:rsid w:val="00BA1F93"/>
    <w:rsid w:val="00BB02BE"/>
    <w:rsid w:val="00BB20F7"/>
    <w:rsid w:val="00BB3330"/>
    <w:rsid w:val="00BC2318"/>
    <w:rsid w:val="00BD1908"/>
    <w:rsid w:val="00BD2989"/>
    <w:rsid w:val="00BD4434"/>
    <w:rsid w:val="00BE7942"/>
    <w:rsid w:val="00BF033C"/>
    <w:rsid w:val="00BF3FE9"/>
    <w:rsid w:val="00BF51D6"/>
    <w:rsid w:val="00BF583D"/>
    <w:rsid w:val="00C0124A"/>
    <w:rsid w:val="00C01A1D"/>
    <w:rsid w:val="00C03712"/>
    <w:rsid w:val="00C0496D"/>
    <w:rsid w:val="00C06DAB"/>
    <w:rsid w:val="00C12DED"/>
    <w:rsid w:val="00C15C3D"/>
    <w:rsid w:val="00C2222D"/>
    <w:rsid w:val="00C24395"/>
    <w:rsid w:val="00C26B13"/>
    <w:rsid w:val="00C420F2"/>
    <w:rsid w:val="00C44E8B"/>
    <w:rsid w:val="00C45DE6"/>
    <w:rsid w:val="00C45EA4"/>
    <w:rsid w:val="00C463E4"/>
    <w:rsid w:val="00C5592F"/>
    <w:rsid w:val="00C615C4"/>
    <w:rsid w:val="00C63070"/>
    <w:rsid w:val="00C74AA1"/>
    <w:rsid w:val="00C76293"/>
    <w:rsid w:val="00C834F8"/>
    <w:rsid w:val="00C876DA"/>
    <w:rsid w:val="00CB1D59"/>
    <w:rsid w:val="00CC03CA"/>
    <w:rsid w:val="00CC2588"/>
    <w:rsid w:val="00CC4BC6"/>
    <w:rsid w:val="00CC688B"/>
    <w:rsid w:val="00CC6FD3"/>
    <w:rsid w:val="00CD3965"/>
    <w:rsid w:val="00CD60EC"/>
    <w:rsid w:val="00CE4DA1"/>
    <w:rsid w:val="00CF0043"/>
    <w:rsid w:val="00D01981"/>
    <w:rsid w:val="00D0229D"/>
    <w:rsid w:val="00D0543F"/>
    <w:rsid w:val="00D2191C"/>
    <w:rsid w:val="00D21F86"/>
    <w:rsid w:val="00D33D76"/>
    <w:rsid w:val="00D36626"/>
    <w:rsid w:val="00D36D85"/>
    <w:rsid w:val="00D43688"/>
    <w:rsid w:val="00D436FC"/>
    <w:rsid w:val="00D46A8E"/>
    <w:rsid w:val="00D543D4"/>
    <w:rsid w:val="00D6002C"/>
    <w:rsid w:val="00D633AC"/>
    <w:rsid w:val="00D6358A"/>
    <w:rsid w:val="00D660BF"/>
    <w:rsid w:val="00D6647F"/>
    <w:rsid w:val="00D678B2"/>
    <w:rsid w:val="00D72C7B"/>
    <w:rsid w:val="00D76597"/>
    <w:rsid w:val="00D7683D"/>
    <w:rsid w:val="00D83EE9"/>
    <w:rsid w:val="00D849B8"/>
    <w:rsid w:val="00D862F0"/>
    <w:rsid w:val="00D914F5"/>
    <w:rsid w:val="00D9386D"/>
    <w:rsid w:val="00D95661"/>
    <w:rsid w:val="00D96FDF"/>
    <w:rsid w:val="00DA4761"/>
    <w:rsid w:val="00DA5D6F"/>
    <w:rsid w:val="00DA6213"/>
    <w:rsid w:val="00DB1E24"/>
    <w:rsid w:val="00DB4D64"/>
    <w:rsid w:val="00DC13FF"/>
    <w:rsid w:val="00DC14F8"/>
    <w:rsid w:val="00DC5604"/>
    <w:rsid w:val="00DD0DBD"/>
    <w:rsid w:val="00DD5B2B"/>
    <w:rsid w:val="00DD787F"/>
    <w:rsid w:val="00DE2DEA"/>
    <w:rsid w:val="00DE7B03"/>
    <w:rsid w:val="00DF2205"/>
    <w:rsid w:val="00DF36A0"/>
    <w:rsid w:val="00E00E6A"/>
    <w:rsid w:val="00E06D33"/>
    <w:rsid w:val="00E14562"/>
    <w:rsid w:val="00E16AC0"/>
    <w:rsid w:val="00E21001"/>
    <w:rsid w:val="00E249BC"/>
    <w:rsid w:val="00E27FF3"/>
    <w:rsid w:val="00E311D6"/>
    <w:rsid w:val="00E418CD"/>
    <w:rsid w:val="00E47A2C"/>
    <w:rsid w:val="00E568A1"/>
    <w:rsid w:val="00E569C4"/>
    <w:rsid w:val="00E6496E"/>
    <w:rsid w:val="00E65ADA"/>
    <w:rsid w:val="00E666D3"/>
    <w:rsid w:val="00E74D06"/>
    <w:rsid w:val="00E903A9"/>
    <w:rsid w:val="00E91D41"/>
    <w:rsid w:val="00E939BF"/>
    <w:rsid w:val="00E94B8E"/>
    <w:rsid w:val="00EA0202"/>
    <w:rsid w:val="00EA1D45"/>
    <w:rsid w:val="00EA4780"/>
    <w:rsid w:val="00EB3CD7"/>
    <w:rsid w:val="00EB5F42"/>
    <w:rsid w:val="00EC6E67"/>
    <w:rsid w:val="00ED6767"/>
    <w:rsid w:val="00EE40DB"/>
    <w:rsid w:val="00EF61BC"/>
    <w:rsid w:val="00EF6CD4"/>
    <w:rsid w:val="00EF7CC3"/>
    <w:rsid w:val="00F04176"/>
    <w:rsid w:val="00F072F8"/>
    <w:rsid w:val="00F12527"/>
    <w:rsid w:val="00F139DD"/>
    <w:rsid w:val="00F15E06"/>
    <w:rsid w:val="00F2409A"/>
    <w:rsid w:val="00F26173"/>
    <w:rsid w:val="00F30E9D"/>
    <w:rsid w:val="00F407B4"/>
    <w:rsid w:val="00F43D6D"/>
    <w:rsid w:val="00F459F0"/>
    <w:rsid w:val="00F45C09"/>
    <w:rsid w:val="00F5265E"/>
    <w:rsid w:val="00F56174"/>
    <w:rsid w:val="00F56FC0"/>
    <w:rsid w:val="00F83E56"/>
    <w:rsid w:val="00F843BA"/>
    <w:rsid w:val="00F9017F"/>
    <w:rsid w:val="00F964B8"/>
    <w:rsid w:val="00FA7F5A"/>
    <w:rsid w:val="00FB4CB4"/>
    <w:rsid w:val="00FC520C"/>
    <w:rsid w:val="00FC5276"/>
    <w:rsid w:val="00FC54D0"/>
    <w:rsid w:val="00FE1CC8"/>
    <w:rsid w:val="00FE485C"/>
    <w:rsid w:val="00FE6856"/>
    <w:rsid w:val="00FF0B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49E25"/>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 w:type="paragraph" w:customStyle="1" w:styleId="CM6">
    <w:name w:val="CM6"/>
    <w:basedOn w:val="Normal"/>
    <w:next w:val="Normal"/>
    <w:uiPriority w:val="99"/>
    <w:rsid w:val="00AD1FC0"/>
    <w:pPr>
      <w:autoSpaceDE w:val="0"/>
      <w:autoSpaceDN w:val="0"/>
      <w:adjustRightInd w:val="0"/>
      <w:spacing w:after="0" w:line="240" w:lineRule="auto"/>
    </w:pPr>
    <w:rPr>
      <w:rFonts w:ascii="Georgia" w:hAnsi="Georgia"/>
      <w:sz w:val="24"/>
      <w:szCs w:val="24"/>
    </w:rPr>
  </w:style>
  <w:style w:type="paragraph" w:customStyle="1" w:styleId="ecxmsonormal">
    <w:name w:val="ecxmsonormal"/>
    <w:basedOn w:val="Normal"/>
    <w:rsid w:val="0040294F"/>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oscar-tulio-lizcano-gonzalez" TargetMode="External"/><Relationship Id="rId18" Type="http://schemas.openxmlformats.org/officeDocument/2006/relationships/hyperlink" Target="http://www.camara.gov.co/representantes/miguel-angel-barreto-castillo" TargetMode="External"/><Relationship Id="rId26" Type="http://schemas.openxmlformats.org/officeDocument/2006/relationships/hyperlink" Target="http://www.camara.gov.co/representantes/nicolas-albeiro-echeverry-alvaran" TargetMode="External"/><Relationship Id="rId3" Type="http://schemas.openxmlformats.org/officeDocument/2006/relationships/styles" Target="styles.xml"/><Relationship Id="rId21" Type="http://schemas.openxmlformats.org/officeDocument/2006/relationships/hyperlink" Target="http://www.camara.gov.co/laureano-augusto-acuna-diaz"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mara.gov.co/representantes/jaime-rodriguez-contreras" TargetMode="External"/><Relationship Id="rId17" Type="http://schemas.openxmlformats.org/officeDocument/2006/relationships/hyperlink" Target="http://www.camara.gov.co/representantes/jennifer-kristin-arias-falla" TargetMode="External"/><Relationship Id="rId25" Type="http://schemas.openxmlformats.org/officeDocument/2006/relationships/hyperlink" Target="http://www.camara.gov.co/representantes/yamil-hernando-arana-padau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ara.gov.co/representantes/harry-giovanny-gonzalez-garcia" TargetMode="External"/><Relationship Id="rId20" Type="http://schemas.openxmlformats.org/officeDocument/2006/relationships/hyperlink" Target="http://www.camara.gov.co/juan-samy-merheg-marun" TargetMode="External"/><Relationship Id="rId29" Type="http://schemas.openxmlformats.org/officeDocument/2006/relationships/hyperlink" Target="http://www.camara.gov.co/representantes/buenaventura-leon-le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orge-enrique-burgos-lugo" TargetMode="External"/><Relationship Id="rId24" Type="http://schemas.openxmlformats.org/officeDocument/2006/relationships/hyperlink" Target="http://www.camara.gov.co/representantes/adriana-magali-matiz-varga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amara.gov.co/representantes/alejandro-carlos-chacon-camargo" TargetMode="External"/><Relationship Id="rId23" Type="http://schemas.openxmlformats.org/officeDocument/2006/relationships/hyperlink" Target="http://www.camara.gov.co/myriam-alicia-paredes-aguirre" TargetMode="External"/><Relationship Id="rId28" Type="http://schemas.openxmlformats.org/officeDocument/2006/relationships/hyperlink" Target="http://www.camara.gov.co/representantes/miguel-angel-barreto-castillo" TargetMode="External"/><Relationship Id="rId10" Type="http://schemas.openxmlformats.org/officeDocument/2006/relationships/hyperlink" Target="http://www.camara.gov.co/representantes/alfredo-rafael-deluque-zuleta" TargetMode="External"/><Relationship Id="rId19" Type="http://schemas.openxmlformats.org/officeDocument/2006/relationships/hyperlink" Target="http://www.camara.gov.co/representantes/jose-daniel-lopez-jimenez" TargetMode="External"/><Relationship Id="rId31" Type="http://schemas.openxmlformats.org/officeDocument/2006/relationships/hyperlink" Target="http://www.camara.gov.co/representantes/maria-cristina-soto-de-gomez" TargetMode="External"/><Relationship Id="rId4" Type="http://schemas.openxmlformats.org/officeDocument/2006/relationships/settings" Target="settings.xml"/><Relationship Id="rId9" Type="http://schemas.openxmlformats.org/officeDocument/2006/relationships/hyperlink" Target="http://www.camara.gov.co/representantes/cesar-augusto-lorduy-maldonado" TargetMode="External"/><Relationship Id="rId14" Type="http://schemas.openxmlformats.org/officeDocument/2006/relationships/hyperlink" Target="http://www.camara.gov.co/representantes/julio-cesar-triana-quintero" TargetMode="External"/><Relationship Id="rId22" Type="http://schemas.openxmlformats.org/officeDocument/2006/relationships/hyperlink" Target="http://www.camara.gov.co/nora-maria-garcia-burgos" TargetMode="External"/><Relationship Id="rId27" Type="http://schemas.openxmlformats.org/officeDocument/2006/relationships/hyperlink" Target="http://www.camara.gov.co/representantes/german-alcides-blanco-alvarez" TargetMode="External"/><Relationship Id="rId30" Type="http://schemas.openxmlformats.org/officeDocument/2006/relationships/hyperlink" Target="http://www.camara.gov.co/representantes/juan-carlos-rivera-pena" TargetMode="External"/><Relationship Id="rId35" Type="http://schemas.openxmlformats.org/officeDocument/2006/relationships/theme" Target="theme/theme1.xml"/><Relationship Id="rId8" Type="http://schemas.openxmlformats.org/officeDocument/2006/relationships/hyperlink" Target="http://www.camara.gov.co/representantes/jairo-humberto-cristo-corr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36B5E-CB22-40E6-8605-18800CC7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8729</Words>
  <Characters>48013</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56629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usuario comision uno</cp:lastModifiedBy>
  <cp:revision>2</cp:revision>
  <cp:lastPrinted>2018-09-26T21:22:00Z</cp:lastPrinted>
  <dcterms:created xsi:type="dcterms:W3CDTF">2018-09-28T21:16:00Z</dcterms:created>
  <dcterms:modified xsi:type="dcterms:W3CDTF">2018-09-28T21:16:00Z</dcterms:modified>
</cp:coreProperties>
</file>