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72DAD" w14:textId="7E09A2E2" w:rsidR="00F766E8" w:rsidRPr="00F766E8" w:rsidRDefault="00533BDF" w:rsidP="00F766E8">
      <w:pPr>
        <w:autoSpaceDE w:val="0"/>
        <w:autoSpaceDN w:val="0"/>
        <w:adjustRightInd w:val="0"/>
        <w:jc w:val="center"/>
        <w:rPr>
          <w:rFonts w:ascii="Arial" w:hAnsi="Arial" w:cs="Arial"/>
          <w:b/>
        </w:rPr>
      </w:pPr>
      <w:r w:rsidRPr="00F766E8">
        <w:rPr>
          <w:rFonts w:ascii="Arial" w:hAnsi="Arial" w:cs="Arial"/>
          <w:b/>
          <w:bCs/>
          <w:lang w:val="es-ES_tradnl"/>
        </w:rPr>
        <w:t xml:space="preserve">TEXTO APROBADO EN LA COMISIÓN PRIMERA DE LA HONORABLE CÁMARA DE REPRESENTANTES EN PRIMER DEBATE PRIMERA VUELTA </w:t>
      </w:r>
      <w:r w:rsidR="00F766E8" w:rsidRPr="00F766E8">
        <w:rPr>
          <w:rFonts w:ascii="Arial" w:hAnsi="Arial" w:cs="Arial"/>
          <w:b/>
          <w:bCs/>
          <w:lang w:val="es-ES_tradnl"/>
        </w:rPr>
        <w:t xml:space="preserve">DEL </w:t>
      </w:r>
      <w:r w:rsidR="00F766E8" w:rsidRPr="00F766E8">
        <w:rPr>
          <w:rFonts w:ascii="Arial" w:hAnsi="Arial" w:cs="Arial"/>
          <w:b/>
        </w:rPr>
        <w:t>PROYECTO DE ACTO LEGISLATIVO 144 DE 2018 CAMARA</w:t>
      </w:r>
    </w:p>
    <w:p w14:paraId="3AE958AD" w14:textId="67C0F15F" w:rsidR="00F766E8" w:rsidRPr="00F766E8" w:rsidRDefault="00F766E8" w:rsidP="00F766E8">
      <w:pPr>
        <w:jc w:val="center"/>
        <w:rPr>
          <w:rFonts w:ascii="Arial" w:hAnsi="Arial" w:cs="Arial"/>
          <w:b/>
        </w:rPr>
      </w:pPr>
      <w:r w:rsidRPr="00F766E8">
        <w:rPr>
          <w:rFonts w:ascii="Arial" w:hAnsi="Arial" w:cs="Arial"/>
          <w:b/>
        </w:rPr>
        <w:t>“POR MEDIO DEL CUAL SE ADICIONA UN PARÁGRAFO AL ARTÍCULO 44 Y SE MODIFICA EL ARTÍCULO 250 DE LA CONSTITUCIÓN POLÍTICA DE COLOMBIA PARA LA PROTECCIÓN DE LOS NIÑOS Y NIÑAS VÍCTIMAS DE DELITOS SEXUALES.”</w:t>
      </w:r>
    </w:p>
    <w:p w14:paraId="24FBB672" w14:textId="77777777" w:rsidR="00F766E8" w:rsidRPr="00F766E8" w:rsidRDefault="00F766E8" w:rsidP="00F766E8">
      <w:pPr>
        <w:rPr>
          <w:rFonts w:ascii="Arial" w:hAnsi="Arial" w:cs="Arial"/>
        </w:rPr>
      </w:pPr>
    </w:p>
    <w:p w14:paraId="679305D5" w14:textId="77777777" w:rsidR="00F766E8" w:rsidRPr="00F766E8" w:rsidRDefault="00F766E8" w:rsidP="00F766E8">
      <w:pPr>
        <w:rPr>
          <w:rFonts w:ascii="Arial" w:hAnsi="Arial" w:cs="Arial"/>
        </w:rPr>
      </w:pPr>
    </w:p>
    <w:p w14:paraId="0E53B517" w14:textId="33C74107" w:rsidR="00F766E8" w:rsidRPr="00F766E8" w:rsidRDefault="00F766E8" w:rsidP="00F766E8">
      <w:pPr>
        <w:jc w:val="center"/>
        <w:rPr>
          <w:rFonts w:ascii="Arial" w:hAnsi="Arial" w:cs="Arial"/>
          <w:b/>
        </w:rPr>
      </w:pPr>
      <w:r w:rsidRPr="00F766E8">
        <w:rPr>
          <w:rFonts w:ascii="Arial" w:hAnsi="Arial" w:cs="Arial"/>
          <w:b/>
        </w:rPr>
        <w:t>EL CONGRESO DE COLOMBIA</w:t>
      </w:r>
    </w:p>
    <w:p w14:paraId="3C56FEBC" w14:textId="77777777" w:rsidR="00F766E8" w:rsidRDefault="00F766E8" w:rsidP="00F766E8">
      <w:pPr>
        <w:jc w:val="center"/>
        <w:rPr>
          <w:rFonts w:ascii="Arial" w:hAnsi="Arial" w:cs="Arial"/>
          <w:b/>
        </w:rPr>
      </w:pPr>
    </w:p>
    <w:p w14:paraId="7AFB6EEA" w14:textId="77777777" w:rsidR="00F766E8" w:rsidRPr="00F766E8" w:rsidRDefault="00F766E8" w:rsidP="00F766E8">
      <w:pPr>
        <w:jc w:val="center"/>
        <w:rPr>
          <w:rFonts w:ascii="Arial" w:hAnsi="Arial" w:cs="Arial"/>
          <w:b/>
        </w:rPr>
      </w:pPr>
    </w:p>
    <w:p w14:paraId="707741CB" w14:textId="3F9BA535" w:rsidR="00F766E8" w:rsidRPr="00F766E8" w:rsidRDefault="00F766E8" w:rsidP="00F766E8">
      <w:pPr>
        <w:jc w:val="center"/>
        <w:rPr>
          <w:rFonts w:ascii="Arial" w:hAnsi="Arial" w:cs="Arial"/>
          <w:b/>
        </w:rPr>
      </w:pPr>
      <w:r w:rsidRPr="00F766E8">
        <w:rPr>
          <w:rFonts w:ascii="Arial" w:hAnsi="Arial" w:cs="Arial"/>
          <w:b/>
        </w:rPr>
        <w:t>DECRETA:</w:t>
      </w:r>
    </w:p>
    <w:p w14:paraId="2A23FE3C" w14:textId="77777777" w:rsidR="00F766E8" w:rsidRDefault="00F766E8" w:rsidP="00F766E8">
      <w:pPr>
        <w:rPr>
          <w:rFonts w:ascii="Arial" w:hAnsi="Arial" w:cs="Arial"/>
          <w:b/>
        </w:rPr>
      </w:pPr>
    </w:p>
    <w:p w14:paraId="6A7D04A0" w14:textId="77777777" w:rsidR="00F766E8" w:rsidRPr="00F766E8" w:rsidRDefault="00F766E8" w:rsidP="00F766E8">
      <w:pPr>
        <w:rPr>
          <w:rFonts w:ascii="Arial" w:hAnsi="Arial" w:cs="Arial"/>
          <w:b/>
        </w:rPr>
      </w:pPr>
    </w:p>
    <w:p w14:paraId="1B280CBA" w14:textId="77777777" w:rsidR="00F766E8" w:rsidRDefault="00F766E8" w:rsidP="00F766E8">
      <w:pPr>
        <w:rPr>
          <w:rFonts w:ascii="Arial" w:hAnsi="Arial" w:cs="Arial"/>
          <w:b/>
        </w:rPr>
      </w:pPr>
    </w:p>
    <w:p w14:paraId="41DD1671" w14:textId="77777777" w:rsidR="00F766E8" w:rsidRPr="00F766E8" w:rsidRDefault="00F766E8" w:rsidP="00F766E8">
      <w:pPr>
        <w:rPr>
          <w:rFonts w:ascii="Arial" w:hAnsi="Arial" w:cs="Arial"/>
        </w:rPr>
      </w:pPr>
      <w:r w:rsidRPr="00F766E8">
        <w:rPr>
          <w:rFonts w:ascii="Arial" w:hAnsi="Arial" w:cs="Arial"/>
          <w:b/>
        </w:rPr>
        <w:t>Artículo 1°.</w:t>
      </w:r>
      <w:r w:rsidRPr="00F766E8">
        <w:rPr>
          <w:rFonts w:ascii="Arial" w:hAnsi="Arial" w:cs="Arial"/>
        </w:rPr>
        <w:t xml:space="preserve"> Adiciónese el siguiente parágrafo al artículo 44 de la Constitución Política de Colombia.</w:t>
      </w:r>
    </w:p>
    <w:p w14:paraId="59B2D44D" w14:textId="77777777" w:rsidR="00F766E8" w:rsidRPr="00F766E8" w:rsidRDefault="00F766E8" w:rsidP="00F766E8">
      <w:pPr>
        <w:rPr>
          <w:rFonts w:ascii="Arial" w:hAnsi="Arial" w:cs="Arial"/>
          <w:i/>
        </w:rPr>
      </w:pPr>
    </w:p>
    <w:p w14:paraId="3C87735A" w14:textId="77777777" w:rsidR="00F766E8" w:rsidRPr="00F766E8" w:rsidRDefault="00F766E8" w:rsidP="00F766E8">
      <w:pPr>
        <w:ind w:left="708" w:right="900"/>
        <w:rPr>
          <w:rFonts w:ascii="Arial" w:hAnsi="Arial" w:cs="Arial"/>
          <w:i/>
        </w:rPr>
      </w:pPr>
      <w:r w:rsidRPr="00F766E8">
        <w:rPr>
          <w:rFonts w:ascii="Arial" w:hAnsi="Arial" w:cs="Arial"/>
          <w:i/>
        </w:rPr>
        <w:t>“</w:t>
      </w:r>
      <w:r w:rsidRPr="00F766E8">
        <w:rPr>
          <w:rFonts w:ascii="Arial" w:hAnsi="Arial" w:cs="Arial"/>
          <w:b/>
          <w:i/>
        </w:rPr>
        <w:t>PARÁGRAFO</w:t>
      </w:r>
      <w:r w:rsidRPr="00F766E8">
        <w:rPr>
          <w:rFonts w:ascii="Arial" w:hAnsi="Arial" w:cs="Arial"/>
          <w:i/>
        </w:rPr>
        <w:t>: En todos los casos en los que resulten como víctimas de delitos sexuales los niños y niñas, se mantendrá la competencia en cabeza de los jueces penales de jurisdicción ordinaria.”</w:t>
      </w:r>
    </w:p>
    <w:p w14:paraId="33611452" w14:textId="77777777" w:rsidR="00F766E8" w:rsidRDefault="00F766E8" w:rsidP="00F766E8">
      <w:pPr>
        <w:rPr>
          <w:rFonts w:ascii="Arial" w:hAnsi="Arial" w:cs="Arial"/>
        </w:rPr>
      </w:pPr>
    </w:p>
    <w:p w14:paraId="78777DF5" w14:textId="77777777" w:rsidR="00F766E8" w:rsidRPr="00F766E8" w:rsidRDefault="00F766E8" w:rsidP="00F766E8">
      <w:pPr>
        <w:rPr>
          <w:rFonts w:ascii="Arial" w:hAnsi="Arial" w:cs="Arial"/>
        </w:rPr>
      </w:pPr>
    </w:p>
    <w:p w14:paraId="2E55525A" w14:textId="77777777" w:rsidR="00F766E8" w:rsidRPr="00F766E8" w:rsidRDefault="00F766E8" w:rsidP="00F766E8">
      <w:pPr>
        <w:rPr>
          <w:rFonts w:ascii="Arial" w:hAnsi="Arial" w:cs="Arial"/>
          <w:color w:val="000000" w:themeColor="text1"/>
        </w:rPr>
      </w:pPr>
      <w:r w:rsidRPr="00F766E8">
        <w:rPr>
          <w:rFonts w:ascii="Arial" w:hAnsi="Arial" w:cs="Arial"/>
          <w:b/>
          <w:color w:val="000000" w:themeColor="text1"/>
        </w:rPr>
        <w:t>Artículo 2°.</w:t>
      </w:r>
      <w:r w:rsidRPr="00F766E8">
        <w:rPr>
          <w:rFonts w:ascii="Arial" w:hAnsi="Arial" w:cs="Arial"/>
          <w:color w:val="000000" w:themeColor="text1"/>
        </w:rPr>
        <w:t xml:space="preserve"> Modifíquese el artículo 250 de la Constitución Política de Colombia el cual quedara así;</w:t>
      </w:r>
    </w:p>
    <w:p w14:paraId="1A4501E4" w14:textId="77777777" w:rsidR="00F766E8" w:rsidRPr="00F766E8" w:rsidRDefault="00F766E8" w:rsidP="00F766E8">
      <w:pPr>
        <w:rPr>
          <w:rFonts w:ascii="Arial" w:hAnsi="Arial" w:cs="Arial"/>
          <w:i/>
          <w:color w:val="000000" w:themeColor="text1"/>
        </w:rPr>
      </w:pPr>
    </w:p>
    <w:p w14:paraId="64664E55"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bookmarkStart w:id="0" w:name="250"/>
      <w:r w:rsidRPr="00F766E8">
        <w:rPr>
          <w:rFonts w:ascii="Arial" w:hAnsi="Arial" w:cs="Arial"/>
          <w:b/>
          <w:bCs/>
          <w:i/>
          <w:color w:val="000000" w:themeColor="text1"/>
        </w:rPr>
        <w:t>ARTICULO 250. </w:t>
      </w:r>
      <w:bookmarkEnd w:id="0"/>
      <w:r w:rsidRPr="00F766E8">
        <w:rPr>
          <w:rFonts w:ascii="Arial" w:hAnsi="Arial" w:cs="Arial"/>
          <w:i/>
          <w:color w:val="000000" w:themeColor="text1"/>
        </w:rPr>
        <w:t xml:space="preserve"> La Fiscalía General de la Nación está obligada a adelantar el ejercicio de la acción penal y realizar la investigación de los hechos que revistan las características de un delito que lleguen a su conocimiento por medio de denuncia, petición especial, querella o de oficio, siempre y cuando medien suficientes motivos y circunstancias fácticas que indiquen la posible existencia del mismo. No podrá, en consecuencia, suspender, interrumpir, ni renunciar a la persecución penal, salvo en los casos que establezca la ley para la aplicación del principio de oportunidad regulado dentro del marco de la política criminal del Estado, el cual estará sometido al control de legalidad por parte del juez que ejerza las funciones de control de garantías. Se exceptúan los delitos cometidos por Miembros de la Fuerza Pública en servicio activo y en relación con el mismo servicio.</w:t>
      </w:r>
    </w:p>
    <w:p w14:paraId="43D81029"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p>
    <w:p w14:paraId="52F0C358"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Fonts w:ascii="Arial" w:hAnsi="Arial" w:cs="Arial"/>
          <w:i/>
          <w:color w:val="000000" w:themeColor="text1"/>
        </w:rPr>
        <w:lastRenderedPageBreak/>
        <w:t>En ejercicio de sus funciones la Fiscalía General de la Nación, deberá:</w:t>
      </w:r>
    </w:p>
    <w:p w14:paraId="7982E7A0"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p>
    <w:p w14:paraId="2DFCCB1B"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Fonts w:ascii="Arial" w:hAnsi="Arial" w:cs="Arial"/>
          <w:i/>
          <w:color w:val="000000" w:themeColor="text1"/>
        </w:rPr>
        <w:t>1. Solicitar al juez que ejerza las funciones de control de garantías las medidas necesarias que aseguren la comparecencia de los imputados al proceso penal, la conservación de la prueba y la protección de la comunidad, en especial, de las víctimas.</w:t>
      </w:r>
    </w:p>
    <w:p w14:paraId="56088687"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p>
    <w:p w14:paraId="201DB9F8"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Fonts w:ascii="Arial" w:hAnsi="Arial" w:cs="Arial"/>
          <w:i/>
          <w:color w:val="000000" w:themeColor="text1"/>
        </w:rPr>
        <w:t>El juez que ejerza las funciones de control de garantías, no podrá ser, en ningún caso, el juez de conocimiento, en aquellos asuntos en que haya ejercido esta función.</w:t>
      </w:r>
    </w:p>
    <w:p w14:paraId="2F74192A"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p>
    <w:p w14:paraId="13F63155"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Fonts w:ascii="Arial" w:hAnsi="Arial" w:cs="Arial"/>
          <w:i/>
          <w:color w:val="000000" w:themeColor="text1"/>
        </w:rPr>
        <w:t>La ley podrá facultar a la Fiscalía General de la Nación para realizar excepcionalmente capturas; igualmente, la ley fijará los límites y eventos en que proceda la captura. En estos casos el juez que cumpla la función de control de garantías lo realizará a más tardar dentro de las treinta y seis (36) horas siguientes.</w:t>
      </w:r>
    </w:p>
    <w:p w14:paraId="66CF51E2"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p>
    <w:p w14:paraId="3A853A4C"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Fonts w:ascii="Arial" w:hAnsi="Arial" w:cs="Arial"/>
          <w:i/>
          <w:color w:val="000000" w:themeColor="text1"/>
        </w:rPr>
        <w:t>2. Adelantar registros, allanamientos, incautaciones e interceptaciones de comunicaciones. En estos eventos el juez que ejerza las funciones de control de garantías efectuará el control posterior respectivo, a más tardar dentro de las treinta y seis (36) horas siguientes.</w:t>
      </w:r>
    </w:p>
    <w:p w14:paraId="241A3E5E"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p>
    <w:p w14:paraId="1DD75DF0"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Fonts w:ascii="Arial" w:hAnsi="Arial" w:cs="Arial"/>
          <w:i/>
          <w:color w:val="000000" w:themeColor="text1"/>
        </w:rPr>
        <w:t>3. Asegurar los elementos materiales probatorios, garantizando la cadena de custodia mientras se ejerce su contradicción. En caso de requerirse medidas adicionales que impliquen afectación de derechos fundamentales, deberá obtenerse la respectiva autorización por parte del juez que ejerza las funciones de control de garantías para poder proceder a ello.</w:t>
      </w:r>
    </w:p>
    <w:p w14:paraId="6A3B8618"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p>
    <w:p w14:paraId="0894329F"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Fonts w:ascii="Arial" w:hAnsi="Arial" w:cs="Arial"/>
          <w:i/>
          <w:color w:val="000000" w:themeColor="text1"/>
        </w:rPr>
        <w:t>4. Presentar escrito de acusación ante el juez de conocimiento, con el fin de dar inicio a un juicio público, oral, con inmediación de las pruebas, contradictorio, concentrado y con todas las garantías.</w:t>
      </w:r>
    </w:p>
    <w:p w14:paraId="3866A074"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p>
    <w:p w14:paraId="54265FCD"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Fonts w:ascii="Arial" w:hAnsi="Arial" w:cs="Arial"/>
          <w:i/>
          <w:color w:val="000000" w:themeColor="text1"/>
        </w:rPr>
        <w:t>5. Solicitar ante el juez de conocimiento la preclusión de las investigaciones cuando según lo dispuesto en la ley no hubiere mérito para acusar.</w:t>
      </w:r>
    </w:p>
    <w:p w14:paraId="5F361742"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p>
    <w:p w14:paraId="39272C5F"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Fonts w:ascii="Arial" w:hAnsi="Arial" w:cs="Arial"/>
          <w:i/>
          <w:color w:val="000000" w:themeColor="text1"/>
        </w:rPr>
        <w:t>6. Solicitar ante el juez de conocimiento las medidas judiciales necesarias para la asistencia a las víctimas, lo mismo que disponer el restablecimiento del derecho y la reparación integral a los afectados con el delito.</w:t>
      </w:r>
    </w:p>
    <w:p w14:paraId="2EDE19D8"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p>
    <w:p w14:paraId="19924B70"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Fonts w:ascii="Arial" w:hAnsi="Arial" w:cs="Arial"/>
          <w:i/>
          <w:color w:val="000000" w:themeColor="text1"/>
        </w:rPr>
        <w:t xml:space="preserve">7. Velar por la protección de las víctimas, los jurados, los testigos y demás intervinientes en el proceso penal, la ley fijará los términos en que podrán </w:t>
      </w:r>
      <w:r w:rsidRPr="00F766E8">
        <w:rPr>
          <w:rFonts w:ascii="Arial" w:hAnsi="Arial" w:cs="Arial"/>
          <w:i/>
          <w:color w:val="000000" w:themeColor="text1"/>
        </w:rPr>
        <w:lastRenderedPageBreak/>
        <w:t>intervenir las víctimas en el proceso penal y los mecanismos de justicia restaurativa.</w:t>
      </w:r>
    </w:p>
    <w:p w14:paraId="1C64C49B"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p>
    <w:p w14:paraId="60D73BA2"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Fonts w:ascii="Arial" w:hAnsi="Arial" w:cs="Arial"/>
          <w:i/>
          <w:color w:val="000000" w:themeColor="text1"/>
        </w:rPr>
        <w:t>8. Dirigir y coordinar las funciones de policía Judicial que en forma permanente cumple la Policía Nacional y los demás organismos que señale la ley.</w:t>
      </w:r>
    </w:p>
    <w:p w14:paraId="3C17A113"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p>
    <w:p w14:paraId="718B2CF7"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Fonts w:ascii="Arial" w:hAnsi="Arial" w:cs="Arial"/>
          <w:i/>
          <w:color w:val="000000" w:themeColor="text1"/>
        </w:rPr>
        <w:t>9. Ejercer la acción penal, en todos los supuestos de delitos sexuales en donde resulten como víctimas niños y niñas, promoviendo la protección de los mismos a través del proceso penal ordinario”</w:t>
      </w:r>
    </w:p>
    <w:p w14:paraId="0349027C"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p>
    <w:p w14:paraId="22F1012D"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Fonts w:ascii="Arial" w:hAnsi="Arial" w:cs="Arial"/>
          <w:i/>
          <w:color w:val="000000" w:themeColor="text1"/>
        </w:rPr>
        <w:t>10. Cumplir las demás funciones que establezca la ley.</w:t>
      </w:r>
    </w:p>
    <w:p w14:paraId="12C6E2AF"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p>
    <w:p w14:paraId="72F31B0E"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Fonts w:ascii="Arial" w:hAnsi="Arial" w:cs="Arial"/>
          <w:i/>
          <w:color w:val="000000" w:themeColor="text1"/>
        </w:rPr>
        <w:t>El Fiscal General y sus delegados tienen competencia en todo el territorio nacional.</w:t>
      </w:r>
    </w:p>
    <w:p w14:paraId="7361CCDD"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p>
    <w:p w14:paraId="09FD1FF7"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Fonts w:ascii="Arial" w:hAnsi="Arial" w:cs="Arial"/>
          <w:i/>
          <w:color w:val="000000" w:themeColor="text1"/>
        </w:rPr>
        <w:t xml:space="preserve">En el evento de presentarse escrito de acusación, el Fiscal General o sus delegados deberán suministrar, por conducto del juez de conocimiento, todos los elementos probatorios e informaciones de que tenga </w:t>
      </w:r>
      <w:proofErr w:type="gramStart"/>
      <w:r w:rsidRPr="00F766E8">
        <w:rPr>
          <w:rFonts w:ascii="Arial" w:hAnsi="Arial" w:cs="Arial"/>
          <w:i/>
          <w:color w:val="000000" w:themeColor="text1"/>
        </w:rPr>
        <w:t>noticia incluidos</w:t>
      </w:r>
      <w:proofErr w:type="gramEnd"/>
      <w:r w:rsidRPr="00F766E8">
        <w:rPr>
          <w:rFonts w:ascii="Arial" w:hAnsi="Arial" w:cs="Arial"/>
          <w:i/>
          <w:color w:val="000000" w:themeColor="text1"/>
        </w:rPr>
        <w:t xml:space="preserve"> los que le sean favorables al procesado.</w:t>
      </w:r>
    </w:p>
    <w:p w14:paraId="4EC00CF0" w14:textId="77777777" w:rsidR="00F766E8" w:rsidRPr="00F766E8" w:rsidRDefault="00F766E8" w:rsidP="00F766E8">
      <w:pPr>
        <w:pStyle w:val="NormalWeb"/>
        <w:spacing w:before="0" w:beforeAutospacing="0" w:after="0" w:afterAutospacing="0"/>
        <w:ind w:left="708"/>
        <w:jc w:val="both"/>
        <w:rPr>
          <w:rStyle w:val="baj"/>
          <w:rFonts w:ascii="Arial" w:hAnsi="Arial" w:cs="Arial"/>
          <w:b/>
          <w:bCs/>
          <w:i/>
          <w:color w:val="000000" w:themeColor="text1"/>
        </w:rPr>
      </w:pPr>
    </w:p>
    <w:p w14:paraId="38BD3498"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Style w:val="baj"/>
          <w:rFonts w:ascii="Arial" w:hAnsi="Arial" w:cs="Arial"/>
          <w:b/>
          <w:bCs/>
          <w:i/>
          <w:color w:val="000000" w:themeColor="text1"/>
        </w:rPr>
        <w:t>PARÁGRAFO.</w:t>
      </w:r>
      <w:r w:rsidRPr="00F766E8">
        <w:rPr>
          <w:rFonts w:ascii="Arial" w:hAnsi="Arial" w:cs="Arial"/>
          <w:i/>
          <w:color w:val="000000" w:themeColor="text1"/>
        </w:rPr>
        <w:t> La Procuraduría General de la Nación continuará cumpliendo en el nuevo sistema de indagación, investigación y juzgamiento penal, las funciones contempladas en el artículo 277 de la Constitución Nacional.</w:t>
      </w:r>
    </w:p>
    <w:p w14:paraId="4D978A27" w14:textId="77777777" w:rsidR="00F766E8" w:rsidRPr="00F766E8" w:rsidRDefault="00F766E8" w:rsidP="00F766E8">
      <w:pPr>
        <w:pStyle w:val="NormalWeb"/>
        <w:spacing w:before="0" w:beforeAutospacing="0" w:after="0" w:afterAutospacing="0"/>
        <w:ind w:left="708"/>
        <w:jc w:val="both"/>
        <w:rPr>
          <w:rStyle w:val="baj"/>
          <w:rFonts w:ascii="Arial" w:hAnsi="Arial" w:cs="Arial"/>
          <w:b/>
          <w:bCs/>
          <w:i/>
          <w:color w:val="000000" w:themeColor="text1"/>
        </w:rPr>
      </w:pPr>
    </w:p>
    <w:p w14:paraId="499BD954" w14:textId="77777777" w:rsidR="00F766E8" w:rsidRPr="00F766E8" w:rsidRDefault="00F766E8" w:rsidP="00F766E8">
      <w:pPr>
        <w:pStyle w:val="NormalWeb"/>
        <w:spacing w:before="0" w:beforeAutospacing="0" w:after="0" w:afterAutospacing="0"/>
        <w:ind w:left="708"/>
        <w:jc w:val="both"/>
        <w:rPr>
          <w:rFonts w:ascii="Arial" w:hAnsi="Arial" w:cs="Arial"/>
          <w:i/>
          <w:color w:val="000000" w:themeColor="text1"/>
        </w:rPr>
      </w:pPr>
      <w:r w:rsidRPr="00F766E8">
        <w:rPr>
          <w:rStyle w:val="baj"/>
          <w:rFonts w:ascii="Arial" w:hAnsi="Arial" w:cs="Arial"/>
          <w:b/>
          <w:bCs/>
          <w:i/>
          <w:color w:val="000000" w:themeColor="text1"/>
        </w:rPr>
        <w:t>PARÁGRAFO 2o. </w:t>
      </w:r>
      <w:r w:rsidRPr="00F766E8">
        <w:rPr>
          <w:rFonts w:ascii="Arial" w:hAnsi="Arial" w:cs="Arial"/>
          <w:i/>
          <w:color w:val="000000" w:themeColor="text1"/>
        </w:rPr>
        <w:t xml:space="preserve"> Atendiendo la naturaleza del bien jurídico o la menor </w:t>
      </w:r>
      <w:proofErr w:type="spellStart"/>
      <w:r w:rsidRPr="00F766E8">
        <w:rPr>
          <w:rFonts w:ascii="Arial" w:hAnsi="Arial" w:cs="Arial"/>
          <w:i/>
          <w:color w:val="000000" w:themeColor="text1"/>
        </w:rPr>
        <w:t>lesividad</w:t>
      </w:r>
      <w:proofErr w:type="spellEnd"/>
      <w:r w:rsidRPr="00F766E8">
        <w:rPr>
          <w:rFonts w:ascii="Arial" w:hAnsi="Arial" w:cs="Arial"/>
          <w:i/>
          <w:color w:val="000000" w:themeColor="text1"/>
        </w:rPr>
        <w:t xml:space="preserve"> de la conducta punible, el legislador podrá asignarle el ejercicio de la acción penal a la víctima o a otras autoridades distintas a la Fiscalía General de la Nación. En todo caso, la Fiscalía General de la Nación podrá actuar en forma preferente.</w:t>
      </w:r>
    </w:p>
    <w:p w14:paraId="7AED3937" w14:textId="77777777" w:rsidR="00F766E8" w:rsidRPr="00F766E8" w:rsidRDefault="00F766E8" w:rsidP="00F766E8">
      <w:pPr>
        <w:rPr>
          <w:rFonts w:ascii="Arial" w:hAnsi="Arial" w:cs="Arial"/>
          <w:b/>
        </w:rPr>
      </w:pPr>
    </w:p>
    <w:p w14:paraId="79B8DAAE" w14:textId="77777777" w:rsidR="00F766E8" w:rsidRDefault="00F766E8" w:rsidP="00F766E8">
      <w:pPr>
        <w:jc w:val="both"/>
        <w:rPr>
          <w:rFonts w:ascii="Arial" w:hAnsi="Arial" w:cs="Arial"/>
          <w:b/>
        </w:rPr>
      </w:pPr>
    </w:p>
    <w:p w14:paraId="425B3990" w14:textId="77777777" w:rsidR="00F766E8" w:rsidRPr="00F766E8" w:rsidRDefault="00F766E8" w:rsidP="00F766E8">
      <w:pPr>
        <w:jc w:val="both"/>
        <w:rPr>
          <w:rFonts w:ascii="Arial" w:hAnsi="Arial" w:cs="Arial"/>
          <w:b/>
        </w:rPr>
      </w:pPr>
    </w:p>
    <w:p w14:paraId="43AA2E09" w14:textId="6622065E" w:rsidR="00F766E8" w:rsidRPr="00F766E8" w:rsidRDefault="00F766E8" w:rsidP="00F766E8">
      <w:pPr>
        <w:jc w:val="both"/>
        <w:rPr>
          <w:rFonts w:ascii="Arial" w:hAnsi="Arial" w:cs="Arial"/>
        </w:rPr>
      </w:pPr>
      <w:r w:rsidRPr="00F766E8">
        <w:rPr>
          <w:rFonts w:ascii="Arial" w:hAnsi="Arial" w:cs="Arial"/>
          <w:b/>
        </w:rPr>
        <w:t xml:space="preserve">Artículo 3°. </w:t>
      </w:r>
      <w:r w:rsidRPr="00F766E8">
        <w:rPr>
          <w:rFonts w:ascii="Arial" w:hAnsi="Arial" w:cs="Arial"/>
        </w:rPr>
        <w:t>El presente Acto Legislativo rige a partir de la fecha de su promulgación</w:t>
      </w:r>
      <w:r>
        <w:rPr>
          <w:rFonts w:ascii="Arial" w:hAnsi="Arial" w:cs="Arial"/>
        </w:rPr>
        <w:t>. En ningún caso afectará la competencia vigente de la Jurisdicción especial para la Paz, ni la establecida en la Ley 975 de 2005 frente a las conductas a las que se refiere este Acto Legislativo</w:t>
      </w:r>
    </w:p>
    <w:p w14:paraId="72B4ED9A" w14:textId="77777777" w:rsidR="00F766E8" w:rsidRPr="00F766E8" w:rsidRDefault="00F766E8" w:rsidP="00F766E8">
      <w:pPr>
        <w:jc w:val="both"/>
        <w:rPr>
          <w:rFonts w:ascii="Arial" w:hAnsi="Arial" w:cs="Arial"/>
          <w:color w:val="000000"/>
        </w:rPr>
      </w:pPr>
    </w:p>
    <w:p w14:paraId="3D275893" w14:textId="77777777" w:rsidR="007E59BA" w:rsidRPr="00F766E8" w:rsidRDefault="007E59BA" w:rsidP="007A02A2">
      <w:pPr>
        <w:jc w:val="both"/>
        <w:rPr>
          <w:rFonts w:ascii="Arial" w:hAnsi="Arial" w:cs="Arial"/>
          <w:color w:val="000000"/>
        </w:rPr>
      </w:pPr>
    </w:p>
    <w:p w14:paraId="7F3A5EB0" w14:textId="053FB7B6" w:rsidR="00533BDF" w:rsidRPr="00F766E8" w:rsidRDefault="00533BDF" w:rsidP="00533BDF">
      <w:pPr>
        <w:jc w:val="both"/>
        <w:rPr>
          <w:rFonts w:ascii="Arial" w:hAnsi="Arial" w:cs="Arial"/>
          <w:color w:val="000000"/>
          <w:lang w:val="es-ES"/>
        </w:rPr>
      </w:pPr>
      <w:r w:rsidRPr="00F766E8">
        <w:rPr>
          <w:rFonts w:ascii="Arial" w:hAnsi="Arial" w:cs="Arial"/>
          <w:color w:val="000000"/>
        </w:rPr>
        <w:t xml:space="preserve">En los anteriores términos fue aprobado </w:t>
      </w:r>
      <w:r w:rsidR="00F766E8">
        <w:rPr>
          <w:rFonts w:ascii="Arial" w:hAnsi="Arial" w:cs="Arial"/>
          <w:color w:val="000000"/>
        </w:rPr>
        <w:t>co</w:t>
      </w:r>
      <w:r w:rsidRPr="00F766E8">
        <w:rPr>
          <w:rFonts w:ascii="Arial" w:hAnsi="Arial" w:cs="Arial"/>
          <w:color w:val="000000"/>
        </w:rPr>
        <w:t>n modificaciones el presente Proyecto de Acto Legislativo según consta en Acta</w:t>
      </w:r>
      <w:r w:rsidR="00F766E8">
        <w:rPr>
          <w:rFonts w:ascii="Arial" w:hAnsi="Arial" w:cs="Arial"/>
          <w:color w:val="000000"/>
        </w:rPr>
        <w:t>s</w:t>
      </w:r>
      <w:r w:rsidRPr="00F766E8">
        <w:rPr>
          <w:rFonts w:ascii="Arial" w:hAnsi="Arial" w:cs="Arial"/>
          <w:color w:val="000000"/>
        </w:rPr>
        <w:t xml:space="preserve"> No. </w:t>
      </w:r>
      <w:r w:rsidR="007E59BA" w:rsidRPr="00F766E8">
        <w:rPr>
          <w:rFonts w:ascii="Arial" w:hAnsi="Arial" w:cs="Arial"/>
          <w:color w:val="000000"/>
        </w:rPr>
        <w:t>2</w:t>
      </w:r>
      <w:r w:rsidR="00F766E8">
        <w:rPr>
          <w:rFonts w:ascii="Arial" w:hAnsi="Arial" w:cs="Arial"/>
          <w:color w:val="000000"/>
        </w:rPr>
        <w:t>1</w:t>
      </w:r>
      <w:r w:rsidR="00CD0599" w:rsidRPr="00F766E8">
        <w:rPr>
          <w:rFonts w:ascii="Arial" w:hAnsi="Arial" w:cs="Arial"/>
          <w:color w:val="000000"/>
        </w:rPr>
        <w:t xml:space="preserve"> </w:t>
      </w:r>
      <w:r w:rsidRPr="00F766E8">
        <w:rPr>
          <w:rFonts w:ascii="Arial" w:hAnsi="Arial" w:cs="Arial"/>
          <w:color w:val="000000"/>
        </w:rPr>
        <w:t xml:space="preserve">de octubre </w:t>
      </w:r>
      <w:r w:rsidR="007E59BA" w:rsidRPr="00F766E8">
        <w:rPr>
          <w:rFonts w:ascii="Arial" w:hAnsi="Arial" w:cs="Arial"/>
          <w:color w:val="000000"/>
        </w:rPr>
        <w:t>3</w:t>
      </w:r>
      <w:r w:rsidR="00F766E8">
        <w:rPr>
          <w:rFonts w:ascii="Arial" w:hAnsi="Arial" w:cs="Arial"/>
          <w:color w:val="000000"/>
        </w:rPr>
        <w:t>0</w:t>
      </w:r>
      <w:r w:rsidR="00CD0599" w:rsidRPr="00F766E8">
        <w:rPr>
          <w:rFonts w:ascii="Arial" w:hAnsi="Arial" w:cs="Arial"/>
          <w:color w:val="000000"/>
        </w:rPr>
        <w:t xml:space="preserve"> de 2018</w:t>
      </w:r>
      <w:r w:rsidR="00F766E8">
        <w:rPr>
          <w:rFonts w:ascii="Arial" w:hAnsi="Arial" w:cs="Arial"/>
          <w:color w:val="000000"/>
        </w:rPr>
        <w:t xml:space="preserve"> y Acta No. </w:t>
      </w:r>
      <w:r w:rsidR="00F766E8">
        <w:rPr>
          <w:rFonts w:ascii="Arial" w:hAnsi="Arial" w:cs="Arial"/>
          <w:color w:val="000000"/>
        </w:rPr>
        <w:lastRenderedPageBreak/>
        <w:t>22 de octubre 31 de 2018</w:t>
      </w:r>
      <w:r w:rsidR="007E59BA" w:rsidRPr="00F766E8">
        <w:rPr>
          <w:rFonts w:ascii="Arial" w:hAnsi="Arial" w:cs="Arial"/>
          <w:color w:val="000000"/>
        </w:rPr>
        <w:t xml:space="preserve">. </w:t>
      </w:r>
      <w:r w:rsidRPr="00F766E8">
        <w:rPr>
          <w:rFonts w:ascii="Arial" w:hAnsi="Arial" w:cs="Arial"/>
          <w:color w:val="000000"/>
          <w:lang w:val="es-ES"/>
        </w:rPr>
        <w:t>Anunciado</w:t>
      </w:r>
      <w:r w:rsidR="007E59BA" w:rsidRPr="00F766E8">
        <w:rPr>
          <w:rFonts w:ascii="Arial" w:hAnsi="Arial" w:cs="Arial"/>
          <w:color w:val="000000"/>
          <w:lang w:val="es-ES"/>
        </w:rPr>
        <w:t xml:space="preserve"> </w:t>
      </w:r>
      <w:r w:rsidR="00F766E8">
        <w:rPr>
          <w:rFonts w:ascii="Arial" w:hAnsi="Arial" w:cs="Arial"/>
          <w:color w:val="000000"/>
          <w:lang w:val="es-ES"/>
        </w:rPr>
        <w:t xml:space="preserve">entre otras fechas </w:t>
      </w:r>
      <w:r w:rsidR="007E59BA" w:rsidRPr="00F766E8">
        <w:rPr>
          <w:rFonts w:ascii="Arial" w:hAnsi="Arial" w:cs="Arial"/>
          <w:color w:val="000000"/>
          <w:lang w:val="es-ES"/>
        </w:rPr>
        <w:t xml:space="preserve">el </w:t>
      </w:r>
      <w:r w:rsidR="00F766E8">
        <w:rPr>
          <w:rFonts w:ascii="Arial" w:hAnsi="Arial" w:cs="Arial"/>
          <w:color w:val="000000"/>
          <w:lang w:val="es-ES"/>
        </w:rPr>
        <w:t>25</w:t>
      </w:r>
      <w:r w:rsidR="007E59BA" w:rsidRPr="00F766E8">
        <w:rPr>
          <w:rFonts w:ascii="Arial" w:hAnsi="Arial" w:cs="Arial"/>
          <w:color w:val="000000"/>
          <w:lang w:val="es-ES"/>
        </w:rPr>
        <w:t xml:space="preserve"> de octubre de 2018 </w:t>
      </w:r>
      <w:r w:rsidR="00CD0599" w:rsidRPr="00F766E8">
        <w:rPr>
          <w:rFonts w:ascii="Arial" w:hAnsi="Arial" w:cs="Arial"/>
          <w:color w:val="000000"/>
          <w:lang w:val="es-ES"/>
        </w:rPr>
        <w:t xml:space="preserve">según consta en Acta No. </w:t>
      </w:r>
      <w:r w:rsidR="007E59BA" w:rsidRPr="00F766E8">
        <w:rPr>
          <w:rFonts w:ascii="Arial" w:hAnsi="Arial" w:cs="Arial"/>
          <w:color w:val="000000"/>
          <w:lang w:val="es-ES"/>
        </w:rPr>
        <w:t>2</w:t>
      </w:r>
      <w:r w:rsidR="00F766E8">
        <w:rPr>
          <w:rFonts w:ascii="Arial" w:hAnsi="Arial" w:cs="Arial"/>
          <w:color w:val="000000"/>
          <w:lang w:val="es-ES"/>
        </w:rPr>
        <w:t xml:space="preserve">0 y el 30 de octubre de 2018 según consta en Acta No. 21. </w:t>
      </w:r>
      <w:r w:rsidR="007E59BA" w:rsidRPr="00F766E8">
        <w:rPr>
          <w:rFonts w:ascii="Arial" w:hAnsi="Arial" w:cs="Arial"/>
          <w:color w:val="000000"/>
          <w:lang w:val="es-ES"/>
        </w:rPr>
        <w:t xml:space="preserve"> </w:t>
      </w:r>
    </w:p>
    <w:p w14:paraId="6D4D36AB" w14:textId="77777777" w:rsidR="00533BDF" w:rsidRPr="00F766E8" w:rsidRDefault="00533BDF" w:rsidP="00533BDF">
      <w:pPr>
        <w:jc w:val="both"/>
        <w:rPr>
          <w:rFonts w:ascii="Arial" w:hAnsi="Arial" w:cs="Arial"/>
          <w:lang w:val="es-ES"/>
        </w:rPr>
      </w:pPr>
    </w:p>
    <w:p w14:paraId="62D9C0F6" w14:textId="77777777" w:rsidR="007E59BA" w:rsidRPr="00F766E8" w:rsidRDefault="007E59BA" w:rsidP="00533BDF">
      <w:pPr>
        <w:jc w:val="both"/>
        <w:rPr>
          <w:rFonts w:ascii="Arial" w:hAnsi="Arial" w:cs="Arial"/>
          <w:lang w:val="es-ES"/>
        </w:rPr>
      </w:pPr>
    </w:p>
    <w:p w14:paraId="56CC77F4" w14:textId="77777777" w:rsidR="007E59BA" w:rsidRPr="00F766E8" w:rsidRDefault="007E59BA" w:rsidP="00533BDF">
      <w:pPr>
        <w:jc w:val="both"/>
        <w:rPr>
          <w:rFonts w:ascii="Arial" w:hAnsi="Arial" w:cs="Arial"/>
          <w:lang w:val="es-ES"/>
        </w:rPr>
      </w:pPr>
    </w:p>
    <w:p w14:paraId="48EBEB65" w14:textId="77777777" w:rsidR="00533BDF" w:rsidRPr="00F766E8" w:rsidRDefault="00533BDF" w:rsidP="00533BDF">
      <w:pPr>
        <w:shd w:val="clear" w:color="auto" w:fill="FFFFFF"/>
        <w:spacing w:line="276" w:lineRule="auto"/>
        <w:jc w:val="both"/>
        <w:rPr>
          <w:rFonts w:ascii="Arial" w:hAnsi="Arial" w:cs="Arial"/>
        </w:rPr>
      </w:pPr>
    </w:p>
    <w:p w14:paraId="1DB26A25" w14:textId="227EE3A0" w:rsidR="00533BDF" w:rsidRPr="00F766E8" w:rsidRDefault="00F766E8" w:rsidP="00533BDF">
      <w:pPr>
        <w:shd w:val="clear" w:color="auto" w:fill="FFFFFF"/>
        <w:spacing w:line="276" w:lineRule="auto"/>
        <w:jc w:val="both"/>
        <w:rPr>
          <w:rFonts w:ascii="Arial" w:hAnsi="Arial" w:cs="Arial"/>
          <w:b/>
          <w:bCs/>
        </w:rPr>
      </w:pPr>
      <w:r w:rsidRPr="00F766E8">
        <w:rPr>
          <w:rFonts w:ascii="Arial" w:hAnsi="Arial" w:cs="Arial"/>
          <w:b/>
          <w:bCs/>
        </w:rPr>
        <w:t>JOSE JAIME USCÁTEGUI PASTRANA</w:t>
      </w:r>
      <w:r w:rsidR="00533BDF" w:rsidRPr="00F766E8">
        <w:rPr>
          <w:rFonts w:ascii="Arial" w:hAnsi="Arial" w:cs="Arial"/>
          <w:b/>
          <w:bCs/>
        </w:rPr>
        <w:tab/>
      </w:r>
      <w:r w:rsidR="007E59BA" w:rsidRPr="00F766E8">
        <w:rPr>
          <w:rFonts w:ascii="Arial" w:hAnsi="Arial" w:cs="Arial"/>
          <w:b/>
          <w:bCs/>
        </w:rPr>
        <w:t xml:space="preserve">SAMUEL A. HOYOS M. </w:t>
      </w:r>
    </w:p>
    <w:p w14:paraId="468C7B56" w14:textId="78EF2CD7" w:rsidR="00533BDF" w:rsidRPr="00F766E8" w:rsidRDefault="00533BDF" w:rsidP="00533BDF">
      <w:pPr>
        <w:shd w:val="clear" w:color="auto" w:fill="FFFFFF"/>
        <w:spacing w:line="276" w:lineRule="auto"/>
        <w:jc w:val="both"/>
        <w:rPr>
          <w:rFonts w:ascii="Arial" w:hAnsi="Arial" w:cs="Arial"/>
        </w:rPr>
      </w:pPr>
      <w:r w:rsidRPr="00F766E8">
        <w:rPr>
          <w:rFonts w:ascii="Arial" w:hAnsi="Arial" w:cs="Arial"/>
        </w:rPr>
        <w:t xml:space="preserve">Ponente </w:t>
      </w:r>
      <w:r w:rsidR="007E59BA" w:rsidRPr="00F766E8">
        <w:rPr>
          <w:rFonts w:ascii="Arial" w:hAnsi="Arial" w:cs="Arial"/>
        </w:rPr>
        <w:tab/>
      </w:r>
      <w:r w:rsidR="007E59BA" w:rsidRPr="00F766E8">
        <w:rPr>
          <w:rFonts w:ascii="Arial" w:hAnsi="Arial" w:cs="Arial"/>
        </w:rPr>
        <w:tab/>
      </w:r>
      <w:r w:rsidR="007E59BA" w:rsidRPr="00F766E8">
        <w:rPr>
          <w:rFonts w:ascii="Arial" w:hAnsi="Arial" w:cs="Arial"/>
        </w:rPr>
        <w:tab/>
      </w:r>
      <w:r w:rsidR="007E59BA" w:rsidRPr="00F766E8">
        <w:rPr>
          <w:rFonts w:ascii="Arial" w:hAnsi="Arial" w:cs="Arial"/>
        </w:rPr>
        <w:tab/>
      </w:r>
      <w:r w:rsidR="007E59BA" w:rsidRPr="00F766E8">
        <w:rPr>
          <w:rFonts w:ascii="Arial" w:hAnsi="Arial" w:cs="Arial"/>
        </w:rPr>
        <w:tab/>
      </w:r>
      <w:r w:rsidR="00F766E8" w:rsidRPr="00F766E8">
        <w:rPr>
          <w:rFonts w:ascii="Arial" w:hAnsi="Arial" w:cs="Arial"/>
        </w:rPr>
        <w:tab/>
      </w:r>
      <w:r w:rsidR="007E59BA" w:rsidRPr="00F766E8">
        <w:rPr>
          <w:rFonts w:ascii="Arial" w:hAnsi="Arial" w:cs="Arial"/>
        </w:rPr>
        <w:t>Presidente</w:t>
      </w:r>
    </w:p>
    <w:p w14:paraId="50590828" w14:textId="77777777" w:rsidR="00533BDF" w:rsidRPr="00F766E8" w:rsidRDefault="00533BDF" w:rsidP="00533BDF">
      <w:pPr>
        <w:jc w:val="both"/>
        <w:rPr>
          <w:rFonts w:ascii="Arial" w:hAnsi="Arial" w:cs="Arial"/>
          <w:b/>
        </w:rPr>
      </w:pPr>
    </w:p>
    <w:p w14:paraId="029ACF23" w14:textId="77777777" w:rsidR="00533BDF" w:rsidRPr="00F766E8" w:rsidRDefault="00533BDF" w:rsidP="00533BDF">
      <w:pPr>
        <w:jc w:val="both"/>
        <w:rPr>
          <w:rFonts w:ascii="Arial" w:hAnsi="Arial" w:cs="Arial"/>
          <w:b/>
        </w:rPr>
      </w:pPr>
      <w:bookmarkStart w:id="1" w:name="_GoBack"/>
      <w:bookmarkEnd w:id="1"/>
    </w:p>
    <w:p w14:paraId="533C1324" w14:textId="77777777" w:rsidR="00CD0599" w:rsidRPr="00F766E8" w:rsidRDefault="00CD0599" w:rsidP="00533BDF">
      <w:pPr>
        <w:jc w:val="both"/>
        <w:rPr>
          <w:rFonts w:ascii="Arial" w:hAnsi="Arial" w:cs="Arial"/>
          <w:b/>
        </w:rPr>
      </w:pPr>
    </w:p>
    <w:p w14:paraId="7E1548B4" w14:textId="2C50ABC0" w:rsidR="00BA37EC" w:rsidRPr="00F766E8" w:rsidRDefault="007E59BA" w:rsidP="008D1A49">
      <w:pPr>
        <w:jc w:val="both"/>
        <w:rPr>
          <w:rFonts w:ascii="Arial" w:hAnsi="Arial" w:cs="Arial"/>
          <w:b/>
        </w:rPr>
      </w:pPr>
      <w:r w:rsidRPr="00F766E8">
        <w:rPr>
          <w:rFonts w:ascii="Arial" w:hAnsi="Arial" w:cs="Arial"/>
          <w:b/>
        </w:rPr>
        <w:tab/>
      </w:r>
      <w:r w:rsidR="00533BDF" w:rsidRPr="00F766E8">
        <w:rPr>
          <w:rFonts w:ascii="Arial" w:hAnsi="Arial" w:cs="Arial"/>
          <w:b/>
        </w:rPr>
        <w:tab/>
      </w:r>
      <w:r w:rsidR="00533BDF" w:rsidRPr="00F766E8">
        <w:rPr>
          <w:rFonts w:ascii="Arial" w:hAnsi="Arial" w:cs="Arial"/>
          <w:b/>
        </w:rPr>
        <w:tab/>
        <w:t>AMPARO Y. CALDERON PERDOMO</w:t>
      </w:r>
    </w:p>
    <w:p w14:paraId="7C5385E4" w14:textId="11098486" w:rsidR="007620B1" w:rsidRPr="00F766E8" w:rsidRDefault="00533BDF" w:rsidP="008D1A49">
      <w:pPr>
        <w:jc w:val="both"/>
        <w:rPr>
          <w:rFonts w:ascii="Arial" w:hAnsi="Arial" w:cs="Arial"/>
          <w:b/>
        </w:rPr>
      </w:pPr>
      <w:r w:rsidRPr="00F766E8">
        <w:rPr>
          <w:rFonts w:ascii="Arial" w:hAnsi="Arial" w:cs="Arial"/>
          <w:color w:val="000000" w:themeColor="text1"/>
          <w:lang w:val="es-ES"/>
        </w:rPr>
        <w:tab/>
      </w:r>
      <w:r w:rsidRPr="00F766E8">
        <w:rPr>
          <w:rFonts w:ascii="Arial" w:hAnsi="Arial" w:cs="Arial"/>
          <w:color w:val="000000" w:themeColor="text1"/>
          <w:lang w:val="es-ES"/>
        </w:rPr>
        <w:tab/>
      </w:r>
      <w:r w:rsidRPr="00F766E8">
        <w:rPr>
          <w:rFonts w:ascii="Arial" w:hAnsi="Arial" w:cs="Arial"/>
          <w:color w:val="000000" w:themeColor="text1"/>
          <w:lang w:val="es-ES"/>
        </w:rPr>
        <w:tab/>
      </w:r>
      <w:r w:rsidR="00BA37EC" w:rsidRPr="00F766E8">
        <w:rPr>
          <w:rFonts w:ascii="Arial" w:hAnsi="Arial" w:cs="Arial"/>
          <w:color w:val="000000" w:themeColor="text1"/>
          <w:lang w:val="es-ES"/>
        </w:rPr>
        <w:tab/>
      </w:r>
      <w:r w:rsidR="00BA37EC" w:rsidRPr="00F766E8">
        <w:rPr>
          <w:rFonts w:ascii="Arial" w:hAnsi="Arial" w:cs="Arial"/>
          <w:color w:val="000000" w:themeColor="text1"/>
          <w:lang w:val="es-ES"/>
        </w:rPr>
        <w:tab/>
      </w:r>
      <w:r w:rsidRPr="00F766E8">
        <w:rPr>
          <w:rFonts w:ascii="Arial" w:hAnsi="Arial" w:cs="Arial"/>
          <w:color w:val="000000" w:themeColor="text1"/>
          <w:lang w:val="es-ES"/>
        </w:rPr>
        <w:t>Secretaria</w:t>
      </w:r>
    </w:p>
    <w:sectPr w:rsidR="007620B1" w:rsidRPr="00F766E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F1C7E" w14:textId="77777777" w:rsidR="00066952" w:rsidRDefault="00066952" w:rsidP="00400E1B">
      <w:r>
        <w:separator/>
      </w:r>
    </w:p>
  </w:endnote>
  <w:endnote w:type="continuationSeparator" w:id="0">
    <w:p w14:paraId="230F915C" w14:textId="77777777" w:rsidR="00066952" w:rsidRDefault="00066952"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7F2B32" w:rsidRPr="007F2B32">
          <w:rPr>
            <w:noProof/>
            <w:lang w:val="es-ES"/>
          </w:rPr>
          <w:t>3</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A8837" w14:textId="77777777" w:rsidR="00066952" w:rsidRDefault="00066952" w:rsidP="00400E1B">
      <w:r>
        <w:separator/>
      </w:r>
    </w:p>
  </w:footnote>
  <w:footnote w:type="continuationSeparator" w:id="0">
    <w:p w14:paraId="3430203B" w14:textId="77777777" w:rsidR="00066952" w:rsidRDefault="00066952"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035DB4">
      <w:rPr>
        <w:rFonts w:asciiTheme="minorHAnsi" w:eastAsiaTheme="minorHAnsi" w:hAnsiTheme="minorHAnsi" w:cstheme="minorBidi"/>
        <w:b/>
        <w:sz w:val="22"/>
        <w:szCs w:val="22"/>
        <w:lang w:eastAsia="en-US"/>
      </w:rPr>
      <w:fldChar w:fldCharType="begin"/>
    </w:r>
    <w:r w:rsidR="00035DB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035DB4">
      <w:rPr>
        <w:rFonts w:asciiTheme="minorHAnsi" w:eastAsiaTheme="minorHAnsi" w:hAnsiTheme="minorHAnsi" w:cstheme="minorBidi"/>
        <w:b/>
        <w:sz w:val="22"/>
        <w:szCs w:val="22"/>
        <w:lang w:eastAsia="en-US"/>
      </w:rPr>
      <w:fldChar w:fldCharType="separate"/>
    </w:r>
    <w:r w:rsidR="00FE1416">
      <w:rPr>
        <w:rFonts w:asciiTheme="minorHAnsi" w:eastAsiaTheme="minorHAnsi" w:hAnsiTheme="minorHAnsi" w:cstheme="minorBidi"/>
        <w:b/>
        <w:sz w:val="22"/>
        <w:szCs w:val="22"/>
        <w:lang w:eastAsia="en-US"/>
      </w:rPr>
      <w:fldChar w:fldCharType="begin"/>
    </w:r>
    <w:r w:rsidR="00FE141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E1416">
      <w:rPr>
        <w:rFonts w:asciiTheme="minorHAnsi" w:eastAsiaTheme="minorHAnsi" w:hAnsiTheme="minorHAnsi" w:cstheme="minorBidi"/>
        <w:b/>
        <w:sz w:val="22"/>
        <w:szCs w:val="22"/>
        <w:lang w:eastAsia="en-US"/>
      </w:rPr>
      <w:fldChar w:fldCharType="separate"/>
    </w:r>
    <w:r w:rsidR="008D56AD">
      <w:rPr>
        <w:rFonts w:asciiTheme="minorHAnsi" w:eastAsiaTheme="minorHAnsi" w:hAnsiTheme="minorHAnsi" w:cstheme="minorBidi"/>
        <w:b/>
        <w:sz w:val="22"/>
        <w:szCs w:val="22"/>
        <w:lang w:eastAsia="en-US"/>
      </w:rPr>
      <w:fldChar w:fldCharType="begin"/>
    </w:r>
    <w:r w:rsidR="008D56A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56AD">
      <w:rPr>
        <w:rFonts w:asciiTheme="minorHAnsi" w:eastAsiaTheme="minorHAnsi" w:hAnsiTheme="minorHAnsi" w:cstheme="minorBidi"/>
        <w:b/>
        <w:sz w:val="22"/>
        <w:szCs w:val="22"/>
        <w:lang w:eastAsia="en-US"/>
      </w:rPr>
      <w:fldChar w:fldCharType="separate"/>
    </w:r>
    <w:r w:rsidR="004679A6">
      <w:rPr>
        <w:rFonts w:asciiTheme="minorHAnsi" w:eastAsiaTheme="minorHAnsi" w:hAnsiTheme="minorHAnsi" w:cstheme="minorBidi"/>
        <w:b/>
        <w:sz w:val="22"/>
        <w:szCs w:val="22"/>
        <w:lang w:eastAsia="en-US"/>
      </w:rPr>
      <w:fldChar w:fldCharType="begin"/>
    </w:r>
    <w:r w:rsidR="004679A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679A6">
      <w:rPr>
        <w:rFonts w:asciiTheme="minorHAnsi" w:eastAsiaTheme="minorHAnsi" w:hAnsiTheme="minorHAnsi" w:cstheme="minorBidi"/>
        <w:b/>
        <w:sz w:val="22"/>
        <w:szCs w:val="22"/>
        <w:lang w:eastAsia="en-US"/>
      </w:rPr>
      <w:fldChar w:fldCharType="separate"/>
    </w:r>
    <w:r w:rsidR="00F41AFB">
      <w:rPr>
        <w:rFonts w:asciiTheme="minorHAnsi" w:eastAsiaTheme="minorHAnsi" w:hAnsiTheme="minorHAnsi" w:cstheme="minorBidi"/>
        <w:b/>
        <w:sz w:val="22"/>
        <w:szCs w:val="22"/>
        <w:lang w:eastAsia="en-US"/>
      </w:rPr>
      <w:fldChar w:fldCharType="begin"/>
    </w:r>
    <w:r w:rsidR="00F41AF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41AFB">
      <w:rPr>
        <w:rFonts w:asciiTheme="minorHAnsi" w:eastAsiaTheme="minorHAnsi" w:hAnsiTheme="minorHAnsi" w:cstheme="minorBidi"/>
        <w:b/>
        <w:sz w:val="22"/>
        <w:szCs w:val="22"/>
        <w:lang w:eastAsia="en-US"/>
      </w:rPr>
      <w:fldChar w:fldCharType="separate"/>
    </w:r>
    <w:r w:rsidR="009464DE">
      <w:rPr>
        <w:rFonts w:asciiTheme="minorHAnsi" w:eastAsiaTheme="minorHAnsi" w:hAnsiTheme="minorHAnsi" w:cstheme="minorBidi"/>
        <w:b/>
        <w:sz w:val="22"/>
        <w:szCs w:val="22"/>
        <w:lang w:eastAsia="en-US"/>
      </w:rPr>
      <w:fldChar w:fldCharType="begin"/>
    </w:r>
    <w:r w:rsidR="009464D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464DE">
      <w:rPr>
        <w:rFonts w:asciiTheme="minorHAnsi" w:eastAsiaTheme="minorHAnsi" w:hAnsiTheme="minorHAnsi" w:cstheme="minorBidi"/>
        <w:b/>
        <w:sz w:val="22"/>
        <w:szCs w:val="22"/>
        <w:lang w:eastAsia="en-US"/>
      </w:rPr>
      <w:fldChar w:fldCharType="separate"/>
    </w:r>
    <w:r w:rsidR="00E74593">
      <w:rPr>
        <w:rFonts w:asciiTheme="minorHAnsi" w:eastAsiaTheme="minorHAnsi" w:hAnsiTheme="minorHAnsi" w:cstheme="minorBidi"/>
        <w:b/>
        <w:sz w:val="22"/>
        <w:szCs w:val="22"/>
        <w:lang w:eastAsia="en-US"/>
      </w:rPr>
      <w:fldChar w:fldCharType="begin"/>
    </w:r>
    <w:r w:rsidR="00E7459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74593">
      <w:rPr>
        <w:rFonts w:asciiTheme="minorHAnsi" w:eastAsiaTheme="minorHAnsi" w:hAnsiTheme="minorHAnsi" w:cstheme="minorBidi"/>
        <w:b/>
        <w:sz w:val="22"/>
        <w:szCs w:val="22"/>
        <w:lang w:eastAsia="en-US"/>
      </w:rPr>
      <w:fldChar w:fldCharType="separate"/>
    </w:r>
    <w:r w:rsidR="007E1E17">
      <w:rPr>
        <w:rFonts w:asciiTheme="minorHAnsi" w:eastAsiaTheme="minorHAnsi" w:hAnsiTheme="minorHAnsi" w:cstheme="minorBidi"/>
        <w:b/>
        <w:sz w:val="22"/>
        <w:szCs w:val="22"/>
        <w:lang w:eastAsia="en-US"/>
      </w:rPr>
      <w:fldChar w:fldCharType="begin"/>
    </w:r>
    <w:r w:rsidR="007E1E1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E1E17">
      <w:rPr>
        <w:rFonts w:asciiTheme="minorHAnsi" w:eastAsiaTheme="minorHAnsi" w:hAnsiTheme="minorHAnsi" w:cstheme="minorBidi"/>
        <w:b/>
        <w:sz w:val="22"/>
        <w:szCs w:val="22"/>
        <w:lang w:eastAsia="en-US"/>
      </w:rPr>
      <w:fldChar w:fldCharType="separate"/>
    </w:r>
    <w:r w:rsidR="008B604A">
      <w:rPr>
        <w:rFonts w:asciiTheme="minorHAnsi" w:eastAsiaTheme="minorHAnsi" w:hAnsiTheme="minorHAnsi" w:cstheme="minorBidi"/>
        <w:b/>
        <w:sz w:val="22"/>
        <w:szCs w:val="22"/>
        <w:lang w:eastAsia="en-US"/>
      </w:rPr>
      <w:fldChar w:fldCharType="begin"/>
    </w:r>
    <w:r w:rsidR="008B604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B604A">
      <w:rPr>
        <w:rFonts w:asciiTheme="minorHAnsi" w:eastAsiaTheme="minorHAnsi" w:hAnsiTheme="minorHAnsi" w:cstheme="minorBidi"/>
        <w:b/>
        <w:sz w:val="22"/>
        <w:szCs w:val="22"/>
        <w:lang w:eastAsia="en-US"/>
      </w:rPr>
      <w:fldChar w:fldCharType="separate"/>
    </w:r>
    <w:r w:rsidR="004A1E3F">
      <w:rPr>
        <w:rFonts w:asciiTheme="minorHAnsi" w:eastAsiaTheme="minorHAnsi" w:hAnsiTheme="minorHAnsi" w:cstheme="minorBidi"/>
        <w:b/>
        <w:sz w:val="22"/>
        <w:szCs w:val="22"/>
        <w:lang w:eastAsia="en-US"/>
      </w:rPr>
      <w:fldChar w:fldCharType="begin"/>
    </w:r>
    <w:r w:rsidR="004A1E3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4A1E3F">
      <w:rPr>
        <w:rFonts w:asciiTheme="minorHAnsi" w:eastAsiaTheme="minorHAnsi" w:hAnsiTheme="minorHAnsi" w:cstheme="minorBidi"/>
        <w:b/>
        <w:sz w:val="22"/>
        <w:szCs w:val="22"/>
        <w:lang w:eastAsia="en-US"/>
      </w:rPr>
      <w:fldChar w:fldCharType="separate"/>
    </w:r>
    <w:r w:rsidR="001F0EAE">
      <w:rPr>
        <w:rFonts w:asciiTheme="minorHAnsi" w:eastAsiaTheme="minorHAnsi" w:hAnsiTheme="minorHAnsi" w:cstheme="minorBidi"/>
        <w:b/>
        <w:sz w:val="22"/>
        <w:szCs w:val="22"/>
        <w:lang w:eastAsia="en-US"/>
      </w:rPr>
      <w:fldChar w:fldCharType="begin"/>
    </w:r>
    <w:r w:rsidR="001F0EA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1F0EAE">
      <w:rPr>
        <w:rFonts w:asciiTheme="minorHAnsi" w:eastAsiaTheme="minorHAnsi" w:hAnsiTheme="minorHAnsi" w:cstheme="minorBidi"/>
        <w:b/>
        <w:sz w:val="22"/>
        <w:szCs w:val="22"/>
        <w:lang w:eastAsia="en-US"/>
      </w:rPr>
      <w:fldChar w:fldCharType="separate"/>
    </w:r>
    <w:r w:rsidR="00066952">
      <w:rPr>
        <w:rFonts w:asciiTheme="minorHAnsi" w:eastAsiaTheme="minorHAnsi" w:hAnsiTheme="minorHAnsi" w:cstheme="minorBidi"/>
        <w:b/>
        <w:sz w:val="22"/>
        <w:szCs w:val="22"/>
        <w:lang w:eastAsia="en-US"/>
      </w:rPr>
      <w:fldChar w:fldCharType="begin"/>
    </w:r>
    <w:r w:rsidR="00066952">
      <w:rPr>
        <w:rFonts w:asciiTheme="minorHAnsi" w:eastAsiaTheme="minorHAnsi" w:hAnsiTheme="minorHAnsi" w:cstheme="minorBidi"/>
        <w:b/>
        <w:sz w:val="22"/>
        <w:szCs w:val="22"/>
        <w:lang w:eastAsia="en-US"/>
      </w:rPr>
      <w:instrText xml:space="preserve"> </w:instrText>
    </w:r>
    <w:r w:rsidR="00066952">
      <w:rPr>
        <w:rFonts w:asciiTheme="minorHAnsi" w:eastAsiaTheme="minorHAnsi" w:hAnsiTheme="minorHAnsi" w:cstheme="minorBidi"/>
        <w:b/>
        <w:sz w:val="22"/>
        <w:szCs w:val="22"/>
        <w:lang w:eastAsia="en-US"/>
      </w:rPr>
      <w:instrText>INCLUDEPICTURE  "http://entrecomillas.com.co/wp-content/uploads/2014/09/logo_20congreso_1.png" \* MERGEFORMATINET</w:instrText>
    </w:r>
    <w:r w:rsidR="00066952">
      <w:rPr>
        <w:rFonts w:asciiTheme="minorHAnsi" w:eastAsiaTheme="minorHAnsi" w:hAnsiTheme="minorHAnsi" w:cstheme="minorBidi"/>
        <w:b/>
        <w:sz w:val="22"/>
        <w:szCs w:val="22"/>
        <w:lang w:eastAsia="en-US"/>
      </w:rPr>
      <w:instrText xml:space="preserve"> </w:instrText>
    </w:r>
    <w:r w:rsidR="00066952">
      <w:rPr>
        <w:rFonts w:asciiTheme="minorHAnsi" w:eastAsiaTheme="minorHAnsi" w:hAnsiTheme="minorHAnsi" w:cstheme="minorBidi"/>
        <w:b/>
        <w:sz w:val="22"/>
        <w:szCs w:val="22"/>
        <w:lang w:eastAsia="en-US"/>
      </w:rPr>
      <w:fldChar w:fldCharType="separate"/>
    </w:r>
    <w:r w:rsidR="00066952">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066952">
      <w:rPr>
        <w:rFonts w:asciiTheme="minorHAnsi" w:eastAsiaTheme="minorHAnsi" w:hAnsiTheme="minorHAnsi" w:cstheme="minorBidi"/>
        <w:b/>
        <w:sz w:val="22"/>
        <w:szCs w:val="22"/>
        <w:lang w:eastAsia="en-US"/>
      </w:rPr>
      <w:fldChar w:fldCharType="end"/>
    </w:r>
    <w:r w:rsidR="001F0EAE">
      <w:rPr>
        <w:rFonts w:asciiTheme="minorHAnsi" w:eastAsiaTheme="minorHAnsi" w:hAnsiTheme="minorHAnsi" w:cstheme="minorBidi"/>
        <w:b/>
        <w:sz w:val="22"/>
        <w:szCs w:val="22"/>
        <w:lang w:eastAsia="en-US"/>
      </w:rPr>
      <w:fldChar w:fldCharType="end"/>
    </w:r>
    <w:r w:rsidR="004A1E3F">
      <w:rPr>
        <w:rFonts w:asciiTheme="minorHAnsi" w:eastAsiaTheme="minorHAnsi" w:hAnsiTheme="minorHAnsi" w:cstheme="minorBidi"/>
        <w:b/>
        <w:sz w:val="22"/>
        <w:szCs w:val="22"/>
        <w:lang w:eastAsia="en-US"/>
      </w:rPr>
      <w:fldChar w:fldCharType="end"/>
    </w:r>
    <w:r w:rsidR="008B604A">
      <w:rPr>
        <w:rFonts w:asciiTheme="minorHAnsi" w:eastAsiaTheme="minorHAnsi" w:hAnsiTheme="minorHAnsi" w:cstheme="minorBidi"/>
        <w:b/>
        <w:sz w:val="22"/>
        <w:szCs w:val="22"/>
        <w:lang w:eastAsia="en-US"/>
      </w:rPr>
      <w:fldChar w:fldCharType="end"/>
    </w:r>
    <w:r w:rsidR="007E1E17">
      <w:rPr>
        <w:rFonts w:asciiTheme="minorHAnsi" w:eastAsiaTheme="minorHAnsi" w:hAnsiTheme="minorHAnsi" w:cstheme="minorBidi"/>
        <w:b/>
        <w:sz w:val="22"/>
        <w:szCs w:val="22"/>
        <w:lang w:eastAsia="en-US"/>
      </w:rPr>
      <w:fldChar w:fldCharType="end"/>
    </w:r>
    <w:r w:rsidR="00E74593">
      <w:rPr>
        <w:rFonts w:asciiTheme="minorHAnsi" w:eastAsiaTheme="minorHAnsi" w:hAnsiTheme="minorHAnsi" w:cstheme="minorBidi"/>
        <w:b/>
        <w:sz w:val="22"/>
        <w:szCs w:val="22"/>
        <w:lang w:eastAsia="en-US"/>
      </w:rPr>
      <w:fldChar w:fldCharType="end"/>
    </w:r>
    <w:r w:rsidR="009464DE">
      <w:rPr>
        <w:rFonts w:asciiTheme="minorHAnsi" w:eastAsiaTheme="minorHAnsi" w:hAnsiTheme="minorHAnsi" w:cstheme="minorBidi"/>
        <w:b/>
        <w:sz w:val="22"/>
        <w:szCs w:val="22"/>
        <w:lang w:eastAsia="en-US"/>
      </w:rPr>
      <w:fldChar w:fldCharType="end"/>
    </w:r>
    <w:r w:rsidR="00F41AFB">
      <w:rPr>
        <w:rFonts w:asciiTheme="minorHAnsi" w:eastAsiaTheme="minorHAnsi" w:hAnsiTheme="minorHAnsi" w:cstheme="minorBidi"/>
        <w:b/>
        <w:sz w:val="22"/>
        <w:szCs w:val="22"/>
        <w:lang w:eastAsia="en-US"/>
      </w:rPr>
      <w:fldChar w:fldCharType="end"/>
    </w:r>
    <w:r w:rsidR="004679A6">
      <w:rPr>
        <w:rFonts w:asciiTheme="minorHAnsi" w:eastAsiaTheme="minorHAnsi" w:hAnsiTheme="minorHAnsi" w:cstheme="minorBidi"/>
        <w:b/>
        <w:sz w:val="22"/>
        <w:szCs w:val="22"/>
        <w:lang w:eastAsia="en-US"/>
      </w:rPr>
      <w:fldChar w:fldCharType="end"/>
    </w:r>
    <w:r w:rsidR="008D56AD">
      <w:rPr>
        <w:rFonts w:asciiTheme="minorHAnsi" w:eastAsiaTheme="minorHAnsi" w:hAnsiTheme="minorHAnsi" w:cstheme="minorBidi"/>
        <w:b/>
        <w:sz w:val="22"/>
        <w:szCs w:val="22"/>
        <w:lang w:eastAsia="en-US"/>
      </w:rPr>
      <w:fldChar w:fldCharType="end"/>
    </w:r>
    <w:r w:rsidR="00FE1416">
      <w:rPr>
        <w:rFonts w:asciiTheme="minorHAnsi" w:eastAsiaTheme="minorHAnsi" w:hAnsiTheme="minorHAnsi" w:cstheme="minorBidi"/>
        <w:b/>
        <w:sz w:val="22"/>
        <w:szCs w:val="22"/>
        <w:lang w:eastAsia="en-US"/>
      </w:rPr>
      <w:fldChar w:fldCharType="end"/>
    </w:r>
    <w:r w:rsidR="00035DB4">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0"/>
  </w:num>
  <w:num w:numId="4">
    <w:abstractNumId w:val="9"/>
  </w:num>
  <w:num w:numId="5">
    <w:abstractNumId w:val="2"/>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12"/>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6255"/>
    <w:rsid w:val="00013AAF"/>
    <w:rsid w:val="00031036"/>
    <w:rsid w:val="00035DB4"/>
    <w:rsid w:val="0005144B"/>
    <w:rsid w:val="00066952"/>
    <w:rsid w:val="00074DA5"/>
    <w:rsid w:val="00081104"/>
    <w:rsid w:val="000860A8"/>
    <w:rsid w:val="000A0CD1"/>
    <w:rsid w:val="000B2E5D"/>
    <w:rsid w:val="000C5AFA"/>
    <w:rsid w:val="000D2028"/>
    <w:rsid w:val="000D5665"/>
    <w:rsid w:val="000E11DA"/>
    <w:rsid w:val="000E1F45"/>
    <w:rsid w:val="000F1651"/>
    <w:rsid w:val="000F4D00"/>
    <w:rsid w:val="0010003D"/>
    <w:rsid w:val="00100AFC"/>
    <w:rsid w:val="001030E1"/>
    <w:rsid w:val="0011738D"/>
    <w:rsid w:val="00146EBC"/>
    <w:rsid w:val="001511DD"/>
    <w:rsid w:val="001521A8"/>
    <w:rsid w:val="00187988"/>
    <w:rsid w:val="001A6175"/>
    <w:rsid w:val="001A75DA"/>
    <w:rsid w:val="001C7352"/>
    <w:rsid w:val="001E03FB"/>
    <w:rsid w:val="001F0EAE"/>
    <w:rsid w:val="001F16D5"/>
    <w:rsid w:val="001F3862"/>
    <w:rsid w:val="001F68F1"/>
    <w:rsid w:val="002006D9"/>
    <w:rsid w:val="00202B64"/>
    <w:rsid w:val="0020330E"/>
    <w:rsid w:val="00203789"/>
    <w:rsid w:val="0023460F"/>
    <w:rsid w:val="00244CBE"/>
    <w:rsid w:val="00245EF6"/>
    <w:rsid w:val="00260111"/>
    <w:rsid w:val="00260ADD"/>
    <w:rsid w:val="002728AC"/>
    <w:rsid w:val="00280C0A"/>
    <w:rsid w:val="002B0F16"/>
    <w:rsid w:val="002C49E5"/>
    <w:rsid w:val="0030009B"/>
    <w:rsid w:val="00300E54"/>
    <w:rsid w:val="003015FF"/>
    <w:rsid w:val="00304565"/>
    <w:rsid w:val="00320504"/>
    <w:rsid w:val="00341041"/>
    <w:rsid w:val="00350573"/>
    <w:rsid w:val="00356691"/>
    <w:rsid w:val="00360667"/>
    <w:rsid w:val="00367C96"/>
    <w:rsid w:val="003B52EB"/>
    <w:rsid w:val="003C1552"/>
    <w:rsid w:val="003E4041"/>
    <w:rsid w:val="00400E1B"/>
    <w:rsid w:val="00403776"/>
    <w:rsid w:val="0041326F"/>
    <w:rsid w:val="00430B9E"/>
    <w:rsid w:val="00435756"/>
    <w:rsid w:val="00436226"/>
    <w:rsid w:val="00443039"/>
    <w:rsid w:val="004455B7"/>
    <w:rsid w:val="00450CAB"/>
    <w:rsid w:val="004570F3"/>
    <w:rsid w:val="004679A6"/>
    <w:rsid w:val="00484D98"/>
    <w:rsid w:val="004A1E3F"/>
    <w:rsid w:val="004A46C3"/>
    <w:rsid w:val="004C57AF"/>
    <w:rsid w:val="004C5F9B"/>
    <w:rsid w:val="004C7323"/>
    <w:rsid w:val="004D3EA4"/>
    <w:rsid w:val="00523D7D"/>
    <w:rsid w:val="00533BDF"/>
    <w:rsid w:val="00547EE8"/>
    <w:rsid w:val="00553D1D"/>
    <w:rsid w:val="005602E9"/>
    <w:rsid w:val="00561360"/>
    <w:rsid w:val="0058017D"/>
    <w:rsid w:val="005852FD"/>
    <w:rsid w:val="005A01D3"/>
    <w:rsid w:val="005A1FEB"/>
    <w:rsid w:val="005A72CD"/>
    <w:rsid w:val="005B701D"/>
    <w:rsid w:val="005F01E5"/>
    <w:rsid w:val="00621388"/>
    <w:rsid w:val="00622E04"/>
    <w:rsid w:val="00631F20"/>
    <w:rsid w:val="006435A1"/>
    <w:rsid w:val="006671B2"/>
    <w:rsid w:val="00667246"/>
    <w:rsid w:val="006675D4"/>
    <w:rsid w:val="00683103"/>
    <w:rsid w:val="0069721B"/>
    <w:rsid w:val="0069782E"/>
    <w:rsid w:val="006B0D71"/>
    <w:rsid w:val="006C402A"/>
    <w:rsid w:val="006D1C87"/>
    <w:rsid w:val="006E3DDA"/>
    <w:rsid w:val="006F26BD"/>
    <w:rsid w:val="00702112"/>
    <w:rsid w:val="0070253E"/>
    <w:rsid w:val="00704A60"/>
    <w:rsid w:val="00707184"/>
    <w:rsid w:val="007148A4"/>
    <w:rsid w:val="00721011"/>
    <w:rsid w:val="007351D4"/>
    <w:rsid w:val="00736795"/>
    <w:rsid w:val="00737AA3"/>
    <w:rsid w:val="00747D8F"/>
    <w:rsid w:val="007620B1"/>
    <w:rsid w:val="007757FA"/>
    <w:rsid w:val="00775BB4"/>
    <w:rsid w:val="00782721"/>
    <w:rsid w:val="007A02A2"/>
    <w:rsid w:val="007D0898"/>
    <w:rsid w:val="007D5DEE"/>
    <w:rsid w:val="007D6ABE"/>
    <w:rsid w:val="007E1E17"/>
    <w:rsid w:val="007E59BA"/>
    <w:rsid w:val="007E632C"/>
    <w:rsid w:val="007F2B32"/>
    <w:rsid w:val="007F49CC"/>
    <w:rsid w:val="00800527"/>
    <w:rsid w:val="008034BF"/>
    <w:rsid w:val="00813DE3"/>
    <w:rsid w:val="008164F2"/>
    <w:rsid w:val="00820418"/>
    <w:rsid w:val="00827ED0"/>
    <w:rsid w:val="008329E7"/>
    <w:rsid w:val="0084028F"/>
    <w:rsid w:val="00847969"/>
    <w:rsid w:val="00847F37"/>
    <w:rsid w:val="008515B2"/>
    <w:rsid w:val="00870441"/>
    <w:rsid w:val="00875AD9"/>
    <w:rsid w:val="00885008"/>
    <w:rsid w:val="008A0533"/>
    <w:rsid w:val="008A4C20"/>
    <w:rsid w:val="008B139D"/>
    <w:rsid w:val="008B604A"/>
    <w:rsid w:val="008C5282"/>
    <w:rsid w:val="008D1A49"/>
    <w:rsid w:val="008D56AD"/>
    <w:rsid w:val="008E5B07"/>
    <w:rsid w:val="008F6E8C"/>
    <w:rsid w:val="00903E93"/>
    <w:rsid w:val="0092120F"/>
    <w:rsid w:val="0094293F"/>
    <w:rsid w:val="009464DE"/>
    <w:rsid w:val="009617EC"/>
    <w:rsid w:val="00974D08"/>
    <w:rsid w:val="009759B2"/>
    <w:rsid w:val="00984A4E"/>
    <w:rsid w:val="00984BD8"/>
    <w:rsid w:val="00994B7C"/>
    <w:rsid w:val="009A213F"/>
    <w:rsid w:val="009B249E"/>
    <w:rsid w:val="009D4FE0"/>
    <w:rsid w:val="009D798E"/>
    <w:rsid w:val="009E0B0F"/>
    <w:rsid w:val="009E24F3"/>
    <w:rsid w:val="009E58D6"/>
    <w:rsid w:val="009F330D"/>
    <w:rsid w:val="009F7E9D"/>
    <w:rsid w:val="00A364C4"/>
    <w:rsid w:val="00A9096A"/>
    <w:rsid w:val="00AA4708"/>
    <w:rsid w:val="00AB5672"/>
    <w:rsid w:val="00AC2757"/>
    <w:rsid w:val="00AC6158"/>
    <w:rsid w:val="00AD4509"/>
    <w:rsid w:val="00AD6EE4"/>
    <w:rsid w:val="00AF2658"/>
    <w:rsid w:val="00AF2BDA"/>
    <w:rsid w:val="00B0358A"/>
    <w:rsid w:val="00B1511A"/>
    <w:rsid w:val="00B22B3F"/>
    <w:rsid w:val="00B23AC1"/>
    <w:rsid w:val="00B32080"/>
    <w:rsid w:val="00B47D3D"/>
    <w:rsid w:val="00B61595"/>
    <w:rsid w:val="00B63E87"/>
    <w:rsid w:val="00B730EE"/>
    <w:rsid w:val="00B73531"/>
    <w:rsid w:val="00B755B3"/>
    <w:rsid w:val="00B7732F"/>
    <w:rsid w:val="00B904D5"/>
    <w:rsid w:val="00B91956"/>
    <w:rsid w:val="00BA003C"/>
    <w:rsid w:val="00BA140B"/>
    <w:rsid w:val="00BA1700"/>
    <w:rsid w:val="00BA37EC"/>
    <w:rsid w:val="00BB0401"/>
    <w:rsid w:val="00BB2977"/>
    <w:rsid w:val="00BC38F6"/>
    <w:rsid w:val="00BC3FC3"/>
    <w:rsid w:val="00BC74FC"/>
    <w:rsid w:val="00BD3556"/>
    <w:rsid w:val="00BE672B"/>
    <w:rsid w:val="00C10F75"/>
    <w:rsid w:val="00C14F9F"/>
    <w:rsid w:val="00C159E1"/>
    <w:rsid w:val="00C15B7F"/>
    <w:rsid w:val="00C24A4A"/>
    <w:rsid w:val="00C65535"/>
    <w:rsid w:val="00C709AD"/>
    <w:rsid w:val="00C7399A"/>
    <w:rsid w:val="00C74EDE"/>
    <w:rsid w:val="00C81C61"/>
    <w:rsid w:val="00C93542"/>
    <w:rsid w:val="00CA1660"/>
    <w:rsid w:val="00CA4D7F"/>
    <w:rsid w:val="00CD0599"/>
    <w:rsid w:val="00CE2FDE"/>
    <w:rsid w:val="00CE744E"/>
    <w:rsid w:val="00CF1380"/>
    <w:rsid w:val="00CF2D1F"/>
    <w:rsid w:val="00D06B20"/>
    <w:rsid w:val="00D2780A"/>
    <w:rsid w:val="00D435A5"/>
    <w:rsid w:val="00D44913"/>
    <w:rsid w:val="00D51505"/>
    <w:rsid w:val="00D56938"/>
    <w:rsid w:val="00D5698E"/>
    <w:rsid w:val="00D70A28"/>
    <w:rsid w:val="00D973A7"/>
    <w:rsid w:val="00DB40B9"/>
    <w:rsid w:val="00DE64F7"/>
    <w:rsid w:val="00DE7131"/>
    <w:rsid w:val="00E22734"/>
    <w:rsid w:val="00E2551E"/>
    <w:rsid w:val="00E26DB5"/>
    <w:rsid w:val="00E406D0"/>
    <w:rsid w:val="00E42587"/>
    <w:rsid w:val="00E53287"/>
    <w:rsid w:val="00E74593"/>
    <w:rsid w:val="00E82DB8"/>
    <w:rsid w:val="00E87F62"/>
    <w:rsid w:val="00E96BED"/>
    <w:rsid w:val="00EA68BB"/>
    <w:rsid w:val="00EB1A11"/>
    <w:rsid w:val="00EC6950"/>
    <w:rsid w:val="00ED1AEC"/>
    <w:rsid w:val="00F00734"/>
    <w:rsid w:val="00F01714"/>
    <w:rsid w:val="00F029CD"/>
    <w:rsid w:val="00F051A0"/>
    <w:rsid w:val="00F0586B"/>
    <w:rsid w:val="00F17664"/>
    <w:rsid w:val="00F41AFB"/>
    <w:rsid w:val="00F61786"/>
    <w:rsid w:val="00F6408D"/>
    <w:rsid w:val="00F65EC5"/>
    <w:rsid w:val="00F71B30"/>
    <w:rsid w:val="00F766E8"/>
    <w:rsid w:val="00F87245"/>
    <w:rsid w:val="00F9746C"/>
    <w:rsid w:val="00FB6792"/>
    <w:rsid w:val="00FC6079"/>
    <w:rsid w:val="00FD0AEA"/>
    <w:rsid w:val="00FE1416"/>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paragraph" w:customStyle="1" w:styleId="paragraph">
    <w:name w:val="paragraph"/>
    <w:basedOn w:val="Normal"/>
    <w:rsid w:val="00484D98"/>
    <w:pPr>
      <w:spacing w:before="100" w:beforeAutospacing="1" w:after="100" w:afterAutospacing="1"/>
    </w:pPr>
  </w:style>
  <w:style w:type="character" w:customStyle="1" w:styleId="eop">
    <w:name w:val="eop"/>
    <w:basedOn w:val="Fuentedeprrafopredeter"/>
    <w:rsid w:val="00484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7668B-D8A9-42C5-AD46-34651FE0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922</Words>
  <Characters>5071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3</cp:revision>
  <cp:lastPrinted>2018-11-02T17:24:00Z</cp:lastPrinted>
  <dcterms:created xsi:type="dcterms:W3CDTF">2018-11-02T17:13:00Z</dcterms:created>
  <dcterms:modified xsi:type="dcterms:W3CDTF">2018-11-02T17:28:00Z</dcterms:modified>
</cp:coreProperties>
</file>