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EE" w:rsidRDefault="00741FB7" w:rsidP="00741FB7">
      <w:pPr>
        <w:tabs>
          <w:tab w:val="left" w:pos="5820"/>
        </w:tabs>
        <w:spacing w:after="0" w:line="240" w:lineRule="auto"/>
        <w:jc w:val="center"/>
        <w:rPr>
          <w:rFonts w:ascii="Century Gothic" w:eastAsia="Century Gothic" w:hAnsi="Century Gothic" w:cs="Century Gothic"/>
          <w:b/>
        </w:rPr>
      </w:pPr>
      <w:r>
        <w:rPr>
          <w:rFonts w:ascii="Century Gothic" w:eastAsia="Century Gothic" w:hAnsi="Century Gothic" w:cs="Century Gothic"/>
          <w:b/>
        </w:rPr>
        <w:t>PONENCIA PARA PRIMER DEBATE AL PROYECTO DE ACTO LEGISLATIVO 186 DE 2018 CÁMARA “POR EL CUAL SE MODIFICAN LOS ARTÍCULOS 328 Y 356 DE LA CONSTITUCIÓN POLÍTICA OTORGÁNDOLE AL MUNICIPIO DE IBAGUÉ (TOLIMA) EL CARÁCTER DE DISTRITO ESPECIAL, CULTURA Y MUSICAL”</w:t>
      </w:r>
    </w:p>
    <w:p w:rsidR="00DC46EE" w:rsidRDefault="00DC46EE">
      <w:pPr>
        <w:tabs>
          <w:tab w:val="left" w:pos="5820"/>
        </w:tabs>
        <w:spacing w:after="0" w:line="240" w:lineRule="auto"/>
        <w:rPr>
          <w:rFonts w:ascii="Century Gothic" w:eastAsia="Century Gothic" w:hAnsi="Century Gothic" w:cs="Century Gothic"/>
          <w:b/>
        </w:rPr>
      </w:pPr>
      <w:bookmarkStart w:id="0" w:name="_GoBack"/>
      <w:bookmarkEnd w:id="0"/>
    </w:p>
    <w:p w:rsidR="00DC46EE" w:rsidRDefault="00741FB7">
      <w:pPr>
        <w:tabs>
          <w:tab w:val="left" w:pos="5820"/>
        </w:tabs>
        <w:spacing w:after="0" w:line="240" w:lineRule="auto"/>
        <w:rPr>
          <w:rFonts w:ascii="Century Gothic" w:eastAsia="Century Gothic" w:hAnsi="Century Gothic" w:cs="Century Gothic"/>
        </w:rPr>
      </w:pPr>
      <w:r>
        <w:rPr>
          <w:rFonts w:ascii="Century Gothic" w:eastAsia="Century Gothic" w:hAnsi="Century Gothic" w:cs="Century Gothic"/>
        </w:rPr>
        <w:t>Bogotá D.C, 24 de octubre de 2018</w:t>
      </w:r>
    </w:p>
    <w:p w:rsidR="00DC46EE" w:rsidRDefault="00DC46EE">
      <w:pPr>
        <w:tabs>
          <w:tab w:val="left" w:pos="5820"/>
        </w:tabs>
        <w:spacing w:after="0" w:line="240" w:lineRule="auto"/>
        <w:rPr>
          <w:rFonts w:ascii="Century Gothic" w:eastAsia="Century Gothic" w:hAnsi="Century Gothic" w:cs="Century Gothic"/>
        </w:rPr>
      </w:pPr>
    </w:p>
    <w:p w:rsidR="00DC46EE" w:rsidRDefault="00DC46EE">
      <w:pPr>
        <w:tabs>
          <w:tab w:val="left" w:pos="5820"/>
        </w:tabs>
        <w:spacing w:after="0" w:line="240" w:lineRule="auto"/>
        <w:rPr>
          <w:rFonts w:ascii="Century Gothic" w:eastAsia="Century Gothic" w:hAnsi="Century Gothic" w:cs="Century Gothic"/>
        </w:rPr>
      </w:pP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 xml:space="preserve">Doctora </w:t>
      </w: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AMPARO YANETH CALDERON PERDOMO</w:t>
      </w: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Secretaria</w:t>
      </w: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 xml:space="preserve">Comisión Primera Constitucional  </w:t>
      </w:r>
    </w:p>
    <w:p w:rsidR="00DC46EE" w:rsidRDefault="00741FB7">
      <w:pPr>
        <w:tabs>
          <w:tab w:val="left" w:pos="5820"/>
        </w:tabs>
        <w:spacing w:after="0" w:line="240" w:lineRule="auto"/>
        <w:rPr>
          <w:rFonts w:ascii="Century Gothic" w:eastAsia="Century Gothic" w:hAnsi="Century Gothic" w:cs="Century Gothic"/>
        </w:rPr>
      </w:pPr>
      <w:r>
        <w:rPr>
          <w:rFonts w:ascii="Century Gothic" w:eastAsia="Century Gothic" w:hAnsi="Century Gothic" w:cs="Century Gothic"/>
        </w:rPr>
        <w:t xml:space="preserve">Cámara de Representantes </w:t>
      </w:r>
    </w:p>
    <w:p w:rsidR="00DC46EE" w:rsidRDefault="00741FB7">
      <w:pPr>
        <w:tabs>
          <w:tab w:val="left" w:pos="5820"/>
        </w:tabs>
        <w:spacing w:after="0" w:line="240" w:lineRule="auto"/>
        <w:rPr>
          <w:rFonts w:ascii="Century Gothic" w:eastAsia="Century Gothic" w:hAnsi="Century Gothic" w:cs="Century Gothic"/>
        </w:rPr>
      </w:pPr>
      <w:r>
        <w:rPr>
          <w:rFonts w:ascii="Century Gothic" w:eastAsia="Century Gothic" w:hAnsi="Century Gothic" w:cs="Century Gothic"/>
        </w:rPr>
        <w:t>Ciudad</w:t>
      </w:r>
    </w:p>
    <w:p w:rsidR="00DC46EE" w:rsidRDefault="00DC46EE">
      <w:pPr>
        <w:tabs>
          <w:tab w:val="left" w:pos="5820"/>
        </w:tabs>
        <w:spacing w:after="0" w:line="240" w:lineRule="auto"/>
        <w:rPr>
          <w:rFonts w:ascii="Century Gothic" w:eastAsia="Century Gothic" w:hAnsi="Century Gothic" w:cs="Century Gothic"/>
          <w:b/>
        </w:rPr>
      </w:pPr>
    </w:p>
    <w:p w:rsidR="00DC46EE" w:rsidRDefault="00DC46EE">
      <w:pPr>
        <w:tabs>
          <w:tab w:val="left" w:pos="5820"/>
        </w:tabs>
        <w:spacing w:after="0" w:line="240" w:lineRule="auto"/>
        <w:rPr>
          <w:rFonts w:ascii="Century Gothic" w:eastAsia="Century Gothic" w:hAnsi="Century Gothic" w:cs="Century Gothic"/>
          <w:b/>
        </w:rPr>
      </w:pPr>
    </w:p>
    <w:p w:rsidR="00DC46EE" w:rsidRDefault="00741FB7">
      <w:p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b/>
        </w:rPr>
        <w:t xml:space="preserve">Referencia: </w:t>
      </w:r>
      <w:r>
        <w:rPr>
          <w:rFonts w:ascii="Century Gothic" w:eastAsia="Century Gothic" w:hAnsi="Century Gothic" w:cs="Century Gothic"/>
        </w:rPr>
        <w:t>Informe de ponencia positiva para primer debate al proyecto de Acto Legislativo  No. 1</w:t>
      </w:r>
      <w:r>
        <w:rPr>
          <w:rFonts w:ascii="Century Gothic" w:eastAsia="Century Gothic" w:hAnsi="Century Gothic" w:cs="Century Gothic"/>
        </w:rPr>
        <w:t>86 de 2018 Cámara</w:t>
      </w:r>
      <w:r>
        <w:rPr>
          <w:rFonts w:ascii="Century Gothic" w:eastAsia="Century Gothic" w:hAnsi="Century Gothic" w:cs="Century Gothic"/>
          <w:b/>
        </w:rPr>
        <w:t xml:space="preserve"> </w:t>
      </w:r>
      <w:r>
        <w:rPr>
          <w:rFonts w:ascii="Century Gothic" w:eastAsia="Century Gothic" w:hAnsi="Century Gothic" w:cs="Century Gothic"/>
        </w:rPr>
        <w:t>“Por el cual se modifican los artículos 328 y 356 de la Constitución Política otorgándole al municipio de Ibagué (Tolima) el carácter de distrito especial, cultura y musical”</w:t>
      </w:r>
    </w:p>
    <w:p w:rsidR="00DC46EE" w:rsidRDefault="00DC46EE">
      <w:pPr>
        <w:tabs>
          <w:tab w:val="left" w:pos="5820"/>
        </w:tabs>
        <w:spacing w:after="0" w:line="240" w:lineRule="auto"/>
        <w:jc w:val="right"/>
        <w:rPr>
          <w:rFonts w:ascii="Century Gothic" w:eastAsia="Century Gothic" w:hAnsi="Century Gothic" w:cs="Century Gothic"/>
        </w:rPr>
      </w:pPr>
    </w:p>
    <w:p w:rsidR="00DC46EE" w:rsidRDefault="00DC46EE">
      <w:pPr>
        <w:tabs>
          <w:tab w:val="left" w:pos="5820"/>
        </w:tabs>
        <w:spacing w:after="0" w:line="240" w:lineRule="auto"/>
        <w:jc w:val="right"/>
        <w:rPr>
          <w:rFonts w:ascii="Century Gothic" w:eastAsia="Century Gothic" w:hAnsi="Century Gothic" w:cs="Century Gothic"/>
        </w:rPr>
      </w:pPr>
    </w:p>
    <w:p w:rsidR="00DC46EE" w:rsidRDefault="00741FB7">
      <w:pPr>
        <w:shd w:val="clear" w:color="auto" w:fill="FFFFFF"/>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Honorables Representantes:</w:t>
      </w:r>
    </w:p>
    <w:p w:rsidR="00DC46EE" w:rsidRDefault="00DC46EE">
      <w:pPr>
        <w:shd w:val="clear" w:color="auto" w:fill="FFFFFF"/>
        <w:spacing w:after="0" w:line="240" w:lineRule="auto"/>
        <w:rPr>
          <w:rFonts w:ascii="Century Gothic" w:eastAsia="Century Gothic" w:hAnsi="Century Gothic" w:cs="Century Gothic"/>
          <w:color w:val="000000"/>
        </w:rPr>
      </w:pPr>
    </w:p>
    <w:p w:rsidR="00DC46EE" w:rsidRDefault="00741FB7">
      <w:pPr>
        <w:tabs>
          <w:tab w:val="left" w:pos="5820"/>
        </w:tabs>
        <w:spacing w:after="0" w:line="240" w:lineRule="auto"/>
        <w:jc w:val="both"/>
        <w:rPr>
          <w:rFonts w:ascii="Century Gothic" w:eastAsia="Century Gothic" w:hAnsi="Century Gothic" w:cs="Century Gothic"/>
          <w:b/>
        </w:rPr>
      </w:pPr>
      <w:r>
        <w:rPr>
          <w:rFonts w:ascii="Century Gothic" w:eastAsia="Century Gothic" w:hAnsi="Century Gothic" w:cs="Century Gothic"/>
          <w:color w:val="000000"/>
        </w:rPr>
        <w:t>En cumplimiento de la designación</w:t>
      </w:r>
      <w:r>
        <w:rPr>
          <w:rFonts w:ascii="Century Gothic" w:eastAsia="Century Gothic" w:hAnsi="Century Gothic" w:cs="Century Gothic"/>
          <w:color w:val="000000"/>
        </w:rPr>
        <w:t xml:space="preserve"> como ponente realizada por la Honorable Mesa Directiva de la Comisión Primera Constitucional Permanente de la Cámara de Representantes, y según lo establecido en el artículo 150 de la Ley 5ª de 1992, sometemos a consideración de los Honorables Representan</w:t>
      </w:r>
      <w:r>
        <w:rPr>
          <w:rFonts w:ascii="Century Gothic" w:eastAsia="Century Gothic" w:hAnsi="Century Gothic" w:cs="Century Gothic"/>
          <w:color w:val="000000"/>
        </w:rPr>
        <w:t xml:space="preserve">tes el informe de ponencia para primer debate del Proyecto de Acto Legislativo No. 186 de 2018 Cámara </w:t>
      </w:r>
      <w:r>
        <w:rPr>
          <w:rFonts w:ascii="Century Gothic" w:eastAsia="Century Gothic" w:hAnsi="Century Gothic" w:cs="Century Gothic"/>
          <w:i/>
          <w:color w:val="000000"/>
        </w:rPr>
        <w:t>“</w:t>
      </w:r>
      <w:r>
        <w:rPr>
          <w:rFonts w:ascii="Century Gothic" w:eastAsia="Century Gothic" w:hAnsi="Century Gothic" w:cs="Century Gothic"/>
          <w:b/>
        </w:rPr>
        <w:t>Por el cual se modifican los artículos 328 y 356 de la Constitución Política otorgándole al municipio de Ibagué (Tolima) el carácter de distrito especial</w:t>
      </w:r>
      <w:r>
        <w:rPr>
          <w:rFonts w:ascii="Century Gothic" w:eastAsia="Century Gothic" w:hAnsi="Century Gothic" w:cs="Century Gothic"/>
          <w:b/>
        </w:rPr>
        <w:t>, cultural y musical”.</w:t>
      </w:r>
    </w:p>
    <w:p w:rsidR="008226CE" w:rsidRDefault="008226CE">
      <w:pPr>
        <w:tabs>
          <w:tab w:val="left" w:pos="5820"/>
        </w:tabs>
        <w:spacing w:after="0" w:line="240" w:lineRule="auto"/>
        <w:jc w:val="both"/>
        <w:rPr>
          <w:rFonts w:ascii="Century Gothic" w:eastAsia="Century Gothic" w:hAnsi="Century Gothic" w:cs="Century Gothic"/>
          <w:b/>
        </w:rPr>
      </w:pPr>
    </w:p>
    <w:p w:rsidR="008226CE" w:rsidRDefault="008226CE">
      <w:pPr>
        <w:tabs>
          <w:tab w:val="left" w:pos="5820"/>
        </w:tabs>
        <w:spacing w:after="0" w:line="240" w:lineRule="auto"/>
        <w:jc w:val="both"/>
        <w:rPr>
          <w:rFonts w:ascii="Century Gothic" w:eastAsia="Century Gothic" w:hAnsi="Century Gothic" w:cs="Century Gothic"/>
          <w:b/>
        </w:rPr>
      </w:pPr>
      <w:r>
        <w:rPr>
          <w:rFonts w:ascii="Century Gothic" w:eastAsia="Century Gothic" w:hAnsi="Century Gothic" w:cs="Century Gothic"/>
          <w:b/>
        </w:rPr>
        <w:t xml:space="preserve">La ponencia cuenta de ocho (8) títulos, así: </w:t>
      </w:r>
    </w:p>
    <w:p w:rsidR="008226CE" w:rsidRDefault="008226CE">
      <w:pPr>
        <w:tabs>
          <w:tab w:val="left" w:pos="5820"/>
        </w:tabs>
        <w:spacing w:after="0" w:line="240" w:lineRule="auto"/>
        <w:jc w:val="both"/>
        <w:rPr>
          <w:rFonts w:ascii="Century Gothic" w:eastAsia="Century Gothic" w:hAnsi="Century Gothic" w:cs="Century Gothic"/>
          <w:b/>
        </w:rPr>
      </w:pPr>
    </w:p>
    <w:p w:rsidR="008226CE" w:rsidRDefault="008226CE" w:rsidP="008226CE">
      <w:pPr>
        <w:pStyle w:val="Prrafodelista"/>
        <w:numPr>
          <w:ilvl w:val="0"/>
          <w:numId w:val="3"/>
        </w:num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Trámite de la Iniciativa</w:t>
      </w:r>
    </w:p>
    <w:p w:rsidR="008226CE" w:rsidRDefault="008226CE" w:rsidP="008226CE">
      <w:pPr>
        <w:pStyle w:val="Prrafodelista"/>
        <w:numPr>
          <w:ilvl w:val="0"/>
          <w:numId w:val="3"/>
        </w:num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Objeto del Proyecto de Acto Legislativo</w:t>
      </w:r>
    </w:p>
    <w:p w:rsidR="008226CE" w:rsidRDefault="008226CE" w:rsidP="008226CE">
      <w:pPr>
        <w:pStyle w:val="Prrafodelista"/>
        <w:numPr>
          <w:ilvl w:val="0"/>
          <w:numId w:val="3"/>
        </w:num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Justificación</w:t>
      </w:r>
    </w:p>
    <w:p w:rsidR="008226CE" w:rsidRDefault="008226CE" w:rsidP="008226CE">
      <w:pPr>
        <w:pStyle w:val="Prrafodelista"/>
        <w:numPr>
          <w:ilvl w:val="0"/>
          <w:numId w:val="3"/>
        </w:num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Antecedentes y consideraciones</w:t>
      </w:r>
    </w:p>
    <w:p w:rsidR="008226CE" w:rsidRDefault="008226CE" w:rsidP="008226CE">
      <w:pPr>
        <w:pStyle w:val="Prrafodelista"/>
        <w:numPr>
          <w:ilvl w:val="0"/>
          <w:numId w:val="3"/>
        </w:num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Justificación Económica y Social </w:t>
      </w:r>
    </w:p>
    <w:p w:rsidR="008226CE" w:rsidRDefault="008226CE" w:rsidP="008226CE">
      <w:pPr>
        <w:pStyle w:val="Prrafodelista"/>
        <w:numPr>
          <w:ilvl w:val="0"/>
          <w:numId w:val="3"/>
        </w:numPr>
        <w:tabs>
          <w:tab w:val="left" w:pos="5820"/>
        </w:tabs>
        <w:spacing w:after="0" w:line="240" w:lineRule="auto"/>
        <w:jc w:val="both"/>
        <w:rPr>
          <w:rFonts w:ascii="Century Gothic" w:eastAsia="Century Gothic" w:hAnsi="Century Gothic" w:cs="Century Gothic"/>
        </w:rPr>
      </w:pPr>
      <w:r w:rsidRPr="008226CE">
        <w:rPr>
          <w:rFonts w:ascii="Century Gothic" w:eastAsia="Century Gothic" w:hAnsi="Century Gothic" w:cs="Century Gothic"/>
        </w:rPr>
        <w:t>Soporte normativo y jurisprudencial del proyecto de acto legislativo</w:t>
      </w:r>
    </w:p>
    <w:p w:rsidR="008226CE" w:rsidRDefault="008226CE" w:rsidP="008226CE">
      <w:pPr>
        <w:pStyle w:val="Prrafodelista"/>
        <w:numPr>
          <w:ilvl w:val="0"/>
          <w:numId w:val="3"/>
        </w:num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Normas que se proponen modificar</w:t>
      </w:r>
    </w:p>
    <w:p w:rsidR="008226CE" w:rsidRDefault="008226CE" w:rsidP="008226CE">
      <w:pPr>
        <w:pStyle w:val="Prrafodelista"/>
        <w:numPr>
          <w:ilvl w:val="0"/>
          <w:numId w:val="3"/>
        </w:num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Proposición</w:t>
      </w:r>
    </w:p>
    <w:p w:rsidR="00A05651" w:rsidRPr="008226CE" w:rsidRDefault="00A05651" w:rsidP="00A05651">
      <w:pPr>
        <w:pStyle w:val="Prrafodelista"/>
        <w:tabs>
          <w:tab w:val="left" w:pos="5820"/>
        </w:tabs>
        <w:spacing w:after="0" w:line="240" w:lineRule="auto"/>
        <w:ind w:left="1080"/>
        <w:jc w:val="both"/>
        <w:rPr>
          <w:rFonts w:ascii="Century Gothic" w:eastAsia="Century Gothic" w:hAnsi="Century Gothic" w:cs="Century Gothic"/>
        </w:rPr>
      </w:pP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I. TRÁMITE DE LA INICIATIVA</w:t>
      </w:r>
    </w:p>
    <w:p w:rsidR="00DC46EE" w:rsidRDefault="00DC46EE">
      <w:pPr>
        <w:tabs>
          <w:tab w:val="left" w:pos="5820"/>
        </w:tabs>
        <w:spacing w:after="0" w:line="240" w:lineRule="auto"/>
        <w:rPr>
          <w:rFonts w:ascii="Century Gothic" w:eastAsia="Century Gothic" w:hAnsi="Century Gothic" w:cs="Century Gothic"/>
        </w:rPr>
      </w:pPr>
    </w:p>
    <w:p w:rsidR="00DC46EE" w:rsidRDefault="00741FB7">
      <w:p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La presente iniciativa fue radicada el pasado 2 de octubre de 2018 por  la H.S. Ana Paola Agudelo García; el H.S. Jonatan Tamayo Pérez; la H.S. María Fernanda Cabal Molina , el H.S. Miguel Ángel Barreto Castillo; el H.R. Ricardo Alfonso Ferro Lozano , el H</w:t>
      </w:r>
      <w:r>
        <w:rPr>
          <w:rFonts w:ascii="Century Gothic" w:eastAsia="Century Gothic" w:hAnsi="Century Gothic" w:cs="Century Gothic"/>
        </w:rPr>
        <w:t xml:space="preserve">.R. Aquileo Medina Arteaga; el H.R. Ángel María Gaitán Pulido; el H.R. Jaime Armando Yepes Martínez; el H.R. Juan Fernando Espinal Ramírez;  el H.R. </w:t>
      </w:r>
      <w:r>
        <w:rPr>
          <w:rFonts w:ascii="Century Gothic" w:eastAsia="Century Gothic" w:hAnsi="Century Gothic" w:cs="Century Gothic"/>
        </w:rPr>
        <w:lastRenderedPageBreak/>
        <w:t>Germán Alcides Blanco Álvarez; el H.R. José Elver Hernández Casas y la suscrita representante Adriana Magal</w:t>
      </w:r>
      <w:r>
        <w:rPr>
          <w:rFonts w:ascii="Century Gothic" w:eastAsia="Century Gothic" w:hAnsi="Century Gothic" w:cs="Century Gothic"/>
        </w:rPr>
        <w:t xml:space="preserve">i Matiz Vargas. </w:t>
      </w:r>
    </w:p>
    <w:p w:rsidR="00DC46EE" w:rsidRDefault="00DC46EE">
      <w:pPr>
        <w:tabs>
          <w:tab w:val="left" w:pos="5820"/>
        </w:tabs>
        <w:spacing w:after="0" w:line="240" w:lineRule="auto"/>
        <w:rPr>
          <w:rFonts w:ascii="Century Gothic" w:eastAsia="Century Gothic" w:hAnsi="Century Gothic" w:cs="Century Gothic"/>
        </w:rPr>
      </w:pPr>
    </w:p>
    <w:p w:rsidR="00DC46EE" w:rsidRDefault="00741FB7">
      <w:p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Le correspondió el número 186 de 2018 en Cámara y se publicó en la Gaceta del Congreso No. 810 de 2018.</w:t>
      </w:r>
    </w:p>
    <w:p w:rsidR="00DC46EE" w:rsidRDefault="00DC46EE">
      <w:pPr>
        <w:tabs>
          <w:tab w:val="left" w:pos="5820"/>
        </w:tabs>
        <w:spacing w:after="0" w:line="240" w:lineRule="auto"/>
        <w:rPr>
          <w:rFonts w:ascii="Century Gothic" w:eastAsia="Century Gothic" w:hAnsi="Century Gothic" w:cs="Century Gothic"/>
        </w:rPr>
      </w:pPr>
    </w:p>
    <w:p w:rsidR="00DC46EE" w:rsidRDefault="00741FB7">
      <w:p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Por disposición de la Mesa Directiva de la Comisión Primera Constitucional Permanente de la Cámara de Representantes, fui designada p</w:t>
      </w:r>
      <w:r>
        <w:rPr>
          <w:rFonts w:ascii="Century Gothic" w:eastAsia="Century Gothic" w:hAnsi="Century Gothic" w:cs="Century Gothic"/>
        </w:rPr>
        <w:t>ara rendir informe de ponencia en primer debate ante esta célula legislativa mediante oficio CPCP 3.1-0402 del 9 de octubre de 2018.</w:t>
      </w:r>
    </w:p>
    <w:p w:rsidR="00DC46EE" w:rsidRDefault="00DC46EE">
      <w:pPr>
        <w:tabs>
          <w:tab w:val="left" w:pos="5820"/>
        </w:tabs>
        <w:spacing w:after="0" w:line="240" w:lineRule="auto"/>
        <w:jc w:val="both"/>
        <w:rPr>
          <w:rFonts w:ascii="Century Gothic" w:eastAsia="Century Gothic" w:hAnsi="Century Gothic" w:cs="Century Gothic"/>
        </w:rPr>
      </w:pPr>
    </w:p>
    <w:p w:rsidR="00DC46EE" w:rsidRDefault="00DC46EE">
      <w:pPr>
        <w:tabs>
          <w:tab w:val="left" w:pos="5820"/>
        </w:tabs>
        <w:spacing w:after="0" w:line="240" w:lineRule="auto"/>
        <w:jc w:val="both"/>
        <w:rPr>
          <w:rFonts w:ascii="Century Gothic" w:eastAsia="Century Gothic" w:hAnsi="Century Gothic" w:cs="Century Gothic"/>
        </w:rPr>
      </w:pPr>
    </w:p>
    <w:p w:rsidR="00DC46EE" w:rsidRDefault="00741FB7">
      <w:pPr>
        <w:tabs>
          <w:tab w:val="left" w:pos="5820"/>
        </w:tabs>
        <w:spacing w:after="0" w:line="240" w:lineRule="auto"/>
        <w:jc w:val="both"/>
        <w:rPr>
          <w:rFonts w:ascii="Century Gothic" w:eastAsia="Century Gothic" w:hAnsi="Century Gothic" w:cs="Century Gothic"/>
          <w:b/>
        </w:rPr>
      </w:pPr>
      <w:r>
        <w:rPr>
          <w:rFonts w:ascii="Century Gothic" w:eastAsia="Century Gothic" w:hAnsi="Century Gothic" w:cs="Century Gothic"/>
          <w:b/>
        </w:rPr>
        <w:t>II. OBJETO DEL PROYECTO DE ACTO LEGISLATIVO</w:t>
      </w:r>
    </w:p>
    <w:p w:rsidR="00DC46EE" w:rsidRDefault="00DC46EE">
      <w:pPr>
        <w:tabs>
          <w:tab w:val="left" w:pos="5820"/>
        </w:tabs>
        <w:spacing w:after="0" w:line="240" w:lineRule="auto"/>
        <w:jc w:val="both"/>
        <w:rPr>
          <w:rFonts w:ascii="Century Gothic" w:eastAsia="Century Gothic" w:hAnsi="Century Gothic" w:cs="Century Gothic"/>
          <w:b/>
        </w:rPr>
      </w:pPr>
    </w:p>
    <w:p w:rsidR="00DC46EE" w:rsidRDefault="00741FB7">
      <w:p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Propender por el desarrollo de la ciudad de Ibagué mediante su transformació</w:t>
      </w:r>
      <w:r>
        <w:rPr>
          <w:rFonts w:ascii="Century Gothic" w:eastAsia="Century Gothic" w:hAnsi="Century Gothic" w:cs="Century Gothic"/>
        </w:rPr>
        <w:t xml:space="preserve">n a distrito Especial, Cultural y Musical para que de esta manera se logre fortalecer su progreso a partir de la integración económica y social que permita la explotación de los recursos culturales y musicales en el plano de la economía naranja fomentando </w:t>
      </w:r>
      <w:r>
        <w:rPr>
          <w:rFonts w:ascii="Century Gothic" w:eastAsia="Century Gothic" w:hAnsi="Century Gothic" w:cs="Century Gothic"/>
        </w:rPr>
        <w:t>actividades, proyectos y políticas públicas de conservación protección, desarrollo y fortalecimiento de la música y la cultura como factor de emprendimiento y desarrollo económico y social para beneficio de la población ibaguereña en particular y los colom</w:t>
      </w:r>
      <w:r>
        <w:rPr>
          <w:rFonts w:ascii="Century Gothic" w:eastAsia="Century Gothic" w:hAnsi="Century Gothic" w:cs="Century Gothic"/>
        </w:rPr>
        <w:t>bianos en general.</w:t>
      </w:r>
      <w:r>
        <w:rPr>
          <w:rFonts w:ascii="Century Gothic" w:eastAsia="Century Gothic" w:hAnsi="Century Gothic" w:cs="Century Gothic"/>
        </w:rPr>
        <w:tab/>
      </w:r>
    </w:p>
    <w:p w:rsidR="00DC46EE" w:rsidRDefault="00DC46EE">
      <w:pPr>
        <w:tabs>
          <w:tab w:val="left" w:pos="5820"/>
        </w:tabs>
        <w:spacing w:after="0" w:line="240" w:lineRule="auto"/>
        <w:jc w:val="both"/>
        <w:rPr>
          <w:rFonts w:ascii="Century Gothic" w:eastAsia="Century Gothic" w:hAnsi="Century Gothic" w:cs="Century Gothic"/>
        </w:rPr>
      </w:pP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III. JUSTIFICACIÓN</w:t>
      </w:r>
    </w:p>
    <w:p w:rsidR="00DC46EE" w:rsidRDefault="00DC46EE">
      <w:pPr>
        <w:tabs>
          <w:tab w:val="left" w:pos="5820"/>
        </w:tabs>
        <w:spacing w:after="0" w:line="240" w:lineRule="auto"/>
        <w:rPr>
          <w:rFonts w:ascii="Century Gothic" w:eastAsia="Century Gothic" w:hAnsi="Century Gothic" w:cs="Century Gothic"/>
          <w:b/>
        </w:rPr>
      </w:pPr>
    </w:p>
    <w:p w:rsidR="00DC46EE" w:rsidRDefault="00741FB7">
      <w:pPr>
        <w:spacing w:after="0" w:line="240" w:lineRule="auto"/>
        <w:jc w:val="both"/>
        <w:rPr>
          <w:rFonts w:ascii="Century Gothic" w:eastAsia="Century Gothic" w:hAnsi="Century Gothic" w:cs="Century Gothic"/>
        </w:rPr>
      </w:pPr>
      <w:r>
        <w:rPr>
          <w:rFonts w:ascii="Century Gothic" w:eastAsia="Century Gothic" w:hAnsi="Century Gothic" w:cs="Century Gothic"/>
        </w:rPr>
        <w:t>El proyecto de acto legislativo busca reconocer en la Constitución Política que el municipio de Ibagué, contiene elementos de ordenamiento territorial que incluyen factores sociales, históricos, económicos y territo</w:t>
      </w:r>
      <w:r>
        <w:rPr>
          <w:rFonts w:ascii="Century Gothic" w:eastAsia="Century Gothic" w:hAnsi="Century Gothic" w:cs="Century Gothic"/>
        </w:rPr>
        <w:t xml:space="preserve">riales que requieren que el municipio se eleve a la categoría de Distrito, como un medio de desarrollo que garantice la gestión de planificación, regulación y transformación de la Administración Municipal. </w:t>
      </w:r>
    </w:p>
    <w:p w:rsidR="00DC46EE" w:rsidRDefault="00DC46EE">
      <w:pPr>
        <w:spacing w:after="0" w:line="240" w:lineRule="auto"/>
        <w:jc w:val="both"/>
        <w:rPr>
          <w:rFonts w:ascii="Century Gothic" w:eastAsia="Century Gothic" w:hAnsi="Century Gothic" w:cs="Century Gothic"/>
        </w:rPr>
      </w:pPr>
    </w:p>
    <w:p w:rsidR="00DC46EE" w:rsidRDefault="00A05651">
      <w:pPr>
        <w:spacing w:after="0" w:line="240" w:lineRule="auto"/>
        <w:jc w:val="both"/>
        <w:rPr>
          <w:rFonts w:ascii="Century Gothic" w:eastAsia="Century Gothic" w:hAnsi="Century Gothic" w:cs="Century Gothic"/>
        </w:rPr>
      </w:pPr>
      <w:r>
        <w:rPr>
          <w:rFonts w:ascii="Century Gothic" w:eastAsia="Century Gothic" w:hAnsi="Century Gothic" w:cs="Century Gothic"/>
        </w:rPr>
        <w:t>C</w:t>
      </w:r>
      <w:r w:rsidR="00741FB7">
        <w:rPr>
          <w:rFonts w:ascii="Century Gothic" w:eastAsia="Century Gothic" w:hAnsi="Century Gothic" w:cs="Century Gothic"/>
        </w:rPr>
        <w:t>on la Constitución de 1991, se buscó d</w:t>
      </w:r>
      <w:r w:rsidR="00741FB7">
        <w:rPr>
          <w:rFonts w:ascii="Century Gothic" w:eastAsia="Century Gothic" w:hAnsi="Century Gothic" w:cs="Century Gothic"/>
        </w:rPr>
        <w:t>otar a las regiones de un instrumento de traslado de competencias, desde el nivel central hacia el regional, que permitiera dinamizar los procesos administrativos y garantizar la consecución de los fines del Estado de cara a las necesidades de los habitant</w:t>
      </w:r>
      <w:r w:rsidR="00741FB7">
        <w:rPr>
          <w:rFonts w:ascii="Century Gothic" w:eastAsia="Century Gothic" w:hAnsi="Century Gothic" w:cs="Century Gothic"/>
        </w:rPr>
        <w:t xml:space="preserve">es de las diferentes regiones del país.  </w:t>
      </w:r>
    </w:p>
    <w:p w:rsidR="00DC46EE" w:rsidRDefault="00DC46EE">
      <w:pPr>
        <w:spacing w:after="0" w:line="240" w:lineRule="auto"/>
        <w:jc w:val="both"/>
        <w:rPr>
          <w:rFonts w:ascii="Century Gothic" w:eastAsia="Century Gothic" w:hAnsi="Century Gothic" w:cs="Century Gothic"/>
        </w:rPr>
      </w:pPr>
    </w:p>
    <w:p w:rsidR="00DC46EE" w:rsidRDefault="00741FB7">
      <w:pPr>
        <w:spacing w:after="0" w:line="240" w:lineRule="auto"/>
        <w:jc w:val="both"/>
        <w:rPr>
          <w:rFonts w:ascii="Century Gothic" w:eastAsia="Century Gothic" w:hAnsi="Century Gothic" w:cs="Century Gothic"/>
        </w:rPr>
      </w:pPr>
      <w:r>
        <w:rPr>
          <w:rFonts w:ascii="Century Gothic" w:eastAsia="Century Gothic" w:hAnsi="Century Gothic" w:cs="Century Gothic"/>
        </w:rPr>
        <w:t>En este sentido, la descentralización territorial es reconocida como un proceso que permite dinamizar las cargas del Estado, para fortalecer el desarrollo del país, otorgando a los territorios locales competencias</w:t>
      </w:r>
      <w:r>
        <w:rPr>
          <w:rFonts w:ascii="Century Gothic" w:eastAsia="Century Gothic" w:hAnsi="Century Gothic" w:cs="Century Gothic"/>
        </w:rPr>
        <w:t xml:space="preserve"> y recursos que les permitan ejecutar políticas públicas de manera directa, las cuales se pueden desenvolver con mayor eficacia, por las entidades territoriales, dado el conocimiento </w:t>
      </w:r>
      <w:r>
        <w:rPr>
          <w:rFonts w:ascii="Century Gothic" w:eastAsia="Century Gothic" w:hAnsi="Century Gothic" w:cs="Century Gothic"/>
        </w:rPr>
        <w:lastRenderedPageBreak/>
        <w:t>especializado que tiene el nivel local de las necesidades de su población</w:t>
      </w:r>
      <w:r>
        <w:rPr>
          <w:rFonts w:ascii="Century Gothic" w:eastAsia="Century Gothic" w:hAnsi="Century Gothic" w:cs="Century Gothic"/>
        </w:rPr>
        <w:t xml:space="preserve">, en contraste con la ausencia de comprensión de la realidad de las comunidades que mantienen el nivel central y que difícilmente permite que los territorios comprendan y en consecuencia apliquen las regulaciones del nivel central. </w:t>
      </w:r>
    </w:p>
    <w:p w:rsidR="00DC46EE" w:rsidRDefault="00DC46EE">
      <w:pPr>
        <w:spacing w:after="0" w:line="240" w:lineRule="auto"/>
        <w:jc w:val="both"/>
        <w:rPr>
          <w:rFonts w:ascii="Century Gothic" w:eastAsia="Century Gothic" w:hAnsi="Century Gothic" w:cs="Century Gothic"/>
        </w:rPr>
      </w:pPr>
    </w:p>
    <w:p w:rsidR="00DC46EE" w:rsidRDefault="00741FB7">
      <w:pPr>
        <w:spacing w:after="0" w:line="240" w:lineRule="auto"/>
        <w:jc w:val="both"/>
        <w:rPr>
          <w:rFonts w:ascii="Century Gothic" w:eastAsia="Century Gothic" w:hAnsi="Century Gothic" w:cs="Century Gothic"/>
        </w:rPr>
      </w:pPr>
      <w:r>
        <w:rPr>
          <w:rFonts w:ascii="Century Gothic" w:eastAsia="Century Gothic" w:hAnsi="Century Gothic" w:cs="Century Gothic"/>
        </w:rPr>
        <w:t>Con el tiempo la desce</w:t>
      </w:r>
      <w:r>
        <w:rPr>
          <w:rFonts w:ascii="Century Gothic" w:eastAsia="Century Gothic" w:hAnsi="Century Gothic" w:cs="Century Gothic"/>
        </w:rPr>
        <w:t xml:space="preserve">ntralización ha reportado beneficios como el mejoramiento de los servicios públicos, la calidad de vida de los ciudadanos y el fortalecimiento de sistema democrático por mencionar solo algunos factores que apoyan la autonomía territorial. </w:t>
      </w:r>
    </w:p>
    <w:p w:rsidR="00DC46EE" w:rsidRDefault="00DC46EE">
      <w:pPr>
        <w:spacing w:after="0" w:line="240" w:lineRule="auto"/>
        <w:jc w:val="both"/>
        <w:rPr>
          <w:rFonts w:ascii="Century Gothic" w:eastAsia="Century Gothic" w:hAnsi="Century Gothic" w:cs="Century Gothic"/>
        </w:rPr>
      </w:pPr>
    </w:p>
    <w:p w:rsidR="00DC46EE" w:rsidRPr="008226CE" w:rsidRDefault="008226CE" w:rsidP="008226CE">
      <w:pPr>
        <w:pBdr>
          <w:top w:val="nil"/>
          <w:left w:val="nil"/>
          <w:bottom w:val="nil"/>
          <w:right w:val="nil"/>
          <w:between w:val="nil"/>
        </w:pBdr>
        <w:spacing w:after="0" w:line="240" w:lineRule="auto"/>
        <w:jc w:val="both"/>
        <w:rPr>
          <w:b/>
          <w:color w:val="000000"/>
        </w:rPr>
      </w:pPr>
      <w:r>
        <w:rPr>
          <w:rFonts w:ascii="Century Gothic" w:eastAsia="Century Gothic" w:hAnsi="Century Gothic" w:cs="Century Gothic"/>
          <w:b/>
        </w:rPr>
        <w:t xml:space="preserve">IV. </w:t>
      </w:r>
      <w:r w:rsidR="00741FB7" w:rsidRPr="008226CE">
        <w:rPr>
          <w:rFonts w:ascii="Century Gothic" w:eastAsia="Century Gothic" w:hAnsi="Century Gothic" w:cs="Century Gothic"/>
          <w:b/>
        </w:rPr>
        <w:t xml:space="preserve">ANTECEDENTES Y CONSIDERACIONES </w:t>
      </w:r>
    </w:p>
    <w:p w:rsidR="00DC46EE" w:rsidRDefault="00DC46EE">
      <w:pPr>
        <w:spacing w:after="0" w:line="240" w:lineRule="auto"/>
        <w:jc w:val="both"/>
        <w:rPr>
          <w:rFonts w:ascii="Century Gothic" w:eastAsia="Century Gothic" w:hAnsi="Century Gothic" w:cs="Century Gothic"/>
        </w:rPr>
      </w:pPr>
    </w:p>
    <w:p w:rsidR="00DC46EE" w:rsidRDefault="00741FB7">
      <w:pPr>
        <w:shd w:val="clear" w:color="auto" w:fill="FFFFFF"/>
        <w:spacing w:before="45" w:after="15" w:line="240" w:lineRule="auto"/>
        <w:ind w:right="30"/>
        <w:jc w:val="both"/>
        <w:rPr>
          <w:rFonts w:ascii="Century Gothic" w:eastAsia="Century Gothic" w:hAnsi="Century Gothic" w:cs="Century Gothic"/>
        </w:rPr>
      </w:pPr>
      <w:r>
        <w:rPr>
          <w:rFonts w:ascii="Century Gothic" w:eastAsia="Century Gothic" w:hAnsi="Century Gothic" w:cs="Century Gothic"/>
        </w:rPr>
        <w:t>Ibagué es un municipio ubicado en el centro-occidente de Colombia, sobre la Cordillera Central de los Andes entre el Cañón del Combeima y el Valle del Magdalena, en cercanías del Nevado del Tolima. Es la capital del departa</w:t>
      </w:r>
      <w:r>
        <w:rPr>
          <w:rFonts w:ascii="Century Gothic" w:eastAsia="Century Gothic" w:hAnsi="Century Gothic" w:cs="Century Gothic"/>
        </w:rPr>
        <w:t>mento de Tolima.</w:t>
      </w:r>
      <w:r>
        <w:rPr>
          <w:rFonts w:ascii="Century Gothic" w:eastAsia="Century Gothic" w:hAnsi="Century Gothic" w:cs="Century Gothic"/>
          <w:color w:val="000000"/>
        </w:rPr>
        <w:t xml:space="preserve"> </w:t>
      </w:r>
      <w:r>
        <w:rPr>
          <w:rFonts w:ascii="Century Gothic" w:eastAsia="Century Gothic" w:hAnsi="Century Gothic" w:cs="Century Gothic"/>
        </w:rPr>
        <w:t>S</w:t>
      </w:r>
      <w:r>
        <w:rPr>
          <w:rFonts w:ascii="Century Gothic" w:eastAsia="Century Gothic" w:hAnsi="Century Gothic" w:cs="Century Gothic"/>
          <w:color w:val="000000"/>
        </w:rPr>
        <w:t>iempre ha sido tierra lírica y se ha destacado orgullosamente por mantener este título.</w:t>
      </w:r>
      <w:r>
        <w:rPr>
          <w:rFonts w:ascii="Century Gothic" w:eastAsia="Century Gothic" w:hAnsi="Century Gothic" w:cs="Century Gothic"/>
        </w:rPr>
        <w:t xml:space="preserve"> </w:t>
      </w:r>
    </w:p>
    <w:p w:rsidR="00DC46EE" w:rsidRDefault="00DC46EE">
      <w:pPr>
        <w:shd w:val="clear" w:color="auto" w:fill="FFFFFF"/>
        <w:spacing w:before="45" w:after="15" w:line="240" w:lineRule="auto"/>
        <w:ind w:right="30"/>
        <w:jc w:val="both"/>
        <w:rPr>
          <w:rFonts w:ascii="Century Gothic" w:eastAsia="Century Gothic" w:hAnsi="Century Gothic" w:cs="Century Gothic"/>
        </w:rPr>
      </w:pPr>
    </w:p>
    <w:p w:rsidR="00DC46EE" w:rsidRDefault="00741FB7">
      <w:pPr>
        <w:shd w:val="clear" w:color="auto" w:fill="FFFFFF"/>
        <w:spacing w:before="45" w:after="15" w:line="240" w:lineRule="auto"/>
        <w:ind w:right="30"/>
        <w:jc w:val="both"/>
        <w:rPr>
          <w:rFonts w:ascii="Century Gothic" w:eastAsia="Century Gothic" w:hAnsi="Century Gothic" w:cs="Century Gothic"/>
          <w:color w:val="000000"/>
        </w:rPr>
      </w:pPr>
      <w:r>
        <w:rPr>
          <w:rFonts w:ascii="Century Gothic" w:eastAsia="Century Gothic" w:hAnsi="Century Gothic" w:cs="Century Gothic"/>
        </w:rPr>
        <w:t>De ello han dado fe diferentes personalidades nacionales y territoriales, tales como e</w:t>
      </w:r>
      <w:r>
        <w:rPr>
          <w:rFonts w:ascii="Century Gothic" w:eastAsia="Century Gothic" w:hAnsi="Century Gothic" w:cs="Century Gothic"/>
          <w:color w:val="000000"/>
        </w:rPr>
        <w:t xml:space="preserve">l expresidente Darío Echandía quien en alguna oportunidad </w:t>
      </w:r>
      <w:r>
        <w:rPr>
          <w:rFonts w:ascii="Century Gothic" w:eastAsia="Century Gothic" w:hAnsi="Century Gothic" w:cs="Century Gothic"/>
        </w:rPr>
        <w:t>expr</w:t>
      </w:r>
      <w:r>
        <w:rPr>
          <w:rFonts w:ascii="Century Gothic" w:eastAsia="Century Gothic" w:hAnsi="Century Gothic" w:cs="Century Gothic"/>
        </w:rPr>
        <w:t xml:space="preserve">esó: </w:t>
      </w:r>
    </w:p>
    <w:p w:rsidR="00DC46EE" w:rsidRDefault="00DC46EE">
      <w:pPr>
        <w:shd w:val="clear" w:color="auto" w:fill="FFFFFF"/>
        <w:spacing w:before="45" w:after="15" w:line="240" w:lineRule="auto"/>
        <w:ind w:right="30"/>
        <w:jc w:val="both"/>
        <w:rPr>
          <w:rFonts w:ascii="Century Gothic" w:eastAsia="Century Gothic" w:hAnsi="Century Gothic" w:cs="Century Gothic"/>
          <w:color w:val="000000"/>
        </w:rPr>
      </w:pPr>
    </w:p>
    <w:p w:rsidR="00DC46EE" w:rsidRDefault="00741FB7">
      <w:pPr>
        <w:shd w:val="clear" w:color="auto" w:fill="FFFFFF"/>
        <w:spacing w:before="45" w:after="15" w:line="240" w:lineRule="auto"/>
        <w:ind w:right="30"/>
        <w:jc w:val="both"/>
        <w:rPr>
          <w:rFonts w:ascii="Century Gothic" w:eastAsia="Century Gothic" w:hAnsi="Century Gothic" w:cs="Century Gothic"/>
        </w:rPr>
      </w:pPr>
      <w:r>
        <w:rPr>
          <w:rFonts w:ascii="Century Gothic" w:eastAsia="Century Gothic" w:hAnsi="Century Gothic" w:cs="Century Gothic"/>
          <w:color w:val="000000"/>
        </w:rPr>
        <w:t>"En Ibagué ciertamente puede observarse una dirección general de los espíritus, que han tendido naturalmente al desarrollo del talento musical del pueblo, ingénito seguramente, pero que por determinadas circunstancias ambientales ha crecido de refer</w:t>
      </w:r>
      <w:r>
        <w:rPr>
          <w:rFonts w:ascii="Century Gothic" w:eastAsia="Century Gothic" w:hAnsi="Century Gothic" w:cs="Century Gothic"/>
          <w:color w:val="000000"/>
        </w:rPr>
        <w:t xml:space="preserve">encia a otras manifestaciones del sentimiento estético" </w:t>
      </w:r>
      <w:r>
        <w:rPr>
          <w:rFonts w:ascii="Century Gothic" w:eastAsia="Century Gothic" w:hAnsi="Century Gothic" w:cs="Century Gothic"/>
          <w:color w:val="000000"/>
          <w:vertAlign w:val="superscript"/>
        </w:rPr>
        <w:footnoteReference w:id="1"/>
      </w:r>
    </w:p>
    <w:p w:rsidR="00DC46EE" w:rsidRDefault="00DC46EE">
      <w:pPr>
        <w:shd w:val="clear" w:color="auto" w:fill="FFFFFF"/>
        <w:spacing w:before="45" w:after="15" w:line="240" w:lineRule="auto"/>
        <w:ind w:right="30"/>
        <w:jc w:val="both"/>
        <w:rPr>
          <w:rFonts w:ascii="Century Gothic" w:eastAsia="Century Gothic" w:hAnsi="Century Gothic" w:cs="Century Gothic"/>
        </w:rPr>
      </w:pPr>
    </w:p>
    <w:p w:rsidR="00DC46EE" w:rsidRDefault="00741FB7">
      <w:pPr>
        <w:shd w:val="clear" w:color="auto" w:fill="FFFFFF"/>
        <w:spacing w:before="45" w:after="1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No son menos halagadores los comentarios del gran periodista Jorge Eliécer Barbosa Ospina, quien decía:</w:t>
      </w:r>
      <w:r w:rsidR="008226CE">
        <w:rPr>
          <w:rFonts w:ascii="Century Gothic" w:eastAsia="Century Gothic" w:hAnsi="Century Gothic" w:cs="Century Gothic"/>
          <w:color w:val="000000"/>
        </w:rPr>
        <w:t xml:space="preserve"> </w:t>
      </w:r>
      <w:r>
        <w:rPr>
          <w:rFonts w:ascii="Century Gothic" w:eastAsia="Century Gothic" w:hAnsi="Century Gothic" w:cs="Century Gothic"/>
          <w:color w:val="000000"/>
        </w:rPr>
        <w:t>"[...] el Tolima es además de tierra buena, cuna de música y músicos, compositores y de aman</w:t>
      </w:r>
      <w:r>
        <w:rPr>
          <w:rFonts w:ascii="Century Gothic" w:eastAsia="Century Gothic" w:hAnsi="Century Gothic" w:cs="Century Gothic"/>
          <w:color w:val="000000"/>
        </w:rPr>
        <w:t>tes de la interpretación de sus aires musicales, los que por años han dado identidad y personalidad a su gente"</w:t>
      </w:r>
      <w:r>
        <w:rPr>
          <w:rFonts w:ascii="Century Gothic" w:eastAsia="Century Gothic" w:hAnsi="Century Gothic" w:cs="Century Gothic"/>
          <w:vertAlign w:val="superscript"/>
        </w:rPr>
        <w:footnoteReference w:id="2"/>
      </w:r>
    </w:p>
    <w:p w:rsidR="00DC46EE" w:rsidRDefault="00DC46EE">
      <w:pPr>
        <w:shd w:val="clear" w:color="auto" w:fill="FFFFFF"/>
        <w:spacing w:before="45" w:after="15" w:line="240" w:lineRule="auto"/>
        <w:ind w:right="30"/>
        <w:jc w:val="both"/>
        <w:rPr>
          <w:rFonts w:ascii="Century Gothic" w:eastAsia="Century Gothic" w:hAnsi="Century Gothic" w:cs="Century Gothic"/>
        </w:rPr>
      </w:pPr>
    </w:p>
    <w:p w:rsidR="00DC46EE" w:rsidRDefault="00741FB7">
      <w:pPr>
        <w:shd w:val="clear" w:color="auto" w:fill="FFFFFF"/>
        <w:spacing w:before="45" w:after="15" w:line="240" w:lineRule="auto"/>
        <w:ind w:right="30"/>
        <w:jc w:val="both"/>
        <w:rPr>
          <w:rFonts w:ascii="Century Gothic" w:eastAsia="Century Gothic" w:hAnsi="Century Gothic" w:cs="Century Gothic"/>
        </w:rPr>
      </w:pPr>
      <w:r>
        <w:rPr>
          <w:rFonts w:ascii="Century Gothic" w:eastAsia="Century Gothic" w:hAnsi="Century Gothic" w:cs="Century Gothic"/>
        </w:rPr>
        <w:t xml:space="preserve">Incluso, se encuentran referencias más antiguas, como la del sacerdote portugués </w:t>
      </w:r>
      <w:r w:rsidR="008226CE">
        <w:rPr>
          <w:rFonts w:ascii="Century Gothic" w:eastAsia="Century Gothic" w:hAnsi="Century Gothic" w:cs="Century Gothic"/>
        </w:rPr>
        <w:t>Antonio Segura, quien, en 1575,</w:t>
      </w:r>
      <w:r>
        <w:rPr>
          <w:rFonts w:ascii="Century Gothic" w:eastAsia="Century Gothic" w:hAnsi="Century Gothic" w:cs="Century Gothic"/>
        </w:rPr>
        <w:t xml:space="preserve"> mencionó que en Ibagué exist</w:t>
      </w:r>
      <w:r>
        <w:rPr>
          <w:rFonts w:ascii="Century Gothic" w:eastAsia="Century Gothic" w:hAnsi="Century Gothic" w:cs="Century Gothic"/>
        </w:rPr>
        <w:t>ía un ambiente propicio para el canto y ejecución de instrumentos de cuerda</w:t>
      </w:r>
      <w:r>
        <w:rPr>
          <w:rFonts w:ascii="Century Gothic" w:eastAsia="Century Gothic" w:hAnsi="Century Gothic" w:cs="Century Gothic"/>
          <w:vertAlign w:val="superscript"/>
        </w:rPr>
        <w:footnoteReference w:id="3"/>
      </w:r>
      <w:r>
        <w:rPr>
          <w:rFonts w:ascii="Century Gothic" w:eastAsia="Century Gothic" w:hAnsi="Century Gothic" w:cs="Century Gothic"/>
        </w:rPr>
        <w:t>.</w:t>
      </w:r>
    </w:p>
    <w:p w:rsidR="00DC46EE" w:rsidRDefault="00DC46EE">
      <w:pPr>
        <w:shd w:val="clear" w:color="auto" w:fill="FFFFFF"/>
        <w:spacing w:before="45" w:after="15" w:line="240" w:lineRule="auto"/>
        <w:ind w:right="30"/>
        <w:jc w:val="both"/>
        <w:rPr>
          <w:rFonts w:ascii="Century Gothic" w:eastAsia="Century Gothic" w:hAnsi="Century Gothic" w:cs="Century Gothic"/>
        </w:rPr>
      </w:pPr>
    </w:p>
    <w:p w:rsidR="00DC46EE" w:rsidRDefault="00741FB7">
      <w:pPr>
        <w:shd w:val="clear" w:color="auto" w:fill="FFFFFF"/>
        <w:spacing w:before="45" w:after="15" w:line="240" w:lineRule="auto"/>
        <w:ind w:right="30"/>
        <w:jc w:val="both"/>
        <w:rPr>
          <w:rFonts w:ascii="Century Gothic" w:eastAsia="Century Gothic" w:hAnsi="Century Gothic" w:cs="Century Gothic"/>
        </w:rPr>
      </w:pPr>
      <w:r>
        <w:rPr>
          <w:rFonts w:ascii="Century Gothic" w:eastAsia="Century Gothic" w:hAnsi="Century Gothic" w:cs="Century Gothic"/>
        </w:rPr>
        <w:t xml:space="preserve">En ese sentido, es conocida como </w:t>
      </w:r>
      <w:r>
        <w:rPr>
          <w:rFonts w:ascii="Century Gothic" w:eastAsia="Century Gothic" w:hAnsi="Century Gothic" w:cs="Century Gothic"/>
          <w:color w:val="000000"/>
        </w:rPr>
        <w:t xml:space="preserve">la "Ciudad Musical de Colombia", pues, además de lo dicho, Ibagué se ha destacado por el "oído musical de su gente </w:t>
      </w:r>
      <w:r>
        <w:rPr>
          <w:rFonts w:ascii="Century Gothic" w:eastAsia="Century Gothic" w:hAnsi="Century Gothic" w:cs="Century Gothic"/>
        </w:rPr>
        <w:t>y</w:t>
      </w:r>
      <w:r>
        <w:rPr>
          <w:rFonts w:ascii="Century Gothic" w:eastAsia="Century Gothic" w:hAnsi="Century Gothic" w:cs="Century Gothic"/>
          <w:color w:val="000000"/>
        </w:rPr>
        <w:t xml:space="preserve"> por la calidad artística de</w:t>
      </w:r>
      <w:r>
        <w:rPr>
          <w:rFonts w:ascii="Century Gothic" w:eastAsia="Century Gothic" w:hAnsi="Century Gothic" w:cs="Century Gothic"/>
          <w:color w:val="000000"/>
        </w:rPr>
        <w:t xml:space="preserve"> quienes profesan este arte</w:t>
      </w:r>
      <w:r>
        <w:rPr>
          <w:rFonts w:ascii="Century Gothic" w:eastAsia="Century Gothic" w:hAnsi="Century Gothic" w:cs="Century Gothic"/>
        </w:rPr>
        <w:t xml:space="preserve"> con </w:t>
      </w:r>
      <w:r>
        <w:rPr>
          <w:rFonts w:ascii="Century Gothic" w:eastAsia="Century Gothic" w:hAnsi="Century Gothic" w:cs="Century Gothic"/>
          <w:color w:val="000000"/>
        </w:rPr>
        <w:t xml:space="preserve"> inmensa vocación"</w:t>
      </w:r>
      <w:r>
        <w:rPr>
          <w:rFonts w:ascii="Century Gothic" w:eastAsia="Century Gothic" w:hAnsi="Century Gothic" w:cs="Century Gothic"/>
          <w:color w:val="000000"/>
          <w:vertAlign w:val="superscript"/>
        </w:rPr>
        <w:footnoteReference w:id="4"/>
      </w:r>
      <w:r>
        <w:rPr>
          <w:rFonts w:ascii="Century Gothic" w:eastAsia="Century Gothic" w:hAnsi="Century Gothic" w:cs="Century Gothic"/>
        </w:rPr>
        <w:t>.</w:t>
      </w:r>
      <w:r>
        <w:rPr>
          <w:rFonts w:ascii="Century Gothic" w:eastAsia="Century Gothic" w:hAnsi="Century Gothic" w:cs="Century Gothic"/>
          <w:color w:val="000000"/>
        </w:rPr>
        <w:t xml:space="preserve"> </w:t>
      </w:r>
      <w:r>
        <w:rPr>
          <w:rFonts w:ascii="Century Gothic" w:eastAsia="Century Gothic" w:hAnsi="Century Gothic" w:cs="Century Gothic"/>
        </w:rPr>
        <w:t>Es la tierra de los bambucos, pasillos, guabinas, sanjuaneros, joropos, bundes, rumbas criollas, cañas, rajaleñas, torbellinos, danzones y danzas. Lugar de nacimiento de la música vernácula, tierra de du</w:t>
      </w:r>
      <w:r>
        <w:rPr>
          <w:rFonts w:ascii="Century Gothic" w:eastAsia="Century Gothic" w:hAnsi="Century Gothic" w:cs="Century Gothic"/>
        </w:rPr>
        <w:t xml:space="preserve">etos, tríos, bandas, coros, quintetos. Es la ciudad de Pedro de Galarza, Manuela Casabianca y de Tulio Varón. </w:t>
      </w:r>
    </w:p>
    <w:p w:rsidR="00DC46EE" w:rsidRDefault="00DC46EE">
      <w:pPr>
        <w:shd w:val="clear" w:color="auto" w:fill="FFFFFF"/>
        <w:spacing w:before="45" w:after="45" w:line="240" w:lineRule="auto"/>
        <w:ind w:right="30"/>
        <w:jc w:val="both"/>
        <w:rPr>
          <w:rFonts w:ascii="Century Gothic" w:eastAsia="Century Gothic" w:hAnsi="Century Gothic" w:cs="Century Gothic"/>
        </w:rPr>
      </w:pPr>
    </w:p>
    <w:p w:rsidR="00DC46EE" w:rsidRDefault="00741FB7">
      <w:pPr>
        <w:shd w:val="clear" w:color="auto" w:fill="FFFFFF"/>
        <w:spacing w:before="45" w:after="45" w:line="240" w:lineRule="auto"/>
        <w:ind w:right="30"/>
        <w:jc w:val="both"/>
        <w:rPr>
          <w:rFonts w:ascii="Century Gothic" w:eastAsia="Century Gothic" w:hAnsi="Century Gothic" w:cs="Century Gothic"/>
        </w:rPr>
      </w:pPr>
      <w:r>
        <w:rPr>
          <w:rFonts w:ascii="Century Gothic" w:eastAsia="Century Gothic" w:hAnsi="Century Gothic" w:cs="Century Gothic"/>
        </w:rPr>
        <w:t>Debido al talento humano y el</w:t>
      </w:r>
      <w:r w:rsidR="008226CE">
        <w:rPr>
          <w:rFonts w:ascii="Century Gothic" w:eastAsia="Century Gothic" w:hAnsi="Century Gothic" w:cs="Century Gothic"/>
        </w:rPr>
        <w:t xml:space="preserve"> ambiente artístico y musical, I</w:t>
      </w:r>
      <w:r>
        <w:rPr>
          <w:rFonts w:ascii="Century Gothic" w:eastAsia="Century Gothic" w:hAnsi="Century Gothic" w:cs="Century Gothic"/>
        </w:rPr>
        <w:t>bagué cuenta con diferentes escenarios artísticos como la concha acústica Garzón y Collazos y el Conservatorio del Tolima, este último fundado en el año 1906 por senador y representante por el To</w:t>
      </w:r>
      <w:r>
        <w:rPr>
          <w:rFonts w:ascii="Century Gothic" w:eastAsia="Century Gothic" w:hAnsi="Century Gothic" w:cs="Century Gothic"/>
        </w:rPr>
        <w:t xml:space="preserve">lima Alberto Castilla, siendo la más importante reliquia cultural de la ciudad. </w:t>
      </w:r>
    </w:p>
    <w:p w:rsidR="00DC46EE" w:rsidRDefault="00DC46EE">
      <w:pPr>
        <w:shd w:val="clear" w:color="auto" w:fill="FFFFFF"/>
        <w:spacing w:before="45" w:after="45" w:line="240" w:lineRule="auto"/>
        <w:ind w:right="30"/>
        <w:jc w:val="both"/>
        <w:rPr>
          <w:rFonts w:ascii="Century Gothic" w:eastAsia="Century Gothic" w:hAnsi="Century Gothic" w:cs="Century Gothic"/>
        </w:rPr>
      </w:pPr>
    </w:p>
    <w:p w:rsidR="00DC46EE" w:rsidRDefault="00741FB7">
      <w:pPr>
        <w:shd w:val="clear" w:color="auto" w:fill="FFFFFF"/>
        <w:spacing w:before="45" w:after="45" w:line="240" w:lineRule="auto"/>
        <w:ind w:right="30"/>
        <w:jc w:val="both"/>
        <w:rPr>
          <w:rFonts w:ascii="Century Gothic" w:eastAsia="Century Gothic" w:hAnsi="Century Gothic" w:cs="Century Gothic"/>
        </w:rPr>
      </w:pPr>
      <w:r>
        <w:rPr>
          <w:rFonts w:ascii="Century Gothic" w:eastAsia="Century Gothic" w:hAnsi="Century Gothic" w:cs="Century Gothic"/>
        </w:rPr>
        <w:t xml:space="preserve">Dicha Institución ha influido en darle forma al contenido melódico de los tolimenses y lo ha posicionado en los mapas de todo el mundo, especialmente de la mano del Coro del </w:t>
      </w:r>
      <w:r>
        <w:rPr>
          <w:rFonts w:ascii="Century Gothic" w:eastAsia="Century Gothic" w:hAnsi="Century Gothic" w:cs="Century Gothic"/>
        </w:rPr>
        <w:t>Tolima que ha estado en giras nacionales e internacionales, desde  Zipaquirá hasta  New York y Berlín. Al Coro del Conservatorio del Tolima  el Gobierno le concedió  la Cruz de Boyacá en 1948 y obtuvo reconocimientos como la Medalla del Segundo Concilio Va</w:t>
      </w:r>
      <w:r>
        <w:rPr>
          <w:rFonts w:ascii="Century Gothic" w:eastAsia="Century Gothic" w:hAnsi="Century Gothic" w:cs="Century Gothic"/>
        </w:rPr>
        <w:t>ticano, la Placa del Club de Conciertos de España, entre otros</w:t>
      </w:r>
      <w:r>
        <w:rPr>
          <w:rFonts w:ascii="Century Gothic" w:eastAsia="Century Gothic" w:hAnsi="Century Gothic" w:cs="Century Gothic"/>
          <w:vertAlign w:val="superscript"/>
        </w:rPr>
        <w:footnoteReference w:id="5"/>
      </w:r>
      <w:r>
        <w:rPr>
          <w:rFonts w:ascii="Century Gothic" w:eastAsia="Century Gothic" w:hAnsi="Century Gothic" w:cs="Century Gothic"/>
        </w:rPr>
        <w:t>.</w:t>
      </w:r>
    </w:p>
    <w:p w:rsidR="00DC46EE" w:rsidRDefault="00DC46EE">
      <w:pPr>
        <w:shd w:val="clear" w:color="auto" w:fill="FFFFFF"/>
        <w:spacing w:before="45" w:after="45" w:line="240" w:lineRule="auto"/>
        <w:ind w:right="30"/>
        <w:jc w:val="both"/>
        <w:rPr>
          <w:rFonts w:ascii="Century Gothic" w:eastAsia="Century Gothic" w:hAnsi="Century Gothic" w:cs="Century Gothic"/>
        </w:rPr>
      </w:pPr>
    </w:p>
    <w:p w:rsidR="00DC46EE" w:rsidRDefault="00741FB7">
      <w:pPr>
        <w:shd w:val="clear" w:color="auto" w:fill="FFFFFF"/>
        <w:spacing w:before="45" w:after="15" w:line="240" w:lineRule="auto"/>
        <w:ind w:right="30"/>
        <w:jc w:val="both"/>
        <w:rPr>
          <w:rFonts w:ascii="Century Gothic" w:eastAsia="Century Gothic" w:hAnsi="Century Gothic" w:cs="Century Gothic"/>
          <w:color w:val="000000"/>
        </w:rPr>
      </w:pPr>
      <w:r>
        <w:rPr>
          <w:rFonts w:ascii="Century Gothic" w:eastAsia="Century Gothic" w:hAnsi="Century Gothic" w:cs="Century Gothic"/>
        </w:rPr>
        <w:t>Destacable es que los ibaguereños a pesar de las carestías persistentemente han explotado y exportado sus talentos artísticos al resto de la nación y al mundo. Es por</w:t>
      </w:r>
      <w:r>
        <w:rPr>
          <w:rFonts w:ascii="Century Gothic" w:eastAsia="Century Gothic" w:hAnsi="Century Gothic" w:cs="Century Gothic"/>
          <w:color w:val="000000"/>
        </w:rPr>
        <w:t xml:space="preserve"> ello</w:t>
      </w:r>
      <w:r>
        <w:rPr>
          <w:rFonts w:ascii="Century Gothic" w:eastAsia="Century Gothic" w:hAnsi="Century Gothic" w:cs="Century Gothic"/>
        </w:rPr>
        <w:t xml:space="preserve"> que</w:t>
      </w:r>
      <w:r>
        <w:rPr>
          <w:rFonts w:ascii="Century Gothic" w:eastAsia="Century Gothic" w:hAnsi="Century Gothic" w:cs="Century Gothic"/>
          <w:color w:val="000000"/>
        </w:rPr>
        <w:t xml:space="preserve"> vale la pena, </w:t>
      </w:r>
      <w:r>
        <w:rPr>
          <w:rFonts w:ascii="Century Gothic" w:eastAsia="Century Gothic" w:hAnsi="Century Gothic" w:cs="Century Gothic"/>
          <w:color w:val="000000"/>
        </w:rPr>
        <w:t xml:space="preserve">seguir fomentando e incentivando los talentos y emprendimientos culturales y musicales de los tolimenses, su identidad cultural que es de paso una parte de la identidad nacional. </w:t>
      </w:r>
    </w:p>
    <w:p w:rsidR="00DC46EE" w:rsidRDefault="00DC46EE">
      <w:pPr>
        <w:shd w:val="clear" w:color="auto" w:fill="FFFFFF"/>
        <w:spacing w:before="45" w:after="15" w:line="240" w:lineRule="auto"/>
        <w:ind w:right="30"/>
        <w:jc w:val="both"/>
        <w:rPr>
          <w:rFonts w:ascii="Century Gothic" w:eastAsia="Century Gothic" w:hAnsi="Century Gothic" w:cs="Century Gothic"/>
          <w:color w:val="000000"/>
        </w:rPr>
      </w:pPr>
    </w:p>
    <w:p w:rsidR="00DC46EE" w:rsidRDefault="00741FB7">
      <w:pPr>
        <w:shd w:val="clear" w:color="auto" w:fill="FFFFFF"/>
        <w:spacing w:before="45" w:after="45" w:line="240" w:lineRule="auto"/>
        <w:ind w:right="30"/>
        <w:jc w:val="both"/>
        <w:rPr>
          <w:rFonts w:ascii="Century Gothic" w:eastAsia="Century Gothic" w:hAnsi="Century Gothic" w:cs="Century Gothic"/>
        </w:rPr>
      </w:pPr>
      <w:r>
        <w:rPr>
          <w:rFonts w:ascii="Century Gothic" w:eastAsia="Century Gothic" w:hAnsi="Century Gothic" w:cs="Century Gothic"/>
        </w:rPr>
        <w:t>Así mismo, Ibagué</w:t>
      </w:r>
      <w:r>
        <w:rPr>
          <w:rFonts w:ascii="Century Gothic" w:eastAsia="Century Gothic" w:hAnsi="Century Gothic" w:cs="Century Gothic"/>
          <w:color w:val="393939"/>
        </w:rPr>
        <w:t xml:space="preserve"> </w:t>
      </w:r>
      <w:r>
        <w:rPr>
          <w:rFonts w:ascii="Century Gothic" w:eastAsia="Century Gothic" w:hAnsi="Century Gothic" w:cs="Century Gothic"/>
        </w:rPr>
        <w:t>es sede de varios eventos musicales y folclóricos durante</w:t>
      </w:r>
      <w:r>
        <w:rPr>
          <w:rFonts w:ascii="Century Gothic" w:eastAsia="Century Gothic" w:hAnsi="Century Gothic" w:cs="Century Gothic"/>
        </w:rPr>
        <w:t xml:space="preserve"> el año como son el Festival Folclórico Colombiano en el mes de junio, el Concurso Polifónico Internacional en la primera semana de diciembre, homenaje al dueto Garzón y Collazos en el mes de marzo, la Feria Industrial Expotolima en junio, la Feria Agroind</w:t>
      </w:r>
      <w:r>
        <w:rPr>
          <w:rFonts w:ascii="Century Gothic" w:eastAsia="Century Gothic" w:hAnsi="Century Gothic" w:cs="Century Gothic"/>
        </w:rPr>
        <w:t xml:space="preserve">ustrial en la última semana de junio y la Feria Textil y de la Confección Moda Trópico en el mes de agosto. </w:t>
      </w:r>
    </w:p>
    <w:p w:rsidR="00DC46EE" w:rsidRDefault="00741FB7">
      <w:pP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rPr>
        <w:t xml:space="preserve"> </w:t>
      </w:r>
    </w:p>
    <w:p w:rsidR="00DC46EE" w:rsidRDefault="00741FB7">
      <w:pPr>
        <w:shd w:val="clear" w:color="auto" w:fill="FFFFFF"/>
        <w:spacing w:before="45" w:after="45" w:line="240" w:lineRule="auto"/>
        <w:ind w:right="30"/>
        <w:jc w:val="both"/>
        <w:rPr>
          <w:rFonts w:ascii="Century Gothic" w:eastAsia="Century Gothic" w:hAnsi="Century Gothic" w:cs="Century Gothic"/>
        </w:rPr>
      </w:pPr>
      <w:r>
        <w:rPr>
          <w:rFonts w:ascii="Century Gothic" w:eastAsia="Century Gothic" w:hAnsi="Century Gothic" w:cs="Century Gothic"/>
        </w:rPr>
        <w:t>Es una  ciudad de encantadora temperatura y bellos parques adornados con su árbol insignia</w:t>
      </w:r>
      <w:r>
        <w:rPr>
          <w:rFonts w:ascii="Century Gothic" w:eastAsia="Century Gothic" w:hAnsi="Century Gothic" w:cs="Century Gothic"/>
          <w:vertAlign w:val="superscript"/>
        </w:rPr>
        <w:footnoteReference w:id="6"/>
      </w:r>
      <w:r>
        <w:rPr>
          <w:rFonts w:ascii="Century Gothic" w:eastAsia="Century Gothic" w:hAnsi="Century Gothic" w:cs="Century Gothic"/>
        </w:rPr>
        <w:t>, el Ocobo, lugar biodiverso que vale la pena conocer., lugar del Festival Nacional de Música y del Festival Folclórico Colombiano, entre otros, los cuales, aparte de los ibaguereños y tolimenses, son disfrutados por nacionales y extranjeros.</w:t>
      </w:r>
      <w:r w:rsidR="008226CE">
        <w:rPr>
          <w:rFonts w:ascii="Century Gothic" w:eastAsia="Century Gothic" w:hAnsi="Century Gothic" w:cs="Century Gothic"/>
        </w:rPr>
        <w:t xml:space="preserve"> </w:t>
      </w:r>
      <w:r>
        <w:rPr>
          <w:rFonts w:ascii="Century Gothic" w:eastAsia="Century Gothic" w:hAnsi="Century Gothic" w:cs="Century Gothic"/>
        </w:rPr>
        <w:t>No hay que olv</w:t>
      </w:r>
      <w:r>
        <w:rPr>
          <w:rFonts w:ascii="Century Gothic" w:eastAsia="Century Gothic" w:hAnsi="Century Gothic" w:cs="Century Gothic"/>
        </w:rPr>
        <w:t>idar  sitios de importancia del Tolima que lo hacen atracción turística, cultural y biodiversa, por nombrar algunos, la Concha Acústica Garzón y Collazos, el Jardín Botánico Alejandro von Humboldt y el Cerro Pan de Azúcar.</w:t>
      </w:r>
    </w:p>
    <w:p w:rsidR="00DC46EE" w:rsidRDefault="00DC46EE">
      <w:pPr>
        <w:shd w:val="clear" w:color="auto" w:fill="FFFFFF"/>
        <w:spacing w:before="45" w:after="45" w:line="240" w:lineRule="auto"/>
        <w:ind w:right="30"/>
        <w:jc w:val="both"/>
        <w:rPr>
          <w:rFonts w:ascii="Century Gothic" w:eastAsia="Century Gothic" w:hAnsi="Century Gothic" w:cs="Century Gothic"/>
        </w:rPr>
      </w:pPr>
    </w:p>
    <w:p w:rsidR="008226CE" w:rsidRDefault="00741FB7" w:rsidP="008226CE">
      <w:pP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Por lo tanto, y en el orden de l</w:t>
      </w:r>
      <w:r>
        <w:rPr>
          <w:rFonts w:ascii="Century Gothic" w:eastAsia="Century Gothic" w:hAnsi="Century Gothic" w:cs="Century Gothic"/>
          <w:color w:val="000000"/>
        </w:rPr>
        <w:t xml:space="preserve">as ideas anteriores, se ha dado sustento a la afirmación, no solo de que Ibagué es la ciudad musical de Colombia, sino, además, las razones por las cuales deberíamos propender porque lo sea. En este punto resulta de fundamental importancia la aprobación y </w:t>
      </w:r>
      <w:r>
        <w:rPr>
          <w:rFonts w:ascii="Century Gothic" w:eastAsia="Century Gothic" w:hAnsi="Century Gothic" w:cs="Century Gothic"/>
          <w:color w:val="000000"/>
        </w:rPr>
        <w:t>entrada en vigor del presente proyecto de acto legislativo para beneficio de Ibagué en particular y de Colombia en general.</w:t>
      </w:r>
    </w:p>
    <w:p w:rsidR="008226CE" w:rsidRDefault="008226CE" w:rsidP="008226CE">
      <w:pPr>
        <w:shd w:val="clear" w:color="auto" w:fill="FFFFFF"/>
        <w:spacing w:before="45" w:after="45" w:line="240" w:lineRule="auto"/>
        <w:ind w:right="30"/>
        <w:jc w:val="both"/>
        <w:rPr>
          <w:rFonts w:ascii="Century Gothic" w:eastAsia="Century Gothic" w:hAnsi="Century Gothic" w:cs="Century Gothic"/>
          <w:color w:val="000000"/>
        </w:rPr>
      </w:pPr>
    </w:p>
    <w:p w:rsidR="00DC46EE" w:rsidRPr="008226CE" w:rsidRDefault="008226CE" w:rsidP="008226CE">
      <w:pP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V. </w:t>
      </w:r>
      <w:r w:rsidR="00741FB7" w:rsidRPr="008226CE">
        <w:rPr>
          <w:rFonts w:ascii="Century Gothic" w:eastAsia="Century Gothic" w:hAnsi="Century Gothic" w:cs="Century Gothic"/>
          <w:b/>
          <w:color w:val="000000"/>
        </w:rPr>
        <w:t xml:space="preserve">JUSTIFICACIÓN </w:t>
      </w:r>
      <w:r w:rsidR="00741FB7" w:rsidRPr="008226CE">
        <w:rPr>
          <w:rFonts w:ascii="Century Gothic" w:eastAsia="Century Gothic" w:hAnsi="Century Gothic" w:cs="Century Gothic"/>
          <w:b/>
        </w:rPr>
        <w:t>ECONÓMICA</w:t>
      </w:r>
      <w:r w:rsidR="00741FB7" w:rsidRPr="008226CE">
        <w:rPr>
          <w:rFonts w:ascii="Century Gothic" w:eastAsia="Century Gothic" w:hAnsi="Century Gothic" w:cs="Century Gothic"/>
          <w:b/>
          <w:color w:val="000000"/>
        </w:rPr>
        <w:t xml:space="preserve"> Y SOCIAL </w:t>
      </w:r>
    </w:p>
    <w:p w:rsidR="00DC46EE" w:rsidRDefault="00DC46EE">
      <w:pPr>
        <w:pBdr>
          <w:top w:val="nil"/>
          <w:left w:val="nil"/>
          <w:bottom w:val="nil"/>
          <w:right w:val="nil"/>
          <w:between w:val="nil"/>
        </w:pBdr>
        <w:spacing w:after="0" w:line="240" w:lineRule="auto"/>
        <w:ind w:left="720" w:hanging="720"/>
        <w:jc w:val="both"/>
        <w:rPr>
          <w:rFonts w:ascii="Century Gothic" w:eastAsia="Century Gothic" w:hAnsi="Century Gothic" w:cs="Century Gothic"/>
          <w:b/>
          <w:color w:val="000000"/>
        </w:rPr>
      </w:pPr>
    </w:p>
    <w:p w:rsidR="00DC46EE" w:rsidRDefault="00741FB7">
      <w:pPr>
        <w:numPr>
          <w:ilvl w:val="0"/>
          <w:numId w:val="2"/>
        </w:numPr>
        <w:pBdr>
          <w:top w:val="nil"/>
          <w:left w:val="nil"/>
          <w:bottom w:val="nil"/>
          <w:right w:val="nil"/>
          <w:between w:val="nil"/>
        </w:pBdr>
        <w:shd w:val="clear" w:color="auto" w:fill="FFFFFF"/>
        <w:spacing w:before="45" w:after="45" w:line="240" w:lineRule="auto"/>
        <w:ind w:right="30"/>
        <w:jc w:val="both"/>
        <w:rPr>
          <w:color w:val="000000"/>
        </w:rPr>
      </w:pPr>
      <w:r>
        <w:rPr>
          <w:rFonts w:ascii="Century Gothic" w:eastAsia="Century Gothic" w:hAnsi="Century Gothic" w:cs="Century Gothic"/>
          <w:b/>
          <w:color w:val="000000"/>
        </w:rPr>
        <w:t>Por una Ibagué Naranja</w:t>
      </w:r>
    </w:p>
    <w:p w:rsidR="00DC46EE" w:rsidRDefault="00DC46EE">
      <w:pPr>
        <w:pBdr>
          <w:top w:val="nil"/>
          <w:left w:val="nil"/>
          <w:bottom w:val="nil"/>
          <w:right w:val="nil"/>
          <w:between w:val="nil"/>
        </w:pBdr>
        <w:shd w:val="clear" w:color="auto" w:fill="FFFFFF"/>
        <w:spacing w:before="45" w:after="45" w:line="240" w:lineRule="auto"/>
        <w:ind w:left="720"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Sin duda se espera con este acto legislativo posicionar con mayor fuerza a la región y a la ciudad de Ibagué como un lugar atractivo, imprescindible y de obligatoria visita por cualquier colombiano y extranjero interesado en la cultura y la música.</w:t>
      </w:r>
    </w:p>
    <w:p w:rsidR="00DC46EE" w:rsidRDefault="00DC46E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En el </w:t>
      </w:r>
      <w:r>
        <w:rPr>
          <w:rFonts w:ascii="Century Gothic" w:eastAsia="Century Gothic" w:hAnsi="Century Gothic" w:cs="Century Gothic"/>
          <w:color w:val="000000"/>
        </w:rPr>
        <w:t>plano económico podemos esperar de esta medida un aumento en la demanda de bienes de consumo como ropa, alimentos tradicionales, artesanías, entre otros, y un aumento en la demanda de servicios de hospedaje, construcción, tour, transporte y un largo etcéte</w:t>
      </w:r>
      <w:r>
        <w:rPr>
          <w:rFonts w:ascii="Century Gothic" w:eastAsia="Century Gothic" w:hAnsi="Century Gothic" w:cs="Century Gothic"/>
          <w:color w:val="000000"/>
        </w:rPr>
        <w:t xml:space="preserve">ra, pues como ha mencionado </w:t>
      </w:r>
      <w:r>
        <w:rPr>
          <w:rFonts w:ascii="Century Gothic" w:eastAsia="Century Gothic" w:hAnsi="Century Gothic" w:cs="Century Gothic"/>
        </w:rPr>
        <w:t>el</w:t>
      </w:r>
      <w:r>
        <w:rPr>
          <w:rFonts w:ascii="Century Gothic" w:eastAsia="Century Gothic" w:hAnsi="Century Gothic" w:cs="Century Gothic"/>
          <w:color w:val="000000"/>
        </w:rPr>
        <w:t xml:space="preserve"> Presidente, Iván Duque, </w:t>
      </w:r>
      <w:r>
        <w:rPr>
          <w:rFonts w:ascii="Century Gothic" w:eastAsia="Century Gothic" w:hAnsi="Century Gothic" w:cs="Century Gothic"/>
        </w:rPr>
        <w:t>l</w:t>
      </w:r>
      <w:r>
        <w:rPr>
          <w:rFonts w:ascii="Century Gothic" w:eastAsia="Century Gothic" w:hAnsi="Century Gothic" w:cs="Century Gothic"/>
          <w:color w:val="000000"/>
        </w:rPr>
        <w:t xml:space="preserve">a </w:t>
      </w:r>
      <w:r>
        <w:rPr>
          <w:rFonts w:ascii="Century Gothic" w:eastAsia="Century Gothic" w:hAnsi="Century Gothic" w:cs="Century Gothic"/>
        </w:rPr>
        <w:t>e</w:t>
      </w:r>
      <w:r>
        <w:rPr>
          <w:rFonts w:ascii="Century Gothic" w:eastAsia="Century Gothic" w:hAnsi="Century Gothic" w:cs="Century Gothic"/>
          <w:color w:val="000000"/>
        </w:rPr>
        <w:t xml:space="preserve">conomía </w:t>
      </w:r>
      <w:r>
        <w:rPr>
          <w:rFonts w:ascii="Century Gothic" w:eastAsia="Century Gothic" w:hAnsi="Century Gothic" w:cs="Century Gothic"/>
        </w:rPr>
        <w:t>n</w:t>
      </w:r>
      <w:r>
        <w:rPr>
          <w:rFonts w:ascii="Century Gothic" w:eastAsia="Century Gothic" w:hAnsi="Century Gothic" w:cs="Century Gothic"/>
          <w:color w:val="000000"/>
        </w:rPr>
        <w:t>aranja es: "Una oportunidad infinita"</w:t>
      </w:r>
      <w:r>
        <w:rPr>
          <w:rFonts w:ascii="Century Gothic" w:eastAsia="Century Gothic" w:hAnsi="Century Gothic" w:cs="Century Gothic"/>
          <w:color w:val="000000"/>
        </w:rPr>
        <w:t>. La Economía Naranja es la economía creativa, basada en el talento y la herencia cultural de nuestros pueblos, para generar empleos, promover nuevos emprendimientos y futuras políticas públicas que nos permitan apoyar nuestro turismo y a nuestros grandes,</w:t>
      </w:r>
      <w:r>
        <w:rPr>
          <w:rFonts w:ascii="Century Gothic" w:eastAsia="Century Gothic" w:hAnsi="Century Gothic" w:cs="Century Gothic"/>
          <w:color w:val="000000"/>
        </w:rPr>
        <w:t xml:space="preserve"> pero abandonados artistas.</w:t>
      </w:r>
    </w:p>
    <w:p w:rsidR="00DC46EE" w:rsidRDefault="00DC46E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El primer paso, desde luego, es la aprobación del proyecto de acto legislativo; en un segundo paso, se podrán desarrollar localmente todas las políticas públicas de seguimiento, acompañamiento y apoyo por parte del Estado para </w:t>
      </w:r>
      <w:r>
        <w:rPr>
          <w:rFonts w:ascii="Century Gothic" w:eastAsia="Century Gothic" w:hAnsi="Century Gothic" w:cs="Century Gothic"/>
          <w:color w:val="000000"/>
        </w:rPr>
        <w:t xml:space="preserve">que estos emprendimientos naranjas, culturales y musicales se conviertan en bienes y servicios </w:t>
      </w:r>
      <w:r>
        <w:rPr>
          <w:rFonts w:ascii="Century Gothic" w:eastAsia="Century Gothic" w:hAnsi="Century Gothic" w:cs="Century Gothic"/>
        </w:rPr>
        <w:t>ex</w:t>
      </w:r>
      <w:r>
        <w:rPr>
          <w:rFonts w:ascii="Century Gothic" w:eastAsia="Century Gothic" w:hAnsi="Century Gothic" w:cs="Century Gothic"/>
          <w:color w:val="000000"/>
        </w:rPr>
        <w:t>portables al resto del mundo, a partir de la conectividad, cooperación, cotrabajo, coproducción, cocreación, cofinanciación, etc.</w:t>
      </w:r>
    </w:p>
    <w:p w:rsidR="00DC46EE" w:rsidRDefault="00DC46E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p>
    <w:p w:rsidR="00DC46EE" w:rsidRDefault="008226C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Toda vez que </w:t>
      </w:r>
      <w:r>
        <w:rPr>
          <w:rFonts w:ascii="Century Gothic" w:eastAsia="Century Gothic" w:hAnsi="Century Gothic" w:cs="Century Gothic"/>
        </w:rPr>
        <w:t>l</w:t>
      </w:r>
      <w:r>
        <w:rPr>
          <w:rFonts w:ascii="Century Gothic" w:eastAsia="Century Gothic" w:hAnsi="Century Gothic" w:cs="Century Gothic"/>
          <w:color w:val="000000"/>
        </w:rPr>
        <w:t>a posibilidad de elevar la capital tolimense a </w:t>
      </w:r>
      <w:r>
        <w:rPr>
          <w:rFonts w:ascii="Century Gothic" w:eastAsia="Century Gothic" w:hAnsi="Century Gothic" w:cs="Century Gothic"/>
          <w:b/>
          <w:i/>
          <w:color w:val="000000"/>
        </w:rPr>
        <w:t>Distrito Especial, Cultural y Musical</w:t>
      </w:r>
      <w:r>
        <w:rPr>
          <w:rFonts w:ascii="Century Gothic" w:eastAsia="Century Gothic" w:hAnsi="Century Gothic" w:cs="Century Gothic"/>
          <w:color w:val="000000"/>
        </w:rPr>
        <w:t> viabiliza un mejor empuje, manejo y desarro</w:t>
      </w:r>
      <w:r>
        <w:rPr>
          <w:rFonts w:ascii="Century Gothic" w:eastAsia="Century Gothic" w:hAnsi="Century Gothic" w:cs="Century Gothic"/>
          <w:color w:val="000000"/>
        </w:rPr>
        <w:t xml:space="preserve">llo de la economía local, </w:t>
      </w:r>
      <w:r w:rsidR="00741FB7">
        <w:rPr>
          <w:rFonts w:ascii="Century Gothic" w:eastAsia="Century Gothic" w:hAnsi="Century Gothic" w:cs="Century Gothic"/>
          <w:color w:val="000000"/>
        </w:rPr>
        <w:t xml:space="preserve"> estos sectores </w:t>
      </w:r>
      <w:r w:rsidR="00741FB7">
        <w:rPr>
          <w:rFonts w:ascii="Century Gothic" w:eastAsia="Century Gothic" w:hAnsi="Century Gothic" w:cs="Century Gothic"/>
          <w:color w:val="000000"/>
        </w:rPr>
        <w:t>se verá</w:t>
      </w:r>
      <w:r>
        <w:rPr>
          <w:rFonts w:ascii="Century Gothic" w:eastAsia="Century Gothic" w:hAnsi="Century Gothic" w:cs="Century Gothic"/>
          <w:color w:val="000000"/>
        </w:rPr>
        <w:t xml:space="preserve">n beneficiados de forma directa. De la misma forma </w:t>
      </w:r>
      <w:r w:rsidR="00741FB7">
        <w:rPr>
          <w:rFonts w:ascii="Century Gothic" w:eastAsia="Century Gothic" w:hAnsi="Century Gothic" w:cs="Century Gothic"/>
          <w:color w:val="000000"/>
        </w:rPr>
        <w:t>beneficiarán al resto de ibaguereños, ya que una mayor demanda de estos bienes y servicios les posibilita a los empresarios expandir sus negocios y crear empleos formales, de esta manera, todos l</w:t>
      </w:r>
      <w:r w:rsidR="00741FB7">
        <w:rPr>
          <w:rFonts w:ascii="Century Gothic" w:eastAsia="Century Gothic" w:hAnsi="Century Gothic" w:cs="Century Gothic"/>
          <w:color w:val="000000"/>
        </w:rPr>
        <w:t xml:space="preserve">os ibaguereños y colombianos nos veremos favorecidos en el marco de la legalidad, el emprendimiento y la equidad. </w:t>
      </w:r>
    </w:p>
    <w:p w:rsidR="00DC46EE" w:rsidRDefault="00DC46E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Se presenta a continuación el estado económico y social de Ibagué con corte del primer trimestre de 2018 del Boletín Económico Regional (BER), que se publicó en el mes de junio del presente año por el Banco de la República. Este </w:t>
      </w:r>
      <w:r>
        <w:rPr>
          <w:rFonts w:ascii="Century Gothic" w:eastAsia="Century Gothic" w:hAnsi="Century Gothic" w:cs="Century Gothic"/>
          <w:color w:val="000000"/>
        </w:rPr>
        <w:t>boletín es producido trimestralmente desde 2003 y tiene el propósito de:</w:t>
      </w:r>
    </w:p>
    <w:p w:rsidR="00DC46EE" w:rsidRDefault="00DC46E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"Ofrecer a los agentes de la economía y al público en general información periódica, confiable y oportuna sobre la evolución de las principales variables de la actividad económica de</w:t>
      </w:r>
      <w:r>
        <w:rPr>
          <w:rFonts w:ascii="Century Gothic" w:eastAsia="Century Gothic" w:hAnsi="Century Gothic" w:cs="Century Gothic"/>
          <w:color w:val="000000"/>
        </w:rPr>
        <w:t xml:space="preserve"> las regiones del país, de acuerdo con clasificación propia del Banco de la República"</w:t>
      </w:r>
      <w:r>
        <w:rPr>
          <w:rFonts w:ascii="Century Gothic" w:eastAsia="Century Gothic" w:hAnsi="Century Gothic" w:cs="Century Gothic"/>
          <w:color w:val="000000"/>
          <w:vertAlign w:val="superscript"/>
        </w:rPr>
        <w:footnoteReference w:id="7"/>
      </w:r>
      <w:r>
        <w:rPr>
          <w:rFonts w:ascii="Century Gothic" w:eastAsia="Century Gothic" w:hAnsi="Century Gothic" w:cs="Century Gothic"/>
          <w:color w:val="000000"/>
        </w:rPr>
        <w:t>.</w:t>
      </w:r>
    </w:p>
    <w:p w:rsidR="00DC46EE" w:rsidRDefault="00DC46E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Así, este boletín</w:t>
      </w:r>
      <w:r>
        <w:rPr>
          <w:rFonts w:ascii="Century Gothic" w:eastAsia="Century Gothic" w:hAnsi="Century Gothic" w:cs="Century Gothic"/>
          <w:color w:val="000000"/>
          <w:vertAlign w:val="superscript"/>
        </w:rPr>
        <w:footnoteReference w:id="8"/>
      </w:r>
      <w:r>
        <w:rPr>
          <w:rFonts w:ascii="Century Gothic" w:eastAsia="Century Gothic" w:hAnsi="Century Gothic" w:cs="Century Gothic"/>
          <w:color w:val="000000"/>
        </w:rPr>
        <w:t> -sin descartar otros que puedan damos información relevante, como los del DANE- será nuestro punto de estado de cosas a partir del cual con esta in</w:t>
      </w:r>
      <w:r>
        <w:rPr>
          <w:rFonts w:ascii="Century Gothic" w:eastAsia="Century Gothic" w:hAnsi="Century Gothic" w:cs="Century Gothic"/>
          <w:color w:val="000000"/>
        </w:rPr>
        <w:t>iciativa legislativa podemos empezar a ver las oportunidades y potencialidades para el desarrollo de la región. Vale decir, en lo que se refiere a las variables relacionadas con la cultura y la música, que se verán maximizadas de declararse nuestra capital</w:t>
      </w:r>
      <w:r>
        <w:rPr>
          <w:rFonts w:ascii="Century Gothic" w:eastAsia="Century Gothic" w:hAnsi="Century Gothic" w:cs="Century Gothic"/>
          <w:color w:val="000000"/>
        </w:rPr>
        <w:t xml:space="preserve"> como distrito, justificando así la modificación constitucional propuesta.</w:t>
      </w:r>
    </w:p>
    <w:p w:rsidR="00A05651" w:rsidRDefault="00A05651">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p>
    <w:p w:rsidR="00A05651" w:rsidRDefault="00A05651">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p>
    <w:p w:rsidR="00DC46EE" w:rsidRDefault="00DC46E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p>
    <w:p w:rsidR="00DC46EE" w:rsidRDefault="00741FB7">
      <w:pPr>
        <w:numPr>
          <w:ilvl w:val="0"/>
          <w:numId w:val="2"/>
        </w:numPr>
        <w:pBdr>
          <w:top w:val="nil"/>
          <w:left w:val="nil"/>
          <w:bottom w:val="nil"/>
          <w:right w:val="nil"/>
          <w:between w:val="nil"/>
        </w:pBdr>
        <w:shd w:val="clear" w:color="auto" w:fill="FFFFFF"/>
        <w:spacing w:before="45" w:after="45" w:line="240" w:lineRule="auto"/>
        <w:ind w:right="30"/>
        <w:jc w:val="both"/>
        <w:rPr>
          <w:color w:val="000000"/>
        </w:rPr>
      </w:pPr>
      <w:r>
        <w:rPr>
          <w:rFonts w:ascii="Century Gothic" w:eastAsia="Century Gothic" w:hAnsi="Century Gothic" w:cs="Century Gothic"/>
          <w:b/>
          <w:color w:val="000000"/>
        </w:rPr>
        <w:t>Comercio y turismo</w:t>
      </w:r>
    </w:p>
    <w:p w:rsidR="00DC46EE" w:rsidRDefault="00DC46EE">
      <w:pPr>
        <w:pBdr>
          <w:top w:val="nil"/>
          <w:left w:val="nil"/>
          <w:bottom w:val="nil"/>
          <w:right w:val="nil"/>
          <w:between w:val="nil"/>
        </w:pBdr>
        <w:shd w:val="clear" w:color="auto" w:fill="FFFFFF"/>
        <w:spacing w:before="45" w:after="45" w:line="240" w:lineRule="auto"/>
        <w:ind w:left="720"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En cuanto al comercio de la ocupación hotelera -directamente relacionada con la medida propuesta- con información obtenida de la Asociación Hotelera y Turística de Colombia (Cotelco), el promedio de tasa del país aumentó 0,4 puntos porcentuales (pp) para u</w:t>
      </w:r>
      <w:r>
        <w:rPr>
          <w:rFonts w:ascii="Century Gothic" w:eastAsia="Century Gothic" w:hAnsi="Century Gothic" w:cs="Century Gothic"/>
          <w:color w:val="000000"/>
        </w:rPr>
        <w:t xml:space="preserve">n ascenso del 55,7% en el primer trimestre de 2018, en el caso del Tolima los establecimientos obtuvieron un aumento 3,8 pp, para un coeficiente de 52,6%. </w:t>
      </w:r>
    </w:p>
    <w:p w:rsidR="00DC46EE" w:rsidRDefault="00DC46E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rPr>
      </w:pPr>
    </w:p>
    <w:p w:rsidR="00DC46EE" w:rsidRDefault="00741FB7">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En tanto y en cuanto, una medida como la propuesta incentivará el atractivo de nuestra capital musical, y le permitirá una mayor cantidad de inversión, notaremos cómo se acrecentarán los presentados puntos porcentuales. En el mismo sentido, la habitación e</w:t>
      </w:r>
      <w:r>
        <w:rPr>
          <w:rFonts w:ascii="Century Gothic" w:eastAsia="Century Gothic" w:hAnsi="Century Gothic" w:cs="Century Gothic"/>
          <w:color w:val="000000"/>
        </w:rPr>
        <w:t>n la región tuvo un alza 4,4 pp, para un precio de $141.271 por habitación, lo que nos indica que aumenta la demanda en este sector y, a su vez, registra información importante para el sector de la construcción.</w:t>
      </w:r>
    </w:p>
    <w:p w:rsidR="00DC46EE" w:rsidRDefault="00DC46EE">
      <w:pPr>
        <w:shd w:val="clear" w:color="auto" w:fill="FFFFFF"/>
        <w:spacing w:before="40" w:after="40" w:line="240" w:lineRule="auto"/>
        <w:ind w:right="40"/>
        <w:jc w:val="both"/>
        <w:rPr>
          <w:rFonts w:ascii="Century Gothic" w:eastAsia="Century Gothic" w:hAnsi="Century Gothic" w:cs="Century Gothic"/>
          <w:b/>
          <w:highlight w:val="white"/>
        </w:rPr>
      </w:pPr>
    </w:p>
    <w:p w:rsidR="00DC46EE" w:rsidRDefault="00741FB7">
      <w:pPr>
        <w:shd w:val="clear" w:color="auto" w:fill="FFFFFF"/>
        <w:spacing w:before="40" w:after="40" w:line="240" w:lineRule="auto"/>
        <w:ind w:right="40"/>
        <w:jc w:val="both"/>
        <w:rPr>
          <w:rFonts w:ascii="Century Gothic" w:eastAsia="Century Gothic" w:hAnsi="Century Gothic" w:cs="Century Gothic"/>
          <w:color w:val="1155CC"/>
          <w:sz w:val="24"/>
          <w:szCs w:val="24"/>
          <w:highlight w:val="white"/>
          <w:u w:val="single"/>
          <w:vertAlign w:val="superscript"/>
        </w:rPr>
      </w:pPr>
      <w:r>
        <w:rPr>
          <w:rFonts w:ascii="Century Gothic" w:eastAsia="Century Gothic" w:hAnsi="Century Gothic" w:cs="Century Gothic"/>
          <w:b/>
          <w:highlight w:val="white"/>
        </w:rPr>
        <w:t>Cuadro número 1</w:t>
      </w:r>
      <w:r>
        <w:rPr>
          <w:rFonts w:ascii="Century Gothic" w:eastAsia="Century Gothic" w:hAnsi="Century Gothic" w:cs="Century Gothic"/>
          <w:sz w:val="24"/>
          <w:szCs w:val="24"/>
          <w:highlight w:val="white"/>
          <w:vertAlign w:val="superscript"/>
        </w:rPr>
        <w:footnoteReference w:id="9"/>
      </w:r>
      <w:r>
        <w:fldChar w:fldCharType="begin"/>
      </w:r>
      <w:r>
        <w:instrText xml:space="preserve"> HYPERLINK "</w:instrText>
      </w:r>
      <w:r>
        <w:instrText xml:space="preserve">http://svrpubindc.imprenta.gov.co/senado/view/gestion/gacetaPublica.xhtml#footnote-015" </w:instrText>
      </w:r>
      <w:r>
        <w:fldChar w:fldCharType="separate"/>
      </w:r>
    </w:p>
    <w:p w:rsidR="00DC46EE" w:rsidRDefault="00741FB7" w:rsidP="008226C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b/>
          <w:color w:val="000000"/>
        </w:rPr>
      </w:pPr>
      <w:r>
        <w:fldChar w:fldCharType="end"/>
      </w:r>
      <w:r>
        <w:rPr>
          <w:rFonts w:ascii="Century Gothic" w:eastAsia="Century Gothic" w:hAnsi="Century Gothic" w:cs="Century Gothic"/>
          <w:noProof/>
        </w:rPr>
        <w:drawing>
          <wp:inline distT="0" distB="0" distL="0" distR="0">
            <wp:extent cx="5095875" cy="2362200"/>
            <wp:effectExtent l="0" t="0" r="9525" b="0"/>
            <wp:docPr id="1" name="image1.png" descr="http://svrpubindc.imprenta.gov.co/ServicioGacetasWAR/rest/consultar/getImage/810/Imagen1074/04-10-2018"/>
            <wp:cNvGraphicFramePr/>
            <a:graphic xmlns:a="http://schemas.openxmlformats.org/drawingml/2006/main">
              <a:graphicData uri="http://schemas.openxmlformats.org/drawingml/2006/picture">
                <pic:pic xmlns:pic="http://schemas.openxmlformats.org/drawingml/2006/picture">
                  <pic:nvPicPr>
                    <pic:cNvPr id="0" name="image1.png" descr="http://svrpubindc.imprenta.gov.co/ServicioGacetasWAR/rest/consultar/getImage/810/Imagen1074/04-10-2018"/>
                    <pic:cNvPicPr preferRelativeResize="0"/>
                  </pic:nvPicPr>
                  <pic:blipFill>
                    <a:blip r:embed="rId7"/>
                    <a:srcRect/>
                    <a:stretch>
                      <a:fillRect/>
                    </a:stretch>
                  </pic:blipFill>
                  <pic:spPr>
                    <a:xfrm>
                      <a:off x="0" y="0"/>
                      <a:ext cx="5096443" cy="2362463"/>
                    </a:xfrm>
                    <a:prstGeom prst="rect">
                      <a:avLst/>
                    </a:prstGeom>
                    <a:ln/>
                  </pic:spPr>
                </pic:pic>
              </a:graphicData>
            </a:graphic>
          </wp:inline>
        </w:drawing>
      </w:r>
    </w:p>
    <w:p w:rsidR="00DC46EE" w:rsidRDefault="00DC46EE">
      <w:pPr>
        <w:spacing w:after="0" w:line="240" w:lineRule="auto"/>
        <w:rPr>
          <w:rFonts w:ascii="Century Gothic" w:eastAsia="Century Gothic" w:hAnsi="Century Gothic" w:cs="Century Gothic"/>
          <w:b/>
          <w:color w:val="000000"/>
        </w:rPr>
      </w:pPr>
    </w:p>
    <w:p w:rsidR="008226CE" w:rsidRDefault="008226CE">
      <w:pPr>
        <w:pBdr>
          <w:top w:val="nil"/>
          <w:left w:val="nil"/>
          <w:bottom w:val="nil"/>
          <w:right w:val="nil"/>
          <w:between w:val="nil"/>
        </w:pBdr>
        <w:spacing w:after="0" w:line="240" w:lineRule="auto"/>
        <w:ind w:left="1440"/>
        <w:rPr>
          <w:rFonts w:ascii="Century Gothic" w:eastAsia="Century Gothic" w:hAnsi="Century Gothic" w:cs="Century Gothic"/>
          <w:b/>
        </w:rPr>
      </w:pPr>
    </w:p>
    <w:p w:rsidR="00DC46EE" w:rsidRDefault="00741FB7">
      <w:pPr>
        <w:numPr>
          <w:ilvl w:val="0"/>
          <w:numId w:val="2"/>
        </w:numPr>
        <w:pBdr>
          <w:top w:val="nil"/>
          <w:left w:val="nil"/>
          <w:bottom w:val="nil"/>
          <w:right w:val="nil"/>
          <w:between w:val="nil"/>
        </w:pBdr>
        <w:spacing w:after="0" w:line="240" w:lineRule="auto"/>
        <w:contextualSpacing/>
        <w:rPr>
          <w:color w:val="000000"/>
        </w:rPr>
      </w:pPr>
      <w:r>
        <w:rPr>
          <w:rFonts w:ascii="Century Gothic" w:eastAsia="Century Gothic" w:hAnsi="Century Gothic" w:cs="Century Gothic"/>
          <w:b/>
          <w:color w:val="000000"/>
        </w:rPr>
        <w:t>Transporte terrestre y aéreo</w:t>
      </w:r>
    </w:p>
    <w:p w:rsidR="00DC46EE" w:rsidRDefault="00DC46EE">
      <w:pPr>
        <w:pBdr>
          <w:top w:val="nil"/>
          <w:left w:val="nil"/>
          <w:bottom w:val="nil"/>
          <w:right w:val="nil"/>
          <w:between w:val="nil"/>
        </w:pBdr>
        <w:spacing w:after="0" w:line="240" w:lineRule="auto"/>
        <w:ind w:left="720" w:hanging="720"/>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Aunque se registra un aumento en este primer trimestre de 2018 en el transporte terrestre, en </w:t>
      </w:r>
      <w:r w:rsidR="008226CE">
        <w:rPr>
          <w:rFonts w:ascii="Century Gothic" w:eastAsia="Century Gothic" w:hAnsi="Century Gothic" w:cs="Century Gothic"/>
          <w:color w:val="000000"/>
        </w:rPr>
        <w:t>comparación</w:t>
      </w:r>
      <w:r>
        <w:rPr>
          <w:rFonts w:ascii="Century Gothic" w:eastAsia="Century Gothic" w:hAnsi="Century Gothic" w:cs="Century Gothic"/>
          <w:color w:val="000000"/>
        </w:rPr>
        <w:t xml:space="preserve"> al primer trimestre del año anterior, es menester aclarar, que, entre otras razones, esencialmente puede deberse a un mayor número de festivos, dado q</w:t>
      </w:r>
      <w:r>
        <w:rPr>
          <w:rFonts w:ascii="Century Gothic" w:eastAsia="Century Gothic" w:hAnsi="Century Gothic" w:cs="Century Gothic"/>
          <w:color w:val="000000"/>
        </w:rPr>
        <w:t>ue la Semana Santa en este año se registró en marzo</w:t>
      </w:r>
      <w:r>
        <w:rPr>
          <w:rFonts w:ascii="Century Gothic" w:eastAsia="Century Gothic" w:hAnsi="Century Gothic" w:cs="Century Gothic"/>
          <w:color w:val="000000"/>
          <w:vertAlign w:val="superscript"/>
        </w:rPr>
        <w:footnoteReference w:id="10"/>
      </w:r>
      <w:r>
        <w:rPr>
          <w:rFonts w:ascii="Century Gothic" w:eastAsia="Century Gothic" w:hAnsi="Century Gothic" w:cs="Century Gothic"/>
          <w:color w:val="000000"/>
        </w:rPr>
        <w:t>. De cualquier modo, el aumento presentado en Ibagué fue de 1.106.242, cifra que en la medida de la viabilidad del proyecto de acto legislativo puede seguirse aumentando.</w:t>
      </w:r>
    </w:p>
    <w:p w:rsidR="00DC46EE" w:rsidRDefault="00DC46EE">
      <w:pPr>
        <w:pBdr>
          <w:top w:val="nil"/>
          <w:left w:val="nil"/>
          <w:bottom w:val="nil"/>
          <w:right w:val="nil"/>
          <w:between w:val="nil"/>
        </w:pBdr>
        <w:shd w:val="clear" w:color="auto" w:fill="FFFFFF"/>
        <w:spacing w:before="45" w:after="45" w:line="240" w:lineRule="auto"/>
        <w:ind w:right="30"/>
        <w:jc w:val="both"/>
        <w:rPr>
          <w:rFonts w:ascii="Century Gothic" w:eastAsia="Century Gothic" w:hAnsi="Century Gothic" w:cs="Century Gothic"/>
        </w:rPr>
      </w:pPr>
    </w:p>
    <w:p w:rsidR="00DC46EE" w:rsidRDefault="00DC46EE">
      <w:pPr>
        <w:shd w:val="clear" w:color="auto" w:fill="FFFFFF"/>
        <w:spacing w:before="45" w:after="0"/>
        <w:ind w:right="30"/>
        <w:jc w:val="both"/>
        <w:rPr>
          <w:rFonts w:ascii="Century Gothic" w:eastAsia="Century Gothic" w:hAnsi="Century Gothic" w:cs="Century Gothic"/>
          <w:b/>
          <w:highlight w:val="white"/>
        </w:rPr>
      </w:pPr>
    </w:p>
    <w:p w:rsidR="00DC46EE" w:rsidRDefault="00741FB7">
      <w:pPr>
        <w:shd w:val="clear" w:color="auto" w:fill="FFFFFF"/>
        <w:spacing w:before="45" w:after="0"/>
        <w:ind w:right="30"/>
        <w:jc w:val="both"/>
        <w:rPr>
          <w:rFonts w:ascii="Century Gothic" w:eastAsia="Century Gothic" w:hAnsi="Century Gothic" w:cs="Century Gothic"/>
          <w:color w:val="1155CC"/>
          <w:sz w:val="24"/>
          <w:szCs w:val="24"/>
          <w:highlight w:val="white"/>
          <w:u w:val="single"/>
          <w:vertAlign w:val="superscript"/>
        </w:rPr>
      </w:pPr>
      <w:r>
        <w:rPr>
          <w:rFonts w:ascii="Century Gothic" w:eastAsia="Century Gothic" w:hAnsi="Century Gothic" w:cs="Century Gothic"/>
          <w:b/>
          <w:highlight w:val="white"/>
        </w:rPr>
        <w:t>Cuadro número 2</w:t>
      </w:r>
      <w:r>
        <w:rPr>
          <w:rFonts w:ascii="Century Gothic" w:eastAsia="Century Gothic" w:hAnsi="Century Gothic" w:cs="Century Gothic"/>
          <w:b/>
          <w:sz w:val="18"/>
          <w:szCs w:val="18"/>
          <w:highlight w:val="white"/>
        </w:rPr>
        <w:t>.</w:t>
      </w:r>
      <w:r>
        <w:rPr>
          <w:rFonts w:ascii="Century Gothic" w:eastAsia="Century Gothic" w:hAnsi="Century Gothic" w:cs="Century Gothic"/>
          <w:sz w:val="24"/>
          <w:szCs w:val="24"/>
          <w:highlight w:val="white"/>
          <w:vertAlign w:val="superscript"/>
        </w:rPr>
        <w:footnoteReference w:id="11"/>
      </w:r>
      <w:r>
        <w:fldChar w:fldCharType="begin"/>
      </w:r>
      <w:r>
        <w:instrText xml:space="preserve"> HYPERLINK "ht</w:instrText>
      </w:r>
      <w:r>
        <w:instrText xml:space="preserve">tp://svrpubindc.imprenta.gov.co/senado/view/gestion/gacetaPublica.xhtml#footnote-013" </w:instrText>
      </w:r>
      <w:r>
        <w:fldChar w:fldCharType="separate"/>
      </w:r>
    </w:p>
    <w:p w:rsidR="00DC46EE" w:rsidRDefault="00741FB7">
      <w:pPr>
        <w:spacing w:after="0" w:line="240" w:lineRule="auto"/>
        <w:jc w:val="both"/>
        <w:rPr>
          <w:rFonts w:ascii="Century Gothic" w:eastAsia="Century Gothic" w:hAnsi="Century Gothic" w:cs="Century Gothic"/>
        </w:rPr>
      </w:pPr>
      <w:r>
        <w:fldChar w:fldCharType="end"/>
      </w:r>
    </w:p>
    <w:p w:rsidR="00DC46EE" w:rsidRDefault="00741FB7">
      <w:pPr>
        <w:spacing w:after="0" w:line="240" w:lineRule="auto"/>
        <w:jc w:val="center"/>
        <w:rPr>
          <w:rFonts w:ascii="Century Gothic" w:eastAsia="Century Gothic" w:hAnsi="Century Gothic" w:cs="Century Gothic"/>
        </w:rPr>
      </w:pPr>
      <w:r>
        <w:rPr>
          <w:rFonts w:ascii="Century Gothic" w:eastAsia="Century Gothic" w:hAnsi="Century Gothic" w:cs="Century Gothic"/>
          <w:noProof/>
        </w:rPr>
        <w:drawing>
          <wp:inline distT="0" distB="0" distL="0" distR="0">
            <wp:extent cx="4400550" cy="2000250"/>
            <wp:effectExtent l="0" t="0" r="0" b="0"/>
            <wp:docPr id="3" name="image6.png" descr="http://svrpubindc.imprenta.gov.co/ServicioGacetasWAR/rest/consultar/getImage/810/Imagen1081/04-10-2018"/>
            <wp:cNvGraphicFramePr/>
            <a:graphic xmlns:a="http://schemas.openxmlformats.org/drawingml/2006/main">
              <a:graphicData uri="http://schemas.openxmlformats.org/drawingml/2006/picture">
                <pic:pic xmlns:pic="http://schemas.openxmlformats.org/drawingml/2006/picture">
                  <pic:nvPicPr>
                    <pic:cNvPr id="0" name="image6.png" descr="http://svrpubindc.imprenta.gov.co/ServicioGacetasWAR/rest/consultar/getImage/810/Imagen1081/04-10-2018"/>
                    <pic:cNvPicPr preferRelativeResize="0"/>
                  </pic:nvPicPr>
                  <pic:blipFill>
                    <a:blip r:embed="rId8"/>
                    <a:srcRect/>
                    <a:stretch>
                      <a:fillRect/>
                    </a:stretch>
                  </pic:blipFill>
                  <pic:spPr>
                    <a:xfrm>
                      <a:off x="0" y="0"/>
                      <a:ext cx="4400550" cy="2000250"/>
                    </a:xfrm>
                    <a:prstGeom prst="rect">
                      <a:avLst/>
                    </a:prstGeom>
                    <a:ln/>
                  </pic:spPr>
                </pic:pic>
              </a:graphicData>
            </a:graphic>
          </wp:inline>
        </w:drawing>
      </w:r>
    </w:p>
    <w:p w:rsidR="00DC46EE" w:rsidRDefault="00DC46EE">
      <w:pPr>
        <w:spacing w:after="0" w:line="240" w:lineRule="auto"/>
        <w:jc w:val="both"/>
        <w:rPr>
          <w:rFonts w:ascii="Century Gothic" w:eastAsia="Century Gothic" w:hAnsi="Century Gothic" w:cs="Century Gothic"/>
          <w:color w:val="000000"/>
          <w:highlight w:val="white"/>
        </w:rPr>
      </w:pPr>
    </w:p>
    <w:p w:rsidR="00DC46EE" w:rsidRDefault="00741FB7">
      <w:pPr>
        <w:spacing w:after="0" w:line="240" w:lineRule="auto"/>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En lo que al transporte aéreo se refiere, notamos que hay una caída en Ibagué a -24,6 pp, para un total de 14.758 pasajeros, producto de reestructuraciones de varias aerolíneas como de cambios en la logística del aeródromo Perales de Ibagué.</w:t>
      </w:r>
    </w:p>
    <w:p w:rsidR="00DC46EE" w:rsidRDefault="00DC46EE">
      <w:pPr>
        <w:spacing w:after="0" w:line="240" w:lineRule="auto"/>
        <w:jc w:val="both"/>
        <w:rPr>
          <w:rFonts w:ascii="Century Gothic" w:eastAsia="Century Gothic" w:hAnsi="Century Gothic" w:cs="Century Gothic"/>
          <w:highlight w:val="white"/>
        </w:rPr>
      </w:pPr>
    </w:p>
    <w:p w:rsidR="008226CE" w:rsidRDefault="008226CE">
      <w:pPr>
        <w:spacing w:after="0"/>
        <w:jc w:val="both"/>
        <w:rPr>
          <w:rFonts w:ascii="Century Gothic" w:eastAsia="Century Gothic" w:hAnsi="Century Gothic" w:cs="Century Gothic"/>
          <w:b/>
          <w:highlight w:val="white"/>
        </w:rPr>
      </w:pPr>
    </w:p>
    <w:p w:rsidR="00DC46EE" w:rsidRDefault="00741FB7">
      <w:pPr>
        <w:spacing w:after="0"/>
        <w:jc w:val="both"/>
        <w:rPr>
          <w:rFonts w:ascii="Century Gothic" w:eastAsia="Century Gothic" w:hAnsi="Century Gothic" w:cs="Century Gothic"/>
        </w:rPr>
      </w:pPr>
      <w:r>
        <w:rPr>
          <w:rFonts w:ascii="Century Gothic" w:eastAsia="Century Gothic" w:hAnsi="Century Gothic" w:cs="Century Gothic"/>
          <w:b/>
          <w:highlight w:val="white"/>
        </w:rPr>
        <w:t>Cuadro número</w:t>
      </w:r>
      <w:r>
        <w:rPr>
          <w:rFonts w:ascii="Century Gothic" w:eastAsia="Century Gothic" w:hAnsi="Century Gothic" w:cs="Century Gothic"/>
          <w:b/>
          <w:highlight w:val="white"/>
        </w:rPr>
        <w:t xml:space="preserve"> 3</w:t>
      </w:r>
      <w:r>
        <w:rPr>
          <w:rFonts w:ascii="Century Gothic" w:eastAsia="Century Gothic" w:hAnsi="Century Gothic" w:cs="Century Gothic"/>
          <w:b/>
          <w:sz w:val="18"/>
          <w:szCs w:val="18"/>
          <w:highlight w:val="white"/>
        </w:rPr>
        <w:t>.</w:t>
      </w:r>
      <w:r>
        <w:rPr>
          <w:rFonts w:ascii="Century Gothic" w:eastAsia="Century Gothic" w:hAnsi="Century Gothic" w:cs="Century Gothic"/>
          <w:sz w:val="24"/>
          <w:szCs w:val="24"/>
          <w:highlight w:val="white"/>
          <w:vertAlign w:val="superscript"/>
        </w:rPr>
        <w:footnoteReference w:id="12"/>
      </w:r>
    </w:p>
    <w:p w:rsidR="00DC46EE" w:rsidRDefault="00741FB7">
      <w:pPr>
        <w:spacing w:after="0" w:line="240" w:lineRule="auto"/>
        <w:jc w:val="center"/>
        <w:rPr>
          <w:rFonts w:ascii="Century Gothic" w:eastAsia="Century Gothic" w:hAnsi="Century Gothic" w:cs="Century Gothic"/>
        </w:rPr>
      </w:pPr>
      <w:r>
        <w:rPr>
          <w:rFonts w:ascii="Century Gothic" w:eastAsia="Century Gothic" w:hAnsi="Century Gothic" w:cs="Century Gothic"/>
          <w:noProof/>
        </w:rPr>
        <w:drawing>
          <wp:inline distT="0" distB="0" distL="0" distR="0">
            <wp:extent cx="4781550" cy="1771650"/>
            <wp:effectExtent l="0" t="0" r="0" b="0"/>
            <wp:docPr id="2" name="image8.png" descr="http://svrpubindc.imprenta.gov.co/ServicioGacetasWAR/rest/consultar/getImage/810/Imagen1089/04-10-2018"/>
            <wp:cNvGraphicFramePr/>
            <a:graphic xmlns:a="http://schemas.openxmlformats.org/drawingml/2006/main">
              <a:graphicData uri="http://schemas.openxmlformats.org/drawingml/2006/picture">
                <pic:pic xmlns:pic="http://schemas.openxmlformats.org/drawingml/2006/picture">
                  <pic:nvPicPr>
                    <pic:cNvPr id="0" name="image8.png" descr="http://svrpubindc.imprenta.gov.co/ServicioGacetasWAR/rest/consultar/getImage/810/Imagen1089/04-10-2018"/>
                    <pic:cNvPicPr preferRelativeResize="0"/>
                  </pic:nvPicPr>
                  <pic:blipFill>
                    <a:blip r:embed="rId9"/>
                    <a:srcRect/>
                    <a:stretch>
                      <a:fillRect/>
                    </a:stretch>
                  </pic:blipFill>
                  <pic:spPr>
                    <a:xfrm>
                      <a:off x="0" y="0"/>
                      <a:ext cx="4781550" cy="1771650"/>
                    </a:xfrm>
                    <a:prstGeom prst="rect">
                      <a:avLst/>
                    </a:prstGeom>
                    <a:ln/>
                  </pic:spPr>
                </pic:pic>
              </a:graphicData>
            </a:graphic>
          </wp:inline>
        </w:drawing>
      </w:r>
    </w:p>
    <w:p w:rsidR="00DC46EE" w:rsidRDefault="00DC46EE">
      <w:pPr>
        <w:spacing w:after="0" w:line="240" w:lineRule="auto"/>
        <w:jc w:val="both"/>
        <w:rPr>
          <w:rFonts w:ascii="Century Gothic" w:eastAsia="Century Gothic" w:hAnsi="Century Gothic" w:cs="Century Gothic"/>
        </w:rPr>
      </w:pPr>
    </w:p>
    <w:p w:rsidR="00A05651" w:rsidRDefault="00A05651">
      <w:pPr>
        <w:spacing w:after="0" w:line="240" w:lineRule="auto"/>
        <w:jc w:val="both"/>
        <w:rPr>
          <w:rFonts w:ascii="Century Gothic" w:eastAsia="Century Gothic" w:hAnsi="Century Gothic" w:cs="Century Gothic"/>
        </w:rPr>
      </w:pPr>
    </w:p>
    <w:p w:rsidR="00DC46EE" w:rsidRDefault="00741FB7">
      <w:pPr>
        <w:numPr>
          <w:ilvl w:val="0"/>
          <w:numId w:val="2"/>
        </w:numPr>
        <w:pBdr>
          <w:top w:val="nil"/>
          <w:left w:val="nil"/>
          <w:bottom w:val="nil"/>
          <w:right w:val="nil"/>
          <w:between w:val="nil"/>
        </w:pBdr>
        <w:shd w:val="clear" w:color="auto" w:fill="FFFFFF"/>
        <w:spacing w:before="45" w:after="15" w:line="240" w:lineRule="auto"/>
        <w:ind w:right="30"/>
        <w:jc w:val="both"/>
        <w:rPr>
          <w:color w:val="000000"/>
        </w:rPr>
      </w:pPr>
      <w:r>
        <w:rPr>
          <w:rFonts w:ascii="Century Gothic" w:eastAsia="Century Gothic" w:hAnsi="Century Gothic" w:cs="Century Gothic"/>
          <w:b/>
          <w:color w:val="000000"/>
        </w:rPr>
        <w:t>Mercado laboral</w:t>
      </w:r>
    </w:p>
    <w:p w:rsidR="00DC46EE" w:rsidRDefault="00DC46EE">
      <w:pPr>
        <w:pBdr>
          <w:top w:val="nil"/>
          <w:left w:val="nil"/>
          <w:bottom w:val="nil"/>
          <w:right w:val="nil"/>
          <w:between w:val="nil"/>
        </w:pBdr>
        <w:shd w:val="clear" w:color="auto" w:fill="FFFFFF"/>
        <w:spacing w:before="45" w:after="15" w:line="240" w:lineRule="auto"/>
        <w:ind w:left="720"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1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La tasa de desempleo calculada por el DANE en el primer semestre sitúa a la ciudad de Ibagué entre las de mayor desempleo en Colombia, con un 14,8%, estando por encima del promedio nacional que es del 12,0%, y por encima del primer trimestre respecto del 2</w:t>
      </w:r>
      <w:r>
        <w:rPr>
          <w:rFonts w:ascii="Century Gothic" w:eastAsia="Century Gothic" w:hAnsi="Century Gothic" w:cs="Century Gothic"/>
          <w:color w:val="000000"/>
        </w:rPr>
        <w:t>017 que fue de 14,5%.</w:t>
      </w:r>
    </w:p>
    <w:p w:rsidR="00DC46EE" w:rsidRDefault="00DC46EE">
      <w:pPr>
        <w:pBdr>
          <w:top w:val="nil"/>
          <w:left w:val="nil"/>
          <w:bottom w:val="nil"/>
          <w:right w:val="nil"/>
          <w:between w:val="nil"/>
        </w:pBdr>
        <w:shd w:val="clear" w:color="auto" w:fill="FFFFFF"/>
        <w:spacing w:before="45" w:after="15" w:line="240" w:lineRule="auto"/>
        <w:ind w:right="30"/>
        <w:jc w:val="both"/>
        <w:rPr>
          <w:rFonts w:ascii="Century Gothic" w:eastAsia="Century Gothic" w:hAnsi="Century Gothic" w:cs="Century Gothic"/>
        </w:rPr>
      </w:pPr>
    </w:p>
    <w:p w:rsidR="00DC46EE" w:rsidRDefault="00741FB7">
      <w:pPr>
        <w:shd w:val="clear" w:color="auto" w:fill="FFFFFF"/>
        <w:spacing w:before="45" w:after="0"/>
        <w:ind w:right="30"/>
        <w:jc w:val="both"/>
        <w:rPr>
          <w:rFonts w:ascii="Century Gothic" w:eastAsia="Century Gothic" w:hAnsi="Century Gothic" w:cs="Century Gothic"/>
        </w:rPr>
      </w:pPr>
      <w:r>
        <w:rPr>
          <w:rFonts w:ascii="Century Gothic" w:eastAsia="Century Gothic" w:hAnsi="Century Gothic" w:cs="Century Gothic"/>
          <w:b/>
          <w:highlight w:val="white"/>
        </w:rPr>
        <w:t>Cuadro número 4</w:t>
      </w:r>
      <w:r>
        <w:rPr>
          <w:rFonts w:ascii="Century Gothic" w:eastAsia="Century Gothic" w:hAnsi="Century Gothic" w:cs="Century Gothic"/>
          <w:b/>
          <w:sz w:val="18"/>
          <w:szCs w:val="18"/>
          <w:highlight w:val="white"/>
        </w:rPr>
        <w:t>.</w:t>
      </w:r>
      <w:r>
        <w:rPr>
          <w:rFonts w:ascii="Century Gothic" w:eastAsia="Century Gothic" w:hAnsi="Century Gothic" w:cs="Century Gothic"/>
          <w:vertAlign w:val="superscript"/>
        </w:rPr>
        <w:footnoteReference w:id="13"/>
      </w:r>
      <w:r>
        <w:rPr>
          <w:rFonts w:ascii="Century Gothic" w:eastAsia="Century Gothic" w:hAnsi="Century Gothic" w:cs="Century Gothic"/>
        </w:rPr>
        <w:t xml:space="preserve"> </w:t>
      </w:r>
    </w:p>
    <w:p w:rsidR="00DC46EE" w:rsidRDefault="00741FB7">
      <w:pPr>
        <w:spacing w:after="0" w:line="240" w:lineRule="auto"/>
        <w:jc w:val="center"/>
        <w:rPr>
          <w:rFonts w:ascii="Century Gothic" w:eastAsia="Century Gothic" w:hAnsi="Century Gothic" w:cs="Century Gothic"/>
        </w:rPr>
      </w:pPr>
      <w:r>
        <w:rPr>
          <w:rFonts w:ascii="Century Gothic" w:eastAsia="Century Gothic" w:hAnsi="Century Gothic" w:cs="Century Gothic"/>
          <w:noProof/>
        </w:rPr>
        <w:drawing>
          <wp:inline distT="0" distB="0" distL="0" distR="0">
            <wp:extent cx="4124325" cy="2266950"/>
            <wp:effectExtent l="0" t="0" r="9525" b="0"/>
            <wp:docPr id="5" name="image2.png" descr="http://svrpubindc.imprenta.gov.co/ServicioGacetasWAR/rest/consultar/getImage/810/Imagen1098/04-10-2018"/>
            <wp:cNvGraphicFramePr/>
            <a:graphic xmlns:a="http://schemas.openxmlformats.org/drawingml/2006/main">
              <a:graphicData uri="http://schemas.openxmlformats.org/drawingml/2006/picture">
                <pic:pic xmlns:pic="http://schemas.openxmlformats.org/drawingml/2006/picture">
                  <pic:nvPicPr>
                    <pic:cNvPr id="0" name="image2.png" descr="http://svrpubindc.imprenta.gov.co/ServicioGacetasWAR/rest/consultar/getImage/810/Imagen1098/04-10-2018"/>
                    <pic:cNvPicPr preferRelativeResize="0"/>
                  </pic:nvPicPr>
                  <pic:blipFill>
                    <a:blip r:embed="rId10"/>
                    <a:srcRect/>
                    <a:stretch>
                      <a:fillRect/>
                    </a:stretch>
                  </pic:blipFill>
                  <pic:spPr>
                    <a:xfrm>
                      <a:off x="0" y="0"/>
                      <a:ext cx="4124325" cy="2266950"/>
                    </a:xfrm>
                    <a:prstGeom prst="rect">
                      <a:avLst/>
                    </a:prstGeom>
                    <a:ln/>
                  </pic:spPr>
                </pic:pic>
              </a:graphicData>
            </a:graphic>
          </wp:inline>
        </w:drawing>
      </w:r>
    </w:p>
    <w:p w:rsidR="00DC46EE" w:rsidRDefault="00DC46EE">
      <w:pPr>
        <w:spacing w:after="0" w:line="240" w:lineRule="auto"/>
        <w:jc w:val="both"/>
        <w:rPr>
          <w:rFonts w:ascii="Century Gothic" w:eastAsia="Century Gothic" w:hAnsi="Century Gothic" w:cs="Century Gothic"/>
        </w:rPr>
      </w:pPr>
    </w:p>
    <w:p w:rsidR="00DC46EE" w:rsidRDefault="00741FB7">
      <w:pPr>
        <w:pBdr>
          <w:top w:val="nil"/>
          <w:left w:val="nil"/>
          <w:bottom w:val="nil"/>
          <w:right w:val="nil"/>
          <w:between w:val="nil"/>
        </w:pBdr>
        <w:shd w:val="clear" w:color="auto" w:fill="FFFFFF"/>
        <w:spacing w:before="45" w:after="1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Jugará un papel fundamental entonces la iniciativa legislativa para hacer a la ciudad musical un lugar atractivo para los negocios, especialmente de servicios. Naturalmente, podemos esperar un </w:t>
      </w:r>
      <w:r>
        <w:rPr>
          <w:rFonts w:ascii="Century Gothic" w:eastAsia="Century Gothic" w:hAnsi="Century Gothic" w:cs="Century Gothic"/>
          <w:i/>
          <w:color w:val="000000"/>
        </w:rPr>
        <w:t>boom </w:t>
      </w:r>
      <w:r>
        <w:rPr>
          <w:rFonts w:ascii="Century Gothic" w:eastAsia="Century Gothic" w:hAnsi="Century Gothic" w:cs="Century Gothic"/>
          <w:color w:val="000000"/>
        </w:rPr>
        <w:t>en todo tipo de empleos, incluso, aún no creados o nunca vistos en la ciudad o en el mundo, producto de las nuevas oportunidades empresariales que traerá para los ibaguereños constituir a la ciudad de Ibagué en </w:t>
      </w:r>
      <w:r>
        <w:rPr>
          <w:rFonts w:ascii="Century Gothic" w:eastAsia="Century Gothic" w:hAnsi="Century Gothic" w:cs="Century Gothic"/>
          <w:b/>
          <w:color w:val="000000"/>
        </w:rPr>
        <w:t>Distrito Especial, Cultural y Musical</w:t>
      </w:r>
      <w:r>
        <w:rPr>
          <w:rFonts w:ascii="Century Gothic" w:eastAsia="Century Gothic" w:hAnsi="Century Gothic" w:cs="Century Gothic"/>
          <w:color w:val="000000"/>
        </w:rPr>
        <w:t>.</w:t>
      </w:r>
    </w:p>
    <w:p w:rsidR="00DC46EE" w:rsidRDefault="00DC46EE">
      <w:pPr>
        <w:pBdr>
          <w:top w:val="nil"/>
          <w:left w:val="nil"/>
          <w:bottom w:val="nil"/>
          <w:right w:val="nil"/>
          <w:between w:val="nil"/>
        </w:pBdr>
        <w:shd w:val="clear" w:color="auto" w:fill="FFFFFF"/>
        <w:spacing w:before="45" w:after="15" w:line="240" w:lineRule="auto"/>
        <w:ind w:right="30"/>
        <w:jc w:val="both"/>
        <w:rPr>
          <w:rFonts w:ascii="Century Gothic" w:eastAsia="Century Gothic" w:hAnsi="Century Gothic" w:cs="Century Gothic"/>
          <w:color w:val="000000"/>
        </w:rPr>
      </w:pPr>
    </w:p>
    <w:p w:rsidR="00DC46EE" w:rsidRDefault="00741FB7">
      <w:pPr>
        <w:numPr>
          <w:ilvl w:val="0"/>
          <w:numId w:val="2"/>
        </w:numPr>
        <w:pBdr>
          <w:top w:val="nil"/>
          <w:left w:val="nil"/>
          <w:bottom w:val="nil"/>
          <w:right w:val="nil"/>
          <w:between w:val="nil"/>
        </w:pBdr>
        <w:shd w:val="clear" w:color="auto" w:fill="FFFFFF"/>
        <w:spacing w:before="45" w:after="15" w:line="240" w:lineRule="auto"/>
        <w:ind w:right="30"/>
        <w:jc w:val="both"/>
        <w:rPr>
          <w:color w:val="000000"/>
        </w:rPr>
      </w:pPr>
      <w:r>
        <w:rPr>
          <w:rFonts w:ascii="Century Gothic" w:eastAsia="Century Gothic" w:hAnsi="Century Gothic" w:cs="Century Gothic"/>
          <w:b/>
          <w:color w:val="000000"/>
        </w:rPr>
        <w:t>Preci</w:t>
      </w:r>
      <w:r>
        <w:rPr>
          <w:rFonts w:ascii="Century Gothic" w:eastAsia="Century Gothic" w:hAnsi="Century Gothic" w:cs="Century Gothic"/>
          <w:b/>
          <w:color w:val="000000"/>
        </w:rPr>
        <w:t>os</w:t>
      </w:r>
    </w:p>
    <w:p w:rsidR="00DC46EE" w:rsidRDefault="00DC46EE">
      <w:pPr>
        <w:pBdr>
          <w:top w:val="nil"/>
          <w:left w:val="nil"/>
          <w:bottom w:val="nil"/>
          <w:right w:val="nil"/>
          <w:between w:val="nil"/>
        </w:pBdr>
        <w:shd w:val="clear" w:color="auto" w:fill="FFFFFF"/>
        <w:spacing w:before="45" w:after="15" w:line="240" w:lineRule="auto"/>
        <w:ind w:left="720"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1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El nivel de inflación en la ciudad de Ibagué es apenas de un dígito (2,7%), con lo cual se encuentra en el objetivo de inflación de la Política Monetaria Nacional (2,0% - 4,0%). En general, no se da un aumento de precios descomunal o abrupto. Es normal que</w:t>
      </w:r>
      <w:r>
        <w:rPr>
          <w:rFonts w:ascii="Century Gothic" w:eastAsia="Century Gothic" w:hAnsi="Century Gothic" w:cs="Century Gothic"/>
          <w:color w:val="000000"/>
        </w:rPr>
        <w:t>, debido a diversos factores como lluvias y buenas cosechas, el precio de los alimentos pueda caer, o a una demanda por educación, el precio de este servicio aumente, como fuere, hay estabilidad para la inversión y los negocios en la ciudad musical, además</w:t>
      </w:r>
      <w:r>
        <w:rPr>
          <w:rFonts w:ascii="Century Gothic" w:eastAsia="Century Gothic" w:hAnsi="Century Gothic" w:cs="Century Gothic"/>
          <w:color w:val="000000"/>
        </w:rPr>
        <w:t>, podemos esperar que sectores como alimentación, transporte, vivienda, diversión, turismo y vestuario se vean beneficiados por la medida legislativa propuesta.</w:t>
      </w:r>
    </w:p>
    <w:p w:rsidR="00DC46EE" w:rsidRDefault="00DC46EE">
      <w:pPr>
        <w:pBdr>
          <w:top w:val="nil"/>
          <w:left w:val="nil"/>
          <w:bottom w:val="nil"/>
          <w:right w:val="nil"/>
          <w:between w:val="nil"/>
        </w:pBdr>
        <w:shd w:val="clear" w:color="auto" w:fill="FFFFFF"/>
        <w:spacing w:before="45" w:after="15" w:line="240" w:lineRule="auto"/>
        <w:ind w:right="30"/>
        <w:jc w:val="both"/>
        <w:rPr>
          <w:rFonts w:ascii="Century Gothic" w:eastAsia="Century Gothic" w:hAnsi="Century Gothic" w:cs="Century Gothic"/>
        </w:rPr>
      </w:pPr>
    </w:p>
    <w:p w:rsidR="00DC46EE" w:rsidRDefault="00DC46EE">
      <w:pPr>
        <w:shd w:val="clear" w:color="auto" w:fill="FFFFFF"/>
        <w:spacing w:before="40" w:after="20" w:line="240" w:lineRule="auto"/>
        <w:ind w:right="40"/>
        <w:jc w:val="both"/>
        <w:rPr>
          <w:rFonts w:ascii="Century Gothic" w:eastAsia="Century Gothic" w:hAnsi="Century Gothic" w:cs="Century Gothic"/>
          <w:b/>
          <w:highlight w:val="white"/>
        </w:rPr>
      </w:pPr>
    </w:p>
    <w:p w:rsidR="00DC46EE" w:rsidRDefault="00741FB7">
      <w:pPr>
        <w:shd w:val="clear" w:color="auto" w:fill="FFFFFF"/>
        <w:spacing w:before="40" w:after="20" w:line="240" w:lineRule="auto"/>
        <w:ind w:right="40"/>
        <w:jc w:val="both"/>
        <w:rPr>
          <w:rFonts w:ascii="Century Gothic" w:eastAsia="Century Gothic" w:hAnsi="Century Gothic" w:cs="Century Gothic"/>
        </w:rPr>
      </w:pPr>
      <w:r>
        <w:rPr>
          <w:rFonts w:ascii="Century Gothic" w:eastAsia="Century Gothic" w:hAnsi="Century Gothic" w:cs="Century Gothic"/>
          <w:b/>
          <w:highlight w:val="white"/>
        </w:rPr>
        <w:t>Cuadro número 5</w:t>
      </w:r>
      <w:r>
        <w:rPr>
          <w:rFonts w:ascii="Century Gothic" w:eastAsia="Century Gothic" w:hAnsi="Century Gothic" w:cs="Century Gothic"/>
          <w:b/>
          <w:sz w:val="18"/>
          <w:szCs w:val="18"/>
          <w:highlight w:val="white"/>
        </w:rPr>
        <w:t>.</w:t>
      </w:r>
      <w:r>
        <w:rPr>
          <w:rFonts w:ascii="Century Gothic" w:eastAsia="Century Gothic" w:hAnsi="Century Gothic" w:cs="Century Gothic"/>
          <w:sz w:val="24"/>
          <w:szCs w:val="24"/>
          <w:highlight w:val="white"/>
          <w:vertAlign w:val="superscript"/>
        </w:rPr>
        <w:footnoteReference w:id="14"/>
      </w:r>
    </w:p>
    <w:p w:rsidR="00DC46EE" w:rsidRDefault="00741FB7">
      <w:pPr>
        <w:spacing w:after="0" w:line="240" w:lineRule="auto"/>
        <w:jc w:val="center"/>
        <w:rPr>
          <w:rFonts w:ascii="Century Gothic" w:eastAsia="Century Gothic" w:hAnsi="Century Gothic" w:cs="Century Gothic"/>
        </w:rPr>
      </w:pPr>
      <w:r>
        <w:rPr>
          <w:rFonts w:ascii="Century Gothic" w:eastAsia="Century Gothic" w:hAnsi="Century Gothic" w:cs="Century Gothic"/>
          <w:noProof/>
        </w:rPr>
        <w:drawing>
          <wp:inline distT="0" distB="0" distL="0" distR="0">
            <wp:extent cx="4857750" cy="2428875"/>
            <wp:effectExtent l="0" t="0" r="0" b="9525"/>
            <wp:docPr id="4" name="image5.png" descr="http://svrpubindc.imprenta.gov.co/ServicioGacetasWAR/rest/consultar/getImage/810/Imagen1105/04-10-2018"/>
            <wp:cNvGraphicFramePr/>
            <a:graphic xmlns:a="http://schemas.openxmlformats.org/drawingml/2006/main">
              <a:graphicData uri="http://schemas.openxmlformats.org/drawingml/2006/picture">
                <pic:pic xmlns:pic="http://schemas.openxmlformats.org/drawingml/2006/picture">
                  <pic:nvPicPr>
                    <pic:cNvPr id="0" name="image5.png" descr="http://svrpubindc.imprenta.gov.co/ServicioGacetasWAR/rest/consultar/getImage/810/Imagen1105/04-10-2018"/>
                    <pic:cNvPicPr preferRelativeResize="0"/>
                  </pic:nvPicPr>
                  <pic:blipFill>
                    <a:blip r:embed="rId11"/>
                    <a:srcRect/>
                    <a:stretch>
                      <a:fillRect/>
                    </a:stretch>
                  </pic:blipFill>
                  <pic:spPr>
                    <a:xfrm>
                      <a:off x="0" y="0"/>
                      <a:ext cx="4858050" cy="2429025"/>
                    </a:xfrm>
                    <a:prstGeom prst="rect">
                      <a:avLst/>
                    </a:prstGeom>
                    <a:ln/>
                  </pic:spPr>
                </pic:pic>
              </a:graphicData>
            </a:graphic>
          </wp:inline>
        </w:drawing>
      </w:r>
    </w:p>
    <w:p w:rsidR="00DC46EE" w:rsidRDefault="00DC46EE">
      <w:pPr>
        <w:spacing w:after="0" w:line="240" w:lineRule="auto"/>
        <w:rPr>
          <w:rFonts w:ascii="Century Gothic" w:eastAsia="Century Gothic" w:hAnsi="Century Gothic" w:cs="Century Gothic"/>
        </w:rPr>
      </w:pPr>
    </w:p>
    <w:p w:rsidR="00DC46EE" w:rsidRDefault="00DC46EE">
      <w:pPr>
        <w:spacing w:after="0"/>
        <w:rPr>
          <w:rFonts w:ascii="Century Gothic" w:eastAsia="Century Gothic" w:hAnsi="Century Gothic" w:cs="Century Gothic"/>
          <w:b/>
          <w:highlight w:val="white"/>
        </w:rPr>
      </w:pPr>
    </w:p>
    <w:p w:rsidR="00DC46EE" w:rsidRDefault="00741FB7">
      <w:pPr>
        <w:spacing w:after="0"/>
        <w:rPr>
          <w:rFonts w:ascii="Century Gothic" w:eastAsia="Century Gothic" w:hAnsi="Century Gothic" w:cs="Century Gothic"/>
          <w:b/>
          <w:sz w:val="18"/>
          <w:szCs w:val="18"/>
        </w:rPr>
      </w:pPr>
      <w:r>
        <w:rPr>
          <w:rFonts w:ascii="Century Gothic" w:eastAsia="Century Gothic" w:hAnsi="Century Gothic" w:cs="Century Gothic"/>
          <w:b/>
          <w:highlight w:val="white"/>
        </w:rPr>
        <w:t>Cuadro número 6</w:t>
      </w:r>
      <w:r>
        <w:rPr>
          <w:rFonts w:ascii="Century Gothic" w:eastAsia="Century Gothic" w:hAnsi="Century Gothic" w:cs="Century Gothic"/>
          <w:b/>
          <w:sz w:val="18"/>
          <w:szCs w:val="18"/>
          <w:highlight w:val="white"/>
        </w:rPr>
        <w:t>.</w:t>
      </w:r>
      <w:r>
        <w:rPr>
          <w:rFonts w:ascii="Century Gothic" w:eastAsia="Century Gothic" w:hAnsi="Century Gothic" w:cs="Century Gothic"/>
          <w:sz w:val="24"/>
          <w:szCs w:val="24"/>
          <w:highlight w:val="white"/>
          <w:vertAlign w:val="superscript"/>
        </w:rPr>
        <w:footnoteReference w:id="15"/>
      </w:r>
    </w:p>
    <w:p w:rsidR="008226CE" w:rsidRDefault="008226CE">
      <w:pPr>
        <w:spacing w:after="0"/>
        <w:rPr>
          <w:rFonts w:ascii="Century Gothic" w:eastAsia="Century Gothic" w:hAnsi="Century Gothic" w:cs="Century Gothic"/>
        </w:rPr>
      </w:pPr>
    </w:p>
    <w:p w:rsidR="00DC46EE" w:rsidRDefault="00741FB7">
      <w:pPr>
        <w:spacing w:after="0" w:line="240" w:lineRule="auto"/>
        <w:jc w:val="center"/>
        <w:rPr>
          <w:rFonts w:ascii="Century Gothic" w:eastAsia="Century Gothic" w:hAnsi="Century Gothic" w:cs="Century Gothic"/>
        </w:rPr>
      </w:pPr>
      <w:r>
        <w:rPr>
          <w:rFonts w:ascii="Century Gothic" w:eastAsia="Century Gothic" w:hAnsi="Century Gothic" w:cs="Century Gothic"/>
          <w:noProof/>
        </w:rPr>
        <w:drawing>
          <wp:inline distT="0" distB="0" distL="0" distR="0">
            <wp:extent cx="4381500" cy="2409825"/>
            <wp:effectExtent l="0" t="0" r="0" b="9525"/>
            <wp:docPr id="7" name="image7.png" descr="http://svrpubindc.imprenta.gov.co/ServicioGacetasWAR/rest/consultar/getImage/810/Imagen1113/04-10-2018"/>
            <wp:cNvGraphicFramePr/>
            <a:graphic xmlns:a="http://schemas.openxmlformats.org/drawingml/2006/main">
              <a:graphicData uri="http://schemas.openxmlformats.org/drawingml/2006/picture">
                <pic:pic xmlns:pic="http://schemas.openxmlformats.org/drawingml/2006/picture">
                  <pic:nvPicPr>
                    <pic:cNvPr id="0" name="image7.png" descr="http://svrpubindc.imprenta.gov.co/ServicioGacetasWAR/rest/consultar/getImage/810/Imagen1113/04-10-2018"/>
                    <pic:cNvPicPr preferRelativeResize="0"/>
                  </pic:nvPicPr>
                  <pic:blipFill>
                    <a:blip r:embed="rId12"/>
                    <a:srcRect/>
                    <a:stretch>
                      <a:fillRect/>
                    </a:stretch>
                  </pic:blipFill>
                  <pic:spPr>
                    <a:xfrm>
                      <a:off x="0" y="0"/>
                      <a:ext cx="4381786" cy="2409982"/>
                    </a:xfrm>
                    <a:prstGeom prst="rect">
                      <a:avLst/>
                    </a:prstGeom>
                    <a:ln/>
                  </pic:spPr>
                </pic:pic>
              </a:graphicData>
            </a:graphic>
          </wp:inline>
        </w:drawing>
      </w:r>
    </w:p>
    <w:p w:rsidR="00DC46EE" w:rsidRDefault="00DC46EE">
      <w:pPr>
        <w:spacing w:after="0" w:line="240" w:lineRule="auto"/>
        <w:jc w:val="both"/>
        <w:rPr>
          <w:rFonts w:ascii="Century Gothic" w:eastAsia="Century Gothic" w:hAnsi="Century Gothic" w:cs="Century Gothic"/>
          <w:highlight w:val="red"/>
        </w:rPr>
      </w:pPr>
    </w:p>
    <w:p w:rsidR="00A05651" w:rsidRDefault="00A05651">
      <w:pPr>
        <w:spacing w:after="0" w:line="240" w:lineRule="auto"/>
        <w:jc w:val="both"/>
        <w:rPr>
          <w:rFonts w:ascii="Century Gothic" w:eastAsia="Century Gothic" w:hAnsi="Century Gothic" w:cs="Century Gothic"/>
          <w:highlight w:val="red"/>
        </w:rPr>
      </w:pPr>
    </w:p>
    <w:p w:rsidR="00A05651" w:rsidRDefault="00A05651">
      <w:pPr>
        <w:spacing w:after="0" w:line="240" w:lineRule="auto"/>
        <w:jc w:val="both"/>
        <w:rPr>
          <w:rFonts w:ascii="Century Gothic" w:eastAsia="Century Gothic" w:hAnsi="Century Gothic" w:cs="Century Gothic"/>
          <w:highlight w:val="red"/>
        </w:rPr>
      </w:pPr>
    </w:p>
    <w:p w:rsidR="00A05651" w:rsidRDefault="00A05651">
      <w:pPr>
        <w:spacing w:after="0" w:line="240" w:lineRule="auto"/>
        <w:jc w:val="both"/>
        <w:rPr>
          <w:rFonts w:ascii="Century Gothic" w:eastAsia="Century Gothic" w:hAnsi="Century Gothic" w:cs="Century Gothic"/>
          <w:highlight w:val="red"/>
        </w:rPr>
      </w:pPr>
    </w:p>
    <w:p w:rsidR="00DC46EE" w:rsidRDefault="00DC46EE">
      <w:pPr>
        <w:pBdr>
          <w:top w:val="nil"/>
          <w:left w:val="nil"/>
          <w:bottom w:val="nil"/>
          <w:right w:val="nil"/>
          <w:between w:val="nil"/>
        </w:pBdr>
        <w:shd w:val="clear" w:color="auto" w:fill="FFFFFF"/>
        <w:spacing w:before="45" w:after="15" w:line="240" w:lineRule="auto"/>
        <w:ind w:left="1440" w:right="30"/>
        <w:jc w:val="both"/>
        <w:rPr>
          <w:rFonts w:ascii="Century Gothic" w:eastAsia="Century Gothic" w:hAnsi="Century Gothic" w:cs="Century Gothic"/>
          <w:b/>
        </w:rPr>
      </w:pPr>
    </w:p>
    <w:p w:rsidR="00DC46EE" w:rsidRDefault="00741FB7">
      <w:pPr>
        <w:numPr>
          <w:ilvl w:val="0"/>
          <w:numId w:val="2"/>
        </w:numPr>
        <w:pBdr>
          <w:top w:val="nil"/>
          <w:left w:val="nil"/>
          <w:bottom w:val="nil"/>
          <w:right w:val="nil"/>
          <w:between w:val="nil"/>
        </w:pBdr>
        <w:shd w:val="clear" w:color="auto" w:fill="FFFFFF"/>
        <w:spacing w:before="45" w:after="15" w:line="240" w:lineRule="auto"/>
        <w:ind w:right="30"/>
        <w:jc w:val="both"/>
        <w:rPr>
          <w:color w:val="000000"/>
        </w:rPr>
      </w:pPr>
      <w:r>
        <w:rPr>
          <w:rFonts w:ascii="Century Gothic" w:eastAsia="Century Gothic" w:hAnsi="Century Gothic" w:cs="Century Gothic"/>
          <w:b/>
          <w:color w:val="000000"/>
        </w:rPr>
        <w:t>Pobreza monetaria, pobreza extrema y multidimensional</w:t>
      </w:r>
    </w:p>
    <w:p w:rsidR="00DC46EE" w:rsidRDefault="00DC46EE">
      <w:pPr>
        <w:pBdr>
          <w:top w:val="nil"/>
          <w:left w:val="nil"/>
          <w:bottom w:val="nil"/>
          <w:right w:val="nil"/>
          <w:between w:val="nil"/>
        </w:pBdr>
        <w:shd w:val="clear" w:color="auto" w:fill="FFFFFF"/>
        <w:spacing w:before="45" w:after="15" w:line="240" w:lineRule="auto"/>
        <w:ind w:left="720" w:right="30"/>
        <w:jc w:val="both"/>
        <w:rPr>
          <w:rFonts w:ascii="Century Gothic" w:eastAsia="Century Gothic" w:hAnsi="Century Gothic" w:cs="Century Gothic"/>
          <w:color w:val="000000"/>
        </w:rPr>
      </w:pPr>
    </w:p>
    <w:p w:rsidR="00DC46EE" w:rsidRDefault="00741FB7">
      <w:pPr>
        <w:pBdr>
          <w:top w:val="nil"/>
          <w:left w:val="nil"/>
          <w:bottom w:val="nil"/>
          <w:right w:val="nil"/>
          <w:between w:val="nil"/>
        </w:pBdr>
        <w:shd w:val="clear" w:color="auto" w:fill="FFFFFF"/>
        <w:spacing w:before="45" w:after="1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Frente a todo pesimismo, en realidad, el país sigue mejorando, 385.000 personas salieron de la pobreza monetaria y 469.000 personas salieron de la pobreza extrema en el total nacional. Nuestro proyecto sin duda tendrá un impacto positivo en la mejora de es</w:t>
      </w:r>
      <w:r>
        <w:rPr>
          <w:rFonts w:ascii="Century Gothic" w:eastAsia="Century Gothic" w:hAnsi="Century Gothic" w:cs="Century Gothic"/>
          <w:color w:val="000000"/>
        </w:rPr>
        <w:t>tos índices.</w:t>
      </w:r>
    </w:p>
    <w:p w:rsidR="00DC46EE" w:rsidRDefault="00DC46EE">
      <w:pPr>
        <w:spacing w:after="0" w:line="240" w:lineRule="auto"/>
        <w:jc w:val="both"/>
        <w:rPr>
          <w:rFonts w:ascii="Century Gothic" w:eastAsia="Century Gothic" w:hAnsi="Century Gothic" w:cs="Century Gothic"/>
          <w:highlight w:val="red"/>
        </w:rPr>
      </w:pPr>
    </w:p>
    <w:p w:rsidR="00DC46EE" w:rsidRDefault="00741FB7">
      <w:pPr>
        <w:spacing w:after="0"/>
        <w:jc w:val="both"/>
        <w:rPr>
          <w:rFonts w:ascii="Century Gothic" w:eastAsia="Century Gothic" w:hAnsi="Century Gothic" w:cs="Century Gothic"/>
          <w:color w:val="1155CC"/>
          <w:sz w:val="24"/>
          <w:szCs w:val="24"/>
          <w:highlight w:val="white"/>
          <w:u w:val="single"/>
          <w:vertAlign w:val="superscript"/>
        </w:rPr>
      </w:pPr>
      <w:r>
        <w:rPr>
          <w:rFonts w:ascii="Century Gothic" w:eastAsia="Century Gothic" w:hAnsi="Century Gothic" w:cs="Century Gothic"/>
          <w:b/>
          <w:highlight w:val="white"/>
        </w:rPr>
        <w:t>Cuadro número 7</w:t>
      </w:r>
      <w:r>
        <w:rPr>
          <w:rFonts w:ascii="Century Gothic" w:eastAsia="Century Gothic" w:hAnsi="Century Gothic" w:cs="Century Gothic"/>
          <w:b/>
          <w:sz w:val="18"/>
          <w:szCs w:val="18"/>
          <w:highlight w:val="white"/>
        </w:rPr>
        <w:t>.</w:t>
      </w:r>
      <w:r>
        <w:rPr>
          <w:rFonts w:ascii="Century Gothic" w:eastAsia="Century Gothic" w:hAnsi="Century Gothic" w:cs="Century Gothic"/>
          <w:sz w:val="24"/>
          <w:szCs w:val="24"/>
          <w:highlight w:val="white"/>
          <w:vertAlign w:val="superscript"/>
        </w:rPr>
        <w:footnoteReference w:id="16"/>
      </w:r>
      <w:r>
        <w:fldChar w:fldCharType="begin"/>
      </w:r>
      <w:r>
        <w:instrText xml:space="preserve"> HYPERLINK "http://svrpubindc.imprenta.gov.co/senado/view/gestion/gacetaPublica.xhtml#footnote-008" </w:instrText>
      </w:r>
      <w:r>
        <w:fldChar w:fldCharType="separate"/>
      </w:r>
    </w:p>
    <w:p w:rsidR="00DC46EE" w:rsidRDefault="00741FB7">
      <w:pPr>
        <w:spacing w:after="0" w:line="240" w:lineRule="auto"/>
        <w:jc w:val="both"/>
        <w:rPr>
          <w:rFonts w:ascii="Century Gothic" w:eastAsia="Century Gothic" w:hAnsi="Century Gothic" w:cs="Century Gothic"/>
          <w:highlight w:val="red"/>
        </w:rPr>
      </w:pPr>
      <w:r>
        <w:fldChar w:fldCharType="end"/>
      </w:r>
    </w:p>
    <w:p w:rsidR="00DC46EE" w:rsidRDefault="00741FB7">
      <w:pPr>
        <w:spacing w:after="0" w:line="240" w:lineRule="auto"/>
        <w:jc w:val="center"/>
        <w:rPr>
          <w:rFonts w:ascii="Century Gothic" w:eastAsia="Century Gothic" w:hAnsi="Century Gothic" w:cs="Century Gothic"/>
          <w:highlight w:val="red"/>
        </w:rPr>
      </w:pPr>
      <w:r>
        <w:rPr>
          <w:rFonts w:ascii="Century Gothic" w:eastAsia="Century Gothic" w:hAnsi="Century Gothic" w:cs="Century Gothic"/>
          <w:noProof/>
        </w:rPr>
        <w:drawing>
          <wp:inline distT="0" distB="0" distL="0" distR="0">
            <wp:extent cx="4267200" cy="2352675"/>
            <wp:effectExtent l="0" t="0" r="0" b="9525"/>
            <wp:docPr id="6" name="image4.png" descr="http://svrpubindc.imprenta.gov.co/ServicioGacetasWAR/rest/consultar/getImage/810/Imagen1121/04-10-2018"/>
            <wp:cNvGraphicFramePr/>
            <a:graphic xmlns:a="http://schemas.openxmlformats.org/drawingml/2006/main">
              <a:graphicData uri="http://schemas.openxmlformats.org/drawingml/2006/picture">
                <pic:pic xmlns:pic="http://schemas.openxmlformats.org/drawingml/2006/picture">
                  <pic:nvPicPr>
                    <pic:cNvPr id="0" name="image4.png" descr="http://svrpubindc.imprenta.gov.co/ServicioGacetasWAR/rest/consultar/getImage/810/Imagen1121/04-10-2018"/>
                    <pic:cNvPicPr preferRelativeResize="0"/>
                  </pic:nvPicPr>
                  <pic:blipFill>
                    <a:blip r:embed="rId13"/>
                    <a:srcRect/>
                    <a:stretch>
                      <a:fillRect/>
                    </a:stretch>
                  </pic:blipFill>
                  <pic:spPr>
                    <a:xfrm>
                      <a:off x="0" y="0"/>
                      <a:ext cx="4267842" cy="2353029"/>
                    </a:xfrm>
                    <a:prstGeom prst="rect">
                      <a:avLst/>
                    </a:prstGeom>
                    <a:ln/>
                  </pic:spPr>
                </pic:pic>
              </a:graphicData>
            </a:graphic>
          </wp:inline>
        </w:drawing>
      </w:r>
    </w:p>
    <w:p w:rsidR="00A05651" w:rsidRDefault="00A05651">
      <w:pPr>
        <w:shd w:val="clear" w:color="auto" w:fill="FFFFFF"/>
        <w:spacing w:before="45" w:after="15" w:line="240" w:lineRule="auto"/>
        <w:ind w:right="30"/>
        <w:jc w:val="both"/>
        <w:rPr>
          <w:rFonts w:ascii="Century Gothic" w:eastAsia="Century Gothic" w:hAnsi="Century Gothic" w:cs="Century Gothic"/>
          <w:color w:val="000000"/>
        </w:rPr>
      </w:pPr>
    </w:p>
    <w:p w:rsidR="00A05651" w:rsidRDefault="00A05651">
      <w:pPr>
        <w:shd w:val="clear" w:color="auto" w:fill="FFFFFF"/>
        <w:spacing w:before="45" w:after="15" w:line="240" w:lineRule="auto"/>
        <w:ind w:right="30"/>
        <w:jc w:val="both"/>
        <w:rPr>
          <w:rFonts w:ascii="Century Gothic" w:eastAsia="Century Gothic" w:hAnsi="Century Gothic" w:cs="Century Gothic"/>
          <w:color w:val="000000"/>
        </w:rPr>
      </w:pPr>
    </w:p>
    <w:p w:rsidR="00DC46EE" w:rsidRDefault="00741FB7">
      <w:pPr>
        <w:shd w:val="clear" w:color="auto" w:fill="FFFFFF"/>
        <w:spacing w:before="45" w:after="1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Además, en Colombia no solo está disminuyendo la pobreza, también la desigualdad del ingreso. El coeficiente de Gini del total nacional en 2016 fue de 0,517, mientras que en el 2017 fue de 0,508</w:t>
      </w:r>
      <w:r>
        <w:rPr>
          <w:rFonts w:ascii="Century Gothic" w:eastAsia="Century Gothic" w:hAnsi="Century Gothic" w:cs="Century Gothic"/>
          <w:color w:val="000000"/>
          <w:vertAlign w:val="superscript"/>
        </w:rPr>
        <w:footnoteReference w:id="17"/>
      </w:r>
      <w:r>
        <w:rPr>
          <w:rFonts w:ascii="Century Gothic" w:eastAsia="Century Gothic" w:hAnsi="Century Gothic" w:cs="Century Gothic"/>
          <w:color w:val="000000"/>
        </w:rPr>
        <w:t>.</w:t>
      </w:r>
    </w:p>
    <w:p w:rsidR="00DC46EE" w:rsidRDefault="00741FB7">
      <w:pPr>
        <w:shd w:val="clear" w:color="auto" w:fill="FFFFFF"/>
        <w:spacing w:before="45" w:after="15" w:line="240" w:lineRule="auto"/>
        <w:ind w:right="30"/>
        <w:jc w:val="both"/>
        <w:rPr>
          <w:rFonts w:ascii="Century Gothic" w:eastAsia="Century Gothic" w:hAnsi="Century Gothic" w:cs="Century Gothic"/>
          <w:color w:val="000000"/>
        </w:rPr>
      </w:pPr>
      <w:r>
        <w:rPr>
          <w:rFonts w:ascii="Century Gothic" w:eastAsia="Century Gothic" w:hAnsi="Century Gothic" w:cs="Century Gothic"/>
          <w:color w:val="000000"/>
        </w:rPr>
        <w:t>Frente a la pobreza multidimensional, en el mismo sentido d</w:t>
      </w:r>
      <w:r>
        <w:rPr>
          <w:rFonts w:ascii="Century Gothic" w:eastAsia="Century Gothic" w:hAnsi="Century Gothic" w:cs="Century Gothic"/>
          <w:color w:val="000000"/>
        </w:rPr>
        <w:t>e los indicadores anteriores seguimos mejorando. 255.000 personas salieron de la pobreza multidimensional entre 2016 y 2017.</w:t>
      </w:r>
    </w:p>
    <w:p w:rsidR="00DC46EE" w:rsidRDefault="00DC46EE">
      <w:pPr>
        <w:shd w:val="clear" w:color="auto" w:fill="FFFFFF"/>
        <w:spacing w:before="45" w:after="15" w:line="240" w:lineRule="auto"/>
        <w:ind w:right="30"/>
        <w:jc w:val="both"/>
        <w:rPr>
          <w:rFonts w:ascii="Century Gothic" w:eastAsia="Century Gothic" w:hAnsi="Century Gothic" w:cs="Century Gothic"/>
        </w:rPr>
      </w:pPr>
    </w:p>
    <w:p w:rsidR="00A05651" w:rsidRDefault="00A05651">
      <w:pPr>
        <w:shd w:val="clear" w:color="auto" w:fill="FFFFFF"/>
        <w:spacing w:before="40" w:after="20" w:line="240" w:lineRule="auto"/>
        <w:ind w:right="40" w:firstLine="220"/>
        <w:jc w:val="both"/>
        <w:rPr>
          <w:rFonts w:ascii="Century Gothic" w:eastAsia="Century Gothic" w:hAnsi="Century Gothic" w:cs="Century Gothic"/>
          <w:b/>
          <w:highlight w:val="white"/>
        </w:rPr>
      </w:pPr>
    </w:p>
    <w:p w:rsidR="00A05651" w:rsidRDefault="00A05651">
      <w:pPr>
        <w:shd w:val="clear" w:color="auto" w:fill="FFFFFF"/>
        <w:spacing w:before="40" w:after="20" w:line="240" w:lineRule="auto"/>
        <w:ind w:right="40" w:firstLine="220"/>
        <w:jc w:val="both"/>
        <w:rPr>
          <w:rFonts w:ascii="Century Gothic" w:eastAsia="Century Gothic" w:hAnsi="Century Gothic" w:cs="Century Gothic"/>
          <w:b/>
          <w:highlight w:val="white"/>
        </w:rPr>
      </w:pPr>
    </w:p>
    <w:p w:rsidR="00A05651" w:rsidRDefault="00A05651">
      <w:pPr>
        <w:shd w:val="clear" w:color="auto" w:fill="FFFFFF"/>
        <w:spacing w:before="40" w:after="20" w:line="240" w:lineRule="auto"/>
        <w:ind w:right="40" w:firstLine="220"/>
        <w:jc w:val="both"/>
        <w:rPr>
          <w:rFonts w:ascii="Century Gothic" w:eastAsia="Century Gothic" w:hAnsi="Century Gothic" w:cs="Century Gothic"/>
          <w:b/>
          <w:highlight w:val="white"/>
        </w:rPr>
      </w:pPr>
    </w:p>
    <w:p w:rsidR="00A05651" w:rsidRDefault="00A05651">
      <w:pPr>
        <w:shd w:val="clear" w:color="auto" w:fill="FFFFFF"/>
        <w:spacing w:before="40" w:after="20" w:line="240" w:lineRule="auto"/>
        <w:ind w:right="40" w:firstLine="220"/>
        <w:jc w:val="both"/>
        <w:rPr>
          <w:rFonts w:ascii="Century Gothic" w:eastAsia="Century Gothic" w:hAnsi="Century Gothic" w:cs="Century Gothic"/>
          <w:b/>
          <w:highlight w:val="white"/>
        </w:rPr>
      </w:pPr>
    </w:p>
    <w:p w:rsidR="00A05651" w:rsidRDefault="00A05651">
      <w:pPr>
        <w:shd w:val="clear" w:color="auto" w:fill="FFFFFF"/>
        <w:spacing w:before="40" w:after="20" w:line="240" w:lineRule="auto"/>
        <w:ind w:right="40" w:firstLine="220"/>
        <w:jc w:val="both"/>
        <w:rPr>
          <w:rFonts w:ascii="Century Gothic" w:eastAsia="Century Gothic" w:hAnsi="Century Gothic" w:cs="Century Gothic"/>
          <w:b/>
          <w:highlight w:val="white"/>
        </w:rPr>
      </w:pPr>
    </w:p>
    <w:p w:rsidR="00DC46EE" w:rsidRDefault="00741FB7">
      <w:pPr>
        <w:shd w:val="clear" w:color="auto" w:fill="FFFFFF"/>
        <w:spacing w:before="40" w:after="20" w:line="240" w:lineRule="auto"/>
        <w:ind w:right="40" w:firstLine="220"/>
        <w:jc w:val="both"/>
        <w:rPr>
          <w:rFonts w:ascii="Century Gothic" w:eastAsia="Century Gothic" w:hAnsi="Century Gothic" w:cs="Century Gothic"/>
        </w:rPr>
      </w:pPr>
      <w:r>
        <w:rPr>
          <w:rFonts w:ascii="Century Gothic" w:eastAsia="Century Gothic" w:hAnsi="Century Gothic" w:cs="Century Gothic"/>
          <w:b/>
          <w:highlight w:val="white"/>
        </w:rPr>
        <w:t>Cuadro número 8</w:t>
      </w:r>
      <w:r>
        <w:rPr>
          <w:rFonts w:ascii="Century Gothic" w:eastAsia="Century Gothic" w:hAnsi="Century Gothic" w:cs="Century Gothic"/>
          <w:b/>
          <w:sz w:val="18"/>
          <w:szCs w:val="18"/>
          <w:highlight w:val="white"/>
        </w:rPr>
        <w:t>.</w:t>
      </w:r>
      <w:r>
        <w:rPr>
          <w:rFonts w:ascii="Century Gothic" w:eastAsia="Century Gothic" w:hAnsi="Century Gothic" w:cs="Century Gothic"/>
          <w:sz w:val="24"/>
          <w:szCs w:val="24"/>
          <w:highlight w:val="white"/>
          <w:vertAlign w:val="superscript"/>
        </w:rPr>
        <w:footnoteReference w:id="18"/>
      </w:r>
    </w:p>
    <w:p w:rsidR="00DC46EE" w:rsidRDefault="00DC46EE">
      <w:pPr>
        <w:spacing w:after="0" w:line="240" w:lineRule="auto"/>
        <w:jc w:val="both"/>
        <w:rPr>
          <w:rFonts w:ascii="Century Gothic" w:eastAsia="Century Gothic" w:hAnsi="Century Gothic" w:cs="Century Gothic"/>
          <w:highlight w:val="red"/>
        </w:rPr>
      </w:pPr>
    </w:p>
    <w:p w:rsidR="00DC46EE" w:rsidRDefault="00741FB7">
      <w:pPr>
        <w:spacing w:after="0" w:line="240" w:lineRule="auto"/>
        <w:jc w:val="center"/>
        <w:rPr>
          <w:rFonts w:ascii="Century Gothic" w:eastAsia="Century Gothic" w:hAnsi="Century Gothic" w:cs="Century Gothic"/>
          <w:highlight w:val="red"/>
        </w:rPr>
      </w:pPr>
      <w:r>
        <w:rPr>
          <w:noProof/>
        </w:rPr>
        <w:drawing>
          <wp:inline distT="0" distB="0" distL="0" distR="0">
            <wp:extent cx="4252913" cy="2043964"/>
            <wp:effectExtent l="0" t="0" r="0" b="0"/>
            <wp:docPr id="9" name="image3.png" descr="http://svrpubindc.imprenta.gov.co/ServicioGacetasWAR/rest/consultar/getImage/810/Imagen1128/04-10-2018"/>
            <wp:cNvGraphicFramePr/>
            <a:graphic xmlns:a="http://schemas.openxmlformats.org/drawingml/2006/main">
              <a:graphicData uri="http://schemas.openxmlformats.org/drawingml/2006/picture">
                <pic:pic xmlns:pic="http://schemas.openxmlformats.org/drawingml/2006/picture">
                  <pic:nvPicPr>
                    <pic:cNvPr id="0" name="image3.png" descr="http://svrpubindc.imprenta.gov.co/ServicioGacetasWAR/rest/consultar/getImage/810/Imagen1128/04-10-2018"/>
                    <pic:cNvPicPr preferRelativeResize="0"/>
                  </pic:nvPicPr>
                  <pic:blipFill>
                    <a:blip r:embed="rId14"/>
                    <a:srcRect/>
                    <a:stretch>
                      <a:fillRect/>
                    </a:stretch>
                  </pic:blipFill>
                  <pic:spPr>
                    <a:xfrm>
                      <a:off x="0" y="0"/>
                      <a:ext cx="4252913" cy="2043964"/>
                    </a:xfrm>
                    <a:prstGeom prst="rect">
                      <a:avLst/>
                    </a:prstGeom>
                    <a:ln/>
                  </pic:spPr>
                </pic:pic>
              </a:graphicData>
            </a:graphic>
          </wp:inline>
        </w:drawing>
      </w:r>
    </w:p>
    <w:p w:rsidR="00DC46EE" w:rsidRDefault="00DC46EE">
      <w:pPr>
        <w:tabs>
          <w:tab w:val="left" w:pos="5820"/>
        </w:tabs>
        <w:spacing w:after="0" w:line="240" w:lineRule="auto"/>
        <w:jc w:val="both"/>
        <w:rPr>
          <w:rFonts w:ascii="Century Gothic" w:eastAsia="Century Gothic" w:hAnsi="Century Gothic" w:cs="Century Gothic"/>
          <w:b/>
        </w:rPr>
      </w:pPr>
    </w:p>
    <w:p w:rsidR="00DC46EE" w:rsidRPr="008226CE" w:rsidRDefault="008226CE" w:rsidP="008226CE">
      <w:pPr>
        <w:tabs>
          <w:tab w:val="left" w:pos="5820"/>
        </w:tabs>
        <w:spacing w:after="0" w:line="240" w:lineRule="auto"/>
        <w:jc w:val="both"/>
        <w:rPr>
          <w:rFonts w:ascii="Century Gothic" w:eastAsia="Century Gothic" w:hAnsi="Century Gothic" w:cs="Century Gothic"/>
          <w:b/>
        </w:rPr>
      </w:pPr>
      <w:r>
        <w:rPr>
          <w:rFonts w:ascii="Century Gothic" w:eastAsia="Century Gothic" w:hAnsi="Century Gothic" w:cs="Century Gothic"/>
          <w:b/>
        </w:rPr>
        <w:t xml:space="preserve">VI. </w:t>
      </w:r>
      <w:r w:rsidR="00741FB7" w:rsidRPr="008226CE">
        <w:rPr>
          <w:rFonts w:ascii="Century Gothic" w:eastAsia="Century Gothic" w:hAnsi="Century Gothic" w:cs="Century Gothic"/>
          <w:b/>
        </w:rPr>
        <w:t xml:space="preserve">SOPORTE NORMATIVO Y JURISPRUDENCIAL DEL PROYECTO DE ACTO LEGISLATIVO </w:t>
      </w:r>
    </w:p>
    <w:p w:rsidR="00DC46EE" w:rsidRDefault="00DC46EE">
      <w:pPr>
        <w:tabs>
          <w:tab w:val="left" w:pos="5820"/>
        </w:tabs>
        <w:spacing w:after="0" w:line="240" w:lineRule="auto"/>
        <w:rPr>
          <w:rFonts w:ascii="Century Gothic" w:eastAsia="Century Gothic" w:hAnsi="Century Gothic" w:cs="Century Gothic"/>
          <w:b/>
        </w:rPr>
      </w:pPr>
    </w:p>
    <w:p w:rsidR="00DC46EE" w:rsidRDefault="00741FB7">
      <w:pPr>
        <w:tabs>
          <w:tab w:val="left" w:pos="5820"/>
        </w:tabs>
        <w:spacing w:after="0" w:line="240" w:lineRule="auto"/>
        <w:rPr>
          <w:rFonts w:ascii="Century Gothic" w:eastAsia="Century Gothic" w:hAnsi="Century Gothic" w:cs="Century Gothic"/>
        </w:rPr>
      </w:pPr>
      <w:r>
        <w:rPr>
          <w:rFonts w:ascii="Century Gothic" w:eastAsia="Century Gothic" w:hAnsi="Century Gothic" w:cs="Century Gothic"/>
        </w:rPr>
        <w:t xml:space="preserve">Determina el artículo 286 de la </w:t>
      </w:r>
      <w:r>
        <w:rPr>
          <w:rFonts w:ascii="Century Gothic" w:eastAsia="Century Gothic" w:hAnsi="Century Gothic" w:cs="Century Gothic"/>
        </w:rPr>
        <w:t xml:space="preserve">Constitución Política que: </w:t>
      </w:r>
    </w:p>
    <w:p w:rsidR="00DC46EE" w:rsidRDefault="00741FB7">
      <w:pPr>
        <w:tabs>
          <w:tab w:val="left" w:pos="5820"/>
        </w:tabs>
        <w:spacing w:after="0" w:line="240" w:lineRule="auto"/>
        <w:rPr>
          <w:rFonts w:ascii="Arial" w:eastAsia="Arial" w:hAnsi="Arial" w:cs="Arial"/>
          <w:color w:val="BE9E55"/>
          <w:sz w:val="18"/>
          <w:szCs w:val="18"/>
        </w:rPr>
      </w:pPr>
      <w:r>
        <w:rPr>
          <w:rFonts w:ascii="Century Gothic" w:eastAsia="Century Gothic" w:hAnsi="Century Gothic" w:cs="Century Gothic"/>
        </w:rPr>
        <w:t xml:space="preserve"> </w:t>
      </w:r>
      <w:bookmarkStart w:id="1" w:name="gjdgxs" w:colFirst="0" w:colLast="0"/>
      <w:bookmarkEnd w:id="1"/>
    </w:p>
    <w:p w:rsidR="00DC46EE" w:rsidRPr="008226CE" w:rsidRDefault="008226CE">
      <w:pPr>
        <w:tabs>
          <w:tab w:val="left" w:pos="5820"/>
        </w:tabs>
        <w:spacing w:after="0" w:line="240" w:lineRule="auto"/>
        <w:ind w:left="567" w:right="758"/>
        <w:jc w:val="both"/>
        <w:rPr>
          <w:rFonts w:ascii="Century Gothic" w:eastAsia="Century Gothic" w:hAnsi="Century Gothic" w:cs="Century Gothic"/>
          <w:i/>
          <w:sz w:val="20"/>
        </w:rPr>
      </w:pPr>
      <w:r w:rsidRPr="008226CE">
        <w:rPr>
          <w:rFonts w:ascii="Century Gothic" w:eastAsia="Century Gothic" w:hAnsi="Century Gothic" w:cs="Century Gothic"/>
          <w:i/>
          <w:sz w:val="20"/>
        </w:rPr>
        <w:t>“</w:t>
      </w:r>
      <w:r w:rsidR="00741FB7" w:rsidRPr="008226CE">
        <w:rPr>
          <w:rFonts w:ascii="Century Gothic" w:eastAsia="Century Gothic" w:hAnsi="Century Gothic" w:cs="Century Gothic"/>
          <w:i/>
          <w:sz w:val="20"/>
        </w:rPr>
        <w:t>Son entidades territoriales los departamentos, los distritos, los municipios y los territorios indígenas.</w:t>
      </w:r>
    </w:p>
    <w:p w:rsidR="00DC46EE" w:rsidRPr="008226CE" w:rsidRDefault="00DC46EE">
      <w:pPr>
        <w:tabs>
          <w:tab w:val="left" w:pos="5820"/>
        </w:tabs>
        <w:spacing w:after="0" w:line="240" w:lineRule="auto"/>
        <w:ind w:left="567" w:right="758"/>
        <w:jc w:val="both"/>
        <w:rPr>
          <w:rFonts w:ascii="Century Gothic" w:eastAsia="Century Gothic" w:hAnsi="Century Gothic" w:cs="Century Gothic"/>
          <w:i/>
          <w:sz w:val="20"/>
        </w:rPr>
      </w:pPr>
    </w:p>
    <w:p w:rsidR="00DC46EE" w:rsidRPr="008226CE" w:rsidRDefault="00741FB7">
      <w:pPr>
        <w:spacing w:after="0" w:line="240" w:lineRule="auto"/>
        <w:ind w:left="567" w:right="758"/>
        <w:jc w:val="both"/>
        <w:rPr>
          <w:rFonts w:ascii="Century Gothic" w:eastAsia="Century Gothic" w:hAnsi="Century Gothic" w:cs="Century Gothic"/>
          <w:i/>
          <w:sz w:val="20"/>
        </w:rPr>
      </w:pPr>
      <w:r w:rsidRPr="008226CE">
        <w:rPr>
          <w:rFonts w:ascii="Century Gothic" w:eastAsia="Century Gothic" w:hAnsi="Century Gothic" w:cs="Century Gothic"/>
          <w:i/>
          <w:sz w:val="20"/>
        </w:rPr>
        <w:t>La ley podrá darles el carácter de entidades territoriales a las regiones y provincias que se constituyan en los términos de la Constitución y de la ley.</w:t>
      </w:r>
      <w:r w:rsidR="008226CE" w:rsidRPr="008226CE">
        <w:rPr>
          <w:rFonts w:ascii="Century Gothic" w:eastAsia="Century Gothic" w:hAnsi="Century Gothic" w:cs="Century Gothic"/>
          <w:i/>
          <w:sz w:val="20"/>
        </w:rPr>
        <w:t>”</w:t>
      </w:r>
    </w:p>
    <w:p w:rsidR="00DC46EE" w:rsidRDefault="00DC46EE">
      <w:pPr>
        <w:tabs>
          <w:tab w:val="left" w:pos="5820"/>
        </w:tabs>
        <w:spacing w:after="0" w:line="240" w:lineRule="auto"/>
        <w:rPr>
          <w:rFonts w:ascii="Century Gothic" w:eastAsia="Century Gothic" w:hAnsi="Century Gothic" w:cs="Century Gothic"/>
          <w:b/>
        </w:rPr>
      </w:pPr>
    </w:p>
    <w:p w:rsidR="00DC46EE" w:rsidRDefault="00741FB7">
      <w:p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Establece el artículo 8 de la ley 1617 de 2013, por la cual se expide el régimen para los Distritos E</w:t>
      </w:r>
      <w:r>
        <w:rPr>
          <w:rFonts w:ascii="Century Gothic" w:eastAsia="Century Gothic" w:hAnsi="Century Gothic" w:cs="Century Gothic"/>
        </w:rPr>
        <w:t xml:space="preserve">speciales, que: </w:t>
      </w:r>
    </w:p>
    <w:p w:rsidR="00DC46EE" w:rsidRDefault="00DC46EE">
      <w:pPr>
        <w:tabs>
          <w:tab w:val="left" w:pos="5820"/>
        </w:tabs>
        <w:spacing w:after="0" w:line="240" w:lineRule="auto"/>
        <w:jc w:val="both"/>
        <w:rPr>
          <w:rFonts w:ascii="Century Gothic" w:eastAsia="Century Gothic" w:hAnsi="Century Gothic" w:cs="Century Gothic"/>
        </w:rPr>
      </w:pPr>
    </w:p>
    <w:p w:rsidR="00DC46EE" w:rsidRPr="008226CE" w:rsidRDefault="00741FB7">
      <w:pPr>
        <w:tabs>
          <w:tab w:val="left" w:pos="5820"/>
        </w:tabs>
        <w:spacing w:after="0" w:line="240" w:lineRule="auto"/>
        <w:ind w:left="567" w:right="758"/>
        <w:jc w:val="both"/>
        <w:rPr>
          <w:rFonts w:ascii="Century Gothic" w:eastAsia="Century Gothic" w:hAnsi="Century Gothic" w:cs="Century Gothic"/>
          <w:i/>
          <w:sz w:val="20"/>
        </w:rPr>
      </w:pPr>
      <w:r w:rsidRPr="008226CE">
        <w:rPr>
          <w:rFonts w:ascii="Century Gothic" w:eastAsia="Century Gothic" w:hAnsi="Century Gothic" w:cs="Century Gothic"/>
          <w:i/>
          <w:sz w:val="20"/>
        </w:rPr>
        <w:t>“Los distritos son entidades territoriales organizadas de conformidad con lo previsto en la Constitución Política, que se encuentran sujetos a un régimen especial, en virtud del cual sus órganos y autoridades gozan de facultades especiale</w:t>
      </w:r>
      <w:r w:rsidRPr="008226CE">
        <w:rPr>
          <w:rFonts w:ascii="Century Gothic" w:eastAsia="Century Gothic" w:hAnsi="Century Gothic" w:cs="Century Gothic"/>
          <w:i/>
          <w:sz w:val="20"/>
        </w:rPr>
        <w:t>s diferentes a las contempladas dentro del régimen ordinario aplicable a los demás municipios del país, así como del que rige para las otras entidades territoriales establecidas dentro de la estructura político administrativa del Estado colombiano.</w:t>
      </w:r>
    </w:p>
    <w:p w:rsidR="00DC46EE" w:rsidRPr="008226CE" w:rsidRDefault="00DC46EE">
      <w:pPr>
        <w:tabs>
          <w:tab w:val="left" w:pos="5820"/>
        </w:tabs>
        <w:spacing w:after="0" w:line="240" w:lineRule="auto"/>
        <w:ind w:left="567" w:right="758"/>
        <w:jc w:val="both"/>
        <w:rPr>
          <w:rFonts w:ascii="Century Gothic" w:eastAsia="Century Gothic" w:hAnsi="Century Gothic" w:cs="Century Gothic"/>
          <w:i/>
          <w:sz w:val="20"/>
        </w:rPr>
      </w:pPr>
    </w:p>
    <w:p w:rsidR="00DC46EE" w:rsidRPr="008226CE" w:rsidRDefault="00741FB7">
      <w:pPr>
        <w:tabs>
          <w:tab w:val="left" w:pos="5820"/>
        </w:tabs>
        <w:spacing w:after="0" w:line="240" w:lineRule="auto"/>
        <w:ind w:left="567" w:right="758"/>
        <w:jc w:val="both"/>
        <w:rPr>
          <w:rFonts w:ascii="Century Gothic" w:eastAsia="Century Gothic" w:hAnsi="Century Gothic" w:cs="Century Gothic"/>
          <w:i/>
          <w:sz w:val="20"/>
        </w:rPr>
      </w:pPr>
      <w:r w:rsidRPr="008226CE">
        <w:rPr>
          <w:rFonts w:ascii="Century Gothic" w:eastAsia="Century Gothic" w:hAnsi="Century Gothic" w:cs="Century Gothic"/>
          <w:i/>
          <w:sz w:val="20"/>
        </w:rPr>
        <w:t>En tod</w:t>
      </w:r>
      <w:r w:rsidRPr="008226CE">
        <w:rPr>
          <w:rFonts w:ascii="Century Gothic" w:eastAsia="Century Gothic" w:hAnsi="Century Gothic" w:cs="Century Gothic"/>
          <w:i/>
          <w:sz w:val="20"/>
        </w:rPr>
        <w:t xml:space="preserve">o caso las disposiciones de carácter especial prevalecerán sobre las de carácter general que integran el régimen ordinario de los municipios y/o de los otros entes territoriales; pero en aquellos eventos no regulados por las normas especiales, o que no se </w:t>
      </w:r>
      <w:r w:rsidRPr="008226CE">
        <w:rPr>
          <w:rFonts w:ascii="Century Gothic" w:eastAsia="Century Gothic" w:hAnsi="Century Gothic" w:cs="Century Gothic"/>
          <w:i/>
          <w:sz w:val="20"/>
        </w:rPr>
        <w:t>hubieren remitido expresamente a las disposiciones aplicables a alguno de los otros tipos de entidades territoriales, previstas en la Constitución Política, la ley, ni a las que está sujeto el Distrito Capital de Bogotá, estos se sujetarán a las disposicio</w:t>
      </w:r>
      <w:r w:rsidRPr="008226CE">
        <w:rPr>
          <w:rFonts w:ascii="Century Gothic" w:eastAsia="Century Gothic" w:hAnsi="Century Gothic" w:cs="Century Gothic"/>
          <w:i/>
          <w:sz w:val="20"/>
        </w:rPr>
        <w:t>nes previstas para los municipios.</w:t>
      </w:r>
    </w:p>
    <w:p w:rsidR="00DC46EE" w:rsidRPr="008226CE" w:rsidRDefault="00DC46EE">
      <w:pPr>
        <w:tabs>
          <w:tab w:val="left" w:pos="5820"/>
        </w:tabs>
        <w:spacing w:after="0" w:line="240" w:lineRule="auto"/>
        <w:ind w:left="567" w:right="758"/>
        <w:jc w:val="both"/>
        <w:rPr>
          <w:rFonts w:ascii="Century Gothic" w:eastAsia="Century Gothic" w:hAnsi="Century Gothic" w:cs="Century Gothic"/>
          <w:i/>
          <w:sz w:val="20"/>
        </w:rPr>
      </w:pPr>
    </w:p>
    <w:p w:rsidR="00DC46EE" w:rsidRPr="008226CE" w:rsidRDefault="00741FB7">
      <w:pPr>
        <w:tabs>
          <w:tab w:val="left" w:pos="5820"/>
        </w:tabs>
        <w:spacing w:after="0" w:line="240" w:lineRule="auto"/>
        <w:ind w:left="567" w:right="758"/>
        <w:jc w:val="both"/>
        <w:rPr>
          <w:rFonts w:ascii="Century Gothic" w:eastAsia="Century Gothic" w:hAnsi="Century Gothic" w:cs="Century Gothic"/>
          <w:i/>
          <w:sz w:val="20"/>
        </w:rPr>
      </w:pPr>
      <w:r w:rsidRPr="008226CE">
        <w:rPr>
          <w:rFonts w:ascii="Century Gothic" w:eastAsia="Century Gothic" w:hAnsi="Century Gothic" w:cs="Century Gothic"/>
          <w:i/>
          <w:sz w:val="20"/>
        </w:rPr>
        <w:t>PARÁGRAFO. Las disposiciones contenidas en la presente ley, son aplicables a todos los distritos creados y que se creen, a excepción del Distrito Capital de Bogotá”.</w:t>
      </w:r>
    </w:p>
    <w:p w:rsidR="00DC46EE" w:rsidRDefault="00DC46EE">
      <w:pPr>
        <w:tabs>
          <w:tab w:val="left" w:pos="5820"/>
        </w:tabs>
        <w:spacing w:after="0" w:line="240" w:lineRule="auto"/>
        <w:rPr>
          <w:rFonts w:ascii="Century Gothic" w:eastAsia="Century Gothic" w:hAnsi="Century Gothic" w:cs="Century Gothic"/>
          <w:b/>
        </w:rPr>
      </w:pPr>
    </w:p>
    <w:p w:rsidR="00DC46EE" w:rsidRDefault="00741FB7">
      <w:p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Así mismo señala el artículo 8 de la misma ley 1617 d</w:t>
      </w:r>
      <w:r>
        <w:rPr>
          <w:rFonts w:ascii="Century Gothic" w:eastAsia="Century Gothic" w:hAnsi="Century Gothic" w:cs="Century Gothic"/>
        </w:rPr>
        <w:t xml:space="preserve">e 2013 que se podrán decretar la formación de nuevos distritos siempre y cuando se cumplan las siguientes condiciones: </w:t>
      </w:r>
    </w:p>
    <w:p w:rsidR="00DC46EE" w:rsidRDefault="00741FB7">
      <w:p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 </w:t>
      </w:r>
    </w:p>
    <w:p w:rsidR="00DC46EE" w:rsidRPr="008226CE" w:rsidRDefault="00741FB7">
      <w:pPr>
        <w:tabs>
          <w:tab w:val="left" w:pos="5820"/>
        </w:tabs>
        <w:spacing w:after="0" w:line="240" w:lineRule="auto"/>
        <w:ind w:left="567" w:right="758"/>
        <w:jc w:val="both"/>
        <w:rPr>
          <w:rFonts w:ascii="Century Gothic" w:eastAsia="Century Gothic" w:hAnsi="Century Gothic" w:cs="Century Gothic"/>
          <w:i/>
          <w:sz w:val="20"/>
        </w:rPr>
      </w:pPr>
      <w:r w:rsidRPr="008226CE">
        <w:rPr>
          <w:rFonts w:ascii="Century Gothic" w:eastAsia="Century Gothic" w:hAnsi="Century Gothic" w:cs="Century Gothic"/>
          <w:i/>
          <w:sz w:val="20"/>
        </w:rPr>
        <w:t>1. Que cuente por lo menos con seiscientos mil (600.000) habitantes, según certificación del Departamento Administrativo Nacional de E</w:t>
      </w:r>
      <w:r w:rsidRPr="008226CE">
        <w:rPr>
          <w:rFonts w:ascii="Century Gothic" w:eastAsia="Century Gothic" w:hAnsi="Century Gothic" w:cs="Century Gothic"/>
          <w:i/>
          <w:sz w:val="20"/>
        </w:rPr>
        <w:t xml:space="preserve">stadística (DANE) o que se encuentren ubicados en zonas costeras, </w:t>
      </w:r>
      <w:r w:rsidRPr="008226CE">
        <w:rPr>
          <w:rFonts w:ascii="Century Gothic" w:eastAsia="Century Gothic" w:hAnsi="Century Gothic" w:cs="Century Gothic"/>
          <w:b/>
          <w:i/>
          <w:sz w:val="20"/>
        </w:rPr>
        <w:t>tengan potencial</w:t>
      </w:r>
      <w:r w:rsidRPr="008226CE">
        <w:rPr>
          <w:rFonts w:ascii="Century Gothic" w:eastAsia="Century Gothic" w:hAnsi="Century Gothic" w:cs="Century Gothic"/>
          <w:i/>
          <w:sz w:val="20"/>
        </w:rPr>
        <w:t xml:space="preserve"> para el desarrollo de puertos o </w:t>
      </w:r>
      <w:r w:rsidRPr="008226CE">
        <w:rPr>
          <w:rFonts w:ascii="Century Gothic" w:eastAsia="Century Gothic" w:hAnsi="Century Gothic" w:cs="Century Gothic"/>
          <w:b/>
          <w:i/>
          <w:sz w:val="20"/>
        </w:rPr>
        <w:t>para el turismo y la cultura</w:t>
      </w:r>
      <w:r w:rsidRPr="008226CE">
        <w:rPr>
          <w:rFonts w:ascii="Century Gothic" w:eastAsia="Century Gothic" w:hAnsi="Century Gothic" w:cs="Century Gothic"/>
          <w:i/>
          <w:sz w:val="20"/>
        </w:rPr>
        <w:t>, sea municipio capital de departamento o fronterizo.</w:t>
      </w:r>
    </w:p>
    <w:p w:rsidR="00DC46EE" w:rsidRPr="008226CE" w:rsidRDefault="00DC46EE">
      <w:pPr>
        <w:tabs>
          <w:tab w:val="left" w:pos="5820"/>
        </w:tabs>
        <w:spacing w:after="0" w:line="240" w:lineRule="auto"/>
        <w:ind w:left="567" w:right="758"/>
        <w:jc w:val="both"/>
        <w:rPr>
          <w:rFonts w:ascii="Century Gothic" w:eastAsia="Century Gothic" w:hAnsi="Century Gothic" w:cs="Century Gothic"/>
          <w:i/>
          <w:sz w:val="20"/>
        </w:rPr>
      </w:pPr>
    </w:p>
    <w:p w:rsidR="00DC46EE" w:rsidRPr="008226CE" w:rsidRDefault="00741FB7">
      <w:pPr>
        <w:tabs>
          <w:tab w:val="left" w:pos="5820"/>
        </w:tabs>
        <w:spacing w:after="0" w:line="240" w:lineRule="auto"/>
        <w:ind w:left="567" w:right="758"/>
        <w:jc w:val="both"/>
        <w:rPr>
          <w:rFonts w:ascii="Century Gothic" w:eastAsia="Century Gothic" w:hAnsi="Century Gothic" w:cs="Century Gothic"/>
          <w:i/>
          <w:sz w:val="20"/>
        </w:rPr>
      </w:pPr>
      <w:r w:rsidRPr="008226CE">
        <w:rPr>
          <w:rFonts w:ascii="Century Gothic" w:eastAsia="Century Gothic" w:hAnsi="Century Gothic" w:cs="Century Gothic"/>
          <w:i/>
          <w:sz w:val="20"/>
        </w:rPr>
        <w:t>2. Concepto previo y favorable sobre la conveniencia de cr</w:t>
      </w:r>
      <w:r w:rsidRPr="008226CE">
        <w:rPr>
          <w:rFonts w:ascii="Century Gothic" w:eastAsia="Century Gothic" w:hAnsi="Century Gothic" w:cs="Century Gothic"/>
          <w:i/>
          <w:sz w:val="20"/>
        </w:rPr>
        <w:t>ear el nuevo distrito, presentado conjuntamente entre las Comisiones Especiales de Seguimiento al Proceso de Descentralización y Ordenamiento Territorial del Senado de la República y la Cámara de Representantes, y la Comisión de Ordenamiento Territorial co</w:t>
      </w:r>
      <w:r w:rsidRPr="008226CE">
        <w:rPr>
          <w:rFonts w:ascii="Century Gothic" w:eastAsia="Century Gothic" w:hAnsi="Century Gothic" w:cs="Century Gothic"/>
          <w:i/>
          <w:sz w:val="20"/>
        </w:rPr>
        <w:t>mo organismo técnico asesor, concepto que será sometido a consideración de las Plenarias del Senado de la República y de la Cámara de Representantes, respectivamente.</w:t>
      </w:r>
    </w:p>
    <w:p w:rsidR="00DC46EE" w:rsidRPr="008226CE" w:rsidRDefault="00DC46EE">
      <w:pPr>
        <w:tabs>
          <w:tab w:val="left" w:pos="5820"/>
        </w:tabs>
        <w:spacing w:after="0" w:line="240" w:lineRule="auto"/>
        <w:ind w:left="567" w:right="758"/>
        <w:jc w:val="both"/>
        <w:rPr>
          <w:rFonts w:ascii="Century Gothic" w:eastAsia="Century Gothic" w:hAnsi="Century Gothic" w:cs="Century Gothic"/>
          <w:i/>
          <w:sz w:val="20"/>
        </w:rPr>
      </w:pPr>
    </w:p>
    <w:p w:rsidR="00DC46EE" w:rsidRPr="008226CE" w:rsidRDefault="00741FB7">
      <w:pPr>
        <w:tabs>
          <w:tab w:val="left" w:pos="5820"/>
        </w:tabs>
        <w:spacing w:after="0" w:line="240" w:lineRule="auto"/>
        <w:ind w:left="567" w:right="758"/>
        <w:jc w:val="both"/>
        <w:rPr>
          <w:rFonts w:ascii="Century Gothic" w:eastAsia="Century Gothic" w:hAnsi="Century Gothic" w:cs="Century Gothic"/>
          <w:i/>
          <w:sz w:val="20"/>
        </w:rPr>
      </w:pPr>
      <w:r w:rsidRPr="008226CE">
        <w:rPr>
          <w:rFonts w:ascii="Century Gothic" w:eastAsia="Century Gothic" w:hAnsi="Century Gothic" w:cs="Century Gothic"/>
          <w:i/>
          <w:sz w:val="20"/>
        </w:rPr>
        <w:t>3. Concepto previo y favorable de los concejos municipales.</w:t>
      </w:r>
    </w:p>
    <w:p w:rsidR="00DC46EE" w:rsidRPr="008226CE" w:rsidRDefault="00DC46EE">
      <w:pPr>
        <w:tabs>
          <w:tab w:val="left" w:pos="5820"/>
        </w:tabs>
        <w:spacing w:after="0" w:line="240" w:lineRule="auto"/>
        <w:ind w:left="567" w:right="758"/>
        <w:jc w:val="center"/>
        <w:rPr>
          <w:rFonts w:ascii="Century Gothic" w:eastAsia="Century Gothic" w:hAnsi="Century Gothic" w:cs="Century Gothic"/>
          <w:i/>
          <w:sz w:val="20"/>
        </w:rPr>
      </w:pPr>
    </w:p>
    <w:p w:rsidR="00DC46EE" w:rsidRPr="008226CE" w:rsidRDefault="00741FB7">
      <w:pPr>
        <w:tabs>
          <w:tab w:val="left" w:pos="5820"/>
        </w:tabs>
        <w:spacing w:after="0" w:line="240" w:lineRule="auto"/>
        <w:ind w:left="567" w:right="758"/>
        <w:jc w:val="both"/>
        <w:rPr>
          <w:rFonts w:ascii="Century Gothic" w:eastAsia="Century Gothic" w:hAnsi="Century Gothic" w:cs="Century Gothic"/>
          <w:i/>
          <w:sz w:val="20"/>
        </w:rPr>
      </w:pPr>
      <w:r w:rsidRPr="008226CE">
        <w:rPr>
          <w:rFonts w:ascii="Century Gothic" w:eastAsia="Century Gothic" w:hAnsi="Century Gothic" w:cs="Century Gothic"/>
          <w:i/>
          <w:sz w:val="20"/>
        </w:rPr>
        <w:t xml:space="preserve">Parágrafo 1°. Se exceptúan </w:t>
      </w:r>
      <w:r w:rsidRPr="008226CE">
        <w:rPr>
          <w:rFonts w:ascii="Century Gothic" w:eastAsia="Century Gothic" w:hAnsi="Century Gothic" w:cs="Century Gothic"/>
          <w:i/>
          <w:sz w:val="20"/>
        </w:rPr>
        <w:t>del cumplimiento de estos requisitos a aquellos distritos que hayan sido reconocidos como tales por la Constitución y la ley o los municipios que hayan sido declarados Patrimonio Histórico de la Humanidad por la Unesco.</w:t>
      </w:r>
    </w:p>
    <w:p w:rsidR="00DC46EE" w:rsidRDefault="00DC46EE">
      <w:pPr>
        <w:tabs>
          <w:tab w:val="left" w:pos="5820"/>
        </w:tabs>
        <w:spacing w:after="0" w:line="240" w:lineRule="auto"/>
        <w:ind w:left="567" w:right="758"/>
        <w:jc w:val="both"/>
        <w:rPr>
          <w:rFonts w:ascii="Century Gothic" w:eastAsia="Century Gothic" w:hAnsi="Century Gothic" w:cs="Century Gothic"/>
          <w:i/>
        </w:rPr>
      </w:pPr>
    </w:p>
    <w:p w:rsidR="00DC46EE" w:rsidRDefault="00741FB7">
      <w:pPr>
        <w:tabs>
          <w:tab w:val="left" w:pos="5820"/>
        </w:tabs>
        <w:spacing w:after="0" w:line="240" w:lineRule="auto"/>
        <w:ind w:right="758"/>
        <w:jc w:val="both"/>
        <w:rPr>
          <w:rFonts w:ascii="Century Gothic" w:eastAsia="Century Gothic" w:hAnsi="Century Gothic" w:cs="Century Gothic"/>
        </w:rPr>
      </w:pPr>
      <w:r>
        <w:rPr>
          <w:rFonts w:ascii="Century Gothic" w:eastAsia="Century Gothic" w:hAnsi="Century Gothic" w:cs="Century Gothic"/>
        </w:rPr>
        <w:t>Frente a los requisitos señalados en los numerales 2 y 3 se debe indicar que se adjuntarán al momento de realizar el último debate.</w:t>
      </w:r>
    </w:p>
    <w:p w:rsidR="00DC46EE" w:rsidRDefault="00DC46EE">
      <w:pPr>
        <w:tabs>
          <w:tab w:val="left" w:pos="5820"/>
        </w:tabs>
        <w:spacing w:after="0" w:line="240" w:lineRule="auto"/>
        <w:ind w:left="567" w:right="758"/>
        <w:jc w:val="both"/>
        <w:rPr>
          <w:rFonts w:ascii="Bookman Old Style" w:eastAsia="Bookman Old Style" w:hAnsi="Bookman Old Style" w:cs="Bookman Old Style"/>
          <w:sz w:val="24"/>
          <w:szCs w:val="24"/>
        </w:rPr>
      </w:pPr>
    </w:p>
    <w:p w:rsidR="00DC46EE" w:rsidRDefault="00741FB7">
      <w:pPr>
        <w:spacing w:before="40" w:after="20" w:line="240" w:lineRule="auto"/>
        <w:ind w:right="40"/>
        <w:jc w:val="both"/>
        <w:rPr>
          <w:rFonts w:ascii="Century Gothic" w:eastAsia="Century Gothic" w:hAnsi="Century Gothic" w:cs="Century Gothic"/>
        </w:rPr>
      </w:pPr>
      <w:r>
        <w:rPr>
          <w:rFonts w:ascii="Century Gothic" w:eastAsia="Century Gothic" w:hAnsi="Century Gothic" w:cs="Century Gothic"/>
        </w:rPr>
        <w:t>Por otro lado, sostuvo la Corte Constitucional en sentencia C-646/10, lo siguiente:</w:t>
      </w:r>
    </w:p>
    <w:p w:rsidR="00DC46EE" w:rsidRDefault="00741FB7">
      <w:pPr>
        <w:spacing w:before="40" w:after="20" w:line="240" w:lineRule="auto"/>
        <w:ind w:left="566" w:right="40"/>
        <w:jc w:val="both"/>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 xml:space="preserve"> </w:t>
      </w:r>
    </w:p>
    <w:p w:rsidR="00DC46EE" w:rsidRPr="008226CE" w:rsidRDefault="00741FB7">
      <w:pPr>
        <w:spacing w:before="40" w:after="20" w:line="240" w:lineRule="auto"/>
        <w:ind w:left="566" w:right="760"/>
        <w:jc w:val="both"/>
        <w:rPr>
          <w:rFonts w:ascii="Century Gothic" w:eastAsia="Century Gothic" w:hAnsi="Century Gothic" w:cs="Century Gothic"/>
          <w:sz w:val="20"/>
        </w:rPr>
      </w:pPr>
      <w:r w:rsidRPr="008226CE">
        <w:rPr>
          <w:rFonts w:ascii="Century Gothic" w:eastAsia="Century Gothic" w:hAnsi="Century Gothic" w:cs="Century Gothic"/>
          <w:i/>
          <w:sz w:val="20"/>
        </w:rPr>
        <w:t>"(...) la determinación o señalamient</w:t>
      </w:r>
      <w:r w:rsidRPr="008226CE">
        <w:rPr>
          <w:rFonts w:ascii="Century Gothic" w:eastAsia="Century Gothic" w:hAnsi="Century Gothic" w:cs="Century Gothic"/>
          <w:i/>
          <w:sz w:val="20"/>
        </w:rPr>
        <w:t xml:space="preserve">o de las </w:t>
      </w:r>
      <w:r w:rsidRPr="008226CE">
        <w:rPr>
          <w:rFonts w:ascii="Century Gothic" w:eastAsia="Century Gothic" w:hAnsi="Century Gothic" w:cs="Century Gothic"/>
          <w:b/>
          <w:i/>
          <w:sz w:val="20"/>
        </w:rPr>
        <w:t>categorías de las entidades territoriales es un aspecto que debe estar definido directamente en la Constitución, pues en ellas se "expresan la voluntad del constituyente acerca de la organización política del Estado</w:t>
      </w:r>
      <w:r w:rsidRPr="008226CE">
        <w:rPr>
          <w:rFonts w:ascii="Century Gothic" w:eastAsia="Century Gothic" w:hAnsi="Century Gothic" w:cs="Century Gothic"/>
          <w:i/>
          <w:sz w:val="20"/>
        </w:rPr>
        <w:t>". Conforme con ello, el artícul</w:t>
      </w:r>
      <w:r w:rsidRPr="008226CE">
        <w:rPr>
          <w:rFonts w:ascii="Century Gothic" w:eastAsia="Century Gothic" w:hAnsi="Century Gothic" w:cs="Century Gothic"/>
          <w:i/>
          <w:sz w:val="20"/>
        </w:rPr>
        <w:t>o 286 de la Carta Política consagra que son entidades territoriales "los departamentos, los distritos, los municipios y los territorios indígenas", dejando abierta la posibilidad para que adquieran tal condición, también las regiones y provincias que se co</w:t>
      </w:r>
      <w:r w:rsidRPr="008226CE">
        <w:rPr>
          <w:rFonts w:ascii="Century Gothic" w:eastAsia="Century Gothic" w:hAnsi="Century Gothic" w:cs="Century Gothic"/>
          <w:i/>
          <w:sz w:val="20"/>
        </w:rPr>
        <w:t xml:space="preserve">nstituyan en los términos que la propia Constitución y la ley definan. La jurisprudencia constitucional ha destacado igualmente, que, en materia de organización territorial, la Carta Política de 1991 introdujo cambios esenciales, permitiendo que se pasara </w:t>
      </w:r>
      <w:r w:rsidRPr="008226CE">
        <w:rPr>
          <w:rFonts w:ascii="Century Gothic" w:eastAsia="Century Gothic" w:hAnsi="Century Gothic" w:cs="Century Gothic"/>
          <w:i/>
          <w:sz w:val="20"/>
        </w:rPr>
        <w:t>de un esquema con centralización política y descentralización administrativa, que venía rigiendo bajo la vigencia de la Constitución centenaria de 1886, a un sistema de autonomía a favor de las entidades territoriales, sin perder de vista la unidad del Est</w:t>
      </w:r>
      <w:r w:rsidRPr="008226CE">
        <w:rPr>
          <w:rFonts w:ascii="Century Gothic" w:eastAsia="Century Gothic" w:hAnsi="Century Gothic" w:cs="Century Gothic"/>
          <w:i/>
          <w:sz w:val="20"/>
        </w:rPr>
        <w:t>ado (C. P., artículos 1°, 287 y 288). En esa dirección, el artículo 287 de la Constitución prevé que las entidades territoriales gozan de autonomía para la gestión de sus intereses, dentro de los límites de la Constitución y la ley, haciendo manifiesta tal</w:t>
      </w:r>
      <w:r w:rsidRPr="008226CE">
        <w:rPr>
          <w:rFonts w:ascii="Century Gothic" w:eastAsia="Century Gothic" w:hAnsi="Century Gothic" w:cs="Century Gothic"/>
          <w:i/>
          <w:sz w:val="20"/>
        </w:rPr>
        <w:t xml:space="preserve"> autonomía en los derechos reconocidos a estas para: (i) gobernarse por autoridades propias (autonomía política), (ii) ejercer las competencias que le correspondan (autonomía administrativa), (iii) administrar los recursos y establecer los tributos necesar</w:t>
      </w:r>
      <w:r w:rsidRPr="008226CE">
        <w:rPr>
          <w:rFonts w:ascii="Century Gothic" w:eastAsia="Century Gothic" w:hAnsi="Century Gothic" w:cs="Century Gothic"/>
          <w:i/>
          <w:sz w:val="20"/>
        </w:rPr>
        <w:t>ios para el cumplimiento de sus funciones (autonomía fiscal), y (iv) participar en las rentas nacionales (autonomía fiscal</w:t>
      </w:r>
      <w:r w:rsidRPr="008226CE">
        <w:rPr>
          <w:rFonts w:ascii="Century Gothic" w:eastAsia="Century Gothic" w:hAnsi="Century Gothic" w:cs="Century Gothic"/>
          <w:sz w:val="20"/>
        </w:rPr>
        <w:t>)</w:t>
      </w:r>
      <w:r w:rsidRPr="008226CE">
        <w:rPr>
          <w:rFonts w:ascii="Century Gothic" w:eastAsia="Century Gothic" w:hAnsi="Century Gothic" w:cs="Century Gothic"/>
          <w:sz w:val="20"/>
          <w:vertAlign w:val="superscript"/>
        </w:rPr>
        <w:footnoteReference w:id="19"/>
      </w:r>
      <w:r w:rsidRPr="008226CE">
        <w:rPr>
          <w:rFonts w:ascii="Century Gothic" w:eastAsia="Century Gothic" w:hAnsi="Century Gothic" w:cs="Century Gothic"/>
          <w:sz w:val="20"/>
        </w:rPr>
        <w:t>.</w:t>
      </w:r>
    </w:p>
    <w:p w:rsidR="008226CE" w:rsidRDefault="008226CE" w:rsidP="008226CE">
      <w:pPr>
        <w:spacing w:before="100" w:after="0"/>
        <w:jc w:val="both"/>
        <w:rPr>
          <w:rFonts w:ascii="Century Gothic" w:eastAsia="Century Gothic" w:hAnsi="Century Gothic" w:cs="Century Gothic"/>
          <w:b/>
          <w:sz w:val="24"/>
          <w:szCs w:val="24"/>
        </w:rPr>
      </w:pPr>
    </w:p>
    <w:p w:rsidR="00DC46EE" w:rsidRDefault="00741FB7" w:rsidP="008226CE">
      <w:pPr>
        <w:spacing w:before="100" w:after="0"/>
        <w:jc w:val="both"/>
        <w:rPr>
          <w:rFonts w:ascii="Century Gothic" w:eastAsia="Century Gothic" w:hAnsi="Century Gothic" w:cs="Century Gothic"/>
        </w:rPr>
      </w:pPr>
      <w:r>
        <w:rPr>
          <w:rFonts w:ascii="Century Gothic" w:eastAsia="Century Gothic" w:hAnsi="Century Gothic" w:cs="Century Gothic"/>
        </w:rPr>
        <w:t>Con el apoyo de la sentencia transcrita podemos concluir dos factores importantes para justificar la iniciativa legislativa, el primero se refiere a que las categorías de las entidades distritales son mandatos constitucionales, lo cual fundamenta que la pr</w:t>
      </w:r>
      <w:r>
        <w:rPr>
          <w:rFonts w:ascii="Century Gothic" w:eastAsia="Century Gothic" w:hAnsi="Century Gothic" w:cs="Century Gothic"/>
        </w:rPr>
        <w:t>esente iniciativa legislativa se realice mediante modificación constitucional; en segundo lugar, manifiesta el deseo del constituyente de ampliar la autonomía de las entidades territoriales, finalidad que busca la iniciativa en tanto pretende mantener un r</w:t>
      </w:r>
      <w:r>
        <w:rPr>
          <w:rFonts w:ascii="Century Gothic" w:eastAsia="Century Gothic" w:hAnsi="Century Gothic" w:cs="Century Gothic"/>
        </w:rPr>
        <w:t>égimen legal político, fiscal y administrativo independiente, que excluya a Ibagué del régimen municipal ordinario, y solo se aplique de manera subsidiaria.</w:t>
      </w:r>
    </w:p>
    <w:p w:rsidR="00DC46EE" w:rsidRDefault="00DC46EE">
      <w:pPr>
        <w:tabs>
          <w:tab w:val="left" w:pos="5820"/>
        </w:tabs>
        <w:spacing w:after="0" w:line="240" w:lineRule="auto"/>
        <w:rPr>
          <w:rFonts w:ascii="Century Gothic" w:eastAsia="Century Gothic" w:hAnsi="Century Gothic" w:cs="Century Gothic"/>
          <w:b/>
        </w:rPr>
      </w:pPr>
    </w:p>
    <w:p w:rsidR="00DC46EE" w:rsidRDefault="008226CE">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VII.</w:t>
      </w:r>
      <w:r w:rsidR="00741FB7">
        <w:rPr>
          <w:rFonts w:ascii="Century Gothic" w:eastAsia="Century Gothic" w:hAnsi="Century Gothic" w:cs="Century Gothic"/>
          <w:b/>
        </w:rPr>
        <w:t xml:space="preserve"> NORMAS QUE SE PROPONEN MODIFICAR </w:t>
      </w:r>
    </w:p>
    <w:p w:rsidR="00DC46EE" w:rsidRDefault="00DC46EE">
      <w:pPr>
        <w:tabs>
          <w:tab w:val="left" w:pos="5820"/>
        </w:tabs>
        <w:spacing w:after="0" w:line="240" w:lineRule="auto"/>
        <w:rPr>
          <w:rFonts w:ascii="Century Gothic" w:eastAsia="Century Gothic" w:hAnsi="Century Gothic" w:cs="Century Gothic"/>
          <w:b/>
        </w:rPr>
      </w:pPr>
    </w:p>
    <w:tbl>
      <w:tblPr>
        <w:tblStyle w:val="a"/>
        <w:tblW w:w="89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89"/>
        <w:gridCol w:w="4489"/>
      </w:tblGrid>
      <w:tr w:rsidR="00DC46EE">
        <w:tc>
          <w:tcPr>
            <w:tcW w:w="4489" w:type="dxa"/>
          </w:tcPr>
          <w:p w:rsidR="00DC46EE" w:rsidRDefault="00741FB7">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ARTÍCULO ACTUAL</w:t>
            </w:r>
          </w:p>
        </w:tc>
        <w:tc>
          <w:tcPr>
            <w:tcW w:w="4489" w:type="dxa"/>
          </w:tcPr>
          <w:p w:rsidR="00DC46EE" w:rsidRDefault="00741FB7">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ARTÍCULO NUEVO</w:t>
            </w:r>
          </w:p>
        </w:tc>
      </w:tr>
      <w:tr w:rsidR="00DC46EE">
        <w:tc>
          <w:tcPr>
            <w:tcW w:w="4489" w:type="dxa"/>
          </w:tcPr>
          <w:p w:rsidR="00DC46EE" w:rsidRDefault="00741FB7">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Art. 328. </w:t>
            </w:r>
            <w:r>
              <w:rPr>
                <w:rFonts w:ascii="Century Gothic" w:eastAsia="Century Gothic" w:hAnsi="Century Gothic" w:cs="Century Gothic"/>
                <w:sz w:val="20"/>
                <w:szCs w:val="20"/>
              </w:rPr>
              <w:t>El Distrito Turístico y Cultural de Cartagena de Indias, el Distrito Turístico, Cultural e Histórico de Santa Marta y Barranquilla conservarán su régimen y carácter, y se organiza a Buenaventura y Tumaco como Distrito Especial, Industrial, Portuario, Biodi</w:t>
            </w:r>
            <w:r>
              <w:rPr>
                <w:rFonts w:ascii="Century Gothic" w:eastAsia="Century Gothic" w:hAnsi="Century Gothic" w:cs="Century Gothic"/>
                <w:sz w:val="20"/>
                <w:szCs w:val="20"/>
              </w:rPr>
              <w:t>verso y Ecoturístico.</w:t>
            </w:r>
          </w:p>
        </w:tc>
        <w:tc>
          <w:tcPr>
            <w:tcW w:w="4489" w:type="dxa"/>
          </w:tcPr>
          <w:p w:rsidR="00DC46EE" w:rsidRDefault="00741FB7">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Art. 328.</w:t>
            </w:r>
            <w:r>
              <w:rPr>
                <w:rFonts w:ascii="Century Gothic" w:eastAsia="Century Gothic" w:hAnsi="Century Gothic" w:cs="Century Gothic"/>
                <w:sz w:val="20"/>
                <w:szCs w:val="20"/>
              </w:rPr>
              <w:t xml:space="preserve"> El Distrito Turístico y Cultural de Cartagena de Indias, el Distrito Turístico, Cultural e Histórico de Santa Marta y Barranquilla conservarán su régimen y carácter, y se organiza a Buenaventura y Tumaco como Distrito Especi</w:t>
            </w:r>
            <w:r>
              <w:rPr>
                <w:rFonts w:ascii="Century Gothic" w:eastAsia="Century Gothic" w:hAnsi="Century Gothic" w:cs="Century Gothic"/>
                <w:sz w:val="20"/>
                <w:szCs w:val="20"/>
              </w:rPr>
              <w:t xml:space="preserve">al, Industrial, Portuario, Biodiverso y Ecoturístico, </w:t>
            </w:r>
            <w:r>
              <w:rPr>
                <w:rFonts w:ascii="Century Gothic" w:eastAsia="Century Gothic" w:hAnsi="Century Gothic" w:cs="Century Gothic"/>
                <w:b/>
                <w:sz w:val="20"/>
                <w:szCs w:val="20"/>
                <w:u w:val="single"/>
              </w:rPr>
              <w:t>y a Ibagué como Distrito Especial, Cultural y Musical</w:t>
            </w:r>
            <w:r>
              <w:rPr>
                <w:rFonts w:ascii="Century Gothic" w:eastAsia="Century Gothic" w:hAnsi="Century Gothic" w:cs="Century Gothic"/>
                <w:sz w:val="20"/>
                <w:szCs w:val="20"/>
              </w:rPr>
              <w:t>.</w:t>
            </w:r>
          </w:p>
          <w:p w:rsidR="00DC46EE" w:rsidRDefault="00DC46EE">
            <w:pPr>
              <w:jc w:val="both"/>
              <w:rPr>
                <w:rFonts w:ascii="Century Gothic" w:eastAsia="Century Gothic" w:hAnsi="Century Gothic" w:cs="Century Gothic"/>
                <w:sz w:val="20"/>
                <w:szCs w:val="20"/>
              </w:rPr>
            </w:pPr>
          </w:p>
        </w:tc>
      </w:tr>
      <w:tr w:rsidR="00DC46EE">
        <w:tc>
          <w:tcPr>
            <w:tcW w:w="4489" w:type="dxa"/>
          </w:tcPr>
          <w:p w:rsidR="00DC46EE" w:rsidRDefault="00741FB7">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Art. 356</w:t>
            </w:r>
            <w:r>
              <w:rPr>
                <w:rFonts w:ascii="Century Gothic" w:eastAsia="Century Gothic" w:hAnsi="Century Gothic" w:cs="Century Gothic"/>
                <w:sz w:val="20"/>
                <w:szCs w:val="20"/>
              </w:rPr>
              <w:t xml:space="preserve"> (….)</w:t>
            </w:r>
          </w:p>
          <w:p w:rsidR="00DC46EE" w:rsidRDefault="00DC46EE">
            <w:pPr>
              <w:jc w:val="both"/>
              <w:rPr>
                <w:rFonts w:ascii="Century Gothic" w:eastAsia="Century Gothic" w:hAnsi="Century Gothic" w:cs="Century Gothic"/>
                <w:sz w:val="20"/>
                <w:szCs w:val="20"/>
              </w:rPr>
            </w:pPr>
          </w:p>
          <w:p w:rsidR="00DC46EE" w:rsidRDefault="00741FB7">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Las ciudades de Buenaventura y Tumaco se organizan como Distritos Especiales, Industriales, Portuarios, Biodiversos y Ecoturístico</w:t>
            </w:r>
            <w:r>
              <w:rPr>
                <w:rFonts w:ascii="Century Gothic" w:eastAsia="Century Gothic" w:hAnsi="Century Gothic" w:cs="Century Gothic"/>
                <w:sz w:val="20"/>
                <w:szCs w:val="20"/>
              </w:rPr>
              <w:t>s. Su régimen político, fiscal y administrativo será el que determine la Constitución y las leyes especiales, que para el efecto se dicten, y en lo no dispuesto en ellas, las normas vigentes para los municipios.</w:t>
            </w:r>
          </w:p>
        </w:tc>
        <w:tc>
          <w:tcPr>
            <w:tcW w:w="4489" w:type="dxa"/>
          </w:tcPr>
          <w:p w:rsidR="00DC46EE" w:rsidRDefault="00741FB7">
            <w:pPr>
              <w:jc w:val="both"/>
              <w:rPr>
                <w:rFonts w:ascii="Century Gothic" w:eastAsia="Century Gothic" w:hAnsi="Century Gothic" w:cs="Century Gothic"/>
                <w:sz w:val="20"/>
                <w:szCs w:val="20"/>
              </w:rPr>
            </w:pPr>
            <w:r>
              <w:rPr>
                <w:rFonts w:ascii="Century Gothic" w:eastAsia="Century Gothic" w:hAnsi="Century Gothic" w:cs="Century Gothic"/>
                <w:b/>
                <w:sz w:val="20"/>
                <w:szCs w:val="20"/>
              </w:rPr>
              <w:t>Art. 356</w:t>
            </w:r>
            <w:r>
              <w:rPr>
                <w:rFonts w:ascii="Century Gothic" w:eastAsia="Century Gothic" w:hAnsi="Century Gothic" w:cs="Century Gothic"/>
                <w:sz w:val="20"/>
                <w:szCs w:val="20"/>
              </w:rPr>
              <w:t xml:space="preserve"> (….)</w:t>
            </w:r>
          </w:p>
          <w:p w:rsidR="00DC46EE" w:rsidRDefault="00DC46EE">
            <w:pPr>
              <w:jc w:val="both"/>
              <w:rPr>
                <w:rFonts w:ascii="Century Gothic" w:eastAsia="Century Gothic" w:hAnsi="Century Gothic" w:cs="Century Gothic"/>
                <w:sz w:val="20"/>
                <w:szCs w:val="20"/>
              </w:rPr>
            </w:pPr>
          </w:p>
          <w:p w:rsidR="00DC46EE" w:rsidRDefault="00741FB7">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Las ciudades de Buenaventura y Tumaco se organizan como Distritos Especiales, Industriales, Portuarios, Biodiversos y Ecoturísticos. </w:t>
            </w:r>
            <w:r>
              <w:rPr>
                <w:rFonts w:ascii="Century Gothic" w:eastAsia="Century Gothic" w:hAnsi="Century Gothic" w:cs="Century Gothic"/>
                <w:b/>
                <w:sz w:val="20"/>
                <w:szCs w:val="20"/>
                <w:u w:val="single"/>
              </w:rPr>
              <w:t>La ciudad de Ibagué se organiza como</w:t>
            </w:r>
            <w:r>
              <w:rPr>
                <w:rFonts w:ascii="Century Gothic" w:eastAsia="Century Gothic" w:hAnsi="Century Gothic" w:cs="Century Gothic"/>
                <w:sz w:val="20"/>
                <w:szCs w:val="20"/>
                <w:u w:val="single"/>
              </w:rPr>
              <w:t xml:space="preserve"> </w:t>
            </w:r>
            <w:r>
              <w:rPr>
                <w:rFonts w:ascii="Century Gothic" w:eastAsia="Century Gothic" w:hAnsi="Century Gothic" w:cs="Century Gothic"/>
                <w:b/>
                <w:sz w:val="20"/>
                <w:szCs w:val="20"/>
                <w:u w:val="single"/>
              </w:rPr>
              <w:t>Distrito Especial, Cultural y Musical</w:t>
            </w:r>
            <w:r>
              <w:rPr>
                <w:rFonts w:ascii="Century Gothic" w:eastAsia="Century Gothic" w:hAnsi="Century Gothic" w:cs="Century Gothic"/>
                <w:sz w:val="20"/>
                <w:szCs w:val="20"/>
              </w:rPr>
              <w:t>. Su régimen político, fiscal y administrativo se</w:t>
            </w:r>
            <w:r>
              <w:rPr>
                <w:rFonts w:ascii="Century Gothic" w:eastAsia="Century Gothic" w:hAnsi="Century Gothic" w:cs="Century Gothic"/>
                <w:sz w:val="20"/>
                <w:szCs w:val="20"/>
              </w:rPr>
              <w:t>rá el que determine la Constitución y las leyes especiales, que para el efecto se dicten, y en lo no dispuesto en ellas, las normas vigentes para los municipios.</w:t>
            </w:r>
          </w:p>
        </w:tc>
      </w:tr>
    </w:tbl>
    <w:p w:rsidR="00DC46EE" w:rsidRDefault="00DC46EE">
      <w:pPr>
        <w:tabs>
          <w:tab w:val="left" w:pos="5820"/>
        </w:tabs>
        <w:spacing w:after="0" w:line="240" w:lineRule="auto"/>
        <w:rPr>
          <w:rFonts w:ascii="Century Gothic" w:eastAsia="Century Gothic" w:hAnsi="Century Gothic" w:cs="Century Gothic"/>
        </w:rPr>
      </w:pPr>
    </w:p>
    <w:p w:rsidR="00DC46EE" w:rsidRDefault="00DC46EE">
      <w:pPr>
        <w:tabs>
          <w:tab w:val="left" w:pos="5820"/>
        </w:tabs>
        <w:spacing w:after="0" w:line="240" w:lineRule="auto"/>
        <w:rPr>
          <w:rFonts w:ascii="Century Gothic" w:eastAsia="Century Gothic" w:hAnsi="Century Gothic" w:cs="Century Gothic"/>
          <w:b/>
        </w:rPr>
      </w:pP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 xml:space="preserve">PROPOSICIÓN: </w:t>
      </w:r>
    </w:p>
    <w:p w:rsidR="00DC46EE" w:rsidRDefault="00DC46EE">
      <w:pPr>
        <w:tabs>
          <w:tab w:val="left" w:pos="5820"/>
        </w:tabs>
        <w:spacing w:after="0" w:line="240" w:lineRule="auto"/>
        <w:rPr>
          <w:rFonts w:ascii="Century Gothic" w:eastAsia="Century Gothic" w:hAnsi="Century Gothic" w:cs="Century Gothic"/>
          <w:b/>
        </w:rPr>
      </w:pPr>
    </w:p>
    <w:p w:rsidR="00DC46EE" w:rsidRDefault="00741FB7">
      <w:pPr>
        <w:tabs>
          <w:tab w:val="left" w:pos="5820"/>
        </w:tabs>
        <w:spacing w:after="0" w:line="240" w:lineRule="auto"/>
        <w:jc w:val="both"/>
        <w:rPr>
          <w:rFonts w:ascii="Century Gothic" w:eastAsia="Century Gothic" w:hAnsi="Century Gothic" w:cs="Century Gothic"/>
        </w:rPr>
      </w:pPr>
      <w:r>
        <w:rPr>
          <w:rFonts w:ascii="Century Gothic" w:eastAsia="Century Gothic" w:hAnsi="Century Gothic" w:cs="Century Gothic"/>
        </w:rPr>
        <w:t xml:space="preserve">Por todas las consideraciones anteriores, me permito rendir PONENCIA POSITIVA y en su defecto solicito a los miembros de la Comisión Primera Constitucional de la Cámara de Representantes DAR primer debate al proyecto de Acto Legislativo 186 de 2018 Cámara </w:t>
      </w:r>
      <w:r>
        <w:rPr>
          <w:rFonts w:ascii="Century Gothic" w:eastAsia="Century Gothic" w:hAnsi="Century Gothic" w:cs="Century Gothic"/>
        </w:rPr>
        <w:t xml:space="preserve">“Por el cual se modifican los artículos 328 y 356 de la Constitución Política otorgándole al municipio de Ibagué (Tolima) el carácter de distrito especial, cultura y musical”. </w:t>
      </w:r>
    </w:p>
    <w:p w:rsidR="00DC46EE" w:rsidRDefault="00DC46EE">
      <w:pPr>
        <w:tabs>
          <w:tab w:val="left" w:pos="5820"/>
        </w:tabs>
        <w:spacing w:after="0" w:line="240" w:lineRule="auto"/>
        <w:rPr>
          <w:rFonts w:ascii="Century Gothic" w:eastAsia="Century Gothic" w:hAnsi="Century Gothic" w:cs="Century Gothic"/>
          <w:b/>
        </w:rPr>
      </w:pPr>
    </w:p>
    <w:p w:rsidR="00DC46EE" w:rsidRDefault="00DC46EE">
      <w:pPr>
        <w:tabs>
          <w:tab w:val="left" w:pos="5820"/>
        </w:tabs>
        <w:spacing w:after="0" w:line="240" w:lineRule="auto"/>
        <w:rPr>
          <w:rFonts w:ascii="Century Gothic" w:eastAsia="Century Gothic" w:hAnsi="Century Gothic" w:cs="Century Gothic"/>
          <w:b/>
        </w:rPr>
      </w:pP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 xml:space="preserve">De los Honorables Representantes a la Cámara, </w:t>
      </w:r>
    </w:p>
    <w:p w:rsidR="00DC46EE" w:rsidRDefault="00DC46EE">
      <w:pPr>
        <w:tabs>
          <w:tab w:val="left" w:pos="5820"/>
        </w:tabs>
        <w:spacing w:after="0" w:line="240" w:lineRule="auto"/>
        <w:rPr>
          <w:rFonts w:ascii="Century Gothic" w:eastAsia="Century Gothic" w:hAnsi="Century Gothic" w:cs="Century Gothic"/>
          <w:b/>
        </w:rPr>
      </w:pPr>
    </w:p>
    <w:p w:rsidR="00DC46EE" w:rsidRDefault="00DC46EE">
      <w:pPr>
        <w:tabs>
          <w:tab w:val="left" w:pos="5820"/>
        </w:tabs>
        <w:spacing w:after="0" w:line="240" w:lineRule="auto"/>
        <w:rPr>
          <w:rFonts w:ascii="Century Gothic" w:eastAsia="Century Gothic" w:hAnsi="Century Gothic" w:cs="Century Gothic"/>
          <w:b/>
        </w:rPr>
      </w:pPr>
    </w:p>
    <w:p w:rsidR="008226CE" w:rsidRDefault="008226CE">
      <w:pPr>
        <w:tabs>
          <w:tab w:val="left" w:pos="5820"/>
        </w:tabs>
        <w:spacing w:after="0" w:line="240" w:lineRule="auto"/>
        <w:rPr>
          <w:rFonts w:ascii="Century Gothic" w:eastAsia="Century Gothic" w:hAnsi="Century Gothic" w:cs="Century Gothic"/>
          <w:b/>
        </w:rPr>
      </w:pPr>
    </w:p>
    <w:p w:rsidR="00DC46EE" w:rsidRDefault="00DC46EE">
      <w:pPr>
        <w:tabs>
          <w:tab w:val="left" w:pos="5820"/>
        </w:tabs>
        <w:spacing w:after="0" w:line="240" w:lineRule="auto"/>
        <w:rPr>
          <w:rFonts w:ascii="Century Gothic" w:eastAsia="Century Gothic" w:hAnsi="Century Gothic" w:cs="Century Gothic"/>
          <w:b/>
        </w:rPr>
      </w:pPr>
    </w:p>
    <w:p w:rsidR="00DC46EE" w:rsidRDefault="00DC46EE">
      <w:pPr>
        <w:tabs>
          <w:tab w:val="left" w:pos="5820"/>
        </w:tabs>
        <w:spacing w:after="0" w:line="240" w:lineRule="auto"/>
        <w:rPr>
          <w:rFonts w:ascii="Century Gothic" w:eastAsia="Century Gothic" w:hAnsi="Century Gothic" w:cs="Century Gothic"/>
          <w:b/>
        </w:rPr>
      </w:pP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ADRIANA MAGALI MATIZ VARGA</w:t>
      </w:r>
      <w:r>
        <w:rPr>
          <w:rFonts w:ascii="Century Gothic" w:eastAsia="Century Gothic" w:hAnsi="Century Gothic" w:cs="Century Gothic"/>
          <w:b/>
        </w:rPr>
        <w:t xml:space="preserve">S </w:t>
      </w: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 xml:space="preserve">Representante a la Cámara </w:t>
      </w:r>
    </w:p>
    <w:p w:rsidR="00DC46EE" w:rsidRDefault="00741FB7">
      <w:pPr>
        <w:tabs>
          <w:tab w:val="left" w:pos="5820"/>
        </w:tabs>
        <w:spacing w:after="0" w:line="240" w:lineRule="auto"/>
        <w:rPr>
          <w:rFonts w:ascii="Century Gothic" w:eastAsia="Century Gothic" w:hAnsi="Century Gothic" w:cs="Century Gothic"/>
          <w:b/>
        </w:rPr>
      </w:pPr>
      <w:r>
        <w:rPr>
          <w:rFonts w:ascii="Century Gothic" w:eastAsia="Century Gothic" w:hAnsi="Century Gothic" w:cs="Century Gothic"/>
          <w:b/>
        </w:rPr>
        <w:t>Ponente del proyecto de ley</w:t>
      </w:r>
    </w:p>
    <w:p w:rsidR="00DC46EE" w:rsidRDefault="00DC46EE">
      <w:pPr>
        <w:tabs>
          <w:tab w:val="left" w:pos="5820"/>
        </w:tabs>
        <w:spacing w:after="0" w:line="240" w:lineRule="auto"/>
        <w:jc w:val="center"/>
        <w:rPr>
          <w:rFonts w:ascii="Century Gothic" w:eastAsia="Century Gothic" w:hAnsi="Century Gothic" w:cs="Century Gothic"/>
          <w:b/>
        </w:rPr>
      </w:pPr>
    </w:p>
    <w:p w:rsidR="00A05651" w:rsidRDefault="00A05651">
      <w:pPr>
        <w:tabs>
          <w:tab w:val="left" w:pos="5820"/>
        </w:tabs>
        <w:spacing w:after="0" w:line="240" w:lineRule="auto"/>
        <w:jc w:val="center"/>
        <w:rPr>
          <w:rFonts w:ascii="Century Gothic" w:eastAsia="Century Gothic" w:hAnsi="Century Gothic" w:cs="Century Gothic"/>
          <w:b/>
        </w:rPr>
      </w:pPr>
    </w:p>
    <w:p w:rsidR="00A05651" w:rsidRDefault="00A05651">
      <w:pPr>
        <w:tabs>
          <w:tab w:val="left" w:pos="5820"/>
        </w:tabs>
        <w:spacing w:after="0" w:line="240" w:lineRule="auto"/>
        <w:jc w:val="center"/>
        <w:rPr>
          <w:rFonts w:ascii="Century Gothic" w:eastAsia="Century Gothic" w:hAnsi="Century Gothic" w:cs="Century Gothic"/>
          <w:b/>
        </w:rPr>
      </w:pPr>
    </w:p>
    <w:p w:rsidR="00A05651" w:rsidRDefault="00A05651">
      <w:pPr>
        <w:tabs>
          <w:tab w:val="left" w:pos="5820"/>
        </w:tabs>
        <w:spacing w:after="0" w:line="240" w:lineRule="auto"/>
        <w:jc w:val="center"/>
        <w:rPr>
          <w:rFonts w:ascii="Century Gothic" w:eastAsia="Century Gothic" w:hAnsi="Century Gothic" w:cs="Century Gothic"/>
          <w:b/>
        </w:rPr>
      </w:pPr>
    </w:p>
    <w:p w:rsidR="00DC46EE" w:rsidRDefault="00DC46EE">
      <w:pPr>
        <w:tabs>
          <w:tab w:val="left" w:pos="5820"/>
        </w:tabs>
        <w:spacing w:after="0" w:line="240" w:lineRule="auto"/>
        <w:ind w:left="420" w:hanging="200"/>
        <w:jc w:val="both"/>
        <w:rPr>
          <w:rFonts w:ascii="Century Gothic" w:eastAsia="Century Gothic" w:hAnsi="Century Gothic" w:cs="Century Gothic"/>
          <w:b/>
        </w:rPr>
      </w:pPr>
    </w:p>
    <w:p w:rsidR="00DC46EE" w:rsidRDefault="00DC46EE">
      <w:pPr>
        <w:tabs>
          <w:tab w:val="left" w:pos="5820"/>
        </w:tabs>
        <w:spacing w:after="0" w:line="240" w:lineRule="auto"/>
        <w:ind w:left="420" w:hanging="200"/>
        <w:jc w:val="both"/>
        <w:rPr>
          <w:rFonts w:ascii="Century Gothic" w:eastAsia="Century Gothic" w:hAnsi="Century Gothic" w:cs="Century Gothic"/>
          <w:b/>
        </w:rPr>
      </w:pPr>
    </w:p>
    <w:p w:rsidR="00A05651" w:rsidRDefault="00A05651">
      <w:pPr>
        <w:tabs>
          <w:tab w:val="left" w:pos="5820"/>
        </w:tabs>
        <w:spacing w:after="0" w:line="240" w:lineRule="auto"/>
        <w:ind w:left="420" w:hanging="200"/>
        <w:jc w:val="both"/>
        <w:rPr>
          <w:rFonts w:ascii="Century Gothic" w:eastAsia="Century Gothic" w:hAnsi="Century Gothic" w:cs="Century Gothic"/>
          <w:b/>
        </w:rPr>
      </w:pPr>
    </w:p>
    <w:p w:rsidR="00A05651" w:rsidRDefault="00A05651">
      <w:pPr>
        <w:tabs>
          <w:tab w:val="left" w:pos="5820"/>
        </w:tabs>
        <w:spacing w:after="0" w:line="240" w:lineRule="auto"/>
        <w:ind w:left="420" w:hanging="200"/>
        <w:jc w:val="both"/>
        <w:rPr>
          <w:rFonts w:ascii="Century Gothic" w:eastAsia="Century Gothic" w:hAnsi="Century Gothic" w:cs="Century Gothic"/>
          <w:b/>
        </w:rPr>
      </w:pPr>
    </w:p>
    <w:p w:rsidR="00A05651" w:rsidRDefault="00A05651">
      <w:pPr>
        <w:tabs>
          <w:tab w:val="left" w:pos="5820"/>
        </w:tabs>
        <w:spacing w:after="0" w:line="240" w:lineRule="auto"/>
        <w:ind w:left="420" w:hanging="200"/>
        <w:jc w:val="both"/>
        <w:rPr>
          <w:rFonts w:ascii="Century Gothic" w:eastAsia="Century Gothic" w:hAnsi="Century Gothic" w:cs="Century Gothic"/>
          <w:b/>
        </w:rPr>
      </w:pPr>
    </w:p>
    <w:p w:rsidR="00A05651" w:rsidRDefault="00A05651">
      <w:pPr>
        <w:tabs>
          <w:tab w:val="left" w:pos="5820"/>
        </w:tabs>
        <w:spacing w:after="0" w:line="240" w:lineRule="auto"/>
        <w:ind w:left="420" w:hanging="200"/>
        <w:jc w:val="both"/>
        <w:rPr>
          <w:rFonts w:ascii="Century Gothic" w:eastAsia="Century Gothic" w:hAnsi="Century Gothic" w:cs="Century Gothic"/>
          <w:b/>
        </w:rPr>
      </w:pPr>
    </w:p>
    <w:p w:rsidR="00A05651" w:rsidRDefault="00A05651">
      <w:pPr>
        <w:tabs>
          <w:tab w:val="left" w:pos="5820"/>
        </w:tabs>
        <w:spacing w:after="0" w:line="240" w:lineRule="auto"/>
        <w:ind w:left="420" w:hanging="200"/>
        <w:jc w:val="both"/>
        <w:rPr>
          <w:rFonts w:ascii="Century Gothic" w:eastAsia="Century Gothic" w:hAnsi="Century Gothic" w:cs="Century Gothic"/>
          <w:b/>
        </w:rPr>
      </w:pPr>
    </w:p>
    <w:p w:rsidR="00DC46EE" w:rsidRDefault="00DC46EE">
      <w:pPr>
        <w:tabs>
          <w:tab w:val="left" w:pos="5820"/>
        </w:tabs>
        <w:spacing w:after="0" w:line="240" w:lineRule="auto"/>
        <w:ind w:left="420" w:hanging="200"/>
        <w:jc w:val="both"/>
        <w:rPr>
          <w:rFonts w:ascii="Century Gothic" w:eastAsia="Century Gothic" w:hAnsi="Century Gothic" w:cs="Century Gothic"/>
          <w:b/>
        </w:rPr>
      </w:pPr>
    </w:p>
    <w:p w:rsidR="00DC46EE" w:rsidRDefault="00DC46EE">
      <w:pPr>
        <w:tabs>
          <w:tab w:val="left" w:pos="5820"/>
        </w:tabs>
        <w:spacing w:after="0" w:line="240" w:lineRule="auto"/>
        <w:ind w:left="420" w:hanging="200"/>
        <w:jc w:val="both"/>
        <w:rPr>
          <w:rFonts w:ascii="Century Gothic" w:eastAsia="Century Gothic" w:hAnsi="Century Gothic" w:cs="Century Gothic"/>
          <w:b/>
        </w:rPr>
      </w:pPr>
    </w:p>
    <w:p w:rsidR="00DC46EE" w:rsidRDefault="00DC46EE">
      <w:pPr>
        <w:tabs>
          <w:tab w:val="left" w:pos="5820"/>
        </w:tabs>
        <w:spacing w:after="0" w:line="240" w:lineRule="auto"/>
        <w:jc w:val="center"/>
        <w:rPr>
          <w:rFonts w:ascii="Century Gothic" w:eastAsia="Century Gothic" w:hAnsi="Century Gothic" w:cs="Century Gothic"/>
          <w:b/>
        </w:rPr>
      </w:pPr>
    </w:p>
    <w:p w:rsidR="00DC46EE" w:rsidRDefault="00741FB7" w:rsidP="00A05651">
      <w:pPr>
        <w:tabs>
          <w:tab w:val="left" w:pos="5820"/>
        </w:tabs>
        <w:spacing w:after="0" w:line="240" w:lineRule="auto"/>
        <w:jc w:val="center"/>
        <w:rPr>
          <w:rFonts w:ascii="Century Gothic" w:eastAsia="Century Gothic" w:hAnsi="Century Gothic" w:cs="Century Gothic"/>
          <w:b/>
        </w:rPr>
      </w:pPr>
      <w:r>
        <w:rPr>
          <w:rFonts w:ascii="Century Gothic" w:eastAsia="Century Gothic" w:hAnsi="Century Gothic" w:cs="Century Gothic"/>
          <w:b/>
        </w:rPr>
        <w:t>TEXTO QUE SE PROPONE PARA PRIMER DEBATE EN LA COMISIÓN PRIMERA CONSTITUCIONAL PERMANENTE DE LA CÁMARA DE REPRESENTANTES AL PROYECTO DE ACTO LEGISLATIVO 186 DE 2018 CÁMARA</w:t>
      </w:r>
    </w:p>
    <w:p w:rsidR="00DC46EE" w:rsidRDefault="00DC46EE">
      <w:pPr>
        <w:tabs>
          <w:tab w:val="left" w:pos="5820"/>
        </w:tabs>
        <w:spacing w:after="0" w:line="240" w:lineRule="auto"/>
        <w:jc w:val="center"/>
        <w:rPr>
          <w:rFonts w:ascii="Century Gothic" w:eastAsia="Century Gothic" w:hAnsi="Century Gothic" w:cs="Century Gothic"/>
          <w:b/>
        </w:rPr>
      </w:pPr>
    </w:p>
    <w:p w:rsidR="00DC46EE" w:rsidRDefault="00741FB7">
      <w:pPr>
        <w:tabs>
          <w:tab w:val="left" w:pos="5820"/>
        </w:tabs>
        <w:spacing w:after="0" w:line="240" w:lineRule="auto"/>
        <w:jc w:val="center"/>
        <w:rPr>
          <w:rFonts w:ascii="Century Gothic" w:eastAsia="Century Gothic" w:hAnsi="Century Gothic" w:cs="Century Gothic"/>
          <w:b/>
        </w:rPr>
      </w:pPr>
      <w:r>
        <w:rPr>
          <w:rFonts w:ascii="Century Gothic" w:eastAsia="Century Gothic" w:hAnsi="Century Gothic" w:cs="Century Gothic"/>
          <w:b/>
        </w:rPr>
        <w:t>“POR EL CUAL SE MODIFICAN LOS ARTÍCULOS 328 Y 356 DE LA CONSTITUCIÓN POLÍTICA OTORGÁNDOLE AL MUNICIPIO DE IBAGUÉ (TOLIMA) EL CARÁCTER DE DISTRITO ESPECIAL, CULTURA Y MUSICAL”</w:t>
      </w:r>
    </w:p>
    <w:p w:rsidR="00DC46EE" w:rsidRDefault="00DC46EE">
      <w:pPr>
        <w:tabs>
          <w:tab w:val="left" w:pos="5820"/>
        </w:tabs>
        <w:spacing w:after="0" w:line="240" w:lineRule="auto"/>
        <w:jc w:val="center"/>
        <w:rPr>
          <w:rFonts w:ascii="Century Gothic" w:eastAsia="Century Gothic" w:hAnsi="Century Gothic" w:cs="Century Gothic"/>
          <w:b/>
        </w:rPr>
      </w:pPr>
    </w:p>
    <w:p w:rsidR="00DC46EE" w:rsidRDefault="00741FB7">
      <w:pP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“El Congreso de Colombia,</w:t>
      </w:r>
    </w:p>
    <w:p w:rsidR="00DC46EE" w:rsidRDefault="00DC46EE">
      <w:pPr>
        <w:spacing w:after="0" w:line="240" w:lineRule="auto"/>
        <w:jc w:val="center"/>
        <w:rPr>
          <w:rFonts w:ascii="Century Gothic" w:eastAsia="Century Gothic" w:hAnsi="Century Gothic" w:cs="Century Gothic"/>
          <w:color w:val="000000"/>
        </w:rPr>
      </w:pPr>
    </w:p>
    <w:p w:rsidR="00DC46EE" w:rsidRDefault="00741FB7">
      <w:pP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DECRETA”</w:t>
      </w:r>
    </w:p>
    <w:p w:rsidR="00DC46EE" w:rsidRDefault="00DC46EE">
      <w:pPr>
        <w:spacing w:after="0" w:line="240" w:lineRule="auto"/>
        <w:rPr>
          <w:rFonts w:ascii="Century Gothic" w:eastAsia="Century Gothic" w:hAnsi="Century Gothic" w:cs="Century Gothic"/>
          <w:color w:val="000000"/>
        </w:rPr>
      </w:pPr>
    </w:p>
    <w:p w:rsidR="00DC46EE" w:rsidRDefault="00741FB7">
      <w:pPr>
        <w:spacing w:after="0" w:line="240" w:lineRule="auto"/>
        <w:rPr>
          <w:rFonts w:ascii="Century Gothic" w:eastAsia="Century Gothic" w:hAnsi="Century Gothic" w:cs="Century Gothic"/>
          <w:color w:val="000000"/>
        </w:rPr>
      </w:pPr>
      <w:r>
        <w:rPr>
          <w:rFonts w:ascii="Century Gothic" w:eastAsia="Century Gothic" w:hAnsi="Century Gothic" w:cs="Century Gothic"/>
          <w:b/>
          <w:color w:val="000000"/>
        </w:rPr>
        <w:t>Artículo 1.</w:t>
      </w:r>
      <w:r>
        <w:rPr>
          <w:rFonts w:ascii="Century Gothic" w:eastAsia="Century Gothic" w:hAnsi="Century Gothic" w:cs="Century Gothic"/>
          <w:color w:val="000000"/>
        </w:rPr>
        <w:t xml:space="preserve"> Modifíquese el artículo 328 de la Constitución Política, el cual quedará así: </w:t>
      </w:r>
    </w:p>
    <w:p w:rsidR="00DC46EE" w:rsidRDefault="00DC46EE">
      <w:pPr>
        <w:spacing w:after="0" w:line="240" w:lineRule="auto"/>
        <w:jc w:val="center"/>
        <w:rPr>
          <w:rFonts w:ascii="Century Gothic" w:eastAsia="Century Gothic" w:hAnsi="Century Gothic" w:cs="Century Gothic"/>
          <w:color w:val="000000"/>
        </w:rPr>
      </w:pPr>
    </w:p>
    <w:p w:rsidR="00DC46EE" w:rsidRDefault="00741FB7" w:rsidP="00A05651">
      <w:pPr>
        <w:spacing w:after="0" w:line="240" w:lineRule="auto"/>
        <w:ind w:left="567" w:right="758"/>
        <w:jc w:val="both"/>
        <w:rPr>
          <w:rFonts w:ascii="Century Gothic" w:eastAsia="Century Gothic" w:hAnsi="Century Gothic" w:cs="Century Gothic"/>
          <w:i/>
        </w:rPr>
      </w:pPr>
      <w:r>
        <w:rPr>
          <w:rFonts w:ascii="Century Gothic" w:eastAsia="Century Gothic" w:hAnsi="Century Gothic" w:cs="Century Gothic"/>
          <w:b/>
          <w:i/>
        </w:rPr>
        <w:t>Art. 328.</w:t>
      </w:r>
      <w:r>
        <w:rPr>
          <w:rFonts w:ascii="Century Gothic" w:eastAsia="Century Gothic" w:hAnsi="Century Gothic" w:cs="Century Gothic"/>
          <w:i/>
        </w:rPr>
        <w:t xml:space="preserve"> El Distrito Turístico y Cultural de Cartagena de Indias, el Distrito Turístico, Cultural e Histórico de Santa Marta y Barranquilla conservarán su régimen y carácter,</w:t>
      </w:r>
      <w:r>
        <w:rPr>
          <w:rFonts w:ascii="Century Gothic" w:eastAsia="Century Gothic" w:hAnsi="Century Gothic" w:cs="Century Gothic"/>
          <w:i/>
        </w:rPr>
        <w:t xml:space="preserve"> y se organiza a Buenaventura y Tumaco como Distrito Especial, Industrial, Portuario, Biodiverso y Ecoturístico, </w:t>
      </w:r>
      <w:r>
        <w:rPr>
          <w:rFonts w:ascii="Century Gothic" w:eastAsia="Century Gothic" w:hAnsi="Century Gothic" w:cs="Century Gothic"/>
          <w:b/>
          <w:i/>
          <w:u w:val="single"/>
        </w:rPr>
        <w:t>y a Ibagué como Distrito Especial, Cultural y Musical</w:t>
      </w:r>
      <w:r>
        <w:rPr>
          <w:rFonts w:ascii="Century Gothic" w:eastAsia="Century Gothic" w:hAnsi="Century Gothic" w:cs="Century Gothic"/>
          <w:i/>
        </w:rPr>
        <w:t>.</w:t>
      </w:r>
    </w:p>
    <w:p w:rsidR="00DC46EE" w:rsidRDefault="00DC46EE">
      <w:pPr>
        <w:spacing w:after="0" w:line="240" w:lineRule="auto"/>
        <w:jc w:val="both"/>
        <w:rPr>
          <w:rFonts w:ascii="Century Gothic" w:eastAsia="Century Gothic" w:hAnsi="Century Gothic" w:cs="Century Gothic"/>
        </w:rPr>
      </w:pPr>
    </w:p>
    <w:p w:rsidR="00DC46EE" w:rsidRDefault="00741FB7">
      <w:pPr>
        <w:spacing w:after="0" w:line="240" w:lineRule="auto"/>
        <w:rPr>
          <w:rFonts w:ascii="Century Gothic" w:eastAsia="Century Gothic" w:hAnsi="Century Gothic" w:cs="Century Gothic"/>
          <w:color w:val="000000"/>
        </w:rPr>
      </w:pPr>
      <w:r>
        <w:rPr>
          <w:rFonts w:ascii="Century Gothic" w:eastAsia="Century Gothic" w:hAnsi="Century Gothic" w:cs="Century Gothic"/>
          <w:b/>
          <w:color w:val="000000"/>
        </w:rPr>
        <w:t>Artículo 2.</w:t>
      </w:r>
      <w:r>
        <w:rPr>
          <w:rFonts w:ascii="Century Gothic" w:eastAsia="Century Gothic" w:hAnsi="Century Gothic" w:cs="Century Gothic"/>
          <w:color w:val="000000"/>
        </w:rPr>
        <w:t xml:space="preserve"> Modifíquese el artículo 356 de la Constitución Política, en el siguiente pá</w:t>
      </w:r>
      <w:r>
        <w:rPr>
          <w:rFonts w:ascii="Century Gothic" w:eastAsia="Century Gothic" w:hAnsi="Century Gothic" w:cs="Century Gothic"/>
          <w:color w:val="000000"/>
        </w:rPr>
        <w:t xml:space="preserve">rrafo, el cual quedará así: </w:t>
      </w:r>
    </w:p>
    <w:p w:rsidR="00DC46EE" w:rsidRDefault="00DC46EE">
      <w:pPr>
        <w:spacing w:after="0" w:line="240" w:lineRule="auto"/>
        <w:jc w:val="both"/>
        <w:rPr>
          <w:rFonts w:ascii="Century Gothic" w:eastAsia="Century Gothic" w:hAnsi="Century Gothic" w:cs="Century Gothic"/>
          <w:b/>
        </w:rPr>
      </w:pPr>
    </w:p>
    <w:p w:rsidR="00DC46EE" w:rsidRDefault="00741FB7" w:rsidP="00A05651">
      <w:pPr>
        <w:spacing w:after="0" w:line="240" w:lineRule="auto"/>
        <w:ind w:left="567" w:right="900"/>
        <w:jc w:val="both"/>
        <w:rPr>
          <w:rFonts w:ascii="Century Gothic" w:eastAsia="Century Gothic" w:hAnsi="Century Gothic" w:cs="Century Gothic"/>
          <w:i/>
        </w:rPr>
      </w:pPr>
      <w:r>
        <w:rPr>
          <w:rFonts w:ascii="Century Gothic" w:eastAsia="Century Gothic" w:hAnsi="Century Gothic" w:cs="Century Gothic"/>
          <w:b/>
          <w:i/>
        </w:rPr>
        <w:t>Art. 356</w:t>
      </w:r>
      <w:r>
        <w:rPr>
          <w:rFonts w:ascii="Century Gothic" w:eastAsia="Century Gothic" w:hAnsi="Century Gothic" w:cs="Century Gothic"/>
          <w:i/>
        </w:rPr>
        <w:t xml:space="preserve"> (….)</w:t>
      </w:r>
    </w:p>
    <w:p w:rsidR="00DC46EE" w:rsidRDefault="00741FB7" w:rsidP="00A05651">
      <w:pPr>
        <w:tabs>
          <w:tab w:val="left" w:pos="5820"/>
        </w:tabs>
        <w:spacing w:after="0" w:line="240" w:lineRule="auto"/>
        <w:ind w:left="567" w:right="900"/>
        <w:jc w:val="both"/>
        <w:rPr>
          <w:rFonts w:ascii="Century Gothic" w:eastAsia="Century Gothic" w:hAnsi="Century Gothic" w:cs="Century Gothic"/>
          <w:b/>
          <w:i/>
        </w:rPr>
      </w:pPr>
      <w:r>
        <w:rPr>
          <w:rFonts w:ascii="Century Gothic" w:eastAsia="Century Gothic" w:hAnsi="Century Gothic" w:cs="Century Gothic"/>
          <w:i/>
        </w:rPr>
        <w:t xml:space="preserve">Las ciudades de Buenaventura y Tumaco se organizan como Distritos Especiales, Industriales, Portuarios, Biodiversos y Ecoturísticos. </w:t>
      </w:r>
      <w:r>
        <w:rPr>
          <w:rFonts w:ascii="Century Gothic" w:eastAsia="Century Gothic" w:hAnsi="Century Gothic" w:cs="Century Gothic"/>
          <w:b/>
          <w:i/>
          <w:u w:val="single"/>
        </w:rPr>
        <w:t>La ciudad de Ibagué se organiza como</w:t>
      </w:r>
      <w:r>
        <w:rPr>
          <w:rFonts w:ascii="Century Gothic" w:eastAsia="Century Gothic" w:hAnsi="Century Gothic" w:cs="Century Gothic"/>
          <w:i/>
          <w:u w:val="single"/>
        </w:rPr>
        <w:t xml:space="preserve"> </w:t>
      </w:r>
      <w:r>
        <w:rPr>
          <w:rFonts w:ascii="Century Gothic" w:eastAsia="Century Gothic" w:hAnsi="Century Gothic" w:cs="Century Gothic"/>
          <w:b/>
          <w:i/>
          <w:u w:val="single"/>
        </w:rPr>
        <w:t>Distrito Especial, Cultural y Musical</w:t>
      </w:r>
      <w:r>
        <w:rPr>
          <w:rFonts w:ascii="Century Gothic" w:eastAsia="Century Gothic" w:hAnsi="Century Gothic" w:cs="Century Gothic"/>
          <w:i/>
        </w:rPr>
        <w:t xml:space="preserve">. Su </w:t>
      </w:r>
      <w:r>
        <w:rPr>
          <w:rFonts w:ascii="Century Gothic" w:eastAsia="Century Gothic" w:hAnsi="Century Gothic" w:cs="Century Gothic"/>
          <w:i/>
        </w:rPr>
        <w:t>régimen político, fiscal y administrativo será el que determine la Constitución y las leyes especiales, que para el efecto se dicten, y en lo no dispuesto en ellas, las normas vigentes para los municipios.</w:t>
      </w:r>
    </w:p>
    <w:p w:rsidR="00DC46EE" w:rsidRDefault="00DC46EE">
      <w:pPr>
        <w:spacing w:after="0" w:line="240" w:lineRule="auto"/>
        <w:jc w:val="center"/>
        <w:rPr>
          <w:rFonts w:ascii="Century Gothic" w:eastAsia="Century Gothic" w:hAnsi="Century Gothic" w:cs="Century Gothic"/>
          <w:color w:val="000000"/>
        </w:rPr>
      </w:pPr>
    </w:p>
    <w:p w:rsidR="00DC46EE" w:rsidRDefault="00DC46EE">
      <w:pPr>
        <w:spacing w:after="0" w:line="240" w:lineRule="auto"/>
        <w:jc w:val="both"/>
        <w:rPr>
          <w:rFonts w:ascii="Century Gothic" w:eastAsia="Century Gothic" w:hAnsi="Century Gothic" w:cs="Century Gothic"/>
        </w:rPr>
      </w:pPr>
    </w:p>
    <w:p w:rsidR="00DC46EE" w:rsidRDefault="00741FB7">
      <w:pPr>
        <w:pBdr>
          <w:top w:val="nil"/>
          <w:left w:val="nil"/>
          <w:bottom w:val="nil"/>
          <w:right w:val="nil"/>
          <w:between w:val="nil"/>
        </w:pBdr>
        <w:shd w:val="clear" w:color="auto" w:fill="FFFFFF"/>
        <w:spacing w:after="0" w:line="24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De los Honorables Congresistas, </w:t>
      </w:r>
    </w:p>
    <w:p w:rsidR="00DC46EE" w:rsidRDefault="00DC46EE">
      <w:pPr>
        <w:pBdr>
          <w:top w:val="nil"/>
          <w:left w:val="nil"/>
          <w:bottom w:val="nil"/>
          <w:right w:val="nil"/>
          <w:between w:val="nil"/>
        </w:pBdr>
        <w:shd w:val="clear" w:color="auto" w:fill="FFFFFF"/>
        <w:spacing w:after="0" w:line="240" w:lineRule="auto"/>
        <w:jc w:val="both"/>
        <w:rPr>
          <w:rFonts w:ascii="Century Gothic" w:eastAsia="Century Gothic" w:hAnsi="Century Gothic" w:cs="Century Gothic"/>
          <w:color w:val="000000"/>
        </w:rPr>
      </w:pPr>
    </w:p>
    <w:p w:rsidR="00DC46EE" w:rsidRDefault="00DC46EE">
      <w:pPr>
        <w:tabs>
          <w:tab w:val="left" w:pos="5820"/>
        </w:tabs>
        <w:spacing w:after="0" w:line="240" w:lineRule="auto"/>
        <w:jc w:val="both"/>
        <w:rPr>
          <w:rFonts w:ascii="Century Gothic" w:eastAsia="Century Gothic" w:hAnsi="Century Gothic" w:cs="Century Gothic"/>
        </w:rPr>
      </w:pPr>
    </w:p>
    <w:p w:rsidR="00DC46EE" w:rsidRDefault="00DC46EE">
      <w:pPr>
        <w:tabs>
          <w:tab w:val="left" w:pos="5820"/>
        </w:tabs>
        <w:spacing w:after="0" w:line="240" w:lineRule="auto"/>
        <w:jc w:val="both"/>
        <w:rPr>
          <w:rFonts w:ascii="Century Gothic" w:eastAsia="Century Gothic" w:hAnsi="Century Gothic" w:cs="Century Gothic"/>
        </w:rPr>
      </w:pPr>
    </w:p>
    <w:p w:rsidR="00DC46EE" w:rsidRDefault="00A05651">
      <w:pPr>
        <w:tabs>
          <w:tab w:val="left" w:pos="5820"/>
        </w:tabs>
        <w:spacing w:after="0" w:line="240" w:lineRule="auto"/>
        <w:jc w:val="center"/>
        <w:rPr>
          <w:rFonts w:ascii="Century Gothic" w:eastAsia="Century Gothic" w:hAnsi="Century Gothic" w:cs="Century Gothic"/>
          <w:b/>
        </w:rPr>
      </w:pPr>
      <w:r>
        <w:rPr>
          <w:rFonts w:ascii="Century Gothic" w:eastAsia="Century Gothic" w:hAnsi="Century Gothic" w:cs="Century Gothic"/>
          <w:b/>
        </w:rPr>
        <w:t>ADRIANA MAGALI MATIZ VARGAS</w:t>
      </w:r>
    </w:p>
    <w:p w:rsidR="00DC46EE" w:rsidRDefault="00741FB7">
      <w:pPr>
        <w:tabs>
          <w:tab w:val="left" w:pos="5820"/>
        </w:tabs>
        <w:spacing w:after="0" w:line="240" w:lineRule="auto"/>
        <w:jc w:val="center"/>
        <w:rPr>
          <w:rFonts w:ascii="Century Gothic" w:eastAsia="Century Gothic" w:hAnsi="Century Gothic" w:cs="Century Gothic"/>
          <w:b/>
        </w:rPr>
      </w:pPr>
      <w:r>
        <w:rPr>
          <w:rFonts w:ascii="Century Gothic" w:eastAsia="Century Gothic" w:hAnsi="Century Gothic" w:cs="Century Gothic"/>
          <w:b/>
        </w:rPr>
        <w:t>Representante a la Cámara</w:t>
      </w:r>
      <w:r w:rsidR="00A05651">
        <w:rPr>
          <w:rFonts w:ascii="Century Gothic" w:eastAsia="Century Gothic" w:hAnsi="Century Gothic" w:cs="Century Gothic"/>
          <w:b/>
        </w:rPr>
        <w:t xml:space="preserve"> por el Tolima</w:t>
      </w:r>
      <w:r w:rsidR="00A05651">
        <w:rPr>
          <w:rFonts w:ascii="Century Gothic" w:eastAsia="Century Gothic" w:hAnsi="Century Gothic" w:cs="Century Gothic"/>
          <w:b/>
        </w:rPr>
        <w:br/>
      </w:r>
      <w:r>
        <w:rPr>
          <w:rFonts w:ascii="Century Gothic" w:eastAsia="Century Gothic" w:hAnsi="Century Gothic" w:cs="Century Gothic"/>
          <w:b/>
        </w:rPr>
        <w:t>Ponente del Proyecto de Ley</w:t>
      </w:r>
    </w:p>
    <w:p w:rsidR="00DC46EE" w:rsidRDefault="00DC46EE">
      <w:pPr>
        <w:tabs>
          <w:tab w:val="left" w:pos="5820"/>
        </w:tabs>
        <w:spacing w:after="0" w:line="240" w:lineRule="auto"/>
        <w:jc w:val="center"/>
        <w:rPr>
          <w:rFonts w:ascii="Century Gothic" w:eastAsia="Century Gothic" w:hAnsi="Century Gothic" w:cs="Century Gothic"/>
          <w:b/>
          <w:highlight w:val="yellow"/>
        </w:rPr>
      </w:pPr>
    </w:p>
    <w:sectPr w:rsidR="00DC46EE" w:rsidSect="00A05651">
      <w:headerReference w:type="default" r:id="rId15"/>
      <w:footerReference w:type="default" r:id="rId16"/>
      <w:pgSz w:w="12240" w:h="15840"/>
      <w:pgMar w:top="1417" w:right="1701" w:bottom="1417" w:left="1701" w:header="708" w:footer="25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41FB7">
      <w:pPr>
        <w:spacing w:after="0" w:line="240" w:lineRule="auto"/>
      </w:pPr>
      <w:r>
        <w:separator/>
      </w:r>
    </w:p>
  </w:endnote>
  <w:endnote w:type="continuationSeparator" w:id="0">
    <w:p w:rsidR="00000000" w:rsidRDefault="00741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651" w:rsidRPr="00CB5B6A" w:rsidRDefault="00A05651" w:rsidP="00A05651">
    <w:pPr>
      <w:pStyle w:val="Piedepgina"/>
      <w:jc w:val="center"/>
      <w:rPr>
        <w:rFonts w:ascii="Century Gothic" w:hAnsi="Century Gothic"/>
        <w:sz w:val="16"/>
      </w:rPr>
    </w:pPr>
    <w:r w:rsidRPr="00CB5B6A">
      <w:rPr>
        <w:rFonts w:ascii="Century Gothic" w:hAnsi="Century Gothic"/>
        <w:i/>
        <w:color w:val="808080" w:themeColor="background1" w:themeShade="80"/>
        <w:sz w:val="16"/>
      </w:rPr>
      <w:t>Ediﬁcio Nuevo del Congreso: Carrera 7 N° 8 - 68 -oficina 432B – 433B</w:t>
    </w:r>
  </w:p>
  <w:p w:rsidR="00A05651" w:rsidRPr="00CB5B6A" w:rsidRDefault="00A05651" w:rsidP="00A05651">
    <w:pPr>
      <w:pStyle w:val="Piedepgina"/>
      <w:ind w:firstLine="708"/>
      <w:jc w:val="center"/>
      <w:rPr>
        <w:rFonts w:ascii="Century Gothic" w:hAnsi="Century Gothic"/>
        <w:i/>
        <w:color w:val="808080" w:themeColor="background1" w:themeShade="80"/>
        <w:sz w:val="16"/>
      </w:rPr>
    </w:pPr>
    <w:r w:rsidRPr="00CB5B6A">
      <w:rPr>
        <w:rFonts w:ascii="Century Gothic" w:hAnsi="Century Gothic"/>
        <w:i/>
        <w:color w:val="808080" w:themeColor="background1" w:themeShade="80"/>
        <w:sz w:val="16"/>
      </w:rPr>
      <w:t xml:space="preserve">Teléfono: Tel (57+1) 4325100 (57+1) 4325101 (57+1) 4325102 Extensión: 3330-3357 </w:t>
    </w:r>
  </w:p>
  <w:p w:rsidR="00A05651" w:rsidRPr="00CB5B6A" w:rsidRDefault="00A05651" w:rsidP="00A05651">
    <w:pPr>
      <w:pStyle w:val="Piedepgina"/>
      <w:ind w:firstLine="708"/>
      <w:jc w:val="center"/>
      <w:rPr>
        <w:rFonts w:ascii="Century Gothic" w:hAnsi="Century Gothic"/>
        <w:i/>
        <w:color w:val="808080" w:themeColor="background1" w:themeShade="80"/>
        <w:sz w:val="16"/>
      </w:rPr>
    </w:pPr>
    <w:r w:rsidRPr="00CB5B6A">
      <w:rPr>
        <w:rFonts w:ascii="Century Gothic" w:hAnsi="Century Gothic"/>
        <w:i/>
        <w:color w:val="808080" w:themeColor="background1" w:themeShade="80"/>
        <w:sz w:val="16"/>
      </w:rPr>
      <w:t>Correo electrónico: asistentemagalimatiz01@gmail.com</w:t>
    </w:r>
  </w:p>
  <w:p w:rsidR="00DC46EE" w:rsidRDefault="00741FB7">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8226CE">
      <w:rPr>
        <w:color w:val="000000"/>
      </w:rPr>
      <w:fldChar w:fldCharType="separate"/>
    </w:r>
    <w:r>
      <w:rPr>
        <w:noProof/>
        <w:color w:val="000000"/>
      </w:rPr>
      <w:t>2</w:t>
    </w:r>
    <w:r>
      <w:rPr>
        <w:color w:val="000000"/>
      </w:rPr>
      <w:fldChar w:fldCharType="end"/>
    </w:r>
  </w:p>
  <w:p w:rsidR="00DC46EE" w:rsidRDefault="00DC46EE">
    <w:pPr>
      <w:pBdr>
        <w:top w:val="nil"/>
        <w:left w:val="nil"/>
        <w:bottom w:val="nil"/>
        <w:right w:val="nil"/>
        <w:between w:val="nil"/>
      </w:pBdr>
      <w:tabs>
        <w:tab w:val="left" w:pos="807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41FB7">
      <w:pPr>
        <w:spacing w:after="0" w:line="240" w:lineRule="auto"/>
      </w:pPr>
      <w:r>
        <w:separator/>
      </w:r>
    </w:p>
  </w:footnote>
  <w:footnote w:type="continuationSeparator" w:id="0">
    <w:p w:rsidR="00000000" w:rsidRDefault="00741FB7">
      <w:pPr>
        <w:spacing w:after="0" w:line="240" w:lineRule="auto"/>
      </w:pPr>
      <w:r>
        <w:continuationSeparator/>
      </w:r>
    </w:p>
  </w:footnote>
  <w:footnote w:id="1">
    <w:p w:rsidR="00DC46EE" w:rsidRDefault="00741FB7">
      <w:pPr>
        <w:spacing w:after="0" w:line="240" w:lineRule="auto"/>
        <w:rPr>
          <w:sz w:val="20"/>
          <w:szCs w:val="20"/>
        </w:rPr>
      </w:pPr>
      <w:r>
        <w:rPr>
          <w:vertAlign w:val="superscript"/>
        </w:rPr>
        <w:footnoteRef/>
      </w:r>
      <w:r>
        <w:rPr>
          <w:sz w:val="20"/>
          <w:szCs w:val="20"/>
        </w:rPr>
        <w:t xml:space="preserve"> Gobernación del Tolima. (1991) </w:t>
      </w:r>
      <w:r>
        <w:rPr>
          <w:i/>
          <w:sz w:val="20"/>
          <w:szCs w:val="20"/>
        </w:rPr>
        <w:t>“Por qué!.. Ciudad Musical?”</w:t>
      </w:r>
      <w:r>
        <w:rPr>
          <w:sz w:val="20"/>
          <w:szCs w:val="20"/>
        </w:rPr>
        <w:t>. Gobernación del Tolima. Darío Echandía. “Ambiente espiritual que conduce al gran arte”.</w:t>
      </w:r>
    </w:p>
  </w:footnote>
  <w:footnote w:id="2">
    <w:p w:rsidR="00DC46EE" w:rsidRDefault="00741FB7">
      <w:pPr>
        <w:spacing w:after="0" w:line="240" w:lineRule="auto"/>
        <w:rPr>
          <w:sz w:val="20"/>
          <w:szCs w:val="20"/>
        </w:rPr>
      </w:pPr>
      <w:r>
        <w:rPr>
          <w:vertAlign w:val="superscript"/>
        </w:rPr>
        <w:footnoteRef/>
      </w:r>
      <w:r>
        <w:rPr>
          <w:sz w:val="20"/>
          <w:szCs w:val="20"/>
        </w:rPr>
        <w:t xml:space="preserve"> </w:t>
      </w:r>
      <w:r>
        <w:t xml:space="preserve"> Ibíd. Jorge Eliécer Barbosa Ospina. “Común denominador del Hombre tolimense”.</w:t>
      </w:r>
    </w:p>
  </w:footnote>
  <w:footnote w:id="3">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González, Helio. (1986) </w:t>
      </w:r>
      <w:r>
        <w:rPr>
          <w:i/>
          <w:sz w:val="20"/>
          <w:szCs w:val="20"/>
          <w:vertAlign w:val="superscript"/>
        </w:rPr>
        <w:t>“Historia de la música en el Tolima”</w:t>
      </w:r>
      <w:r>
        <w:rPr>
          <w:sz w:val="20"/>
          <w:szCs w:val="20"/>
          <w:vertAlign w:val="superscript"/>
        </w:rPr>
        <w:t>. Fundación para el de</w:t>
      </w:r>
      <w:r>
        <w:rPr>
          <w:sz w:val="20"/>
          <w:szCs w:val="20"/>
          <w:vertAlign w:val="superscript"/>
        </w:rPr>
        <w:t>sarrollo de la democracia “ANTONIO GARCIA” Ibagué. (p. 20).</w:t>
      </w:r>
      <w:r w:rsidR="008226CE">
        <w:rPr>
          <w:sz w:val="20"/>
          <w:szCs w:val="20"/>
          <w:vertAlign w:val="superscript"/>
        </w:rPr>
        <w:t xml:space="preserve"> </w:t>
      </w:r>
    </w:p>
  </w:footnote>
  <w:footnote w:id="4">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Ibíd. Jorge Eliécer Barbosa Ospina. “Común denominador del Hombre tolimense”.</w:t>
      </w:r>
    </w:p>
  </w:footnote>
  <w:footnote w:id="5">
    <w:p w:rsidR="00DC46EE" w:rsidRDefault="00741FB7">
      <w:pPr>
        <w:spacing w:after="0" w:line="240" w:lineRule="auto"/>
        <w:rPr>
          <w:sz w:val="20"/>
          <w:szCs w:val="20"/>
        </w:rPr>
      </w:pPr>
      <w:r>
        <w:rPr>
          <w:vertAlign w:val="superscript"/>
        </w:rPr>
        <w:footnoteRef/>
      </w:r>
      <w:r>
        <w:rPr>
          <w:sz w:val="20"/>
          <w:szCs w:val="20"/>
        </w:rPr>
        <w:t xml:space="preserve"> Véase: Conservatorio de Música del Tolima. (1969) </w:t>
      </w:r>
      <w:r>
        <w:rPr>
          <w:i/>
          <w:sz w:val="20"/>
          <w:szCs w:val="20"/>
        </w:rPr>
        <w:t>“Coros del Tolima”</w:t>
      </w:r>
      <w:r>
        <w:rPr>
          <w:sz w:val="20"/>
          <w:szCs w:val="20"/>
        </w:rPr>
        <w:t xml:space="preserve">. (1969) Consejo Directivo del Conservatorio </w:t>
      </w:r>
      <w:r>
        <w:rPr>
          <w:sz w:val="20"/>
          <w:szCs w:val="20"/>
        </w:rPr>
        <w:t>de Música del Tolima.</w:t>
      </w:r>
    </w:p>
    <w:p w:rsidR="00DC46EE" w:rsidRDefault="00DC46EE">
      <w:pPr>
        <w:spacing w:after="0" w:line="240" w:lineRule="auto"/>
        <w:rPr>
          <w:sz w:val="20"/>
          <w:szCs w:val="20"/>
        </w:rPr>
      </w:pPr>
    </w:p>
  </w:footnote>
  <w:footnote w:id="6">
    <w:p w:rsidR="00DC46EE" w:rsidRDefault="00741FB7">
      <w:pPr>
        <w:spacing w:after="0" w:line="240" w:lineRule="auto"/>
        <w:rPr>
          <w:sz w:val="20"/>
          <w:szCs w:val="20"/>
        </w:rPr>
      </w:pPr>
      <w:r>
        <w:rPr>
          <w:vertAlign w:val="superscript"/>
        </w:rPr>
        <w:footnoteRef/>
      </w:r>
      <w:r>
        <w:rPr>
          <w:sz w:val="20"/>
          <w:szCs w:val="20"/>
        </w:rPr>
        <w:t xml:space="preserve"> Decreto No. 00569. (14 de octubre 2000). Por medio del cual se acoge y proclama la designación del Ocobo como árbol insignia de Ibagué. Recuperado de:</w:t>
      </w:r>
    </w:p>
    <w:p w:rsidR="00DC46EE" w:rsidRDefault="00741FB7">
      <w:pPr>
        <w:spacing w:after="0" w:line="240" w:lineRule="auto"/>
        <w:rPr>
          <w:sz w:val="20"/>
          <w:szCs w:val="20"/>
        </w:rPr>
      </w:pPr>
      <w:r>
        <w:t>http://www.ibague.gov.co/portal/admin/archivos/normatividad/2000/DECRETO%20569.P</w:t>
      </w:r>
      <w:r>
        <w:t xml:space="preserve">DF </w:t>
      </w:r>
    </w:p>
  </w:footnote>
  <w:footnote w:id="7">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Bando de la República. (2018) </w:t>
      </w:r>
      <w:r>
        <w:rPr>
          <w:i/>
          <w:sz w:val="20"/>
          <w:szCs w:val="20"/>
          <w:vertAlign w:val="superscript"/>
        </w:rPr>
        <w:t>“Boletín Económico Regional 08 Junio 2018 (BER)”</w:t>
      </w:r>
      <w:r>
        <w:rPr>
          <w:sz w:val="20"/>
          <w:szCs w:val="20"/>
          <w:vertAlign w:val="superscript"/>
        </w:rPr>
        <w:t>. Recuperado de:</w:t>
      </w:r>
      <w:r w:rsidR="008226CE">
        <w:rPr>
          <w:sz w:val="20"/>
          <w:szCs w:val="20"/>
          <w:vertAlign w:val="superscript"/>
        </w:rPr>
        <w:t xml:space="preserve"> </w:t>
      </w:r>
      <w:r>
        <w:rPr>
          <w:vertAlign w:val="superscript"/>
        </w:rPr>
        <w:t>http://www.banrep.gov.co/es/publicaciones/boletin-economico-regional-centro-2018-1</w:t>
      </w:r>
    </w:p>
  </w:footnote>
  <w:footnote w:id="8">
    <w:p w:rsidR="00DC46EE" w:rsidRDefault="00741FB7" w:rsidP="008226CE">
      <w:pPr>
        <w:spacing w:after="0" w:line="240" w:lineRule="auto"/>
        <w:rPr>
          <w:sz w:val="20"/>
          <w:szCs w:val="20"/>
          <w:vertAlign w:val="superscript"/>
        </w:rPr>
      </w:pPr>
      <w:r>
        <w:rPr>
          <w:vertAlign w:val="superscript"/>
        </w:rPr>
        <w:footnoteRef/>
      </w:r>
      <w:r>
        <w:rPr>
          <w:sz w:val="20"/>
          <w:szCs w:val="20"/>
          <w:vertAlign w:val="superscript"/>
        </w:rPr>
        <w:t xml:space="preserve"> Bando de la República. (2018) </w:t>
      </w:r>
      <w:r>
        <w:rPr>
          <w:i/>
          <w:sz w:val="20"/>
          <w:szCs w:val="20"/>
          <w:vertAlign w:val="superscript"/>
        </w:rPr>
        <w:t>“Boletín Económico Regional 08 Junio 201</w:t>
      </w:r>
      <w:r>
        <w:rPr>
          <w:i/>
          <w:sz w:val="20"/>
          <w:szCs w:val="20"/>
          <w:vertAlign w:val="superscript"/>
        </w:rPr>
        <w:t>8 (BER)”</w:t>
      </w:r>
      <w:r>
        <w:rPr>
          <w:sz w:val="20"/>
          <w:szCs w:val="20"/>
          <w:vertAlign w:val="superscript"/>
        </w:rPr>
        <w:t>. Recuperado de:</w:t>
      </w:r>
      <w:r w:rsidR="008226CE">
        <w:rPr>
          <w:sz w:val="20"/>
          <w:szCs w:val="20"/>
          <w:vertAlign w:val="superscript"/>
        </w:rPr>
        <w:t xml:space="preserve"> h</w:t>
      </w:r>
      <w:r>
        <w:rPr>
          <w:sz w:val="20"/>
          <w:szCs w:val="20"/>
          <w:vertAlign w:val="superscript"/>
        </w:rPr>
        <w:t xml:space="preserve">ttp://www.banrep.gov.co/sites/default/files/publicaciones/archivos/ber_centro_tri1_2018.pdf  </w:t>
      </w:r>
    </w:p>
    <w:p w:rsidR="00DC46EE" w:rsidRDefault="00DC46EE">
      <w:pPr>
        <w:spacing w:after="0" w:line="240" w:lineRule="auto"/>
        <w:rPr>
          <w:sz w:val="20"/>
          <w:szCs w:val="20"/>
          <w:vertAlign w:val="superscript"/>
        </w:rPr>
      </w:pPr>
    </w:p>
  </w:footnote>
  <w:footnote w:id="9">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[1] Ibíd. (p. 16).</w:t>
      </w:r>
    </w:p>
  </w:footnote>
  <w:footnote w:id="10">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[1] Ibíd. (p. 16</w:t>
      </w:r>
    </w:p>
  </w:footnote>
  <w:footnote w:id="11">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[1] Ibíd. (p. 16</w:t>
      </w:r>
    </w:p>
  </w:footnote>
  <w:footnote w:id="12">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[1] Ibíd. (p. 17).</w:t>
      </w:r>
    </w:p>
  </w:footnote>
  <w:footnote w:id="13">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[1] Ibíd. (p. 25).</w:t>
      </w:r>
    </w:p>
  </w:footnote>
  <w:footnote w:id="14">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[1] Ibíd. (p. 26).</w:t>
      </w:r>
    </w:p>
  </w:footnote>
  <w:footnote w:id="15">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Ibíd. (p. 26).</w:t>
      </w:r>
    </w:p>
  </w:footnote>
  <w:footnote w:id="16">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DANE. (2017) “Estadísticas de Pobreza Monetaria”. Publicado el 22 de marzo de 2018. Recuperado de: </w:t>
      </w:r>
      <w:r>
        <w:rPr>
          <w:sz w:val="20"/>
          <w:szCs w:val="20"/>
          <w:vertAlign w:val="superscript"/>
        </w:rPr>
        <w:t>https://www.dane.gov.co/files/investigaciones/condiciones_vida/pobreza/cp_pobreza_monetaria_17.pdf</w:t>
      </w:r>
    </w:p>
    <w:p w:rsidR="00DC46EE" w:rsidRDefault="00DC46EE">
      <w:pPr>
        <w:spacing w:after="0" w:line="240" w:lineRule="auto"/>
        <w:rPr>
          <w:sz w:val="20"/>
          <w:szCs w:val="20"/>
          <w:vertAlign w:val="superscript"/>
        </w:rPr>
      </w:pPr>
    </w:p>
  </w:footnote>
  <w:footnote w:id="17">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Pr>
          <w:vertAlign w:val="superscript"/>
        </w:rPr>
        <w:t>Ibíd. (p. 4.)</w:t>
      </w:r>
    </w:p>
  </w:footnote>
  <w:footnote w:id="18">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DANE. (2017) “Estadísticas de Pobreza Multidimensional”. Publicado el 22 de marzo de 2018. Recuperado de:</w:t>
      </w:r>
    </w:p>
    <w:p w:rsidR="00DC46EE" w:rsidRDefault="00741FB7">
      <w:pPr>
        <w:spacing w:after="0" w:line="240" w:lineRule="auto"/>
        <w:rPr>
          <w:sz w:val="20"/>
          <w:szCs w:val="20"/>
          <w:vertAlign w:val="superscript"/>
        </w:rPr>
      </w:pPr>
      <w:r>
        <w:rPr>
          <w:sz w:val="20"/>
          <w:szCs w:val="20"/>
          <w:vertAlign w:val="superscript"/>
        </w:rPr>
        <w:t>https://www.dane.gov.co/files/investigaciones/condiciones_vida/pobreza/cp_pobreza_multidimensional_17.pdf</w:t>
      </w:r>
    </w:p>
    <w:p w:rsidR="00DC46EE" w:rsidRDefault="00DC46EE">
      <w:pPr>
        <w:spacing w:after="0" w:line="240" w:lineRule="auto"/>
        <w:rPr>
          <w:sz w:val="20"/>
          <w:szCs w:val="20"/>
          <w:vertAlign w:val="superscript"/>
        </w:rPr>
      </w:pPr>
    </w:p>
  </w:footnote>
  <w:footnote w:id="19">
    <w:p w:rsidR="00DC46EE" w:rsidRDefault="00741FB7">
      <w:pPr>
        <w:spacing w:after="0" w:line="240" w:lineRule="auto"/>
        <w:rPr>
          <w:sz w:val="20"/>
          <w:szCs w:val="20"/>
          <w:vertAlign w:val="superscript"/>
        </w:rPr>
      </w:pPr>
      <w:r>
        <w:rPr>
          <w:vertAlign w:val="superscript"/>
        </w:rPr>
        <w:footnoteRef/>
      </w:r>
      <w:r>
        <w:rPr>
          <w:sz w:val="20"/>
          <w:szCs w:val="20"/>
          <w:vertAlign w:val="superscript"/>
        </w:rPr>
        <w:t xml:space="preserve"> </w:t>
      </w:r>
      <w:r w:rsidRPr="00741FB7">
        <w:rPr>
          <w:rFonts w:ascii="Arial" w:eastAsia="Century Gothic" w:hAnsi="Arial" w:cs="Arial"/>
          <w:color w:val="575756"/>
          <w:sz w:val="16"/>
          <w:szCs w:val="18"/>
        </w:rPr>
        <w:t>Sentencia C-646/10</w:t>
      </w:r>
      <w:r>
        <w:rPr>
          <w:rFonts w:ascii="Century Gothic" w:eastAsia="Century Gothic" w:hAnsi="Century Gothic" w:cs="Century Gothic"/>
          <w:b/>
          <w:color w:val="575756"/>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6EE" w:rsidRDefault="00DC46EE">
    <w:pPr>
      <w:pBdr>
        <w:top w:val="nil"/>
        <w:left w:val="nil"/>
        <w:bottom w:val="nil"/>
        <w:right w:val="nil"/>
        <w:between w:val="nil"/>
      </w:pBdr>
      <w:tabs>
        <w:tab w:val="center" w:pos="4252"/>
        <w:tab w:val="right" w:pos="8504"/>
      </w:tabs>
      <w:spacing w:after="0" w:line="240" w:lineRule="auto"/>
      <w:rPr>
        <w:color w:val="000000"/>
      </w:rPr>
    </w:pPr>
  </w:p>
  <w:p w:rsidR="00A05651" w:rsidRPr="003D3C6F" w:rsidRDefault="00A05651" w:rsidP="00A05651">
    <w:pPr>
      <w:pStyle w:val="Encabezado"/>
      <w:jc w:val="right"/>
      <w:rPr>
        <w:rFonts w:ascii="Arial" w:hAnsi="Arial" w:cs="Arial"/>
        <w:b/>
        <w:color w:val="A6A6A6" w:themeColor="background1" w:themeShade="A6"/>
        <w:u w:val="single"/>
      </w:rPr>
    </w:pPr>
    <w:r w:rsidRPr="003D3C6F">
      <w:rPr>
        <w:noProof/>
      </w:rPr>
      <w:drawing>
        <wp:anchor distT="0" distB="0" distL="114300" distR="114300" simplePos="0" relativeHeight="251659264" behindDoc="0" locked="0" layoutInCell="1" allowOverlap="1" wp14:anchorId="2623D335" wp14:editId="476A5A1E">
          <wp:simplePos x="0" y="0"/>
          <wp:positionH relativeFrom="column">
            <wp:posOffset>-632460</wp:posOffset>
          </wp:positionH>
          <wp:positionV relativeFrom="paragraph">
            <wp:posOffset>10160</wp:posOffset>
          </wp:positionV>
          <wp:extent cx="2400300" cy="657225"/>
          <wp:effectExtent l="0" t="0" r="0" b="9525"/>
          <wp:wrapSquare wrapText="bothSides"/>
          <wp:docPr id="12" name="Imagen 12" descr="Resultado de imagen para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ogo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color w:val="A6A6A6" w:themeColor="background1" w:themeShade="A6"/>
        <w:sz w:val="28"/>
      </w:rPr>
      <w:t xml:space="preserve">        </w:t>
    </w:r>
    <w:r w:rsidRPr="003D3C6F">
      <w:rPr>
        <w:rFonts w:ascii="Arial" w:hAnsi="Arial" w:cs="Arial"/>
        <w:b/>
        <w:color w:val="A6A6A6" w:themeColor="background1" w:themeShade="A6"/>
        <w:sz w:val="28"/>
      </w:rPr>
      <w:t xml:space="preserve">  </w:t>
    </w:r>
    <w:r>
      <w:rPr>
        <w:rFonts w:ascii="Arial" w:hAnsi="Arial" w:cs="Arial"/>
        <w:b/>
        <w:color w:val="A6A6A6" w:themeColor="background1" w:themeShade="A6"/>
        <w:sz w:val="28"/>
      </w:rPr>
      <w:t xml:space="preserve">             </w:t>
    </w:r>
    <w:r w:rsidRPr="003D3C6F">
      <w:rPr>
        <w:rFonts w:ascii="Arial" w:hAnsi="Arial" w:cs="Arial"/>
        <w:b/>
        <w:color w:val="A6A6A6" w:themeColor="background1" w:themeShade="A6"/>
        <w:sz w:val="28"/>
        <w:u w:val="single"/>
      </w:rPr>
      <w:t>ADRIANA MAGALI MATIZ VARGAS</w:t>
    </w:r>
  </w:p>
  <w:p w:rsidR="00A05651" w:rsidRPr="00EE4785" w:rsidRDefault="00A05651" w:rsidP="00A05651">
    <w:pPr>
      <w:pStyle w:val="Piedepgina"/>
      <w:jc w:val="right"/>
      <w:rPr>
        <w:rFonts w:ascii="Arial" w:hAnsi="Arial" w:cs="Arial"/>
        <w:b/>
        <w:color w:val="A6A6A6" w:themeColor="background1" w:themeShade="A6"/>
      </w:rPr>
    </w:pPr>
    <w:r w:rsidRPr="00EE4785">
      <w:rPr>
        <w:rFonts w:ascii="Arial" w:hAnsi="Arial" w:cs="Arial"/>
        <w:b/>
        <w:color w:val="A6A6A6" w:themeColor="background1" w:themeShade="A6"/>
      </w:rPr>
      <w:t>Rep</w:t>
    </w:r>
    <w:r>
      <w:rPr>
        <w:rFonts w:ascii="Arial" w:hAnsi="Arial" w:cs="Arial"/>
        <w:b/>
        <w:color w:val="A6A6A6" w:themeColor="background1" w:themeShade="A6"/>
      </w:rPr>
      <w:t>r</w:t>
    </w:r>
    <w:r w:rsidRPr="00EE4785">
      <w:rPr>
        <w:rFonts w:ascii="Arial" w:hAnsi="Arial" w:cs="Arial"/>
        <w:b/>
        <w:color w:val="A6A6A6" w:themeColor="background1" w:themeShade="A6"/>
      </w:rPr>
      <w:t>esentante a la Cámara</w:t>
    </w:r>
    <w:r>
      <w:rPr>
        <w:rFonts w:ascii="Arial" w:hAnsi="Arial" w:cs="Arial"/>
        <w:b/>
        <w:color w:val="A6A6A6" w:themeColor="background1" w:themeShade="A6"/>
      </w:rPr>
      <w:t xml:space="preserve"> por el Tolima</w:t>
    </w:r>
    <w:r>
      <w:rPr>
        <w:rFonts w:ascii="Arial" w:hAnsi="Arial" w:cs="Arial"/>
        <w:b/>
        <w:color w:val="A6A6A6" w:themeColor="background1" w:themeShade="A6"/>
      </w:rPr>
      <w:br/>
      <w:t>Partido Conservador</w:t>
    </w:r>
  </w:p>
  <w:p w:rsidR="00DC46EE" w:rsidRDefault="00DC46EE">
    <w:pPr>
      <w:pBdr>
        <w:top w:val="nil"/>
        <w:left w:val="nil"/>
        <w:bottom w:val="nil"/>
        <w:right w:val="nil"/>
        <w:between w:val="nil"/>
      </w:pBdr>
      <w:tabs>
        <w:tab w:val="center" w:pos="4419"/>
        <w:tab w:val="right" w:pos="8838"/>
      </w:tabs>
      <w:spacing w:after="0" w:line="240" w:lineRule="auto"/>
      <w:jc w:val="center"/>
      <w:rPr>
        <w:rFonts w:ascii="Script MT Bold" w:eastAsia="Script MT Bold" w:hAnsi="Script MT Bold" w:cs="Script MT Bold"/>
        <w:color w:val="808080"/>
        <w:sz w:val="28"/>
        <w:szCs w:val="28"/>
      </w:rPr>
    </w:pPr>
  </w:p>
  <w:p w:rsidR="00DC46EE" w:rsidRDefault="00DC46EE">
    <w:pPr>
      <w:pBdr>
        <w:top w:val="nil"/>
        <w:left w:val="nil"/>
        <w:bottom w:val="nil"/>
        <w:right w:val="nil"/>
        <w:between w:val="nil"/>
      </w:pBdr>
      <w:tabs>
        <w:tab w:val="left" w:pos="5865"/>
      </w:tabs>
      <w:spacing w:after="0" w:line="240" w:lineRule="auto"/>
      <w:rPr>
        <w:rFonts w:ascii="Arial" w:eastAsia="Arial" w:hAnsi="Arial" w:cs="Arial"/>
        <w:b/>
        <w:color w:val="595959"/>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0F6A"/>
    <w:multiLevelType w:val="multilevel"/>
    <w:tmpl w:val="0D1E7A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152F64A5"/>
    <w:multiLevelType w:val="hybridMultilevel"/>
    <w:tmpl w:val="C1625338"/>
    <w:lvl w:ilvl="0" w:tplc="D258296E">
      <w:start w:val="5"/>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3E9151D"/>
    <w:multiLevelType w:val="hybridMultilevel"/>
    <w:tmpl w:val="AE08FD58"/>
    <w:lvl w:ilvl="0" w:tplc="0686979C">
      <w:start w:val="5"/>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B653900"/>
    <w:multiLevelType w:val="hybridMultilevel"/>
    <w:tmpl w:val="3FAC26C2"/>
    <w:lvl w:ilvl="0" w:tplc="DC5C75D0">
      <w:start w:val="4"/>
      <w:numFmt w:val="upperRoman"/>
      <w:lvlText w:val="%1."/>
      <w:lvlJc w:val="left"/>
      <w:pPr>
        <w:ind w:left="1080" w:hanging="720"/>
      </w:pPr>
      <w:rPr>
        <w:rFonts w:ascii="Century Gothic" w:eastAsia="Century Gothic" w:hAnsi="Century Gothic" w:cs="Century Gothic"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64D5F40"/>
    <w:multiLevelType w:val="multilevel"/>
    <w:tmpl w:val="A926989C"/>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88C1364"/>
    <w:multiLevelType w:val="hybridMultilevel"/>
    <w:tmpl w:val="2ADC8F2E"/>
    <w:lvl w:ilvl="0" w:tplc="033A056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6EE"/>
    <w:rsid w:val="00741FB7"/>
    <w:rsid w:val="008226CE"/>
    <w:rsid w:val="00A05651"/>
    <w:rsid w:val="00DC46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A73220-686A-403B-9BF5-D3798ABC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8226CE"/>
    <w:pPr>
      <w:ind w:left="720"/>
      <w:contextualSpacing/>
    </w:pPr>
  </w:style>
  <w:style w:type="paragraph" w:styleId="Encabezado">
    <w:name w:val="header"/>
    <w:basedOn w:val="Normal"/>
    <w:link w:val="EncabezadoCar"/>
    <w:uiPriority w:val="99"/>
    <w:unhideWhenUsed/>
    <w:rsid w:val="008226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26CE"/>
  </w:style>
  <w:style w:type="paragraph" w:styleId="Piedepgina">
    <w:name w:val="footer"/>
    <w:basedOn w:val="Normal"/>
    <w:link w:val="PiedepginaCar"/>
    <w:uiPriority w:val="99"/>
    <w:unhideWhenUsed/>
    <w:rsid w:val="008226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26CE"/>
  </w:style>
  <w:style w:type="paragraph" w:styleId="Textodeglobo">
    <w:name w:val="Balloon Text"/>
    <w:basedOn w:val="Normal"/>
    <w:link w:val="TextodegloboCar"/>
    <w:uiPriority w:val="99"/>
    <w:semiHidden/>
    <w:unhideWhenUsed/>
    <w:rsid w:val="00A056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56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4004</Words>
  <Characters>22027</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macias barreto utl.HR Adriana Magali Matiz</dc:creator>
  <cp:lastModifiedBy>juliana macias barreto utl.HR Adriana Magali Matiz</cp:lastModifiedBy>
  <cp:revision>2</cp:revision>
  <cp:lastPrinted>2018-10-24T22:06:00Z</cp:lastPrinted>
  <dcterms:created xsi:type="dcterms:W3CDTF">2018-10-24T22:13:00Z</dcterms:created>
  <dcterms:modified xsi:type="dcterms:W3CDTF">2018-10-24T22:13:00Z</dcterms:modified>
</cp:coreProperties>
</file>