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B43" w:rsidRPr="009B7E0C" w:rsidRDefault="00194B43" w:rsidP="00194B43">
      <w:pPr>
        <w:jc w:val="right"/>
        <w:rPr>
          <w:rStyle w:val="Ninguno"/>
          <w:rFonts w:cs="Times New Roman"/>
          <w:spacing w:val="-2"/>
          <w:sz w:val="24"/>
          <w:szCs w:val="24"/>
          <w:lang w:val="es-ES"/>
        </w:rPr>
      </w:pPr>
    </w:p>
    <w:p w:rsidR="00194B43" w:rsidRPr="009B7E0C" w:rsidRDefault="00194B43" w:rsidP="00194B43">
      <w:pPr>
        <w:jc w:val="right"/>
        <w:outlineLvl w:val="0"/>
        <w:rPr>
          <w:rStyle w:val="Ninguno"/>
          <w:rFonts w:eastAsia="Arial" w:cs="Times New Roman"/>
          <w:spacing w:val="-2"/>
          <w:sz w:val="24"/>
          <w:szCs w:val="24"/>
          <w:lang w:val="es-ES"/>
        </w:rPr>
      </w:pPr>
      <w:r w:rsidRPr="009B7E0C">
        <w:rPr>
          <w:rStyle w:val="Ninguno"/>
          <w:rFonts w:cs="Times New Roman"/>
          <w:spacing w:val="-2"/>
          <w:sz w:val="24"/>
          <w:szCs w:val="24"/>
          <w:lang w:val="es-ES"/>
        </w:rPr>
        <w:t xml:space="preserve">Bogotá D.C,  </w:t>
      </w:r>
      <w:r w:rsidR="00883B3A">
        <w:rPr>
          <w:rStyle w:val="Ninguno"/>
          <w:rFonts w:cs="Times New Roman"/>
          <w:spacing w:val="-2"/>
          <w:sz w:val="24"/>
          <w:szCs w:val="24"/>
          <w:lang w:val="es-ES"/>
        </w:rPr>
        <w:t>a</w:t>
      </w:r>
      <w:r w:rsidRPr="009B7E0C">
        <w:rPr>
          <w:rStyle w:val="Ninguno"/>
          <w:rFonts w:cs="Times New Roman"/>
          <w:spacing w:val="-2"/>
          <w:sz w:val="24"/>
          <w:szCs w:val="24"/>
          <w:lang w:val="es-ES"/>
        </w:rPr>
        <w:t>gosto de 2019</w:t>
      </w:r>
    </w:p>
    <w:p w:rsidR="00194B43" w:rsidRPr="009B7E0C" w:rsidRDefault="00194B43" w:rsidP="00194B43">
      <w:pPr>
        <w:rPr>
          <w:rStyle w:val="Ninguno"/>
          <w:rFonts w:eastAsia="Arial" w:cs="Times New Roman"/>
          <w:spacing w:val="-2"/>
          <w:sz w:val="24"/>
          <w:szCs w:val="24"/>
          <w:lang w:val="es-ES"/>
        </w:rPr>
      </w:pPr>
    </w:p>
    <w:p w:rsidR="00194B43" w:rsidRPr="009B7E0C" w:rsidRDefault="00194B43" w:rsidP="00194B43">
      <w:pPr>
        <w:outlineLvl w:val="0"/>
        <w:rPr>
          <w:rStyle w:val="Ninguno"/>
          <w:rFonts w:eastAsia="Arial" w:cs="Times New Roman"/>
          <w:spacing w:val="-2"/>
          <w:sz w:val="24"/>
          <w:szCs w:val="24"/>
          <w:lang w:val="es-ES"/>
        </w:rPr>
      </w:pPr>
      <w:r w:rsidRPr="009B7E0C">
        <w:rPr>
          <w:rStyle w:val="Ninguno"/>
          <w:rFonts w:cs="Times New Roman"/>
          <w:spacing w:val="-2"/>
          <w:sz w:val="24"/>
          <w:szCs w:val="24"/>
          <w:lang w:val="es-ES"/>
        </w:rPr>
        <w:t>Representante</w:t>
      </w:r>
    </w:p>
    <w:p w:rsidR="00194B43" w:rsidRPr="009B7E0C" w:rsidRDefault="00194B43" w:rsidP="00194B43">
      <w:pPr>
        <w:rPr>
          <w:rStyle w:val="Ninguno"/>
          <w:rFonts w:eastAsia="Arial" w:cs="Times New Roman"/>
          <w:b/>
          <w:bCs/>
          <w:spacing w:val="-2"/>
          <w:sz w:val="24"/>
          <w:szCs w:val="24"/>
          <w:lang w:val="es-ES"/>
        </w:rPr>
      </w:pPr>
      <w:r w:rsidRPr="009B7E0C">
        <w:rPr>
          <w:rStyle w:val="Ninguno"/>
          <w:rFonts w:cs="Times New Roman"/>
          <w:b/>
          <w:bCs/>
          <w:spacing w:val="-2"/>
          <w:sz w:val="24"/>
          <w:szCs w:val="24"/>
          <w:lang w:val="es-ES"/>
        </w:rPr>
        <w:t xml:space="preserve">JUAN CARLOS LOZADA </w:t>
      </w:r>
    </w:p>
    <w:p w:rsidR="00194B43" w:rsidRPr="009B7E0C" w:rsidRDefault="00194B43" w:rsidP="00194B43">
      <w:pPr>
        <w:outlineLvl w:val="0"/>
        <w:rPr>
          <w:rStyle w:val="Ninguno"/>
          <w:rFonts w:eastAsia="Arial" w:cs="Times New Roman"/>
          <w:spacing w:val="-2"/>
          <w:sz w:val="24"/>
          <w:szCs w:val="24"/>
          <w:lang w:val="es-ES"/>
        </w:rPr>
      </w:pPr>
      <w:r w:rsidRPr="009B7E0C">
        <w:rPr>
          <w:rStyle w:val="Ninguno"/>
          <w:rFonts w:cs="Times New Roman"/>
          <w:spacing w:val="-2"/>
          <w:sz w:val="24"/>
          <w:szCs w:val="24"/>
          <w:lang w:val="es-ES"/>
        </w:rPr>
        <w:t xml:space="preserve">Presidente </w:t>
      </w:r>
    </w:p>
    <w:p w:rsidR="00194B43" w:rsidRPr="009B7E0C" w:rsidRDefault="00194B43" w:rsidP="00194B43">
      <w:pPr>
        <w:outlineLvl w:val="0"/>
        <w:rPr>
          <w:rStyle w:val="Ninguno"/>
          <w:rFonts w:eastAsia="Arial" w:cs="Times New Roman"/>
          <w:spacing w:val="-2"/>
          <w:sz w:val="24"/>
          <w:szCs w:val="24"/>
          <w:lang w:val="es-ES"/>
        </w:rPr>
      </w:pPr>
      <w:r w:rsidRPr="009B7E0C">
        <w:rPr>
          <w:rStyle w:val="Ninguno"/>
          <w:rFonts w:cs="Times New Roman"/>
          <w:spacing w:val="-2"/>
          <w:sz w:val="24"/>
          <w:szCs w:val="24"/>
          <w:lang w:val="es-ES"/>
        </w:rPr>
        <w:t xml:space="preserve">Comisión Primera Constitucional Permanente  </w:t>
      </w:r>
    </w:p>
    <w:p w:rsidR="00194B43" w:rsidRPr="009B7E0C" w:rsidRDefault="00194B43" w:rsidP="00194B43">
      <w:pPr>
        <w:rPr>
          <w:rStyle w:val="Ninguno"/>
          <w:rFonts w:eastAsia="Arial" w:cs="Times New Roman"/>
          <w:spacing w:val="-2"/>
          <w:sz w:val="24"/>
          <w:szCs w:val="24"/>
          <w:lang w:val="es-ES"/>
        </w:rPr>
      </w:pPr>
      <w:r w:rsidRPr="009B7E0C">
        <w:rPr>
          <w:rStyle w:val="Ninguno"/>
          <w:rFonts w:cs="Times New Roman"/>
          <w:spacing w:val="-2"/>
          <w:sz w:val="24"/>
          <w:szCs w:val="24"/>
          <w:lang w:val="es-ES"/>
        </w:rPr>
        <w:t xml:space="preserve">La ciudad </w:t>
      </w:r>
    </w:p>
    <w:p w:rsidR="00194B43" w:rsidRPr="009B7E0C" w:rsidRDefault="00194B43" w:rsidP="00194B43">
      <w:pPr>
        <w:ind w:left="4253"/>
        <w:jc w:val="both"/>
        <w:rPr>
          <w:rStyle w:val="Ninguno"/>
          <w:rFonts w:eastAsia="Arial" w:cs="Times New Roman"/>
          <w:spacing w:val="-2"/>
          <w:sz w:val="24"/>
          <w:szCs w:val="24"/>
          <w:lang w:val="es-ES"/>
        </w:rPr>
      </w:pPr>
    </w:p>
    <w:p w:rsidR="00194B43" w:rsidRPr="009B7E0C" w:rsidRDefault="00194B43" w:rsidP="00194B43">
      <w:pPr>
        <w:ind w:left="2832"/>
        <w:jc w:val="both"/>
        <w:rPr>
          <w:rStyle w:val="Ninguno"/>
          <w:rFonts w:eastAsia="Arial" w:cs="Times New Roman"/>
          <w:spacing w:val="-2"/>
          <w:sz w:val="24"/>
          <w:szCs w:val="24"/>
          <w:lang w:val="es-ES"/>
        </w:rPr>
      </w:pPr>
      <w:r w:rsidRPr="009B7E0C">
        <w:rPr>
          <w:rStyle w:val="Ninguno"/>
          <w:rFonts w:cs="Times New Roman"/>
          <w:b/>
          <w:bCs/>
          <w:spacing w:val="-2"/>
          <w:sz w:val="24"/>
          <w:szCs w:val="24"/>
          <w:lang w:val="es-ES"/>
        </w:rPr>
        <w:t>Asunto</w:t>
      </w:r>
      <w:r w:rsidRPr="009B7E0C">
        <w:rPr>
          <w:rStyle w:val="Ninguno"/>
          <w:rFonts w:cs="Times New Roman"/>
          <w:spacing w:val="-2"/>
          <w:sz w:val="24"/>
          <w:szCs w:val="24"/>
          <w:lang w:val="es-ES"/>
        </w:rPr>
        <w:t>: Ponencia negativa para Segundo Debate (Segunda vuelta) al Proyecto de Acto Legislativo 039 de 2019 Senado y 355 de 2019 Cámara “Por medio del cual se Reforma el Régimen de Control Fiscal”.</w:t>
      </w:r>
    </w:p>
    <w:p w:rsidR="00194B43" w:rsidRPr="009B7E0C" w:rsidRDefault="00194B43" w:rsidP="00194B43">
      <w:pPr>
        <w:rPr>
          <w:rStyle w:val="Ninguno"/>
          <w:rFonts w:eastAsia="Arial" w:cs="Times New Roman"/>
          <w:spacing w:val="-2"/>
          <w:sz w:val="24"/>
          <w:szCs w:val="24"/>
          <w:lang w:val="es-ES"/>
        </w:rPr>
      </w:pPr>
    </w:p>
    <w:p w:rsidR="00194B43" w:rsidRPr="009B7E0C" w:rsidRDefault="00883B3A" w:rsidP="00194B43">
      <w:pPr>
        <w:rPr>
          <w:rStyle w:val="Ninguno"/>
          <w:rFonts w:eastAsia="Arial" w:cs="Times New Roman"/>
          <w:spacing w:val="-2"/>
          <w:sz w:val="24"/>
          <w:szCs w:val="24"/>
          <w:lang w:val="es-ES"/>
        </w:rPr>
      </w:pPr>
      <w:r>
        <w:rPr>
          <w:rStyle w:val="Ninguno"/>
          <w:rFonts w:cs="Times New Roman"/>
          <w:spacing w:val="-2"/>
          <w:sz w:val="24"/>
          <w:szCs w:val="24"/>
          <w:lang w:val="es-ES"/>
        </w:rPr>
        <w:t>Respetado P</w:t>
      </w:r>
      <w:r w:rsidR="00194B43" w:rsidRPr="009B7E0C">
        <w:rPr>
          <w:rStyle w:val="Ninguno"/>
          <w:rFonts w:cs="Times New Roman"/>
          <w:spacing w:val="-2"/>
          <w:sz w:val="24"/>
          <w:szCs w:val="24"/>
          <w:lang w:val="es-ES"/>
        </w:rPr>
        <w:t xml:space="preserve">residente, </w:t>
      </w:r>
    </w:p>
    <w:p w:rsidR="00194B43" w:rsidRPr="009B7E0C" w:rsidRDefault="00194B43" w:rsidP="00194B43">
      <w:pPr>
        <w:rPr>
          <w:rStyle w:val="Ninguno"/>
          <w:rFonts w:eastAsia="Arial"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Atendiendo</w:t>
      </w:r>
      <w:r w:rsidRPr="009B7E0C">
        <w:rPr>
          <w:rStyle w:val="Ninguno"/>
          <w:rFonts w:cs="Times New Roman"/>
          <w:sz w:val="24"/>
          <w:szCs w:val="24"/>
          <w:lang w:val="es-ES"/>
        </w:rPr>
        <w:t xml:space="preserve"> a la</w:t>
      </w:r>
      <w:r w:rsidRPr="009B7E0C">
        <w:rPr>
          <w:rStyle w:val="Ninguno"/>
          <w:rFonts w:cs="Times New Roman"/>
          <w:spacing w:val="-2"/>
          <w:sz w:val="24"/>
          <w:szCs w:val="24"/>
          <w:lang w:val="es-ES"/>
        </w:rPr>
        <w:t xml:space="preserve"> designación como ponente, cordialmente presento el siguiente informe de ponencia al Proyecto de Acto Legislativo de la referencia.</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Cordialmente,</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b/>
          <w:spacing w:val="-2"/>
          <w:sz w:val="24"/>
          <w:szCs w:val="24"/>
          <w:lang w:val="es-ES"/>
        </w:rPr>
      </w:pPr>
      <w:r w:rsidRPr="009B7E0C">
        <w:rPr>
          <w:rStyle w:val="Ninguno"/>
          <w:rFonts w:cs="Times New Roman"/>
          <w:b/>
          <w:spacing w:val="-2"/>
          <w:sz w:val="24"/>
          <w:szCs w:val="24"/>
          <w:lang w:val="es-ES"/>
        </w:rPr>
        <w:t>Juanita Goebertus Estrada</w:t>
      </w:r>
    </w:p>
    <w:p w:rsidR="00194B43" w:rsidRPr="009B7E0C" w:rsidRDefault="00194B43" w:rsidP="00194B43">
      <w:pPr>
        <w:jc w:val="both"/>
        <w:rPr>
          <w:rStyle w:val="Ninguno"/>
          <w:rFonts w:cs="Times New Roman"/>
          <w:b/>
          <w:spacing w:val="-2"/>
          <w:sz w:val="24"/>
          <w:szCs w:val="24"/>
          <w:lang w:val="es-ES"/>
        </w:rPr>
      </w:pPr>
      <w:r w:rsidRPr="009B7E0C">
        <w:rPr>
          <w:rStyle w:val="Ninguno"/>
          <w:rFonts w:cs="Times New Roman"/>
          <w:b/>
          <w:spacing w:val="-2"/>
          <w:sz w:val="24"/>
          <w:szCs w:val="24"/>
          <w:lang w:val="es-ES"/>
        </w:rPr>
        <w:t>Representante a la Cámara</w:t>
      </w: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cs="Times New Roman"/>
          <w:b/>
          <w:spacing w:val="-2"/>
          <w:sz w:val="24"/>
          <w:szCs w:val="24"/>
          <w:lang w:val="es-ES"/>
        </w:rPr>
      </w:pPr>
    </w:p>
    <w:p w:rsidR="00194B43" w:rsidRPr="009B7E0C" w:rsidRDefault="00194B43" w:rsidP="00194B43">
      <w:pPr>
        <w:jc w:val="both"/>
        <w:rPr>
          <w:rStyle w:val="Ninguno"/>
          <w:rFonts w:eastAsia="Arial" w:cs="Times New Roman"/>
          <w:b/>
          <w:spacing w:val="-2"/>
          <w:sz w:val="24"/>
          <w:szCs w:val="24"/>
          <w:lang w:val="es-ES"/>
        </w:rPr>
      </w:pPr>
    </w:p>
    <w:p w:rsidR="00194B43" w:rsidRPr="009B7E0C" w:rsidRDefault="00194B43" w:rsidP="00194B43">
      <w:pPr>
        <w:rPr>
          <w:rStyle w:val="Ninguno"/>
          <w:rFonts w:eastAsia="Arial" w:cs="Times New Roman"/>
          <w:spacing w:val="-2"/>
          <w:sz w:val="24"/>
          <w:szCs w:val="24"/>
          <w:lang w:val="es-ES"/>
        </w:rPr>
      </w:pPr>
    </w:p>
    <w:p w:rsidR="00194B43" w:rsidRPr="009B7E0C" w:rsidRDefault="00194B43" w:rsidP="00194B43">
      <w:pPr>
        <w:rPr>
          <w:rStyle w:val="Ninguno"/>
          <w:rFonts w:eastAsia="Arial" w:cs="Times New Roman"/>
          <w:spacing w:val="-2"/>
          <w:sz w:val="24"/>
          <w:szCs w:val="24"/>
          <w:lang w:val="es-ES"/>
        </w:rPr>
      </w:pPr>
    </w:p>
    <w:p w:rsidR="00194B43" w:rsidRPr="009B7E0C" w:rsidRDefault="00194B43" w:rsidP="00194B43">
      <w:pPr>
        <w:jc w:val="center"/>
        <w:rPr>
          <w:rStyle w:val="Ninguno"/>
          <w:rFonts w:eastAsia="Arial" w:cs="Times New Roman"/>
          <w:b/>
          <w:bCs/>
          <w:spacing w:val="-2"/>
          <w:sz w:val="24"/>
          <w:szCs w:val="24"/>
          <w:lang w:val="es-ES"/>
        </w:rPr>
      </w:pPr>
      <w:r w:rsidRPr="009B7E0C">
        <w:rPr>
          <w:rStyle w:val="Ninguno"/>
          <w:rFonts w:cs="Times New Roman"/>
          <w:b/>
          <w:bCs/>
          <w:spacing w:val="-2"/>
          <w:sz w:val="24"/>
          <w:szCs w:val="24"/>
          <w:lang w:val="es-ES"/>
        </w:rPr>
        <w:lastRenderedPageBreak/>
        <w:t>INFORME DE PONENCIA NEGATIVA PARA SEGUNDO DEBATE (SEGUNDA VUELTA) EN PLENARIA DE LA CÁMARA DE REPRESENTANTES AL PROYECTO DE ACTO LEGISLATIVO No. 039/19 SENADO Y 355/19 CÁMARA</w:t>
      </w:r>
      <w:bookmarkStart w:id="0" w:name="_Hlk4522235"/>
      <w:r w:rsidRPr="009B7E0C">
        <w:rPr>
          <w:rStyle w:val="Ninguno"/>
          <w:rFonts w:eastAsia="Arial" w:cs="Times New Roman"/>
          <w:b/>
          <w:bCs/>
          <w:spacing w:val="-2"/>
          <w:sz w:val="24"/>
          <w:szCs w:val="24"/>
          <w:lang w:val="es-ES"/>
        </w:rPr>
        <w:t xml:space="preserve"> </w:t>
      </w:r>
      <w:r w:rsidRPr="009B7E0C">
        <w:rPr>
          <w:rStyle w:val="Ninguno"/>
          <w:rFonts w:cs="Times New Roman"/>
          <w:b/>
          <w:i/>
          <w:iCs/>
          <w:spacing w:val="-2"/>
          <w:sz w:val="24"/>
          <w:szCs w:val="24"/>
          <w:lang w:val="es-ES"/>
        </w:rPr>
        <w:t>“POR MEDIO DEL CUAL SE REFORMA EL RÉGIMEN DE CONTROL FISCAL”</w:t>
      </w:r>
    </w:p>
    <w:p w:rsidR="00194B43" w:rsidRPr="009B7E0C" w:rsidRDefault="00194B43" w:rsidP="00194B43">
      <w:pPr>
        <w:jc w:val="center"/>
        <w:rPr>
          <w:rStyle w:val="Ninguno"/>
          <w:rFonts w:eastAsia="Arial" w:cs="Times New Roman"/>
          <w:i/>
          <w:iCs/>
          <w:spacing w:val="-2"/>
          <w:sz w:val="24"/>
          <w:szCs w:val="24"/>
          <w:lang w:val="es-ES"/>
        </w:rPr>
      </w:pPr>
    </w:p>
    <w:p w:rsidR="00194B43" w:rsidRPr="009B7E0C" w:rsidRDefault="00194B43" w:rsidP="00194B43">
      <w:pPr>
        <w:jc w:val="center"/>
        <w:rPr>
          <w:rStyle w:val="Ninguno"/>
          <w:rFonts w:eastAsia="Arial" w:cs="Times New Roman"/>
          <w:i/>
          <w:iCs/>
          <w:spacing w:val="-2"/>
          <w:sz w:val="24"/>
          <w:szCs w:val="24"/>
          <w:lang w:val="es-ES"/>
        </w:rPr>
      </w:pPr>
    </w:p>
    <w:p w:rsidR="00194B43" w:rsidRPr="009B7E0C" w:rsidRDefault="00194B43" w:rsidP="00194B43">
      <w:pPr>
        <w:jc w:val="both"/>
        <w:outlineLvl w:val="0"/>
        <w:rPr>
          <w:rStyle w:val="Ninguno"/>
          <w:rFonts w:eastAsia="Arial" w:cs="Times New Roman"/>
          <w:b/>
          <w:bCs/>
          <w:spacing w:val="-2"/>
          <w:sz w:val="24"/>
          <w:szCs w:val="24"/>
          <w:lang w:val="es-ES"/>
        </w:rPr>
      </w:pPr>
      <w:r w:rsidRPr="009B7E0C">
        <w:rPr>
          <w:rStyle w:val="Ninguno"/>
          <w:rFonts w:cs="Times New Roman"/>
          <w:b/>
          <w:bCs/>
          <w:spacing w:val="-2"/>
          <w:sz w:val="24"/>
          <w:szCs w:val="24"/>
          <w:lang w:val="es-ES"/>
        </w:rPr>
        <w:t>I. ANTECEDENTES DEL PROYECTO</w:t>
      </w:r>
    </w:p>
    <w:bookmarkEnd w:id="0"/>
    <w:p w:rsidR="00194B43" w:rsidRPr="009B7E0C" w:rsidRDefault="00194B43" w:rsidP="00194B43">
      <w:pPr>
        <w:rPr>
          <w:rStyle w:val="Ninguno"/>
          <w:rFonts w:eastAsia="Arial"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El 27 de marzo de 2019 fue radicado el presente proyecto de acto legislativo ante la Secretaría General de la Cámara de Representantes por el señor Contralor General de la República, Doctor Carlos Felipe Córdoba Larrarte y los señores congresistas  Santiago Valencia González, H.S .Miguel Ángel Pinto Hernández, Luis Fernando Velasco Chaves, Germán Varón Cotrino, Roy Leonardo Barreras Montealegre,  Fabio Raúl Amín Saleme, Gabriel Santos García, Edward David Rodríguez Rodríguez,  Gabriel Jaime Vallejo Chujfi,  Kelyn Johana González Duarte, Álvaro Henry Monedero Rivera,  Fabio Fernando Arroyave Rivas,  Harry Giovanny González García, Jorge Méndez Hernández,  José Daniel López Jiménez,  Juan Carlos Rivera Peña,  Erasmo Elías Zuleta Bechara,  Edgar Alfonso Gómez Román,  Salim Villamil Quessep, César Augusto Lorduy. Dicho proyecto fue publicado en la gaceta del Congreso 153 del 27 de marzo de 2019.</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b/>
          <w:bCs/>
          <w:spacing w:val="-2"/>
          <w:sz w:val="24"/>
          <w:szCs w:val="24"/>
          <w:lang w:val="es-ES"/>
        </w:rPr>
      </w:pPr>
      <w:bookmarkStart w:id="1" w:name="_Hlk8413082"/>
      <w:r w:rsidRPr="009B7E0C">
        <w:rPr>
          <w:rStyle w:val="Ninguno"/>
          <w:rFonts w:cs="Times New Roman"/>
          <w:spacing w:val="-2"/>
          <w:sz w:val="24"/>
          <w:szCs w:val="24"/>
          <w:lang w:val="es-ES"/>
        </w:rPr>
        <w:br/>
      </w:r>
      <w:bookmarkEnd w:id="1"/>
      <w:r w:rsidRPr="009B7E0C">
        <w:rPr>
          <w:rStyle w:val="Ninguno"/>
          <w:rFonts w:cs="Times New Roman"/>
          <w:b/>
          <w:bCs/>
          <w:spacing w:val="-2"/>
          <w:sz w:val="24"/>
          <w:szCs w:val="24"/>
          <w:lang w:val="es-ES"/>
        </w:rPr>
        <w:t xml:space="preserve">II. TRÁMITE EN PRIMERA VUELTA </w:t>
      </w:r>
    </w:p>
    <w:p w:rsidR="00194B43" w:rsidRPr="009B7E0C" w:rsidRDefault="00194B43" w:rsidP="00194B43">
      <w:pPr>
        <w:jc w:val="both"/>
        <w:rPr>
          <w:rStyle w:val="Ninguno"/>
          <w:rFonts w:eastAsia="Arial" w:cs="Times New Roman"/>
          <w:spacing w:val="-2"/>
          <w:sz w:val="24"/>
          <w:szCs w:val="24"/>
          <w:lang w:val="es-ES"/>
        </w:rPr>
      </w:pPr>
    </w:p>
    <w:p w:rsidR="00194B43" w:rsidRPr="009B7E0C" w:rsidRDefault="00194B43" w:rsidP="00194B43">
      <w:pPr>
        <w:jc w:val="both"/>
        <w:outlineLvl w:val="0"/>
        <w:rPr>
          <w:rStyle w:val="Ninguno"/>
          <w:rFonts w:eastAsia="Arial" w:cs="Times New Roman"/>
          <w:b/>
          <w:bCs/>
          <w:spacing w:val="-2"/>
          <w:sz w:val="24"/>
          <w:szCs w:val="24"/>
          <w:lang w:val="es-ES"/>
        </w:rPr>
      </w:pPr>
      <w:r w:rsidRPr="009B7E0C">
        <w:rPr>
          <w:rStyle w:val="Ninguno"/>
          <w:rFonts w:cs="Times New Roman"/>
          <w:b/>
          <w:bCs/>
          <w:spacing w:val="-2"/>
          <w:sz w:val="24"/>
          <w:szCs w:val="24"/>
          <w:lang w:val="es-ES"/>
        </w:rPr>
        <w:t>Primer Debate en Comisión Primera de Cámara de Representantes</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eastAsia="Arial" w:cs="Times New Roman"/>
          <w:spacing w:val="-2"/>
          <w:sz w:val="24"/>
          <w:szCs w:val="24"/>
          <w:lang w:val="es-ES"/>
        </w:rPr>
      </w:pPr>
      <w:r w:rsidRPr="009B7E0C">
        <w:rPr>
          <w:rStyle w:val="Ninguno"/>
          <w:rFonts w:cs="Times New Roman"/>
          <w:spacing w:val="-2"/>
          <w:sz w:val="24"/>
          <w:szCs w:val="24"/>
          <w:lang w:val="es-ES"/>
        </w:rPr>
        <w:t>En la Comisión Primera de la Cámara de Representantes fueron designados ponentes para primer debate los honorables Representantes  Gabriel Jaime Vallejo Chujfi (Coordinador),  Alejandro Alberto Vega Pérez (Coordinador),  Jaime Rodríguez Contreras,  Harry Giovanny González García,  José Daniel López Jiménez,  Juan Carlos Rivera Peña,  Jorge Enrique Burgos Lugo,  Juanita María Goebertus Estrada,  Ángela María Robledo Gómez,  Carlos German Navas Talero,  Luis Alberto Albán Urbano y  Juan Manuel Daza Iguarán.</w:t>
      </w:r>
    </w:p>
    <w:p w:rsidR="00194B43" w:rsidRPr="009B7E0C" w:rsidRDefault="00194B43" w:rsidP="00194B43">
      <w:pPr>
        <w:jc w:val="both"/>
        <w:rPr>
          <w:rStyle w:val="Ninguno"/>
          <w:rFonts w:eastAsia="Arial"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En primer debate se presentaron dos ponencias positivas. La Ponencia mayoritaria, publicada en la gaceta del congreso 195 del 2 de abril de 2019, fue firmada por los honorables Representantes Alejandro Alberto Vega, Gabriel Jaime Vallejo, Jorge Enrique Burgos, Harry Giovanny González, Jaime Rodríguez, José Daniel López y Juan Manuel Daza.</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La ponencia minoritaria, firmada por la honorable Representante Ángela María Robledo y Juanita María Goebertus, fue publicada en Gaceta del Congreso 207 del 8 de abril de 2019.</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 xml:space="preserve">En sesión del 9 de abril de 2019, la Comisión Primera de Cámara de Representantes aprobó la ponencia mayoritaria. Posteriormente, la mesa directiva designó como ponentes para el segundo debate del proyecto, a los Representantes Gabriel Jaime Vallejo, Alejandro Alberto Vega, Harry Giovanny González, Jaime Rodríguez Contreras, José Daniel López, Juan Carlos </w:t>
      </w:r>
      <w:r w:rsidRPr="009B7E0C">
        <w:rPr>
          <w:rStyle w:val="Ninguno"/>
          <w:rFonts w:cs="Times New Roman"/>
          <w:spacing w:val="-2"/>
          <w:sz w:val="24"/>
          <w:szCs w:val="24"/>
          <w:lang w:val="es-ES"/>
        </w:rPr>
        <w:lastRenderedPageBreak/>
        <w:t xml:space="preserve">Rivera, Jorge Enrique Burgos, Juan Manuel Daza, Adriana Magali Matiz, Juanita María Goebertus, Ángela María Robledo, Carlos Germán Navas y Luis Alberto Albán. </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outlineLvl w:val="0"/>
        <w:rPr>
          <w:rFonts w:eastAsia="Arial" w:cs="Times New Roman"/>
          <w:b/>
          <w:bCs/>
          <w:spacing w:val="-2"/>
          <w:sz w:val="24"/>
          <w:szCs w:val="24"/>
          <w:lang w:val="es-ES"/>
        </w:rPr>
      </w:pPr>
      <w:r w:rsidRPr="009B7E0C">
        <w:rPr>
          <w:rStyle w:val="Ninguno"/>
          <w:rFonts w:cs="Times New Roman"/>
          <w:b/>
          <w:bCs/>
          <w:spacing w:val="-2"/>
          <w:sz w:val="24"/>
          <w:szCs w:val="24"/>
          <w:lang w:val="es-ES"/>
        </w:rPr>
        <w:t>Audiencia Pública</w:t>
      </w:r>
    </w:p>
    <w:p w:rsidR="00194B43" w:rsidRPr="009B7E0C" w:rsidRDefault="00194B43" w:rsidP="00194B43">
      <w:pPr>
        <w:jc w:val="both"/>
        <w:rPr>
          <w:rStyle w:val="Ninguno"/>
          <w:rFonts w:eastAsia="Arial" w:cs="Times New Roman"/>
          <w:spacing w:val="-2"/>
          <w:sz w:val="24"/>
          <w:szCs w:val="24"/>
          <w:lang w:val="es-ES"/>
        </w:rPr>
      </w:pPr>
      <w:r w:rsidRPr="009B7E0C">
        <w:rPr>
          <w:rStyle w:val="Ninguno"/>
          <w:rFonts w:eastAsia="Arial" w:cs="Times New Roman"/>
          <w:spacing w:val="-2"/>
          <w:sz w:val="24"/>
          <w:szCs w:val="24"/>
          <w:lang w:val="es-ES"/>
        </w:rPr>
        <w:br/>
      </w:r>
      <w:r w:rsidRPr="009B7E0C">
        <w:rPr>
          <w:rStyle w:val="Ninguno"/>
          <w:rFonts w:cs="Times New Roman"/>
          <w:spacing w:val="-2"/>
          <w:sz w:val="24"/>
          <w:szCs w:val="24"/>
          <w:lang w:val="es-ES"/>
        </w:rPr>
        <w:t xml:space="preserve">En cumplimiento del artículo 230 de la Ley 5ª de 1992, y producto de proposición presentada por el Representante José Jaime Uscategui, se celebró el día lunes 22 de abril de 2019 una audiencia pública con la participación del Señor Contralor General de la República, el Auditor General, sindicatos de la CGR, un delegado del Consejo de Estado y expertos y académicos en la materia. En ese espacio, se expresaron distintos puntos de vista y se manifestaron diversos sectores ciudadanos e institucionales, como consta en el expediente del proyecto. </w:t>
      </w:r>
    </w:p>
    <w:p w:rsidR="00194B43" w:rsidRPr="009B7E0C" w:rsidRDefault="00194B43" w:rsidP="00194B43">
      <w:pPr>
        <w:jc w:val="both"/>
        <w:rPr>
          <w:rStyle w:val="Ninguno"/>
          <w:rFonts w:eastAsia="Arial" w:cs="Times New Roman"/>
          <w:spacing w:val="-2"/>
          <w:sz w:val="24"/>
          <w:szCs w:val="24"/>
          <w:lang w:val="es-ES"/>
        </w:rPr>
      </w:pPr>
    </w:p>
    <w:p w:rsidR="00194B43" w:rsidRPr="009B7E0C" w:rsidRDefault="00194B43" w:rsidP="00194B43">
      <w:pPr>
        <w:jc w:val="both"/>
        <w:outlineLvl w:val="0"/>
        <w:rPr>
          <w:rStyle w:val="Ninguno"/>
          <w:rFonts w:eastAsia="Arial" w:cs="Times New Roman"/>
          <w:b/>
          <w:bCs/>
          <w:spacing w:val="-2"/>
          <w:sz w:val="24"/>
          <w:szCs w:val="24"/>
          <w:lang w:val="es-ES"/>
        </w:rPr>
      </w:pPr>
      <w:r w:rsidRPr="009B7E0C">
        <w:rPr>
          <w:rStyle w:val="Ninguno"/>
          <w:rFonts w:cs="Times New Roman"/>
          <w:b/>
          <w:bCs/>
          <w:spacing w:val="-2"/>
          <w:sz w:val="24"/>
          <w:szCs w:val="24"/>
          <w:lang w:val="es-ES"/>
        </w:rPr>
        <w:t>Segundo Debate en Plenaria de Cámara de Representantes</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Fueron radicadas dos ponencias positivas al proyecto, la primera y mayoritaria fue puesta a consideración de la plenaria de Cámara de Representantes con el pliego de modificaciones y fue suscrita por los honorables representantes Gabriel Jaime Vallejo, Alejandro Alberto Vega, Harry Giovanny González, Jaime Rodríguez Contreras, José Daniel López, Juan Carlos Rivera, Jorge Enrique Burgos, Juan Manuel Daza y Adriana Magali Matiz. Dicha ponencia fue publicada en la gaceta 245 del 23 de abril de 2019.</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La ponencia minoritaria, igualmente positiva, suscrita por los honorables representantes Ángela María Robledo Gómez, Juanita María Goebertus Estrada y Luis Albán Urbano, fue publicada en la gaceta 260 de 2019.</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Style w:val="Ninguno"/>
          <w:rFonts w:cs="Times New Roman"/>
          <w:spacing w:val="-2"/>
          <w:sz w:val="24"/>
          <w:szCs w:val="24"/>
          <w:lang w:val="es-ES"/>
        </w:rPr>
      </w:pPr>
      <w:r w:rsidRPr="009B7E0C">
        <w:rPr>
          <w:rStyle w:val="Ninguno"/>
          <w:rFonts w:cs="Times New Roman"/>
          <w:spacing w:val="-2"/>
          <w:sz w:val="24"/>
          <w:szCs w:val="24"/>
          <w:lang w:val="es-ES"/>
        </w:rPr>
        <w:t xml:space="preserve">Surtida la discusión respectiva en la plenaria de la Honorable Cámara de Representantes, el día 30 de abril de 2019 fue considerada y aprobada con modificaciones la ponencia mayoritaria. </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outlineLvl w:val="0"/>
        <w:rPr>
          <w:rFonts w:cs="Times New Roman"/>
          <w:b/>
          <w:sz w:val="24"/>
          <w:szCs w:val="24"/>
          <w:lang w:val="es-ES"/>
        </w:rPr>
      </w:pPr>
      <w:r w:rsidRPr="009B7E0C">
        <w:rPr>
          <w:rFonts w:cs="Times New Roman"/>
          <w:b/>
          <w:sz w:val="24"/>
          <w:szCs w:val="24"/>
          <w:lang w:val="es-ES"/>
        </w:rPr>
        <w:t>Trámite en Comisión Primera de Senado</w:t>
      </w:r>
    </w:p>
    <w:p w:rsidR="00194B43" w:rsidRPr="009B7E0C" w:rsidRDefault="00194B43" w:rsidP="00194B43">
      <w:pPr>
        <w:jc w:val="both"/>
        <w:rPr>
          <w:rStyle w:val="Ninguno"/>
          <w:rFonts w:cs="Times New Roman"/>
          <w:spacing w:val="-2"/>
          <w:sz w:val="24"/>
          <w:szCs w:val="24"/>
          <w:lang w:val="es-ES"/>
        </w:rPr>
      </w:pPr>
    </w:p>
    <w:p w:rsidR="00194B43" w:rsidRPr="009B7E0C" w:rsidRDefault="00194B43" w:rsidP="00194B43">
      <w:pPr>
        <w:jc w:val="both"/>
        <w:rPr>
          <w:rFonts w:cs="Times New Roman"/>
          <w:iCs/>
          <w:sz w:val="24"/>
          <w:szCs w:val="24"/>
          <w:lang w:val="es-ES" w:eastAsia="es-ES"/>
        </w:rPr>
      </w:pPr>
      <w:r w:rsidRPr="009B7E0C">
        <w:rPr>
          <w:rStyle w:val="Ninguno"/>
          <w:rFonts w:cs="Times New Roman"/>
          <w:spacing w:val="-2"/>
          <w:sz w:val="24"/>
          <w:szCs w:val="24"/>
          <w:lang w:val="es-ES"/>
        </w:rPr>
        <w:t xml:space="preserve">La mesa directiva de la Comisión Primera de Senado, designó como ponente para primer debate del proyecto de Acto Legislativo nro. 355 de 2019 cámara – 39 de 2019 senado, al senador Roy Leonardo Barreras Montealegre, quien presentó la ponencia respectiva el 16 de mayo de 2019, publicada en la Gaceta del Congreso 360 del mismo día. </w:t>
      </w:r>
    </w:p>
    <w:p w:rsidR="00194B43" w:rsidRPr="009B7E0C" w:rsidRDefault="00194B43" w:rsidP="00194B43">
      <w:pPr>
        <w:jc w:val="center"/>
        <w:rPr>
          <w:rFonts w:cs="Times New Roman"/>
          <w:sz w:val="24"/>
          <w:szCs w:val="24"/>
          <w:lang w:val="es-ES"/>
        </w:rPr>
      </w:pPr>
    </w:p>
    <w:p w:rsidR="00194B43" w:rsidRPr="009B7E0C" w:rsidRDefault="00194B43" w:rsidP="00194B43">
      <w:pPr>
        <w:jc w:val="both"/>
        <w:rPr>
          <w:rFonts w:cs="Times New Roman"/>
          <w:sz w:val="24"/>
          <w:szCs w:val="24"/>
          <w:lang w:val="es-ES"/>
        </w:rPr>
      </w:pPr>
      <w:r w:rsidRPr="009B7E0C">
        <w:rPr>
          <w:rFonts w:cs="Times New Roman"/>
          <w:sz w:val="24"/>
          <w:szCs w:val="24"/>
          <w:lang w:val="es-ES"/>
        </w:rPr>
        <w:t>El 22 de mayo de 2019 fue considerado y aprobado el texto y el título del referido Proyecto de Acto Legislativo, luego de lo cual fueron designados como ponentes para segundo debate los honorables senadores Rodrigo Lara, Gustavo Petro, Julián Gallo, Alexander López, Iván Name, Santiago Valencia, Juan Carlos García, Carlos Guevara, Fabio Amín, Esperanza Andrade y Roy Barreras como Coordinador.</w:t>
      </w:r>
    </w:p>
    <w:p w:rsidR="00194B43" w:rsidRPr="009B7E0C" w:rsidRDefault="00194B43" w:rsidP="00194B43">
      <w:pPr>
        <w:jc w:val="both"/>
        <w:rPr>
          <w:rStyle w:val="Ninguno"/>
          <w:rFonts w:cs="Times New Roman"/>
          <w:sz w:val="24"/>
          <w:szCs w:val="24"/>
          <w:lang w:val="es-ES"/>
        </w:rPr>
      </w:pPr>
    </w:p>
    <w:p w:rsidR="00194B43" w:rsidRPr="009B7E0C" w:rsidRDefault="00194B43" w:rsidP="00194B43">
      <w:pPr>
        <w:widowControl/>
        <w:spacing w:after="200"/>
        <w:jc w:val="both"/>
        <w:rPr>
          <w:rStyle w:val="Ninguno"/>
          <w:rFonts w:cs="Times New Roman"/>
          <w:bCs/>
          <w:sz w:val="24"/>
          <w:szCs w:val="24"/>
          <w:lang w:val="es-ES"/>
        </w:rPr>
      </w:pPr>
      <w:r w:rsidRPr="009B7E0C">
        <w:rPr>
          <w:rStyle w:val="Ninguno"/>
          <w:rFonts w:cs="Times New Roman"/>
          <w:bCs/>
          <w:sz w:val="24"/>
          <w:szCs w:val="24"/>
          <w:lang w:val="es-ES"/>
        </w:rPr>
        <w:t xml:space="preserve">Una vez presentada la ponencia respectiva, la misma fue publicada en la Gaceta del Congreso 439 del 31 de mayo de 2019. </w:t>
      </w:r>
    </w:p>
    <w:p w:rsidR="00194B43" w:rsidRPr="009B7E0C" w:rsidRDefault="00194B43" w:rsidP="00194B43">
      <w:pPr>
        <w:widowControl/>
        <w:spacing w:after="200"/>
        <w:jc w:val="both"/>
        <w:rPr>
          <w:rStyle w:val="Ninguno"/>
          <w:rFonts w:cs="Times New Roman"/>
          <w:bCs/>
          <w:sz w:val="24"/>
          <w:szCs w:val="24"/>
          <w:lang w:val="es-ES"/>
        </w:rPr>
      </w:pPr>
      <w:r w:rsidRPr="009B7E0C">
        <w:rPr>
          <w:rStyle w:val="Ninguno"/>
          <w:rFonts w:cs="Times New Roman"/>
          <w:b/>
          <w:bCs/>
          <w:sz w:val="24"/>
          <w:szCs w:val="24"/>
          <w:lang w:val="es-ES"/>
        </w:rPr>
        <w:lastRenderedPageBreak/>
        <w:t>Trámite en Plenaria de senado</w:t>
      </w:r>
    </w:p>
    <w:p w:rsidR="00194B43" w:rsidRPr="009B7E0C" w:rsidRDefault="005A2771" w:rsidP="00194B43">
      <w:pPr>
        <w:widowControl/>
        <w:spacing w:after="200"/>
        <w:jc w:val="both"/>
        <w:rPr>
          <w:rStyle w:val="Ninguno"/>
          <w:rFonts w:cs="Times New Roman"/>
          <w:b/>
          <w:bCs/>
          <w:sz w:val="24"/>
          <w:szCs w:val="24"/>
          <w:lang w:val="es-ES"/>
        </w:rPr>
      </w:pPr>
      <w:r w:rsidRPr="009B7E0C">
        <w:rPr>
          <w:rStyle w:val="Ninguno"/>
          <w:rFonts w:cs="Times New Roman"/>
          <w:bCs/>
          <w:sz w:val="24"/>
          <w:szCs w:val="24"/>
          <w:lang w:val="es-ES"/>
        </w:rPr>
        <w:t>El 5 de junio de 2019 el P</w:t>
      </w:r>
      <w:r w:rsidR="00194B43" w:rsidRPr="009B7E0C">
        <w:rPr>
          <w:rStyle w:val="Ninguno"/>
          <w:rFonts w:cs="Times New Roman"/>
          <w:bCs/>
          <w:sz w:val="24"/>
          <w:szCs w:val="24"/>
          <w:lang w:val="es-ES"/>
        </w:rPr>
        <w:t>ro</w:t>
      </w:r>
      <w:r w:rsidRPr="009B7E0C">
        <w:rPr>
          <w:rStyle w:val="Ninguno"/>
          <w:rFonts w:cs="Times New Roman"/>
          <w:bCs/>
          <w:sz w:val="24"/>
          <w:szCs w:val="24"/>
          <w:lang w:val="es-ES"/>
        </w:rPr>
        <w:t>yecto de Acto L</w:t>
      </w:r>
      <w:r w:rsidR="00194B43" w:rsidRPr="009B7E0C">
        <w:rPr>
          <w:rStyle w:val="Ninguno"/>
          <w:rFonts w:cs="Times New Roman"/>
          <w:bCs/>
          <w:sz w:val="24"/>
          <w:szCs w:val="24"/>
          <w:lang w:val="es-ES"/>
        </w:rPr>
        <w:t>egislativo</w:t>
      </w:r>
      <w:r w:rsidRPr="009B7E0C">
        <w:rPr>
          <w:rStyle w:val="Ninguno"/>
          <w:rFonts w:cs="Times New Roman"/>
          <w:bCs/>
          <w:sz w:val="24"/>
          <w:szCs w:val="24"/>
          <w:lang w:val="es-ES"/>
        </w:rPr>
        <w:t xml:space="preserve"> N° 39 de 2019- S</w:t>
      </w:r>
      <w:r w:rsidR="00194B43" w:rsidRPr="009B7E0C">
        <w:rPr>
          <w:rStyle w:val="Ninguno"/>
          <w:rFonts w:cs="Times New Roman"/>
          <w:bCs/>
          <w:sz w:val="24"/>
          <w:szCs w:val="24"/>
          <w:lang w:val="es-ES"/>
        </w:rPr>
        <w:t>enado,</w:t>
      </w:r>
      <w:r w:rsidRPr="009B7E0C">
        <w:rPr>
          <w:rStyle w:val="Ninguno"/>
          <w:rFonts w:cs="Times New Roman"/>
          <w:bCs/>
          <w:sz w:val="24"/>
          <w:szCs w:val="24"/>
          <w:lang w:val="es-ES"/>
        </w:rPr>
        <w:t xml:space="preserve"> N°</w:t>
      </w:r>
      <w:r w:rsidR="00194B43" w:rsidRPr="009B7E0C">
        <w:rPr>
          <w:rStyle w:val="Ninguno"/>
          <w:rFonts w:cs="Times New Roman"/>
          <w:bCs/>
          <w:sz w:val="24"/>
          <w:szCs w:val="24"/>
          <w:lang w:val="es-ES"/>
        </w:rPr>
        <w:t xml:space="preserve"> 355 de 2019</w:t>
      </w:r>
      <w:r w:rsidRPr="009B7E0C">
        <w:rPr>
          <w:rStyle w:val="Ninguno"/>
          <w:rFonts w:cs="Times New Roman"/>
          <w:bCs/>
          <w:sz w:val="24"/>
          <w:szCs w:val="24"/>
          <w:lang w:val="es-ES"/>
        </w:rPr>
        <w:t>-</w:t>
      </w:r>
      <w:r w:rsidR="00194B43" w:rsidRPr="009B7E0C">
        <w:rPr>
          <w:rStyle w:val="Ninguno"/>
          <w:rFonts w:cs="Times New Roman"/>
          <w:bCs/>
          <w:sz w:val="24"/>
          <w:szCs w:val="24"/>
          <w:lang w:val="es-ES"/>
        </w:rPr>
        <w:t xml:space="preserve"> </w:t>
      </w:r>
      <w:r w:rsidRPr="009B7E0C">
        <w:rPr>
          <w:rStyle w:val="Ninguno"/>
          <w:rFonts w:cs="Times New Roman"/>
          <w:bCs/>
          <w:sz w:val="24"/>
          <w:szCs w:val="24"/>
          <w:lang w:val="es-ES"/>
        </w:rPr>
        <w:t>C</w:t>
      </w:r>
      <w:r w:rsidR="00194B43" w:rsidRPr="009B7E0C">
        <w:rPr>
          <w:rStyle w:val="Ninguno"/>
          <w:rFonts w:cs="Times New Roman"/>
          <w:bCs/>
          <w:sz w:val="24"/>
          <w:szCs w:val="24"/>
          <w:lang w:val="es-ES"/>
        </w:rPr>
        <w:t xml:space="preserve">ámara, fue aprobado en sesión plenaria del </w:t>
      </w:r>
      <w:r w:rsidRPr="009B7E0C">
        <w:rPr>
          <w:rStyle w:val="Ninguno"/>
          <w:rFonts w:cs="Times New Roman"/>
          <w:bCs/>
          <w:sz w:val="24"/>
          <w:szCs w:val="24"/>
          <w:lang w:val="es-ES"/>
        </w:rPr>
        <w:t>S</w:t>
      </w:r>
      <w:r w:rsidR="00194B43" w:rsidRPr="009B7E0C">
        <w:rPr>
          <w:rStyle w:val="Ninguno"/>
          <w:rFonts w:cs="Times New Roman"/>
          <w:bCs/>
          <w:sz w:val="24"/>
          <w:szCs w:val="24"/>
          <w:lang w:val="es-ES"/>
        </w:rPr>
        <w:t xml:space="preserve">enado de la </w:t>
      </w:r>
      <w:r w:rsidRPr="009B7E0C">
        <w:rPr>
          <w:rStyle w:val="Ninguno"/>
          <w:rFonts w:cs="Times New Roman"/>
          <w:bCs/>
          <w:sz w:val="24"/>
          <w:szCs w:val="24"/>
          <w:lang w:val="es-ES"/>
        </w:rPr>
        <w:t>República</w:t>
      </w:r>
      <w:r w:rsidR="00194B43" w:rsidRPr="009B7E0C">
        <w:rPr>
          <w:rStyle w:val="Ninguno"/>
          <w:rFonts w:cs="Times New Roman"/>
          <w:bCs/>
          <w:sz w:val="24"/>
          <w:szCs w:val="24"/>
          <w:lang w:val="es-ES"/>
        </w:rPr>
        <w:t xml:space="preserve"> por la totalidad de los asistentes.</w:t>
      </w:r>
      <w:r w:rsidR="00194B43" w:rsidRPr="009B7E0C">
        <w:rPr>
          <w:rStyle w:val="Ninguno"/>
          <w:rFonts w:cs="Times New Roman"/>
          <w:b/>
          <w:bCs/>
          <w:sz w:val="24"/>
          <w:szCs w:val="24"/>
          <w:lang w:val="es-ES"/>
        </w:rPr>
        <w:t xml:space="preserve">  </w:t>
      </w:r>
    </w:p>
    <w:p w:rsidR="00194B43" w:rsidRPr="009B7E0C" w:rsidRDefault="00194B43" w:rsidP="00194B43">
      <w:pPr>
        <w:widowControl/>
        <w:spacing w:after="200"/>
        <w:jc w:val="both"/>
        <w:rPr>
          <w:rStyle w:val="Ninguno"/>
          <w:rFonts w:cs="Times New Roman"/>
          <w:b/>
          <w:bCs/>
          <w:sz w:val="24"/>
          <w:szCs w:val="24"/>
          <w:lang w:val="es-ES"/>
        </w:rPr>
      </w:pPr>
      <w:r w:rsidRPr="009B7E0C">
        <w:rPr>
          <w:rStyle w:val="Ninguno"/>
          <w:rFonts w:cs="Times New Roman"/>
          <w:b/>
          <w:bCs/>
          <w:sz w:val="24"/>
          <w:szCs w:val="24"/>
          <w:lang w:val="es-ES"/>
        </w:rPr>
        <w:t>Conciliación de textos</w:t>
      </w:r>
    </w:p>
    <w:p w:rsidR="00194B43" w:rsidRPr="009B7E0C" w:rsidRDefault="00194B43" w:rsidP="00194B43">
      <w:pPr>
        <w:widowControl/>
        <w:spacing w:after="200"/>
        <w:jc w:val="both"/>
        <w:rPr>
          <w:rStyle w:val="Ninguno"/>
          <w:rFonts w:cs="Times New Roman"/>
          <w:spacing w:val="-2"/>
          <w:sz w:val="24"/>
          <w:szCs w:val="24"/>
          <w:lang w:val="es-ES"/>
        </w:rPr>
      </w:pPr>
      <w:r w:rsidRPr="009B7E0C">
        <w:rPr>
          <w:rStyle w:val="Ninguno"/>
          <w:rFonts w:cs="Times New Roman"/>
          <w:bCs/>
          <w:sz w:val="24"/>
          <w:szCs w:val="24"/>
          <w:lang w:val="es-ES"/>
        </w:rPr>
        <w:t xml:space="preserve">Para efectos de superar las discrepancias presentadas entre los textos aprobados en el Senado de la República y en la Cámara de Representantes, fueron designados para conformar una comisión accidental de conciliación los Senadores Roy Leonardo Barreras y Fabio Raúl Amín, así como los Representantes </w:t>
      </w:r>
      <w:r w:rsidRPr="009B7E0C">
        <w:rPr>
          <w:rStyle w:val="Ninguno"/>
          <w:rFonts w:cs="Times New Roman"/>
          <w:spacing w:val="-2"/>
          <w:sz w:val="24"/>
          <w:szCs w:val="24"/>
          <w:lang w:val="es-ES"/>
        </w:rPr>
        <w:t>Harry Giovanny González y Juan Carlos Lozada.</w:t>
      </w:r>
    </w:p>
    <w:p w:rsidR="00194B43" w:rsidRPr="009B7E0C" w:rsidRDefault="00194B43" w:rsidP="00194B43">
      <w:pPr>
        <w:widowControl/>
        <w:spacing w:after="200"/>
        <w:jc w:val="both"/>
        <w:rPr>
          <w:rStyle w:val="Ninguno"/>
          <w:rFonts w:cs="Times New Roman"/>
          <w:spacing w:val="-2"/>
          <w:sz w:val="24"/>
          <w:szCs w:val="24"/>
          <w:lang w:val="es-ES"/>
        </w:rPr>
      </w:pPr>
      <w:r w:rsidRPr="009B7E0C">
        <w:rPr>
          <w:rStyle w:val="Ninguno"/>
          <w:rFonts w:cs="Times New Roman"/>
          <w:spacing w:val="-2"/>
          <w:sz w:val="24"/>
          <w:szCs w:val="24"/>
          <w:lang w:val="es-ES"/>
        </w:rPr>
        <w:t xml:space="preserve">El referido informe fue presentado y publicado en las gacetas 488 y 507 del 10 de junio de 2019. Así mismo, los textos conciliados fueron aprobados por las respectivas plenarias de Senado y Cámara de Representantes los días 12 y 13 de junio respectivamente. </w:t>
      </w:r>
    </w:p>
    <w:p w:rsidR="00194B43" w:rsidRPr="009B7E0C" w:rsidRDefault="00194B43" w:rsidP="00194B43">
      <w:pPr>
        <w:widowControl/>
        <w:spacing w:after="200"/>
        <w:jc w:val="both"/>
        <w:rPr>
          <w:rStyle w:val="Ninguno"/>
          <w:rFonts w:cs="Times New Roman"/>
          <w:b/>
          <w:spacing w:val="-2"/>
          <w:sz w:val="24"/>
          <w:szCs w:val="24"/>
          <w:lang w:val="es-ES"/>
        </w:rPr>
      </w:pPr>
      <w:r w:rsidRPr="009B7E0C">
        <w:rPr>
          <w:rStyle w:val="Ninguno"/>
          <w:rFonts w:cs="Times New Roman"/>
          <w:b/>
          <w:spacing w:val="-2"/>
          <w:sz w:val="24"/>
          <w:szCs w:val="24"/>
          <w:lang w:val="es-ES"/>
        </w:rPr>
        <w:t>Publicación en diario oficial</w:t>
      </w:r>
    </w:p>
    <w:p w:rsidR="00194B43" w:rsidRPr="009B7E0C" w:rsidRDefault="00194B43" w:rsidP="00194B43">
      <w:pPr>
        <w:widowControl/>
        <w:spacing w:after="200"/>
        <w:jc w:val="both"/>
        <w:rPr>
          <w:rStyle w:val="Ninguno"/>
          <w:rFonts w:cs="Times New Roman"/>
          <w:bCs/>
          <w:spacing w:val="-2"/>
          <w:sz w:val="24"/>
          <w:szCs w:val="24"/>
          <w:lang w:val="es-ES"/>
        </w:rPr>
      </w:pPr>
      <w:r w:rsidRPr="009B7E0C">
        <w:rPr>
          <w:rStyle w:val="Ninguno"/>
          <w:rFonts w:cs="Times New Roman"/>
          <w:bCs/>
          <w:spacing w:val="-2"/>
          <w:sz w:val="24"/>
          <w:szCs w:val="24"/>
          <w:lang w:val="es-ES"/>
        </w:rPr>
        <w:t>En cumplimiento de lo dispuesto por el artículo 375 de la Constitución Política, mediante Decreto Número 1275 del 18 de julio de 2019, el Señor Presidente de la República ordenó la publicación del Proyecto de Acto Legislativo 39 de 2019 Senado, 355 de 2019 Cámara “POR MEDIO DEL CUAL SE REFORMA EL RÉGIMEN DE CONTROL FISCAL” (Primera Vuelta). Publicado en el diario oficial nro. 51018 del 18 de julio de 2019.</w:t>
      </w:r>
    </w:p>
    <w:p w:rsidR="00194B43" w:rsidRPr="009B7E0C" w:rsidRDefault="00194B43" w:rsidP="00194B43">
      <w:pPr>
        <w:widowControl/>
        <w:spacing w:after="200"/>
        <w:jc w:val="both"/>
        <w:rPr>
          <w:rStyle w:val="Ninguno"/>
          <w:rFonts w:cs="Times New Roman"/>
          <w:bCs/>
          <w:spacing w:val="-2"/>
          <w:sz w:val="24"/>
          <w:szCs w:val="24"/>
          <w:lang w:val="es-ES"/>
        </w:rPr>
      </w:pPr>
    </w:p>
    <w:p w:rsidR="00194B43" w:rsidRPr="009B7E0C" w:rsidRDefault="00194B43" w:rsidP="00194B43">
      <w:pPr>
        <w:pStyle w:val="Prrafodelista"/>
        <w:numPr>
          <w:ilvl w:val="0"/>
          <w:numId w:val="3"/>
        </w:numPr>
        <w:jc w:val="both"/>
        <w:rPr>
          <w:rStyle w:val="Ninguno"/>
          <w:rFonts w:eastAsia="Arial"/>
          <w:b/>
          <w:spacing w:val="-2"/>
          <w:sz w:val="24"/>
          <w:szCs w:val="24"/>
          <w:lang w:val="es-ES"/>
        </w:rPr>
      </w:pPr>
      <w:r w:rsidRPr="009B7E0C">
        <w:rPr>
          <w:rStyle w:val="Ninguno"/>
          <w:rFonts w:eastAsia="Arial"/>
          <w:b/>
          <w:spacing w:val="-2"/>
          <w:sz w:val="24"/>
          <w:szCs w:val="24"/>
          <w:lang w:val="es-ES"/>
        </w:rPr>
        <w:t>TRÁMITE SEGUNDA VUELTA</w:t>
      </w:r>
    </w:p>
    <w:p w:rsidR="00194B43" w:rsidRPr="009B7E0C" w:rsidRDefault="00194B43" w:rsidP="00194B43">
      <w:pPr>
        <w:jc w:val="both"/>
        <w:rPr>
          <w:rStyle w:val="Ninguno"/>
          <w:rFonts w:eastAsia="Arial" w:cs="Times New Roman"/>
          <w:b/>
          <w:spacing w:val="-2"/>
          <w:sz w:val="24"/>
          <w:szCs w:val="24"/>
          <w:lang w:val="es-ES"/>
        </w:rPr>
      </w:pPr>
    </w:p>
    <w:p w:rsidR="00194B43" w:rsidRPr="009B7E0C" w:rsidRDefault="00194B43" w:rsidP="00194B43">
      <w:pPr>
        <w:jc w:val="both"/>
        <w:rPr>
          <w:rStyle w:val="Ninguno"/>
          <w:rFonts w:eastAsia="Arial" w:cs="Times New Roman"/>
          <w:spacing w:val="-2"/>
          <w:sz w:val="24"/>
          <w:szCs w:val="24"/>
          <w:lang w:val="es-ES"/>
        </w:rPr>
      </w:pPr>
    </w:p>
    <w:p w:rsidR="00194B43" w:rsidRPr="009B7E0C" w:rsidRDefault="00194B43" w:rsidP="00194B43">
      <w:pPr>
        <w:jc w:val="both"/>
        <w:rPr>
          <w:rStyle w:val="Ninguno"/>
          <w:rFonts w:eastAsia="Arial" w:cs="Times New Roman"/>
          <w:b/>
          <w:spacing w:val="2"/>
          <w:sz w:val="24"/>
          <w:szCs w:val="24"/>
          <w:lang w:val="es-ES"/>
        </w:rPr>
      </w:pPr>
      <w:r w:rsidRPr="009B7E0C">
        <w:rPr>
          <w:rStyle w:val="Ninguno"/>
          <w:rFonts w:cs="Times New Roman"/>
          <w:b/>
          <w:spacing w:val="2"/>
          <w:sz w:val="24"/>
          <w:szCs w:val="24"/>
          <w:lang w:val="es-ES"/>
        </w:rPr>
        <w:t>PRIMER DEBATE SEGUNDA VUELTA EN LA COMISION PRIMERA DE LA CAMARA DE REPRESENTANTES.</w:t>
      </w:r>
    </w:p>
    <w:p w:rsidR="005A2771" w:rsidRPr="009B7E0C" w:rsidRDefault="005A2771" w:rsidP="005A2771">
      <w:pPr>
        <w:jc w:val="both"/>
        <w:rPr>
          <w:rStyle w:val="Ninguno"/>
          <w:rFonts w:eastAsia="Arial" w:cs="Times New Roman"/>
          <w:sz w:val="24"/>
          <w:szCs w:val="24"/>
          <w:lang w:val="es-ES"/>
        </w:rPr>
      </w:pPr>
    </w:p>
    <w:p w:rsidR="005A2771" w:rsidRPr="009B7E0C" w:rsidRDefault="005A2771" w:rsidP="00ED014C">
      <w:pPr>
        <w:jc w:val="both"/>
        <w:rPr>
          <w:rFonts w:cs="Times New Roman"/>
          <w:sz w:val="24"/>
          <w:szCs w:val="24"/>
        </w:rPr>
      </w:pPr>
      <w:r w:rsidRPr="009B7E0C">
        <w:rPr>
          <w:rStyle w:val="Ninguno"/>
          <w:rFonts w:eastAsia="Arial" w:cs="Times New Roman"/>
          <w:sz w:val="24"/>
          <w:szCs w:val="24"/>
          <w:lang w:val="es-ES"/>
        </w:rPr>
        <w:t>Para e</w:t>
      </w:r>
      <w:r w:rsidR="00194B43" w:rsidRPr="009B7E0C">
        <w:rPr>
          <w:rFonts w:cs="Times New Roman"/>
          <w:sz w:val="24"/>
          <w:szCs w:val="24"/>
        </w:rPr>
        <w:t xml:space="preserve">l primer debate </w:t>
      </w:r>
      <w:r w:rsidRPr="009B7E0C">
        <w:rPr>
          <w:rFonts w:cs="Times New Roman"/>
          <w:sz w:val="24"/>
          <w:szCs w:val="24"/>
        </w:rPr>
        <w:t xml:space="preserve">en segunda vuelta </w:t>
      </w:r>
      <w:r w:rsidR="00194B43" w:rsidRPr="009B7E0C">
        <w:rPr>
          <w:rFonts w:cs="Times New Roman"/>
          <w:sz w:val="24"/>
          <w:szCs w:val="24"/>
        </w:rPr>
        <w:t>en la Comisión Primera</w:t>
      </w:r>
      <w:r w:rsidRPr="009B7E0C">
        <w:rPr>
          <w:rFonts w:cs="Times New Roman"/>
          <w:sz w:val="24"/>
          <w:szCs w:val="24"/>
        </w:rPr>
        <w:t xml:space="preserve"> fueron nombrados como ponentes los Representantes </w:t>
      </w:r>
      <w:r w:rsidR="00ED014C" w:rsidRPr="009B7E0C">
        <w:rPr>
          <w:rFonts w:cs="Times New Roman"/>
          <w:sz w:val="24"/>
          <w:szCs w:val="24"/>
        </w:rPr>
        <w:t xml:space="preserve"> Alejandro Alberto Vega Pérez,  Gabriel Santos García,  Harry Giovanny González García Adriana Magali Matiz Vargas,  José Daniel López Jiménez,  Jorge Eliecer Tamayo Marulanda,  Juanita María Goebertus Estrada,  Carlos German Navas Talero, y  Luis Alberto Albán Urbano.</w:t>
      </w:r>
    </w:p>
    <w:p w:rsidR="00AD78BD" w:rsidRPr="009B7E0C" w:rsidRDefault="00AD78BD" w:rsidP="00ED014C">
      <w:pPr>
        <w:jc w:val="both"/>
        <w:rPr>
          <w:rFonts w:cs="Times New Roman"/>
          <w:sz w:val="24"/>
          <w:szCs w:val="24"/>
        </w:rPr>
      </w:pPr>
    </w:p>
    <w:p w:rsidR="00AD78BD" w:rsidRPr="009B7E0C" w:rsidRDefault="00AD78BD" w:rsidP="00ED014C">
      <w:pPr>
        <w:jc w:val="both"/>
        <w:rPr>
          <w:rFonts w:cs="Times New Roman"/>
          <w:sz w:val="24"/>
          <w:szCs w:val="24"/>
        </w:rPr>
      </w:pPr>
      <w:r w:rsidRPr="009B7E0C">
        <w:rPr>
          <w:rFonts w:cs="Times New Roman"/>
          <w:sz w:val="24"/>
          <w:szCs w:val="24"/>
        </w:rPr>
        <w:t>Presenté ponencia positiva con observaciones al parágrafo transitorio del artículo 2, que fueron discutidas durante el debate y no fueron aprobadas las proposiciones al respecto.</w:t>
      </w:r>
    </w:p>
    <w:p w:rsidR="00194B43" w:rsidRPr="009B7E0C" w:rsidRDefault="00194B43" w:rsidP="00194B43">
      <w:pPr>
        <w:jc w:val="both"/>
        <w:rPr>
          <w:rFonts w:cs="Times New Roman"/>
          <w:sz w:val="24"/>
          <w:szCs w:val="24"/>
        </w:rPr>
      </w:pPr>
    </w:p>
    <w:p w:rsidR="00194B43" w:rsidRPr="009B7E0C" w:rsidRDefault="00194B43" w:rsidP="00194B43">
      <w:pPr>
        <w:jc w:val="both"/>
        <w:rPr>
          <w:rFonts w:cs="Times New Roman"/>
          <w:b/>
          <w:sz w:val="24"/>
          <w:szCs w:val="24"/>
        </w:rPr>
      </w:pPr>
      <w:r w:rsidRPr="009B7E0C">
        <w:rPr>
          <w:rFonts w:cs="Times New Roman"/>
          <w:b/>
          <w:sz w:val="24"/>
          <w:szCs w:val="24"/>
        </w:rPr>
        <w:t xml:space="preserve">PROPOSICIONES Y CONSTANCIAS TRAMITADAS EN EL DEBATE </w:t>
      </w:r>
    </w:p>
    <w:p w:rsidR="00194B43" w:rsidRPr="009B7E0C" w:rsidRDefault="00194B43" w:rsidP="00194B43">
      <w:pPr>
        <w:ind w:firstLine="360"/>
        <w:jc w:val="both"/>
        <w:rPr>
          <w:rFonts w:cs="Times New Roman"/>
          <w:b/>
          <w:sz w:val="24"/>
          <w:szCs w:val="24"/>
        </w:rPr>
      </w:pPr>
    </w:p>
    <w:p w:rsidR="00194B43" w:rsidRPr="009B7E0C" w:rsidRDefault="00194B43" w:rsidP="00194B43">
      <w:pPr>
        <w:ind w:firstLine="360"/>
        <w:jc w:val="both"/>
        <w:rPr>
          <w:rFonts w:cs="Times New Roman"/>
          <w:b/>
          <w:sz w:val="24"/>
          <w:szCs w:val="24"/>
        </w:rPr>
      </w:pPr>
      <w:r w:rsidRPr="009B7E0C">
        <w:rPr>
          <w:rFonts w:cs="Times New Roman"/>
          <w:b/>
          <w:sz w:val="24"/>
          <w:szCs w:val="24"/>
        </w:rPr>
        <w:t>Proposiciones</w:t>
      </w:r>
    </w:p>
    <w:p w:rsidR="00194B43" w:rsidRPr="009B7E0C" w:rsidRDefault="00194B43" w:rsidP="00194B43">
      <w:pPr>
        <w:jc w:val="both"/>
        <w:rPr>
          <w:rStyle w:val="Ninguno"/>
          <w:rFonts w:eastAsia="Arial" w:cs="Times New Roman"/>
          <w:sz w:val="24"/>
          <w:szCs w:val="24"/>
          <w:lang w:val="es-ES"/>
        </w:rPr>
      </w:pPr>
    </w:p>
    <w:tbl>
      <w:tblPr>
        <w:tblStyle w:val="Tablaconcuadrcula"/>
        <w:tblW w:w="0" w:type="auto"/>
        <w:tblLayout w:type="fixed"/>
        <w:tblLook w:val="04A0" w:firstRow="1" w:lastRow="0" w:firstColumn="1" w:lastColumn="0" w:noHBand="0" w:noVBand="1"/>
      </w:tblPr>
      <w:tblGrid>
        <w:gridCol w:w="1129"/>
        <w:gridCol w:w="993"/>
        <w:gridCol w:w="1417"/>
        <w:gridCol w:w="3119"/>
        <w:gridCol w:w="1984"/>
        <w:gridCol w:w="1418"/>
      </w:tblGrid>
      <w:tr w:rsidR="00194B43" w:rsidRPr="009B7E0C" w:rsidTr="00194B43">
        <w:tc>
          <w:tcPr>
            <w:tcW w:w="1129" w:type="dxa"/>
          </w:tcPr>
          <w:p w:rsidR="00194B43" w:rsidRPr="009B7E0C" w:rsidRDefault="00194B43" w:rsidP="00194B43">
            <w:pPr>
              <w:jc w:val="center"/>
              <w:rPr>
                <w:rFonts w:cs="Times New Roman"/>
                <w:b/>
                <w:sz w:val="24"/>
                <w:szCs w:val="24"/>
              </w:rPr>
            </w:pPr>
            <w:r w:rsidRPr="009B7E0C">
              <w:rPr>
                <w:rFonts w:cs="Times New Roman"/>
                <w:b/>
                <w:sz w:val="24"/>
                <w:szCs w:val="24"/>
              </w:rPr>
              <w:lastRenderedPageBreak/>
              <w:t>Autor(es)</w:t>
            </w:r>
          </w:p>
        </w:tc>
        <w:tc>
          <w:tcPr>
            <w:tcW w:w="993" w:type="dxa"/>
          </w:tcPr>
          <w:p w:rsidR="00194B43" w:rsidRPr="009B7E0C" w:rsidRDefault="00194B43" w:rsidP="00194B43">
            <w:pPr>
              <w:jc w:val="center"/>
              <w:rPr>
                <w:rFonts w:cs="Times New Roman"/>
                <w:b/>
                <w:sz w:val="24"/>
                <w:szCs w:val="24"/>
              </w:rPr>
            </w:pPr>
            <w:r w:rsidRPr="009B7E0C">
              <w:rPr>
                <w:rFonts w:cs="Times New Roman"/>
                <w:b/>
                <w:sz w:val="24"/>
                <w:szCs w:val="24"/>
              </w:rPr>
              <w:t>Articulo</w:t>
            </w:r>
          </w:p>
        </w:tc>
        <w:tc>
          <w:tcPr>
            <w:tcW w:w="1417" w:type="dxa"/>
          </w:tcPr>
          <w:p w:rsidR="00194B43" w:rsidRPr="009B7E0C" w:rsidRDefault="00194B43" w:rsidP="00194B43">
            <w:pPr>
              <w:jc w:val="center"/>
              <w:rPr>
                <w:rFonts w:cs="Times New Roman"/>
                <w:b/>
                <w:sz w:val="24"/>
                <w:szCs w:val="24"/>
              </w:rPr>
            </w:pPr>
            <w:r w:rsidRPr="009B7E0C">
              <w:rPr>
                <w:rFonts w:cs="Times New Roman"/>
                <w:b/>
                <w:sz w:val="24"/>
                <w:szCs w:val="24"/>
              </w:rPr>
              <w:t>Clasificación</w:t>
            </w:r>
          </w:p>
        </w:tc>
        <w:tc>
          <w:tcPr>
            <w:tcW w:w="3119" w:type="dxa"/>
          </w:tcPr>
          <w:p w:rsidR="00194B43" w:rsidRPr="009B7E0C" w:rsidRDefault="00194B43" w:rsidP="00194B43">
            <w:pPr>
              <w:jc w:val="center"/>
              <w:rPr>
                <w:rFonts w:cs="Times New Roman"/>
                <w:b/>
                <w:sz w:val="24"/>
                <w:szCs w:val="24"/>
              </w:rPr>
            </w:pPr>
            <w:r w:rsidRPr="009B7E0C">
              <w:rPr>
                <w:rFonts w:cs="Times New Roman"/>
                <w:b/>
                <w:sz w:val="24"/>
                <w:szCs w:val="24"/>
              </w:rPr>
              <w:t>Proposición</w:t>
            </w:r>
          </w:p>
        </w:tc>
        <w:tc>
          <w:tcPr>
            <w:tcW w:w="1984" w:type="dxa"/>
          </w:tcPr>
          <w:p w:rsidR="00194B43" w:rsidRPr="009B7E0C" w:rsidRDefault="00194B43" w:rsidP="00194B43">
            <w:pPr>
              <w:jc w:val="center"/>
              <w:rPr>
                <w:rFonts w:cs="Times New Roman"/>
                <w:b/>
                <w:sz w:val="24"/>
                <w:szCs w:val="24"/>
              </w:rPr>
            </w:pPr>
            <w:r w:rsidRPr="009B7E0C">
              <w:rPr>
                <w:rFonts w:cs="Times New Roman"/>
                <w:b/>
                <w:sz w:val="24"/>
                <w:szCs w:val="24"/>
              </w:rPr>
              <w:t>Contenido</w:t>
            </w:r>
          </w:p>
        </w:tc>
        <w:tc>
          <w:tcPr>
            <w:tcW w:w="1418" w:type="dxa"/>
          </w:tcPr>
          <w:p w:rsidR="00194B43" w:rsidRPr="009B7E0C" w:rsidRDefault="00194B43" w:rsidP="00194B43">
            <w:pPr>
              <w:jc w:val="center"/>
              <w:rPr>
                <w:rFonts w:cs="Times New Roman"/>
                <w:b/>
                <w:sz w:val="24"/>
                <w:szCs w:val="24"/>
              </w:rPr>
            </w:pPr>
            <w:r w:rsidRPr="009B7E0C">
              <w:rPr>
                <w:rFonts w:cs="Times New Roman"/>
                <w:b/>
                <w:sz w:val="24"/>
                <w:szCs w:val="24"/>
              </w:rPr>
              <w:t>Observación</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t>Alejandro Vega-Gabriel Santos</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t>Artículo 1- Inciso 8</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Sustitutiva</w:t>
            </w:r>
          </w:p>
        </w:tc>
        <w:tc>
          <w:tcPr>
            <w:tcW w:w="3119" w:type="dxa"/>
          </w:tcPr>
          <w:p w:rsidR="00194B43" w:rsidRPr="009B7E0C" w:rsidRDefault="00194B43" w:rsidP="00194B43">
            <w:pPr>
              <w:jc w:val="both"/>
              <w:rPr>
                <w:rFonts w:cs="Times New Roman"/>
                <w:sz w:val="24"/>
                <w:szCs w:val="24"/>
              </w:rPr>
            </w:pPr>
            <w:r w:rsidRPr="009B7E0C">
              <w:rPr>
                <w:rFonts w:cs="Times New Roman"/>
                <w:sz w:val="24"/>
                <w:szCs w:val="24"/>
              </w:rPr>
              <w:t xml:space="preserve">Para ser elegido Contralor General de la Republica se requiere ser colombiano de nacimiento y en ejercicio de la ciudadanía; tener más de treinta y cinco años de edad; tener título universitario </w:t>
            </w:r>
            <w:r w:rsidRPr="009B7E0C">
              <w:rPr>
                <w:rFonts w:cs="Times New Roman"/>
                <w:b/>
                <w:sz w:val="24"/>
                <w:szCs w:val="24"/>
                <w:u w:val="single"/>
              </w:rPr>
              <w:t xml:space="preserve">en ciencias jurídicas, humanas, económicas, financieras, administrativas y contables </w:t>
            </w:r>
            <w:r w:rsidRPr="009B7E0C">
              <w:rPr>
                <w:rFonts w:cs="Times New Roman"/>
                <w:sz w:val="24"/>
                <w:szCs w:val="24"/>
              </w:rPr>
              <w:t>y experiencia profesional no menor a cinco años o como docente universitario por el mismo tiempo y acreditar las demás condiciones que exija la ley.</w:t>
            </w:r>
          </w:p>
        </w:tc>
        <w:tc>
          <w:tcPr>
            <w:tcW w:w="1984" w:type="dxa"/>
          </w:tcPr>
          <w:p w:rsidR="00194B43" w:rsidRPr="009B7E0C" w:rsidRDefault="00194B43" w:rsidP="00194B43">
            <w:pPr>
              <w:jc w:val="both"/>
              <w:rPr>
                <w:rFonts w:cs="Times New Roman"/>
                <w:sz w:val="24"/>
                <w:szCs w:val="24"/>
              </w:rPr>
            </w:pPr>
            <w:r w:rsidRPr="009B7E0C">
              <w:rPr>
                <w:rFonts w:cs="Times New Roman"/>
                <w:sz w:val="24"/>
                <w:szCs w:val="24"/>
              </w:rPr>
              <w:t>Se pretende restringir la aspiración para Contralores solo para aquellos que tengan instrucción académica relacionada con carreras afines a los temas que concierne a la CGR.</w:t>
            </w:r>
          </w:p>
        </w:tc>
        <w:tc>
          <w:tcPr>
            <w:tcW w:w="1418" w:type="dxa"/>
          </w:tcPr>
          <w:p w:rsidR="00194B43" w:rsidRPr="009B7E0C" w:rsidRDefault="00194B43" w:rsidP="00194B43">
            <w:pPr>
              <w:jc w:val="center"/>
              <w:rPr>
                <w:rFonts w:cs="Times New Roman"/>
                <w:sz w:val="24"/>
                <w:szCs w:val="24"/>
              </w:rPr>
            </w:pPr>
            <w:r w:rsidRPr="009B7E0C">
              <w:rPr>
                <w:rFonts w:cs="Times New Roman"/>
                <w:sz w:val="24"/>
                <w:szCs w:val="24"/>
              </w:rPr>
              <w:t>Aprobada</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t>Adriana Matiz- Alejandro Vega – Gabriel Santos</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t>Articulo 2 – Numeral 17 e inciso 1 del parágrafo transitorio.</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Modificativa</w:t>
            </w:r>
          </w:p>
        </w:tc>
        <w:tc>
          <w:tcPr>
            <w:tcW w:w="3119" w:type="dxa"/>
          </w:tcPr>
          <w:p w:rsidR="00194B43" w:rsidRPr="009B7E0C" w:rsidRDefault="00194B43" w:rsidP="00194B43">
            <w:pPr>
              <w:pStyle w:val="Prrafodelista"/>
              <w:numPr>
                <w:ilvl w:val="0"/>
                <w:numId w:val="23"/>
              </w:numPr>
              <w:autoSpaceDE w:val="0"/>
              <w:autoSpaceDN w:val="0"/>
              <w:adjustRightInd w:val="0"/>
              <w:spacing w:before="200" w:after="200" w:line="20" w:lineRule="atLeast"/>
              <w:ind w:left="757"/>
              <w:jc w:val="both"/>
              <w:rPr>
                <w:bCs/>
                <w:iCs/>
                <w:sz w:val="24"/>
                <w:szCs w:val="24"/>
                <w:lang w:val="es-ES" w:eastAsia="es-ES"/>
              </w:rPr>
            </w:pPr>
            <w:r w:rsidRPr="009B7E0C">
              <w:rPr>
                <w:bCs/>
                <w:iCs/>
                <w:sz w:val="24"/>
                <w:szCs w:val="24"/>
                <w:lang w:val="es-ES" w:eastAsia="es-ES"/>
              </w:rPr>
              <w:t xml:space="preserve">Imponer sanciones desde multa hasta suspensión a quienes omitan la obligación de suministrar información o impidan u obstaculicen el ejercicio de la vigilancia y control fiscal, </w:t>
            </w:r>
            <w:r w:rsidRPr="009B7E0C">
              <w:rPr>
                <w:b/>
                <w:bCs/>
                <w:iCs/>
                <w:sz w:val="24"/>
                <w:szCs w:val="24"/>
                <w:u w:val="single"/>
                <w:lang w:val="es-ES" w:eastAsia="es-ES"/>
              </w:rPr>
              <w:t>así como también a quienes no obtengan una calificación que permita el fenecimiento de las cuentas, durante dos (2) periodos fiscales consecutivos y</w:t>
            </w:r>
            <w:r w:rsidRPr="009B7E0C">
              <w:rPr>
                <w:bCs/>
                <w:iCs/>
                <w:sz w:val="24"/>
                <w:szCs w:val="24"/>
                <w:lang w:val="es-ES" w:eastAsia="es-ES"/>
              </w:rPr>
              <w:t xml:space="preserve">  por incumplimiento de lo prescrito en la ley. </w:t>
            </w:r>
          </w:p>
          <w:p w:rsidR="00194B43" w:rsidRPr="009B7E0C" w:rsidRDefault="00194B43" w:rsidP="00194B43">
            <w:pPr>
              <w:autoSpaceDE w:val="0"/>
              <w:autoSpaceDN w:val="0"/>
              <w:adjustRightInd w:val="0"/>
              <w:spacing w:before="200" w:after="200" w:line="20" w:lineRule="atLeast"/>
              <w:jc w:val="both"/>
              <w:rPr>
                <w:rFonts w:cs="Times New Roman"/>
                <w:bCs/>
                <w:iCs/>
                <w:sz w:val="24"/>
                <w:szCs w:val="24"/>
                <w:lang w:val="es-ES" w:eastAsia="es-ES"/>
              </w:rPr>
            </w:pPr>
            <w:r w:rsidRPr="009B7E0C">
              <w:rPr>
                <w:rFonts w:cs="Times New Roman"/>
                <w:b/>
                <w:bCs/>
                <w:iCs/>
                <w:sz w:val="24"/>
                <w:szCs w:val="24"/>
                <w:lang w:val="es-ES" w:eastAsia="es-ES"/>
              </w:rPr>
              <w:t>Parágrafo transitorio.</w:t>
            </w:r>
            <w:r w:rsidRPr="009B7E0C">
              <w:rPr>
                <w:rFonts w:cs="Times New Roman"/>
                <w:bCs/>
                <w:iCs/>
                <w:sz w:val="24"/>
                <w:szCs w:val="24"/>
                <w:lang w:val="es-ES" w:eastAsia="es-ES"/>
              </w:rPr>
              <w:t xml:space="preserve"> La asignación básica mensual de los servidores de la </w:t>
            </w:r>
            <w:r w:rsidRPr="009B7E0C">
              <w:rPr>
                <w:rFonts w:cs="Times New Roman"/>
                <w:bCs/>
                <w:iCs/>
                <w:sz w:val="24"/>
                <w:szCs w:val="24"/>
                <w:lang w:val="es-ES" w:eastAsia="es-ES"/>
              </w:rPr>
              <w:lastRenderedPageBreak/>
              <w:t xml:space="preserve">Contraloría General de la República y su planta transitoria será equiparada a los de los empleos equivalentes de otros organismos de control de nivel nacional. Para la correcta 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w:t>
            </w:r>
            <w:r w:rsidRPr="009B7E0C">
              <w:rPr>
                <w:rFonts w:cs="Times New Roman"/>
                <w:b/>
                <w:bCs/>
                <w:iCs/>
                <w:strike/>
                <w:sz w:val="24"/>
                <w:szCs w:val="24"/>
                <w:lang w:val="es-ES" w:eastAsia="es-ES"/>
              </w:rPr>
              <w:t>o suprimidas</w:t>
            </w:r>
            <w:r w:rsidRPr="009B7E0C">
              <w:rPr>
                <w:rFonts w:cs="Times New Roman"/>
                <w:bCs/>
                <w:iCs/>
                <w:sz w:val="24"/>
                <w:szCs w:val="24"/>
                <w:lang w:val="es-ES" w:eastAsia="es-ES"/>
              </w:rPr>
              <w:t>. Para los efectos del presente parágrafo y el desarrollo de este acto legislativo, otórguense facultades extraordinarias por el término de seis meses al Presidente de la República para expedir decretos con fuerza de ley.</w:t>
            </w:r>
          </w:p>
          <w:p w:rsidR="00194B43" w:rsidRPr="009B7E0C" w:rsidRDefault="00194B43" w:rsidP="00194B43">
            <w:pPr>
              <w:jc w:val="center"/>
              <w:rPr>
                <w:rFonts w:cs="Times New Roman"/>
                <w:sz w:val="24"/>
                <w:szCs w:val="24"/>
              </w:rPr>
            </w:pPr>
          </w:p>
        </w:tc>
        <w:tc>
          <w:tcPr>
            <w:tcW w:w="1984" w:type="dxa"/>
          </w:tcPr>
          <w:p w:rsidR="00194B43" w:rsidRPr="009B7E0C" w:rsidRDefault="00194B43" w:rsidP="00194B43">
            <w:pPr>
              <w:jc w:val="both"/>
              <w:rPr>
                <w:rFonts w:cs="Times New Roman"/>
                <w:sz w:val="24"/>
                <w:szCs w:val="24"/>
              </w:rPr>
            </w:pPr>
            <w:r w:rsidRPr="009B7E0C">
              <w:rPr>
                <w:rFonts w:cs="Times New Roman"/>
                <w:sz w:val="24"/>
                <w:szCs w:val="24"/>
              </w:rPr>
              <w:lastRenderedPageBreak/>
              <w:t>Pretende contemplar la potestad sancionatoria para aquellos que no fenezcan las cuentas, así como eliminar la palabra suprimida en el entendido de la autora de la proposición dado que este proyecto no habla en ningún momento de suprimir contraloría alguna.</w:t>
            </w:r>
          </w:p>
        </w:tc>
        <w:tc>
          <w:tcPr>
            <w:tcW w:w="1418" w:type="dxa"/>
          </w:tcPr>
          <w:p w:rsidR="00194B43" w:rsidRPr="009B7E0C" w:rsidRDefault="00194B43" w:rsidP="00194B43">
            <w:pPr>
              <w:jc w:val="center"/>
              <w:rPr>
                <w:rFonts w:cs="Times New Roman"/>
                <w:sz w:val="24"/>
                <w:szCs w:val="24"/>
              </w:rPr>
            </w:pPr>
            <w:r w:rsidRPr="009B7E0C">
              <w:rPr>
                <w:rFonts w:cs="Times New Roman"/>
                <w:sz w:val="24"/>
                <w:szCs w:val="24"/>
              </w:rPr>
              <w:t>Aprobada</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lastRenderedPageBreak/>
              <w:t>German Navas-Jorge Tamayo-Alejandr</w:t>
            </w:r>
            <w:r w:rsidRPr="009B7E0C">
              <w:rPr>
                <w:rFonts w:cs="Times New Roman"/>
                <w:sz w:val="24"/>
                <w:szCs w:val="24"/>
              </w:rPr>
              <w:lastRenderedPageBreak/>
              <w:t>o Vega-Juan Carlos Lozada</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lastRenderedPageBreak/>
              <w:t>Artículo 2- Numeral 8</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Aditiva</w:t>
            </w:r>
          </w:p>
        </w:tc>
        <w:tc>
          <w:tcPr>
            <w:tcW w:w="3119" w:type="dxa"/>
          </w:tcPr>
          <w:p w:rsidR="00194B43" w:rsidRPr="009B7E0C" w:rsidRDefault="00194B43" w:rsidP="00194B43">
            <w:pPr>
              <w:jc w:val="both"/>
              <w:rPr>
                <w:rFonts w:cs="Times New Roman"/>
                <w:sz w:val="24"/>
                <w:szCs w:val="24"/>
              </w:rPr>
            </w:pPr>
            <w:r w:rsidRPr="009B7E0C">
              <w:rPr>
                <w:rFonts w:cs="Times New Roman"/>
                <w:sz w:val="24"/>
                <w:szCs w:val="24"/>
              </w:rPr>
              <w:t>8.</w:t>
            </w:r>
            <w:r w:rsidRPr="009B7E0C">
              <w:rPr>
                <w:rFonts w:cs="Times New Roman"/>
                <w:sz w:val="24"/>
                <w:szCs w:val="24"/>
              </w:rPr>
              <w:tab/>
              <w:t xml:space="preserve">Promover ante las autoridades competentes, aportando las pruebas respectivas, investigaciones fiscales, penales o </w:t>
            </w:r>
            <w:r w:rsidRPr="009B7E0C">
              <w:rPr>
                <w:rFonts w:cs="Times New Roman"/>
                <w:sz w:val="24"/>
                <w:szCs w:val="24"/>
              </w:rPr>
              <w:lastRenderedPageBreak/>
              <w:t xml:space="preserve">disciplinarias contra quienes presuntamente hayan causado perjuicio a los intereses patrimoniales del Estado. La Contraloría, bajo su responsabilidad, podrá exigir, verdad sabida y buena fe guardada, la suspensión inmediata de funcionarios mientras culminan las investigaciones o los respectivos procesos fiscales, penales o disciplinarios. </w:t>
            </w:r>
            <w:r w:rsidRPr="009B7E0C">
              <w:rPr>
                <w:rFonts w:cs="Times New Roman"/>
                <w:b/>
                <w:sz w:val="24"/>
                <w:szCs w:val="24"/>
                <w:u w:val="single"/>
              </w:rPr>
              <w:t>Igualmente, podrá ejercer la acción penal cuando la fiscalía no lo haga en los seis meses siguientes al envío de los hallazgos de auditoria con incidencia penal, para lo cual podrá formular la acusación en los mismos términos previstos en la ley para el acusador privado, conforme a lo previsto en el parágrafo 2 del artículo 250 de la Constitución.</w:t>
            </w:r>
          </w:p>
        </w:tc>
        <w:tc>
          <w:tcPr>
            <w:tcW w:w="1984" w:type="dxa"/>
          </w:tcPr>
          <w:p w:rsidR="00194B43" w:rsidRPr="009B7E0C" w:rsidRDefault="00194B43" w:rsidP="00194B43">
            <w:pPr>
              <w:jc w:val="both"/>
              <w:rPr>
                <w:rFonts w:cs="Times New Roman"/>
                <w:sz w:val="24"/>
                <w:szCs w:val="24"/>
              </w:rPr>
            </w:pPr>
            <w:r w:rsidRPr="009B7E0C">
              <w:rPr>
                <w:rFonts w:cs="Times New Roman"/>
                <w:sz w:val="24"/>
                <w:szCs w:val="24"/>
              </w:rPr>
              <w:lastRenderedPageBreak/>
              <w:t xml:space="preserve">Pretende incorporar la acción penal en cabeza del Contralor general </w:t>
            </w:r>
            <w:r w:rsidRPr="009B7E0C">
              <w:rPr>
                <w:rFonts w:cs="Times New Roman"/>
                <w:sz w:val="24"/>
                <w:szCs w:val="24"/>
              </w:rPr>
              <w:lastRenderedPageBreak/>
              <w:t>de la república en aquellos casos en los que halla hallazgos de auditoria con incidencia penal y en donde la Fiscalía no lo haga en un plazo de seis meses máximo.</w:t>
            </w:r>
          </w:p>
        </w:tc>
        <w:tc>
          <w:tcPr>
            <w:tcW w:w="1418" w:type="dxa"/>
          </w:tcPr>
          <w:p w:rsidR="00194B43" w:rsidRPr="009B7E0C" w:rsidRDefault="00194B43" w:rsidP="00194B43">
            <w:pPr>
              <w:jc w:val="center"/>
              <w:rPr>
                <w:rFonts w:cs="Times New Roman"/>
                <w:sz w:val="24"/>
                <w:szCs w:val="24"/>
              </w:rPr>
            </w:pPr>
            <w:r w:rsidRPr="009B7E0C">
              <w:rPr>
                <w:rFonts w:cs="Times New Roman"/>
                <w:sz w:val="24"/>
                <w:szCs w:val="24"/>
              </w:rPr>
              <w:lastRenderedPageBreak/>
              <w:t>Aprobada</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lastRenderedPageBreak/>
              <w:t>Juan Carlos Lozada-Alejandro Vega-Gabriel Santos-Juan Carlos Rivera</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t xml:space="preserve">Artículo 4 – Inciso 7 </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Modificativa</w:t>
            </w:r>
          </w:p>
        </w:tc>
        <w:tc>
          <w:tcPr>
            <w:tcW w:w="3119" w:type="dxa"/>
          </w:tcPr>
          <w:p w:rsidR="00194B43" w:rsidRPr="009B7E0C" w:rsidRDefault="00194B43" w:rsidP="00194B43">
            <w:pPr>
              <w:jc w:val="both"/>
              <w:rPr>
                <w:rFonts w:cs="Times New Roman"/>
                <w:sz w:val="24"/>
                <w:szCs w:val="24"/>
              </w:rPr>
            </w:pPr>
            <w:r w:rsidRPr="009B7E0C">
              <w:rPr>
                <w:rFonts w:cs="Times New Roman"/>
                <w:sz w:val="24"/>
                <w:szCs w:val="24"/>
              </w:rPr>
              <w:t xml:space="preserve">Los Contralores departamentales, distritales y municipales serán elegidos por las Asambleas Departamentales, Concejos Municipales y Distritales, de terna conformada por </w:t>
            </w:r>
            <w:r w:rsidRPr="009B7E0C">
              <w:rPr>
                <w:rFonts w:cs="Times New Roman"/>
                <w:b/>
                <w:sz w:val="24"/>
                <w:szCs w:val="24"/>
                <w:u w:val="single"/>
              </w:rPr>
              <w:t>quienes obtengan los mayores puntajes en convocatoria pública</w:t>
            </w:r>
            <w:r w:rsidRPr="009B7E0C">
              <w:rPr>
                <w:rFonts w:cs="Times New Roman"/>
                <w:sz w:val="24"/>
                <w:szCs w:val="24"/>
              </w:rPr>
              <w:t xml:space="preserve"> </w:t>
            </w:r>
            <w:r w:rsidRPr="009B7E0C">
              <w:rPr>
                <w:rFonts w:cs="Times New Roman"/>
                <w:strike/>
                <w:sz w:val="24"/>
                <w:szCs w:val="24"/>
              </w:rPr>
              <w:t>concurso público de méritos</w:t>
            </w:r>
            <w:r w:rsidRPr="009B7E0C">
              <w:rPr>
                <w:rFonts w:cs="Times New Roman"/>
                <w:sz w:val="24"/>
                <w:szCs w:val="24"/>
              </w:rPr>
              <w:t xml:space="preserve"> conforme a la ley, siguiendo los principios de transparencia, publicidad, objetividad, participación ciudadana y equidad de género, por un periodo de cuatro años que no podrá coincidir con el periodo del </w:t>
            </w:r>
            <w:r w:rsidRPr="009B7E0C">
              <w:rPr>
                <w:rFonts w:cs="Times New Roman"/>
                <w:sz w:val="24"/>
                <w:szCs w:val="24"/>
              </w:rPr>
              <w:lastRenderedPageBreak/>
              <w:t>correspondiente gobernador y alcalde.</w:t>
            </w:r>
          </w:p>
        </w:tc>
        <w:tc>
          <w:tcPr>
            <w:tcW w:w="1984" w:type="dxa"/>
          </w:tcPr>
          <w:p w:rsidR="00194B43" w:rsidRPr="009B7E0C" w:rsidRDefault="00194B43" w:rsidP="00194B43">
            <w:pPr>
              <w:jc w:val="both"/>
              <w:rPr>
                <w:rFonts w:cs="Times New Roman"/>
                <w:sz w:val="24"/>
                <w:szCs w:val="24"/>
              </w:rPr>
            </w:pPr>
            <w:r w:rsidRPr="009B7E0C">
              <w:rPr>
                <w:rFonts w:cs="Times New Roman"/>
                <w:sz w:val="24"/>
                <w:szCs w:val="24"/>
              </w:rPr>
              <w:lastRenderedPageBreak/>
              <w:t>Pretende establecer un mecanismo con el cual se elaboren las ternas para la elección de contralores regionales de tal manera que esta sea conformada por los mejores calificados en una convocatoria pública.</w:t>
            </w:r>
          </w:p>
        </w:tc>
        <w:tc>
          <w:tcPr>
            <w:tcW w:w="1418" w:type="dxa"/>
          </w:tcPr>
          <w:p w:rsidR="00194B43" w:rsidRPr="009B7E0C" w:rsidRDefault="00194B43" w:rsidP="00194B43">
            <w:pPr>
              <w:jc w:val="center"/>
              <w:rPr>
                <w:rFonts w:cs="Times New Roman"/>
                <w:sz w:val="24"/>
                <w:szCs w:val="24"/>
              </w:rPr>
            </w:pPr>
            <w:r w:rsidRPr="009B7E0C">
              <w:rPr>
                <w:rFonts w:cs="Times New Roman"/>
                <w:sz w:val="24"/>
                <w:szCs w:val="24"/>
              </w:rPr>
              <w:t>Aprobada</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lastRenderedPageBreak/>
              <w:t>Adriana Matiz</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t>Artículo 4 – Numeral 6</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Modificativa</w:t>
            </w:r>
          </w:p>
        </w:tc>
        <w:tc>
          <w:tcPr>
            <w:tcW w:w="3119" w:type="dxa"/>
          </w:tcPr>
          <w:p w:rsidR="00194B43" w:rsidRPr="009B7E0C" w:rsidRDefault="00194B43" w:rsidP="00194B43">
            <w:pPr>
              <w:spacing w:line="20" w:lineRule="atLeast"/>
              <w:jc w:val="both"/>
              <w:rPr>
                <w:rFonts w:cs="Times New Roman"/>
                <w:b/>
                <w:sz w:val="24"/>
                <w:szCs w:val="24"/>
                <w:u w:val="single"/>
                <w:lang w:val="es-ES"/>
              </w:rPr>
            </w:pPr>
            <w:r w:rsidRPr="009B7E0C">
              <w:rPr>
                <w:rFonts w:cs="Times New Roman"/>
                <w:sz w:val="24"/>
                <w:szCs w:val="24"/>
                <w:lang w:val="es-ES"/>
              </w:rPr>
              <w:t xml:space="preserve">Los contralores departamentales, distritales y municipales ejercerán, en el ámbito de su jurisdicción, las funciones atribuidas al Contralor General de la República en el artículo 268 </w:t>
            </w:r>
            <w:r w:rsidRPr="009B7E0C">
              <w:rPr>
                <w:rFonts w:cs="Times New Roman"/>
                <w:b/>
                <w:sz w:val="24"/>
                <w:szCs w:val="24"/>
                <w:u w:val="single"/>
                <w:lang w:val="es-ES"/>
              </w:rPr>
              <w:t>en lo que sea pertinente, según los principios de coordinación, concurrencia, y subsidiaridad. El control ejercido por la Contraloría General de la Republica será preferente en los términos que defina la ley.</w:t>
            </w:r>
          </w:p>
          <w:p w:rsidR="00194B43" w:rsidRPr="009B7E0C" w:rsidRDefault="00194B43" w:rsidP="00194B43">
            <w:pPr>
              <w:jc w:val="center"/>
              <w:rPr>
                <w:rFonts w:cs="Times New Roman"/>
                <w:sz w:val="24"/>
                <w:szCs w:val="24"/>
              </w:rPr>
            </w:pPr>
          </w:p>
        </w:tc>
        <w:tc>
          <w:tcPr>
            <w:tcW w:w="1984" w:type="dxa"/>
          </w:tcPr>
          <w:p w:rsidR="00194B43" w:rsidRPr="009B7E0C" w:rsidRDefault="00194B43" w:rsidP="00194B43">
            <w:pPr>
              <w:jc w:val="both"/>
              <w:rPr>
                <w:rFonts w:cs="Times New Roman"/>
                <w:sz w:val="24"/>
                <w:szCs w:val="24"/>
              </w:rPr>
            </w:pPr>
            <w:r w:rsidRPr="009B7E0C">
              <w:rPr>
                <w:rFonts w:cs="Times New Roman"/>
                <w:sz w:val="24"/>
                <w:szCs w:val="24"/>
              </w:rPr>
              <w:t>Pretende acotar las funciones de los Contralores territoriales según los principios descritos y su desarrollo en la ley.</w:t>
            </w:r>
          </w:p>
        </w:tc>
        <w:tc>
          <w:tcPr>
            <w:tcW w:w="1418" w:type="dxa"/>
          </w:tcPr>
          <w:p w:rsidR="00194B43" w:rsidRPr="009B7E0C" w:rsidRDefault="00194B43" w:rsidP="00194B43">
            <w:pPr>
              <w:jc w:val="center"/>
              <w:rPr>
                <w:rFonts w:cs="Times New Roman"/>
                <w:sz w:val="24"/>
                <w:szCs w:val="24"/>
              </w:rPr>
            </w:pPr>
            <w:r w:rsidRPr="009B7E0C">
              <w:rPr>
                <w:rFonts w:cs="Times New Roman"/>
                <w:sz w:val="24"/>
                <w:szCs w:val="24"/>
              </w:rPr>
              <w:t>Aprobada</w:t>
            </w:r>
          </w:p>
        </w:tc>
      </w:tr>
    </w:tbl>
    <w:p w:rsidR="00194B43" w:rsidRPr="009B7E0C" w:rsidRDefault="00194B43" w:rsidP="00194B43">
      <w:pPr>
        <w:jc w:val="both"/>
        <w:rPr>
          <w:rStyle w:val="Ninguno"/>
          <w:rFonts w:eastAsia="Arial" w:cs="Times New Roman"/>
          <w:sz w:val="24"/>
          <w:szCs w:val="24"/>
          <w:lang w:val="es-ES"/>
        </w:rPr>
      </w:pPr>
    </w:p>
    <w:p w:rsidR="00194B43" w:rsidRPr="009B7E0C" w:rsidRDefault="00194B43" w:rsidP="00194B43">
      <w:pPr>
        <w:jc w:val="both"/>
        <w:rPr>
          <w:rStyle w:val="Ninguno"/>
          <w:rFonts w:eastAsia="Arial" w:cs="Times New Roman"/>
          <w:sz w:val="24"/>
          <w:szCs w:val="24"/>
          <w:lang w:val="es-ES"/>
        </w:rPr>
      </w:pPr>
    </w:p>
    <w:p w:rsidR="00194B43" w:rsidRPr="009B7E0C" w:rsidRDefault="00194B43" w:rsidP="00194B43">
      <w:pPr>
        <w:jc w:val="both"/>
        <w:rPr>
          <w:rStyle w:val="Ninguno"/>
          <w:rFonts w:eastAsia="Arial" w:cs="Times New Roman"/>
          <w:b/>
          <w:sz w:val="24"/>
          <w:szCs w:val="24"/>
          <w:lang w:val="es-ES"/>
        </w:rPr>
      </w:pPr>
      <w:r w:rsidRPr="009B7E0C">
        <w:rPr>
          <w:rStyle w:val="Ninguno"/>
          <w:rFonts w:eastAsia="Arial" w:cs="Times New Roman"/>
          <w:b/>
          <w:sz w:val="24"/>
          <w:szCs w:val="24"/>
          <w:lang w:val="es-ES"/>
        </w:rPr>
        <w:t>Constancias:</w:t>
      </w:r>
    </w:p>
    <w:p w:rsidR="00194B43" w:rsidRPr="009B7E0C" w:rsidRDefault="00194B43" w:rsidP="00194B43">
      <w:pPr>
        <w:jc w:val="both"/>
        <w:rPr>
          <w:rStyle w:val="Ninguno"/>
          <w:rFonts w:eastAsia="Arial" w:cs="Times New Roman"/>
          <w:sz w:val="24"/>
          <w:szCs w:val="24"/>
          <w:lang w:val="es-ES"/>
        </w:rPr>
      </w:pPr>
    </w:p>
    <w:tbl>
      <w:tblPr>
        <w:tblStyle w:val="Tablaconcuadrcula"/>
        <w:tblW w:w="0" w:type="auto"/>
        <w:tblLayout w:type="fixed"/>
        <w:tblLook w:val="04A0" w:firstRow="1" w:lastRow="0" w:firstColumn="1" w:lastColumn="0" w:noHBand="0" w:noVBand="1"/>
      </w:tblPr>
      <w:tblGrid>
        <w:gridCol w:w="1129"/>
        <w:gridCol w:w="993"/>
        <w:gridCol w:w="1417"/>
        <w:gridCol w:w="3260"/>
        <w:gridCol w:w="1560"/>
      </w:tblGrid>
      <w:tr w:rsidR="00194B43" w:rsidRPr="009B7E0C" w:rsidTr="00194B43">
        <w:tc>
          <w:tcPr>
            <w:tcW w:w="1129" w:type="dxa"/>
          </w:tcPr>
          <w:p w:rsidR="00194B43" w:rsidRPr="009B7E0C" w:rsidRDefault="00194B43" w:rsidP="00194B43">
            <w:pPr>
              <w:jc w:val="center"/>
              <w:rPr>
                <w:rFonts w:cs="Times New Roman"/>
                <w:b/>
                <w:sz w:val="24"/>
                <w:szCs w:val="24"/>
              </w:rPr>
            </w:pPr>
            <w:r w:rsidRPr="009B7E0C">
              <w:rPr>
                <w:rFonts w:cs="Times New Roman"/>
                <w:b/>
                <w:sz w:val="24"/>
                <w:szCs w:val="24"/>
              </w:rPr>
              <w:t>Autor(es)</w:t>
            </w:r>
          </w:p>
        </w:tc>
        <w:tc>
          <w:tcPr>
            <w:tcW w:w="993" w:type="dxa"/>
          </w:tcPr>
          <w:p w:rsidR="00194B43" w:rsidRPr="009B7E0C" w:rsidRDefault="00194B43" w:rsidP="00194B43">
            <w:pPr>
              <w:jc w:val="center"/>
              <w:rPr>
                <w:rFonts w:cs="Times New Roman"/>
                <w:b/>
                <w:sz w:val="24"/>
                <w:szCs w:val="24"/>
              </w:rPr>
            </w:pPr>
            <w:r w:rsidRPr="009B7E0C">
              <w:rPr>
                <w:rFonts w:cs="Times New Roman"/>
                <w:b/>
                <w:sz w:val="24"/>
                <w:szCs w:val="24"/>
              </w:rPr>
              <w:t>Articulo</w:t>
            </w:r>
          </w:p>
        </w:tc>
        <w:tc>
          <w:tcPr>
            <w:tcW w:w="1417" w:type="dxa"/>
          </w:tcPr>
          <w:p w:rsidR="00194B43" w:rsidRPr="009B7E0C" w:rsidRDefault="00194B43" w:rsidP="00194B43">
            <w:pPr>
              <w:jc w:val="center"/>
              <w:rPr>
                <w:rFonts w:cs="Times New Roman"/>
                <w:b/>
                <w:sz w:val="24"/>
                <w:szCs w:val="24"/>
              </w:rPr>
            </w:pPr>
            <w:r w:rsidRPr="009B7E0C">
              <w:rPr>
                <w:rFonts w:cs="Times New Roman"/>
                <w:b/>
                <w:sz w:val="24"/>
                <w:szCs w:val="24"/>
              </w:rPr>
              <w:t>Clasificación</w:t>
            </w:r>
          </w:p>
        </w:tc>
        <w:tc>
          <w:tcPr>
            <w:tcW w:w="3260" w:type="dxa"/>
          </w:tcPr>
          <w:p w:rsidR="00194B43" w:rsidRPr="009B7E0C" w:rsidRDefault="00194B43" w:rsidP="00194B43">
            <w:pPr>
              <w:jc w:val="center"/>
              <w:rPr>
                <w:rFonts w:cs="Times New Roman"/>
                <w:b/>
                <w:sz w:val="24"/>
                <w:szCs w:val="24"/>
              </w:rPr>
            </w:pPr>
            <w:r w:rsidRPr="009B7E0C">
              <w:rPr>
                <w:rFonts w:cs="Times New Roman"/>
                <w:b/>
                <w:sz w:val="24"/>
                <w:szCs w:val="24"/>
              </w:rPr>
              <w:t>Constancia</w:t>
            </w:r>
          </w:p>
        </w:tc>
        <w:tc>
          <w:tcPr>
            <w:tcW w:w="1560" w:type="dxa"/>
          </w:tcPr>
          <w:p w:rsidR="00194B43" w:rsidRPr="009B7E0C" w:rsidRDefault="00194B43" w:rsidP="00194B43">
            <w:pPr>
              <w:jc w:val="center"/>
              <w:rPr>
                <w:rFonts w:cs="Times New Roman"/>
                <w:b/>
                <w:sz w:val="24"/>
                <w:szCs w:val="24"/>
              </w:rPr>
            </w:pPr>
            <w:r w:rsidRPr="009B7E0C">
              <w:rPr>
                <w:rFonts w:cs="Times New Roman"/>
                <w:b/>
                <w:sz w:val="24"/>
                <w:szCs w:val="24"/>
              </w:rPr>
              <w:t>Contenido</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t>Gabriel Vallejo</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t>Artículo 1 Inciso 4 y 5</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Modificativa</w:t>
            </w:r>
          </w:p>
        </w:tc>
        <w:tc>
          <w:tcPr>
            <w:tcW w:w="3260" w:type="dxa"/>
          </w:tcPr>
          <w:p w:rsidR="00194B43" w:rsidRPr="009B7E0C" w:rsidRDefault="00194B43" w:rsidP="00194B43">
            <w:pPr>
              <w:jc w:val="both"/>
              <w:rPr>
                <w:rFonts w:cs="Times New Roman"/>
                <w:strike/>
                <w:sz w:val="24"/>
                <w:szCs w:val="24"/>
              </w:rPr>
            </w:pPr>
            <w:r w:rsidRPr="009B7E0C">
              <w:rPr>
                <w:rFonts w:cs="Times New Roman"/>
                <w:strike/>
                <w:sz w:val="24"/>
                <w:szCs w:val="24"/>
              </w:rPr>
              <w:t>El Control jurisdiccional de los fallos de responsabilidad fiscal gozara de etapas y términos procesales especiales con el objeto de garantizar la recuperación oportuna del recurso publico. Su tramite no podrá ser superior a un año en la forma en que lo regule la ley.</w:t>
            </w:r>
          </w:p>
          <w:p w:rsidR="00194B43" w:rsidRPr="009B7E0C" w:rsidRDefault="00194B43" w:rsidP="00194B43">
            <w:pPr>
              <w:jc w:val="center"/>
              <w:rPr>
                <w:rFonts w:cs="Times New Roman"/>
                <w:sz w:val="24"/>
                <w:szCs w:val="24"/>
              </w:rPr>
            </w:pPr>
          </w:p>
          <w:p w:rsidR="00194B43" w:rsidRPr="009B7E0C" w:rsidRDefault="00194B43" w:rsidP="00194B43">
            <w:pPr>
              <w:kinsoku w:val="0"/>
              <w:overflowPunct w:val="0"/>
              <w:spacing w:line="20" w:lineRule="atLeast"/>
              <w:jc w:val="both"/>
              <w:textAlignment w:val="baseline"/>
              <w:rPr>
                <w:rFonts w:cs="Times New Roman"/>
                <w:b/>
                <w:iCs/>
                <w:sz w:val="24"/>
                <w:szCs w:val="24"/>
                <w:u w:val="single"/>
                <w:lang w:val="es-ES" w:eastAsia="es-ES"/>
              </w:rPr>
            </w:pPr>
            <w:r w:rsidRPr="009B7E0C">
              <w:rPr>
                <w:rFonts w:cs="Times New Roman"/>
                <w:iCs/>
                <w:sz w:val="24"/>
                <w:szCs w:val="24"/>
                <w:lang w:val="es-ES" w:eastAsia="es-ES"/>
              </w:rPr>
              <w:t>La Contraloría es una entidad de carácter técnico con autonomía administrativa y presupuestal. No tendrá funciones administrativas distintas de las in</w:t>
            </w:r>
            <w:bookmarkStart w:id="2" w:name="_GoBack"/>
            <w:bookmarkEnd w:id="2"/>
            <w:r w:rsidRPr="009B7E0C">
              <w:rPr>
                <w:rFonts w:cs="Times New Roman"/>
                <w:iCs/>
                <w:sz w:val="24"/>
                <w:szCs w:val="24"/>
                <w:lang w:val="es-ES" w:eastAsia="es-ES"/>
              </w:rPr>
              <w:t xml:space="preserve">herentes a su propia organización y al cumplimiento de su misión constitucional. </w:t>
            </w:r>
            <w:r w:rsidRPr="009B7E0C">
              <w:rPr>
                <w:rFonts w:cs="Times New Roman"/>
                <w:b/>
                <w:iCs/>
                <w:sz w:val="24"/>
                <w:szCs w:val="24"/>
                <w:u w:val="single"/>
                <w:lang w:val="es-ES" w:eastAsia="es-ES"/>
              </w:rPr>
              <w:t xml:space="preserve">En todo caso, el proceso de responsabilidad </w:t>
            </w:r>
            <w:r w:rsidRPr="009B7E0C">
              <w:rPr>
                <w:rFonts w:cs="Times New Roman"/>
                <w:b/>
                <w:iCs/>
                <w:sz w:val="24"/>
                <w:szCs w:val="24"/>
                <w:u w:val="single"/>
                <w:lang w:val="es-ES" w:eastAsia="es-ES"/>
              </w:rPr>
              <w:lastRenderedPageBreak/>
              <w:t>fiscal será un procedimiento jurisdiccional en la forma en que lo establezca la ley, cuya titularidad de la acción fiscal estará a cargo de la Contraloría, en todos sus niveles, según corresponda.</w:t>
            </w:r>
          </w:p>
          <w:p w:rsidR="00194B43" w:rsidRPr="009B7E0C" w:rsidRDefault="00194B43" w:rsidP="00194B43">
            <w:pPr>
              <w:jc w:val="center"/>
              <w:rPr>
                <w:rFonts w:cs="Times New Roman"/>
                <w:sz w:val="24"/>
                <w:szCs w:val="24"/>
              </w:rPr>
            </w:pPr>
          </w:p>
        </w:tc>
        <w:tc>
          <w:tcPr>
            <w:tcW w:w="1560" w:type="dxa"/>
          </w:tcPr>
          <w:p w:rsidR="00194B43" w:rsidRPr="009B7E0C" w:rsidRDefault="00194B43" w:rsidP="00194B43">
            <w:pPr>
              <w:jc w:val="both"/>
              <w:rPr>
                <w:rFonts w:cs="Times New Roman"/>
                <w:sz w:val="24"/>
                <w:szCs w:val="24"/>
              </w:rPr>
            </w:pPr>
            <w:r w:rsidRPr="009B7E0C">
              <w:rPr>
                <w:rFonts w:cs="Times New Roman"/>
                <w:sz w:val="24"/>
                <w:szCs w:val="24"/>
              </w:rPr>
              <w:lastRenderedPageBreak/>
              <w:t>Pretende incorporar nuevamente en el texto la facultad de jurisdiccional en cabeza de la contraloría.</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lastRenderedPageBreak/>
              <w:t>Gabriel Vallejo</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t>Artículo 2 – Numeral 1</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Modificativa</w:t>
            </w:r>
          </w:p>
        </w:tc>
        <w:tc>
          <w:tcPr>
            <w:tcW w:w="3260" w:type="dxa"/>
          </w:tcPr>
          <w:p w:rsidR="00194B43" w:rsidRPr="009B7E0C" w:rsidRDefault="00194B43" w:rsidP="00194B43">
            <w:pPr>
              <w:pStyle w:val="Prrafodelista"/>
              <w:numPr>
                <w:ilvl w:val="0"/>
                <w:numId w:val="24"/>
              </w:numPr>
              <w:jc w:val="both"/>
              <w:rPr>
                <w:sz w:val="24"/>
                <w:szCs w:val="24"/>
                <w:lang w:val="es-CO"/>
              </w:rPr>
            </w:pPr>
            <w:r w:rsidRPr="009B7E0C">
              <w:rPr>
                <w:sz w:val="24"/>
                <w:szCs w:val="24"/>
                <w:lang w:val="es-CO"/>
              </w:rPr>
              <w:t>Ejercer la titularidad de la acción fiscal en los procesos jurisdiccionales de responsabilidad fiscal, sin perjuicio de su facultad de delegación.</w:t>
            </w:r>
          </w:p>
        </w:tc>
        <w:tc>
          <w:tcPr>
            <w:tcW w:w="1560" w:type="dxa"/>
          </w:tcPr>
          <w:p w:rsidR="00194B43" w:rsidRPr="009B7E0C" w:rsidRDefault="00194B43" w:rsidP="00194B43">
            <w:pPr>
              <w:jc w:val="both"/>
              <w:rPr>
                <w:rFonts w:cs="Times New Roman"/>
                <w:sz w:val="24"/>
                <w:szCs w:val="24"/>
              </w:rPr>
            </w:pPr>
            <w:r w:rsidRPr="009B7E0C">
              <w:rPr>
                <w:rFonts w:cs="Times New Roman"/>
                <w:sz w:val="24"/>
                <w:szCs w:val="24"/>
              </w:rPr>
              <w:t>Pretende incorporar un nuevo numeral en el cual se otorgue la titularidad de la acción fiscal en los procesos jurisdiccionales.</w:t>
            </w:r>
          </w:p>
        </w:tc>
      </w:tr>
      <w:tr w:rsidR="00194B43" w:rsidRPr="009B7E0C" w:rsidTr="00194B43">
        <w:tc>
          <w:tcPr>
            <w:tcW w:w="1129" w:type="dxa"/>
          </w:tcPr>
          <w:p w:rsidR="00194B43" w:rsidRPr="009B7E0C" w:rsidRDefault="00194B43" w:rsidP="00194B43">
            <w:pPr>
              <w:jc w:val="center"/>
              <w:rPr>
                <w:rFonts w:cs="Times New Roman"/>
                <w:sz w:val="24"/>
                <w:szCs w:val="24"/>
              </w:rPr>
            </w:pPr>
            <w:r w:rsidRPr="009B7E0C">
              <w:rPr>
                <w:rFonts w:cs="Times New Roman"/>
                <w:sz w:val="24"/>
                <w:szCs w:val="24"/>
              </w:rPr>
              <w:t>Juanita Goebertus</w:t>
            </w:r>
          </w:p>
        </w:tc>
        <w:tc>
          <w:tcPr>
            <w:tcW w:w="993" w:type="dxa"/>
          </w:tcPr>
          <w:p w:rsidR="00194B43" w:rsidRPr="009B7E0C" w:rsidRDefault="00194B43" w:rsidP="00194B43">
            <w:pPr>
              <w:jc w:val="center"/>
              <w:rPr>
                <w:rFonts w:cs="Times New Roman"/>
                <w:sz w:val="24"/>
                <w:szCs w:val="24"/>
              </w:rPr>
            </w:pPr>
            <w:r w:rsidRPr="009B7E0C">
              <w:rPr>
                <w:rFonts w:cs="Times New Roman"/>
                <w:sz w:val="24"/>
                <w:szCs w:val="24"/>
              </w:rPr>
              <w:t>Artículo 2 – Parágrafo Transitorio</w:t>
            </w:r>
          </w:p>
        </w:tc>
        <w:tc>
          <w:tcPr>
            <w:tcW w:w="1417" w:type="dxa"/>
          </w:tcPr>
          <w:p w:rsidR="00194B43" w:rsidRPr="009B7E0C" w:rsidRDefault="00194B43" w:rsidP="00194B43">
            <w:pPr>
              <w:jc w:val="center"/>
              <w:rPr>
                <w:rFonts w:cs="Times New Roman"/>
                <w:sz w:val="24"/>
                <w:szCs w:val="24"/>
              </w:rPr>
            </w:pPr>
            <w:r w:rsidRPr="009B7E0C">
              <w:rPr>
                <w:rFonts w:cs="Times New Roman"/>
                <w:sz w:val="24"/>
                <w:szCs w:val="24"/>
              </w:rPr>
              <w:t>Modificativa</w:t>
            </w:r>
          </w:p>
        </w:tc>
        <w:tc>
          <w:tcPr>
            <w:tcW w:w="3260" w:type="dxa"/>
          </w:tcPr>
          <w:p w:rsidR="00194B43" w:rsidRPr="009B7E0C" w:rsidRDefault="00194B43" w:rsidP="00194B43">
            <w:pPr>
              <w:spacing w:after="200" w:line="20" w:lineRule="atLeast"/>
              <w:contextualSpacing/>
              <w:jc w:val="both"/>
              <w:rPr>
                <w:rFonts w:cs="Times New Roman"/>
                <w:bCs/>
                <w:iCs/>
                <w:sz w:val="24"/>
                <w:szCs w:val="24"/>
                <w:lang w:val="es-ES" w:eastAsia="es-ES"/>
              </w:rPr>
            </w:pPr>
            <w:r w:rsidRPr="009B7E0C">
              <w:rPr>
                <w:rFonts w:cs="Times New Roman"/>
                <w:b/>
                <w:bCs/>
                <w:iCs/>
                <w:sz w:val="24"/>
                <w:szCs w:val="24"/>
                <w:lang w:val="es-ES" w:eastAsia="es-ES"/>
              </w:rPr>
              <w:t>Parágrafo transitorio.</w:t>
            </w:r>
            <w:r w:rsidRPr="009B7E0C">
              <w:rPr>
                <w:rFonts w:cs="Times New Roman"/>
                <w:bCs/>
                <w:iCs/>
                <w:sz w:val="24"/>
                <w:szCs w:val="24"/>
                <w:lang w:val="es-ES" w:eastAsia="es-ES"/>
              </w:rPr>
              <w:t xml:space="preserve"> La asignación básica mensual de los servidores de la Contraloría General de la República y su planta transitoria será equiparada a los de los empleos equivalentes de otros organismos de control de nivel nacional. Para la correcta 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w:t>
            </w:r>
            <w:r w:rsidRPr="009B7E0C">
              <w:rPr>
                <w:rFonts w:cs="Times New Roman"/>
                <w:bCs/>
                <w:iCs/>
                <w:sz w:val="24"/>
                <w:szCs w:val="24"/>
                <w:lang w:val="es-ES" w:eastAsia="es-ES"/>
              </w:rPr>
              <w:lastRenderedPageBreak/>
              <w:t xml:space="preserve">garantizando la estabilidad laboral de los servidores inscritos en carrera pertenecientes a esa entidad y a contralorías territoriales intervenidas o suprimidas. Para los efectos del presente parágrafo y el desarrollo de este acto legislativo, otórguense facultades extraordinarias por el término de seis meses al Presidente de la República para expedir decretos con fuerza de ley. </w:t>
            </w:r>
          </w:p>
          <w:p w:rsidR="00194B43" w:rsidRPr="009B7E0C" w:rsidRDefault="00194B43" w:rsidP="00194B43">
            <w:pPr>
              <w:kinsoku w:val="0"/>
              <w:overflowPunct w:val="0"/>
              <w:spacing w:line="20" w:lineRule="atLeast"/>
              <w:jc w:val="both"/>
              <w:textAlignment w:val="baseline"/>
              <w:rPr>
                <w:rFonts w:cs="Times New Roman"/>
                <w:bCs/>
                <w:iCs/>
                <w:sz w:val="24"/>
                <w:szCs w:val="24"/>
                <w:lang w:val="es-ES" w:eastAsia="es-ES"/>
              </w:rPr>
            </w:pPr>
          </w:p>
          <w:p w:rsidR="00194B43" w:rsidRPr="009B7E0C" w:rsidRDefault="00194B43" w:rsidP="00194B43">
            <w:pPr>
              <w:kinsoku w:val="0"/>
              <w:overflowPunct w:val="0"/>
              <w:spacing w:line="20" w:lineRule="atLeast"/>
              <w:jc w:val="both"/>
              <w:textAlignment w:val="baseline"/>
              <w:rPr>
                <w:rFonts w:cs="Times New Roman"/>
                <w:bCs/>
                <w:iCs/>
                <w:sz w:val="24"/>
                <w:szCs w:val="24"/>
                <w:lang w:val="es-ES" w:eastAsia="es-ES"/>
              </w:rPr>
            </w:pPr>
            <w:r w:rsidRPr="009B7E0C">
              <w:rPr>
                <w:rFonts w:cs="Times New Roman"/>
                <w:bCs/>
                <w:iCs/>
                <w:sz w:val="24"/>
                <w:szCs w:val="24"/>
                <w:lang w:val="es-ES" w:eastAsia="es-ES"/>
              </w:rPr>
              <w:t xml:space="preserve">Así mismo, el Congreso de la República expedirá, con criterios unificados, las leyes que garanticen la autonomía presupuestal y la sostenibilidad financiera y administrativa de los organismos de control fiscal territoriales y unas apropiaciones progresivas que incrementarán el presupuesto de la Contraloría General de la República durante las siguientes tres vigencias en 250.000, 250.000 y 136.000 millones de pesos respectivamente. Dichas apropiaciones no serán tenidas en cuenta al momento de decretar aplazamientos del Presupuesto General de la Nación. </w:t>
            </w:r>
          </w:p>
          <w:p w:rsidR="00194B43" w:rsidRPr="009B7E0C" w:rsidRDefault="00194B43" w:rsidP="00194B43">
            <w:pPr>
              <w:kinsoku w:val="0"/>
              <w:overflowPunct w:val="0"/>
              <w:spacing w:line="20" w:lineRule="atLeast"/>
              <w:jc w:val="both"/>
              <w:textAlignment w:val="baseline"/>
              <w:rPr>
                <w:rFonts w:cs="Times New Roman"/>
                <w:bCs/>
                <w:iCs/>
                <w:sz w:val="24"/>
                <w:szCs w:val="24"/>
                <w:lang w:val="es-ES" w:eastAsia="es-ES"/>
              </w:rPr>
            </w:pPr>
          </w:p>
          <w:p w:rsidR="00194B43" w:rsidRPr="009B7E0C" w:rsidRDefault="00194B43" w:rsidP="00194B43">
            <w:pPr>
              <w:kinsoku w:val="0"/>
              <w:overflowPunct w:val="0"/>
              <w:spacing w:line="20" w:lineRule="atLeast"/>
              <w:jc w:val="both"/>
              <w:textAlignment w:val="baseline"/>
              <w:rPr>
                <w:rFonts w:cs="Times New Roman"/>
                <w:iCs/>
                <w:sz w:val="24"/>
                <w:szCs w:val="24"/>
                <w:lang w:val="es-ES" w:eastAsia="es-ES"/>
              </w:rPr>
            </w:pPr>
            <w:r w:rsidRPr="009B7E0C">
              <w:rPr>
                <w:rFonts w:cs="Times New Roman"/>
                <w:iCs/>
                <w:sz w:val="24"/>
                <w:szCs w:val="24"/>
                <w:lang w:val="es-ES" w:eastAsia="es-ES"/>
              </w:rPr>
              <w:t>En los siguientes cuatrienios dichas apropiaciones estarán de acuerdo con el marco fiscal de mediano plazo.</w:t>
            </w:r>
          </w:p>
          <w:p w:rsidR="00194B43" w:rsidRPr="009B7E0C" w:rsidRDefault="00194B43" w:rsidP="00194B43">
            <w:pPr>
              <w:kinsoku w:val="0"/>
              <w:overflowPunct w:val="0"/>
              <w:spacing w:line="20" w:lineRule="atLeast"/>
              <w:jc w:val="both"/>
              <w:textAlignment w:val="baseline"/>
              <w:rPr>
                <w:rFonts w:cs="Times New Roman"/>
                <w:iCs/>
                <w:sz w:val="24"/>
                <w:szCs w:val="24"/>
                <w:lang w:val="es-ES" w:eastAsia="es-ES"/>
              </w:rPr>
            </w:pPr>
          </w:p>
          <w:p w:rsidR="00194B43" w:rsidRPr="009B7E0C" w:rsidRDefault="00194B43" w:rsidP="00194B43">
            <w:pPr>
              <w:jc w:val="center"/>
              <w:rPr>
                <w:rFonts w:cs="Times New Roman"/>
                <w:sz w:val="24"/>
                <w:szCs w:val="24"/>
              </w:rPr>
            </w:pPr>
          </w:p>
        </w:tc>
        <w:tc>
          <w:tcPr>
            <w:tcW w:w="1560" w:type="dxa"/>
          </w:tcPr>
          <w:p w:rsidR="00194B43" w:rsidRPr="009B7E0C" w:rsidRDefault="00194B43" w:rsidP="00194B43">
            <w:pPr>
              <w:jc w:val="both"/>
              <w:rPr>
                <w:rFonts w:cs="Times New Roman"/>
                <w:sz w:val="24"/>
                <w:szCs w:val="24"/>
              </w:rPr>
            </w:pPr>
            <w:r w:rsidRPr="009B7E0C">
              <w:rPr>
                <w:rFonts w:cs="Times New Roman"/>
                <w:sz w:val="24"/>
                <w:szCs w:val="24"/>
              </w:rPr>
              <w:lastRenderedPageBreak/>
              <w:t>Pretende eliminar las facultades Presidenciales y las apropiaciones presupuestales necesarias para el desarrollo del Presente Proyecto.</w:t>
            </w:r>
          </w:p>
        </w:tc>
      </w:tr>
    </w:tbl>
    <w:p w:rsidR="00194B43" w:rsidRPr="009B7E0C" w:rsidRDefault="00194B43" w:rsidP="00194B43">
      <w:pPr>
        <w:jc w:val="both"/>
        <w:rPr>
          <w:rStyle w:val="Ninguno"/>
          <w:rFonts w:eastAsia="Arial" w:cs="Times New Roman"/>
          <w:sz w:val="24"/>
          <w:szCs w:val="24"/>
          <w:lang w:val="es-ES"/>
        </w:rPr>
      </w:pPr>
    </w:p>
    <w:p w:rsidR="00194B43" w:rsidRPr="009B7E0C" w:rsidRDefault="00194B43" w:rsidP="00194B43">
      <w:pPr>
        <w:jc w:val="both"/>
        <w:rPr>
          <w:rStyle w:val="Ninguno"/>
          <w:rFonts w:eastAsia="Arial" w:cs="Times New Roman"/>
          <w:sz w:val="24"/>
          <w:szCs w:val="24"/>
          <w:lang w:val="es-ES"/>
        </w:rPr>
      </w:pPr>
      <w:r w:rsidRPr="009B7E0C">
        <w:rPr>
          <w:rStyle w:val="Ninguno"/>
          <w:rFonts w:eastAsia="Arial" w:cs="Times New Roman"/>
          <w:sz w:val="24"/>
          <w:szCs w:val="24"/>
          <w:lang w:val="es-ES"/>
        </w:rPr>
        <w:lastRenderedPageBreak/>
        <w:t xml:space="preserve">En el trámite del debate se aprobaron cinco proposiciones y se presentaron 3 constancias, ninguna proposición fue votada de manera negativa. </w:t>
      </w:r>
    </w:p>
    <w:p w:rsidR="00194B43" w:rsidRPr="009B7E0C" w:rsidRDefault="00194B43" w:rsidP="00194B43">
      <w:pPr>
        <w:jc w:val="both"/>
        <w:rPr>
          <w:rStyle w:val="Ninguno"/>
          <w:rFonts w:eastAsia="Arial" w:cs="Times New Roman"/>
          <w:b/>
          <w:sz w:val="24"/>
          <w:szCs w:val="24"/>
          <w:lang w:val="es-ES"/>
        </w:rPr>
      </w:pPr>
    </w:p>
    <w:p w:rsidR="00ED014C" w:rsidRPr="009B7E0C" w:rsidRDefault="00ED014C" w:rsidP="00194B43">
      <w:pPr>
        <w:jc w:val="center"/>
        <w:rPr>
          <w:rStyle w:val="Ninguno"/>
          <w:rFonts w:eastAsia="Arial" w:cs="Times New Roman"/>
          <w:b/>
          <w:sz w:val="24"/>
          <w:szCs w:val="24"/>
        </w:rPr>
      </w:pPr>
    </w:p>
    <w:p w:rsidR="00ED014C" w:rsidRPr="009B7E0C" w:rsidRDefault="00ED014C" w:rsidP="00194B43">
      <w:pPr>
        <w:jc w:val="center"/>
        <w:rPr>
          <w:rStyle w:val="Ninguno"/>
          <w:rFonts w:eastAsia="Arial" w:cs="Times New Roman"/>
          <w:b/>
          <w:sz w:val="24"/>
          <w:szCs w:val="24"/>
        </w:rPr>
      </w:pPr>
    </w:p>
    <w:p w:rsidR="00ED014C" w:rsidRPr="009B7E0C" w:rsidRDefault="00ED014C" w:rsidP="00194B43">
      <w:pPr>
        <w:jc w:val="center"/>
        <w:rPr>
          <w:rStyle w:val="Ninguno"/>
          <w:rFonts w:eastAsia="Arial" w:cs="Times New Roman"/>
          <w:b/>
          <w:sz w:val="24"/>
          <w:szCs w:val="24"/>
        </w:rPr>
      </w:pPr>
    </w:p>
    <w:p w:rsidR="00194B43" w:rsidRPr="009B7E0C" w:rsidRDefault="00194B43" w:rsidP="00194B43">
      <w:pPr>
        <w:jc w:val="center"/>
        <w:rPr>
          <w:rStyle w:val="Ninguno"/>
          <w:rFonts w:cs="Times New Roman"/>
          <w:b/>
          <w:bCs/>
          <w:spacing w:val="2"/>
          <w:sz w:val="24"/>
          <w:szCs w:val="24"/>
        </w:rPr>
      </w:pPr>
      <w:r w:rsidRPr="009B7E0C">
        <w:rPr>
          <w:rStyle w:val="Ninguno"/>
          <w:rFonts w:eastAsia="Arial" w:cs="Times New Roman"/>
          <w:b/>
          <w:sz w:val="24"/>
          <w:szCs w:val="24"/>
        </w:rPr>
        <w:t xml:space="preserve">TEXTO APROBADO EN LA COMISIÓN PRIMERA DE LA HONORABLE CÁMARA DE REPRESENTANTES EN PRIMER DEBATE, SEGUNDA VUELTA AL </w:t>
      </w:r>
      <w:r w:rsidRPr="009B7E0C">
        <w:rPr>
          <w:rStyle w:val="Ninguno"/>
          <w:rFonts w:cs="Times New Roman"/>
          <w:b/>
          <w:bCs/>
          <w:spacing w:val="2"/>
          <w:sz w:val="24"/>
          <w:szCs w:val="24"/>
        </w:rPr>
        <w:t>PROYECTO DE ACTO LEGISLATIVO N° 355 DE 2019 CÁMARA - 039 DE 2019 SENADO</w:t>
      </w:r>
    </w:p>
    <w:p w:rsidR="00194B43" w:rsidRPr="009B7E0C" w:rsidRDefault="00194B43" w:rsidP="00194B43">
      <w:pPr>
        <w:jc w:val="both"/>
        <w:rPr>
          <w:rStyle w:val="Ninguno"/>
          <w:rFonts w:eastAsia="Arial" w:cs="Times New Roman"/>
          <w:b/>
          <w:bCs/>
          <w:sz w:val="24"/>
          <w:szCs w:val="24"/>
        </w:rPr>
      </w:pPr>
    </w:p>
    <w:p w:rsidR="00194B43" w:rsidRPr="009B7E0C" w:rsidRDefault="00194B43" w:rsidP="00194B43">
      <w:pPr>
        <w:jc w:val="center"/>
        <w:outlineLvl w:val="0"/>
        <w:rPr>
          <w:rStyle w:val="Ninguno"/>
          <w:rFonts w:eastAsia="Arial" w:cs="Times New Roman"/>
          <w:b/>
          <w:bCs/>
          <w:sz w:val="24"/>
          <w:szCs w:val="24"/>
        </w:rPr>
      </w:pPr>
      <w:r w:rsidRPr="009B7E0C">
        <w:rPr>
          <w:rStyle w:val="Ninguno"/>
          <w:rFonts w:cs="Times New Roman"/>
          <w:b/>
          <w:bCs/>
          <w:sz w:val="24"/>
          <w:szCs w:val="24"/>
        </w:rPr>
        <w:t>“POR MEDIO DEL CUAL SE REFORMA EL RÉGIMEN DE CONTROL FISCAL”</w:t>
      </w:r>
    </w:p>
    <w:p w:rsidR="00194B43" w:rsidRPr="009B7E0C" w:rsidRDefault="00194B43" w:rsidP="00194B43">
      <w:pPr>
        <w:rPr>
          <w:rStyle w:val="Ninguno"/>
          <w:rFonts w:eastAsia="Arial" w:cs="Times New Roman"/>
          <w:b/>
          <w:bCs/>
          <w:sz w:val="24"/>
          <w:szCs w:val="24"/>
        </w:rPr>
      </w:pPr>
    </w:p>
    <w:p w:rsidR="00194B43" w:rsidRPr="009B7E0C" w:rsidRDefault="00194B43" w:rsidP="00194B43">
      <w:pPr>
        <w:jc w:val="center"/>
        <w:outlineLvl w:val="0"/>
        <w:rPr>
          <w:rStyle w:val="Ninguno"/>
          <w:rFonts w:eastAsia="Arial" w:cs="Times New Roman"/>
          <w:b/>
          <w:bCs/>
          <w:sz w:val="24"/>
          <w:szCs w:val="24"/>
        </w:rPr>
      </w:pPr>
      <w:r w:rsidRPr="009B7E0C">
        <w:rPr>
          <w:rStyle w:val="Ninguno"/>
          <w:rFonts w:cs="Times New Roman"/>
          <w:b/>
          <w:bCs/>
          <w:sz w:val="24"/>
          <w:szCs w:val="24"/>
        </w:rPr>
        <w:t>EL CONGRESO DE COLOMBIA,</w:t>
      </w:r>
    </w:p>
    <w:p w:rsidR="00194B43" w:rsidRPr="009B7E0C" w:rsidRDefault="00194B43" w:rsidP="00194B43">
      <w:pPr>
        <w:jc w:val="center"/>
        <w:outlineLvl w:val="0"/>
        <w:rPr>
          <w:rStyle w:val="Ninguno"/>
          <w:rFonts w:eastAsia="Arial" w:cs="Times New Roman"/>
          <w:b/>
          <w:bCs/>
          <w:sz w:val="24"/>
          <w:szCs w:val="24"/>
        </w:rPr>
      </w:pPr>
    </w:p>
    <w:p w:rsidR="00194B43" w:rsidRPr="009B7E0C" w:rsidRDefault="00194B43" w:rsidP="00194B43">
      <w:pPr>
        <w:jc w:val="center"/>
        <w:outlineLvl w:val="0"/>
        <w:rPr>
          <w:rStyle w:val="Ninguno"/>
          <w:rFonts w:eastAsia="Arial" w:cs="Times New Roman"/>
          <w:b/>
          <w:bCs/>
          <w:sz w:val="24"/>
          <w:szCs w:val="24"/>
        </w:rPr>
      </w:pPr>
      <w:r w:rsidRPr="009B7E0C">
        <w:rPr>
          <w:rStyle w:val="Ninguno"/>
          <w:rFonts w:cs="Times New Roman"/>
          <w:b/>
          <w:bCs/>
          <w:sz w:val="24"/>
          <w:szCs w:val="24"/>
        </w:rPr>
        <w:t>DECRETA:</w:t>
      </w:r>
    </w:p>
    <w:p w:rsidR="00194B43" w:rsidRPr="009B7E0C" w:rsidRDefault="00194B43" w:rsidP="00194B43">
      <w:pPr>
        <w:kinsoku w:val="0"/>
        <w:overflowPunct w:val="0"/>
        <w:spacing w:line="20" w:lineRule="atLeast"/>
        <w:jc w:val="both"/>
        <w:textAlignment w:val="baseline"/>
        <w:rPr>
          <w:rFonts w:cs="Times New Roman"/>
          <w:b/>
          <w:bCs/>
          <w:sz w:val="24"/>
          <w:szCs w:val="24"/>
        </w:rPr>
      </w:pPr>
    </w:p>
    <w:p w:rsidR="00194B43" w:rsidRPr="009B7E0C" w:rsidRDefault="00194B43" w:rsidP="00194B43">
      <w:pPr>
        <w:kinsoku w:val="0"/>
        <w:overflowPunct w:val="0"/>
        <w:spacing w:line="20" w:lineRule="atLeast"/>
        <w:jc w:val="both"/>
        <w:textAlignment w:val="baseline"/>
        <w:rPr>
          <w:rFonts w:cs="Times New Roman"/>
          <w:sz w:val="24"/>
          <w:szCs w:val="24"/>
        </w:rPr>
      </w:pPr>
      <w:r w:rsidRPr="009B7E0C">
        <w:rPr>
          <w:rFonts w:cs="Times New Roman"/>
          <w:b/>
          <w:bCs/>
          <w:sz w:val="24"/>
          <w:szCs w:val="24"/>
        </w:rPr>
        <w:t>Artículo 1.</w:t>
      </w:r>
      <w:r w:rsidRPr="009B7E0C">
        <w:rPr>
          <w:rFonts w:cs="Times New Roman"/>
          <w:bCs/>
          <w:sz w:val="24"/>
          <w:szCs w:val="24"/>
        </w:rPr>
        <w:t xml:space="preserve"> </w:t>
      </w:r>
      <w:r w:rsidRPr="009B7E0C">
        <w:rPr>
          <w:rFonts w:cs="Times New Roman"/>
          <w:sz w:val="24"/>
          <w:szCs w:val="24"/>
        </w:rPr>
        <w:t>El Artículo 267 de la Constitución Política de Colombia quedará así:</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outlineLvl w:val="0"/>
        <w:rPr>
          <w:rFonts w:cs="Times New Roman"/>
          <w:bCs/>
          <w:iCs/>
          <w:sz w:val="24"/>
          <w:szCs w:val="24"/>
        </w:rPr>
      </w:pPr>
      <w:r w:rsidRPr="009B7E0C">
        <w:rPr>
          <w:rFonts w:cs="Times New Roman"/>
          <w:iCs/>
          <w:sz w:val="24"/>
          <w:szCs w:val="24"/>
        </w:rPr>
        <w:t>“</w:t>
      </w:r>
      <w:r w:rsidRPr="009B7E0C">
        <w:rPr>
          <w:rFonts w:cs="Times New Roman"/>
          <w:b/>
          <w:bCs/>
          <w:iCs/>
          <w:sz w:val="24"/>
          <w:szCs w:val="24"/>
        </w:rPr>
        <w:t>Artículo 267.</w:t>
      </w:r>
      <w:r w:rsidRPr="009B7E0C">
        <w:rPr>
          <w:rFonts w:cs="Times New Roman"/>
          <w:iCs/>
          <w:sz w:val="24"/>
          <w:szCs w:val="24"/>
        </w:rPr>
        <w:t xml:space="preserve"> La vigilancia</w:t>
      </w:r>
      <w:r w:rsidRPr="009B7E0C">
        <w:rPr>
          <w:rFonts w:cs="Times New Roman"/>
          <w:bCs/>
          <w:iCs/>
          <w:sz w:val="24"/>
          <w:szCs w:val="24"/>
        </w:rPr>
        <w:t xml:space="preserve"> y </w:t>
      </w:r>
      <w:r w:rsidRPr="009B7E0C">
        <w:rPr>
          <w:rFonts w:cs="Times New Roman"/>
          <w:iCs/>
          <w:sz w:val="24"/>
          <w:szCs w:val="24"/>
        </w:rPr>
        <w:t xml:space="preserve">el control fiscal son una función pública que ejercerá la Contraloría General de la República, la cual vigila la gestión fiscal de la administración y de los particulares o entidades que manejen fondos o bienes </w:t>
      </w:r>
      <w:r w:rsidRPr="009B7E0C">
        <w:rPr>
          <w:rFonts w:cs="Times New Roman"/>
          <w:bCs/>
          <w:iCs/>
          <w:sz w:val="24"/>
          <w:szCs w:val="24"/>
        </w:rPr>
        <w:t>públicos, en todos los niveles administrativos y respecto de todo tipo de recursos públicos.</w:t>
      </w:r>
      <w:r w:rsidRPr="009B7E0C">
        <w:rPr>
          <w:rFonts w:cs="Times New Roman"/>
          <w:bCs/>
          <w:sz w:val="24"/>
          <w:szCs w:val="24"/>
        </w:rPr>
        <w:t xml:space="preserve"> La</w:t>
      </w:r>
      <w:r w:rsidRPr="009B7E0C">
        <w:rPr>
          <w:rFonts w:cs="Times New Roman"/>
          <w:bCs/>
          <w:iCs/>
          <w:sz w:val="24"/>
          <w:szCs w:val="24"/>
        </w:rPr>
        <w:t xml:space="preserve"> ley reglamentará el ejercicio de las competencias entre contralorías, en observancia de los principios de coordinación, concurrencia y subsidiariedad. El control ejercido por la Contraloría general de la República será preferente en los términos que defina la ley. </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bCs/>
          <w:iCs/>
          <w:sz w:val="24"/>
          <w:szCs w:val="24"/>
        </w:rPr>
      </w:pPr>
      <w:r w:rsidRPr="009B7E0C">
        <w:rPr>
          <w:rFonts w:cs="Times New Roman"/>
          <w:bCs/>
          <w:iCs/>
          <w:sz w:val="24"/>
          <w:szCs w:val="24"/>
        </w:rPr>
        <w:t>El control fiscal podrá ser preventivo, concomitante, posterior y selectivo, según sea necesario para garantizar la defensa y protección del patrimonio público. El Control Preventivo y Concomitante no implicará coadministración y se realizará en tiempo real a través del seguimiento permanente del recurso público, sus ciclos, uso, ejecución, contratación e impacto, mediante el uso de tecnologías de la información y con la participación activa del control social. La ley regulará su ejercicio y los sistemas y principios aplicables para cada tipo de control.</w:t>
      </w:r>
    </w:p>
    <w:p w:rsidR="00194B43" w:rsidRPr="009B7E0C" w:rsidRDefault="00194B43" w:rsidP="00194B43">
      <w:pPr>
        <w:kinsoku w:val="0"/>
        <w:overflowPunct w:val="0"/>
        <w:spacing w:line="20" w:lineRule="atLeast"/>
        <w:jc w:val="both"/>
        <w:textAlignment w:val="baseline"/>
        <w:rPr>
          <w:rFonts w:cs="Times New Roman"/>
          <w:bCs/>
          <w:iCs/>
          <w:sz w:val="24"/>
          <w:szCs w:val="24"/>
        </w:rPr>
      </w:pPr>
    </w:p>
    <w:p w:rsidR="00194B43" w:rsidRPr="009B7E0C" w:rsidRDefault="00194B43" w:rsidP="00194B43">
      <w:pPr>
        <w:kinsoku w:val="0"/>
        <w:overflowPunct w:val="0"/>
        <w:spacing w:line="20" w:lineRule="atLeast"/>
        <w:jc w:val="both"/>
        <w:textAlignment w:val="baseline"/>
        <w:rPr>
          <w:rFonts w:cs="Times New Roman"/>
          <w:bCs/>
          <w:iCs/>
          <w:sz w:val="24"/>
          <w:szCs w:val="24"/>
        </w:rPr>
      </w:pPr>
      <w:r w:rsidRPr="009B7E0C">
        <w:rPr>
          <w:rFonts w:cs="Times New Roman"/>
          <w:iCs/>
          <w:sz w:val="24"/>
          <w:szCs w:val="24"/>
        </w:rPr>
        <w:t xml:space="preserve">La vigilancia de la gestión fiscal del Estado incluye </w:t>
      </w:r>
      <w:r w:rsidRPr="009B7E0C">
        <w:rPr>
          <w:rFonts w:cs="Times New Roman"/>
          <w:bCs/>
          <w:iCs/>
          <w:sz w:val="24"/>
          <w:szCs w:val="24"/>
        </w:rPr>
        <w:t>el seguimiento permanente al recurso público, sin oponibilidad de reserva legal para el acceso a la información por parte de los órganos de control fiscal</w:t>
      </w:r>
      <w:r w:rsidRPr="009B7E0C">
        <w:rPr>
          <w:rFonts w:cs="Times New Roman"/>
          <w:iCs/>
          <w:sz w:val="24"/>
          <w:szCs w:val="24"/>
        </w:rPr>
        <w:t xml:space="preserve">, y el control financiero, de gestión y de resultados, fundado en la eficiencia, la economía, la equidad </w:t>
      </w:r>
      <w:r w:rsidRPr="009B7E0C">
        <w:rPr>
          <w:rFonts w:cs="Times New Roman"/>
          <w:bCs/>
          <w:iCs/>
          <w:sz w:val="24"/>
          <w:szCs w:val="24"/>
        </w:rPr>
        <w:t>y la sostenibilidad ambiental. La Contraloría General de la República tendrá competencia prevalente para ejercer control sobre la gestión de cualquier entidad territorial, de conformidad con lo que reglamente la Ley.</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bCs/>
          <w:iCs/>
          <w:sz w:val="24"/>
          <w:szCs w:val="24"/>
        </w:rPr>
      </w:pPr>
      <w:r w:rsidRPr="009B7E0C">
        <w:rPr>
          <w:rFonts w:cs="Times New Roman"/>
          <w:bCs/>
          <w:iCs/>
          <w:sz w:val="24"/>
          <w:szCs w:val="24"/>
        </w:rPr>
        <w:t xml:space="preserve">El control jurisdiccional de los fallos de responsabilidad fiscal gozará de etapas y términos procesales especiales con el objeto de garantizar la recuperación oportuna del recurso </w:t>
      </w:r>
      <w:r w:rsidRPr="009B7E0C">
        <w:rPr>
          <w:rFonts w:cs="Times New Roman"/>
          <w:bCs/>
          <w:iCs/>
          <w:sz w:val="24"/>
          <w:szCs w:val="24"/>
        </w:rPr>
        <w:lastRenderedPageBreak/>
        <w:t>público. Su trámite no podrá ser superior a un año en la forma en que lo regule la ley.</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iCs/>
          <w:sz w:val="24"/>
          <w:szCs w:val="24"/>
        </w:rPr>
      </w:pPr>
      <w:r w:rsidRPr="009B7E0C">
        <w:rPr>
          <w:rFonts w:cs="Times New Roman"/>
          <w:iCs/>
          <w:sz w:val="24"/>
          <w:szCs w:val="24"/>
        </w:rPr>
        <w:t xml:space="preserve">La Contraloría es una entidad de carácter técnico con autonomía administrativa y presupuestal. No tendrá funciones administrativas distintas de las inherentes a su propia organización y al cumplimiento de su misión constitucional. </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iCs/>
          <w:sz w:val="24"/>
          <w:szCs w:val="24"/>
        </w:rPr>
      </w:pPr>
      <w:r w:rsidRPr="009B7E0C">
        <w:rPr>
          <w:rFonts w:cs="Times New Roman"/>
          <w:iCs/>
          <w:sz w:val="24"/>
          <w:szCs w:val="24"/>
        </w:rPr>
        <w:t>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del mismo.</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iCs/>
          <w:spacing w:val="-2"/>
          <w:sz w:val="24"/>
          <w:szCs w:val="24"/>
        </w:rPr>
      </w:pPr>
      <w:r w:rsidRPr="009B7E0C">
        <w:rPr>
          <w:rFonts w:cs="Times New Roman"/>
          <w:iCs/>
          <w:spacing w:val="-2"/>
          <w:sz w:val="24"/>
          <w:szCs w:val="24"/>
        </w:rPr>
        <w:t>Solo el Congreso puede admitir la renuncia que presente el Contralor y proveer las faltas absolutas del cargo.</w:t>
      </w:r>
    </w:p>
    <w:p w:rsidR="00194B43" w:rsidRPr="009B7E0C" w:rsidRDefault="00194B43" w:rsidP="00194B43">
      <w:pPr>
        <w:kinsoku w:val="0"/>
        <w:overflowPunct w:val="0"/>
        <w:spacing w:line="20" w:lineRule="atLeast"/>
        <w:jc w:val="both"/>
        <w:textAlignment w:val="baseline"/>
        <w:rPr>
          <w:rFonts w:cs="Times New Roman"/>
          <w:iCs/>
          <w:spacing w:val="-2"/>
          <w:sz w:val="24"/>
          <w:szCs w:val="24"/>
        </w:rPr>
      </w:pPr>
    </w:p>
    <w:p w:rsidR="00194B43" w:rsidRPr="009B7E0C" w:rsidRDefault="00194B43" w:rsidP="00194B43">
      <w:pPr>
        <w:kinsoku w:val="0"/>
        <w:overflowPunct w:val="0"/>
        <w:spacing w:line="20" w:lineRule="atLeast"/>
        <w:jc w:val="both"/>
        <w:textAlignment w:val="baseline"/>
        <w:rPr>
          <w:rFonts w:cs="Times New Roman"/>
          <w:iCs/>
          <w:spacing w:val="-2"/>
          <w:sz w:val="24"/>
          <w:szCs w:val="24"/>
        </w:rPr>
      </w:pPr>
      <w:r w:rsidRPr="009B7E0C">
        <w:rPr>
          <w:rFonts w:cs="Times New Roman"/>
          <w:iCs/>
          <w:spacing w:val="-2"/>
          <w:sz w:val="24"/>
          <w:szCs w:val="24"/>
        </w:rPr>
        <w:t xml:space="preserve">Para ser elegido Contralor General de la República se requiere ser colombiano de nacimiento y en ejercicio de la ciudadanía; tener más de treinta y cinco años de edad; tener título universitario </w:t>
      </w:r>
      <w:r w:rsidRPr="009B7E0C">
        <w:rPr>
          <w:rFonts w:cs="Times New Roman"/>
          <w:b/>
          <w:bCs/>
          <w:iCs/>
          <w:spacing w:val="-2"/>
          <w:sz w:val="24"/>
          <w:szCs w:val="24"/>
          <w:u w:val="single"/>
        </w:rPr>
        <w:t>en ciencias jurídicas, humanas, económicas, financieras, administrativas o contables</w:t>
      </w:r>
      <w:r w:rsidRPr="009B7E0C">
        <w:rPr>
          <w:rFonts w:cs="Times New Roman"/>
          <w:iCs/>
          <w:spacing w:val="-2"/>
          <w:sz w:val="24"/>
          <w:szCs w:val="24"/>
        </w:rPr>
        <w:t xml:space="preserve"> </w:t>
      </w:r>
      <w:r w:rsidRPr="009B7E0C">
        <w:rPr>
          <w:rFonts w:cs="Times New Roman"/>
          <w:bCs/>
          <w:iCs/>
          <w:spacing w:val="-2"/>
          <w:sz w:val="24"/>
          <w:szCs w:val="24"/>
        </w:rPr>
        <w:t>y experiencia profesional no menor a 5 años o como docente universitario por el mismo tiempo</w:t>
      </w:r>
      <w:r w:rsidRPr="009B7E0C">
        <w:rPr>
          <w:rFonts w:cs="Times New Roman"/>
          <w:iCs/>
          <w:spacing w:val="-2"/>
          <w:sz w:val="24"/>
          <w:szCs w:val="24"/>
        </w:rPr>
        <w:t xml:space="preserve"> y acreditar las demás condiciones que exija la ley.</w:t>
      </w:r>
    </w:p>
    <w:p w:rsidR="00194B43" w:rsidRPr="009B7E0C" w:rsidRDefault="00194B43" w:rsidP="00194B43">
      <w:pPr>
        <w:kinsoku w:val="0"/>
        <w:overflowPunct w:val="0"/>
        <w:spacing w:line="20" w:lineRule="atLeast"/>
        <w:jc w:val="both"/>
        <w:textAlignment w:val="baseline"/>
        <w:rPr>
          <w:rFonts w:cs="Times New Roman"/>
          <w:iCs/>
          <w:spacing w:val="-2"/>
          <w:sz w:val="24"/>
          <w:szCs w:val="24"/>
        </w:rPr>
      </w:pPr>
    </w:p>
    <w:p w:rsidR="00194B43" w:rsidRPr="009B7E0C" w:rsidRDefault="00194B43" w:rsidP="00194B43">
      <w:pPr>
        <w:kinsoku w:val="0"/>
        <w:overflowPunct w:val="0"/>
        <w:spacing w:line="20" w:lineRule="atLeast"/>
        <w:jc w:val="both"/>
        <w:textAlignment w:val="baseline"/>
        <w:rPr>
          <w:rFonts w:cs="Times New Roman"/>
          <w:iCs/>
          <w:strike/>
          <w:sz w:val="24"/>
          <w:szCs w:val="24"/>
        </w:rPr>
      </w:pPr>
      <w:r w:rsidRPr="009B7E0C">
        <w:rPr>
          <w:rFonts w:cs="Times New Roman"/>
          <w:iCs/>
          <w:sz w:val="24"/>
          <w:szCs w:val="24"/>
        </w:rPr>
        <w:t>No podrá ser elegido Contralor General quien sea o haya sido miembro del Congreso o se haya desempeñado como gestor fiscal del orden nacional, en el año inmediatamente anterior a la elección. Tampoco podrá ser elegido quien haya sido condenado a pena de prisión por delitos comunes.</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iCs/>
          <w:sz w:val="24"/>
          <w:szCs w:val="24"/>
        </w:rPr>
      </w:pPr>
      <w:r w:rsidRPr="009B7E0C">
        <w:rPr>
          <w:rFonts w:cs="Times New Roman"/>
          <w:iCs/>
          <w:sz w:val="24"/>
          <w:szCs w:val="24"/>
        </w:rPr>
        <w:t>En ningún caso podrán intervenir en la postulación o elección del Contralor personas que se hallen dentro del cuarto grado de consanguinidad, segundo de afinidad y primero civil o legal respecto de los candidatos.</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spacing w:line="20" w:lineRule="atLeast"/>
        <w:jc w:val="both"/>
        <w:rPr>
          <w:rFonts w:cs="Times New Roman"/>
          <w:bCs/>
          <w:sz w:val="24"/>
          <w:szCs w:val="24"/>
        </w:rPr>
      </w:pPr>
      <w:r w:rsidRPr="009B7E0C">
        <w:rPr>
          <w:rFonts w:cs="Times New Roman"/>
          <w:bCs/>
          <w:sz w:val="24"/>
          <w:szCs w:val="24"/>
        </w:rPr>
        <w:t>Este control concomitante y preventivo será realizado en forma de advertencia al gestor fiscal y deberá estar incluido en un sistema general de advertencia que deberá ser público.”</w:t>
      </w:r>
    </w:p>
    <w:p w:rsidR="00194B43" w:rsidRPr="009B7E0C" w:rsidRDefault="00194B43" w:rsidP="00194B43">
      <w:pPr>
        <w:spacing w:line="20" w:lineRule="atLeast"/>
        <w:rPr>
          <w:rFonts w:cs="Times New Roman"/>
          <w:sz w:val="24"/>
          <w:szCs w:val="24"/>
        </w:rPr>
      </w:pPr>
    </w:p>
    <w:p w:rsidR="00194B43" w:rsidRPr="009B7E0C" w:rsidRDefault="00194B43" w:rsidP="00194B43">
      <w:pPr>
        <w:kinsoku w:val="0"/>
        <w:overflowPunct w:val="0"/>
        <w:spacing w:line="20" w:lineRule="atLeast"/>
        <w:jc w:val="both"/>
        <w:textAlignment w:val="baseline"/>
        <w:rPr>
          <w:rFonts w:cs="Times New Roman"/>
          <w:sz w:val="24"/>
          <w:szCs w:val="24"/>
        </w:rPr>
      </w:pPr>
      <w:r w:rsidRPr="009B7E0C">
        <w:rPr>
          <w:rFonts w:cs="Times New Roman"/>
          <w:b/>
          <w:bCs/>
          <w:sz w:val="24"/>
          <w:szCs w:val="24"/>
        </w:rPr>
        <w:t>Artículo 2.</w:t>
      </w:r>
      <w:r w:rsidRPr="009B7E0C">
        <w:rPr>
          <w:rFonts w:cs="Times New Roman"/>
          <w:bCs/>
          <w:sz w:val="24"/>
          <w:szCs w:val="24"/>
        </w:rPr>
        <w:t xml:space="preserve"> </w:t>
      </w:r>
      <w:r w:rsidRPr="009B7E0C">
        <w:rPr>
          <w:rFonts w:cs="Times New Roman"/>
          <w:sz w:val="24"/>
          <w:szCs w:val="24"/>
        </w:rPr>
        <w:t>El artículo 268 de la Constitución Política quedará así:</w:t>
      </w:r>
    </w:p>
    <w:p w:rsidR="00194B43" w:rsidRPr="009B7E0C" w:rsidRDefault="00194B43" w:rsidP="00194B43">
      <w:pPr>
        <w:kinsoku w:val="0"/>
        <w:overflowPunct w:val="0"/>
        <w:spacing w:line="20" w:lineRule="atLeast"/>
        <w:jc w:val="both"/>
        <w:textAlignment w:val="baseline"/>
        <w:rPr>
          <w:rFonts w:cs="Times New Roman"/>
          <w:bCs/>
          <w:sz w:val="24"/>
          <w:szCs w:val="24"/>
        </w:rPr>
      </w:pPr>
    </w:p>
    <w:p w:rsidR="00194B43" w:rsidRPr="009B7E0C" w:rsidRDefault="00194B43" w:rsidP="00194B43">
      <w:pPr>
        <w:kinsoku w:val="0"/>
        <w:overflowPunct w:val="0"/>
        <w:spacing w:line="20" w:lineRule="atLeast"/>
        <w:jc w:val="both"/>
        <w:textAlignment w:val="baseline"/>
        <w:outlineLvl w:val="0"/>
        <w:rPr>
          <w:rFonts w:cs="Times New Roman"/>
          <w:sz w:val="24"/>
          <w:szCs w:val="24"/>
        </w:rPr>
      </w:pPr>
      <w:r w:rsidRPr="009B7E0C">
        <w:rPr>
          <w:rFonts w:cs="Times New Roman"/>
          <w:bCs/>
          <w:sz w:val="24"/>
          <w:szCs w:val="24"/>
        </w:rPr>
        <w:t>“</w:t>
      </w:r>
      <w:r w:rsidRPr="009B7E0C">
        <w:rPr>
          <w:rFonts w:cs="Times New Roman"/>
          <w:b/>
          <w:bCs/>
          <w:sz w:val="24"/>
          <w:szCs w:val="24"/>
        </w:rPr>
        <w:t>Artículo 268.</w:t>
      </w:r>
      <w:r w:rsidRPr="009B7E0C">
        <w:rPr>
          <w:rFonts w:cs="Times New Roman"/>
          <w:bCs/>
          <w:sz w:val="24"/>
          <w:szCs w:val="24"/>
        </w:rPr>
        <w:t xml:space="preserve"> </w:t>
      </w:r>
      <w:r w:rsidRPr="009B7E0C">
        <w:rPr>
          <w:rFonts w:cs="Times New Roman"/>
          <w:sz w:val="24"/>
          <w:szCs w:val="24"/>
        </w:rPr>
        <w:t>El Contralor General de la República tendrá las siguientes atribuciones:</w:t>
      </w:r>
    </w:p>
    <w:p w:rsidR="00194B43" w:rsidRPr="009B7E0C" w:rsidRDefault="00194B43" w:rsidP="00194B43">
      <w:pPr>
        <w:pStyle w:val="Prrafodelista"/>
        <w:kinsoku w:val="0"/>
        <w:overflowPunct w:val="0"/>
        <w:spacing w:line="20" w:lineRule="atLeast"/>
        <w:ind w:left="303"/>
        <w:jc w:val="both"/>
        <w:textAlignment w:val="baseline"/>
        <w:rPr>
          <w:iCs/>
          <w:sz w:val="24"/>
          <w:szCs w:val="24"/>
          <w:lang w:val="es-ES" w:eastAsia="es-ES"/>
        </w:rPr>
      </w:pPr>
    </w:p>
    <w:p w:rsidR="00194B43" w:rsidRPr="009B7E0C" w:rsidRDefault="00194B43" w:rsidP="00194B43">
      <w:pPr>
        <w:pStyle w:val="Prrafodelista"/>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z w:val="24"/>
          <w:szCs w:val="24"/>
          <w:lang w:val="es-ES" w:eastAsia="es-ES"/>
        </w:rPr>
      </w:pPr>
      <w:r w:rsidRPr="009B7E0C">
        <w:rPr>
          <w:iCs/>
          <w:sz w:val="24"/>
          <w:szCs w:val="24"/>
          <w:lang w:val="es-ES" w:eastAsia="es-ES"/>
        </w:rPr>
        <w:t>Prescribir los métodos y la forma de rendir cuentas los responsables del manejo de fondos o bienes de la Nación e indicar los criterios de evaluación financiera, operativa y de resultados que deberán seguirse.</w:t>
      </w:r>
    </w:p>
    <w:p w:rsidR="00194B43" w:rsidRPr="009B7E0C" w:rsidRDefault="00194B43" w:rsidP="00194B43">
      <w:pPr>
        <w:pStyle w:val="Prrafodelista"/>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eastAsia="Calibri"/>
          <w:iCs/>
          <w:sz w:val="24"/>
          <w:szCs w:val="24"/>
          <w:lang w:val="es-ES" w:eastAsia="es-ES"/>
        </w:rPr>
      </w:pPr>
      <w:r w:rsidRPr="009B7E0C">
        <w:rPr>
          <w:rFonts w:eastAsia="Calibri"/>
          <w:iCs/>
          <w:sz w:val="24"/>
          <w:szCs w:val="24"/>
          <w:lang w:val="es-ES" w:eastAsia="es-ES"/>
        </w:rPr>
        <w:t xml:space="preserve">Revisar y fenecer las cuentas que deben llevar los responsables del erario y determinar el grado de eficiencia, eficacia y economía con que hayan obrado.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z w:val="24"/>
          <w:szCs w:val="24"/>
          <w:lang w:val="es-ES" w:eastAsia="es-ES"/>
        </w:rPr>
      </w:pPr>
      <w:r w:rsidRPr="009B7E0C">
        <w:rPr>
          <w:iCs/>
          <w:sz w:val="24"/>
          <w:szCs w:val="24"/>
          <w:lang w:val="es-ES" w:eastAsia="es-ES"/>
        </w:rPr>
        <w:lastRenderedPageBreak/>
        <w:t>Llevar un registro de la deuda pública de la Nación y de las entidades descentralizadas territorialmente o por servicios.</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trike/>
          <w:sz w:val="24"/>
          <w:szCs w:val="24"/>
          <w:lang w:val="es-ES" w:eastAsia="es-ES"/>
        </w:rPr>
      </w:pPr>
      <w:r w:rsidRPr="009B7E0C">
        <w:rPr>
          <w:iCs/>
          <w:sz w:val="24"/>
          <w:szCs w:val="24"/>
          <w:lang w:val="es-ES" w:eastAsia="es-ES"/>
        </w:rPr>
        <w:t xml:space="preserve">Exigir informes sobre su gestión fiscal a los empleados oficiales de cualquier orden y a toda persona o entidad pública o privada que administre fondos o bienes públicos.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200" w:after="200" w:line="20" w:lineRule="atLeast"/>
        <w:jc w:val="both"/>
        <w:textAlignment w:val="baseline"/>
        <w:rPr>
          <w:bCs/>
          <w:iCs/>
          <w:sz w:val="24"/>
          <w:szCs w:val="24"/>
          <w:lang w:val="es-ES" w:eastAsia="es-ES"/>
        </w:rPr>
      </w:pPr>
      <w:r w:rsidRPr="009B7E0C">
        <w:rPr>
          <w:iCs/>
          <w:sz w:val="24"/>
          <w:szCs w:val="24"/>
          <w:lang w:val="es-ES" w:eastAsia="es-ES"/>
        </w:rPr>
        <w:t xml:space="preserve">Establecer la responsabilidad que se derive de la gestión fiscal, imponer las sanciones pecuniarias que sean del caso, recaudar su monto y ejercer la jurisdicción coactiva, </w:t>
      </w:r>
      <w:r w:rsidRPr="009B7E0C">
        <w:rPr>
          <w:bCs/>
          <w:iCs/>
          <w:sz w:val="24"/>
          <w:szCs w:val="24"/>
          <w:lang w:val="es-ES" w:eastAsia="es-ES"/>
        </w:rPr>
        <w:t xml:space="preserve">para lo cual tendrá prelación.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sz w:val="24"/>
          <w:szCs w:val="24"/>
          <w:lang w:val="es-ES"/>
        </w:rPr>
      </w:pPr>
      <w:r w:rsidRPr="009B7E0C">
        <w:rPr>
          <w:sz w:val="24"/>
          <w:szCs w:val="24"/>
          <w:lang w:val="es-ES"/>
        </w:rPr>
        <w:t>Conceptuar la calidad y eficiencia del control fiscal interno de las entidades y organismos del Estado</w:t>
      </w:r>
      <w:r w:rsidRPr="009B7E0C">
        <w:rPr>
          <w:rFonts w:eastAsia="Calibri"/>
          <w:sz w:val="24"/>
          <w:szCs w:val="24"/>
          <w:lang w:val="es-ES"/>
        </w:rPr>
        <w:t>.</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z w:val="24"/>
          <w:szCs w:val="24"/>
          <w:lang w:val="es-ES" w:eastAsia="es-ES"/>
        </w:rPr>
      </w:pPr>
      <w:r w:rsidRPr="009B7E0C">
        <w:rPr>
          <w:iCs/>
          <w:sz w:val="24"/>
          <w:szCs w:val="24"/>
          <w:lang w:val="es-ES" w:eastAsia="es-ES"/>
        </w:rPr>
        <w:t>Presentar al Congreso de la República un informe anual sobre el estado de los recursos naturales y del ambiente.</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ind w:hanging="379"/>
        <w:jc w:val="both"/>
        <w:textAlignment w:val="baseline"/>
        <w:rPr>
          <w:b/>
          <w:bCs/>
          <w:iCs/>
          <w:sz w:val="24"/>
          <w:szCs w:val="24"/>
          <w:u w:val="single"/>
          <w:lang w:val="es-ES" w:eastAsia="es-ES"/>
        </w:rPr>
      </w:pPr>
      <w:r w:rsidRPr="009B7E0C">
        <w:rPr>
          <w:iCs/>
          <w:sz w:val="24"/>
          <w:szCs w:val="24"/>
          <w:lang w:val="es-ES" w:eastAsia="es-ES"/>
        </w:rPr>
        <w:t xml:space="preserve">Promover ante las autoridades competentes, aportando las pruebas respectivas, investigaciones </w:t>
      </w:r>
      <w:r w:rsidRPr="009B7E0C">
        <w:rPr>
          <w:bCs/>
          <w:iCs/>
          <w:sz w:val="24"/>
          <w:szCs w:val="24"/>
          <w:lang w:val="es-ES" w:eastAsia="es-ES"/>
        </w:rPr>
        <w:t>fiscales</w:t>
      </w:r>
      <w:r w:rsidRPr="009B7E0C">
        <w:rPr>
          <w:iCs/>
          <w:sz w:val="24"/>
          <w:szCs w:val="24"/>
          <w:lang w:val="es-ES" w:eastAsia="es-ES"/>
        </w:rPr>
        <w:t xml:space="preserve">, penales o disciplinarias contra quienes </w:t>
      </w:r>
      <w:r w:rsidRPr="009B7E0C">
        <w:rPr>
          <w:bCs/>
          <w:iCs/>
          <w:sz w:val="24"/>
          <w:szCs w:val="24"/>
          <w:lang w:val="es-ES" w:eastAsia="es-ES"/>
        </w:rPr>
        <w:t>presuntamente</w:t>
      </w:r>
      <w:r w:rsidRPr="009B7E0C">
        <w:rPr>
          <w:iCs/>
          <w:sz w:val="24"/>
          <w:szCs w:val="24"/>
          <w:lang w:val="es-ES" w:eastAsia="es-ES"/>
        </w:rPr>
        <w:t xml:space="preserve"> hayan causado perjuicio a los intereses patrimoniales del Estado. La Contraloría, bajo su responsabilidad, podrá exigir, verdad sabida y buena fe guardada, la suspensión inmediata de funcionarios mientras culminan las investigaciones o los respectivos procesos </w:t>
      </w:r>
      <w:r w:rsidRPr="009B7E0C">
        <w:rPr>
          <w:bCs/>
          <w:iCs/>
          <w:sz w:val="24"/>
          <w:szCs w:val="24"/>
          <w:lang w:val="es-ES" w:eastAsia="es-ES"/>
        </w:rPr>
        <w:t>fiscales</w:t>
      </w:r>
      <w:r w:rsidRPr="009B7E0C">
        <w:rPr>
          <w:iCs/>
          <w:sz w:val="24"/>
          <w:szCs w:val="24"/>
          <w:lang w:val="es-ES" w:eastAsia="es-ES"/>
        </w:rPr>
        <w:t xml:space="preserve">, penales o disciplinarios. </w:t>
      </w:r>
      <w:r w:rsidRPr="009B7E0C">
        <w:rPr>
          <w:b/>
          <w:bCs/>
          <w:iCs/>
          <w:sz w:val="24"/>
          <w:szCs w:val="24"/>
          <w:u w:val="single"/>
          <w:lang w:val="es-ES" w:eastAsia="es-ES"/>
        </w:rPr>
        <w:t xml:space="preserve">Igualmente, podrá ejercer la acción penal cuando la fiscalía no lo haga en los seis meses siguientes al envío de los hallazgos de auditoría con incidencia penal, para lo cual podrá formular la acusación en los mismos términos previstos en la ley para el acusador privado, conforme a lo previsto en el parágrafo 2° del Artículo 250 de la Constitución.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z w:val="24"/>
          <w:szCs w:val="24"/>
          <w:lang w:val="es-ES" w:eastAsia="es-ES"/>
        </w:rPr>
      </w:pPr>
      <w:r w:rsidRPr="009B7E0C">
        <w:rPr>
          <w:iCs/>
          <w:sz w:val="24"/>
          <w:szCs w:val="24"/>
          <w:lang w:val="es-ES" w:eastAsia="es-ES"/>
        </w:rPr>
        <w:t>Presentar proyectos de ley relativos al régimen del control fiscal y a la organización y funcionamiento de la Contraloría General.</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z w:val="24"/>
          <w:szCs w:val="24"/>
          <w:lang w:val="es-ES" w:eastAsia="es-ES"/>
        </w:rPr>
      </w:pPr>
      <w:r w:rsidRPr="009B7E0C">
        <w:rPr>
          <w:iCs/>
          <w:sz w:val="24"/>
          <w:szCs w:val="24"/>
          <w:lang w:val="es-ES" w:eastAsia="es-ES"/>
        </w:rPr>
        <w:t>Proveer mediante concurso público los empleos</w:t>
      </w:r>
      <w:r w:rsidRPr="009B7E0C">
        <w:rPr>
          <w:iCs/>
          <w:spacing w:val="-2"/>
          <w:sz w:val="24"/>
          <w:szCs w:val="24"/>
          <w:lang w:val="es-ES" w:eastAsia="es-ES"/>
        </w:rPr>
        <w:t xml:space="preserve"> </w:t>
      </w:r>
      <w:r w:rsidRPr="009B7E0C">
        <w:rPr>
          <w:bCs/>
          <w:iCs/>
          <w:sz w:val="24"/>
          <w:szCs w:val="24"/>
          <w:lang w:val="es-ES" w:eastAsia="es-ES"/>
        </w:rPr>
        <w:t xml:space="preserve">de carrera de la entidad creados por ley. </w:t>
      </w:r>
      <w:r w:rsidRPr="009B7E0C">
        <w:rPr>
          <w:iCs/>
          <w:sz w:val="24"/>
          <w:szCs w:val="24"/>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Pr="009B7E0C">
        <w:rPr>
          <w:bCs/>
          <w:iCs/>
          <w:sz w:val="24"/>
          <w:szCs w:val="24"/>
          <w:lang w:val="es-ES" w:eastAsia="es-ES"/>
        </w:rPr>
        <w:t xml:space="preserve">ese ente de control.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z w:val="24"/>
          <w:szCs w:val="24"/>
          <w:lang w:val="es-ES" w:eastAsia="es-ES"/>
        </w:rPr>
      </w:pPr>
      <w:r w:rsidRPr="009B7E0C">
        <w:rPr>
          <w:iCs/>
          <w:sz w:val="24"/>
          <w:szCs w:val="24"/>
          <w:lang w:val="es-ES" w:eastAsia="es-ES"/>
        </w:rPr>
        <w:t xml:space="preserve">Presentar informes al Congreso </w:t>
      </w:r>
      <w:r w:rsidRPr="009B7E0C">
        <w:rPr>
          <w:bCs/>
          <w:iCs/>
          <w:sz w:val="24"/>
          <w:szCs w:val="24"/>
          <w:lang w:val="es-ES" w:eastAsia="es-ES"/>
        </w:rPr>
        <w:t>de la República</w:t>
      </w:r>
      <w:r w:rsidRPr="009B7E0C">
        <w:rPr>
          <w:iCs/>
          <w:sz w:val="24"/>
          <w:szCs w:val="24"/>
          <w:lang w:val="es-ES" w:eastAsia="es-ES"/>
        </w:rPr>
        <w:t xml:space="preserve"> y al Presidente de la República sobre el cumplimiento de sus funciones y certificación sobre la situación de las finanzas del Estado, de acuerdo con la ley.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bCs/>
          <w:iCs/>
          <w:sz w:val="24"/>
          <w:szCs w:val="24"/>
          <w:lang w:val="es-ES" w:eastAsia="es-ES"/>
        </w:rPr>
      </w:pPr>
      <w:r w:rsidRPr="009B7E0C">
        <w:rPr>
          <w:iCs/>
          <w:sz w:val="24"/>
          <w:szCs w:val="24"/>
          <w:lang w:val="es-ES" w:eastAsia="es-ES"/>
        </w:rPr>
        <w:t xml:space="preserve">Dictar normas generales para armonizar los sistemas de control fiscal de todas las entidades públicas del orden nacional y territorial; </w:t>
      </w:r>
      <w:r w:rsidRPr="009B7E0C">
        <w:rPr>
          <w:bCs/>
          <w:iCs/>
          <w:sz w:val="24"/>
          <w:szCs w:val="24"/>
          <w:lang w:val="es-ES" w:eastAsia="es-ES"/>
        </w:rPr>
        <w:t>y dirigir e implementar, con apoyo de la Auditoría General de la República, el Sistema Nacional de Control Fiscal, para la unificación y estandarización de la vigilancia y control de la gestión fiscal.</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bCs/>
          <w:iCs/>
          <w:sz w:val="24"/>
          <w:szCs w:val="24"/>
          <w:lang w:val="es-ES" w:eastAsia="es-ES"/>
        </w:rPr>
      </w:pPr>
      <w:r w:rsidRPr="009B7E0C">
        <w:rPr>
          <w:bCs/>
          <w:iCs/>
          <w:sz w:val="24"/>
          <w:szCs w:val="24"/>
          <w:lang w:val="es-ES" w:eastAsia="es-ES"/>
        </w:rPr>
        <w:t xml:space="preserve">Advertir a los servidores públicos y particulares que administren recursos públicos de la existencia de un riesgo inminente en operaciones o procesos en ejecución, con el </w:t>
      </w:r>
      <w:r w:rsidRPr="009B7E0C">
        <w:rPr>
          <w:bCs/>
          <w:iCs/>
          <w:sz w:val="24"/>
          <w:szCs w:val="24"/>
          <w:lang w:val="es-ES" w:eastAsia="es-ES"/>
        </w:rPr>
        <w:lastRenderedPageBreak/>
        <w:t>fin de prevenir la ocurrencia de un daño, a fin de que el gestor fiscal adopte las medidas que considere procedentes para evitar que se materialice o se extienda, y ejercer control sobre los hechos así identificados.</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bCs/>
          <w:iCs/>
          <w:sz w:val="24"/>
          <w:szCs w:val="24"/>
          <w:lang w:val="es-ES" w:eastAsia="es-ES"/>
        </w:rPr>
      </w:pPr>
      <w:r w:rsidRPr="009B7E0C">
        <w:rPr>
          <w:bCs/>
          <w:iCs/>
          <w:sz w:val="24"/>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9B7E0C">
        <w:rPr>
          <w:bCs/>
          <w:iCs/>
          <w:strike/>
          <w:sz w:val="24"/>
          <w:szCs w:val="24"/>
          <w:lang w:val="es-ES" w:eastAsia="es-ES"/>
        </w:rPr>
        <w:t xml:space="preserve">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iCs/>
          <w:sz w:val="24"/>
          <w:szCs w:val="24"/>
          <w:lang w:val="es-ES" w:eastAsia="es-ES"/>
        </w:rPr>
      </w:pPr>
      <w:r w:rsidRPr="009B7E0C">
        <w:rPr>
          <w:iCs/>
          <w:sz w:val="24"/>
          <w:szCs w:val="24"/>
          <w:lang w:val="es-ES" w:eastAsia="es-ES"/>
        </w:rPr>
        <w:t xml:space="preserve">Presentar a la Cámara de Representantes la Cuenta General del Presupuesto y del Tesoro y certificar el balance de la Hacienda presentado al Congreso por el Contador General </w:t>
      </w:r>
      <w:r w:rsidRPr="009B7E0C">
        <w:rPr>
          <w:bCs/>
          <w:iCs/>
          <w:sz w:val="24"/>
          <w:szCs w:val="24"/>
          <w:lang w:val="es-ES" w:eastAsia="es-ES"/>
        </w:rPr>
        <w:t>de la Nación.</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bCs/>
          <w:iCs/>
          <w:sz w:val="24"/>
          <w:szCs w:val="24"/>
          <w:lang w:val="es-ES" w:eastAsia="es-ES"/>
        </w:rPr>
      </w:pPr>
      <w:r w:rsidRPr="009B7E0C">
        <w:rPr>
          <w:bCs/>
          <w:iCs/>
          <w:sz w:val="24"/>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b/>
          <w:iCs/>
          <w:sz w:val="24"/>
          <w:szCs w:val="24"/>
          <w:u w:val="single"/>
          <w:lang w:val="es-ES" w:eastAsia="es-ES"/>
        </w:rPr>
      </w:pPr>
      <w:r w:rsidRPr="009B7E0C">
        <w:rPr>
          <w:bCs/>
          <w:iCs/>
          <w:sz w:val="24"/>
          <w:szCs w:val="24"/>
          <w:lang w:val="es-ES" w:eastAsia="es-ES"/>
        </w:rPr>
        <w:t xml:space="preserve">Imponer sanciones desde multa hasta suspensión a quienes omitan la obligación de suministrar información o impidan u obstaculicen el ejercicio de la vigilancia y control fiscal, </w:t>
      </w:r>
      <w:r w:rsidRPr="009B7E0C">
        <w:rPr>
          <w:b/>
          <w:iCs/>
          <w:sz w:val="24"/>
          <w:szCs w:val="24"/>
          <w:u w:val="single"/>
          <w:lang w:val="es-ES" w:eastAsia="es-ES"/>
        </w:rPr>
        <w:t xml:space="preserve">así como también a quienes no obtengan una calificación que permita el fenecimiento de las cuentas, durante dos (2) periodos fiscales consecutivos y por incumplimiento de lo prescrito en la ley. </w:t>
      </w:r>
    </w:p>
    <w:p w:rsidR="00194B43" w:rsidRPr="009B7E0C" w:rsidRDefault="00194B43" w:rsidP="00194B4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iCs/>
          <w:sz w:val="24"/>
          <w:szCs w:val="24"/>
          <w:lang w:val="es-ES" w:eastAsia="es-ES"/>
        </w:rPr>
      </w:pPr>
      <w:r w:rsidRPr="009B7E0C">
        <w:rPr>
          <w:iCs/>
          <w:sz w:val="24"/>
          <w:szCs w:val="24"/>
          <w:lang w:val="es-ES" w:eastAsia="es-ES"/>
        </w:rPr>
        <w:t>Las demás que señale la Ley.</w:t>
      </w:r>
    </w:p>
    <w:p w:rsidR="00194B43" w:rsidRPr="009B7E0C" w:rsidRDefault="00194B43" w:rsidP="00194B43">
      <w:pPr>
        <w:spacing w:after="200" w:line="20" w:lineRule="atLeast"/>
        <w:contextualSpacing/>
        <w:jc w:val="both"/>
        <w:rPr>
          <w:rFonts w:cs="Times New Roman"/>
          <w:bCs/>
          <w:iCs/>
          <w:sz w:val="24"/>
          <w:szCs w:val="24"/>
        </w:rPr>
      </w:pPr>
      <w:r w:rsidRPr="009B7E0C">
        <w:rPr>
          <w:rFonts w:cs="Times New Roman"/>
          <w:b/>
          <w:bCs/>
          <w:iCs/>
          <w:sz w:val="24"/>
          <w:szCs w:val="24"/>
        </w:rPr>
        <w:t>Parágrafo transitorio.</w:t>
      </w:r>
      <w:r w:rsidRPr="009B7E0C">
        <w:rPr>
          <w:rFonts w:cs="Times New Roman"/>
          <w:bCs/>
          <w:iCs/>
          <w:sz w:val="24"/>
          <w:szCs w:val="24"/>
        </w:rPr>
        <w:t xml:space="preserve"> La asignación básica mensual de los servidores de la Contraloría General de la República y su planta transitoria será equiparada a los de los empleos equivalentes de otros organismos de control de nivel nacional. Para la correcta 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Para los efectos del presente parágrafo y el desarrollo de este acto legislativo, otórguense facultades extraordinarias por el término de seis meses al Presidente de la República para expedir decretos con fuerza de ley. </w:t>
      </w:r>
    </w:p>
    <w:p w:rsidR="00194B43" w:rsidRPr="009B7E0C" w:rsidRDefault="00194B43" w:rsidP="00194B43">
      <w:pPr>
        <w:kinsoku w:val="0"/>
        <w:overflowPunct w:val="0"/>
        <w:spacing w:line="20" w:lineRule="atLeast"/>
        <w:jc w:val="both"/>
        <w:textAlignment w:val="baseline"/>
        <w:rPr>
          <w:rFonts w:cs="Times New Roman"/>
          <w:bCs/>
          <w:iCs/>
          <w:sz w:val="24"/>
          <w:szCs w:val="24"/>
        </w:rPr>
      </w:pPr>
    </w:p>
    <w:p w:rsidR="00194B43" w:rsidRPr="009B7E0C" w:rsidRDefault="00194B43" w:rsidP="00194B43">
      <w:pPr>
        <w:kinsoku w:val="0"/>
        <w:overflowPunct w:val="0"/>
        <w:spacing w:line="20" w:lineRule="atLeast"/>
        <w:jc w:val="both"/>
        <w:textAlignment w:val="baseline"/>
        <w:rPr>
          <w:rFonts w:cs="Times New Roman"/>
          <w:bCs/>
          <w:iCs/>
          <w:sz w:val="24"/>
          <w:szCs w:val="24"/>
        </w:rPr>
      </w:pPr>
      <w:r w:rsidRPr="009B7E0C">
        <w:rPr>
          <w:rFonts w:cs="Times New Roman"/>
          <w:bCs/>
          <w:iCs/>
          <w:sz w:val="24"/>
          <w:szCs w:val="24"/>
        </w:rPr>
        <w:t xml:space="preserve">Así mismo, el Congreso de la República expedirá, con criterios unificados, las leyes que garanticen la autonomía presupuestal y la sostenibilidad financiera y administrativa de los organismos de control fiscal territoriales y unas apropiaciones progresivas que incrementarán el presupuesto de la Contraloría General de la República durante las siguientes tres vigencias en 250.000, 250.000 y 136.000 millones de pesos respectivamente. Dichas apropiaciones no </w:t>
      </w:r>
      <w:r w:rsidRPr="009B7E0C">
        <w:rPr>
          <w:rFonts w:cs="Times New Roman"/>
          <w:bCs/>
          <w:iCs/>
          <w:sz w:val="24"/>
          <w:szCs w:val="24"/>
        </w:rPr>
        <w:lastRenderedPageBreak/>
        <w:t xml:space="preserve">serán tenidas en cuenta al momento de decretar aplazamientos del Presupuesto General de la Nación. </w:t>
      </w:r>
    </w:p>
    <w:p w:rsidR="00194B43" w:rsidRPr="009B7E0C" w:rsidRDefault="00194B43" w:rsidP="00194B43">
      <w:pPr>
        <w:kinsoku w:val="0"/>
        <w:overflowPunct w:val="0"/>
        <w:spacing w:line="20" w:lineRule="atLeast"/>
        <w:jc w:val="both"/>
        <w:textAlignment w:val="baseline"/>
        <w:rPr>
          <w:rFonts w:cs="Times New Roman"/>
          <w:bCs/>
          <w:iCs/>
          <w:sz w:val="24"/>
          <w:szCs w:val="24"/>
        </w:rPr>
      </w:pPr>
    </w:p>
    <w:p w:rsidR="00194B43" w:rsidRPr="009B7E0C" w:rsidRDefault="00194B43" w:rsidP="00194B43">
      <w:pPr>
        <w:kinsoku w:val="0"/>
        <w:overflowPunct w:val="0"/>
        <w:spacing w:line="20" w:lineRule="atLeast"/>
        <w:jc w:val="both"/>
        <w:textAlignment w:val="baseline"/>
        <w:rPr>
          <w:rFonts w:cs="Times New Roman"/>
          <w:iCs/>
          <w:sz w:val="24"/>
          <w:szCs w:val="24"/>
        </w:rPr>
      </w:pPr>
      <w:r w:rsidRPr="009B7E0C">
        <w:rPr>
          <w:rFonts w:cs="Times New Roman"/>
          <w:iCs/>
          <w:sz w:val="24"/>
          <w:szCs w:val="24"/>
        </w:rPr>
        <w:t>En los siguientes cuatrienios dichas apropiaciones estarán de acuerdo con el marco fiscal de mediano plazo.</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sz w:val="24"/>
          <w:szCs w:val="24"/>
        </w:rPr>
      </w:pPr>
      <w:r w:rsidRPr="009B7E0C">
        <w:rPr>
          <w:rFonts w:cs="Times New Roman"/>
          <w:b/>
          <w:bCs/>
          <w:sz w:val="24"/>
          <w:szCs w:val="24"/>
        </w:rPr>
        <w:t>Artículo 3</w:t>
      </w:r>
      <w:r w:rsidRPr="009B7E0C">
        <w:rPr>
          <w:rFonts w:cs="Times New Roman"/>
          <w:bCs/>
          <w:sz w:val="24"/>
          <w:szCs w:val="24"/>
        </w:rPr>
        <w:t xml:space="preserve">. </w:t>
      </w:r>
      <w:r w:rsidRPr="009B7E0C">
        <w:rPr>
          <w:rFonts w:cs="Times New Roman"/>
          <w:sz w:val="24"/>
          <w:szCs w:val="24"/>
        </w:rPr>
        <w:t>El artículo 271 de la Constitución Política quedará así:</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outlineLvl w:val="0"/>
        <w:rPr>
          <w:rFonts w:eastAsia="Calibri" w:cs="Times New Roman"/>
          <w:sz w:val="24"/>
          <w:szCs w:val="24"/>
        </w:rPr>
      </w:pPr>
      <w:r w:rsidRPr="009B7E0C">
        <w:rPr>
          <w:rFonts w:cs="Times New Roman"/>
          <w:bCs/>
          <w:sz w:val="24"/>
          <w:szCs w:val="24"/>
        </w:rPr>
        <w:t>“</w:t>
      </w:r>
      <w:r w:rsidRPr="009B7E0C">
        <w:rPr>
          <w:rFonts w:cs="Times New Roman"/>
          <w:b/>
          <w:bCs/>
          <w:sz w:val="24"/>
          <w:szCs w:val="24"/>
        </w:rPr>
        <w:t>Artículo 271.</w:t>
      </w:r>
      <w:r w:rsidRPr="009B7E0C">
        <w:rPr>
          <w:rFonts w:cs="Times New Roman"/>
          <w:bCs/>
          <w:sz w:val="24"/>
          <w:szCs w:val="24"/>
        </w:rPr>
        <w:t xml:space="preserve"> </w:t>
      </w:r>
      <w:r w:rsidRPr="009B7E0C">
        <w:rPr>
          <w:rFonts w:eastAsia="Calibri" w:cs="Times New Roman"/>
          <w:sz w:val="24"/>
          <w:szCs w:val="24"/>
        </w:rPr>
        <w:t xml:space="preserve">Los resultados de </w:t>
      </w:r>
      <w:r w:rsidRPr="009B7E0C">
        <w:rPr>
          <w:rFonts w:eastAsia="Calibri" w:cs="Times New Roman"/>
          <w:bCs/>
          <w:sz w:val="24"/>
          <w:szCs w:val="24"/>
        </w:rPr>
        <w:t>los ejercicios de vigilancia y control fiscal, así como de las indagaciones preliminares o los procesos de responsabilidad fiscal, adelantados por las Contralorías</w:t>
      </w:r>
      <w:r w:rsidRPr="009B7E0C">
        <w:rPr>
          <w:rFonts w:eastAsia="Calibri" w:cs="Times New Roman"/>
          <w:sz w:val="24"/>
          <w:szCs w:val="24"/>
        </w:rPr>
        <w:t xml:space="preserve"> tendrán valor probatorio ante la Fiscalía General de la Nación y el juez competente.”</w:t>
      </w:r>
    </w:p>
    <w:p w:rsidR="00194B43" w:rsidRPr="009B7E0C" w:rsidRDefault="00194B43" w:rsidP="00194B43">
      <w:pPr>
        <w:spacing w:line="20" w:lineRule="atLeast"/>
        <w:jc w:val="both"/>
        <w:rPr>
          <w:rFonts w:eastAsia="Calibri" w:cs="Times New Roman"/>
          <w:sz w:val="24"/>
          <w:szCs w:val="24"/>
        </w:rPr>
      </w:pPr>
    </w:p>
    <w:p w:rsidR="00194B43" w:rsidRPr="009B7E0C" w:rsidRDefault="00194B43" w:rsidP="00194B43">
      <w:pPr>
        <w:spacing w:after="200" w:line="20" w:lineRule="atLeast"/>
        <w:jc w:val="both"/>
        <w:rPr>
          <w:rFonts w:cs="Times New Roman"/>
          <w:sz w:val="24"/>
          <w:szCs w:val="24"/>
        </w:rPr>
      </w:pPr>
      <w:r w:rsidRPr="009B7E0C">
        <w:rPr>
          <w:rFonts w:eastAsia="Calibri" w:cs="Times New Roman"/>
          <w:b/>
          <w:sz w:val="24"/>
          <w:szCs w:val="24"/>
        </w:rPr>
        <w:t>Artículo 4.</w:t>
      </w:r>
      <w:r w:rsidRPr="009B7E0C">
        <w:rPr>
          <w:rFonts w:eastAsia="Calibri" w:cs="Times New Roman"/>
          <w:sz w:val="24"/>
          <w:szCs w:val="24"/>
        </w:rPr>
        <w:t xml:space="preserve"> </w:t>
      </w:r>
      <w:r w:rsidRPr="009B7E0C">
        <w:rPr>
          <w:rFonts w:cs="Times New Roman"/>
          <w:sz w:val="24"/>
          <w:szCs w:val="24"/>
        </w:rPr>
        <w:t>El artículo 272 de la Constitución Política quedará así:</w:t>
      </w:r>
    </w:p>
    <w:p w:rsidR="00194B43" w:rsidRPr="009B7E0C" w:rsidRDefault="00194B43" w:rsidP="00194B43">
      <w:pPr>
        <w:kinsoku w:val="0"/>
        <w:overflowPunct w:val="0"/>
        <w:spacing w:line="20" w:lineRule="atLeast"/>
        <w:jc w:val="both"/>
        <w:textAlignment w:val="baseline"/>
        <w:outlineLvl w:val="0"/>
        <w:rPr>
          <w:rFonts w:cs="Times New Roman"/>
          <w:bCs/>
          <w:iCs/>
          <w:sz w:val="24"/>
          <w:szCs w:val="24"/>
        </w:rPr>
      </w:pPr>
      <w:r w:rsidRPr="009B7E0C">
        <w:rPr>
          <w:rFonts w:cs="Times New Roman"/>
          <w:bCs/>
          <w:sz w:val="24"/>
          <w:szCs w:val="24"/>
        </w:rPr>
        <w:t>“</w:t>
      </w:r>
      <w:r w:rsidRPr="009B7E0C">
        <w:rPr>
          <w:rFonts w:cs="Times New Roman"/>
          <w:b/>
          <w:bCs/>
          <w:sz w:val="24"/>
          <w:szCs w:val="24"/>
        </w:rPr>
        <w:t>Artículo 272.</w:t>
      </w:r>
      <w:r w:rsidRPr="009B7E0C">
        <w:rPr>
          <w:rFonts w:cs="Times New Roman"/>
          <w:bCs/>
          <w:sz w:val="24"/>
          <w:szCs w:val="24"/>
        </w:rPr>
        <w:t xml:space="preserve"> </w:t>
      </w:r>
      <w:r w:rsidRPr="009B7E0C">
        <w:rPr>
          <w:rFonts w:cs="Times New Roman"/>
          <w:iCs/>
          <w:sz w:val="24"/>
          <w:szCs w:val="24"/>
        </w:rPr>
        <w:t xml:space="preserve">La vigilancia de la gestión fiscal de los departamentos, distritos y municipios donde haya contralorías, corresponde a éstas </w:t>
      </w:r>
      <w:r w:rsidRPr="009B7E0C">
        <w:rPr>
          <w:rFonts w:cs="Times New Roman"/>
          <w:bCs/>
          <w:iCs/>
          <w:sz w:val="24"/>
          <w:szCs w:val="24"/>
        </w:rPr>
        <w:t xml:space="preserve">en forma concurrente con la Contraloría General de la República. </w:t>
      </w:r>
    </w:p>
    <w:p w:rsidR="00194B43" w:rsidRPr="009B7E0C" w:rsidRDefault="00194B43" w:rsidP="00194B43">
      <w:pPr>
        <w:kinsoku w:val="0"/>
        <w:overflowPunct w:val="0"/>
        <w:spacing w:line="20" w:lineRule="atLeast"/>
        <w:jc w:val="both"/>
        <w:textAlignment w:val="baseline"/>
        <w:rPr>
          <w:rFonts w:cs="Times New Roman"/>
          <w:iCs/>
          <w:sz w:val="24"/>
          <w:szCs w:val="24"/>
        </w:rPr>
      </w:pPr>
    </w:p>
    <w:p w:rsidR="00194B43" w:rsidRPr="009B7E0C" w:rsidRDefault="00194B43" w:rsidP="00194B43">
      <w:pPr>
        <w:kinsoku w:val="0"/>
        <w:overflowPunct w:val="0"/>
        <w:spacing w:line="20" w:lineRule="atLeast"/>
        <w:jc w:val="both"/>
        <w:textAlignment w:val="baseline"/>
        <w:rPr>
          <w:rFonts w:cs="Times New Roman"/>
          <w:sz w:val="24"/>
          <w:szCs w:val="24"/>
        </w:rPr>
      </w:pPr>
      <w:r w:rsidRPr="009B7E0C">
        <w:rPr>
          <w:rFonts w:cs="Times New Roman"/>
          <w:bCs/>
          <w:sz w:val="24"/>
          <w:szCs w:val="24"/>
        </w:rPr>
        <w:t>La vigilancia</w:t>
      </w:r>
      <w:r w:rsidRPr="009B7E0C">
        <w:rPr>
          <w:rFonts w:cs="Times New Roman"/>
          <w:sz w:val="24"/>
          <w:szCs w:val="24"/>
        </w:rPr>
        <w:t xml:space="preserve"> de los municipios incumbe a las contralorías departamentales, salvo lo que la ley determine respecto de contralorías municipales. </w:t>
      </w:r>
    </w:p>
    <w:p w:rsidR="00194B43" w:rsidRPr="009B7E0C" w:rsidRDefault="00194B43" w:rsidP="00194B43">
      <w:pPr>
        <w:kinsoku w:val="0"/>
        <w:overflowPunct w:val="0"/>
        <w:spacing w:line="20" w:lineRule="atLeast"/>
        <w:jc w:val="both"/>
        <w:textAlignment w:val="baseline"/>
        <w:rPr>
          <w:rFonts w:cs="Times New Roman"/>
          <w:sz w:val="24"/>
          <w:szCs w:val="24"/>
        </w:rPr>
      </w:pPr>
    </w:p>
    <w:p w:rsidR="00194B43" w:rsidRPr="009B7E0C" w:rsidRDefault="00194B43" w:rsidP="00194B43">
      <w:pPr>
        <w:kinsoku w:val="0"/>
        <w:overflowPunct w:val="0"/>
        <w:spacing w:line="20" w:lineRule="atLeast"/>
        <w:jc w:val="both"/>
        <w:textAlignment w:val="baseline"/>
        <w:rPr>
          <w:rFonts w:cs="Times New Roman"/>
          <w:bCs/>
          <w:sz w:val="24"/>
          <w:szCs w:val="24"/>
        </w:rPr>
      </w:pPr>
      <w:r w:rsidRPr="009B7E0C">
        <w:rPr>
          <w:rFonts w:cs="Times New Roman"/>
          <w:bCs/>
          <w:sz w:val="24"/>
          <w:szCs w:val="24"/>
        </w:rPr>
        <w:t>La ley regulará las competencias concurrentes entre contralorías y la prevalencia de la Contraloría General de la República.</w:t>
      </w:r>
    </w:p>
    <w:p w:rsidR="00194B43" w:rsidRPr="009B7E0C" w:rsidRDefault="00194B43" w:rsidP="00194B43">
      <w:pPr>
        <w:spacing w:line="20" w:lineRule="atLeast"/>
        <w:jc w:val="both"/>
        <w:rPr>
          <w:rFonts w:cs="Times New Roman"/>
          <w:sz w:val="24"/>
          <w:szCs w:val="24"/>
        </w:rPr>
      </w:pPr>
    </w:p>
    <w:p w:rsidR="00194B43" w:rsidRPr="009B7E0C" w:rsidRDefault="00194B43" w:rsidP="00194B43">
      <w:pPr>
        <w:spacing w:line="20" w:lineRule="atLeast"/>
        <w:jc w:val="both"/>
        <w:rPr>
          <w:rFonts w:cs="Times New Roman"/>
          <w:bCs/>
          <w:sz w:val="24"/>
          <w:szCs w:val="24"/>
        </w:rPr>
      </w:pPr>
      <w:r w:rsidRPr="009B7E0C">
        <w:rPr>
          <w:rFonts w:cs="Times New Roman"/>
          <w:sz w:val="24"/>
          <w:szCs w:val="24"/>
        </w:rPr>
        <w:t xml:space="preserve">Corresponde a las asambleas y a los concejos distritales y municipales organizar las respectivas contralorías como entidades técnicas dotadas de autonomía administrativa y presupuestal, </w:t>
      </w:r>
      <w:r w:rsidRPr="009B7E0C">
        <w:rPr>
          <w:rFonts w:cs="Times New Roman"/>
          <w:bCs/>
          <w:sz w:val="24"/>
          <w:szCs w:val="24"/>
        </w:rPr>
        <w:t xml:space="preserve">y garantizar su sostenibilidad fiscal. </w:t>
      </w:r>
    </w:p>
    <w:p w:rsidR="00194B43" w:rsidRPr="009B7E0C" w:rsidRDefault="00194B43" w:rsidP="00194B43">
      <w:pPr>
        <w:spacing w:line="20" w:lineRule="atLeast"/>
        <w:jc w:val="both"/>
        <w:rPr>
          <w:rFonts w:cs="Times New Roman"/>
          <w:sz w:val="24"/>
          <w:szCs w:val="24"/>
        </w:rPr>
      </w:pPr>
    </w:p>
    <w:p w:rsidR="00194B43" w:rsidRPr="009B7E0C" w:rsidRDefault="00194B43" w:rsidP="00194B43">
      <w:pPr>
        <w:spacing w:line="20" w:lineRule="atLeast"/>
        <w:jc w:val="both"/>
        <w:rPr>
          <w:rFonts w:cs="Times New Roman"/>
          <w:bCs/>
          <w:sz w:val="24"/>
          <w:szCs w:val="24"/>
        </w:rPr>
      </w:pPr>
      <w:r w:rsidRPr="009B7E0C">
        <w:rPr>
          <w:rFonts w:cs="Times New Roman"/>
          <w:bCs/>
          <w:sz w:val="24"/>
          <w:szCs w:val="24"/>
        </w:rPr>
        <w:t>Mediante un estudio técnico realizado por el departamento administrativo de la función pública, se determinarán los requerimientos técnicos, organizacionales, humanos y presupuestales de las contralorías territoriales, con el fin de dotar a estos organismos de control de herramientas eficaces y eficientes que permitan realizar un control efectivo de los bienes y recursos públicos. La ley reglamentará lo correspondiente.</w:t>
      </w:r>
    </w:p>
    <w:p w:rsidR="00194B43" w:rsidRPr="009B7E0C" w:rsidRDefault="00194B43" w:rsidP="00194B43">
      <w:pPr>
        <w:spacing w:line="20" w:lineRule="atLeast"/>
        <w:jc w:val="both"/>
        <w:rPr>
          <w:rFonts w:cs="Times New Roman"/>
          <w:sz w:val="24"/>
          <w:szCs w:val="24"/>
        </w:rPr>
      </w:pPr>
    </w:p>
    <w:p w:rsidR="00194B43" w:rsidRPr="009B7E0C" w:rsidRDefault="00194B43" w:rsidP="00194B43">
      <w:pPr>
        <w:spacing w:line="20" w:lineRule="atLeast"/>
        <w:jc w:val="both"/>
        <w:rPr>
          <w:rFonts w:cs="Times New Roman"/>
          <w:b/>
          <w:bCs/>
          <w:sz w:val="24"/>
          <w:szCs w:val="24"/>
          <w:u w:val="single"/>
        </w:rPr>
      </w:pPr>
      <w:r w:rsidRPr="009B7E0C">
        <w:rPr>
          <w:rFonts w:cs="Times New Roman"/>
          <w:sz w:val="24"/>
          <w:szCs w:val="24"/>
        </w:rPr>
        <w:t xml:space="preserve">Los contralores departamentales, distritales y municipales ejercerán, en el ámbito de su jurisdicción, las funciones atribuidas al Contralor General de la República en el artículo 268 </w:t>
      </w:r>
      <w:r w:rsidRPr="009B7E0C">
        <w:rPr>
          <w:rFonts w:cs="Times New Roman"/>
          <w:b/>
          <w:bCs/>
          <w:sz w:val="24"/>
          <w:szCs w:val="24"/>
          <w:u w:val="single"/>
        </w:rPr>
        <w:t xml:space="preserve">en lo que sea pertinente, según los principios de coordinación, concurrencia y subsidiaridad. El control ejercido por la Contraloría General de la República será preferente en los términos que defina la ley.  </w:t>
      </w:r>
    </w:p>
    <w:p w:rsidR="00194B43" w:rsidRPr="009B7E0C" w:rsidRDefault="00194B43" w:rsidP="00194B43">
      <w:pPr>
        <w:spacing w:line="20" w:lineRule="atLeast"/>
        <w:jc w:val="both"/>
        <w:rPr>
          <w:rFonts w:cs="Times New Roman"/>
          <w:sz w:val="24"/>
          <w:szCs w:val="24"/>
        </w:rPr>
      </w:pPr>
    </w:p>
    <w:p w:rsidR="00194B43" w:rsidRPr="009B7E0C" w:rsidRDefault="00194B43" w:rsidP="00194B43">
      <w:pPr>
        <w:spacing w:line="20" w:lineRule="atLeast"/>
        <w:jc w:val="both"/>
        <w:rPr>
          <w:rFonts w:cs="Times New Roman"/>
          <w:bCs/>
          <w:sz w:val="24"/>
          <w:szCs w:val="24"/>
        </w:rPr>
      </w:pPr>
      <w:r w:rsidRPr="009B7E0C">
        <w:rPr>
          <w:rFonts w:cs="Times New Roman"/>
          <w:bCs/>
          <w:sz w:val="24"/>
          <w:szCs w:val="24"/>
        </w:rPr>
        <w:t xml:space="preserve">Los Contralores departamentales, distritales y municipales serán elegidos por las Asambleas Departamentales, Concejos Municipales y Distritales, de terna conformada por </w:t>
      </w:r>
      <w:r w:rsidRPr="009B7E0C">
        <w:rPr>
          <w:rFonts w:cs="Times New Roman"/>
          <w:b/>
          <w:sz w:val="24"/>
          <w:szCs w:val="24"/>
          <w:u w:val="single"/>
        </w:rPr>
        <w:t>quienes obtengan los mayores puntajes en convocatoria pública</w:t>
      </w:r>
      <w:r w:rsidRPr="009B7E0C">
        <w:rPr>
          <w:rFonts w:cs="Times New Roman"/>
          <w:bCs/>
          <w:sz w:val="24"/>
          <w:szCs w:val="24"/>
        </w:rPr>
        <w:t xml:space="preserve"> conforme a la ley, siguiendo los </w:t>
      </w:r>
      <w:r w:rsidRPr="009B7E0C">
        <w:rPr>
          <w:rFonts w:cs="Times New Roman"/>
          <w:bCs/>
          <w:sz w:val="24"/>
          <w:szCs w:val="24"/>
        </w:rPr>
        <w:lastRenderedPageBreak/>
        <w:t xml:space="preserve">principios de transparencia, publicidad, objetividad, participación ciudadana y equidad de género, por un periodo de cuatro años que no podrá coincidir con el periodo del correspondiente gobernador y alcalde. </w:t>
      </w:r>
    </w:p>
    <w:p w:rsidR="00194B43" w:rsidRPr="009B7E0C" w:rsidRDefault="00194B43" w:rsidP="00194B43">
      <w:pPr>
        <w:spacing w:line="20" w:lineRule="atLeast"/>
        <w:jc w:val="both"/>
        <w:rPr>
          <w:rFonts w:cs="Times New Roman"/>
          <w:bCs/>
          <w:sz w:val="24"/>
          <w:szCs w:val="24"/>
        </w:rPr>
      </w:pPr>
    </w:p>
    <w:p w:rsidR="00194B43" w:rsidRPr="009B7E0C" w:rsidRDefault="00194B43" w:rsidP="00194B43">
      <w:pPr>
        <w:spacing w:line="20" w:lineRule="atLeast"/>
        <w:jc w:val="both"/>
        <w:rPr>
          <w:rFonts w:cs="Times New Roman"/>
          <w:bCs/>
          <w:strike/>
          <w:sz w:val="24"/>
          <w:szCs w:val="24"/>
        </w:rPr>
      </w:pPr>
      <w:r w:rsidRPr="009B7E0C">
        <w:rPr>
          <w:rFonts w:cs="Times New Roman"/>
          <w:sz w:val="24"/>
          <w:szCs w:val="24"/>
        </w:rPr>
        <w:t>Ningún contralor podrá ser reelegido para el período inmediato.</w:t>
      </w:r>
    </w:p>
    <w:p w:rsidR="00194B43" w:rsidRPr="009B7E0C" w:rsidRDefault="00194B43" w:rsidP="00194B43">
      <w:pPr>
        <w:spacing w:line="20" w:lineRule="atLeast"/>
        <w:jc w:val="both"/>
        <w:rPr>
          <w:rFonts w:cs="Times New Roman"/>
          <w:sz w:val="24"/>
          <w:szCs w:val="24"/>
        </w:rPr>
      </w:pPr>
    </w:p>
    <w:p w:rsidR="00194B43" w:rsidRPr="009B7E0C" w:rsidRDefault="00194B43" w:rsidP="00194B43">
      <w:pPr>
        <w:spacing w:line="20" w:lineRule="atLeast"/>
        <w:jc w:val="both"/>
        <w:rPr>
          <w:rFonts w:cs="Times New Roman"/>
          <w:sz w:val="24"/>
          <w:szCs w:val="24"/>
        </w:rPr>
      </w:pPr>
      <w:r w:rsidRPr="009B7E0C">
        <w:rPr>
          <w:rFonts w:cs="Times New Roman"/>
          <w:sz w:val="24"/>
          <w:szCs w:val="24"/>
        </w:rPr>
        <w:t xml:space="preserve">Para ser elegido contralor departamental, distrital o municipal se requiere ser colombiano por nacimiento, ciudadano en ejercicio, tener más de veinticinco años, acreditar título universitario y las demás calidades que establezca la ley. </w:t>
      </w:r>
    </w:p>
    <w:p w:rsidR="00194B43" w:rsidRPr="009B7E0C" w:rsidRDefault="00194B43" w:rsidP="00194B43">
      <w:pPr>
        <w:spacing w:line="20" w:lineRule="atLeast"/>
        <w:jc w:val="both"/>
        <w:rPr>
          <w:rFonts w:cs="Times New Roman"/>
          <w:sz w:val="24"/>
          <w:szCs w:val="24"/>
        </w:rPr>
      </w:pPr>
    </w:p>
    <w:p w:rsidR="00194B43" w:rsidRPr="009B7E0C" w:rsidRDefault="00194B43" w:rsidP="00194B43">
      <w:pPr>
        <w:spacing w:line="20" w:lineRule="atLeast"/>
        <w:jc w:val="both"/>
        <w:rPr>
          <w:rFonts w:cs="Times New Roman"/>
          <w:sz w:val="24"/>
          <w:szCs w:val="24"/>
        </w:rPr>
      </w:pPr>
      <w:r w:rsidRPr="009B7E0C">
        <w:rPr>
          <w:rFonts w:cs="Times New Roman"/>
          <w:sz w:val="24"/>
          <w:szCs w:val="24"/>
        </w:rPr>
        <w:t>No podrá ser elegido quien sea o haya sido en el último año miembro de la Asamblea o Concejo que deba hacer la elección, ni quien haya ocupado cargo público en el nivel ejecutivo del orden departamental, distrital o municipal.</w:t>
      </w:r>
    </w:p>
    <w:p w:rsidR="00194B43" w:rsidRPr="009B7E0C" w:rsidRDefault="00194B43" w:rsidP="00194B43">
      <w:pPr>
        <w:spacing w:line="20" w:lineRule="atLeast"/>
        <w:jc w:val="both"/>
        <w:rPr>
          <w:rFonts w:cs="Times New Roman"/>
          <w:sz w:val="24"/>
          <w:szCs w:val="24"/>
        </w:rPr>
      </w:pPr>
    </w:p>
    <w:p w:rsidR="00194B43" w:rsidRPr="009B7E0C" w:rsidRDefault="00194B43" w:rsidP="00194B43">
      <w:pPr>
        <w:spacing w:line="20" w:lineRule="atLeast"/>
        <w:jc w:val="both"/>
        <w:rPr>
          <w:rFonts w:cs="Times New Roman"/>
          <w:sz w:val="24"/>
          <w:szCs w:val="24"/>
        </w:rPr>
      </w:pPr>
      <w:r w:rsidRPr="009B7E0C">
        <w:rPr>
          <w:rFonts w:cs="Times New Roman"/>
          <w:sz w:val="24"/>
          <w:szCs w:val="24"/>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rsidR="00194B43" w:rsidRPr="009B7E0C" w:rsidRDefault="00194B43" w:rsidP="00194B43">
      <w:pPr>
        <w:spacing w:line="20" w:lineRule="atLeast"/>
        <w:jc w:val="both"/>
        <w:rPr>
          <w:rFonts w:cs="Times New Roman"/>
          <w:iCs/>
          <w:sz w:val="24"/>
          <w:szCs w:val="24"/>
        </w:rPr>
      </w:pPr>
    </w:p>
    <w:p w:rsidR="00194B43" w:rsidRPr="009B7E0C" w:rsidRDefault="00194B43" w:rsidP="00194B43">
      <w:pPr>
        <w:spacing w:line="20" w:lineRule="atLeast"/>
        <w:jc w:val="both"/>
        <w:rPr>
          <w:rFonts w:cs="Times New Roman"/>
          <w:iCs/>
          <w:sz w:val="24"/>
          <w:szCs w:val="24"/>
        </w:rPr>
      </w:pPr>
      <w:r w:rsidRPr="009B7E0C">
        <w:rPr>
          <w:rFonts w:cs="Times New Roman"/>
          <w:b/>
          <w:iCs/>
          <w:sz w:val="24"/>
          <w:szCs w:val="24"/>
        </w:rPr>
        <w:t>Parágrafo transitorio 1.</w:t>
      </w:r>
      <w:r w:rsidRPr="009B7E0C">
        <w:rPr>
          <w:rFonts w:cs="Times New Roman"/>
          <w:iCs/>
          <w:sz w:val="24"/>
          <w:szCs w:val="24"/>
        </w:rPr>
        <w:t xml:space="preserve"> La siguiente elección de contralores territoriales se hará por el término de dos años.</w:t>
      </w:r>
    </w:p>
    <w:p w:rsidR="00194B43" w:rsidRPr="009B7E0C" w:rsidRDefault="00194B43" w:rsidP="00194B43">
      <w:pPr>
        <w:spacing w:line="20" w:lineRule="atLeast"/>
        <w:jc w:val="both"/>
        <w:rPr>
          <w:rFonts w:cs="Times New Roman"/>
          <w:iCs/>
          <w:sz w:val="24"/>
          <w:szCs w:val="24"/>
        </w:rPr>
      </w:pPr>
    </w:p>
    <w:p w:rsidR="00194B43" w:rsidRPr="009B7E0C" w:rsidRDefault="00194B43" w:rsidP="00194B43">
      <w:pPr>
        <w:spacing w:line="20" w:lineRule="atLeast"/>
        <w:jc w:val="both"/>
        <w:rPr>
          <w:rFonts w:cs="Times New Roman"/>
          <w:iCs/>
          <w:sz w:val="24"/>
          <w:szCs w:val="24"/>
        </w:rPr>
      </w:pPr>
      <w:r w:rsidRPr="009B7E0C">
        <w:rPr>
          <w:rFonts w:cs="Times New Roman"/>
          <w:b/>
          <w:iCs/>
          <w:sz w:val="24"/>
          <w:szCs w:val="24"/>
        </w:rPr>
        <w:t xml:space="preserve">Parágrafo transitorio 2. </w:t>
      </w:r>
      <w:r w:rsidRPr="009B7E0C">
        <w:rPr>
          <w:rFonts w:cs="Times New Roman"/>
          <w:iCs/>
          <w:sz w:val="24"/>
          <w:szCs w:val="24"/>
        </w:rPr>
        <w:t>En un término no superior a un año la Ley reglamentará el fortalecimiento financiero de las contralorías departamentales, municipales y distritales con recursos provenientes principalmente de los ingresos corrientes de libre destinación más cuota de fiscalización que aportarán los sujetos de control del respectivo departamento, distrito o municipio. Esta Ley será presentada por el Gobierno y la Contraloría General de la República.</w:t>
      </w:r>
    </w:p>
    <w:p w:rsidR="00194B43" w:rsidRPr="009B7E0C" w:rsidRDefault="00194B43" w:rsidP="00194B43">
      <w:pPr>
        <w:spacing w:line="20" w:lineRule="atLeast"/>
        <w:jc w:val="both"/>
        <w:rPr>
          <w:rFonts w:cs="Times New Roman"/>
          <w:bCs/>
          <w:sz w:val="24"/>
          <w:szCs w:val="24"/>
        </w:rPr>
      </w:pPr>
    </w:p>
    <w:p w:rsidR="00194B43" w:rsidRPr="009B7E0C" w:rsidRDefault="00194B43" w:rsidP="00194B43">
      <w:pPr>
        <w:spacing w:after="200" w:line="20" w:lineRule="atLeast"/>
        <w:jc w:val="both"/>
        <w:rPr>
          <w:rFonts w:cs="Times New Roman"/>
          <w:sz w:val="24"/>
          <w:szCs w:val="24"/>
        </w:rPr>
      </w:pPr>
      <w:r w:rsidRPr="009B7E0C">
        <w:rPr>
          <w:rFonts w:eastAsia="Calibri" w:cs="Times New Roman"/>
          <w:b/>
          <w:sz w:val="24"/>
          <w:szCs w:val="24"/>
        </w:rPr>
        <w:t>Artículo 5.</w:t>
      </w:r>
      <w:r w:rsidRPr="009B7E0C">
        <w:rPr>
          <w:rFonts w:eastAsia="Calibri" w:cs="Times New Roman"/>
          <w:sz w:val="24"/>
          <w:szCs w:val="24"/>
        </w:rPr>
        <w:t xml:space="preserve"> </w:t>
      </w:r>
      <w:r w:rsidRPr="009B7E0C">
        <w:rPr>
          <w:rFonts w:cs="Times New Roman"/>
          <w:sz w:val="24"/>
          <w:szCs w:val="24"/>
        </w:rPr>
        <w:t>El artículo 274 de la Constitución Política quedará así:</w:t>
      </w:r>
    </w:p>
    <w:p w:rsidR="00194B43" w:rsidRPr="009B7E0C" w:rsidRDefault="00194B43" w:rsidP="00194B43">
      <w:pPr>
        <w:kinsoku w:val="0"/>
        <w:overflowPunct w:val="0"/>
        <w:spacing w:line="20" w:lineRule="atLeast"/>
        <w:jc w:val="both"/>
        <w:textAlignment w:val="baseline"/>
        <w:outlineLvl w:val="0"/>
        <w:rPr>
          <w:rFonts w:cs="Times New Roman"/>
          <w:iCs/>
          <w:sz w:val="24"/>
          <w:szCs w:val="24"/>
        </w:rPr>
      </w:pPr>
      <w:r w:rsidRPr="009B7E0C">
        <w:rPr>
          <w:rFonts w:cs="Times New Roman"/>
          <w:bCs/>
          <w:sz w:val="24"/>
          <w:szCs w:val="24"/>
        </w:rPr>
        <w:t>“</w:t>
      </w:r>
      <w:r w:rsidRPr="009B7E0C">
        <w:rPr>
          <w:rFonts w:cs="Times New Roman"/>
          <w:b/>
          <w:bCs/>
          <w:sz w:val="24"/>
          <w:szCs w:val="24"/>
        </w:rPr>
        <w:t xml:space="preserve">Artículo 274. </w:t>
      </w:r>
      <w:r w:rsidRPr="009B7E0C">
        <w:rPr>
          <w:rFonts w:cs="Times New Roman"/>
          <w:iCs/>
          <w:sz w:val="24"/>
          <w:szCs w:val="24"/>
        </w:rPr>
        <w:t xml:space="preserve">La vigilancia de la gestión fiscal de la Contraloría General de la República </w:t>
      </w:r>
      <w:r w:rsidRPr="009B7E0C">
        <w:rPr>
          <w:rFonts w:cs="Times New Roman"/>
          <w:bCs/>
          <w:iCs/>
          <w:sz w:val="24"/>
          <w:szCs w:val="24"/>
        </w:rPr>
        <w:t>y de todas las contralorías territoriales</w:t>
      </w:r>
      <w:r w:rsidRPr="009B7E0C">
        <w:rPr>
          <w:rFonts w:cs="Times New Roman"/>
          <w:iCs/>
          <w:sz w:val="24"/>
          <w:szCs w:val="24"/>
        </w:rPr>
        <w:t xml:space="preserve"> se ejercerá por </w:t>
      </w:r>
      <w:r w:rsidRPr="009B7E0C">
        <w:rPr>
          <w:rFonts w:cs="Times New Roman"/>
          <w:bCs/>
          <w:iCs/>
          <w:sz w:val="24"/>
          <w:szCs w:val="24"/>
        </w:rPr>
        <w:t>el Auditor General de la República, elegido</w:t>
      </w:r>
      <w:r w:rsidRPr="009B7E0C">
        <w:rPr>
          <w:rFonts w:cs="Times New Roman"/>
          <w:iCs/>
          <w:sz w:val="24"/>
          <w:szCs w:val="24"/>
        </w:rPr>
        <w:t xml:space="preserve"> por el Consejo de Estado </w:t>
      </w:r>
      <w:r w:rsidRPr="009B7E0C">
        <w:rPr>
          <w:rFonts w:cs="Times New Roman"/>
          <w:bCs/>
          <w:iCs/>
          <w:sz w:val="24"/>
          <w:szCs w:val="24"/>
        </w:rPr>
        <w:t>mediante convocatoria pública conforme a la ley, siguiendo los principios de transparencia, publicidad, objetividad, participación ciudadana y equidad de género, para un periodo de cuatro años.</w:t>
      </w:r>
      <w:r w:rsidRPr="009B7E0C">
        <w:rPr>
          <w:rFonts w:cs="Times New Roman"/>
          <w:iCs/>
          <w:sz w:val="24"/>
          <w:szCs w:val="24"/>
        </w:rPr>
        <w:t xml:space="preserve"> </w:t>
      </w:r>
    </w:p>
    <w:p w:rsidR="00194B43" w:rsidRPr="009B7E0C" w:rsidRDefault="00194B43" w:rsidP="00194B43">
      <w:pPr>
        <w:spacing w:line="20" w:lineRule="atLeast"/>
        <w:jc w:val="both"/>
        <w:rPr>
          <w:rFonts w:cs="Times New Roman"/>
          <w:iCs/>
          <w:sz w:val="24"/>
          <w:szCs w:val="24"/>
        </w:rPr>
      </w:pPr>
    </w:p>
    <w:p w:rsidR="00194B43" w:rsidRPr="009B7E0C" w:rsidRDefault="00194B43" w:rsidP="00194B43">
      <w:pPr>
        <w:spacing w:line="20" w:lineRule="atLeast"/>
        <w:jc w:val="both"/>
        <w:rPr>
          <w:rFonts w:cs="Times New Roman"/>
          <w:iCs/>
          <w:sz w:val="24"/>
          <w:szCs w:val="24"/>
        </w:rPr>
      </w:pPr>
      <w:r w:rsidRPr="009B7E0C">
        <w:rPr>
          <w:rFonts w:cs="Times New Roman"/>
          <w:iCs/>
          <w:sz w:val="24"/>
          <w:szCs w:val="24"/>
        </w:rPr>
        <w:t>La ley determinará la manera de ejercer dicha vigilancia a nivel departamental, distrital y municipal.</w:t>
      </w:r>
    </w:p>
    <w:p w:rsidR="00194B43" w:rsidRPr="009B7E0C" w:rsidRDefault="00194B43" w:rsidP="00194B43">
      <w:pPr>
        <w:spacing w:line="20" w:lineRule="atLeast"/>
        <w:jc w:val="both"/>
        <w:rPr>
          <w:rFonts w:cs="Times New Roman"/>
          <w:iCs/>
          <w:sz w:val="24"/>
          <w:szCs w:val="24"/>
        </w:rPr>
      </w:pPr>
    </w:p>
    <w:p w:rsidR="00194B43" w:rsidRPr="009B7E0C" w:rsidRDefault="00194B43" w:rsidP="00194B43">
      <w:pPr>
        <w:spacing w:line="20" w:lineRule="atLeast"/>
        <w:jc w:val="both"/>
        <w:rPr>
          <w:rFonts w:cs="Times New Roman"/>
          <w:bCs/>
          <w:sz w:val="24"/>
          <w:szCs w:val="24"/>
        </w:rPr>
      </w:pPr>
      <w:r w:rsidRPr="009B7E0C">
        <w:rPr>
          <w:rFonts w:cs="Times New Roman"/>
          <w:b/>
          <w:bCs/>
          <w:iCs/>
          <w:sz w:val="24"/>
          <w:szCs w:val="24"/>
        </w:rPr>
        <w:t>Parágrafo transitorio.</w:t>
      </w:r>
      <w:r w:rsidRPr="009B7E0C">
        <w:rPr>
          <w:rFonts w:cs="Times New Roman"/>
          <w:bCs/>
          <w:iCs/>
          <w:sz w:val="24"/>
          <w:szCs w:val="24"/>
        </w:rPr>
        <w:t xml:space="preserve"> El periodo del Auditor dispuesto en el presente artículo se aplicará a quien sea elegido con posterioridad a la entrada en vigencia de este acto legislativo.”</w:t>
      </w:r>
    </w:p>
    <w:p w:rsidR="00194B43" w:rsidRPr="009B7E0C" w:rsidRDefault="00194B43" w:rsidP="00194B43">
      <w:pPr>
        <w:jc w:val="both"/>
        <w:rPr>
          <w:rFonts w:cs="Times New Roman"/>
          <w:sz w:val="24"/>
          <w:szCs w:val="24"/>
        </w:rPr>
      </w:pPr>
    </w:p>
    <w:p w:rsidR="00194B43" w:rsidRPr="009B7E0C" w:rsidRDefault="00194B43" w:rsidP="00194B43">
      <w:pPr>
        <w:kinsoku w:val="0"/>
        <w:overflowPunct w:val="0"/>
        <w:spacing w:line="20" w:lineRule="atLeast"/>
        <w:jc w:val="both"/>
        <w:textAlignment w:val="baseline"/>
        <w:rPr>
          <w:rFonts w:cs="Times New Roman"/>
          <w:bCs/>
          <w:sz w:val="24"/>
          <w:szCs w:val="24"/>
        </w:rPr>
      </w:pPr>
      <w:r w:rsidRPr="009B7E0C">
        <w:rPr>
          <w:rFonts w:cs="Times New Roman"/>
          <w:b/>
          <w:sz w:val="24"/>
          <w:szCs w:val="24"/>
        </w:rPr>
        <w:t>Artículo 6.</w:t>
      </w:r>
      <w:r w:rsidRPr="009B7E0C">
        <w:rPr>
          <w:rFonts w:cs="Times New Roman"/>
          <w:sz w:val="24"/>
          <w:szCs w:val="24"/>
        </w:rPr>
        <w:t xml:space="preserve"> Vigencia. El presente Acto Legislativo rige a partir de la fecha de su </w:t>
      </w:r>
      <w:r w:rsidRPr="009B7E0C">
        <w:rPr>
          <w:rFonts w:cs="Times New Roman"/>
          <w:sz w:val="24"/>
          <w:szCs w:val="24"/>
        </w:rPr>
        <w:lastRenderedPageBreak/>
        <w:t>promulgación y deroga las disposiciones que le sean contrarias.</w:t>
      </w:r>
    </w:p>
    <w:p w:rsidR="00194B43" w:rsidRPr="009B7E0C" w:rsidRDefault="00194B43" w:rsidP="00194B43">
      <w:pPr>
        <w:rPr>
          <w:rStyle w:val="Ninguno"/>
          <w:rFonts w:eastAsia="Arial" w:cs="Times New Roman"/>
          <w:sz w:val="24"/>
          <w:szCs w:val="24"/>
          <w:highlight w:val="yellow"/>
        </w:rPr>
      </w:pPr>
    </w:p>
    <w:p w:rsidR="00194B43" w:rsidRPr="009B7E0C" w:rsidRDefault="00194B43" w:rsidP="00194B43">
      <w:pPr>
        <w:jc w:val="both"/>
        <w:rPr>
          <w:rFonts w:cs="Times New Roman"/>
          <w:sz w:val="24"/>
          <w:szCs w:val="24"/>
        </w:rPr>
      </w:pPr>
      <w:r w:rsidRPr="009B7E0C">
        <w:rPr>
          <w:rFonts w:cs="Times New Roman"/>
          <w:sz w:val="24"/>
          <w:szCs w:val="24"/>
        </w:rPr>
        <w:t xml:space="preserve">En los anteriores términos fue aprobado con modificaciones el presente Proyecto de Acto Legislativo según consta en Acta No. 03 de Julio 31 de 2019. Anunciado el 30 de Julio de 2019 según consta en Acta No. 02 de la misma fecha.  </w:t>
      </w:r>
    </w:p>
    <w:p w:rsidR="00194B43" w:rsidRPr="009B7E0C" w:rsidRDefault="00194B43" w:rsidP="00194B43">
      <w:pPr>
        <w:jc w:val="both"/>
        <w:rPr>
          <w:rStyle w:val="Ninguno"/>
          <w:rFonts w:eastAsia="Arial" w:cs="Times New Roman"/>
          <w:spacing w:val="-2"/>
          <w:sz w:val="24"/>
          <w:szCs w:val="24"/>
          <w:lang w:val="es-ES"/>
        </w:rPr>
      </w:pPr>
    </w:p>
    <w:p w:rsidR="00194B43" w:rsidRPr="009B7E0C" w:rsidRDefault="00194B43" w:rsidP="00194B43">
      <w:pPr>
        <w:jc w:val="both"/>
        <w:rPr>
          <w:rStyle w:val="Ninguno"/>
          <w:rFonts w:eastAsia="Arial" w:cs="Times New Roman"/>
          <w:spacing w:val="-2"/>
          <w:sz w:val="24"/>
          <w:szCs w:val="24"/>
          <w:lang w:val="es-ES"/>
        </w:rPr>
      </w:pPr>
    </w:p>
    <w:p w:rsidR="00ED014C" w:rsidRPr="009B7E0C" w:rsidRDefault="00ED014C" w:rsidP="00194B43">
      <w:pPr>
        <w:pStyle w:val="Listavistosa-nfasis11"/>
        <w:numPr>
          <w:ilvl w:val="0"/>
          <w:numId w:val="3"/>
        </w:numPr>
        <w:jc w:val="both"/>
        <w:outlineLvl w:val="0"/>
        <w:rPr>
          <w:rStyle w:val="Ninguno"/>
          <w:rFonts w:ascii="Times New Roman" w:hAnsi="Times New Roman" w:cs="Times New Roman"/>
          <w:b/>
          <w:bCs/>
          <w:sz w:val="24"/>
          <w:szCs w:val="24"/>
          <w:lang w:val="es-ES"/>
        </w:rPr>
      </w:pPr>
      <w:r w:rsidRPr="009B7E0C">
        <w:rPr>
          <w:rStyle w:val="Ninguno"/>
          <w:rFonts w:ascii="Times New Roman" w:hAnsi="Times New Roman" w:cs="Times New Roman"/>
          <w:b/>
          <w:bCs/>
          <w:spacing w:val="-2"/>
          <w:sz w:val="24"/>
          <w:szCs w:val="24"/>
          <w:lang w:val="es-ES"/>
        </w:rPr>
        <w:t>CONSIDERACIONES DE LA PONENTE</w:t>
      </w:r>
    </w:p>
    <w:p w:rsidR="00194B43" w:rsidRPr="009B7E0C" w:rsidRDefault="00AD78BD" w:rsidP="00ED014C">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En primer lugar, es importante precisar que en anteriores oportunidades presenté ponencia positiva; en los dos primeros debates, positiva minoritaria y en la tercera, positiva con observaciones al parágrafo transitorio del artículo 2. Los reparos frente a este proyecto han sido, desde el primer debate, los siguientes: i) regresar al control previo eliminado en la Constitución de 1991; ii) la función jurisdiccional de la CGR; iii) las facultades excesivas del Presidente para reformar la CGR; y iv) las asignaciones presupuestales adicionales. De estas cuatro preocupaciones, únicamente la función jurisdiccional fue eliminada, a pesar de que se retomó una variación en el debate de segunda vuelta en Comisión Primera (numeral del 8 artículo 2)</w:t>
      </w:r>
      <w:r w:rsidR="00B67632" w:rsidRPr="009B7E0C">
        <w:rPr>
          <w:rStyle w:val="Ninguno"/>
          <w:rFonts w:ascii="Times New Roman" w:hAnsi="Times New Roman" w:cs="Times New Roman"/>
          <w:bCs/>
          <w:spacing w:val="-2"/>
          <w:sz w:val="24"/>
          <w:szCs w:val="24"/>
          <w:lang w:val="es-ES"/>
        </w:rPr>
        <w:t>.</w:t>
      </w:r>
    </w:p>
    <w:p w:rsidR="00B67632" w:rsidRPr="009B7E0C" w:rsidRDefault="00B67632" w:rsidP="009B7E0C">
      <w:pPr>
        <w:pStyle w:val="Listavistosa-nfasis11"/>
        <w:numPr>
          <w:ilvl w:val="0"/>
          <w:numId w:val="32"/>
        </w:numPr>
        <w:ind w:left="0" w:firstLine="72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E</w:t>
      </w:r>
      <w:r w:rsidR="00B121DE" w:rsidRPr="009B7E0C">
        <w:rPr>
          <w:rStyle w:val="Ninguno"/>
          <w:rFonts w:ascii="Times New Roman" w:hAnsi="Times New Roman" w:cs="Times New Roman"/>
          <w:bCs/>
          <w:spacing w:val="-2"/>
          <w:sz w:val="24"/>
          <w:szCs w:val="24"/>
          <w:lang w:val="es-ES"/>
        </w:rPr>
        <w:t xml:space="preserve">l </w:t>
      </w:r>
      <w:r w:rsidR="00572F8D" w:rsidRPr="009B7E0C">
        <w:rPr>
          <w:rStyle w:val="Ninguno"/>
          <w:rFonts w:ascii="Times New Roman" w:hAnsi="Times New Roman" w:cs="Times New Roman"/>
          <w:bCs/>
          <w:spacing w:val="-2"/>
          <w:sz w:val="24"/>
          <w:szCs w:val="24"/>
          <w:lang w:val="es-ES"/>
        </w:rPr>
        <w:t xml:space="preserve">PAL propuesto no está dirigido a resolver </w:t>
      </w:r>
      <w:r w:rsidR="009B7E0C">
        <w:rPr>
          <w:rStyle w:val="Ninguno"/>
          <w:rFonts w:ascii="Times New Roman" w:hAnsi="Times New Roman" w:cs="Times New Roman"/>
          <w:bCs/>
          <w:spacing w:val="-2"/>
          <w:sz w:val="24"/>
          <w:szCs w:val="24"/>
          <w:lang w:val="es-ES"/>
        </w:rPr>
        <w:t xml:space="preserve">los problemas de la CGR, como </w:t>
      </w:r>
      <w:r w:rsidR="00295C1B" w:rsidRPr="009B7E0C">
        <w:rPr>
          <w:rStyle w:val="Ninguno"/>
          <w:rFonts w:ascii="Times New Roman" w:hAnsi="Times New Roman" w:cs="Times New Roman"/>
          <w:bCs/>
          <w:spacing w:val="-2"/>
          <w:sz w:val="24"/>
          <w:szCs w:val="24"/>
          <w:lang w:val="es-ES"/>
        </w:rPr>
        <w:t>mejorar la recuperación de recursos y la eficiencia</w:t>
      </w:r>
      <w:r w:rsidR="001C5253" w:rsidRPr="009B7E0C">
        <w:rPr>
          <w:rStyle w:val="Ninguno"/>
          <w:rFonts w:ascii="Times New Roman" w:hAnsi="Times New Roman" w:cs="Times New Roman"/>
          <w:bCs/>
          <w:spacing w:val="-2"/>
          <w:sz w:val="24"/>
          <w:szCs w:val="24"/>
          <w:lang w:val="es-ES"/>
        </w:rPr>
        <w:t xml:space="preserve"> en el ejercicio del control fiscal</w:t>
      </w:r>
      <w:r w:rsidR="00295C1B" w:rsidRPr="009B7E0C">
        <w:rPr>
          <w:rStyle w:val="Ninguno"/>
          <w:rFonts w:ascii="Times New Roman" w:hAnsi="Times New Roman" w:cs="Times New Roman"/>
          <w:bCs/>
          <w:spacing w:val="-2"/>
          <w:sz w:val="24"/>
          <w:szCs w:val="24"/>
          <w:lang w:val="es-ES"/>
        </w:rPr>
        <w:t>.</w:t>
      </w:r>
      <w:r w:rsidR="001C5253" w:rsidRPr="009B7E0C">
        <w:rPr>
          <w:rStyle w:val="Ninguno"/>
          <w:rFonts w:ascii="Times New Roman" w:hAnsi="Times New Roman" w:cs="Times New Roman"/>
          <w:bCs/>
          <w:spacing w:val="-2"/>
          <w:sz w:val="24"/>
          <w:szCs w:val="24"/>
          <w:lang w:val="es-ES"/>
        </w:rPr>
        <w:t xml:space="preserve"> En su lugar, </w:t>
      </w:r>
      <w:r w:rsidR="001C5253" w:rsidRPr="009B7E0C">
        <w:rPr>
          <w:rStyle w:val="Ninguno"/>
          <w:rFonts w:ascii="Times New Roman" w:hAnsi="Times New Roman" w:cs="Times New Roman"/>
          <w:b/>
          <w:bCs/>
          <w:spacing w:val="-2"/>
          <w:sz w:val="24"/>
          <w:szCs w:val="24"/>
          <w:lang w:val="es-ES"/>
        </w:rPr>
        <w:t>pretenden revivir el control previo y concomitante</w:t>
      </w:r>
      <w:r w:rsidR="00295C1B" w:rsidRPr="009B7E0C">
        <w:rPr>
          <w:rStyle w:val="Ninguno"/>
          <w:rFonts w:ascii="Times New Roman" w:hAnsi="Times New Roman" w:cs="Times New Roman"/>
          <w:b/>
          <w:bCs/>
          <w:spacing w:val="-2"/>
          <w:sz w:val="24"/>
          <w:szCs w:val="24"/>
          <w:lang w:val="es-ES"/>
        </w:rPr>
        <w:t xml:space="preserve"> </w:t>
      </w:r>
      <w:r w:rsidR="001C5253" w:rsidRPr="009B7E0C">
        <w:rPr>
          <w:rStyle w:val="Ninguno"/>
          <w:rFonts w:ascii="Times New Roman" w:hAnsi="Times New Roman" w:cs="Times New Roman"/>
          <w:b/>
          <w:bCs/>
          <w:spacing w:val="-2"/>
          <w:sz w:val="24"/>
          <w:szCs w:val="24"/>
          <w:lang w:val="es-ES"/>
        </w:rPr>
        <w:t>que fue eliminado por la Constitución del 91</w:t>
      </w:r>
      <w:r w:rsidR="001C5253" w:rsidRPr="009B7E0C">
        <w:rPr>
          <w:rStyle w:val="Ninguno"/>
          <w:rFonts w:ascii="Times New Roman" w:hAnsi="Times New Roman" w:cs="Times New Roman"/>
          <w:bCs/>
          <w:spacing w:val="-2"/>
          <w:sz w:val="24"/>
          <w:szCs w:val="24"/>
          <w:lang w:val="es-ES"/>
        </w:rPr>
        <w:t>; este tipo de control, por un lado, no garantiza mayor efectividad en el control, como muestra la experiencia previa a la promulgación de la Constitución; y, por otro lado, significaría la sustitución de la Constitución pues se rompería la división de poderes propia de nuestro modelo de Estado.</w:t>
      </w:r>
    </w:p>
    <w:p w:rsidR="001C5253" w:rsidRPr="009B7E0C" w:rsidRDefault="001C5253" w:rsidP="00ED014C">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Respecto al primer aspecto, el control previo existente desde la Constitución de 1886 en la práctica se manifestaba como una coadministración, en la que la realización de las funciones de la administración era obstaculizada por la Contraloría, y, a su vez, daba lugar a congestión en la entidad de control fiscal</w:t>
      </w:r>
      <w:r w:rsidR="009D0733" w:rsidRPr="009B7E0C">
        <w:rPr>
          <w:rStyle w:val="Refdenotaalpie"/>
          <w:rFonts w:ascii="Times New Roman" w:hAnsi="Times New Roman" w:cs="Times New Roman"/>
          <w:bCs/>
          <w:spacing w:val="-2"/>
          <w:sz w:val="24"/>
          <w:szCs w:val="24"/>
          <w:lang w:val="es-ES"/>
        </w:rPr>
        <w:footnoteReference w:id="1"/>
      </w:r>
      <w:r w:rsidRPr="009B7E0C">
        <w:rPr>
          <w:rStyle w:val="Ninguno"/>
          <w:rFonts w:ascii="Times New Roman" w:hAnsi="Times New Roman" w:cs="Times New Roman"/>
          <w:bCs/>
          <w:spacing w:val="-2"/>
          <w:sz w:val="24"/>
          <w:szCs w:val="24"/>
          <w:lang w:val="es-ES"/>
        </w:rPr>
        <w:t xml:space="preserve"> a incentivos perversos para la corrupción, con el fin de lograr la agilidad de la ejecuci</w:t>
      </w:r>
      <w:r w:rsidR="009D0733" w:rsidRPr="009B7E0C">
        <w:rPr>
          <w:rStyle w:val="Ninguno"/>
          <w:rFonts w:ascii="Times New Roman" w:hAnsi="Times New Roman" w:cs="Times New Roman"/>
          <w:bCs/>
          <w:spacing w:val="-2"/>
          <w:sz w:val="24"/>
          <w:szCs w:val="24"/>
          <w:lang w:val="es-ES"/>
        </w:rPr>
        <w:t>ón del presupuesto</w:t>
      </w:r>
      <w:r w:rsidRPr="009B7E0C">
        <w:rPr>
          <w:rStyle w:val="Ninguno"/>
          <w:rFonts w:ascii="Times New Roman" w:hAnsi="Times New Roman" w:cs="Times New Roman"/>
          <w:bCs/>
          <w:spacing w:val="-2"/>
          <w:sz w:val="24"/>
          <w:szCs w:val="24"/>
          <w:lang w:val="es-ES"/>
        </w:rPr>
        <w:t>.</w:t>
      </w:r>
      <w:r w:rsidR="009D0733" w:rsidRPr="009B7E0C">
        <w:rPr>
          <w:rStyle w:val="Ninguno"/>
          <w:rFonts w:ascii="Times New Roman" w:hAnsi="Times New Roman" w:cs="Times New Roman"/>
          <w:bCs/>
          <w:spacing w:val="-2"/>
          <w:sz w:val="24"/>
          <w:szCs w:val="24"/>
          <w:lang w:val="es-ES"/>
        </w:rPr>
        <w:t xml:space="preserve"> </w:t>
      </w:r>
      <w:r w:rsidR="00B121DE" w:rsidRPr="009B7E0C">
        <w:rPr>
          <w:rStyle w:val="Ninguno"/>
          <w:rFonts w:ascii="Times New Roman" w:hAnsi="Times New Roman" w:cs="Times New Roman"/>
          <w:bCs/>
          <w:spacing w:val="-2"/>
          <w:sz w:val="24"/>
          <w:szCs w:val="24"/>
          <w:lang w:val="es-ES"/>
        </w:rPr>
        <w:t xml:space="preserve">Esto fue reiterado en las discusiones de la Asamblea Nacional Constituyente, donde se señaló que </w:t>
      </w:r>
      <w:r w:rsidR="00B121DE" w:rsidRPr="009B7E0C">
        <w:rPr>
          <w:rFonts w:ascii="Times New Roman" w:hAnsi="Times New Roman" w:cs="Times New Roman"/>
          <w:bCs/>
          <w:iCs/>
          <w:spacing w:val="-2"/>
          <w:sz w:val="24"/>
          <w:szCs w:val="24"/>
          <w:lang w:val="es-CO"/>
        </w:rPr>
        <w:t>"[e]l control previo, generalizado en Colombia, ha sido funesto para la administración pública, pues ha desvirtuado el objetivo de la Contraloría al permitirle ejercer abusivamente una cierta coadministración, que ha redundado en un gran poder unipersonal del control y se ha prestado también, para una engorrosa tramitología que degenera en corruptelas"</w:t>
      </w:r>
      <w:r w:rsidR="00B121DE" w:rsidRPr="009B7E0C">
        <w:rPr>
          <w:rStyle w:val="Refdenotaalpie"/>
          <w:rFonts w:ascii="Times New Roman" w:hAnsi="Times New Roman" w:cs="Times New Roman"/>
          <w:bCs/>
          <w:iCs/>
          <w:spacing w:val="-2"/>
          <w:sz w:val="24"/>
          <w:szCs w:val="24"/>
          <w:lang w:val="es-CO"/>
        </w:rPr>
        <w:footnoteReference w:id="2"/>
      </w:r>
      <w:r w:rsidR="00935596" w:rsidRPr="009B7E0C">
        <w:rPr>
          <w:rFonts w:ascii="Times New Roman" w:hAnsi="Times New Roman" w:cs="Times New Roman"/>
          <w:bCs/>
          <w:iCs/>
          <w:spacing w:val="-2"/>
          <w:sz w:val="24"/>
          <w:szCs w:val="24"/>
          <w:lang w:val="es-CO"/>
        </w:rPr>
        <w:t>.</w:t>
      </w:r>
      <w:r w:rsidR="00B121DE" w:rsidRPr="009B7E0C">
        <w:rPr>
          <w:rStyle w:val="Ninguno"/>
          <w:rFonts w:ascii="Times New Roman" w:hAnsi="Times New Roman" w:cs="Times New Roman"/>
          <w:sz w:val="24"/>
          <w:szCs w:val="24"/>
          <w:lang w:val="es-ES"/>
        </w:rPr>
        <w:t xml:space="preserve"> </w:t>
      </w:r>
      <w:r w:rsidR="00F20CA3" w:rsidRPr="009B7E0C">
        <w:rPr>
          <w:rStyle w:val="Ninguno"/>
          <w:rFonts w:ascii="Times New Roman" w:hAnsi="Times New Roman" w:cs="Times New Roman"/>
          <w:bCs/>
          <w:spacing w:val="-2"/>
          <w:sz w:val="24"/>
          <w:szCs w:val="24"/>
          <w:lang w:val="es-ES"/>
        </w:rPr>
        <w:t xml:space="preserve">Para compensar la falta de intervención directa en la fase previa a la ejecución de recursos, se previó establecer un control interno en las entidades que permitiera, </w:t>
      </w:r>
      <w:r w:rsidR="00F20CA3" w:rsidRPr="009B7E0C">
        <w:rPr>
          <w:rStyle w:val="Ninguno"/>
          <w:rFonts w:ascii="Times New Roman" w:hAnsi="Times New Roman" w:cs="Times New Roman"/>
          <w:bCs/>
          <w:spacing w:val="-2"/>
          <w:sz w:val="24"/>
          <w:szCs w:val="24"/>
          <w:lang w:val="es-ES"/>
        </w:rPr>
        <w:lastRenderedPageBreak/>
        <w:t>en tiempo real, supervisar e</w:t>
      </w:r>
      <w:r w:rsidR="001C04E1" w:rsidRPr="009B7E0C">
        <w:rPr>
          <w:rStyle w:val="Ninguno"/>
          <w:rFonts w:ascii="Times New Roman" w:hAnsi="Times New Roman" w:cs="Times New Roman"/>
          <w:bCs/>
          <w:spacing w:val="-2"/>
          <w:sz w:val="24"/>
          <w:szCs w:val="24"/>
          <w:lang w:val="es-ES"/>
        </w:rPr>
        <w:t xml:space="preserve">l manejo fiscal con el fin de eliminar el control previo de la Contraloría y fortalecer institucionalmente a las entidades del Estado. </w:t>
      </w:r>
    </w:p>
    <w:p w:rsidR="00E62AD1" w:rsidRPr="009B7E0C" w:rsidRDefault="001C04E1" w:rsidP="00ED014C">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 xml:space="preserve">No obstante, el presente PAL desconoce que en lugar de volver al control previo, lo más adecuado sería fortalecer la función de la Contraloría de </w:t>
      </w:r>
      <w:r w:rsidRPr="009B7E0C">
        <w:rPr>
          <w:rStyle w:val="Ninguno"/>
          <w:rFonts w:ascii="Times New Roman" w:hAnsi="Times New Roman" w:cs="Times New Roman"/>
          <w:b/>
          <w:bCs/>
          <w:spacing w:val="-2"/>
          <w:sz w:val="24"/>
          <w:szCs w:val="24"/>
          <w:lang w:val="es-ES"/>
        </w:rPr>
        <w:t>revisión</w:t>
      </w:r>
      <w:r w:rsidR="00935596" w:rsidRPr="009B7E0C">
        <w:rPr>
          <w:rStyle w:val="Ninguno"/>
          <w:rFonts w:ascii="Times New Roman" w:hAnsi="Times New Roman" w:cs="Times New Roman"/>
          <w:b/>
          <w:bCs/>
          <w:spacing w:val="-2"/>
          <w:sz w:val="24"/>
          <w:szCs w:val="24"/>
          <w:lang w:val="es-ES"/>
        </w:rPr>
        <w:t xml:space="preserve"> y armonización</w:t>
      </w:r>
      <w:r w:rsidRPr="009B7E0C">
        <w:rPr>
          <w:rStyle w:val="Ninguno"/>
          <w:rFonts w:ascii="Times New Roman" w:hAnsi="Times New Roman" w:cs="Times New Roman"/>
          <w:b/>
          <w:bCs/>
          <w:spacing w:val="-2"/>
          <w:sz w:val="24"/>
          <w:szCs w:val="24"/>
          <w:lang w:val="es-ES"/>
        </w:rPr>
        <w:t xml:space="preserve"> de los sistemas de control interno</w:t>
      </w:r>
      <w:r w:rsidRPr="009B7E0C">
        <w:rPr>
          <w:rStyle w:val="Ninguno"/>
          <w:rFonts w:ascii="Times New Roman" w:hAnsi="Times New Roman" w:cs="Times New Roman"/>
          <w:bCs/>
          <w:spacing w:val="-2"/>
          <w:sz w:val="24"/>
          <w:szCs w:val="24"/>
          <w:lang w:val="es-ES"/>
        </w:rPr>
        <w:t xml:space="preserve"> de las entidades </w:t>
      </w:r>
      <w:r w:rsidR="00935596" w:rsidRPr="009B7E0C">
        <w:rPr>
          <w:rStyle w:val="Ninguno"/>
          <w:rFonts w:ascii="Times New Roman" w:hAnsi="Times New Roman" w:cs="Times New Roman"/>
          <w:bCs/>
          <w:spacing w:val="-2"/>
          <w:sz w:val="24"/>
          <w:szCs w:val="24"/>
          <w:lang w:val="es-ES"/>
        </w:rPr>
        <w:t>(</w:t>
      </w:r>
      <w:r w:rsidRPr="009B7E0C">
        <w:rPr>
          <w:rStyle w:val="Ninguno"/>
          <w:rFonts w:ascii="Times New Roman" w:hAnsi="Times New Roman" w:cs="Times New Roman"/>
          <w:bCs/>
          <w:spacing w:val="-2"/>
          <w:sz w:val="24"/>
          <w:szCs w:val="24"/>
          <w:lang w:val="es-ES"/>
        </w:rPr>
        <w:t>numeral 6 del artículo 267</w:t>
      </w:r>
      <w:r w:rsidR="00935596" w:rsidRPr="009B7E0C">
        <w:rPr>
          <w:rStyle w:val="Ninguno"/>
          <w:rFonts w:ascii="Times New Roman" w:hAnsi="Times New Roman" w:cs="Times New Roman"/>
          <w:bCs/>
          <w:spacing w:val="-2"/>
          <w:sz w:val="24"/>
          <w:szCs w:val="24"/>
          <w:lang w:val="es-ES"/>
        </w:rPr>
        <w:t xml:space="preserve"> y 12 del artículo 268</w:t>
      </w:r>
      <w:r w:rsidRPr="009B7E0C">
        <w:rPr>
          <w:rStyle w:val="Ninguno"/>
          <w:rFonts w:ascii="Times New Roman" w:hAnsi="Times New Roman" w:cs="Times New Roman"/>
          <w:bCs/>
          <w:spacing w:val="-2"/>
          <w:sz w:val="24"/>
          <w:szCs w:val="24"/>
          <w:lang w:val="es-ES"/>
        </w:rPr>
        <w:t>). Por esta vía, que no requiere una reforma constitucional, sino voluntad política y gestión administrativa, se podría articular a la CGR con el funcionamiento cotidiano de las entidades para prevenir l</w:t>
      </w:r>
      <w:r w:rsidR="0036779B" w:rsidRPr="009B7E0C">
        <w:rPr>
          <w:rStyle w:val="Ninguno"/>
          <w:rFonts w:ascii="Times New Roman" w:hAnsi="Times New Roman" w:cs="Times New Roman"/>
          <w:bCs/>
          <w:spacing w:val="-2"/>
          <w:sz w:val="24"/>
          <w:szCs w:val="24"/>
          <w:lang w:val="es-ES"/>
        </w:rPr>
        <w:t xml:space="preserve">a inadecuada gestión fiscal. </w:t>
      </w:r>
      <w:r w:rsidR="00935596" w:rsidRPr="009B7E0C">
        <w:rPr>
          <w:rStyle w:val="Ninguno"/>
          <w:rFonts w:ascii="Times New Roman" w:hAnsi="Times New Roman" w:cs="Times New Roman"/>
          <w:bCs/>
          <w:spacing w:val="-2"/>
          <w:sz w:val="24"/>
          <w:szCs w:val="24"/>
          <w:lang w:val="es-ES"/>
        </w:rPr>
        <w:t>Como lo ha señalado la Corte Constitucional</w:t>
      </w:r>
      <w:r w:rsidR="00935596" w:rsidRPr="009B7E0C">
        <w:rPr>
          <w:rStyle w:val="Refdenotaalpie"/>
          <w:rFonts w:ascii="Times New Roman" w:hAnsi="Times New Roman" w:cs="Times New Roman"/>
          <w:bCs/>
          <w:spacing w:val="-2"/>
          <w:sz w:val="24"/>
          <w:szCs w:val="24"/>
          <w:lang w:val="es-ES"/>
        </w:rPr>
        <w:footnoteReference w:id="3"/>
      </w:r>
      <w:r w:rsidR="00935596" w:rsidRPr="009B7E0C">
        <w:rPr>
          <w:rStyle w:val="Ninguno"/>
          <w:rFonts w:ascii="Times New Roman" w:hAnsi="Times New Roman" w:cs="Times New Roman"/>
          <w:bCs/>
          <w:spacing w:val="-2"/>
          <w:sz w:val="24"/>
          <w:szCs w:val="24"/>
          <w:lang w:val="es-ES"/>
        </w:rPr>
        <w:t xml:space="preserve"> </w:t>
      </w:r>
    </w:p>
    <w:p w:rsidR="00E62AD1" w:rsidRPr="009B7E0C" w:rsidRDefault="00E62AD1" w:rsidP="00E62AD1">
      <w:pPr>
        <w:pStyle w:val="Listavistosa-nfasis11"/>
        <w:ind w:left="1134"/>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 xml:space="preserve">“el control interno se entiende como parte del proceso administrativo y corresponde adelantarlo a los administradores; teniendo  oportunidades propias en todos los momentos del cumplimiento de la función administrativa, pudiendo serlo previo, concomitante o posterior, lo que permite que el funcionario cumpla su función, asumiendo la responsabilidad por sus actuaciones y resultados; sin perjuicio de la  independencia de los organismos de control fiscal, no coadministradores, que cumplirán sus funciones de manera posterior y selectiva, sin ocuparse de funciones administrativas distintas de las inherentes a su propia organización”. </w:t>
      </w:r>
    </w:p>
    <w:p w:rsidR="00E62AD1" w:rsidRPr="009B7E0C" w:rsidRDefault="00E62AD1" w:rsidP="00E62AD1">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En consecuencia, no es que no se haya previsto un control previo a la gestión fiscal, sino que el modelo previsto no ha sido ejecutado de manera correcta. La estructura de dos niveles de control a la gestión fiscal permite que haya un control previo de carácter administrativo ejercido por las oficinas de control interno y un control de segundo nivel de naturaleza externa y de supervisión, que lleva a cabo la CGR. En efecto, la Corte Constitucional</w:t>
      </w:r>
      <w:r w:rsidRPr="009B7E0C">
        <w:rPr>
          <w:rStyle w:val="Refdenotaalpie"/>
          <w:rFonts w:ascii="Times New Roman" w:hAnsi="Times New Roman" w:cs="Times New Roman"/>
          <w:bCs/>
          <w:spacing w:val="-2"/>
          <w:sz w:val="24"/>
          <w:szCs w:val="24"/>
          <w:lang w:val="es-ES"/>
        </w:rPr>
        <w:footnoteReference w:id="4"/>
      </w:r>
      <w:r w:rsidRPr="009B7E0C">
        <w:rPr>
          <w:rStyle w:val="Ninguno"/>
          <w:rFonts w:ascii="Times New Roman" w:hAnsi="Times New Roman" w:cs="Times New Roman"/>
          <w:bCs/>
          <w:spacing w:val="-2"/>
          <w:sz w:val="24"/>
          <w:szCs w:val="24"/>
          <w:lang w:val="es-ES"/>
        </w:rPr>
        <w:t xml:space="preserve"> ha reiterado la pertinencia de este modelo en los siguientes términos </w:t>
      </w:r>
    </w:p>
    <w:p w:rsidR="00E62AD1" w:rsidRPr="009B7E0C" w:rsidRDefault="00E62AD1" w:rsidP="00E62AD1">
      <w:pPr>
        <w:pStyle w:val="Listavistosa-nfasis11"/>
        <w:ind w:left="1134"/>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“En la visión del Constituyente de 1991, el  eficaz y efectivo funcionamiento del control interno, también denominado de primer grado, se articula estrechamente con el que, en forma posterior y selectiva, ejercen las Contralorías en el ámbito de su competencia. De ahí que la eficacia de este último, como control de segundo grado que es, esté condicionada por el grado de eficacia con que se ejerza el control de primer grado al interior de las entidades del Estado por los componentes del Sistema de control interno.”</w:t>
      </w:r>
    </w:p>
    <w:p w:rsidR="001C04E1" w:rsidRPr="009B7E0C" w:rsidRDefault="00935596" w:rsidP="00E62AD1">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lastRenderedPageBreak/>
        <w:t>Al tiempo, esto permite mantener la distinción entre las funciones de administración y de supervisión que redundan en la materialización de la separación de poderes, como lo mostraré más adelante.</w:t>
      </w:r>
    </w:p>
    <w:p w:rsidR="0036779B" w:rsidRPr="009B7E0C" w:rsidRDefault="0036779B" w:rsidP="00ED014C">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 xml:space="preserve">Adicionalmente, junto al mejoramiento de los sistemas de control interno, la </w:t>
      </w:r>
      <w:r w:rsidRPr="009B7E0C">
        <w:rPr>
          <w:rStyle w:val="Ninguno"/>
          <w:rFonts w:ascii="Times New Roman" w:hAnsi="Times New Roman" w:cs="Times New Roman"/>
          <w:b/>
          <w:bCs/>
          <w:spacing w:val="-2"/>
          <w:sz w:val="24"/>
          <w:szCs w:val="24"/>
          <w:lang w:val="es-ES"/>
        </w:rPr>
        <w:t>promoción de la participación ciudadana en el control social a la gestión fiscal</w:t>
      </w:r>
      <w:r w:rsidRPr="009B7E0C">
        <w:rPr>
          <w:rStyle w:val="Ninguno"/>
          <w:rFonts w:ascii="Times New Roman" w:hAnsi="Times New Roman" w:cs="Times New Roman"/>
          <w:bCs/>
          <w:spacing w:val="-2"/>
          <w:sz w:val="24"/>
          <w:szCs w:val="24"/>
          <w:lang w:val="es-ES"/>
        </w:rPr>
        <w:t xml:space="preserve"> también es un elemento fundamental para fortalecer el control previo a las entidades, sin tener que regresar al control previo por parte de la CGR. Al igual en el asunto anterior, el desarrollo del mandato del artículo 270 de la Constitución, respecto a la participación ciudadana, no requiere reformas constitucionales, sino gestiones administrativas por parte de la CGR. Al respecto, como lo muestra la propuesta del 19 de julio de 2019 de los Grupos de Participación Ciudadana de la CGR, se requieren</w:t>
      </w:r>
      <w:r w:rsidR="0052692B" w:rsidRPr="009B7E0C">
        <w:rPr>
          <w:rStyle w:val="Ninguno"/>
          <w:rFonts w:ascii="Times New Roman" w:hAnsi="Times New Roman" w:cs="Times New Roman"/>
          <w:bCs/>
          <w:spacing w:val="-2"/>
          <w:sz w:val="24"/>
          <w:szCs w:val="24"/>
          <w:lang w:val="es-ES"/>
        </w:rPr>
        <w:t xml:space="preserve"> –entre otros-</w:t>
      </w:r>
      <w:r w:rsidRPr="009B7E0C">
        <w:rPr>
          <w:rStyle w:val="Ninguno"/>
          <w:rFonts w:ascii="Times New Roman" w:hAnsi="Times New Roman" w:cs="Times New Roman"/>
          <w:bCs/>
          <w:spacing w:val="-2"/>
          <w:sz w:val="24"/>
          <w:szCs w:val="24"/>
          <w:lang w:val="es-ES"/>
        </w:rPr>
        <w:t xml:space="preserve"> más recursos humanos al interior de los grupos con el fin de conectar a los ciudadanos con la CGR y, por esta vía, fortalecer los sistemas de denuncias (en desarrollo del art</w:t>
      </w:r>
      <w:r w:rsidR="0052692B" w:rsidRPr="009B7E0C">
        <w:rPr>
          <w:rStyle w:val="Ninguno"/>
          <w:rFonts w:ascii="Times New Roman" w:hAnsi="Times New Roman" w:cs="Times New Roman"/>
          <w:bCs/>
          <w:spacing w:val="-2"/>
          <w:sz w:val="24"/>
          <w:szCs w:val="24"/>
          <w:lang w:val="es-ES"/>
        </w:rPr>
        <w:t>ículo 69 de la Ley 1757 de 2015</w:t>
      </w:r>
      <w:r w:rsidRPr="009B7E0C">
        <w:rPr>
          <w:rStyle w:val="Ninguno"/>
          <w:rFonts w:ascii="Times New Roman" w:hAnsi="Times New Roman" w:cs="Times New Roman"/>
          <w:bCs/>
          <w:spacing w:val="-2"/>
          <w:sz w:val="24"/>
          <w:szCs w:val="24"/>
          <w:lang w:val="es-ES"/>
        </w:rPr>
        <w:t>) y, por tanto, de prevención respecto a la gestión fiscal.</w:t>
      </w:r>
      <w:r w:rsidR="0052692B" w:rsidRPr="009B7E0C">
        <w:rPr>
          <w:rStyle w:val="Ninguno"/>
          <w:rFonts w:ascii="Times New Roman" w:hAnsi="Times New Roman" w:cs="Times New Roman"/>
          <w:bCs/>
          <w:spacing w:val="-2"/>
          <w:sz w:val="24"/>
          <w:szCs w:val="24"/>
          <w:lang w:val="es-ES"/>
        </w:rPr>
        <w:t xml:space="preserve"> Esto es fundamental si se tiene en cuenta que, conforme a cifras propias de la CGR, el promedio de denuncias ciudadanas recibidas en los últimos cuatro años es de 9.511.</w:t>
      </w:r>
    </w:p>
    <w:p w:rsidR="00B121DE" w:rsidRPr="009B7E0C" w:rsidRDefault="00B121DE" w:rsidP="00ED014C">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Respecto al segundo aspecto</w:t>
      </w:r>
      <w:r w:rsidRPr="009B7E0C">
        <w:rPr>
          <w:rStyle w:val="Ninguno"/>
          <w:rFonts w:ascii="Times New Roman" w:hAnsi="Times New Roman" w:cs="Times New Roman"/>
          <w:b/>
          <w:bCs/>
          <w:spacing w:val="-2"/>
          <w:sz w:val="24"/>
          <w:szCs w:val="24"/>
          <w:lang w:val="es-ES"/>
        </w:rPr>
        <w:t>, el control previo de la CGR sustituye la constitución.</w:t>
      </w:r>
      <w:r w:rsidRPr="009B7E0C">
        <w:rPr>
          <w:rStyle w:val="Ninguno"/>
          <w:rFonts w:ascii="Times New Roman" w:hAnsi="Times New Roman" w:cs="Times New Roman"/>
          <w:bCs/>
          <w:spacing w:val="-2"/>
          <w:sz w:val="24"/>
          <w:szCs w:val="24"/>
          <w:lang w:val="es-ES"/>
        </w:rPr>
        <w:t xml:space="preserve"> </w:t>
      </w:r>
      <w:r w:rsidR="00935596" w:rsidRPr="009B7E0C">
        <w:rPr>
          <w:rStyle w:val="Ninguno"/>
          <w:rFonts w:ascii="Times New Roman" w:hAnsi="Times New Roman" w:cs="Times New Roman"/>
          <w:bCs/>
          <w:spacing w:val="-2"/>
          <w:sz w:val="24"/>
          <w:szCs w:val="24"/>
          <w:lang w:val="es-ES"/>
        </w:rPr>
        <w:t xml:space="preserve">Retroceder al modelo de control previo implica, en la práctica, la confusión de las funciones de ordenar y supervisar el gasto, en cabeza de organismos distintos del Estado; </w:t>
      </w:r>
      <w:r w:rsidR="009B7E0C" w:rsidRPr="009B7E0C">
        <w:rPr>
          <w:rStyle w:val="Ninguno"/>
          <w:rFonts w:ascii="Times New Roman" w:hAnsi="Times New Roman" w:cs="Times New Roman"/>
          <w:bCs/>
          <w:spacing w:val="-2"/>
          <w:sz w:val="24"/>
          <w:szCs w:val="24"/>
          <w:lang w:val="es-ES"/>
        </w:rPr>
        <w:t>la Constitución dispuso esa separación</w:t>
      </w:r>
      <w:r w:rsidR="00935596" w:rsidRPr="009B7E0C">
        <w:rPr>
          <w:rStyle w:val="Ninguno"/>
          <w:rFonts w:ascii="Times New Roman" w:hAnsi="Times New Roman" w:cs="Times New Roman"/>
          <w:bCs/>
          <w:spacing w:val="-2"/>
          <w:sz w:val="24"/>
          <w:szCs w:val="24"/>
          <w:lang w:val="es-ES"/>
        </w:rPr>
        <w:t xml:space="preserve"> con el fin de evitar una especia de “dictadura” de los órganos de control, en el sentido de ejercer demasiada injerencia en las decisiones de la gestión fiscal.</w:t>
      </w:r>
      <w:r w:rsidRPr="009B7E0C">
        <w:rPr>
          <w:rStyle w:val="Ninguno"/>
          <w:rFonts w:ascii="Times New Roman" w:hAnsi="Times New Roman" w:cs="Times New Roman"/>
          <w:bCs/>
          <w:spacing w:val="-2"/>
          <w:sz w:val="24"/>
          <w:szCs w:val="24"/>
          <w:lang w:val="es-ES"/>
        </w:rPr>
        <w:t xml:space="preserve"> </w:t>
      </w:r>
      <w:r w:rsidR="009B7E0C" w:rsidRPr="009B7E0C">
        <w:rPr>
          <w:rStyle w:val="Ninguno"/>
          <w:rFonts w:ascii="Times New Roman" w:hAnsi="Times New Roman" w:cs="Times New Roman"/>
          <w:bCs/>
          <w:spacing w:val="-2"/>
          <w:sz w:val="24"/>
          <w:szCs w:val="24"/>
          <w:lang w:val="es-ES"/>
        </w:rPr>
        <w:t>Otorgar la CGR funciones del ámbito administrativo implica vulnerar la separación funcional, que redunda en el desconocimiento de la separación de poderes.</w:t>
      </w:r>
    </w:p>
    <w:p w:rsidR="009B7E0C" w:rsidRPr="009B7E0C" w:rsidRDefault="009B7E0C" w:rsidP="00ED014C">
      <w:pPr>
        <w:pStyle w:val="Listavistosa-nfasis11"/>
        <w:ind w:left="0"/>
        <w:jc w:val="both"/>
        <w:outlineLvl w:val="0"/>
        <w:rPr>
          <w:rStyle w:val="Ninguno"/>
          <w:rFonts w:ascii="Times New Roman" w:hAnsi="Times New Roman" w:cs="Times New Roman"/>
          <w:bCs/>
          <w:spacing w:val="-2"/>
          <w:sz w:val="24"/>
          <w:szCs w:val="24"/>
          <w:lang w:val="es-ES"/>
        </w:rPr>
      </w:pPr>
      <w:r w:rsidRPr="009B7E0C">
        <w:rPr>
          <w:rStyle w:val="Ninguno"/>
          <w:rFonts w:ascii="Times New Roman" w:hAnsi="Times New Roman" w:cs="Times New Roman"/>
          <w:bCs/>
          <w:spacing w:val="-2"/>
          <w:sz w:val="24"/>
          <w:szCs w:val="24"/>
          <w:lang w:val="es-ES"/>
        </w:rPr>
        <w:t xml:space="preserve">El control previo implica que la administración está sometida a las decisiones de la CGR como órgano fiscalizador, como se desprende de la experiencia previa a 1991. Al respecto, la </w:t>
      </w:r>
      <w:r>
        <w:rPr>
          <w:rStyle w:val="Ninguno"/>
          <w:rFonts w:ascii="Times New Roman" w:hAnsi="Times New Roman" w:cs="Times New Roman"/>
          <w:bCs/>
          <w:spacing w:val="-2"/>
          <w:sz w:val="24"/>
          <w:szCs w:val="24"/>
          <w:lang w:val="es-ES"/>
        </w:rPr>
        <w:t>Corte C</w:t>
      </w:r>
      <w:r w:rsidRPr="009B7E0C">
        <w:rPr>
          <w:rStyle w:val="Ninguno"/>
          <w:rFonts w:ascii="Times New Roman" w:hAnsi="Times New Roman" w:cs="Times New Roman"/>
          <w:bCs/>
          <w:spacing w:val="-2"/>
          <w:sz w:val="24"/>
          <w:szCs w:val="24"/>
          <w:lang w:val="es-ES"/>
        </w:rPr>
        <w:t>onstitucional ha afirmado que</w:t>
      </w:r>
      <w:r>
        <w:rPr>
          <w:rStyle w:val="Refdenotaalpie"/>
          <w:rFonts w:ascii="Times New Roman" w:hAnsi="Times New Roman" w:cs="Times New Roman"/>
          <w:bCs/>
          <w:spacing w:val="-2"/>
          <w:sz w:val="24"/>
          <w:szCs w:val="24"/>
          <w:lang w:val="es-ES"/>
        </w:rPr>
        <w:footnoteReference w:id="5"/>
      </w:r>
      <w:r>
        <w:rPr>
          <w:rStyle w:val="Ninguno"/>
          <w:rFonts w:ascii="Times New Roman" w:hAnsi="Times New Roman" w:cs="Times New Roman"/>
          <w:bCs/>
          <w:spacing w:val="-2"/>
          <w:sz w:val="24"/>
          <w:szCs w:val="24"/>
          <w:lang w:val="es-ES"/>
        </w:rPr>
        <w:t>:</w:t>
      </w:r>
    </w:p>
    <w:p w:rsidR="009B7E0C" w:rsidRDefault="009B7E0C" w:rsidP="009B7E0C">
      <w:pPr>
        <w:pStyle w:val="Listavistosa-nfasis11"/>
        <w:ind w:left="1134"/>
        <w:jc w:val="both"/>
        <w:outlineLvl w:val="0"/>
        <w:rPr>
          <w:rFonts w:ascii="Times New Roman" w:hAnsi="Times New Roman" w:cs="Times New Roman"/>
          <w:sz w:val="24"/>
          <w:szCs w:val="24"/>
        </w:rPr>
      </w:pPr>
      <w:r w:rsidRPr="009B7E0C">
        <w:rPr>
          <w:rFonts w:ascii="Times New Roman" w:hAnsi="Times New Roman" w:cs="Times New Roman"/>
          <w:sz w:val="24"/>
          <w:szCs w:val="24"/>
        </w:rPr>
        <w:t xml:space="preserve">“(L) as posibilidades de co-gestión por parte de delegados de los entes fiscalizadores, tal como se daba con anterioridad a la Carta Política de 1991, no solamente resultaba ineficaz para lograr una verdadera transparencia de los procesos administrativos, en especial los de contratación, sino que se había constituido en oportunidad y motivo de corrupción, en cuanto se prestaba para ilícitos pactos entre funcionarios administrativos y los encargados de su vigilancia. Eso, además de la injustificada dilación que en los trámites correspondientes implicaba la permanente consulta de las decisiones con los órganos de control, especialmente las auditorías, cuyos titulares creían gozar de </w:t>
      </w:r>
      <w:r w:rsidRPr="009B7E0C">
        <w:rPr>
          <w:rFonts w:ascii="Times New Roman" w:hAnsi="Times New Roman" w:cs="Times New Roman"/>
          <w:sz w:val="24"/>
          <w:szCs w:val="24"/>
        </w:rPr>
        <w:lastRenderedPageBreak/>
        <w:t>autoridad suficiente para obstaculizar y para desviar las actuaciones previas a la contratación, imponiendo no pocas veces sus criterios a las autoridades competentes, con ostensible vulneración del principio de separación funcional y distorsionando el verdadero papel que se atribuye a quienes ejercen el control fiscal.</w:t>
      </w:r>
    </w:p>
    <w:p w:rsidR="009B7E0C" w:rsidRDefault="009B7E0C" w:rsidP="009B7E0C">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t xml:space="preserve">Finalmente, si bien el PAL dice que el control no implicará coadministración, en la práctica los riesgos son considerables. En el modelo anterior tampoco se reconocía la coadministración y en la implementación del modelo de control previo y preventivo, se produjo el fenómeno de excesiva intervención en las funciones de la administración. </w:t>
      </w:r>
    </w:p>
    <w:p w:rsidR="009B7E0C" w:rsidRDefault="009B7E0C" w:rsidP="009B7E0C">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t>En conclusión, el control previo (así se llame preventivo y se diga que no va a haber coadministración) desconoce que el modelo constitucional de 1991 prevé la separación de las funciones de ordenación y supervisión del gasto, la primera en cabeza de la administración y la segunda a cargo de los órganos de control</w:t>
      </w:r>
      <w:r w:rsidR="000B5ACD">
        <w:rPr>
          <w:rFonts w:ascii="Times New Roman" w:hAnsi="Times New Roman" w:cs="Times New Roman"/>
          <w:sz w:val="24"/>
          <w:szCs w:val="24"/>
        </w:rPr>
        <w:t>; asimismo, pasa por alto que existen mecanismos para ejercer un control previo dentro de la administración, a saber el control interno de las entidades, y que es labor de la CGR armonizarlos con el control externo; no apunta a fortalecer el control social a la gestión fiscal; y, por último, presume, sin suficiente fundamento, que para fortalecer el control fiscal se requiere una reforma constitucional, en lugar de voluntad política y eficiencia administrativa.</w:t>
      </w:r>
    </w:p>
    <w:p w:rsidR="000B5ACD" w:rsidRDefault="000B5ACD" w:rsidP="000B5ACD">
      <w:pPr>
        <w:pStyle w:val="Listavistosa-nfasis11"/>
        <w:numPr>
          <w:ilvl w:val="0"/>
          <w:numId w:val="32"/>
        </w:numPr>
        <w:ind w:left="-11" w:firstLine="720"/>
        <w:jc w:val="both"/>
        <w:outlineLvl w:val="0"/>
        <w:rPr>
          <w:rFonts w:ascii="Times New Roman" w:hAnsi="Times New Roman" w:cs="Times New Roman"/>
          <w:sz w:val="24"/>
          <w:szCs w:val="24"/>
        </w:rPr>
      </w:pPr>
      <w:r>
        <w:rPr>
          <w:rFonts w:ascii="Times New Roman" w:hAnsi="Times New Roman" w:cs="Times New Roman"/>
          <w:sz w:val="24"/>
          <w:szCs w:val="24"/>
        </w:rPr>
        <w:t xml:space="preserve">El PAL otorga facultades excepcionales al Presidente para llevar a cabo las reformas institucionales necesarias para cumplir los objetivos que se traza. No obstante, </w:t>
      </w:r>
      <w:r w:rsidRPr="005F4C33">
        <w:rPr>
          <w:rFonts w:ascii="Times New Roman" w:hAnsi="Times New Roman" w:cs="Times New Roman"/>
          <w:b/>
          <w:sz w:val="24"/>
          <w:szCs w:val="24"/>
        </w:rPr>
        <w:t>desconoce que, conforme a la jurisprudencia de la Corte Constitucional y en salvaguarda del principio de separación de poderes, el ejercicio de las funciones legislativas excepcionales del ejecutivo debe ser preciso</w:t>
      </w:r>
      <w:r>
        <w:rPr>
          <w:rFonts w:ascii="Times New Roman" w:hAnsi="Times New Roman" w:cs="Times New Roman"/>
          <w:sz w:val="24"/>
          <w:szCs w:val="24"/>
        </w:rPr>
        <w:t>.</w:t>
      </w:r>
    </w:p>
    <w:p w:rsidR="00723D55" w:rsidRDefault="00723D55" w:rsidP="00723D55">
      <w:pPr>
        <w:pStyle w:val="Listavistosa-nfasis11"/>
        <w:ind w:left="-11"/>
        <w:jc w:val="both"/>
        <w:outlineLvl w:val="0"/>
        <w:rPr>
          <w:rFonts w:ascii="Times New Roman" w:hAnsi="Times New Roman" w:cs="Times New Roman"/>
          <w:sz w:val="24"/>
          <w:szCs w:val="24"/>
        </w:rPr>
      </w:pPr>
      <w:r>
        <w:rPr>
          <w:rFonts w:ascii="Times New Roman" w:hAnsi="Times New Roman" w:cs="Times New Roman"/>
          <w:sz w:val="24"/>
          <w:szCs w:val="24"/>
        </w:rPr>
        <w:t>La Corte Constitucional ha establecido los requisitos para otorgar y ejercer las facultades legislativas extraordinarias por parte del presidente. A saber</w:t>
      </w:r>
      <w:r w:rsidR="008A7930">
        <w:rPr>
          <w:rStyle w:val="Refdenotaalpie"/>
          <w:rFonts w:ascii="Times New Roman" w:hAnsi="Times New Roman" w:cs="Times New Roman"/>
          <w:sz w:val="24"/>
          <w:szCs w:val="24"/>
        </w:rPr>
        <w:footnoteReference w:id="6"/>
      </w:r>
      <w:r>
        <w:rPr>
          <w:rFonts w:ascii="Times New Roman" w:hAnsi="Times New Roman" w:cs="Times New Roman"/>
          <w:sz w:val="24"/>
          <w:szCs w:val="24"/>
        </w:rPr>
        <w:t>,</w:t>
      </w:r>
    </w:p>
    <w:p w:rsidR="00723D55" w:rsidRDefault="00723D55" w:rsidP="00723D55">
      <w:pPr>
        <w:pStyle w:val="Listavistosa-nfasis11"/>
        <w:ind w:left="1134"/>
        <w:jc w:val="both"/>
        <w:outlineLvl w:val="0"/>
        <w:rPr>
          <w:rFonts w:ascii="Times New Roman" w:hAnsi="Times New Roman" w:cs="Times New Roman"/>
          <w:sz w:val="24"/>
          <w:szCs w:val="24"/>
        </w:rPr>
      </w:pPr>
      <w:r>
        <w:rPr>
          <w:rFonts w:ascii="Times New Roman" w:hAnsi="Times New Roman" w:cs="Times New Roman"/>
          <w:sz w:val="24"/>
          <w:szCs w:val="24"/>
        </w:rPr>
        <w:t>“</w:t>
      </w:r>
      <w:r w:rsidRPr="00723D55">
        <w:rPr>
          <w:rFonts w:ascii="Times New Roman" w:hAnsi="Times New Roman" w:cs="Times New Roman"/>
          <w:sz w:val="24"/>
          <w:szCs w:val="24"/>
        </w:rPr>
        <w:t xml:space="preserve">(i) Solicitud expresa del Gobierno Nacional, sin que proceda por iniciativa congresional; (ii) temporalidad de la habilitación por un </w:t>
      </w:r>
      <w:r>
        <w:rPr>
          <w:rFonts w:ascii="Times New Roman" w:hAnsi="Times New Roman" w:cs="Times New Roman"/>
          <w:sz w:val="24"/>
          <w:szCs w:val="24"/>
        </w:rPr>
        <w:t>término máximo de seis meses</w:t>
      </w:r>
      <w:r w:rsidRPr="00723D55">
        <w:rPr>
          <w:rFonts w:ascii="Times New Roman" w:hAnsi="Times New Roman" w:cs="Times New Roman"/>
          <w:sz w:val="24"/>
          <w:szCs w:val="24"/>
        </w:rPr>
        <w:t>; (iii) mayoría absoluta en e</w:t>
      </w:r>
      <w:r>
        <w:rPr>
          <w:rFonts w:ascii="Times New Roman" w:hAnsi="Times New Roman" w:cs="Times New Roman"/>
          <w:sz w:val="24"/>
          <w:szCs w:val="24"/>
        </w:rPr>
        <w:t>l Congreso para su concesión</w:t>
      </w:r>
      <w:r w:rsidRPr="00723D55">
        <w:rPr>
          <w:rFonts w:ascii="Times New Roman" w:hAnsi="Times New Roman" w:cs="Times New Roman"/>
          <w:sz w:val="24"/>
          <w:szCs w:val="24"/>
        </w:rPr>
        <w:t xml:space="preserve">; (iv) competencia permanente del Congreso para modificar en todo momento y por iniciativa propia, los decretos dictados por el gobierno en ejercicio de las facultades extraordinarias; (v) “necesidad” o “conveniencia pública” como fundamento de la solicitud; (vi) precisión en la delimitación de las </w:t>
      </w:r>
      <w:r>
        <w:rPr>
          <w:rFonts w:ascii="Times New Roman" w:hAnsi="Times New Roman" w:cs="Times New Roman"/>
          <w:sz w:val="24"/>
          <w:szCs w:val="24"/>
        </w:rPr>
        <w:t>facultades conferidas</w:t>
      </w:r>
      <w:r w:rsidRPr="00723D55">
        <w:rPr>
          <w:rFonts w:ascii="Times New Roman" w:hAnsi="Times New Roman" w:cs="Times New Roman"/>
          <w:sz w:val="24"/>
          <w:szCs w:val="24"/>
        </w:rPr>
        <w:t xml:space="preserve"> y, en consecuencia, “interpretación restrictiva” de su alcance, “circunscritas de modo exclusivo al tenor lite</w:t>
      </w:r>
      <w:r>
        <w:rPr>
          <w:rFonts w:ascii="Times New Roman" w:hAnsi="Times New Roman" w:cs="Times New Roman"/>
          <w:sz w:val="24"/>
          <w:szCs w:val="24"/>
        </w:rPr>
        <w:t>ral de la norma habilitante”</w:t>
      </w:r>
      <w:r w:rsidRPr="00723D55">
        <w:rPr>
          <w:rFonts w:ascii="Times New Roman" w:hAnsi="Times New Roman" w:cs="Times New Roman"/>
          <w:sz w:val="24"/>
          <w:szCs w:val="24"/>
        </w:rPr>
        <w:t xml:space="preserve">; (vii) limitación material de su </w:t>
      </w:r>
      <w:r w:rsidRPr="00723D55">
        <w:rPr>
          <w:rFonts w:ascii="Times New Roman" w:hAnsi="Times New Roman" w:cs="Times New Roman"/>
          <w:sz w:val="24"/>
          <w:szCs w:val="24"/>
        </w:rPr>
        <w:lastRenderedPageBreak/>
        <w:t>ejercicio, vedado a la expedición de códigos, decretar impuestos, leyes estatutarias, orgánicas, ni las previstas en el numeral 20 del artículo 150 -numeral 19- de la C.P.”</w:t>
      </w:r>
    </w:p>
    <w:p w:rsidR="008A7930" w:rsidRDefault="008A7930" w:rsidP="008A7930">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t xml:space="preserve">Las facultades previstas en el PAL cumplen los requisitos i, ii, iii, iv y vii; no obstante, los requisitos v y vi no se cumplen. Respecto a los requisitos v y vi, el PAL falla en mostrar la necesidad o conveniencia pública, y tampoco es preciso en la delimitación de las facultades excepcionales solicitadas. </w:t>
      </w:r>
      <w:r w:rsidR="00EF2AF0">
        <w:rPr>
          <w:rFonts w:ascii="Times New Roman" w:hAnsi="Times New Roman" w:cs="Times New Roman"/>
          <w:sz w:val="24"/>
          <w:szCs w:val="24"/>
        </w:rPr>
        <w:t>El reconocimiento de las facultades extraordinarias no viene del proyecto original, por tanto no está justificado en la exposición de motivos, y tampoco se argumenta las razones de esta modificación en las ponencias para los debates en las respectivas cámaras.</w:t>
      </w:r>
    </w:p>
    <w:p w:rsidR="00EF2AF0" w:rsidRDefault="00EF2AF0" w:rsidP="008A7930">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t>La consecuencia de la falta de justificación es que no son claras las razones para que los ajustes a la estructura de la CGR deban hacerse por facultades excepcionales, teniendo en cuenta que podrían hacerse por sí misma, en virtud de la autonomía administrativa reconocida en el artículo 267 de la Constitución. En ese sentido, si se requiere una ampliación de la planta, una mínima justificación debería referirse</w:t>
      </w:r>
      <w:r w:rsidR="00693CD9">
        <w:rPr>
          <w:rFonts w:ascii="Times New Roman" w:hAnsi="Times New Roman" w:cs="Times New Roman"/>
          <w:sz w:val="24"/>
          <w:szCs w:val="24"/>
        </w:rPr>
        <w:t>, como mínimo,</w:t>
      </w:r>
      <w:r>
        <w:rPr>
          <w:rFonts w:ascii="Times New Roman" w:hAnsi="Times New Roman" w:cs="Times New Roman"/>
          <w:sz w:val="24"/>
          <w:szCs w:val="24"/>
        </w:rPr>
        <w:t xml:space="preserve"> al estudio</w:t>
      </w:r>
      <w:r w:rsidR="00693CD9">
        <w:rPr>
          <w:rFonts w:ascii="Times New Roman" w:hAnsi="Times New Roman" w:cs="Times New Roman"/>
          <w:sz w:val="24"/>
          <w:szCs w:val="24"/>
        </w:rPr>
        <w:t xml:space="preserve"> técnico, al análisis del procesos, y a los perfiles y cargas de trabajo (todos estos aspectos señalados en la guía de rediseño institucional del</w:t>
      </w:r>
      <w:r>
        <w:rPr>
          <w:rFonts w:ascii="Times New Roman" w:hAnsi="Times New Roman" w:cs="Times New Roman"/>
          <w:sz w:val="24"/>
          <w:szCs w:val="24"/>
        </w:rPr>
        <w:t xml:space="preserve"> Departamento Administrativo de la Función Pública</w:t>
      </w:r>
      <w:r w:rsidR="00693CD9">
        <w:rPr>
          <w:rFonts w:ascii="Times New Roman" w:hAnsi="Times New Roman" w:cs="Times New Roman"/>
          <w:sz w:val="24"/>
          <w:szCs w:val="24"/>
        </w:rPr>
        <w:t>);</w:t>
      </w:r>
      <w:r>
        <w:rPr>
          <w:rFonts w:ascii="Times New Roman" w:hAnsi="Times New Roman" w:cs="Times New Roman"/>
          <w:sz w:val="24"/>
          <w:szCs w:val="24"/>
        </w:rPr>
        <w:t xml:space="preserve"> a partir de ello,</w:t>
      </w:r>
      <w:r w:rsidR="00693CD9">
        <w:rPr>
          <w:rFonts w:ascii="Times New Roman" w:hAnsi="Times New Roman" w:cs="Times New Roman"/>
          <w:sz w:val="24"/>
          <w:szCs w:val="24"/>
        </w:rPr>
        <w:t xml:space="preserve"> se deben</w:t>
      </w:r>
      <w:r>
        <w:rPr>
          <w:rFonts w:ascii="Times New Roman" w:hAnsi="Times New Roman" w:cs="Times New Roman"/>
          <w:sz w:val="24"/>
          <w:szCs w:val="24"/>
        </w:rPr>
        <w:t xml:space="preserve"> definir de manera más precisa a qué se destinarían las facultades excepcionales, más allá de una enunciación </w:t>
      </w:r>
      <w:r w:rsidR="00693CD9">
        <w:rPr>
          <w:rFonts w:ascii="Times New Roman" w:hAnsi="Times New Roman" w:cs="Times New Roman"/>
          <w:sz w:val="24"/>
          <w:szCs w:val="24"/>
        </w:rPr>
        <w:t xml:space="preserve">genérica </w:t>
      </w:r>
      <w:r>
        <w:rPr>
          <w:rFonts w:ascii="Times New Roman" w:hAnsi="Times New Roman" w:cs="Times New Roman"/>
          <w:sz w:val="24"/>
          <w:szCs w:val="24"/>
        </w:rPr>
        <w:t xml:space="preserve">de los aspectos que requieren reforma. Adicionalmente, no es claro porqué se incluyen facultades extraordinarias adicionales cuando ya fueron aprobadas unas en el artículo 323 de la Ley 1955 de 2019 </w:t>
      </w:r>
      <w:r>
        <w:rPr>
          <w:rStyle w:val="Refdenotaalpie"/>
          <w:rFonts w:ascii="Times New Roman" w:hAnsi="Times New Roman" w:cs="Times New Roman"/>
          <w:sz w:val="24"/>
          <w:szCs w:val="24"/>
        </w:rPr>
        <w:footnoteReference w:id="7"/>
      </w:r>
      <w:r w:rsidR="005F4C33">
        <w:rPr>
          <w:rFonts w:ascii="Times New Roman" w:hAnsi="Times New Roman" w:cs="Times New Roman"/>
          <w:sz w:val="24"/>
          <w:szCs w:val="24"/>
        </w:rPr>
        <w:t xml:space="preserve"> con el objetivo de reestructurar la CGR.</w:t>
      </w:r>
    </w:p>
    <w:p w:rsidR="005F4C33" w:rsidRDefault="005F4C33" w:rsidP="008A7930">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lastRenderedPageBreak/>
        <w:t>En suma, las facultades extraordinarias solicitadas en el PAL no cumplen con los requisitos fijados en la jurisprudencia, lo que implica la vulneración de la separación de poderes, pues el Presidente estaría ejerciendo arbitrariamente las funciones propias del legislador.</w:t>
      </w:r>
    </w:p>
    <w:p w:rsidR="005F4C33" w:rsidRPr="005F4C33" w:rsidRDefault="005F4C33" w:rsidP="005F4C33">
      <w:pPr>
        <w:pStyle w:val="Listavistosa-nfasis11"/>
        <w:numPr>
          <w:ilvl w:val="0"/>
          <w:numId w:val="32"/>
        </w:numPr>
        <w:ind w:left="0" w:firstLine="720"/>
        <w:jc w:val="both"/>
        <w:outlineLvl w:val="0"/>
        <w:rPr>
          <w:rFonts w:ascii="Times New Roman" w:hAnsi="Times New Roman" w:cs="Times New Roman"/>
          <w:sz w:val="24"/>
          <w:szCs w:val="24"/>
        </w:rPr>
      </w:pPr>
      <w:r>
        <w:rPr>
          <w:rFonts w:ascii="Times New Roman" w:hAnsi="Times New Roman" w:cs="Times New Roman"/>
          <w:sz w:val="24"/>
          <w:szCs w:val="24"/>
        </w:rPr>
        <w:t>También se prevén asignaciones presupuestales adicionales, que además de antitécnicas por solicitarse por vía de Acto Legislativo, son antidemocráticas.</w:t>
      </w:r>
      <w:r w:rsidRPr="005F4C33">
        <w:t xml:space="preserve"> </w:t>
      </w:r>
      <w:r w:rsidRPr="005F4C33">
        <w:rPr>
          <w:rFonts w:ascii="Times New Roman" w:hAnsi="Times New Roman" w:cs="Times New Roman"/>
          <w:sz w:val="24"/>
          <w:szCs w:val="24"/>
        </w:rPr>
        <w:t xml:space="preserve">En el </w:t>
      </w:r>
      <w:r>
        <w:rPr>
          <w:rFonts w:ascii="Times New Roman" w:hAnsi="Times New Roman" w:cs="Times New Roman"/>
          <w:sz w:val="24"/>
          <w:szCs w:val="24"/>
        </w:rPr>
        <w:t xml:space="preserve">parágrafo transitorio del </w:t>
      </w:r>
      <w:r w:rsidRPr="005F4C33">
        <w:rPr>
          <w:rFonts w:ascii="Times New Roman" w:hAnsi="Times New Roman" w:cs="Times New Roman"/>
          <w:sz w:val="24"/>
          <w:szCs w:val="24"/>
        </w:rPr>
        <w:t xml:space="preserve">artículo 2 del </w:t>
      </w:r>
      <w:r>
        <w:rPr>
          <w:rFonts w:ascii="Times New Roman" w:hAnsi="Times New Roman" w:cs="Times New Roman"/>
          <w:sz w:val="24"/>
          <w:szCs w:val="24"/>
        </w:rPr>
        <w:t>PAL</w:t>
      </w:r>
      <w:r w:rsidRPr="005F4C33">
        <w:rPr>
          <w:rFonts w:ascii="Times New Roman" w:hAnsi="Times New Roman" w:cs="Times New Roman"/>
          <w:sz w:val="24"/>
          <w:szCs w:val="24"/>
        </w:rPr>
        <w:t>, se establece el incremento en el presupuesto de la Contraloría General de la República para las siguientes tres vigencias fiscales. Lo anterior implicaría duplicar el presupuesto de esta entidad en los próximos tres años. Reconociendo que es necesario el fortalecimiento institucional de la Contraloría, consideramos que un Acto legislativo no debería ser el espacio para las discusiones de presupuesto, pues estas tienen lugar anualmente en la Ley de Presupuesto General de la Nación</w:t>
      </w:r>
      <w:r>
        <w:rPr>
          <w:rFonts w:ascii="Times New Roman" w:hAnsi="Times New Roman" w:cs="Times New Roman"/>
          <w:sz w:val="24"/>
          <w:szCs w:val="24"/>
        </w:rPr>
        <w:t>, en democracia y en igualdad de condiciones con las demás entidades del Estado</w:t>
      </w:r>
      <w:r w:rsidRPr="005F4C33">
        <w:rPr>
          <w:rFonts w:ascii="Times New Roman" w:hAnsi="Times New Roman" w:cs="Times New Roman"/>
          <w:sz w:val="24"/>
          <w:szCs w:val="24"/>
        </w:rPr>
        <w:t>.</w:t>
      </w:r>
    </w:p>
    <w:p w:rsidR="005F4C33" w:rsidRDefault="005F4C33" w:rsidP="005F4C33">
      <w:pPr>
        <w:pStyle w:val="Listavistosa-nfasis11"/>
        <w:ind w:left="0"/>
        <w:jc w:val="both"/>
        <w:outlineLvl w:val="0"/>
        <w:rPr>
          <w:rFonts w:ascii="Times New Roman" w:hAnsi="Times New Roman" w:cs="Times New Roman"/>
          <w:sz w:val="24"/>
          <w:szCs w:val="24"/>
        </w:rPr>
      </w:pPr>
      <w:r w:rsidRPr="005F4C33">
        <w:rPr>
          <w:rFonts w:ascii="Times New Roman" w:hAnsi="Times New Roman" w:cs="Times New Roman"/>
          <w:sz w:val="24"/>
          <w:szCs w:val="24"/>
        </w:rPr>
        <w:t>Generar inflexibilidades adicionales sobre el Presupuesto General de la Nación</w:t>
      </w:r>
      <w:r>
        <w:rPr>
          <w:rFonts w:ascii="Times New Roman" w:hAnsi="Times New Roman" w:cs="Times New Roman"/>
          <w:sz w:val="24"/>
          <w:szCs w:val="24"/>
        </w:rPr>
        <w:t xml:space="preserve"> (PGN)</w:t>
      </w:r>
      <w:r w:rsidRPr="005F4C33">
        <w:rPr>
          <w:rFonts w:ascii="Times New Roman" w:hAnsi="Times New Roman" w:cs="Times New Roman"/>
          <w:sz w:val="24"/>
          <w:szCs w:val="24"/>
        </w:rPr>
        <w:t>, hace que los Gobierno</w:t>
      </w:r>
      <w:r>
        <w:rPr>
          <w:rFonts w:ascii="Times New Roman" w:hAnsi="Times New Roman" w:cs="Times New Roman"/>
          <w:sz w:val="24"/>
          <w:szCs w:val="24"/>
        </w:rPr>
        <w:t>s</w:t>
      </w:r>
      <w:r w:rsidRPr="005F4C33">
        <w:rPr>
          <w:rFonts w:ascii="Times New Roman" w:hAnsi="Times New Roman" w:cs="Times New Roman"/>
          <w:sz w:val="24"/>
          <w:szCs w:val="24"/>
        </w:rPr>
        <w:t xml:space="preserve"> no puedan definir sus prioridades. Actualmente, diferentes cálculos han mostrado que más del 60% del PGN está atado a compromisos del Estado. Seguir aumentando los rubros de esta categoría, sólo dificulta la planeación presupuestal del Gobierno</w:t>
      </w:r>
      <w:r>
        <w:rPr>
          <w:rFonts w:ascii="Times New Roman" w:hAnsi="Times New Roman" w:cs="Times New Roman"/>
          <w:sz w:val="24"/>
          <w:szCs w:val="24"/>
        </w:rPr>
        <w:t>, y por este camino, la inversión en necesidades prioritarias del Estado</w:t>
      </w:r>
      <w:r w:rsidRPr="005F4C33">
        <w:rPr>
          <w:rFonts w:ascii="Times New Roman" w:hAnsi="Times New Roman" w:cs="Times New Roman"/>
          <w:sz w:val="24"/>
          <w:szCs w:val="24"/>
        </w:rPr>
        <w:t xml:space="preserve">. </w:t>
      </w:r>
    </w:p>
    <w:p w:rsidR="005F4C33" w:rsidRDefault="005F4C33" w:rsidP="005F4C33">
      <w:pPr>
        <w:pStyle w:val="Listavistosa-nfasis11"/>
        <w:ind w:left="0"/>
        <w:jc w:val="both"/>
        <w:outlineLvl w:val="0"/>
        <w:rPr>
          <w:rFonts w:ascii="Times New Roman" w:hAnsi="Times New Roman" w:cs="Times New Roman"/>
          <w:sz w:val="24"/>
          <w:szCs w:val="24"/>
        </w:rPr>
      </w:pPr>
      <w:r w:rsidRPr="005F4C33">
        <w:rPr>
          <w:rFonts w:ascii="Times New Roman" w:hAnsi="Times New Roman" w:cs="Times New Roman"/>
          <w:sz w:val="24"/>
          <w:szCs w:val="24"/>
        </w:rPr>
        <w:t xml:space="preserve">Finalmente, </w:t>
      </w:r>
      <w:r>
        <w:rPr>
          <w:rFonts w:ascii="Times New Roman" w:hAnsi="Times New Roman" w:cs="Times New Roman"/>
          <w:sz w:val="24"/>
          <w:szCs w:val="24"/>
        </w:rPr>
        <w:t>la dimensión de</w:t>
      </w:r>
      <w:r w:rsidRPr="005F4C33">
        <w:rPr>
          <w:rFonts w:ascii="Times New Roman" w:hAnsi="Times New Roman" w:cs="Times New Roman"/>
          <w:sz w:val="24"/>
          <w:szCs w:val="24"/>
        </w:rPr>
        <w:t xml:space="preserve"> economía p</w:t>
      </w:r>
      <w:r>
        <w:rPr>
          <w:rFonts w:ascii="Times New Roman" w:hAnsi="Times New Roman" w:cs="Times New Roman"/>
          <w:sz w:val="24"/>
          <w:szCs w:val="24"/>
        </w:rPr>
        <w:t>olítica que no debe ser ignorada</w:t>
      </w:r>
      <w:r w:rsidRPr="005F4C33">
        <w:rPr>
          <w:rFonts w:ascii="Times New Roman" w:hAnsi="Times New Roman" w:cs="Times New Roman"/>
          <w:sz w:val="24"/>
          <w:szCs w:val="24"/>
        </w:rPr>
        <w:t>. Las diferentes entidades del Estado, exponen ante</w:t>
      </w:r>
      <w:r>
        <w:rPr>
          <w:rFonts w:ascii="Times New Roman" w:hAnsi="Times New Roman" w:cs="Times New Roman"/>
          <w:sz w:val="24"/>
          <w:szCs w:val="24"/>
        </w:rPr>
        <w:t xml:space="preserve"> el Ministerio de</w:t>
      </w:r>
      <w:r w:rsidRPr="005F4C33">
        <w:rPr>
          <w:rFonts w:ascii="Times New Roman" w:hAnsi="Times New Roman" w:cs="Times New Roman"/>
          <w:sz w:val="24"/>
          <w:szCs w:val="24"/>
        </w:rPr>
        <w:t xml:space="preserve"> Hacienda sus necesidades presupuestales, para ser discutidas en el proyecto de Ley de Presupuesto que es presentado al Congreso.  Hacer que estas discusiones no se lleven a cabo en estos espacios sino vía un acto legislativo, mina la organización institucional generada para la discusión del presupuesto</w:t>
      </w:r>
      <w:r w:rsidR="00883B3A">
        <w:rPr>
          <w:rFonts w:ascii="Times New Roman" w:hAnsi="Times New Roman" w:cs="Times New Roman"/>
          <w:sz w:val="24"/>
          <w:szCs w:val="24"/>
        </w:rPr>
        <w:t>, especialmente considerando que no existe justificación suficiente que permita concluir que, por un lado, esa es la proyección de inversión que necesita la entidad y, por otra parte, que puede reñir con objetivos prioritarios para el Estado en un escenario de escasez de recursos</w:t>
      </w:r>
      <w:r w:rsidRPr="005F4C33">
        <w:rPr>
          <w:rFonts w:ascii="Times New Roman" w:hAnsi="Times New Roman" w:cs="Times New Roman"/>
          <w:sz w:val="24"/>
          <w:szCs w:val="24"/>
        </w:rPr>
        <w:t>.</w:t>
      </w:r>
    </w:p>
    <w:p w:rsidR="00883B3A" w:rsidRDefault="00883B3A" w:rsidP="005F4C33">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t>En consecuencia, en vista de que en los debates al PAL de la referencia no se han solventado mis preocupaciones, considero que además de inconveniente, es un proyecto que sustituye la Constitución y debe ser archivado.</w:t>
      </w:r>
    </w:p>
    <w:p w:rsidR="00883B3A" w:rsidRDefault="00883B3A" w:rsidP="005F4C33">
      <w:pPr>
        <w:pStyle w:val="Listavistosa-nfasis11"/>
        <w:ind w:left="0"/>
        <w:jc w:val="both"/>
        <w:outlineLvl w:val="0"/>
        <w:rPr>
          <w:rFonts w:ascii="Times New Roman" w:hAnsi="Times New Roman" w:cs="Times New Roman"/>
          <w:sz w:val="24"/>
          <w:szCs w:val="24"/>
        </w:rPr>
      </w:pPr>
    </w:p>
    <w:p w:rsidR="00883B3A" w:rsidRDefault="00883B3A" w:rsidP="005F4C33">
      <w:pPr>
        <w:pStyle w:val="Listavistosa-nfasis11"/>
        <w:ind w:left="0"/>
        <w:jc w:val="both"/>
        <w:outlineLvl w:val="0"/>
        <w:rPr>
          <w:rFonts w:ascii="Times New Roman" w:hAnsi="Times New Roman" w:cs="Times New Roman"/>
          <w:sz w:val="24"/>
          <w:szCs w:val="24"/>
        </w:rPr>
      </w:pPr>
    </w:p>
    <w:p w:rsidR="00883B3A" w:rsidRDefault="00883B3A" w:rsidP="005F4C33">
      <w:pPr>
        <w:pStyle w:val="Listavistosa-nfasis11"/>
        <w:ind w:left="0"/>
        <w:jc w:val="both"/>
        <w:outlineLvl w:val="0"/>
        <w:rPr>
          <w:rFonts w:ascii="Times New Roman" w:hAnsi="Times New Roman" w:cs="Times New Roman"/>
          <w:sz w:val="24"/>
          <w:szCs w:val="24"/>
        </w:rPr>
      </w:pPr>
    </w:p>
    <w:p w:rsidR="00B372A1" w:rsidRDefault="00B372A1" w:rsidP="00EB1126">
      <w:pPr>
        <w:pStyle w:val="Listavistosa-nfasis11"/>
        <w:ind w:left="0"/>
        <w:jc w:val="both"/>
        <w:outlineLvl w:val="0"/>
        <w:rPr>
          <w:rFonts w:ascii="Times New Roman" w:hAnsi="Times New Roman" w:cs="Times New Roman"/>
          <w:sz w:val="24"/>
          <w:szCs w:val="24"/>
        </w:rPr>
      </w:pPr>
    </w:p>
    <w:p w:rsidR="00EB1126" w:rsidRDefault="00EB1126" w:rsidP="00EB1126">
      <w:pPr>
        <w:pStyle w:val="Listavistosa-nfasis11"/>
        <w:ind w:left="0"/>
        <w:jc w:val="both"/>
        <w:outlineLvl w:val="0"/>
        <w:rPr>
          <w:rFonts w:ascii="Times New Roman" w:hAnsi="Times New Roman" w:cs="Times New Roman"/>
          <w:b/>
          <w:sz w:val="24"/>
          <w:szCs w:val="24"/>
        </w:rPr>
      </w:pPr>
    </w:p>
    <w:p w:rsidR="00B372A1" w:rsidRDefault="00B372A1" w:rsidP="00B372A1">
      <w:pPr>
        <w:pStyle w:val="Listavistosa-nfasis11"/>
        <w:numPr>
          <w:ilvl w:val="0"/>
          <w:numId w:val="34"/>
        </w:numPr>
        <w:jc w:val="both"/>
        <w:outlineLvl w:val="0"/>
        <w:rPr>
          <w:rFonts w:ascii="Times New Roman" w:hAnsi="Times New Roman" w:cs="Times New Roman"/>
          <w:b/>
          <w:sz w:val="24"/>
          <w:szCs w:val="24"/>
        </w:rPr>
      </w:pPr>
      <w:r>
        <w:rPr>
          <w:rFonts w:ascii="Times New Roman" w:hAnsi="Times New Roman" w:cs="Times New Roman"/>
          <w:b/>
          <w:sz w:val="24"/>
          <w:szCs w:val="24"/>
        </w:rPr>
        <w:t>PROPOSICIÓN</w:t>
      </w:r>
    </w:p>
    <w:p w:rsidR="00B372A1" w:rsidRDefault="00B372A1" w:rsidP="00B372A1">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t xml:space="preserve">En virtud de las consideraciones expuestas, le solicito a la Plenaria de la Cámara de Representantes </w:t>
      </w:r>
      <w:r w:rsidRPr="00883B3A">
        <w:rPr>
          <w:rFonts w:ascii="Times New Roman" w:hAnsi="Times New Roman" w:cs="Times New Roman"/>
          <w:b/>
          <w:sz w:val="24"/>
          <w:szCs w:val="24"/>
        </w:rPr>
        <w:t>ARCHIVAR</w:t>
      </w:r>
      <w:r>
        <w:rPr>
          <w:rFonts w:ascii="Times New Roman" w:hAnsi="Times New Roman" w:cs="Times New Roman"/>
          <w:sz w:val="24"/>
          <w:szCs w:val="24"/>
        </w:rPr>
        <w:t xml:space="preserve"> el </w:t>
      </w:r>
      <w:r w:rsidRPr="00883B3A">
        <w:rPr>
          <w:rFonts w:ascii="Times New Roman" w:hAnsi="Times New Roman" w:cs="Times New Roman"/>
          <w:sz w:val="24"/>
          <w:szCs w:val="24"/>
        </w:rPr>
        <w:t>Proyecto de Acto Legislativo 039 de 2019 Senado y 355 de 2019 Cámara “Por medio del cual se Reforma el Régimen de Control Fiscal”.</w:t>
      </w:r>
    </w:p>
    <w:p w:rsidR="00B372A1" w:rsidRDefault="00B372A1" w:rsidP="00B372A1">
      <w:pPr>
        <w:pStyle w:val="Listavistosa-nfasis11"/>
        <w:ind w:left="0"/>
        <w:jc w:val="both"/>
        <w:outlineLvl w:val="0"/>
        <w:rPr>
          <w:rFonts w:ascii="Times New Roman" w:hAnsi="Times New Roman" w:cs="Times New Roman"/>
          <w:sz w:val="24"/>
          <w:szCs w:val="24"/>
        </w:rPr>
      </w:pPr>
    </w:p>
    <w:p w:rsidR="00B372A1" w:rsidRDefault="00B372A1" w:rsidP="00B372A1">
      <w:pPr>
        <w:pStyle w:val="Listavistosa-nfasis11"/>
        <w:ind w:left="0"/>
        <w:jc w:val="both"/>
        <w:outlineLvl w:val="0"/>
        <w:rPr>
          <w:rFonts w:ascii="Times New Roman" w:hAnsi="Times New Roman" w:cs="Times New Roman"/>
          <w:sz w:val="24"/>
          <w:szCs w:val="24"/>
        </w:rPr>
      </w:pPr>
      <w:r>
        <w:rPr>
          <w:rFonts w:ascii="Times New Roman" w:hAnsi="Times New Roman" w:cs="Times New Roman"/>
          <w:sz w:val="24"/>
          <w:szCs w:val="24"/>
        </w:rPr>
        <w:t>Cordialmente,</w:t>
      </w:r>
    </w:p>
    <w:p w:rsidR="00B372A1" w:rsidRDefault="00B372A1" w:rsidP="00B372A1">
      <w:pPr>
        <w:pStyle w:val="Listavistosa-nfasis11"/>
        <w:ind w:left="0"/>
        <w:jc w:val="both"/>
        <w:outlineLvl w:val="0"/>
        <w:rPr>
          <w:rFonts w:ascii="Times New Roman" w:hAnsi="Times New Roman" w:cs="Times New Roman"/>
          <w:sz w:val="24"/>
          <w:szCs w:val="24"/>
        </w:rPr>
      </w:pPr>
    </w:p>
    <w:p w:rsidR="00B372A1" w:rsidRDefault="00B372A1" w:rsidP="00B372A1">
      <w:pPr>
        <w:pStyle w:val="Listavistosa-nfasis11"/>
        <w:ind w:left="0"/>
        <w:jc w:val="both"/>
        <w:outlineLvl w:val="0"/>
        <w:rPr>
          <w:rFonts w:ascii="Times New Roman" w:hAnsi="Times New Roman" w:cs="Times New Roman"/>
          <w:sz w:val="24"/>
          <w:szCs w:val="24"/>
        </w:rPr>
      </w:pPr>
    </w:p>
    <w:p w:rsidR="00B372A1" w:rsidRDefault="00B372A1" w:rsidP="00B372A1">
      <w:pPr>
        <w:pStyle w:val="Listavistosa-nfasis11"/>
        <w:ind w:left="0"/>
        <w:jc w:val="both"/>
        <w:outlineLvl w:val="0"/>
        <w:rPr>
          <w:rFonts w:ascii="Times New Roman" w:hAnsi="Times New Roman" w:cs="Times New Roman"/>
          <w:b/>
          <w:sz w:val="24"/>
          <w:szCs w:val="24"/>
        </w:rPr>
      </w:pPr>
      <w:r>
        <w:rPr>
          <w:rFonts w:ascii="Times New Roman" w:hAnsi="Times New Roman" w:cs="Times New Roman"/>
          <w:b/>
          <w:sz w:val="24"/>
          <w:szCs w:val="24"/>
        </w:rPr>
        <w:t>Juanita Goebertus Estrada</w:t>
      </w:r>
    </w:p>
    <w:p w:rsidR="00B372A1" w:rsidRPr="00883B3A" w:rsidRDefault="00B372A1" w:rsidP="00B372A1">
      <w:pPr>
        <w:pStyle w:val="Listavistosa-nfasis11"/>
        <w:ind w:left="0"/>
        <w:jc w:val="both"/>
        <w:outlineLvl w:val="0"/>
        <w:rPr>
          <w:rFonts w:ascii="Times New Roman" w:hAnsi="Times New Roman" w:cs="Times New Roman"/>
          <w:b/>
          <w:sz w:val="24"/>
          <w:szCs w:val="24"/>
        </w:rPr>
      </w:pPr>
      <w:r>
        <w:rPr>
          <w:rFonts w:ascii="Times New Roman" w:hAnsi="Times New Roman" w:cs="Times New Roman"/>
          <w:b/>
          <w:sz w:val="24"/>
          <w:szCs w:val="24"/>
        </w:rPr>
        <w:t>Representante a la Cámara</w:t>
      </w:r>
    </w:p>
    <w:p w:rsidR="00B372A1" w:rsidRDefault="00B372A1" w:rsidP="005F4C33">
      <w:pPr>
        <w:pStyle w:val="Listavistosa-nfasis11"/>
        <w:ind w:left="0"/>
        <w:jc w:val="both"/>
        <w:outlineLvl w:val="0"/>
        <w:rPr>
          <w:rFonts w:ascii="Times New Roman" w:hAnsi="Times New Roman" w:cs="Times New Roman"/>
          <w:sz w:val="24"/>
          <w:szCs w:val="24"/>
        </w:rPr>
      </w:pPr>
    </w:p>
    <w:p w:rsidR="00B372A1" w:rsidRPr="005F4C33" w:rsidRDefault="00B372A1" w:rsidP="005F4C33">
      <w:pPr>
        <w:pStyle w:val="Listavistosa-nfasis11"/>
        <w:ind w:left="0"/>
        <w:jc w:val="both"/>
        <w:outlineLvl w:val="0"/>
        <w:rPr>
          <w:rFonts w:ascii="Times New Roman" w:hAnsi="Times New Roman" w:cs="Times New Roman"/>
          <w:sz w:val="24"/>
          <w:szCs w:val="24"/>
        </w:rPr>
      </w:pPr>
    </w:p>
    <w:sectPr w:rsidR="00B372A1" w:rsidRPr="005F4C33" w:rsidSect="00194B43">
      <w:headerReference w:type="default" r:id="rId8"/>
      <w:footerReference w:type="default" r:id="rId9"/>
      <w:pgSz w:w="12240" w:h="15840"/>
      <w:pgMar w:top="1985" w:right="1701" w:bottom="158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C6B" w:rsidRDefault="00D54C6B" w:rsidP="00194B43">
      <w:r>
        <w:separator/>
      </w:r>
    </w:p>
  </w:endnote>
  <w:endnote w:type="continuationSeparator" w:id="0">
    <w:p w:rsidR="00D54C6B" w:rsidRDefault="00D54C6B" w:rsidP="00194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43" w:rsidRDefault="00194B43">
    <w:pPr>
      <w:pStyle w:val="Piedepgina"/>
      <w:tabs>
        <w:tab w:val="clear" w:pos="8838"/>
        <w:tab w:val="right" w:pos="8818"/>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C6B" w:rsidRDefault="00D54C6B" w:rsidP="00194B43">
      <w:r>
        <w:separator/>
      </w:r>
    </w:p>
  </w:footnote>
  <w:footnote w:type="continuationSeparator" w:id="0">
    <w:p w:rsidR="00D54C6B" w:rsidRDefault="00D54C6B" w:rsidP="00194B43">
      <w:r>
        <w:continuationSeparator/>
      </w:r>
    </w:p>
  </w:footnote>
  <w:footnote w:id="1">
    <w:p w:rsidR="009D0733" w:rsidRPr="009D0733" w:rsidRDefault="009D0733">
      <w:pPr>
        <w:pStyle w:val="Textonotapie"/>
        <w:rPr>
          <w:lang w:val="es-CO"/>
        </w:rPr>
      </w:pPr>
      <w:r>
        <w:rPr>
          <w:rStyle w:val="Refdenotaalpie"/>
        </w:rPr>
        <w:footnoteRef/>
      </w:r>
      <w:r>
        <w:t xml:space="preserve"> </w:t>
      </w:r>
      <w:hyperlink r:id="rId1" w:history="1">
        <w:r>
          <w:rPr>
            <w:rStyle w:val="Hipervnculo"/>
          </w:rPr>
          <w:t>https://www.javeriana.edu.co/biblos/tesis/derecho/dere2/Tesis03.pdf</w:t>
        </w:r>
      </w:hyperlink>
    </w:p>
  </w:footnote>
  <w:footnote w:id="2">
    <w:p w:rsidR="00B121DE" w:rsidRPr="00B121DE" w:rsidRDefault="00B121DE">
      <w:pPr>
        <w:pStyle w:val="Textonotapie"/>
        <w:rPr>
          <w:lang w:val="es-CO"/>
        </w:rPr>
      </w:pPr>
      <w:r>
        <w:rPr>
          <w:rStyle w:val="Refdenotaalpie"/>
        </w:rPr>
        <w:footnoteRef/>
      </w:r>
      <w:r>
        <w:t xml:space="preserve"> </w:t>
      </w:r>
      <w:r>
        <w:rPr>
          <w:lang w:val="es-CO"/>
        </w:rPr>
        <w:t xml:space="preserve">Corte </w:t>
      </w:r>
      <w:r w:rsidR="00935596">
        <w:rPr>
          <w:lang w:val="es-CO"/>
        </w:rPr>
        <w:t>C</w:t>
      </w:r>
      <w:r>
        <w:rPr>
          <w:lang w:val="es-CO"/>
        </w:rPr>
        <w:t xml:space="preserve">onstitucional. Sentencia C-103 de 2015. M.P </w:t>
      </w:r>
      <w:r w:rsidR="00935596">
        <w:rPr>
          <w:lang w:val="es-CO"/>
        </w:rPr>
        <w:t>María Victoria Calle</w:t>
      </w:r>
    </w:p>
  </w:footnote>
  <w:footnote w:id="3">
    <w:p w:rsidR="00935596" w:rsidRPr="00935596" w:rsidRDefault="00935596">
      <w:pPr>
        <w:pStyle w:val="Textonotapie"/>
        <w:rPr>
          <w:lang w:val="es-CO"/>
        </w:rPr>
      </w:pPr>
      <w:r>
        <w:rPr>
          <w:rStyle w:val="Refdenotaalpie"/>
        </w:rPr>
        <w:footnoteRef/>
      </w:r>
      <w:r>
        <w:t xml:space="preserve"> </w:t>
      </w:r>
      <w:r>
        <w:rPr>
          <w:lang w:val="es-CO"/>
        </w:rPr>
        <w:t>Corte constitucional. Sentencia C-534 de 1993. M.P</w:t>
      </w:r>
    </w:p>
  </w:footnote>
  <w:footnote w:id="4">
    <w:p w:rsidR="00E62AD1" w:rsidRPr="00E62AD1" w:rsidRDefault="00E62AD1">
      <w:pPr>
        <w:pStyle w:val="Textonotapie"/>
        <w:rPr>
          <w:lang w:val="es-CO"/>
        </w:rPr>
      </w:pPr>
      <w:r>
        <w:rPr>
          <w:rStyle w:val="Refdenotaalpie"/>
        </w:rPr>
        <w:footnoteRef/>
      </w:r>
      <w:r>
        <w:t xml:space="preserve"> </w:t>
      </w:r>
      <w:r>
        <w:rPr>
          <w:lang w:val="es-CO"/>
        </w:rPr>
        <w:t>Corte Constitucional. Sentencia C-506 de 1999. M.P</w:t>
      </w:r>
    </w:p>
  </w:footnote>
  <w:footnote w:id="5">
    <w:p w:rsidR="009B7E0C" w:rsidRPr="009B7E0C" w:rsidRDefault="009B7E0C">
      <w:pPr>
        <w:pStyle w:val="Textonotapie"/>
        <w:rPr>
          <w:lang w:val="es-CO"/>
        </w:rPr>
      </w:pPr>
      <w:r>
        <w:rPr>
          <w:rStyle w:val="Refdenotaalpie"/>
        </w:rPr>
        <w:footnoteRef/>
      </w:r>
      <w:r>
        <w:t xml:space="preserve"> </w:t>
      </w:r>
      <w:r>
        <w:rPr>
          <w:lang w:val="es-CO"/>
        </w:rPr>
        <w:t>Corte Constitucional. Sentencia C-113 de 1999.</w:t>
      </w:r>
    </w:p>
  </w:footnote>
  <w:footnote w:id="6">
    <w:p w:rsidR="008A7930" w:rsidRPr="008A7930" w:rsidRDefault="008A7930">
      <w:pPr>
        <w:pStyle w:val="Textonotapie"/>
        <w:rPr>
          <w:lang w:val="es-CO"/>
        </w:rPr>
      </w:pPr>
      <w:r>
        <w:rPr>
          <w:rStyle w:val="Refdenotaalpie"/>
        </w:rPr>
        <w:footnoteRef/>
      </w:r>
      <w:r>
        <w:t xml:space="preserve"> </w:t>
      </w:r>
      <w:r>
        <w:rPr>
          <w:lang w:val="es-CO"/>
        </w:rPr>
        <w:t xml:space="preserve"> Corte Constitucional. Sentencia C-172 de 2017</w:t>
      </w:r>
    </w:p>
  </w:footnote>
  <w:footnote w:id="7">
    <w:p w:rsidR="005F4C33" w:rsidRDefault="00EF2AF0">
      <w:pPr>
        <w:pStyle w:val="Textonotapie"/>
      </w:pPr>
      <w:r>
        <w:rPr>
          <w:rStyle w:val="Refdenotaalpie"/>
        </w:rPr>
        <w:footnoteRef/>
      </w:r>
      <w:r>
        <w:t xml:space="preserve"> Artículo 332. Reestructuración de la Contraloría General de la República. De conformidad con lo establecido en el artículo 150, numeral 10, de la Constitución Política, revístase al Presidente de la República de precisas facultades extraordinarias, por el término de seis (6) meses, contados a partir de la fecha de publicación de la presente ley, para: Reestructurar jerárquica y funcionalmente la Contraloría Delegada para el Sector Defensa, Justicia y Seguridad, la Contraloría Delegada para el Sector Social, la Contraloría Delegada para el Sector Infraestructura Física y Telecomunicaciones, Comercio Exterior y Desarrollo Regional, la Contraloría Delegada para Investigaciones, Juicios Fiscales y Jurisdicción Coactiva, la Gerencia de Gestión Administrativa y Financiera, la Contraloría Delegada para la Participación Ciudadana, la Unidad de Investigaciones Especiales contra la Corrupción y la Unidad Delegada para el Posconflicto, y crear la Dirección de Información, Análisis y Reacción Inmediata, en la Contraloría General de la República, para lo cual podrá desarrollar la estructura de la entidad, creando nuevas dependencias, modificar o establecer sus funciones y su planta de personal creando los empleos a que haya lugar. </w:t>
      </w:r>
    </w:p>
    <w:p w:rsidR="005F4C33" w:rsidRDefault="00EF2AF0">
      <w:pPr>
        <w:pStyle w:val="Textonotapie"/>
      </w:pPr>
      <w:r>
        <w:t xml:space="preserve">Parágrafo 1°. La Gerencia Administrativa y Financiera tiene la función de dirigir y controlar las actividades y procesos de contratación administrativa, para lo cual ordenará el gasto y suscribirá los actos, contratos y convenios requeridos para el funcionamiento de la entidad. </w:t>
      </w:r>
    </w:p>
    <w:p w:rsidR="00EF2AF0" w:rsidRPr="00EF2AF0" w:rsidRDefault="00EF2AF0">
      <w:pPr>
        <w:pStyle w:val="Textonotapie"/>
        <w:rPr>
          <w:lang w:val="es-CO"/>
        </w:rPr>
      </w:pPr>
      <w:r>
        <w:t>Parágrafo 2°. El Fondo de Bienestar Social de la Contraloría General de la República podrá contratar seguro de vida colectivo con cobertura general, para los servidores de la Contraloría General de la Repúblic</w:t>
      </w:r>
      <w:r w:rsidR="005F4C33">
        <w: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43" w:rsidRDefault="00194B43" w:rsidP="00194B43">
    <w:pPr>
      <w:pStyle w:val="Encabezado"/>
      <w:tabs>
        <w:tab w:val="clear" w:pos="4419"/>
        <w:tab w:val="clear" w:pos="8838"/>
      </w:tabs>
      <w:jc w:val="center"/>
    </w:pPr>
    <w:r>
      <w:rPr>
        <w:noProof/>
        <w:lang w:val="es-CO"/>
      </w:rPr>
      <w:drawing>
        <wp:anchor distT="0" distB="0" distL="114300" distR="114300" simplePos="0" relativeHeight="251660288" behindDoc="1" locked="0" layoutInCell="1" allowOverlap="1" wp14:anchorId="30978771" wp14:editId="4033BA1D">
          <wp:simplePos x="0" y="0"/>
          <wp:positionH relativeFrom="margin">
            <wp:align>center</wp:align>
          </wp:positionH>
          <wp:positionV relativeFrom="paragraph">
            <wp:posOffset>-120650</wp:posOffset>
          </wp:positionV>
          <wp:extent cx="2843530" cy="838200"/>
          <wp:effectExtent l="0" t="0" r="0" b="0"/>
          <wp:wrapNone/>
          <wp:docPr id="3" name="officeArt object" descr="Home"/>
          <wp:cNvGraphicFramePr/>
          <a:graphic xmlns:a="http://schemas.openxmlformats.org/drawingml/2006/main">
            <a:graphicData uri="http://schemas.openxmlformats.org/drawingml/2006/picture">
              <pic:pic xmlns:pic="http://schemas.openxmlformats.org/drawingml/2006/picture">
                <pic:nvPicPr>
                  <pic:cNvPr id="1073741825" name="Home" descr="Hom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3530" cy="838200"/>
                  </a:xfrm>
                  <a:prstGeom prst="rect">
                    <a:avLst/>
                  </a:prstGeom>
                  <a:ln w="12700" cap="flat">
                    <a:noFill/>
                    <a:miter lim="400000"/>
                  </a:ln>
                  <a:effectLst/>
                </pic:spPr>
              </pic:pic>
            </a:graphicData>
          </a:graphic>
        </wp:anchor>
      </w:drawing>
    </w:r>
  </w:p>
  <w:p w:rsidR="00194B43" w:rsidRDefault="00194B43" w:rsidP="00194B43">
    <w:pPr>
      <w:pStyle w:val="Encabezado"/>
      <w:tabs>
        <w:tab w:val="clear" w:pos="4419"/>
        <w:tab w:val="clear" w:pos="8838"/>
      </w:tabs>
      <w:jc w:val="center"/>
    </w:pPr>
    <w:r>
      <w:rPr>
        <w:noProof/>
        <w:lang w:val="es-CO"/>
      </w:rPr>
      <mc:AlternateContent>
        <mc:Choice Requires="wps">
          <w:drawing>
            <wp:anchor distT="152400" distB="152400" distL="152400" distR="152400" simplePos="0" relativeHeight="251659264" behindDoc="1" locked="0" layoutInCell="1" allowOverlap="1" wp14:anchorId="1B77CFFE" wp14:editId="5E72F480">
              <wp:simplePos x="0" y="0"/>
              <wp:positionH relativeFrom="page">
                <wp:posOffset>1080135</wp:posOffset>
              </wp:positionH>
              <wp:positionV relativeFrom="page">
                <wp:posOffset>457200</wp:posOffset>
              </wp:positionV>
              <wp:extent cx="2019300" cy="698500"/>
              <wp:effectExtent l="0" t="0" r="0" b="0"/>
              <wp:wrapNone/>
              <wp:docPr id="1073741827" name="officeArt object" descr="Descripción: Congreso-de-la-republic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698500"/>
                      </a:xfrm>
                      <a:prstGeom prst="rect">
                        <a:avLst/>
                      </a:prstGeom>
                      <a:no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rect w14:anchorId="23BC31AA" id="officeArt object" o:spid="_x0000_s1026" alt="Descripción: Congreso-de-la-republica" style="position:absolute;margin-left:85.05pt;margin-top:36pt;width:159pt;height:5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" filled="f" stroked="f" strokeweight="1pt">
              <v:stroke miterlimit="4"/>
              <v:path arrowok="t"/>
              <w10:wrap anchorx="page" anchory="page"/>
            </v:rect>
          </w:pict>
        </mc:Fallback>
      </mc:AlternateContent>
    </w:r>
  </w:p>
  <w:p w:rsidR="00194B43" w:rsidRDefault="00194B43" w:rsidP="00194B43">
    <w:pPr>
      <w:pStyle w:val="Encabezado"/>
      <w:tabs>
        <w:tab w:val="clear" w:pos="4419"/>
        <w:tab w:val="clear" w:pos="8838"/>
      </w:tabs>
      <w:jc w:val="center"/>
    </w:pPr>
  </w:p>
  <w:p w:rsidR="00194B43" w:rsidRDefault="00194B43" w:rsidP="00194B43">
    <w:pPr>
      <w:pStyle w:val="Encabezado"/>
      <w:tabs>
        <w:tab w:val="clear" w:pos="4419"/>
        <w:tab w:val="clear" w:pos="8838"/>
      </w:tabs>
      <w:jc w:val="center"/>
    </w:pPr>
  </w:p>
  <w:p w:rsidR="00194B43" w:rsidRDefault="00194B43" w:rsidP="00194B43">
    <w:pPr>
      <w:pStyle w:val="Encabezado"/>
      <w:tabs>
        <w:tab w:val="clear" w:pos="4419"/>
        <w:tab w:val="clear" w:pos="8838"/>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8002E"/>
    <w:multiLevelType w:val="hybridMultilevel"/>
    <w:tmpl w:val="F672137A"/>
    <w:lvl w:ilvl="0" w:tplc="7DFCB9CC">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DF6E24"/>
    <w:multiLevelType w:val="hybridMultilevel"/>
    <w:tmpl w:val="583C5E40"/>
    <w:styleLink w:val="Estiloimportado6"/>
    <w:lvl w:ilvl="0" w:tplc="10088030">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7E763C">
      <w:start w:val="1"/>
      <w:numFmt w:val="lowerLetter"/>
      <w:lvlText w:val="%2."/>
      <w:lvlJc w:val="left"/>
      <w:pPr>
        <w:tabs>
          <w:tab w:val="num" w:pos="1416"/>
        </w:tabs>
        <w:ind w:left="178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E41C9C">
      <w:start w:val="1"/>
      <w:numFmt w:val="lowerRoman"/>
      <w:lvlText w:val="%3."/>
      <w:lvlJc w:val="left"/>
      <w:pPr>
        <w:tabs>
          <w:tab w:val="num" w:pos="2124"/>
        </w:tabs>
        <w:ind w:left="2496" w:hanging="6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38CC0E">
      <w:start w:val="1"/>
      <w:numFmt w:val="decimal"/>
      <w:lvlText w:val="%4."/>
      <w:lvlJc w:val="left"/>
      <w:pPr>
        <w:tabs>
          <w:tab w:val="num" w:pos="2832"/>
        </w:tabs>
        <w:ind w:left="3204" w:hanging="6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62FB6E">
      <w:start w:val="1"/>
      <w:numFmt w:val="lowerLetter"/>
      <w:lvlText w:val="%5."/>
      <w:lvlJc w:val="left"/>
      <w:pPr>
        <w:tabs>
          <w:tab w:val="num" w:pos="3540"/>
        </w:tabs>
        <w:ind w:left="3912" w:hanging="67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122DC2">
      <w:start w:val="1"/>
      <w:numFmt w:val="lowerRoman"/>
      <w:lvlText w:val="%6."/>
      <w:lvlJc w:val="left"/>
      <w:pPr>
        <w:tabs>
          <w:tab w:val="num" w:pos="4248"/>
        </w:tabs>
        <w:ind w:left="4620" w:hanging="6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F4EDBE">
      <w:start w:val="1"/>
      <w:numFmt w:val="decimal"/>
      <w:lvlText w:val="%7."/>
      <w:lvlJc w:val="left"/>
      <w:pPr>
        <w:tabs>
          <w:tab w:val="num" w:pos="4956"/>
        </w:tabs>
        <w:ind w:left="5328" w:hanging="64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CCC724">
      <w:start w:val="1"/>
      <w:numFmt w:val="lowerLetter"/>
      <w:lvlText w:val="%8."/>
      <w:lvlJc w:val="left"/>
      <w:pPr>
        <w:tabs>
          <w:tab w:val="num" w:pos="5664"/>
        </w:tabs>
        <w:ind w:left="6036" w:hanging="6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10224A">
      <w:start w:val="1"/>
      <w:numFmt w:val="lowerRoman"/>
      <w:suff w:val="nothing"/>
      <w:lvlText w:val="%9."/>
      <w:lvlJc w:val="left"/>
      <w:pPr>
        <w:ind w:left="6744" w:hanging="57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D31464B"/>
    <w:multiLevelType w:val="hybridMultilevel"/>
    <w:tmpl w:val="16B69ADC"/>
    <w:lvl w:ilvl="0" w:tplc="E076C244">
      <w:start w:val="1"/>
      <w:numFmt w:val="decimal"/>
      <w:lvlText w:val="%1."/>
      <w:lvlJc w:val="left"/>
      <w:pPr>
        <w:ind w:left="663" w:hanging="360"/>
      </w:pPr>
      <w:rPr>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3">
    <w:nsid w:val="0E713B77"/>
    <w:multiLevelType w:val="hybridMultilevel"/>
    <w:tmpl w:val="FD36A85A"/>
    <w:styleLink w:val="Estiloimportado1"/>
    <w:lvl w:ilvl="0" w:tplc="1E8AE85C">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52DCEE">
      <w:start w:val="1"/>
      <w:numFmt w:val="lowerLetter"/>
      <w:lvlText w:val="%2."/>
      <w:lvlJc w:val="left"/>
      <w:pPr>
        <w:tabs>
          <w:tab w:val="num" w:pos="1416"/>
        </w:tabs>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AA908A">
      <w:start w:val="1"/>
      <w:numFmt w:val="lowerRoman"/>
      <w:lvlText w:val="%3."/>
      <w:lvlJc w:val="left"/>
      <w:pPr>
        <w:tabs>
          <w:tab w:val="num" w:pos="2124"/>
        </w:tabs>
        <w:ind w:left="2148" w:hanging="3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8075BA">
      <w:start w:val="1"/>
      <w:numFmt w:val="decimal"/>
      <w:lvlText w:val="%4."/>
      <w:lvlJc w:val="left"/>
      <w:pPr>
        <w:tabs>
          <w:tab w:val="num" w:pos="2832"/>
        </w:tabs>
        <w:ind w:left="2856"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1E4910">
      <w:start w:val="1"/>
      <w:numFmt w:val="lowerLetter"/>
      <w:lvlText w:val="%5."/>
      <w:lvlJc w:val="left"/>
      <w:pPr>
        <w:tabs>
          <w:tab w:val="num" w:pos="3540"/>
        </w:tabs>
        <w:ind w:left="3564"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80A540">
      <w:start w:val="1"/>
      <w:numFmt w:val="lowerRoman"/>
      <w:lvlText w:val="%6."/>
      <w:lvlJc w:val="left"/>
      <w:pPr>
        <w:tabs>
          <w:tab w:val="num" w:pos="4248"/>
        </w:tabs>
        <w:ind w:left="4272" w:hanging="2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60BE08">
      <w:start w:val="1"/>
      <w:numFmt w:val="decimal"/>
      <w:lvlText w:val="%7."/>
      <w:lvlJc w:val="left"/>
      <w:pPr>
        <w:tabs>
          <w:tab w:val="num" w:pos="4956"/>
        </w:tabs>
        <w:ind w:left="49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C8A476">
      <w:start w:val="1"/>
      <w:numFmt w:val="lowerLetter"/>
      <w:lvlText w:val="%8."/>
      <w:lvlJc w:val="left"/>
      <w:pPr>
        <w:tabs>
          <w:tab w:val="num" w:pos="5664"/>
        </w:tabs>
        <w:ind w:left="56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10F274">
      <w:start w:val="1"/>
      <w:numFmt w:val="lowerRoman"/>
      <w:suff w:val="nothing"/>
      <w:lvlText w:val="%9."/>
      <w:lvlJc w:val="left"/>
      <w:pPr>
        <w:ind w:left="6396" w:hanging="2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2F203A5"/>
    <w:multiLevelType w:val="hybridMultilevel"/>
    <w:tmpl w:val="F32CA154"/>
    <w:styleLink w:val="Estiloimportado7"/>
    <w:lvl w:ilvl="0" w:tplc="BC405816">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AAEF4A">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447EBC">
      <w:start w:val="1"/>
      <w:numFmt w:val="lowerRoman"/>
      <w:lvlText w:val="%3."/>
      <w:lvlJc w:val="left"/>
      <w:pPr>
        <w:tabs>
          <w:tab w:val="num" w:pos="2124"/>
        </w:tabs>
        <w:ind w:left="2136"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42EB0C">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A87B38">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1039A8">
      <w:start w:val="1"/>
      <w:numFmt w:val="lowerRoman"/>
      <w:lvlText w:val="%6."/>
      <w:lvlJc w:val="left"/>
      <w:pPr>
        <w:tabs>
          <w:tab w:val="num" w:pos="4248"/>
        </w:tabs>
        <w:ind w:left="4260"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60C148">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2C2AF8">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7A38FE">
      <w:start w:val="1"/>
      <w:numFmt w:val="lowerRoman"/>
      <w:suff w:val="nothing"/>
      <w:lvlText w:val="%9."/>
      <w:lvlJc w:val="left"/>
      <w:pPr>
        <w:ind w:left="6384" w:hanging="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5A27EB8"/>
    <w:multiLevelType w:val="hybridMultilevel"/>
    <w:tmpl w:val="3B50E4DC"/>
    <w:styleLink w:val="Estiloimportado4"/>
    <w:lvl w:ilvl="0" w:tplc="61AC7DCC">
      <w:start w:val="1"/>
      <w:numFmt w:val="bullet"/>
      <w:lvlText w:val="·"/>
      <w:lvlJc w:val="left"/>
      <w:pPr>
        <w:ind w:left="56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AEB642">
      <w:start w:val="1"/>
      <w:numFmt w:val="bullet"/>
      <w:lvlText w:val="o"/>
      <w:lvlJc w:val="left"/>
      <w:pPr>
        <w:ind w:left="12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923BAA">
      <w:start w:val="1"/>
      <w:numFmt w:val="bullet"/>
      <w:lvlText w:val="▪"/>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D4F380">
      <w:start w:val="1"/>
      <w:numFmt w:val="bullet"/>
      <w:lvlText w:val="·"/>
      <w:lvlJc w:val="left"/>
      <w:pPr>
        <w:ind w:left="27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26F338">
      <w:start w:val="1"/>
      <w:numFmt w:val="bullet"/>
      <w:lvlText w:val="o"/>
      <w:lvlJc w:val="left"/>
      <w:pPr>
        <w:ind w:left="34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5C0312">
      <w:start w:val="1"/>
      <w:numFmt w:val="bullet"/>
      <w:lvlText w:val="▪"/>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8EE3B4">
      <w:start w:val="1"/>
      <w:numFmt w:val="bullet"/>
      <w:lvlText w:val="·"/>
      <w:lvlJc w:val="left"/>
      <w:pPr>
        <w:ind w:left="48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48C4AE">
      <w:start w:val="1"/>
      <w:numFmt w:val="bullet"/>
      <w:lvlText w:val="o"/>
      <w:lvlJc w:val="left"/>
      <w:pPr>
        <w:ind w:left="56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CA2A12">
      <w:start w:val="1"/>
      <w:numFmt w:val="bullet"/>
      <w:lvlText w:val="▪"/>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5EB669C"/>
    <w:multiLevelType w:val="hybridMultilevel"/>
    <w:tmpl w:val="FD36A85A"/>
    <w:numStyleLink w:val="Estiloimportado1"/>
  </w:abstractNum>
  <w:abstractNum w:abstractNumId="7">
    <w:nsid w:val="27407800"/>
    <w:multiLevelType w:val="hybridMultilevel"/>
    <w:tmpl w:val="7B8E77C6"/>
    <w:lvl w:ilvl="0" w:tplc="AA30644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2E2A43DB"/>
    <w:multiLevelType w:val="hybridMultilevel"/>
    <w:tmpl w:val="CC7A1762"/>
    <w:numStyleLink w:val="Estiloimportado5"/>
  </w:abstractNum>
  <w:abstractNum w:abstractNumId="9">
    <w:nsid w:val="2E4D774A"/>
    <w:multiLevelType w:val="hybridMultilevel"/>
    <w:tmpl w:val="695431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32842D38"/>
    <w:multiLevelType w:val="hybridMultilevel"/>
    <w:tmpl w:val="3B50E4DC"/>
    <w:numStyleLink w:val="Estiloimportado4"/>
  </w:abstractNum>
  <w:abstractNum w:abstractNumId="11">
    <w:nsid w:val="34CD4821"/>
    <w:multiLevelType w:val="hybridMultilevel"/>
    <w:tmpl w:val="920AF248"/>
    <w:lvl w:ilvl="0" w:tplc="436AB5FE">
      <w:start w:val="1"/>
      <w:numFmt w:val="decimal"/>
      <w:lvlText w:val="%1."/>
      <w:lvlJc w:val="left"/>
      <w:pPr>
        <w:ind w:left="663" w:hanging="360"/>
      </w:pPr>
      <w:rPr>
        <w:b w:val="0"/>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2">
    <w:nsid w:val="3AEF2790"/>
    <w:multiLevelType w:val="hybridMultilevel"/>
    <w:tmpl w:val="6068F4AA"/>
    <w:lvl w:ilvl="0" w:tplc="DAB276F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6B957DE"/>
    <w:multiLevelType w:val="hybridMultilevel"/>
    <w:tmpl w:val="109EC334"/>
    <w:lvl w:ilvl="0" w:tplc="80EC6494">
      <w:start w:val="35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78E6203"/>
    <w:multiLevelType w:val="multilevel"/>
    <w:tmpl w:val="264E03DC"/>
    <w:numStyleLink w:val="Estiloimportado3"/>
  </w:abstractNum>
  <w:abstractNum w:abstractNumId="15">
    <w:nsid w:val="487878C6"/>
    <w:multiLevelType w:val="hybridMultilevel"/>
    <w:tmpl w:val="16B69ADC"/>
    <w:lvl w:ilvl="0" w:tplc="E076C244">
      <w:start w:val="1"/>
      <w:numFmt w:val="decimal"/>
      <w:lvlText w:val="%1."/>
      <w:lvlJc w:val="left"/>
      <w:pPr>
        <w:ind w:left="663" w:hanging="360"/>
      </w:pPr>
      <w:rPr>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6">
    <w:nsid w:val="4D840887"/>
    <w:multiLevelType w:val="hybridMultilevel"/>
    <w:tmpl w:val="618C8E68"/>
    <w:lvl w:ilvl="0" w:tplc="240A000F">
      <w:start w:val="1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FA4189F"/>
    <w:multiLevelType w:val="hybridMultilevel"/>
    <w:tmpl w:val="FD36A85A"/>
    <w:lvl w:ilvl="0" w:tplc="6526F098">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C2D4FA">
      <w:start w:val="1"/>
      <w:numFmt w:val="lowerLetter"/>
      <w:lvlText w:val="%2."/>
      <w:lvlJc w:val="left"/>
      <w:pPr>
        <w:tabs>
          <w:tab w:val="num" w:pos="1416"/>
        </w:tabs>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6EB868">
      <w:start w:val="1"/>
      <w:numFmt w:val="lowerRoman"/>
      <w:lvlText w:val="%3."/>
      <w:lvlJc w:val="left"/>
      <w:pPr>
        <w:tabs>
          <w:tab w:val="num" w:pos="2124"/>
        </w:tabs>
        <w:ind w:left="2148" w:hanging="3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B85A56">
      <w:start w:val="1"/>
      <w:numFmt w:val="decimal"/>
      <w:lvlText w:val="%4."/>
      <w:lvlJc w:val="left"/>
      <w:pPr>
        <w:tabs>
          <w:tab w:val="num" w:pos="2832"/>
        </w:tabs>
        <w:ind w:left="2856"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D26860">
      <w:start w:val="1"/>
      <w:numFmt w:val="lowerLetter"/>
      <w:lvlText w:val="%5."/>
      <w:lvlJc w:val="left"/>
      <w:pPr>
        <w:tabs>
          <w:tab w:val="num" w:pos="3540"/>
        </w:tabs>
        <w:ind w:left="3564"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C6EA2C">
      <w:start w:val="1"/>
      <w:numFmt w:val="lowerRoman"/>
      <w:lvlText w:val="%6."/>
      <w:lvlJc w:val="left"/>
      <w:pPr>
        <w:tabs>
          <w:tab w:val="num" w:pos="4248"/>
        </w:tabs>
        <w:ind w:left="4272" w:hanging="2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081E2E">
      <w:start w:val="1"/>
      <w:numFmt w:val="decimal"/>
      <w:lvlText w:val="%7."/>
      <w:lvlJc w:val="left"/>
      <w:pPr>
        <w:tabs>
          <w:tab w:val="num" w:pos="4956"/>
        </w:tabs>
        <w:ind w:left="49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1CC27C">
      <w:start w:val="1"/>
      <w:numFmt w:val="lowerLetter"/>
      <w:lvlText w:val="%8."/>
      <w:lvlJc w:val="left"/>
      <w:pPr>
        <w:tabs>
          <w:tab w:val="num" w:pos="5664"/>
        </w:tabs>
        <w:ind w:left="56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F86238">
      <w:start w:val="1"/>
      <w:numFmt w:val="lowerRoman"/>
      <w:suff w:val="nothing"/>
      <w:lvlText w:val="%9."/>
      <w:lvlJc w:val="left"/>
      <w:pPr>
        <w:ind w:left="6396" w:hanging="2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3C74C77"/>
    <w:multiLevelType w:val="hybridMultilevel"/>
    <w:tmpl w:val="544ECF14"/>
    <w:lvl w:ilvl="0" w:tplc="AE7650D0">
      <w:start w:val="1"/>
      <w:numFmt w:val="decimal"/>
      <w:lvlText w:val="%1."/>
      <w:lvlJc w:val="left"/>
      <w:pPr>
        <w:ind w:left="644" w:hanging="360"/>
      </w:pPr>
      <w:rPr>
        <w:rFonts w:ascii="Arial" w:eastAsia="Arial Unicode MS" w:hAnsi="Arial" w:cs="Arial"/>
        <w:b w:val="0"/>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56F555C"/>
    <w:multiLevelType w:val="hybridMultilevel"/>
    <w:tmpl w:val="F9A4CF84"/>
    <w:lvl w:ilvl="0" w:tplc="918E79FA">
      <w:start w:val="5"/>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568B5A21"/>
    <w:multiLevelType w:val="hybridMultilevel"/>
    <w:tmpl w:val="D9205F4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5CED4CA3"/>
    <w:multiLevelType w:val="hybridMultilevel"/>
    <w:tmpl w:val="16B69ADC"/>
    <w:lvl w:ilvl="0" w:tplc="E076C244">
      <w:start w:val="1"/>
      <w:numFmt w:val="decimal"/>
      <w:lvlText w:val="%1."/>
      <w:lvlJc w:val="left"/>
      <w:pPr>
        <w:ind w:left="663" w:hanging="360"/>
      </w:pPr>
      <w:rPr>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22">
    <w:nsid w:val="645B33C2"/>
    <w:multiLevelType w:val="hybridMultilevel"/>
    <w:tmpl w:val="BF327D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647E0C1A"/>
    <w:multiLevelType w:val="hybridMultilevel"/>
    <w:tmpl w:val="22F2EB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8072230"/>
    <w:multiLevelType w:val="hybridMultilevel"/>
    <w:tmpl w:val="26D4F680"/>
    <w:numStyleLink w:val="Estiloimportado2"/>
  </w:abstractNum>
  <w:abstractNum w:abstractNumId="25">
    <w:nsid w:val="6E003B3E"/>
    <w:multiLevelType w:val="hybridMultilevel"/>
    <w:tmpl w:val="056A00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nsid w:val="72394571"/>
    <w:multiLevelType w:val="multilevel"/>
    <w:tmpl w:val="264E03DC"/>
    <w:styleLink w:val="Estiloimportado3"/>
    <w:lvl w:ilvl="0">
      <w:start w:val="1"/>
      <w:numFmt w:val="upperRoman"/>
      <w:lvlText w:val="%1."/>
      <w:lvlJc w:val="left"/>
      <w:pPr>
        <w:tabs>
          <w:tab w:val="num" w:pos="778"/>
        </w:tabs>
        <w:ind w:left="1150" w:hanging="790"/>
      </w:pPr>
      <w:rPr>
        <w:rFonts w:hAnsi="Arial Unicode MS"/>
        <w:caps w:val="0"/>
        <w:smallCaps w:val="0"/>
        <w:strike w:val="0"/>
        <w:dstrike w:val="0"/>
        <w:color w:val="000000"/>
        <w:spacing w:val="0"/>
        <w:w w:val="100"/>
        <w:kern w:val="0"/>
        <w:position w:val="0"/>
        <w:sz w:val="30"/>
        <w:szCs w:val="3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29"/>
        </w:tabs>
        <w:ind w:left="1901" w:hanging="10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08"/>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3.%4.%5."/>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3.%4.%5.%6."/>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3.%4.%5.%6.%7."/>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3.%4.%5.%6.%7.%8."/>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43C0152"/>
    <w:multiLevelType w:val="hybridMultilevel"/>
    <w:tmpl w:val="CC7A1762"/>
    <w:styleLink w:val="Estiloimportado5"/>
    <w:lvl w:ilvl="0" w:tplc="6554B086">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341446">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EEEE34">
      <w:start w:val="1"/>
      <w:numFmt w:val="lowerRoman"/>
      <w:lvlText w:val="%3."/>
      <w:lvlJc w:val="left"/>
      <w:pPr>
        <w:tabs>
          <w:tab w:val="num" w:pos="2124"/>
        </w:tabs>
        <w:ind w:left="2136"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B0A9D8">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8A1192">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DE7952">
      <w:start w:val="1"/>
      <w:numFmt w:val="lowerRoman"/>
      <w:lvlText w:val="%6."/>
      <w:lvlJc w:val="left"/>
      <w:pPr>
        <w:tabs>
          <w:tab w:val="num" w:pos="4248"/>
        </w:tabs>
        <w:ind w:left="4260"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56495A">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1C2BD0">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845764">
      <w:start w:val="1"/>
      <w:numFmt w:val="lowerRoman"/>
      <w:suff w:val="nothing"/>
      <w:lvlText w:val="%9."/>
      <w:lvlJc w:val="left"/>
      <w:pPr>
        <w:ind w:left="6384" w:hanging="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9B27E1B"/>
    <w:multiLevelType w:val="hybridMultilevel"/>
    <w:tmpl w:val="26D4F680"/>
    <w:styleLink w:val="Estiloimportado2"/>
    <w:lvl w:ilvl="0" w:tplc="10BA361C">
      <w:start w:val="1"/>
      <w:numFmt w:val="lowerRoman"/>
      <w:lvlText w:val="(%1)"/>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20C1AA">
      <w:start w:val="1"/>
      <w:numFmt w:val="lowerRoman"/>
      <w:lvlText w:val="(%2)"/>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729376">
      <w:start w:val="1"/>
      <w:numFmt w:val="lowerRoman"/>
      <w:lvlText w:val="(%3)"/>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72FA7C">
      <w:start w:val="1"/>
      <w:numFmt w:val="lowerRoman"/>
      <w:lvlText w:val="(%4)"/>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6831EC">
      <w:start w:val="1"/>
      <w:numFmt w:val="lowerRoman"/>
      <w:lvlText w:val="(%5)"/>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6CC7E4">
      <w:start w:val="1"/>
      <w:numFmt w:val="lowerRoman"/>
      <w:lvlText w:val="(%6)"/>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669558">
      <w:start w:val="1"/>
      <w:numFmt w:val="lowerRoman"/>
      <w:lvlText w:val="(%7)"/>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BC3C62">
      <w:start w:val="1"/>
      <w:numFmt w:val="lowerRoman"/>
      <w:lvlText w:val="(%8)"/>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867F48">
      <w:start w:val="1"/>
      <w:numFmt w:val="lowerRoman"/>
      <w:lvlText w:val="(%9)"/>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6"/>
  </w:num>
  <w:num w:numId="3">
    <w:abstractNumId w:val="6"/>
  </w:num>
  <w:num w:numId="4">
    <w:abstractNumId w:val="28"/>
  </w:num>
  <w:num w:numId="5">
    <w:abstractNumId w:val="24"/>
  </w:num>
  <w:num w:numId="6">
    <w:abstractNumId w:val="24"/>
    <w:lvlOverride w:ilvl="0">
      <w:lvl w:ilvl="0" w:tplc="0EAEA6E2">
        <w:start w:val="1"/>
        <w:numFmt w:val="lowerRoman"/>
        <w:lvlText w:val="(%1)"/>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1">
      <w:lvl w:ilvl="1" w:tplc="D2243206">
        <w:start w:val="1"/>
        <w:numFmt w:val="lowerRoman"/>
        <w:lvlText w:val="(%2)"/>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2">
      <w:lvl w:ilvl="2" w:tplc="557E3C70">
        <w:start w:val="1"/>
        <w:numFmt w:val="lowerRoman"/>
        <w:lvlText w:val="(%3)"/>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3">
      <w:lvl w:ilvl="3" w:tplc="00E22680">
        <w:start w:val="1"/>
        <w:numFmt w:val="lowerRoman"/>
        <w:lvlText w:val="(%4)"/>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4">
      <w:lvl w:ilvl="4" w:tplc="48706746">
        <w:start w:val="1"/>
        <w:numFmt w:val="lowerRoman"/>
        <w:lvlText w:val="(%5)"/>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5">
      <w:lvl w:ilvl="5" w:tplc="5254EE6E">
        <w:start w:val="1"/>
        <w:numFmt w:val="lowerRoman"/>
        <w:lvlText w:val="(%6)"/>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6">
      <w:lvl w:ilvl="6" w:tplc="AC78E7F2">
        <w:start w:val="1"/>
        <w:numFmt w:val="lowerRoman"/>
        <w:lvlText w:val="(%7)"/>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7">
      <w:lvl w:ilvl="7" w:tplc="F0BE4E40">
        <w:start w:val="1"/>
        <w:numFmt w:val="lowerRoman"/>
        <w:lvlText w:val="(%8)"/>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8">
      <w:lvl w:ilvl="8" w:tplc="3B50F028">
        <w:start w:val="1"/>
        <w:numFmt w:val="lowerRoman"/>
        <w:lvlText w:val="(%9)"/>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num>
  <w:num w:numId="7">
    <w:abstractNumId w:val="6"/>
    <w:lvlOverride w:ilvl="0">
      <w:startOverride w:val="5"/>
    </w:lvlOverride>
  </w:num>
  <w:num w:numId="8">
    <w:abstractNumId w:val="26"/>
  </w:num>
  <w:num w:numId="9">
    <w:abstractNumId w:val="14"/>
  </w:num>
  <w:num w:numId="10">
    <w:abstractNumId w:val="14"/>
    <w:lvlOverride w:ilvl="0"/>
    <w:lvlOverride w:ilvl="1"/>
    <w:lvlOverride w:ilvl="2">
      <w:startOverride w:val="3"/>
    </w:lvlOverride>
  </w:num>
  <w:num w:numId="11">
    <w:abstractNumId w:val="5"/>
  </w:num>
  <w:num w:numId="12">
    <w:abstractNumId w:val="10"/>
  </w:num>
  <w:num w:numId="13">
    <w:abstractNumId w:val="6"/>
    <w:lvlOverride w:ilvl="0">
      <w:startOverride w:val="6"/>
    </w:lvlOverride>
  </w:num>
  <w:num w:numId="14">
    <w:abstractNumId w:val="27"/>
  </w:num>
  <w:num w:numId="15">
    <w:abstractNumId w:val="8"/>
  </w:num>
  <w:num w:numId="16">
    <w:abstractNumId w:val="1"/>
  </w:num>
  <w:num w:numId="17">
    <w:abstractNumId w:val="4"/>
  </w:num>
  <w:num w:numId="18">
    <w:abstractNumId w:val="0"/>
  </w:num>
  <w:num w:numId="19">
    <w:abstractNumId w:val="18"/>
  </w:num>
  <w:num w:numId="20">
    <w:abstractNumId w:val="11"/>
  </w:num>
  <w:num w:numId="21">
    <w:abstractNumId w:val="13"/>
  </w:num>
  <w:num w:numId="22">
    <w:abstractNumId w:val="20"/>
  </w:num>
  <w:num w:numId="23">
    <w:abstractNumId w:val="16"/>
  </w:num>
  <w:num w:numId="24">
    <w:abstractNumId w:val="23"/>
  </w:num>
  <w:num w:numId="25">
    <w:abstractNumId w:val="2"/>
  </w:num>
  <w:num w:numId="26">
    <w:abstractNumId w:val="21"/>
  </w:num>
  <w:num w:numId="27">
    <w:abstractNumId w:val="15"/>
  </w:num>
  <w:num w:numId="28">
    <w:abstractNumId w:val="22"/>
  </w:num>
  <w:num w:numId="29">
    <w:abstractNumId w:val="25"/>
  </w:num>
  <w:num w:numId="30">
    <w:abstractNumId w:val="7"/>
  </w:num>
  <w:num w:numId="31">
    <w:abstractNumId w:val="9"/>
  </w:num>
  <w:num w:numId="32">
    <w:abstractNumId w:val="12"/>
  </w:num>
  <w:num w:numId="33">
    <w:abstractNumId w:val="17"/>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43"/>
    <w:rsid w:val="000951F8"/>
    <w:rsid w:val="000B5ACD"/>
    <w:rsid w:val="00194B43"/>
    <w:rsid w:val="001C04E1"/>
    <w:rsid w:val="001C5253"/>
    <w:rsid w:val="00295C1B"/>
    <w:rsid w:val="0036779B"/>
    <w:rsid w:val="0052692B"/>
    <w:rsid w:val="00572F8D"/>
    <w:rsid w:val="005A2771"/>
    <w:rsid w:val="005F4C33"/>
    <w:rsid w:val="00651E93"/>
    <w:rsid w:val="00693CD9"/>
    <w:rsid w:val="00723D55"/>
    <w:rsid w:val="007D6290"/>
    <w:rsid w:val="00883B3A"/>
    <w:rsid w:val="008A7930"/>
    <w:rsid w:val="00935596"/>
    <w:rsid w:val="009B7E0C"/>
    <w:rsid w:val="009D0733"/>
    <w:rsid w:val="00AD78BD"/>
    <w:rsid w:val="00B121DE"/>
    <w:rsid w:val="00B372A1"/>
    <w:rsid w:val="00B67632"/>
    <w:rsid w:val="00D54C6B"/>
    <w:rsid w:val="00E62AD1"/>
    <w:rsid w:val="00EB1126"/>
    <w:rsid w:val="00ED014C"/>
    <w:rsid w:val="00EF2AF0"/>
    <w:rsid w:val="00F20C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62E83-AF64-45F9-976A-74840E40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94B43"/>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94B43"/>
    <w:rPr>
      <w:u w:val="single"/>
    </w:rPr>
  </w:style>
  <w:style w:type="table" w:customStyle="1" w:styleId="TableNormal">
    <w:name w:val="Table Normal"/>
    <w:rsid w:val="00194B4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Encabezado">
    <w:name w:val="header"/>
    <w:link w:val="EncabezadoCar"/>
    <w:rsid w:val="00194B43"/>
    <w:pPr>
      <w:widowControl w:val="0"/>
      <w:pBdr>
        <w:top w:val="nil"/>
        <w:left w:val="nil"/>
        <w:bottom w:val="nil"/>
        <w:right w:val="nil"/>
        <w:between w:val="nil"/>
        <w:bar w:val="nil"/>
      </w:pBdr>
      <w:tabs>
        <w:tab w:val="center" w:pos="4419"/>
        <w:tab w:val="right" w:pos="8838"/>
      </w:tabs>
      <w:spacing w:after="0" w:line="240" w:lineRule="auto"/>
    </w:pPr>
    <w:rPr>
      <w:rFonts w:ascii="Times New Roman" w:eastAsia="Arial Unicode MS" w:hAnsi="Times New Roman" w:cs="Arial Unicode MS"/>
      <w:color w:val="000000"/>
      <w:sz w:val="20"/>
      <w:szCs w:val="20"/>
      <w:u w:color="000000"/>
      <w:bdr w:val="nil"/>
      <w:lang w:val="en-US" w:eastAsia="es-CO"/>
    </w:rPr>
  </w:style>
  <w:style w:type="character" w:customStyle="1" w:styleId="EncabezadoCar">
    <w:name w:val="Encabezado Car"/>
    <w:basedOn w:val="Fuentedeprrafopredeter"/>
    <w:link w:val="Encabezado"/>
    <w:rsid w:val="00194B43"/>
    <w:rPr>
      <w:rFonts w:ascii="Times New Roman" w:eastAsia="Arial Unicode MS" w:hAnsi="Times New Roman" w:cs="Arial Unicode MS"/>
      <w:color w:val="000000"/>
      <w:sz w:val="20"/>
      <w:szCs w:val="20"/>
      <w:u w:color="000000"/>
      <w:bdr w:val="nil"/>
      <w:lang w:val="en-US" w:eastAsia="es-CO"/>
    </w:rPr>
  </w:style>
  <w:style w:type="paragraph" w:styleId="Piedepgina">
    <w:name w:val="footer"/>
    <w:link w:val="PiedepginaCar"/>
    <w:uiPriority w:val="99"/>
    <w:rsid w:val="00194B43"/>
    <w:pPr>
      <w:widowControl w:val="0"/>
      <w:pBdr>
        <w:top w:val="nil"/>
        <w:left w:val="nil"/>
        <w:bottom w:val="nil"/>
        <w:right w:val="nil"/>
        <w:between w:val="nil"/>
        <w:bar w:val="nil"/>
      </w:pBdr>
      <w:tabs>
        <w:tab w:val="center" w:pos="4419"/>
        <w:tab w:val="right" w:pos="8838"/>
      </w:tabs>
      <w:spacing w:after="0" w:line="240" w:lineRule="auto"/>
    </w:pPr>
    <w:rPr>
      <w:rFonts w:ascii="Times New Roman" w:eastAsia="Arial Unicode MS" w:hAnsi="Times New Roman" w:cs="Arial Unicode MS"/>
      <w:color w:val="000000"/>
      <w:sz w:val="20"/>
      <w:szCs w:val="20"/>
      <w:u w:color="000000"/>
      <w:bdr w:val="nil"/>
      <w:lang w:val="en-US" w:eastAsia="es-CO"/>
    </w:rPr>
  </w:style>
  <w:style w:type="character" w:customStyle="1" w:styleId="PiedepginaCar">
    <w:name w:val="Pie de página Car"/>
    <w:basedOn w:val="Fuentedeprrafopredeter"/>
    <w:link w:val="Piedepgina"/>
    <w:uiPriority w:val="99"/>
    <w:rsid w:val="00194B43"/>
    <w:rPr>
      <w:rFonts w:ascii="Times New Roman" w:eastAsia="Arial Unicode MS" w:hAnsi="Times New Roman" w:cs="Arial Unicode MS"/>
      <w:color w:val="000000"/>
      <w:sz w:val="20"/>
      <w:szCs w:val="20"/>
      <w:u w:color="000000"/>
      <w:bdr w:val="nil"/>
      <w:lang w:val="en-US" w:eastAsia="es-CO"/>
    </w:rPr>
  </w:style>
  <w:style w:type="character" w:customStyle="1" w:styleId="Ninguno">
    <w:name w:val="Ninguno"/>
    <w:rsid w:val="00194B43"/>
    <w:rPr>
      <w:lang w:val="es-ES_tradnl"/>
    </w:rPr>
  </w:style>
  <w:style w:type="paragraph" w:customStyle="1" w:styleId="Predeterminado">
    <w:name w:val="Predeterminado"/>
    <w:rsid w:val="00194B4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CO"/>
    </w:rPr>
  </w:style>
  <w:style w:type="paragraph" w:customStyle="1" w:styleId="Listavistosa-nfasis11">
    <w:name w:val="Lista vistosa - Énfasis 11"/>
    <w:rsid w:val="00194B43"/>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s-ES_tradnl" w:eastAsia="es-CO"/>
    </w:rPr>
  </w:style>
  <w:style w:type="numbering" w:customStyle="1" w:styleId="Estiloimportado1">
    <w:name w:val="Estilo importado 1"/>
    <w:rsid w:val="00194B43"/>
    <w:pPr>
      <w:numPr>
        <w:numId w:val="1"/>
      </w:numPr>
    </w:pPr>
  </w:style>
  <w:style w:type="paragraph" w:styleId="Textonotapie">
    <w:name w:val="footnote text"/>
    <w:link w:val="TextonotapieCar"/>
    <w:uiPriority w:val="99"/>
    <w:rsid w:val="00194B43"/>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val="en-US" w:eastAsia="es-CO"/>
    </w:rPr>
  </w:style>
  <w:style w:type="character" w:customStyle="1" w:styleId="TextonotapieCar">
    <w:name w:val="Texto nota pie Car"/>
    <w:basedOn w:val="Fuentedeprrafopredeter"/>
    <w:link w:val="Textonotapie"/>
    <w:uiPriority w:val="99"/>
    <w:rsid w:val="00194B43"/>
    <w:rPr>
      <w:rFonts w:ascii="Times New Roman" w:eastAsia="Times New Roman" w:hAnsi="Times New Roman" w:cs="Times New Roman"/>
      <w:color w:val="000000"/>
      <w:sz w:val="20"/>
      <w:szCs w:val="20"/>
      <w:u w:color="000000"/>
      <w:bdr w:val="nil"/>
      <w:lang w:val="en-US" w:eastAsia="es-CO"/>
    </w:rPr>
  </w:style>
  <w:style w:type="numbering" w:customStyle="1" w:styleId="Estiloimportado2">
    <w:name w:val="Estilo importado 2"/>
    <w:rsid w:val="00194B43"/>
    <w:pPr>
      <w:numPr>
        <w:numId w:val="4"/>
      </w:numPr>
    </w:pPr>
  </w:style>
  <w:style w:type="paragraph" w:styleId="Sangra2detindependiente">
    <w:name w:val="Body Text Indent 2"/>
    <w:link w:val="Sangra2detindependienteCar"/>
    <w:rsid w:val="00194B43"/>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s-ES_tradnl" w:eastAsia="es-CO"/>
    </w:rPr>
  </w:style>
  <w:style w:type="character" w:customStyle="1" w:styleId="Sangra2detindependienteCar">
    <w:name w:val="Sangría 2 de t. independiente Car"/>
    <w:basedOn w:val="Fuentedeprrafopredeter"/>
    <w:link w:val="Sangra2detindependiente"/>
    <w:rsid w:val="00194B43"/>
    <w:rPr>
      <w:rFonts w:ascii="Times New Roman" w:eastAsia="Times New Roman" w:hAnsi="Times New Roman" w:cs="Times New Roman"/>
      <w:color w:val="000000"/>
      <w:sz w:val="24"/>
      <w:szCs w:val="24"/>
      <w:u w:color="000000"/>
      <w:bdr w:val="nil"/>
      <w:lang w:val="es-ES_tradnl" w:eastAsia="es-CO"/>
    </w:rPr>
  </w:style>
  <w:style w:type="numbering" w:customStyle="1" w:styleId="Estiloimportado3">
    <w:name w:val="Estilo importado 3"/>
    <w:rsid w:val="00194B43"/>
    <w:pPr>
      <w:numPr>
        <w:numId w:val="8"/>
      </w:numPr>
    </w:pPr>
  </w:style>
  <w:style w:type="character" w:customStyle="1" w:styleId="Hyperlink0">
    <w:name w:val="Hyperlink.0"/>
    <w:basedOn w:val="Ninguno"/>
    <w:rsid w:val="00194B43"/>
    <w:rPr>
      <w:rFonts w:ascii="Arial" w:eastAsia="Arial" w:hAnsi="Arial" w:cs="Arial"/>
      <w:sz w:val="24"/>
      <w:szCs w:val="24"/>
      <w:lang w:val="es-ES_tradnl"/>
    </w:rPr>
  </w:style>
  <w:style w:type="numbering" w:customStyle="1" w:styleId="Estiloimportado4">
    <w:name w:val="Estilo importado 4"/>
    <w:rsid w:val="00194B43"/>
    <w:pPr>
      <w:numPr>
        <w:numId w:val="11"/>
      </w:numPr>
    </w:pPr>
  </w:style>
  <w:style w:type="paragraph" w:styleId="NormalWeb">
    <w:name w:val="Normal (Web)"/>
    <w:rsid w:val="00194B43"/>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s-CO"/>
    </w:rPr>
  </w:style>
  <w:style w:type="character" w:customStyle="1" w:styleId="Hyperlink1">
    <w:name w:val="Hyperlink.1"/>
    <w:basedOn w:val="Ninguno"/>
    <w:rsid w:val="00194B43"/>
    <w:rPr>
      <w:rFonts w:ascii="Arial" w:eastAsia="Arial" w:hAnsi="Arial" w:cs="Arial"/>
      <w:color w:val="0000FF"/>
      <w:sz w:val="16"/>
      <w:szCs w:val="16"/>
      <w:u w:val="single" w:color="0000FF"/>
      <w:lang w:val="es-ES_tradnl"/>
    </w:rPr>
  </w:style>
  <w:style w:type="paragraph" w:styleId="Textoindependiente2">
    <w:name w:val="Body Text 2"/>
    <w:link w:val="Textoindependiente2Car"/>
    <w:rsid w:val="00194B43"/>
    <w:pPr>
      <w:widowControl w:val="0"/>
      <w:pBdr>
        <w:top w:val="nil"/>
        <w:left w:val="nil"/>
        <w:bottom w:val="nil"/>
        <w:right w:val="nil"/>
        <w:between w:val="nil"/>
        <w:bar w:val="nil"/>
      </w:pBdr>
      <w:spacing w:after="120" w:line="480" w:lineRule="auto"/>
    </w:pPr>
    <w:rPr>
      <w:rFonts w:ascii="Times New Roman" w:eastAsia="Times New Roman" w:hAnsi="Times New Roman" w:cs="Times New Roman"/>
      <w:color w:val="000000"/>
      <w:sz w:val="20"/>
      <w:szCs w:val="20"/>
      <w:u w:color="000000"/>
      <w:bdr w:val="nil"/>
      <w:lang w:val="en-US" w:eastAsia="es-CO"/>
    </w:rPr>
  </w:style>
  <w:style w:type="character" w:customStyle="1" w:styleId="Textoindependiente2Car">
    <w:name w:val="Texto independiente 2 Car"/>
    <w:basedOn w:val="Fuentedeprrafopredeter"/>
    <w:link w:val="Textoindependiente2"/>
    <w:rsid w:val="00194B43"/>
    <w:rPr>
      <w:rFonts w:ascii="Times New Roman" w:eastAsia="Times New Roman" w:hAnsi="Times New Roman" w:cs="Times New Roman"/>
      <w:color w:val="000000"/>
      <w:sz w:val="20"/>
      <w:szCs w:val="20"/>
      <w:u w:color="000000"/>
      <w:bdr w:val="nil"/>
      <w:lang w:val="en-US" w:eastAsia="es-CO"/>
    </w:rPr>
  </w:style>
  <w:style w:type="paragraph" w:styleId="Textoindependiente">
    <w:name w:val="Body Text"/>
    <w:link w:val="TextoindependienteCar"/>
    <w:rsid w:val="00194B43"/>
    <w:pPr>
      <w:widowControl w:val="0"/>
      <w:pBdr>
        <w:top w:val="nil"/>
        <w:left w:val="nil"/>
        <w:bottom w:val="nil"/>
        <w:right w:val="nil"/>
        <w:between w:val="nil"/>
        <w:bar w:val="nil"/>
      </w:pBdr>
      <w:spacing w:after="120" w:line="240" w:lineRule="auto"/>
    </w:pPr>
    <w:rPr>
      <w:rFonts w:ascii="Times New Roman" w:eastAsia="Arial Unicode MS" w:hAnsi="Times New Roman" w:cs="Arial Unicode MS"/>
      <w:color w:val="000000"/>
      <w:sz w:val="20"/>
      <w:szCs w:val="20"/>
      <w:u w:color="000000"/>
      <w:bdr w:val="nil"/>
      <w:lang w:val="en-US" w:eastAsia="es-CO"/>
    </w:rPr>
  </w:style>
  <w:style w:type="character" w:customStyle="1" w:styleId="TextoindependienteCar">
    <w:name w:val="Texto independiente Car"/>
    <w:basedOn w:val="Fuentedeprrafopredeter"/>
    <w:link w:val="Textoindependiente"/>
    <w:rsid w:val="00194B43"/>
    <w:rPr>
      <w:rFonts w:ascii="Times New Roman" w:eastAsia="Arial Unicode MS" w:hAnsi="Times New Roman" w:cs="Arial Unicode MS"/>
      <w:color w:val="000000"/>
      <w:sz w:val="20"/>
      <w:szCs w:val="20"/>
      <w:u w:color="000000"/>
      <w:bdr w:val="nil"/>
      <w:lang w:val="en-US" w:eastAsia="es-CO"/>
    </w:rPr>
  </w:style>
  <w:style w:type="numbering" w:customStyle="1" w:styleId="Estiloimportado5">
    <w:name w:val="Estilo importado 5"/>
    <w:rsid w:val="00194B43"/>
    <w:pPr>
      <w:numPr>
        <w:numId w:val="14"/>
      </w:numPr>
    </w:pPr>
  </w:style>
  <w:style w:type="numbering" w:customStyle="1" w:styleId="Estiloimportado6">
    <w:name w:val="Estilo importado 6"/>
    <w:rsid w:val="00194B43"/>
    <w:pPr>
      <w:numPr>
        <w:numId w:val="16"/>
      </w:numPr>
    </w:pPr>
  </w:style>
  <w:style w:type="numbering" w:customStyle="1" w:styleId="Estiloimportado7">
    <w:name w:val="Estilo importado 7"/>
    <w:rsid w:val="00194B43"/>
    <w:pPr>
      <w:numPr>
        <w:numId w:val="17"/>
      </w:numPr>
    </w:pPr>
  </w:style>
  <w:style w:type="paragraph" w:styleId="Prrafodelista">
    <w:name w:val="List Paragraph"/>
    <w:qFormat/>
    <w:rsid w:val="00194B43"/>
    <w:pPr>
      <w:widowControl w:val="0"/>
      <w:pBdr>
        <w:top w:val="nil"/>
        <w:left w:val="nil"/>
        <w:bottom w:val="nil"/>
        <w:right w:val="nil"/>
        <w:between w:val="nil"/>
        <w:bar w:val="nil"/>
      </w:pBdr>
      <w:spacing w:after="0" w:line="240" w:lineRule="auto"/>
      <w:ind w:left="708"/>
    </w:pPr>
    <w:rPr>
      <w:rFonts w:ascii="Times New Roman" w:eastAsia="Times New Roman" w:hAnsi="Times New Roman" w:cs="Times New Roman"/>
      <w:color w:val="000000"/>
      <w:sz w:val="20"/>
      <w:szCs w:val="20"/>
      <w:u w:color="000000"/>
      <w:bdr w:val="nil"/>
      <w:lang w:val="en-US" w:eastAsia="es-CO"/>
    </w:rPr>
  </w:style>
  <w:style w:type="paragraph" w:styleId="Textocomentario">
    <w:name w:val="annotation text"/>
    <w:basedOn w:val="Normal"/>
    <w:link w:val="TextocomentarioCar"/>
    <w:uiPriority w:val="99"/>
    <w:semiHidden/>
    <w:unhideWhenUsed/>
    <w:rsid w:val="00194B43"/>
  </w:style>
  <w:style w:type="character" w:customStyle="1" w:styleId="TextocomentarioCar">
    <w:name w:val="Texto comentario Car"/>
    <w:basedOn w:val="Fuentedeprrafopredeter"/>
    <w:link w:val="Textocomentario"/>
    <w:uiPriority w:val="99"/>
    <w:semiHidden/>
    <w:rsid w:val="00194B43"/>
    <w:rPr>
      <w:rFonts w:ascii="Times New Roman" w:eastAsia="Arial Unicode MS" w:hAnsi="Times New Roman" w:cs="Arial Unicode MS"/>
      <w:color w:val="000000"/>
      <w:sz w:val="20"/>
      <w:szCs w:val="20"/>
      <w:u w:color="000000"/>
      <w:bdr w:val="nil"/>
      <w:lang w:eastAsia="es-CO"/>
    </w:rPr>
  </w:style>
  <w:style w:type="character" w:styleId="Refdecomentario">
    <w:name w:val="annotation reference"/>
    <w:basedOn w:val="Fuentedeprrafopredeter"/>
    <w:uiPriority w:val="99"/>
    <w:semiHidden/>
    <w:unhideWhenUsed/>
    <w:rsid w:val="00194B43"/>
    <w:rPr>
      <w:sz w:val="16"/>
      <w:szCs w:val="16"/>
    </w:rPr>
  </w:style>
  <w:style w:type="paragraph" w:styleId="Textodeglobo">
    <w:name w:val="Balloon Text"/>
    <w:basedOn w:val="Normal"/>
    <w:link w:val="TextodegloboCar"/>
    <w:uiPriority w:val="99"/>
    <w:semiHidden/>
    <w:unhideWhenUsed/>
    <w:rsid w:val="00194B4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4B43"/>
    <w:rPr>
      <w:rFonts w:ascii="Segoe UI" w:eastAsia="Arial Unicode MS" w:hAnsi="Segoe UI" w:cs="Segoe UI"/>
      <w:color w:val="000000"/>
      <w:sz w:val="18"/>
      <w:szCs w:val="18"/>
      <w:u w:color="000000"/>
      <w:bdr w:val="nil"/>
      <w:lang w:eastAsia="es-CO"/>
    </w:rPr>
  </w:style>
  <w:style w:type="table" w:styleId="Tablaconcuadrcula">
    <w:name w:val="Table Grid"/>
    <w:basedOn w:val="Tablanormal"/>
    <w:uiPriority w:val="39"/>
    <w:rsid w:val="00194B4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194B43"/>
    <w:pPr>
      <w:spacing w:after="0" w:line="240" w:lineRule="auto"/>
    </w:pPr>
    <w:rPr>
      <w:rFonts w:ascii="Times New Roman" w:eastAsia="Arial Unicode MS" w:hAnsi="Times New Roman" w:cs="Arial Unicode MS"/>
      <w:color w:val="000000"/>
      <w:sz w:val="20"/>
      <w:szCs w:val="20"/>
      <w:u w:color="000000"/>
      <w:bdr w:val="nil"/>
      <w:lang w:eastAsia="es-CO"/>
    </w:rPr>
  </w:style>
  <w:style w:type="character" w:styleId="Refdenotaalpie">
    <w:name w:val="footnote reference"/>
    <w:basedOn w:val="Fuentedeprrafopredeter"/>
    <w:uiPriority w:val="99"/>
    <w:semiHidden/>
    <w:unhideWhenUsed/>
    <w:rsid w:val="00194B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312319">
      <w:bodyDiv w:val="1"/>
      <w:marLeft w:val="0"/>
      <w:marRight w:val="0"/>
      <w:marTop w:val="0"/>
      <w:marBottom w:val="0"/>
      <w:divBdr>
        <w:top w:val="none" w:sz="0" w:space="0" w:color="auto"/>
        <w:left w:val="none" w:sz="0" w:space="0" w:color="auto"/>
        <w:bottom w:val="none" w:sz="0" w:space="0" w:color="auto"/>
        <w:right w:val="none" w:sz="0" w:space="0" w:color="auto"/>
      </w:divBdr>
      <w:divsChild>
        <w:div w:id="274605187">
          <w:marLeft w:val="0"/>
          <w:marRight w:val="0"/>
          <w:marTop w:val="0"/>
          <w:marBottom w:val="0"/>
          <w:divBdr>
            <w:top w:val="none" w:sz="0" w:space="0" w:color="auto"/>
            <w:left w:val="none" w:sz="0" w:space="0" w:color="auto"/>
            <w:bottom w:val="single" w:sz="12" w:space="8" w:color="D5D5D5"/>
            <w:right w:val="none" w:sz="0" w:space="0" w:color="auto"/>
          </w:divBdr>
          <w:divsChild>
            <w:div w:id="2079395620">
              <w:marLeft w:val="0"/>
              <w:marRight w:val="0"/>
              <w:marTop w:val="0"/>
              <w:marBottom w:val="0"/>
              <w:divBdr>
                <w:top w:val="none" w:sz="0" w:space="0" w:color="auto"/>
                <w:left w:val="none" w:sz="0" w:space="0" w:color="auto"/>
                <w:bottom w:val="none" w:sz="0" w:space="0" w:color="auto"/>
                <w:right w:val="none" w:sz="0" w:space="0" w:color="auto"/>
              </w:divBdr>
            </w:div>
            <w:div w:id="1806386998">
              <w:marLeft w:val="0"/>
              <w:marRight w:val="0"/>
              <w:marTop w:val="0"/>
              <w:marBottom w:val="0"/>
              <w:divBdr>
                <w:top w:val="none" w:sz="0" w:space="0" w:color="auto"/>
                <w:left w:val="none" w:sz="0" w:space="0" w:color="auto"/>
                <w:bottom w:val="none" w:sz="0" w:space="0" w:color="auto"/>
                <w:right w:val="none" w:sz="0" w:space="0" w:color="auto"/>
              </w:divBdr>
            </w:div>
          </w:divsChild>
        </w:div>
        <w:div w:id="558395767">
          <w:marLeft w:val="0"/>
          <w:marRight w:val="0"/>
          <w:marTop w:val="150"/>
          <w:marBottom w:val="342"/>
          <w:divBdr>
            <w:top w:val="none" w:sz="0" w:space="0" w:color="auto"/>
            <w:left w:val="none" w:sz="0" w:space="0" w:color="auto"/>
            <w:bottom w:val="none" w:sz="0" w:space="0" w:color="auto"/>
            <w:right w:val="none" w:sz="0" w:space="0" w:color="auto"/>
          </w:divBdr>
          <w:divsChild>
            <w:div w:id="1149901640">
              <w:marLeft w:val="0"/>
              <w:marRight w:val="0"/>
              <w:marTop w:val="0"/>
              <w:marBottom w:val="0"/>
              <w:divBdr>
                <w:top w:val="none" w:sz="0" w:space="0" w:color="auto"/>
                <w:left w:val="none" w:sz="0" w:space="0" w:color="auto"/>
                <w:bottom w:val="none" w:sz="0" w:space="0" w:color="auto"/>
                <w:right w:val="none" w:sz="0" w:space="0" w:color="auto"/>
              </w:divBdr>
            </w:div>
            <w:div w:id="967395285">
              <w:marLeft w:val="0"/>
              <w:marRight w:val="0"/>
              <w:marTop w:val="0"/>
              <w:marBottom w:val="0"/>
              <w:divBdr>
                <w:top w:val="none" w:sz="0" w:space="0" w:color="auto"/>
                <w:left w:val="none" w:sz="0" w:space="0" w:color="auto"/>
                <w:bottom w:val="none" w:sz="0" w:space="0" w:color="auto"/>
                <w:right w:val="none" w:sz="0" w:space="0" w:color="auto"/>
              </w:divBdr>
            </w:div>
            <w:div w:id="1357345727">
              <w:marLeft w:val="0"/>
              <w:marRight w:val="0"/>
              <w:marTop w:val="0"/>
              <w:marBottom w:val="0"/>
              <w:divBdr>
                <w:top w:val="none" w:sz="0" w:space="0" w:color="auto"/>
                <w:left w:val="none" w:sz="0" w:space="0" w:color="auto"/>
                <w:bottom w:val="none" w:sz="0" w:space="0" w:color="auto"/>
                <w:right w:val="none" w:sz="0" w:space="0" w:color="auto"/>
              </w:divBdr>
            </w:div>
            <w:div w:id="2137866705">
              <w:marLeft w:val="0"/>
              <w:marRight w:val="0"/>
              <w:marTop w:val="0"/>
              <w:marBottom w:val="0"/>
              <w:divBdr>
                <w:top w:val="none" w:sz="0" w:space="0" w:color="auto"/>
                <w:left w:val="none" w:sz="0" w:space="0" w:color="auto"/>
                <w:bottom w:val="none" w:sz="0" w:space="0" w:color="auto"/>
                <w:right w:val="none" w:sz="0" w:space="0" w:color="auto"/>
              </w:divBdr>
            </w:div>
            <w:div w:id="439957534">
              <w:marLeft w:val="0"/>
              <w:marRight w:val="0"/>
              <w:marTop w:val="0"/>
              <w:marBottom w:val="0"/>
              <w:divBdr>
                <w:top w:val="none" w:sz="0" w:space="0" w:color="auto"/>
                <w:left w:val="none" w:sz="0" w:space="0" w:color="auto"/>
                <w:bottom w:val="none" w:sz="0" w:space="0" w:color="auto"/>
                <w:right w:val="none" w:sz="0" w:space="0" w:color="auto"/>
              </w:divBdr>
            </w:div>
            <w:div w:id="1745955378">
              <w:marLeft w:val="0"/>
              <w:marRight w:val="0"/>
              <w:marTop w:val="0"/>
              <w:marBottom w:val="0"/>
              <w:divBdr>
                <w:top w:val="none" w:sz="0" w:space="0" w:color="auto"/>
                <w:left w:val="none" w:sz="0" w:space="0" w:color="auto"/>
                <w:bottom w:val="none" w:sz="0" w:space="0" w:color="auto"/>
                <w:right w:val="none" w:sz="0" w:space="0" w:color="auto"/>
              </w:divBdr>
            </w:div>
            <w:div w:id="11943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javeriana.edu.co/biblos/tesis/derecho/dere2/Tesis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D05BE-2550-4096-9759-9DAEDC921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7219</Words>
  <Characters>39706</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Fernanda Molano Ayala.HR Juanita Gobertus Estrada</dc:creator>
  <cp:keywords/>
  <dc:description/>
  <cp:lastModifiedBy>Paola Fernanda Molano Ayala.HR Juanita Gobertus Estrada</cp:lastModifiedBy>
  <cp:revision>2</cp:revision>
  <dcterms:created xsi:type="dcterms:W3CDTF">2019-08-13T21:02:00Z</dcterms:created>
  <dcterms:modified xsi:type="dcterms:W3CDTF">2019-08-13T21:02:00Z</dcterms:modified>
</cp:coreProperties>
</file>