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2717D1">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1C7B89">
        <w:rPr>
          <w:rFonts w:ascii="Edwardian Script ITC" w:hAnsi="Edwardian Script ITC" w:cs="Monotype Corsiva"/>
          <w:b/>
          <w:bCs/>
          <w:sz w:val="36"/>
          <w:szCs w:val="36"/>
        </w:rPr>
        <w:t>7</w:t>
      </w:r>
      <w:r w:rsidRPr="005F2C9B">
        <w:rPr>
          <w:rFonts w:ascii="Edwardian Script ITC" w:hAnsi="Edwardian Script ITC" w:cs="Monotype Corsiva"/>
          <w:b/>
          <w:bCs/>
          <w:sz w:val="36"/>
          <w:szCs w:val="36"/>
        </w:rPr>
        <w:t>-201</w:t>
      </w:r>
      <w:r w:rsidR="001C7B89">
        <w:rPr>
          <w:rFonts w:ascii="Edwardian Script ITC" w:hAnsi="Edwardian Script ITC" w:cs="Monotype Corsiva"/>
          <w:b/>
          <w:bCs/>
          <w:sz w:val="36"/>
          <w:szCs w:val="36"/>
        </w:rPr>
        <w:t>8</w:t>
      </w:r>
    </w:p>
    <w:p w:rsidR="00A769D4" w:rsidRDefault="00A769D4" w:rsidP="003E193F">
      <w:pPr>
        <w:spacing w:after="0" w:line="240" w:lineRule="auto"/>
        <w:jc w:val="center"/>
        <w:rPr>
          <w:rFonts w:ascii="Arial" w:hAnsi="Arial" w:cs="Arial"/>
          <w:b/>
          <w:bCs/>
        </w:rPr>
      </w:pPr>
    </w:p>
    <w:p w:rsidR="003E193F" w:rsidRPr="003E193F" w:rsidRDefault="002717D1" w:rsidP="003E193F">
      <w:pPr>
        <w:spacing w:after="0" w:line="240" w:lineRule="auto"/>
        <w:jc w:val="center"/>
        <w:rPr>
          <w:rFonts w:ascii="Arial" w:eastAsia="Times New Roman" w:hAnsi="Arial" w:cs="Arial"/>
          <w:iCs/>
          <w:lang w:eastAsia="es-CO"/>
        </w:rPr>
      </w:pPr>
      <w:r w:rsidRPr="00B275D0">
        <w:rPr>
          <w:rFonts w:ascii="Arial" w:hAnsi="Arial" w:cs="Arial"/>
          <w:b/>
          <w:bCs/>
        </w:rPr>
        <w:t>TEXTO DEFINITIVO APROBADO EN PRI</w:t>
      </w:r>
      <w:r w:rsidR="005D3575" w:rsidRPr="00B275D0">
        <w:rPr>
          <w:rFonts w:ascii="Arial" w:hAnsi="Arial" w:cs="Arial"/>
          <w:b/>
          <w:bCs/>
        </w:rPr>
        <w:t xml:space="preserve">MER DEBATE </w:t>
      </w:r>
      <w:r w:rsidR="007B03BB" w:rsidRPr="00B275D0">
        <w:rPr>
          <w:rFonts w:ascii="Arial" w:hAnsi="Arial" w:cs="Arial"/>
          <w:b/>
          <w:bCs/>
        </w:rPr>
        <w:t>DE</w:t>
      </w:r>
      <w:r w:rsidR="005D3575" w:rsidRPr="00B275D0">
        <w:rPr>
          <w:rFonts w:ascii="Arial" w:hAnsi="Arial" w:cs="Arial"/>
          <w:b/>
          <w:bCs/>
        </w:rPr>
        <w:t>L PROYECTO DE LEY No</w:t>
      </w:r>
      <w:r w:rsidRPr="00B275D0">
        <w:rPr>
          <w:rFonts w:ascii="Arial" w:hAnsi="Arial" w:cs="Arial"/>
          <w:b/>
          <w:bCs/>
        </w:rPr>
        <w:t xml:space="preserve">. </w:t>
      </w:r>
      <w:r w:rsidR="000F2919">
        <w:rPr>
          <w:rFonts w:ascii="Arial" w:hAnsi="Arial" w:cs="Arial"/>
          <w:b/>
          <w:bCs/>
        </w:rPr>
        <w:t>14</w:t>
      </w:r>
      <w:r w:rsidR="00120131">
        <w:rPr>
          <w:rFonts w:ascii="Arial" w:hAnsi="Arial" w:cs="Arial"/>
          <w:b/>
          <w:bCs/>
        </w:rPr>
        <w:t>4</w:t>
      </w:r>
      <w:r w:rsidR="00F31A81" w:rsidRPr="00B275D0">
        <w:rPr>
          <w:rFonts w:ascii="Arial" w:hAnsi="Arial" w:cs="Arial"/>
          <w:b/>
        </w:rPr>
        <w:t xml:space="preserve"> DE 201</w:t>
      </w:r>
      <w:r w:rsidR="00F31A81">
        <w:rPr>
          <w:rFonts w:ascii="Arial" w:hAnsi="Arial" w:cs="Arial"/>
          <w:b/>
        </w:rPr>
        <w:t>7</w:t>
      </w:r>
      <w:r w:rsidR="00F31A81" w:rsidRPr="00B275D0">
        <w:rPr>
          <w:rFonts w:ascii="Arial" w:hAnsi="Arial" w:cs="Arial"/>
          <w:b/>
        </w:rPr>
        <w:t xml:space="preserve"> CÁMARA </w:t>
      </w:r>
      <w:r w:rsidR="00F31A81" w:rsidRPr="00065EC1">
        <w:rPr>
          <w:rFonts w:ascii="Arial" w:hAnsi="Arial" w:cs="Arial"/>
          <w:b/>
        </w:rPr>
        <w:t>“</w:t>
      </w:r>
      <w:r w:rsidR="00120131" w:rsidRPr="00120131">
        <w:rPr>
          <w:rFonts w:ascii="Arial" w:hAnsi="Arial" w:cs="Arial"/>
          <w:b/>
        </w:rPr>
        <w:t>POR MEDIO DEL CUAL SE MODIFICAN PARCIALMENTE LOS ARTÍCULOS 2º Y 3º DE LA LEY 1580 DE 2012 QUE CREO LA PENSIÓN FAMILIAR</w:t>
      </w:r>
      <w:r w:rsidR="00065EC1" w:rsidRPr="00065EC1">
        <w:rPr>
          <w:rFonts w:ascii="Arial" w:eastAsia="Times New Roman" w:hAnsi="Arial" w:cs="Arial"/>
          <w:b/>
          <w:iCs/>
          <w:color w:val="000000"/>
          <w:lang w:eastAsia="es-CO"/>
        </w:rPr>
        <w:t>”</w:t>
      </w:r>
      <w:r w:rsidR="00065EC1" w:rsidRPr="00065EC1">
        <w:rPr>
          <w:rFonts w:ascii="Arial" w:hAnsi="Arial" w:cs="Arial"/>
          <w:b/>
        </w:rPr>
        <w:t>.</w:t>
      </w:r>
    </w:p>
    <w:p w:rsidR="00E9282E" w:rsidRDefault="00E9282E" w:rsidP="00151008">
      <w:pPr>
        <w:spacing w:line="240" w:lineRule="auto"/>
        <w:contextualSpacing/>
        <w:jc w:val="center"/>
        <w:rPr>
          <w:rFonts w:ascii="Arial" w:hAnsi="Arial" w:cs="Arial"/>
        </w:rPr>
      </w:pPr>
    </w:p>
    <w:p w:rsidR="002717D1" w:rsidRPr="000911A5" w:rsidRDefault="002717D1" w:rsidP="00151008">
      <w:pPr>
        <w:spacing w:line="240" w:lineRule="auto"/>
        <w:contextualSpacing/>
        <w:jc w:val="center"/>
        <w:rPr>
          <w:rFonts w:ascii="Arial" w:hAnsi="Arial" w:cs="Arial"/>
        </w:rPr>
      </w:pPr>
      <w:r w:rsidRPr="000911A5">
        <w:rPr>
          <w:rFonts w:ascii="Arial" w:hAnsi="Arial" w:cs="Arial"/>
        </w:rPr>
        <w:t>(</w:t>
      </w:r>
      <w:r w:rsidRPr="00741569">
        <w:rPr>
          <w:rFonts w:ascii="Arial" w:hAnsi="Arial" w:cs="Arial"/>
        </w:rPr>
        <w:t xml:space="preserve">Aprobado en la </w:t>
      </w:r>
      <w:r w:rsidR="006B757E" w:rsidRPr="00741569">
        <w:rPr>
          <w:rFonts w:ascii="Arial" w:hAnsi="Arial" w:cs="Arial"/>
        </w:rPr>
        <w:t>Sesión</w:t>
      </w:r>
      <w:r w:rsidRPr="00741569">
        <w:rPr>
          <w:rFonts w:ascii="Arial" w:hAnsi="Arial" w:cs="Arial"/>
        </w:rPr>
        <w:t xml:space="preserve"> de</w:t>
      </w:r>
      <w:r w:rsidR="006B757E" w:rsidRPr="00741569">
        <w:rPr>
          <w:rFonts w:ascii="Arial" w:hAnsi="Arial" w:cs="Arial"/>
        </w:rPr>
        <w:t xml:space="preserve">l </w:t>
      </w:r>
      <w:r w:rsidR="000F2919">
        <w:rPr>
          <w:rFonts w:ascii="Arial" w:hAnsi="Arial" w:cs="Arial"/>
        </w:rPr>
        <w:t>1</w:t>
      </w:r>
      <w:r w:rsidR="00C40289">
        <w:rPr>
          <w:rFonts w:ascii="Arial" w:hAnsi="Arial" w:cs="Arial"/>
        </w:rPr>
        <w:t>7</w:t>
      </w:r>
      <w:r w:rsidRPr="00741569">
        <w:rPr>
          <w:rFonts w:ascii="Arial" w:hAnsi="Arial" w:cs="Arial"/>
        </w:rPr>
        <w:t xml:space="preserve"> de </w:t>
      </w:r>
      <w:r w:rsidR="00F31A81">
        <w:rPr>
          <w:rFonts w:ascii="Arial" w:hAnsi="Arial" w:cs="Arial"/>
        </w:rPr>
        <w:t xml:space="preserve">abril </w:t>
      </w:r>
      <w:r w:rsidRPr="00741569">
        <w:rPr>
          <w:rFonts w:ascii="Arial" w:hAnsi="Arial" w:cs="Arial"/>
        </w:rPr>
        <w:t>de 201</w:t>
      </w:r>
      <w:r w:rsidR="00F31A81">
        <w:rPr>
          <w:rFonts w:ascii="Arial" w:hAnsi="Arial" w:cs="Arial"/>
        </w:rPr>
        <w:t>8</w:t>
      </w:r>
      <w:r w:rsidRPr="00741569">
        <w:rPr>
          <w:rFonts w:ascii="Arial" w:hAnsi="Arial" w:cs="Arial"/>
        </w:rPr>
        <w:t xml:space="preserve"> en la Comisión VII de la H. Cámara de Representantes, Acta No.</w:t>
      </w:r>
      <w:r w:rsidR="006B757E" w:rsidRPr="00741569">
        <w:rPr>
          <w:rFonts w:ascii="Arial" w:hAnsi="Arial" w:cs="Arial"/>
        </w:rPr>
        <w:t xml:space="preserve"> </w:t>
      </w:r>
      <w:r w:rsidR="00F31A81">
        <w:rPr>
          <w:rFonts w:ascii="Arial" w:hAnsi="Arial" w:cs="Arial"/>
        </w:rPr>
        <w:t>3</w:t>
      </w:r>
      <w:r w:rsidR="00C40289">
        <w:rPr>
          <w:rFonts w:ascii="Arial" w:hAnsi="Arial" w:cs="Arial"/>
        </w:rPr>
        <w:t>3</w:t>
      </w:r>
      <w:r w:rsidRPr="000911A5">
        <w:rPr>
          <w:rFonts w:ascii="Arial" w:hAnsi="Arial" w:cs="Arial"/>
        </w:rPr>
        <w:t>)</w:t>
      </w:r>
    </w:p>
    <w:p w:rsidR="009E52D9" w:rsidRDefault="009E52D9" w:rsidP="002717D1">
      <w:pPr>
        <w:spacing w:after="0" w:line="288" w:lineRule="atLeast"/>
        <w:jc w:val="center"/>
        <w:textAlignment w:val="center"/>
        <w:rPr>
          <w:rFonts w:ascii="Arial" w:eastAsia="Arial Unicode MS" w:hAnsi="Arial" w:cs="Arial"/>
          <w:b/>
          <w:color w:val="000000"/>
          <w:lang w:eastAsia="es-ES"/>
        </w:rPr>
      </w:pPr>
    </w:p>
    <w:p w:rsidR="001C7B89" w:rsidRPr="00CA67F1" w:rsidRDefault="001C7B89" w:rsidP="001C7B89">
      <w:pPr>
        <w:jc w:val="center"/>
        <w:rPr>
          <w:rFonts w:ascii="Arial" w:hAnsi="Arial" w:cs="Arial"/>
          <w:b/>
        </w:rPr>
      </w:pPr>
      <w:r w:rsidRPr="00CA67F1">
        <w:rPr>
          <w:rFonts w:ascii="Arial" w:hAnsi="Arial" w:cs="Arial"/>
          <w:b/>
        </w:rPr>
        <w:t>EL CONGRESO DE COLOMBIA</w:t>
      </w:r>
    </w:p>
    <w:p w:rsidR="001C7B89" w:rsidRPr="0080478F" w:rsidRDefault="001C7B89" w:rsidP="0080478F">
      <w:pPr>
        <w:pStyle w:val="Sinespaciado"/>
        <w:jc w:val="center"/>
        <w:rPr>
          <w:rFonts w:ascii="Arial" w:hAnsi="Arial" w:cs="Arial"/>
          <w:b/>
        </w:rPr>
      </w:pPr>
      <w:r w:rsidRPr="0080478F">
        <w:rPr>
          <w:rFonts w:ascii="Arial" w:hAnsi="Arial" w:cs="Arial"/>
          <w:b/>
        </w:rPr>
        <w:t>DECRETA</w:t>
      </w:r>
    </w:p>
    <w:p w:rsidR="001C7B89" w:rsidRPr="0080478F" w:rsidRDefault="001C7B89" w:rsidP="0080478F">
      <w:pPr>
        <w:pStyle w:val="Sinespaciado"/>
        <w:jc w:val="center"/>
        <w:rPr>
          <w:rFonts w:ascii="Arial" w:eastAsia="Times New Roman" w:hAnsi="Arial" w:cs="Arial"/>
          <w:b/>
          <w:color w:val="0D0D0D" w:themeColor="text1" w:themeTint="F2"/>
          <w:lang w:eastAsia="es-CO"/>
        </w:rPr>
      </w:pPr>
    </w:p>
    <w:p w:rsidR="00C40289" w:rsidRPr="00C40289" w:rsidRDefault="00C40289" w:rsidP="00C40289">
      <w:pPr>
        <w:pStyle w:val="Sinespaciado"/>
        <w:jc w:val="both"/>
        <w:rPr>
          <w:rFonts w:ascii="Arial" w:hAnsi="Arial" w:cs="Arial"/>
          <w:lang w:eastAsia="es-ES"/>
        </w:rPr>
      </w:pPr>
      <w:r w:rsidRPr="00C40289">
        <w:rPr>
          <w:rFonts w:ascii="Arial" w:hAnsi="Arial" w:cs="Arial"/>
          <w:b/>
        </w:rPr>
        <w:t xml:space="preserve">Artículo 1º.  </w:t>
      </w:r>
      <w:r w:rsidRPr="00C40289">
        <w:rPr>
          <w:rFonts w:ascii="Arial" w:hAnsi="Arial" w:cs="Arial"/>
        </w:rPr>
        <w:t>Modifíquense</w:t>
      </w:r>
      <w:r w:rsidRPr="00C40289">
        <w:rPr>
          <w:rFonts w:ascii="Arial" w:hAnsi="Arial" w:cs="Arial"/>
          <w:lang w:eastAsia="es-ES"/>
        </w:rPr>
        <w:t xml:space="preserve"> el artículo 2º de la Ley 1580 de 2012 que </w:t>
      </w:r>
      <w:r w:rsidRPr="00C40289">
        <w:rPr>
          <w:rFonts w:ascii="Arial" w:hAnsi="Arial" w:cs="Arial"/>
          <w:color w:val="000000"/>
          <w:shd w:val="clear" w:color="auto" w:fill="FFFFFF"/>
        </w:rPr>
        <w:t>adicionó un nuevo </w:t>
      </w:r>
      <w:hyperlink r:id="rId8" w:anchor="151B" w:history="1">
        <w:r w:rsidRPr="00C40289">
          <w:rPr>
            <w:rFonts w:ascii="Arial" w:hAnsi="Arial" w:cs="Arial"/>
            <w:shd w:val="clear" w:color="auto" w:fill="FFFFFF"/>
          </w:rPr>
          <w:t>artículo</w:t>
        </w:r>
      </w:hyperlink>
      <w:r w:rsidRPr="00C40289">
        <w:rPr>
          <w:rFonts w:ascii="Arial" w:hAnsi="Arial" w:cs="Arial"/>
          <w:shd w:val="clear" w:color="auto" w:fill="FFFFFF"/>
        </w:rPr>
        <w:t> </w:t>
      </w:r>
      <w:r w:rsidRPr="00C40289">
        <w:rPr>
          <w:rFonts w:ascii="Arial" w:hAnsi="Arial" w:cs="Arial"/>
          <w:color w:val="000000"/>
          <w:shd w:val="clear" w:color="auto" w:fill="FFFFFF"/>
        </w:rPr>
        <w:t>al Capítulo V al Título IV al Libro I de la Ley 100 de 1993, el cual quedará así:</w:t>
      </w:r>
    </w:p>
    <w:p w:rsidR="00C40289" w:rsidRDefault="00C40289" w:rsidP="00C40289">
      <w:pPr>
        <w:pStyle w:val="Sinespaciado"/>
        <w:ind w:left="426"/>
        <w:jc w:val="both"/>
        <w:rPr>
          <w:rFonts w:ascii="Arial" w:eastAsia="Times New Roman" w:hAnsi="Arial" w:cs="Arial"/>
          <w:b/>
          <w:bCs/>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b/>
          <w:bCs/>
          <w:color w:val="000000"/>
          <w:lang w:eastAsia="es-CO"/>
        </w:rPr>
        <w:t>Artículo 151 B. </w:t>
      </w:r>
      <w:r w:rsidRPr="00C40289">
        <w:rPr>
          <w:rFonts w:ascii="Arial" w:eastAsia="Times New Roman" w:hAnsi="Arial" w:cs="Arial"/>
          <w:b/>
          <w:bCs/>
          <w:i/>
          <w:iCs/>
          <w:color w:val="000000"/>
          <w:lang w:eastAsia="es-CO"/>
        </w:rPr>
        <w:t>Pensión Familiar en el Régimen de Ahorro Individual con Solidaridad. </w:t>
      </w:r>
      <w:r w:rsidRPr="00C40289">
        <w:rPr>
          <w:rFonts w:ascii="Arial" w:eastAsia="Times New Roman" w:hAnsi="Arial" w:cs="Arial"/>
          <w:color w:val="000000"/>
          <w:lang w:eastAsia="es-CO"/>
        </w:rPr>
        <w:t>Quienes cumplan los requisitos para adquirir el derecho a la devolución de saldos en el sistema de ahorro individual con solidaridad, es decir, cumplan la edad requerida por ley y el monto acumulado sea insuficiente para acceder a una pensión de vejez, podrán optar de manera voluntaria por la pensión familiar, cuando la acumulación de capital entre los cónyuges o compañeros permanentes sea suficiente para solicitar el reconocimiento de la pensión de vejez.</w:t>
      </w: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En caso de que el capital sea insuficiente, se sumarán las semanas de cotización de ambos para determinar si pueden acceder al Fondo de Garantía de Pensión Mínima, de conformidad con lo establecido en el artículo </w:t>
      </w:r>
      <w:hyperlink r:id="rId9" w:anchor="65" w:history="1">
        <w:r w:rsidRPr="00C40289">
          <w:rPr>
            <w:rFonts w:ascii="Arial" w:eastAsia="Times New Roman" w:hAnsi="Arial" w:cs="Arial"/>
            <w:lang w:eastAsia="es-CO"/>
          </w:rPr>
          <w:t>65</w:t>
        </w:r>
      </w:hyperlink>
      <w:r w:rsidRPr="00C40289">
        <w:rPr>
          <w:rFonts w:ascii="Arial" w:eastAsia="Times New Roman" w:hAnsi="Arial" w:cs="Arial"/>
          <w:color w:val="000000"/>
          <w:lang w:eastAsia="es-CO"/>
        </w:rPr>
        <w:t> de la Ley 100 de 1993.</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a) Los cónyuges o compañeros permanentes deberán estar afiliados al Régimen de Ahorro Individual con Solidaridad y acreditar más de cinco (5) años de relación conyugal o convivencia permanente. </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b) Los cónyuges o compañeros permanentes deberán estar afiliados en la misma Administradora de Fondos de Pensiones (AFP). En caso de que estén en Administradoras diferentes, deberán trasladarse los recursos a la AFP donde se encuentre afiliado el</w:t>
      </w:r>
      <w:r>
        <w:rPr>
          <w:rFonts w:ascii="Arial" w:eastAsia="Times New Roman" w:hAnsi="Arial" w:cs="Arial"/>
          <w:color w:val="000000"/>
          <w:lang w:eastAsia="es-CO"/>
        </w:rPr>
        <w:t xml:space="preserve"> </w:t>
      </w:r>
      <w:r w:rsidRPr="00C40289">
        <w:rPr>
          <w:rFonts w:ascii="Arial" w:eastAsia="Times New Roman" w:hAnsi="Arial" w:cs="Arial"/>
          <w:color w:val="000000"/>
          <w:lang w:eastAsia="es-CO"/>
        </w:rPr>
        <w:t>(la) cónyuge o compañero(a) permanente titular. El Gobierno Nacional reglamentará lo pertinente para el traslado de dichos aportes;</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 xml:space="preserve">c) Los cónyuges o compañeros permanentes, en el régimen de ahorro individual con solidaridad, deberán sumar el capital necesario para obtener una pensión que les permita cubrir ese grupo familiar. Para el efecto deberá haberse ya pagado la totalidad del bono pensional y de las cuotas partes de bono pensional a que tienen derecho cada uno de ellos. De manera subsidiaria y en caso de que la acumulación de capitales de los cónyuges o compañeros permanentes no sea suficiente para financiar una pensión, se podrán sumar las semanas de cotización para efectos de cumplir con el requisito de semanas exigidas por la presente ley para acceder a la garantía de pensión mínima. En todo caso los recursos del </w:t>
      </w:r>
      <w:r w:rsidRPr="00C40289">
        <w:rPr>
          <w:rFonts w:ascii="Arial" w:eastAsia="Times New Roman" w:hAnsi="Arial" w:cs="Arial"/>
          <w:color w:val="000000"/>
          <w:lang w:eastAsia="es-CO"/>
        </w:rPr>
        <w:lastRenderedPageBreak/>
        <w:t>Fondo de Garantía de Pensión Mínima se verán afectados solo y una vez se agoten los recursos de las cuentas individuales de los cónyuges o compañeros permanentes;</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d) Para efectos de la cotización al Sistema de Seguridad Social en Salud, el titular de la pensión familiar deberá estar afiliado y cotizar de acuerdo a lo estipulado en el artículo 204 de la Ley 100 de 1993. El cónyuge o compañero permanente será beneficiario del Sistema;</w:t>
      </w: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e) La Pensión Familiar será una sola pensión, de acuerdo con el artículo </w:t>
      </w:r>
      <w:hyperlink r:id="rId10" w:anchor="48" w:history="1">
        <w:r w:rsidRPr="00C40289">
          <w:rPr>
            <w:rFonts w:ascii="Arial" w:eastAsia="Times New Roman" w:hAnsi="Arial" w:cs="Arial"/>
            <w:lang w:eastAsia="es-CO"/>
          </w:rPr>
          <w:t>48</w:t>
        </w:r>
      </w:hyperlink>
      <w:r w:rsidRPr="00C40289">
        <w:rPr>
          <w:rFonts w:ascii="Arial" w:eastAsia="Times New Roman" w:hAnsi="Arial" w:cs="Arial"/>
          <w:color w:val="000000"/>
          <w:lang w:eastAsia="es-CO"/>
        </w:rPr>
        <w:t> de la Constitución Nacional;</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f) En caso de fallecimiento de uno de los cónyuges o compañeros permanentes beneficiarios de la pensión familiar, la prorrata del 50% acrecentará la del supérstite, salvo que existan hijos menores de edad o mayores de edad hasta los 25 años que dependan del causante por razón de sus estudios o hijos inválidos, caso en el cual la pensión del </w:t>
      </w:r>
      <w:r w:rsidRPr="00C40289">
        <w:rPr>
          <w:rFonts w:ascii="Arial" w:eastAsia="Times New Roman" w:hAnsi="Arial" w:cs="Arial"/>
          <w:i/>
          <w:iCs/>
          <w:color w:val="000000"/>
          <w:lang w:eastAsia="es-CO"/>
        </w:rPr>
        <w:t>de cujus </w:t>
      </w:r>
      <w:r w:rsidRPr="00C40289">
        <w:rPr>
          <w:rFonts w:ascii="Arial" w:eastAsia="Times New Roman" w:hAnsi="Arial" w:cs="Arial"/>
          <w:color w:val="000000"/>
          <w:lang w:eastAsia="es-CO"/>
        </w:rPr>
        <w:t>pasa el 50% al cónyuge o compañero supérstite y el restante 50% a los hijos. Agotada la condición de hijo beneficiario, el porcentaje acrecentará a los demás hijos del causante y ante la inexistencia de hijos beneficiarios acrecentará el porcentaje del cónyuge o compañero permanente supérstite;</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b/>
          <w:color w:val="000000"/>
          <w:u w:val="single"/>
          <w:shd w:val="clear" w:color="auto" w:fill="FFFFFF"/>
          <w:lang w:eastAsia="es-CO"/>
        </w:rPr>
      </w:pPr>
      <w:r w:rsidRPr="00C40289">
        <w:rPr>
          <w:rFonts w:ascii="Arial" w:eastAsia="Times New Roman" w:hAnsi="Arial" w:cs="Arial"/>
          <w:color w:val="000000"/>
          <w:lang w:eastAsia="es-CO"/>
        </w:rPr>
        <w:t>g) El fallecimiento de los cónyuges o compañeros permanentes no cambia la naturaleza ni cobertura de la prestación, y en caso de que no existan hijos beneficiarios con derecho,</w:t>
      </w:r>
      <w:r w:rsidRPr="00C40289">
        <w:rPr>
          <w:rFonts w:ascii="Arial" w:eastAsia="Times New Roman" w:hAnsi="Arial" w:cs="Arial"/>
          <w:color w:val="000000"/>
          <w:shd w:val="clear" w:color="auto" w:fill="FFFFFF"/>
          <w:lang w:eastAsia="es-CO"/>
        </w:rPr>
        <w:t xml:space="preserve"> serán beneficiarios los padres del causante si dependían económicamente de éste, </w:t>
      </w:r>
      <w:r w:rsidRPr="00C40289">
        <w:rPr>
          <w:rFonts w:ascii="Arial" w:eastAsia="Times New Roman" w:hAnsi="Arial" w:cs="Arial"/>
          <w:color w:val="000000"/>
          <w:shd w:val="clear" w:color="auto" w:fill="FFFFFF"/>
          <w:lang w:eastAsia="es-CO"/>
        </w:rPr>
        <w:t>y a</w:t>
      </w:r>
      <w:r w:rsidRPr="00C40289">
        <w:rPr>
          <w:rFonts w:ascii="Arial" w:eastAsia="Times New Roman" w:hAnsi="Arial" w:cs="Arial"/>
          <w:color w:val="000000"/>
          <w:shd w:val="clear" w:color="auto" w:fill="FFFFFF"/>
          <w:lang w:eastAsia="es-CO"/>
        </w:rPr>
        <w:t xml:space="preserve"> falta de cónyuge, compañero o compañera permanente, padres e hijos con derecho, serán beneficiarios los hermanos inválidos del causante si dependían económicamente de éste.</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b/>
          <w:color w:val="000000"/>
          <w:u w:val="single"/>
          <w:shd w:val="clear" w:color="auto" w:fill="FFFFFF"/>
          <w:lang w:eastAsia="es-CO"/>
        </w:rPr>
      </w:pPr>
      <w:r w:rsidRPr="00C40289">
        <w:rPr>
          <w:rFonts w:ascii="Arial" w:eastAsia="Times New Roman" w:hAnsi="Arial" w:cs="Arial"/>
          <w:color w:val="000000"/>
          <w:lang w:eastAsia="es-CO"/>
        </w:rPr>
        <w:t>En caso de quedar saldos se dará la aplicación de inexistencia de beneficiarios contemplada en el artículo </w:t>
      </w:r>
      <w:hyperlink r:id="rId11" w:anchor="76" w:history="1">
        <w:r w:rsidRPr="00C40289">
          <w:rPr>
            <w:rFonts w:ascii="Arial" w:eastAsia="Times New Roman" w:hAnsi="Arial" w:cs="Arial"/>
            <w:lang w:eastAsia="es-CO"/>
          </w:rPr>
          <w:t>76</w:t>
        </w:r>
      </w:hyperlink>
      <w:r w:rsidRPr="00C40289">
        <w:rPr>
          <w:rFonts w:ascii="Arial" w:eastAsia="Times New Roman" w:hAnsi="Arial" w:cs="Arial"/>
          <w:color w:val="000000"/>
          <w:lang w:eastAsia="es-CO"/>
        </w:rPr>
        <w:t> de la Ley 100 de 1993;</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h) El supérstite deberá informar a la Administradora de Fondos de Pensiones, dentro de los treinta (30) días siguientes, el fallecimiento de su cónyuge o compañero permanente a fin de que se determine que la pensión continúa en su cabeza, sin que sea necesario efectuar sustitución alguna;</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i) En caso de cualquier tipo de separación legal o divorcio entre los cónyuges o compañeros permanentes beneficiarios de la Pensión Familiar, esta figura se extinguirá y el saldo que se disponga en la cuenta hará parte de la sociedad conyugal para efectos de su reparto. En caso de que la Pensión Familiar se estuviese pagando bajo la modalidad de Renta Vitalicia, esta se extinguirá y los ex cónyuges o ex compañeros permanentes tendrán derecho a recibir mensualmente cada uno el 50% del monto de la pensión que percibían. En caso de que la pensión reconocida fuese inferior a dos (2) salarios mínimos legales mensuales vigentes (</w:t>
      </w:r>
      <w:proofErr w:type="spellStart"/>
      <w:r w:rsidRPr="00C40289">
        <w:rPr>
          <w:rFonts w:ascii="Arial" w:eastAsia="Times New Roman" w:hAnsi="Arial" w:cs="Arial"/>
          <w:color w:val="000000"/>
          <w:lang w:eastAsia="es-CO"/>
        </w:rPr>
        <w:t>smlmv</w:t>
      </w:r>
      <w:proofErr w:type="spellEnd"/>
      <w:r w:rsidRPr="00C40289">
        <w:rPr>
          <w:rFonts w:ascii="Arial" w:eastAsia="Times New Roman" w:hAnsi="Arial" w:cs="Arial"/>
          <w:color w:val="000000"/>
          <w:lang w:eastAsia="es-CO"/>
        </w:rPr>
        <w:t>), cada uno tendrá derecho a recibir mensualmente, un beneficio económico periódico, equivalente al 50% del monto de la pensión que percibían;</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j) La pensión familiar es incompatible con cualquier otra pensión de la que gozare uno o ambos de los cónyuges o compañeros permanentes, provenientes del sistema pensional, de los sistemas excluidos o las reconocidas por empleadores, incluyendo las pensiones convencionales. También excluye el acceso a los beneficios Económicos Periódicos BEPS y a cualquier otra clase de ayudas y/o subsidios otorgados por el Estado, que tengan como propósito ofrecer beneficios en dinero para la subsistencia de los adultos mayores que se encuentran en condiciones de pobreza.</w:t>
      </w: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lastRenderedPageBreak/>
        <w:t>Adicionalmente solo se podrá reconocer una sola vez la pensión familiar por cada cónyuge o compañero".</w:t>
      </w:r>
    </w:p>
    <w:p w:rsidR="00C40289" w:rsidRDefault="00C40289" w:rsidP="00C40289">
      <w:pPr>
        <w:pStyle w:val="Sinespaciado"/>
        <w:ind w:left="426"/>
        <w:jc w:val="both"/>
        <w:rPr>
          <w:rFonts w:ascii="Arial" w:hAnsi="Arial" w:cs="Arial"/>
          <w:b/>
          <w:bCs/>
          <w:color w:val="000000"/>
        </w:rPr>
      </w:pPr>
    </w:p>
    <w:p w:rsidR="00C40289" w:rsidRPr="00C40289" w:rsidRDefault="00C40289" w:rsidP="00C40289">
      <w:pPr>
        <w:pStyle w:val="Sinespaciado"/>
        <w:ind w:left="426"/>
        <w:jc w:val="both"/>
        <w:rPr>
          <w:rFonts w:ascii="Arial" w:hAnsi="Arial" w:cs="Arial"/>
          <w:color w:val="000000"/>
        </w:rPr>
      </w:pPr>
      <w:r w:rsidRPr="00C40289">
        <w:rPr>
          <w:rFonts w:ascii="Arial" w:hAnsi="Arial" w:cs="Arial"/>
          <w:b/>
          <w:bCs/>
          <w:color w:val="000000"/>
        </w:rPr>
        <w:t>Parágrafo.</w:t>
      </w:r>
      <w:r w:rsidRPr="00C40289">
        <w:rPr>
          <w:rFonts w:ascii="Arial" w:hAnsi="Arial" w:cs="Arial"/>
          <w:color w:val="000000"/>
        </w:rPr>
        <w:t> Entiéndase para los efectos de esta ley como cónyuge o compañero permanente titular, al cónyuge o compañero permanente que cuente con el mayor saldo en cuenta de ahorro individual.</w:t>
      </w:r>
    </w:p>
    <w:p w:rsidR="00C40289" w:rsidRPr="00C40289" w:rsidRDefault="00C40289" w:rsidP="00C40289">
      <w:pPr>
        <w:pStyle w:val="Sinespaciado"/>
        <w:jc w:val="both"/>
        <w:rPr>
          <w:rFonts w:ascii="Arial" w:hAnsi="Arial" w:cs="Arial"/>
          <w:color w:val="000000"/>
        </w:rPr>
      </w:pPr>
    </w:p>
    <w:p w:rsidR="00C40289" w:rsidRPr="00C40289" w:rsidRDefault="00C40289" w:rsidP="00C40289">
      <w:pPr>
        <w:pStyle w:val="Sinespaciado"/>
        <w:jc w:val="both"/>
        <w:rPr>
          <w:rFonts w:ascii="Arial" w:hAnsi="Arial" w:cs="Arial"/>
          <w:color w:val="000000"/>
        </w:rPr>
      </w:pPr>
    </w:p>
    <w:p w:rsidR="00C40289" w:rsidRPr="00C40289" w:rsidRDefault="00C40289" w:rsidP="00C40289">
      <w:pPr>
        <w:pStyle w:val="Sinespaciado"/>
        <w:jc w:val="both"/>
        <w:rPr>
          <w:rFonts w:ascii="Arial" w:hAnsi="Arial" w:cs="Arial"/>
          <w:color w:val="000000"/>
          <w:shd w:val="clear" w:color="auto" w:fill="FFFFFF"/>
        </w:rPr>
      </w:pPr>
      <w:r w:rsidRPr="00C40289">
        <w:rPr>
          <w:rFonts w:ascii="Arial" w:hAnsi="Arial" w:cs="Arial"/>
          <w:b/>
        </w:rPr>
        <w:t xml:space="preserve">Artículo 2º.  </w:t>
      </w:r>
      <w:r w:rsidRPr="00C40289">
        <w:rPr>
          <w:rFonts w:ascii="Arial" w:hAnsi="Arial" w:cs="Arial"/>
        </w:rPr>
        <w:t>Modifíquense</w:t>
      </w:r>
      <w:r w:rsidRPr="00C40289">
        <w:rPr>
          <w:rFonts w:ascii="Arial" w:hAnsi="Arial" w:cs="Arial"/>
          <w:lang w:eastAsia="es-ES"/>
        </w:rPr>
        <w:t xml:space="preserve"> el artículo 3</w:t>
      </w:r>
      <w:r w:rsidRPr="00C40289">
        <w:rPr>
          <w:rFonts w:ascii="Arial" w:hAnsi="Arial" w:cs="Arial"/>
          <w:lang w:eastAsia="es-ES"/>
        </w:rPr>
        <w:t>º de</w:t>
      </w:r>
      <w:r w:rsidRPr="00C40289">
        <w:rPr>
          <w:rFonts w:ascii="Arial" w:hAnsi="Arial" w:cs="Arial"/>
          <w:lang w:eastAsia="es-ES"/>
        </w:rPr>
        <w:t xml:space="preserve"> la Ley 1580 de 2012 que </w:t>
      </w:r>
      <w:r w:rsidRPr="00C40289">
        <w:rPr>
          <w:rFonts w:ascii="Arial" w:hAnsi="Arial" w:cs="Arial"/>
          <w:color w:val="000000"/>
          <w:shd w:val="clear" w:color="auto" w:fill="FFFFFF"/>
        </w:rPr>
        <w:t>adicionó un nuevo </w:t>
      </w:r>
      <w:hyperlink r:id="rId12" w:anchor="151B" w:history="1">
        <w:r w:rsidRPr="00C40289">
          <w:rPr>
            <w:rFonts w:ascii="Arial" w:hAnsi="Arial" w:cs="Arial"/>
            <w:shd w:val="clear" w:color="auto" w:fill="FFFFFF"/>
          </w:rPr>
          <w:t>artículo</w:t>
        </w:r>
      </w:hyperlink>
      <w:r w:rsidRPr="00C40289">
        <w:rPr>
          <w:rFonts w:ascii="Arial" w:hAnsi="Arial" w:cs="Arial"/>
          <w:shd w:val="clear" w:color="auto" w:fill="FFFFFF"/>
        </w:rPr>
        <w:t> </w:t>
      </w:r>
      <w:r w:rsidRPr="00C40289">
        <w:rPr>
          <w:rFonts w:ascii="Arial" w:hAnsi="Arial" w:cs="Arial"/>
          <w:color w:val="000000"/>
          <w:shd w:val="clear" w:color="auto" w:fill="FFFFFF"/>
        </w:rPr>
        <w:t>al Capítulo V al Título IV al Libro I de la Ley 100 de 1993, el cual quedará así:</w:t>
      </w:r>
    </w:p>
    <w:p w:rsidR="00C40289" w:rsidRPr="00C40289" w:rsidRDefault="00C40289" w:rsidP="00C40289">
      <w:pPr>
        <w:pStyle w:val="Sinespaciado"/>
        <w:jc w:val="both"/>
        <w:rPr>
          <w:rFonts w:ascii="Arial" w:hAnsi="Arial" w:cs="Arial"/>
          <w:b/>
          <w:bCs/>
          <w:color w:val="000000"/>
        </w:rPr>
      </w:pPr>
    </w:p>
    <w:p w:rsidR="00C40289" w:rsidRPr="00C40289" w:rsidRDefault="00C40289" w:rsidP="00C40289">
      <w:pPr>
        <w:pStyle w:val="Sinespaciado"/>
        <w:ind w:left="426"/>
        <w:jc w:val="both"/>
        <w:rPr>
          <w:rFonts w:ascii="Arial" w:hAnsi="Arial" w:cs="Arial"/>
          <w:lang w:eastAsia="es-ES"/>
        </w:rPr>
      </w:pPr>
      <w:r w:rsidRPr="00C40289">
        <w:rPr>
          <w:rFonts w:ascii="Arial" w:hAnsi="Arial" w:cs="Arial"/>
          <w:b/>
          <w:bCs/>
          <w:color w:val="000000"/>
        </w:rPr>
        <w:t>Artículo 151 C. </w:t>
      </w:r>
      <w:r w:rsidRPr="00C40289">
        <w:rPr>
          <w:rFonts w:ascii="Arial" w:hAnsi="Arial" w:cs="Arial"/>
          <w:b/>
          <w:bCs/>
          <w:i/>
          <w:iCs/>
          <w:color w:val="000000"/>
        </w:rPr>
        <w:t>Pensión Familiar en el Régimen de Prima Media con Prestación Definida. </w:t>
      </w:r>
      <w:r w:rsidRPr="00C40289">
        <w:rPr>
          <w:rFonts w:ascii="Arial" w:hAnsi="Arial" w:cs="Arial"/>
          <w:color w:val="000000"/>
        </w:rPr>
        <w:t>Quienes cumplan los requisitos para adquirir el derecho a la indemnización sustitutiva de la pensión de vejez en el sistema de prima media con prestación definida, podrán optar por la pensión familiar, cuando los dos cónyuges o compañeros permanentes obtengan la edad mínima de jubilación y la suma del número de semanas de cotización supere el mínimo de semanas requeridas para el reconocimiento de la pensión de vejez.</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a) Los cónyuges o compañeros permanentes deberán estar afiliados al régimen pensional de prima media con prestación definida y acreditar más de cinco (5) años de relación conyugal o convivencia permanente. </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b) Los cónyuges o compañeros permanentes, deberán sumar, entre los dos, como mínimo, el número de semanas exigidas para el reconocimiento de la pensión de vejez requeridas de manera individual;</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c) En el evento de que uno de los cónyuges o compañeros permanentes se encuentre cobijado por el régimen de transición, consagrado en el artículo 36 de la Ley 100 de 1993, la pensión familiar no se determinará conforme a los criterios fijados en ese mismo artículo;</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d) Para efectos de la cotización al Sistema de Seguridad Social en Salud, el titular de la pensión familiar deberá estar afiliado y cotizar de acuerdo a lo estipulado en el artículo 204 de la presente ley. El cónyuge o compañero permanente será beneficiario del Sistema;</w:t>
      </w: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e) La Pensión Familiar será una sola pensión, de acuerdo con el artículo 48 de la Constitución Nacional;</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f) En caso de fallecimiento de uno de los cónyuges o compañeros permanentes beneficiarios de la pensión familiar, la prorrata del 50% acrecentará la del supérstite, salvo que existan hijos menores de edad o mayores de edad hasta los 25 años que dependan del causante por razón de sus estudios o hijos inválidos, caso en el cual la pensión del </w:t>
      </w:r>
      <w:r w:rsidRPr="00C40289">
        <w:rPr>
          <w:rFonts w:ascii="Arial" w:eastAsia="Times New Roman" w:hAnsi="Arial" w:cs="Arial"/>
          <w:i/>
          <w:iCs/>
          <w:color w:val="000000"/>
          <w:lang w:eastAsia="es-CO"/>
        </w:rPr>
        <w:t>de cujus </w:t>
      </w:r>
      <w:r w:rsidRPr="00C40289">
        <w:rPr>
          <w:rFonts w:ascii="Arial" w:eastAsia="Times New Roman" w:hAnsi="Arial" w:cs="Arial"/>
          <w:color w:val="000000"/>
          <w:lang w:eastAsia="es-CO"/>
        </w:rPr>
        <w:t>pasa el 50% al cónyuge o compañero supérstite y el restante 50% a los hijos. Agotada la condición de hijo beneficiario, el porcentaje acrecentará a los demás hijos del causante y ante la inexistencia de hijos beneficiarios acrecentará el porcentaje del cónyuge o compañero permanente supérstite;</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b/>
          <w:color w:val="000000"/>
          <w:u w:val="single"/>
          <w:shd w:val="clear" w:color="auto" w:fill="FFFFFF"/>
          <w:lang w:eastAsia="es-CO"/>
        </w:rPr>
      </w:pPr>
      <w:r w:rsidRPr="00C40289">
        <w:rPr>
          <w:rFonts w:ascii="Arial" w:eastAsia="Times New Roman" w:hAnsi="Arial" w:cs="Arial"/>
          <w:color w:val="000000"/>
          <w:lang w:eastAsia="es-CO"/>
        </w:rPr>
        <w:t xml:space="preserve">g) El fallecimiento de los cónyuges o compañeros permanentes no cambia la naturaleza ni cobertura de la prestación, y en caso de que no existan hijos beneficiarios con derecho, </w:t>
      </w:r>
      <w:r w:rsidRPr="00C40289">
        <w:rPr>
          <w:rFonts w:ascii="Arial" w:eastAsia="Times New Roman" w:hAnsi="Arial" w:cs="Arial"/>
          <w:color w:val="000000"/>
          <w:shd w:val="clear" w:color="auto" w:fill="FFFFFF"/>
          <w:lang w:eastAsia="es-CO"/>
        </w:rPr>
        <w:t xml:space="preserve">serán beneficiarios los padres del causante si dependían económicamente de éste, </w:t>
      </w:r>
      <w:r w:rsidRPr="00C40289">
        <w:rPr>
          <w:rFonts w:ascii="Arial" w:eastAsia="Times New Roman" w:hAnsi="Arial" w:cs="Arial"/>
          <w:color w:val="000000"/>
          <w:shd w:val="clear" w:color="auto" w:fill="FFFFFF"/>
          <w:lang w:eastAsia="es-CO"/>
        </w:rPr>
        <w:t>y a</w:t>
      </w:r>
      <w:r w:rsidRPr="00C40289">
        <w:rPr>
          <w:rFonts w:ascii="Arial" w:eastAsia="Times New Roman" w:hAnsi="Arial" w:cs="Arial"/>
          <w:color w:val="000000"/>
          <w:shd w:val="clear" w:color="auto" w:fill="FFFFFF"/>
          <w:lang w:eastAsia="es-CO"/>
        </w:rPr>
        <w:t xml:space="preserve"> falta de cónyuge, compañero o compañera permanente, padres e hijos con derecho, serán beneficiarios los hermanos inválidos del causante si dependían económicamente de éste.</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h) El supérstite deberá informar a la Administradora del Sistema, dentro de los treinta (30) días siguientes, el fallecimiento de su cónyuge o compañero permanente a fin de que se determine que la pensión continúa en su cabeza, sin que sea necesario efectuar sustitución alguna;</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i) En caso de divorcio, separación legal o de hecho, la pensión familiar se extinguirá y los ex cónyuges o ex compañeros permanentes tendrán derecho a percibir mensualmente un beneficio económico periódico, equivalente al 50% del monto de la pensión que percibían;</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j) La pensión familiar es incompatible con cualquier otra pensión de la que gozare uno o ambos de los cónyuges o compañeros permanentes, provenientes del sistema pensional, de los sistemas excluidos o las reconocidas por empleadores, incluyendo las pensiones convencionales. También excluye el acceso a los Beneficios Económicos Periódicos BEPS y a cualquier otra clase de ayudas y/o subsidios otorgados por el Estado, que tengan como propósito ofrecer beneficios en dinero para la subsistencia de los adultos mayores que se encuentran en condiciones de pobreza.</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Adicionalmente solo se podrá reconocer una sola vez la pensión familiar por cada cónyuge o compañero;</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 xml:space="preserve">k) Solo podrán ser beneficiarios de la Pensión Familiar, en el Régimen de Prima Media, aquellas personas que se encuentren clasificadas en el </w:t>
      </w:r>
      <w:r w:rsidRPr="00C40289">
        <w:rPr>
          <w:rFonts w:ascii="Arial" w:eastAsia="Times New Roman" w:hAnsi="Arial" w:cs="Arial"/>
          <w:color w:val="000000"/>
          <w:lang w:eastAsia="es-CO"/>
        </w:rPr>
        <w:t>Sisben</w:t>
      </w:r>
      <w:r w:rsidRPr="00C40289">
        <w:rPr>
          <w:rFonts w:ascii="Arial" w:eastAsia="Times New Roman" w:hAnsi="Arial" w:cs="Arial"/>
          <w:color w:val="000000"/>
          <w:lang w:eastAsia="es-CO"/>
        </w:rPr>
        <w:t xml:space="preserve"> en los niveles 1, 2 y/o en cualquier otro sistema equivalente que diseñe el Gobierno Nacional;</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l) Para acceder a la Pensión Familiar, cada beneficiario deberá haber cotizado a los 45 años de edad, el veinticinco por ciento (25%) de las semanas requeridas para acceder a una pensión de vejez de acuerdo a la ley;</w:t>
      </w:r>
    </w:p>
    <w:p w:rsidR="00C40289" w:rsidRDefault="00C40289" w:rsidP="00C40289">
      <w:pPr>
        <w:pStyle w:val="Sinespaciado"/>
        <w:ind w:left="426"/>
        <w:jc w:val="both"/>
        <w:rPr>
          <w:rFonts w:ascii="Arial" w:eastAsia="Times New Roman" w:hAnsi="Arial" w:cs="Arial"/>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color w:val="000000"/>
          <w:lang w:eastAsia="es-CO"/>
        </w:rPr>
        <w:t>m) En el Régimen de Prima Media el valor de la pensión familiar no podrá exceder de un salario mínimo legal mensual vigente.</w:t>
      </w:r>
    </w:p>
    <w:p w:rsidR="00C40289" w:rsidRDefault="00C40289" w:rsidP="00C40289">
      <w:pPr>
        <w:pStyle w:val="Sinespaciado"/>
        <w:ind w:left="426"/>
        <w:jc w:val="both"/>
        <w:rPr>
          <w:rFonts w:ascii="Arial" w:eastAsia="Times New Roman" w:hAnsi="Arial" w:cs="Arial"/>
          <w:b/>
          <w:bCs/>
          <w:color w:val="000000"/>
          <w:lang w:eastAsia="es-CO"/>
        </w:rPr>
      </w:pPr>
    </w:p>
    <w:p w:rsidR="00C40289" w:rsidRPr="00C40289" w:rsidRDefault="00C40289" w:rsidP="00C40289">
      <w:pPr>
        <w:pStyle w:val="Sinespaciado"/>
        <w:ind w:left="426"/>
        <w:jc w:val="both"/>
        <w:rPr>
          <w:rFonts w:ascii="Arial" w:eastAsia="Times New Roman" w:hAnsi="Arial" w:cs="Arial"/>
          <w:color w:val="000000"/>
          <w:lang w:eastAsia="es-CO"/>
        </w:rPr>
      </w:pPr>
      <w:r w:rsidRPr="00C40289">
        <w:rPr>
          <w:rFonts w:ascii="Arial" w:eastAsia="Times New Roman" w:hAnsi="Arial" w:cs="Arial"/>
          <w:b/>
          <w:bCs/>
          <w:color w:val="000000"/>
          <w:lang w:eastAsia="es-CO"/>
        </w:rPr>
        <w:t>Parágrafo.</w:t>
      </w:r>
      <w:r w:rsidRPr="00C40289">
        <w:rPr>
          <w:rFonts w:ascii="Arial" w:eastAsia="Times New Roman" w:hAnsi="Arial" w:cs="Arial"/>
          <w:color w:val="000000"/>
          <w:lang w:eastAsia="es-CO"/>
        </w:rPr>
        <w:t> Entiéndase para los efectos de esta ley como cónyuge o compañero permanente titular, al cónyuge o compañero permanente que haya cotizado al sistema el mayor número de semanas".</w:t>
      </w:r>
    </w:p>
    <w:p w:rsidR="00C40289" w:rsidRDefault="00C40289" w:rsidP="00C40289">
      <w:pPr>
        <w:pStyle w:val="Sinespaciado"/>
        <w:jc w:val="both"/>
        <w:rPr>
          <w:rFonts w:ascii="Arial" w:eastAsia="Times New Roman" w:hAnsi="Arial" w:cs="Arial"/>
          <w:b/>
          <w:color w:val="000000"/>
          <w:lang w:eastAsia="es-CO"/>
        </w:rPr>
      </w:pPr>
    </w:p>
    <w:p w:rsidR="00C40289" w:rsidRPr="00C40289" w:rsidRDefault="00C40289" w:rsidP="00C40289">
      <w:pPr>
        <w:pStyle w:val="Sinespaciado"/>
        <w:jc w:val="both"/>
        <w:rPr>
          <w:rFonts w:ascii="Arial" w:eastAsia="Times New Roman" w:hAnsi="Arial" w:cs="Arial"/>
          <w:color w:val="000000"/>
          <w:spacing w:val="1"/>
          <w:lang w:val="es-ES_tradnl" w:eastAsia="es-CO"/>
        </w:rPr>
      </w:pPr>
      <w:r w:rsidRPr="00C40289">
        <w:rPr>
          <w:rFonts w:ascii="Arial" w:eastAsia="Times New Roman" w:hAnsi="Arial" w:cs="Arial"/>
          <w:b/>
          <w:color w:val="000000"/>
          <w:lang w:eastAsia="es-CO"/>
        </w:rPr>
        <w:t xml:space="preserve">Artículo 3º. </w:t>
      </w:r>
      <w:r w:rsidRPr="00C40289">
        <w:rPr>
          <w:rFonts w:ascii="Arial" w:eastAsia="Times New Roman" w:hAnsi="Arial" w:cs="Arial"/>
          <w:color w:val="000000"/>
          <w:spacing w:val="1"/>
          <w:lang w:val="es-ES_tradnl" w:eastAsia="es-CO"/>
        </w:rPr>
        <w:t>Vigencia. Esta ley entrará a regir a partir la fecha de su promulgación y deroga las demás normas que le sean contrarias.</w:t>
      </w:r>
    </w:p>
    <w:p w:rsidR="00C40289" w:rsidRPr="00C40289" w:rsidRDefault="00C40289" w:rsidP="00C40289">
      <w:pPr>
        <w:pStyle w:val="Sinespaciado"/>
        <w:jc w:val="both"/>
        <w:rPr>
          <w:rFonts w:ascii="Arial" w:eastAsia="Times New Roman" w:hAnsi="Arial" w:cs="Arial"/>
          <w:color w:val="000000"/>
          <w:spacing w:val="1"/>
          <w:lang w:val="es-ES_tradnl" w:eastAsia="es-CO"/>
        </w:rPr>
      </w:pPr>
    </w:p>
    <w:p w:rsidR="00C40289" w:rsidRPr="00C40289" w:rsidRDefault="00C40289" w:rsidP="00C40289">
      <w:pPr>
        <w:pStyle w:val="Sinespaciado"/>
        <w:jc w:val="both"/>
        <w:rPr>
          <w:rFonts w:ascii="Arial" w:eastAsia="Times New Roman" w:hAnsi="Arial" w:cs="Arial"/>
          <w:color w:val="000000"/>
          <w:spacing w:val="1"/>
          <w:lang w:val="es-ES_tradnl" w:eastAsia="es-CO"/>
        </w:rPr>
      </w:pPr>
      <w:r w:rsidRPr="00C40289">
        <w:rPr>
          <w:rFonts w:ascii="Arial" w:eastAsia="Times New Roman" w:hAnsi="Arial" w:cs="Arial"/>
          <w:color w:val="000000"/>
          <w:spacing w:val="1"/>
          <w:lang w:val="es-ES_tradnl" w:eastAsia="es-CO"/>
        </w:rPr>
        <w:t>Atentamente,</w:t>
      </w:r>
    </w:p>
    <w:p w:rsidR="00C40289" w:rsidRDefault="00C40289" w:rsidP="00C40289">
      <w:pPr>
        <w:pStyle w:val="Sinespaciado"/>
        <w:jc w:val="both"/>
        <w:rPr>
          <w:rFonts w:ascii="Arial" w:eastAsia="Times New Roman" w:hAnsi="Arial" w:cs="Arial"/>
          <w:color w:val="000000"/>
          <w:spacing w:val="1"/>
          <w:lang w:val="es-ES_tradnl" w:eastAsia="es-CO"/>
        </w:rPr>
      </w:pPr>
    </w:p>
    <w:p w:rsidR="00120131" w:rsidRDefault="00120131" w:rsidP="00C40289">
      <w:pPr>
        <w:pStyle w:val="Sinespaciado"/>
        <w:jc w:val="both"/>
        <w:rPr>
          <w:rFonts w:ascii="Arial" w:eastAsia="Times New Roman" w:hAnsi="Arial" w:cs="Arial"/>
          <w:color w:val="000000"/>
          <w:spacing w:val="1"/>
          <w:lang w:val="es-ES_tradnl" w:eastAsia="es-CO"/>
        </w:rPr>
      </w:pPr>
    </w:p>
    <w:p w:rsidR="00C7655F" w:rsidRPr="00C40289" w:rsidRDefault="00C7655F" w:rsidP="00C40289">
      <w:pPr>
        <w:pStyle w:val="Sinespaciado"/>
        <w:jc w:val="both"/>
        <w:rPr>
          <w:rFonts w:ascii="Arial" w:eastAsia="Times New Roman" w:hAnsi="Arial" w:cs="Arial"/>
          <w:color w:val="000000"/>
          <w:spacing w:val="1"/>
          <w:lang w:val="es-ES_tradnl" w:eastAsia="es-CO"/>
        </w:rPr>
      </w:pPr>
      <w:bookmarkStart w:id="0" w:name="_GoBack"/>
      <w:bookmarkEnd w:id="0"/>
    </w:p>
    <w:p w:rsidR="00C40289" w:rsidRPr="00C40289" w:rsidRDefault="00C40289" w:rsidP="00C40289">
      <w:pPr>
        <w:pStyle w:val="Sinespaciado"/>
        <w:jc w:val="both"/>
        <w:rPr>
          <w:rFonts w:ascii="Arial" w:eastAsia="Times New Roman" w:hAnsi="Arial" w:cs="Arial"/>
          <w:color w:val="000000"/>
          <w:spacing w:val="1"/>
          <w:lang w:val="es-ES_tradnl" w:eastAsia="es-CO"/>
        </w:rPr>
      </w:pPr>
    </w:p>
    <w:p w:rsidR="00C40289" w:rsidRPr="00C40289" w:rsidRDefault="00C40289" w:rsidP="00C40289">
      <w:pPr>
        <w:pStyle w:val="Sinespaciado"/>
        <w:jc w:val="both"/>
        <w:rPr>
          <w:rFonts w:ascii="Arial" w:eastAsia="Arial" w:hAnsi="Arial" w:cs="Arial"/>
          <w:b/>
          <w:color w:val="000000"/>
          <w:lang w:eastAsia="es-CO"/>
        </w:rPr>
      </w:pPr>
      <w:r w:rsidRPr="00C40289">
        <w:rPr>
          <w:rFonts w:ascii="Arial" w:eastAsia="Arial" w:hAnsi="Arial" w:cs="Arial"/>
          <w:b/>
          <w:color w:val="000000"/>
          <w:lang w:eastAsia="es-CO"/>
        </w:rPr>
        <w:t>GUILLERMINA BRAVO MONTAÑO</w:t>
      </w:r>
    </w:p>
    <w:p w:rsidR="00C40289" w:rsidRPr="00120131" w:rsidRDefault="00C40289" w:rsidP="00C40289">
      <w:pPr>
        <w:pStyle w:val="Sinespaciado"/>
        <w:jc w:val="both"/>
        <w:rPr>
          <w:rFonts w:ascii="Arial" w:eastAsia="Arial" w:hAnsi="Arial" w:cs="Arial"/>
          <w:color w:val="000000"/>
          <w:lang w:eastAsia="es-CO"/>
        </w:rPr>
      </w:pPr>
      <w:r w:rsidRPr="00120131">
        <w:rPr>
          <w:rFonts w:ascii="Arial" w:eastAsia="Arial" w:hAnsi="Arial" w:cs="Arial"/>
          <w:color w:val="000000"/>
          <w:lang w:eastAsia="es-CO"/>
        </w:rPr>
        <w:t>Representante a la Cámara por el Valle del Cauca</w:t>
      </w:r>
    </w:p>
    <w:p w:rsidR="00994041" w:rsidRPr="00465953" w:rsidRDefault="00C40289" w:rsidP="00C40289">
      <w:pPr>
        <w:pStyle w:val="Sinespaciado"/>
        <w:jc w:val="both"/>
      </w:pPr>
      <w:r w:rsidRPr="00120131">
        <w:rPr>
          <w:rFonts w:ascii="Arial" w:eastAsia="Arial" w:hAnsi="Arial" w:cs="Arial"/>
          <w:color w:val="000000"/>
          <w:lang w:eastAsia="es-CO"/>
        </w:rPr>
        <w:t>Partido Político MIRA</w:t>
      </w:r>
    </w:p>
    <w:sectPr w:rsidR="00994041" w:rsidRPr="00465953" w:rsidSect="00C7655F">
      <w:headerReference w:type="default" r:id="rId13"/>
      <w:footerReference w:type="default" r:id="rId14"/>
      <w:pgSz w:w="12240" w:h="15840" w:code="1"/>
      <w:pgMar w:top="2155" w:right="1134" w:bottom="284" w:left="1701" w:header="73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4BD" w:rsidRDefault="006524BD" w:rsidP="001A75AA">
      <w:pPr>
        <w:spacing w:after="0" w:line="240" w:lineRule="auto"/>
      </w:pPr>
      <w:r>
        <w:separator/>
      </w:r>
    </w:p>
  </w:endnote>
  <w:endnote w:type="continuationSeparator" w:id="0">
    <w:p w:rsidR="006524BD" w:rsidRDefault="006524BD"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4BD" w:rsidRDefault="006524BD" w:rsidP="001A75AA">
      <w:pPr>
        <w:spacing w:after="0" w:line="240" w:lineRule="auto"/>
      </w:pPr>
      <w:r>
        <w:separator/>
      </w:r>
    </w:p>
  </w:footnote>
  <w:footnote w:type="continuationSeparator" w:id="0">
    <w:p w:rsidR="006524BD" w:rsidRDefault="006524BD"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0F2919" w:rsidP="000F2919">
    <w:pPr>
      <w:pStyle w:val="Encabezado"/>
      <w:jc w:val="center"/>
    </w:pPr>
    <w:r>
      <w:rPr>
        <w:noProof/>
        <w:lang w:eastAsia="es-CO"/>
      </w:rPr>
      <w:drawing>
        <wp:anchor distT="0" distB="0" distL="114300" distR="114300" simplePos="0" relativeHeight="251659264" behindDoc="0" locked="0" layoutInCell="1" allowOverlap="1" wp14:anchorId="29714BDB" wp14:editId="7A77DB09">
          <wp:simplePos x="0" y="0"/>
          <wp:positionH relativeFrom="margin">
            <wp:align>center</wp:align>
          </wp:positionH>
          <wp:positionV relativeFrom="paragraph">
            <wp:posOffset>57150</wp:posOffset>
          </wp:positionV>
          <wp:extent cx="2082800" cy="838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B"/>
    <w:multiLevelType w:val="hybridMultilevel"/>
    <w:tmpl w:val="8D929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C78A6"/>
    <w:multiLevelType w:val="hybridMultilevel"/>
    <w:tmpl w:val="24F08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F3D40"/>
    <w:multiLevelType w:val="hybridMultilevel"/>
    <w:tmpl w:val="2C12F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82545"/>
    <w:multiLevelType w:val="hybridMultilevel"/>
    <w:tmpl w:val="76004A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D95D88"/>
    <w:multiLevelType w:val="hybridMultilevel"/>
    <w:tmpl w:val="C80E6520"/>
    <w:lvl w:ilvl="0" w:tplc="608423A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1954731"/>
    <w:multiLevelType w:val="hybridMultilevel"/>
    <w:tmpl w:val="2110C892"/>
    <w:lvl w:ilvl="0" w:tplc="E4427DFE">
      <w:start w:val="5"/>
      <w:numFmt w:val="bullet"/>
      <w:lvlText w:val="-"/>
      <w:lvlJc w:val="left"/>
      <w:pPr>
        <w:ind w:left="360" w:hanging="360"/>
      </w:pPr>
      <w:rPr>
        <w:rFonts w:ascii="Verdana" w:eastAsia="Times New Roman"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4A6288"/>
    <w:multiLevelType w:val="hybridMultilevel"/>
    <w:tmpl w:val="753CE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9F032D"/>
    <w:multiLevelType w:val="hybridMultilevel"/>
    <w:tmpl w:val="772C5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CC5A23"/>
    <w:multiLevelType w:val="hybridMultilevel"/>
    <w:tmpl w:val="746AA500"/>
    <w:lvl w:ilvl="0" w:tplc="1ECCED40">
      <w:start w:val="1"/>
      <w:numFmt w:val="decimal"/>
      <w:lvlText w:val="%1."/>
      <w:lvlJc w:val="left"/>
      <w:pPr>
        <w:ind w:left="450"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57D595A"/>
    <w:multiLevelType w:val="hybridMultilevel"/>
    <w:tmpl w:val="EB18BC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5607FB"/>
    <w:multiLevelType w:val="hybridMultilevel"/>
    <w:tmpl w:val="6D26E8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EFC2D78"/>
    <w:multiLevelType w:val="hybridMultilevel"/>
    <w:tmpl w:val="8440F39E"/>
    <w:lvl w:ilvl="0" w:tplc="D50E39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2" w15:restartNumberingAfterBreak="0">
    <w:nsid w:val="3DB04700"/>
    <w:multiLevelType w:val="hybridMultilevel"/>
    <w:tmpl w:val="40321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A57047"/>
    <w:multiLevelType w:val="hybridMultilevel"/>
    <w:tmpl w:val="F0688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3A6F32"/>
    <w:multiLevelType w:val="hybridMultilevel"/>
    <w:tmpl w:val="C75E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AC41398"/>
    <w:multiLevelType w:val="hybridMultilevel"/>
    <w:tmpl w:val="0902CED0"/>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6E10ED"/>
    <w:multiLevelType w:val="hybridMultilevel"/>
    <w:tmpl w:val="B0BCB8D6"/>
    <w:lvl w:ilvl="0" w:tplc="240A0017">
      <w:start w:val="1"/>
      <w:numFmt w:val="lowerLetter"/>
      <w:lvlText w:val="%1)"/>
      <w:lvlJc w:val="left"/>
      <w:pPr>
        <w:ind w:left="778" w:hanging="360"/>
      </w:pPr>
    </w:lvl>
    <w:lvl w:ilvl="1" w:tplc="240A0019">
      <w:start w:val="1"/>
      <w:numFmt w:val="lowerLetter"/>
      <w:lvlText w:val="%2."/>
      <w:lvlJc w:val="left"/>
      <w:pPr>
        <w:ind w:left="1498" w:hanging="360"/>
      </w:pPr>
    </w:lvl>
    <w:lvl w:ilvl="2" w:tplc="240A001B">
      <w:start w:val="1"/>
      <w:numFmt w:val="lowerRoman"/>
      <w:lvlText w:val="%3."/>
      <w:lvlJc w:val="right"/>
      <w:pPr>
        <w:ind w:left="2218" w:hanging="180"/>
      </w:pPr>
    </w:lvl>
    <w:lvl w:ilvl="3" w:tplc="240A000F">
      <w:start w:val="1"/>
      <w:numFmt w:val="decimal"/>
      <w:lvlText w:val="%4."/>
      <w:lvlJc w:val="left"/>
      <w:pPr>
        <w:ind w:left="2938" w:hanging="360"/>
      </w:pPr>
    </w:lvl>
    <w:lvl w:ilvl="4" w:tplc="240A0019">
      <w:start w:val="1"/>
      <w:numFmt w:val="lowerLetter"/>
      <w:lvlText w:val="%5."/>
      <w:lvlJc w:val="left"/>
      <w:pPr>
        <w:ind w:left="3658" w:hanging="360"/>
      </w:pPr>
    </w:lvl>
    <w:lvl w:ilvl="5" w:tplc="240A001B">
      <w:start w:val="1"/>
      <w:numFmt w:val="lowerRoman"/>
      <w:lvlText w:val="%6."/>
      <w:lvlJc w:val="right"/>
      <w:pPr>
        <w:ind w:left="4378" w:hanging="180"/>
      </w:pPr>
    </w:lvl>
    <w:lvl w:ilvl="6" w:tplc="240A000F">
      <w:start w:val="1"/>
      <w:numFmt w:val="decimal"/>
      <w:lvlText w:val="%7."/>
      <w:lvlJc w:val="left"/>
      <w:pPr>
        <w:ind w:left="5098" w:hanging="360"/>
      </w:pPr>
    </w:lvl>
    <w:lvl w:ilvl="7" w:tplc="240A0019">
      <w:start w:val="1"/>
      <w:numFmt w:val="lowerLetter"/>
      <w:lvlText w:val="%8."/>
      <w:lvlJc w:val="left"/>
      <w:pPr>
        <w:ind w:left="5818" w:hanging="360"/>
      </w:pPr>
    </w:lvl>
    <w:lvl w:ilvl="8" w:tplc="240A001B">
      <w:start w:val="1"/>
      <w:numFmt w:val="lowerRoman"/>
      <w:lvlText w:val="%9."/>
      <w:lvlJc w:val="right"/>
      <w:pPr>
        <w:ind w:left="6538" w:hanging="180"/>
      </w:pPr>
    </w:lvl>
  </w:abstractNum>
  <w:abstractNum w:abstractNumId="17" w15:restartNumberingAfterBreak="0">
    <w:nsid w:val="50285315"/>
    <w:multiLevelType w:val="hybridMultilevel"/>
    <w:tmpl w:val="89E22786"/>
    <w:lvl w:ilvl="0" w:tplc="ADD433EE">
      <w:start w:val="1"/>
      <w:numFmt w:val="decimal"/>
      <w:lvlText w:val="ARTÍCULO %1"/>
      <w:lvlJc w:val="left"/>
      <w:pPr>
        <w:ind w:left="1070" w:hanging="360"/>
      </w:pPr>
      <w:rPr>
        <w:rFonts w:hint="default"/>
        <w:b/>
        <w:color w:val="auto"/>
        <w:lang w:val="es-CO"/>
      </w:r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8" w15:restartNumberingAfterBreak="0">
    <w:nsid w:val="52A424DD"/>
    <w:multiLevelType w:val="hybridMultilevel"/>
    <w:tmpl w:val="A9E06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80D2779"/>
    <w:multiLevelType w:val="hybridMultilevel"/>
    <w:tmpl w:val="366C34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9BF30CF"/>
    <w:multiLevelType w:val="hybridMultilevel"/>
    <w:tmpl w:val="C8DC5E5A"/>
    <w:lvl w:ilvl="0" w:tplc="C26A198E">
      <w:start w:val="1"/>
      <w:numFmt w:val="decimal"/>
      <w:lvlText w:val="%1."/>
      <w:lvlJc w:val="left"/>
      <w:pPr>
        <w:ind w:left="1035" w:hanging="103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A135C93"/>
    <w:multiLevelType w:val="hybridMultilevel"/>
    <w:tmpl w:val="7B10A7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E634C10"/>
    <w:multiLevelType w:val="hybridMultilevel"/>
    <w:tmpl w:val="654C9C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0FA18A6"/>
    <w:multiLevelType w:val="hybridMultilevel"/>
    <w:tmpl w:val="7A9ADC1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63934196"/>
    <w:multiLevelType w:val="multilevel"/>
    <w:tmpl w:val="8FECB8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65B06146"/>
    <w:multiLevelType w:val="hybridMultilevel"/>
    <w:tmpl w:val="B7467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8D154BF"/>
    <w:multiLevelType w:val="hybridMultilevel"/>
    <w:tmpl w:val="F7088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94E178D"/>
    <w:multiLevelType w:val="hybridMultilevel"/>
    <w:tmpl w:val="66F6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998275A"/>
    <w:multiLevelType w:val="hybridMultilevel"/>
    <w:tmpl w:val="1340F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3305"/>
    <w:multiLevelType w:val="multilevel"/>
    <w:tmpl w:val="C958A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0" w15:restartNumberingAfterBreak="0">
    <w:nsid w:val="77682A7B"/>
    <w:multiLevelType w:val="hybridMultilevel"/>
    <w:tmpl w:val="520E4DF8"/>
    <w:lvl w:ilvl="0" w:tplc="3210D948">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1" w15:restartNumberingAfterBreak="0">
    <w:nsid w:val="784D65DD"/>
    <w:multiLevelType w:val="hybridMultilevel"/>
    <w:tmpl w:val="600AC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93D5B2E"/>
    <w:multiLevelType w:val="hybridMultilevel"/>
    <w:tmpl w:val="2452C7C8"/>
    <w:lvl w:ilvl="0" w:tplc="E7CAD5D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B2A4BAD"/>
    <w:multiLevelType w:val="hybridMultilevel"/>
    <w:tmpl w:val="F38A9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D02122B"/>
    <w:multiLevelType w:val="hybridMultilevel"/>
    <w:tmpl w:val="5C4E7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1D1E29"/>
    <w:multiLevelType w:val="hybridMultilevel"/>
    <w:tmpl w:val="68BEB80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F123AD1"/>
    <w:multiLevelType w:val="hybridMultilevel"/>
    <w:tmpl w:val="67A8367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29"/>
  </w:num>
  <w:num w:numId="3">
    <w:abstractNumId w:val="30"/>
  </w:num>
  <w:num w:numId="4">
    <w:abstractNumId w:val="32"/>
  </w:num>
  <w:num w:numId="5">
    <w:abstractNumId w:val="11"/>
  </w:num>
  <w:num w:numId="6">
    <w:abstractNumId w:val="24"/>
  </w:num>
  <w:num w:numId="7">
    <w:abstractNumId w:val="20"/>
  </w:num>
  <w:num w:numId="8">
    <w:abstractNumId w:val="35"/>
  </w:num>
  <w:num w:numId="9">
    <w:abstractNumId w:val="27"/>
  </w:num>
  <w:num w:numId="10">
    <w:abstractNumId w:val="36"/>
  </w:num>
  <w:num w:numId="11">
    <w:abstractNumId w:val="8"/>
  </w:num>
  <w:num w:numId="12">
    <w:abstractNumId w:val="10"/>
  </w:num>
  <w:num w:numId="13">
    <w:abstractNumId w:val="5"/>
  </w:num>
  <w:num w:numId="14">
    <w:abstractNumId w:val="33"/>
  </w:num>
  <w:num w:numId="15">
    <w:abstractNumId w:val="2"/>
  </w:num>
  <w:num w:numId="16">
    <w:abstractNumId w:val="25"/>
  </w:num>
  <w:num w:numId="17">
    <w:abstractNumId w:val="1"/>
  </w:num>
  <w:num w:numId="18">
    <w:abstractNumId w:val="13"/>
  </w:num>
  <w:num w:numId="19">
    <w:abstractNumId w:val="6"/>
  </w:num>
  <w:num w:numId="20">
    <w:abstractNumId w:val="19"/>
  </w:num>
  <w:num w:numId="21">
    <w:abstractNumId w:val="14"/>
  </w:num>
  <w:num w:numId="22">
    <w:abstractNumId w:val="12"/>
  </w:num>
  <w:num w:numId="23">
    <w:abstractNumId w:val="28"/>
  </w:num>
  <w:num w:numId="24">
    <w:abstractNumId w:val="26"/>
  </w:num>
  <w:num w:numId="25">
    <w:abstractNumId w:val="34"/>
  </w:num>
  <w:num w:numId="26">
    <w:abstractNumId w:val="17"/>
  </w:num>
  <w:num w:numId="27">
    <w:abstractNumId w:val="31"/>
  </w:num>
  <w:num w:numId="28">
    <w:abstractNumId w:val="3"/>
  </w:num>
  <w:num w:numId="29">
    <w:abstractNumId w:val="7"/>
  </w:num>
  <w:num w:numId="30">
    <w:abstractNumId w:val="21"/>
  </w:num>
  <w:num w:numId="31">
    <w:abstractNumId w:val="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9"/>
  </w:num>
  <w:num w:numId="36">
    <w:abstractNumId w:val="15"/>
  </w:num>
  <w:num w:numId="37">
    <w:abstractNumId w:val="18"/>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3857"/>
    <w:rsid w:val="0005764D"/>
    <w:rsid w:val="00061172"/>
    <w:rsid w:val="00062D9C"/>
    <w:rsid w:val="00063138"/>
    <w:rsid w:val="0006405F"/>
    <w:rsid w:val="00065EC1"/>
    <w:rsid w:val="0007075C"/>
    <w:rsid w:val="00075E9A"/>
    <w:rsid w:val="00080475"/>
    <w:rsid w:val="000850AF"/>
    <w:rsid w:val="00087E7C"/>
    <w:rsid w:val="000911A5"/>
    <w:rsid w:val="00091304"/>
    <w:rsid w:val="00091500"/>
    <w:rsid w:val="000958D4"/>
    <w:rsid w:val="000971B7"/>
    <w:rsid w:val="000A3D97"/>
    <w:rsid w:val="000B047D"/>
    <w:rsid w:val="000B41A9"/>
    <w:rsid w:val="000B7E47"/>
    <w:rsid w:val="000C69AC"/>
    <w:rsid w:val="000D2E8E"/>
    <w:rsid w:val="000E511E"/>
    <w:rsid w:val="000F2919"/>
    <w:rsid w:val="00101CEA"/>
    <w:rsid w:val="00102759"/>
    <w:rsid w:val="001038E6"/>
    <w:rsid w:val="001104F2"/>
    <w:rsid w:val="00110B0B"/>
    <w:rsid w:val="00120131"/>
    <w:rsid w:val="00122DC5"/>
    <w:rsid w:val="001234ED"/>
    <w:rsid w:val="00124E4A"/>
    <w:rsid w:val="0012725A"/>
    <w:rsid w:val="0013482D"/>
    <w:rsid w:val="0014237A"/>
    <w:rsid w:val="00145B72"/>
    <w:rsid w:val="00151008"/>
    <w:rsid w:val="00153C8A"/>
    <w:rsid w:val="00155006"/>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200519"/>
    <w:rsid w:val="00201497"/>
    <w:rsid w:val="00203ACE"/>
    <w:rsid w:val="002119E3"/>
    <w:rsid w:val="002126FF"/>
    <w:rsid w:val="0021331D"/>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95486"/>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91812"/>
    <w:rsid w:val="003A01C5"/>
    <w:rsid w:val="003A26FB"/>
    <w:rsid w:val="003A4DEC"/>
    <w:rsid w:val="003A6AE5"/>
    <w:rsid w:val="003B0F5C"/>
    <w:rsid w:val="003B2C8F"/>
    <w:rsid w:val="003B3EBB"/>
    <w:rsid w:val="003B50C1"/>
    <w:rsid w:val="003C0DF5"/>
    <w:rsid w:val="003C2A93"/>
    <w:rsid w:val="003C3E07"/>
    <w:rsid w:val="003D161F"/>
    <w:rsid w:val="003D3D21"/>
    <w:rsid w:val="003D7516"/>
    <w:rsid w:val="003D7EC1"/>
    <w:rsid w:val="003E193F"/>
    <w:rsid w:val="003E215A"/>
    <w:rsid w:val="003E3BD9"/>
    <w:rsid w:val="003E4343"/>
    <w:rsid w:val="003F0BA6"/>
    <w:rsid w:val="003F262C"/>
    <w:rsid w:val="003F538E"/>
    <w:rsid w:val="00400978"/>
    <w:rsid w:val="00403495"/>
    <w:rsid w:val="0040798F"/>
    <w:rsid w:val="00414583"/>
    <w:rsid w:val="004201B0"/>
    <w:rsid w:val="004239FC"/>
    <w:rsid w:val="00427AA0"/>
    <w:rsid w:val="00434121"/>
    <w:rsid w:val="00434D29"/>
    <w:rsid w:val="0043534F"/>
    <w:rsid w:val="004369F9"/>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114C"/>
    <w:rsid w:val="00484FBF"/>
    <w:rsid w:val="0048518F"/>
    <w:rsid w:val="00487799"/>
    <w:rsid w:val="00494A18"/>
    <w:rsid w:val="004A1D04"/>
    <w:rsid w:val="004A2006"/>
    <w:rsid w:val="004A4C6F"/>
    <w:rsid w:val="004B1160"/>
    <w:rsid w:val="004B4719"/>
    <w:rsid w:val="004B47F9"/>
    <w:rsid w:val="004B6000"/>
    <w:rsid w:val="004B7885"/>
    <w:rsid w:val="004C3501"/>
    <w:rsid w:val="004C50F6"/>
    <w:rsid w:val="004E04C3"/>
    <w:rsid w:val="004E674B"/>
    <w:rsid w:val="004E71FD"/>
    <w:rsid w:val="004F1CE6"/>
    <w:rsid w:val="004F215A"/>
    <w:rsid w:val="004F4B33"/>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6F17"/>
    <w:rsid w:val="00566078"/>
    <w:rsid w:val="00566ED4"/>
    <w:rsid w:val="00570637"/>
    <w:rsid w:val="00571058"/>
    <w:rsid w:val="00580751"/>
    <w:rsid w:val="005835FD"/>
    <w:rsid w:val="00583B23"/>
    <w:rsid w:val="00586945"/>
    <w:rsid w:val="00587D45"/>
    <w:rsid w:val="00594EE6"/>
    <w:rsid w:val="00595842"/>
    <w:rsid w:val="00597777"/>
    <w:rsid w:val="005B29EB"/>
    <w:rsid w:val="005C0101"/>
    <w:rsid w:val="005C265D"/>
    <w:rsid w:val="005C46B5"/>
    <w:rsid w:val="005C6DC9"/>
    <w:rsid w:val="005D30D6"/>
    <w:rsid w:val="005D3575"/>
    <w:rsid w:val="005D4E38"/>
    <w:rsid w:val="005E12DE"/>
    <w:rsid w:val="005E46E7"/>
    <w:rsid w:val="005F2C9B"/>
    <w:rsid w:val="0061264E"/>
    <w:rsid w:val="00613B02"/>
    <w:rsid w:val="00622B3F"/>
    <w:rsid w:val="00622B74"/>
    <w:rsid w:val="006276D2"/>
    <w:rsid w:val="0063155D"/>
    <w:rsid w:val="00637559"/>
    <w:rsid w:val="00645C61"/>
    <w:rsid w:val="006524BD"/>
    <w:rsid w:val="006655C2"/>
    <w:rsid w:val="00670DED"/>
    <w:rsid w:val="00671BC3"/>
    <w:rsid w:val="0067641B"/>
    <w:rsid w:val="00677FDE"/>
    <w:rsid w:val="00681AE7"/>
    <w:rsid w:val="00681C48"/>
    <w:rsid w:val="006842D0"/>
    <w:rsid w:val="006846A0"/>
    <w:rsid w:val="006904B4"/>
    <w:rsid w:val="00695983"/>
    <w:rsid w:val="00697FF4"/>
    <w:rsid w:val="006A06BA"/>
    <w:rsid w:val="006A0D57"/>
    <w:rsid w:val="006B2B87"/>
    <w:rsid w:val="006B40AC"/>
    <w:rsid w:val="006B757E"/>
    <w:rsid w:val="006C2A67"/>
    <w:rsid w:val="006C302E"/>
    <w:rsid w:val="006C370B"/>
    <w:rsid w:val="006D20DB"/>
    <w:rsid w:val="006D3C55"/>
    <w:rsid w:val="006E177A"/>
    <w:rsid w:val="006E1D47"/>
    <w:rsid w:val="006E441E"/>
    <w:rsid w:val="006F021B"/>
    <w:rsid w:val="006F38A8"/>
    <w:rsid w:val="00713DC0"/>
    <w:rsid w:val="00716397"/>
    <w:rsid w:val="007167A5"/>
    <w:rsid w:val="00720ABC"/>
    <w:rsid w:val="00736B34"/>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D2527"/>
    <w:rsid w:val="007D43C4"/>
    <w:rsid w:val="007D582E"/>
    <w:rsid w:val="007E024C"/>
    <w:rsid w:val="007E0D32"/>
    <w:rsid w:val="007F0C2F"/>
    <w:rsid w:val="007F223F"/>
    <w:rsid w:val="007F2A05"/>
    <w:rsid w:val="0080478F"/>
    <w:rsid w:val="008054C2"/>
    <w:rsid w:val="00807628"/>
    <w:rsid w:val="00813DA1"/>
    <w:rsid w:val="008255F9"/>
    <w:rsid w:val="00830953"/>
    <w:rsid w:val="00832188"/>
    <w:rsid w:val="00832CEA"/>
    <w:rsid w:val="0084327F"/>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F0D"/>
    <w:rsid w:val="008D61E0"/>
    <w:rsid w:val="008E049D"/>
    <w:rsid w:val="008E0963"/>
    <w:rsid w:val="008E331F"/>
    <w:rsid w:val="008E63C3"/>
    <w:rsid w:val="008F2522"/>
    <w:rsid w:val="008F4264"/>
    <w:rsid w:val="008F4687"/>
    <w:rsid w:val="00900E3B"/>
    <w:rsid w:val="009120F5"/>
    <w:rsid w:val="00920FD5"/>
    <w:rsid w:val="0092131B"/>
    <w:rsid w:val="0092191E"/>
    <w:rsid w:val="00923085"/>
    <w:rsid w:val="00925C03"/>
    <w:rsid w:val="009277E9"/>
    <w:rsid w:val="00931867"/>
    <w:rsid w:val="00935879"/>
    <w:rsid w:val="00940610"/>
    <w:rsid w:val="00945341"/>
    <w:rsid w:val="00963451"/>
    <w:rsid w:val="00963D5C"/>
    <w:rsid w:val="00967BA7"/>
    <w:rsid w:val="009711F9"/>
    <w:rsid w:val="00972DF0"/>
    <w:rsid w:val="00976AEB"/>
    <w:rsid w:val="00977842"/>
    <w:rsid w:val="00981CC9"/>
    <w:rsid w:val="0098219B"/>
    <w:rsid w:val="009828E1"/>
    <w:rsid w:val="009854E8"/>
    <w:rsid w:val="00985E6B"/>
    <w:rsid w:val="00994041"/>
    <w:rsid w:val="009A0AAB"/>
    <w:rsid w:val="009A3159"/>
    <w:rsid w:val="009B3E43"/>
    <w:rsid w:val="009C0AC3"/>
    <w:rsid w:val="009C1657"/>
    <w:rsid w:val="009C42ED"/>
    <w:rsid w:val="009C714F"/>
    <w:rsid w:val="009C7782"/>
    <w:rsid w:val="009D3CE0"/>
    <w:rsid w:val="009D422E"/>
    <w:rsid w:val="009D43DE"/>
    <w:rsid w:val="009D6D67"/>
    <w:rsid w:val="009E52D9"/>
    <w:rsid w:val="009F068A"/>
    <w:rsid w:val="009F2514"/>
    <w:rsid w:val="009F7BF3"/>
    <w:rsid w:val="00A05691"/>
    <w:rsid w:val="00A20232"/>
    <w:rsid w:val="00A20FB3"/>
    <w:rsid w:val="00A223A5"/>
    <w:rsid w:val="00A24B2C"/>
    <w:rsid w:val="00A26683"/>
    <w:rsid w:val="00A32626"/>
    <w:rsid w:val="00A3797C"/>
    <w:rsid w:val="00A466E2"/>
    <w:rsid w:val="00A4736E"/>
    <w:rsid w:val="00A52153"/>
    <w:rsid w:val="00A5385F"/>
    <w:rsid w:val="00A55B53"/>
    <w:rsid w:val="00A63400"/>
    <w:rsid w:val="00A644EA"/>
    <w:rsid w:val="00A66C8B"/>
    <w:rsid w:val="00A739BC"/>
    <w:rsid w:val="00A74D8C"/>
    <w:rsid w:val="00A76565"/>
    <w:rsid w:val="00A769D4"/>
    <w:rsid w:val="00A76CEC"/>
    <w:rsid w:val="00A76ED5"/>
    <w:rsid w:val="00A908E5"/>
    <w:rsid w:val="00A92671"/>
    <w:rsid w:val="00A9451E"/>
    <w:rsid w:val="00AA3B73"/>
    <w:rsid w:val="00AB10D9"/>
    <w:rsid w:val="00AB4143"/>
    <w:rsid w:val="00AD580C"/>
    <w:rsid w:val="00AE5DE7"/>
    <w:rsid w:val="00AF3851"/>
    <w:rsid w:val="00AF6350"/>
    <w:rsid w:val="00B21427"/>
    <w:rsid w:val="00B22FF2"/>
    <w:rsid w:val="00B24137"/>
    <w:rsid w:val="00B241A5"/>
    <w:rsid w:val="00B275D0"/>
    <w:rsid w:val="00B36771"/>
    <w:rsid w:val="00B36A62"/>
    <w:rsid w:val="00B41782"/>
    <w:rsid w:val="00B4638B"/>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F03AD"/>
    <w:rsid w:val="00BF5904"/>
    <w:rsid w:val="00BF7A2D"/>
    <w:rsid w:val="00C05730"/>
    <w:rsid w:val="00C068A7"/>
    <w:rsid w:val="00C07581"/>
    <w:rsid w:val="00C20502"/>
    <w:rsid w:val="00C22950"/>
    <w:rsid w:val="00C2324D"/>
    <w:rsid w:val="00C340A7"/>
    <w:rsid w:val="00C36122"/>
    <w:rsid w:val="00C40289"/>
    <w:rsid w:val="00C41920"/>
    <w:rsid w:val="00C427DD"/>
    <w:rsid w:val="00C43F87"/>
    <w:rsid w:val="00C525EA"/>
    <w:rsid w:val="00C54F74"/>
    <w:rsid w:val="00C54FD9"/>
    <w:rsid w:val="00C55F1A"/>
    <w:rsid w:val="00C567AB"/>
    <w:rsid w:val="00C719AD"/>
    <w:rsid w:val="00C7655F"/>
    <w:rsid w:val="00C7665C"/>
    <w:rsid w:val="00C8653A"/>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F1641"/>
    <w:rsid w:val="00CF69D0"/>
    <w:rsid w:val="00D00608"/>
    <w:rsid w:val="00D00F0A"/>
    <w:rsid w:val="00D02589"/>
    <w:rsid w:val="00D06144"/>
    <w:rsid w:val="00D131EF"/>
    <w:rsid w:val="00D13B38"/>
    <w:rsid w:val="00D16E2F"/>
    <w:rsid w:val="00D23344"/>
    <w:rsid w:val="00D241B3"/>
    <w:rsid w:val="00D328A2"/>
    <w:rsid w:val="00D332D3"/>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C1A7C"/>
    <w:rsid w:val="00DD2204"/>
    <w:rsid w:val="00DD235F"/>
    <w:rsid w:val="00DD2F8B"/>
    <w:rsid w:val="00DD62CA"/>
    <w:rsid w:val="00DE4A3F"/>
    <w:rsid w:val="00DE5D05"/>
    <w:rsid w:val="00E020D5"/>
    <w:rsid w:val="00E05114"/>
    <w:rsid w:val="00E17403"/>
    <w:rsid w:val="00E42F28"/>
    <w:rsid w:val="00E47A08"/>
    <w:rsid w:val="00E501B8"/>
    <w:rsid w:val="00E53778"/>
    <w:rsid w:val="00E61324"/>
    <w:rsid w:val="00E62CF7"/>
    <w:rsid w:val="00E67E16"/>
    <w:rsid w:val="00E73DC8"/>
    <w:rsid w:val="00E77C5E"/>
    <w:rsid w:val="00E876CF"/>
    <w:rsid w:val="00E87FD1"/>
    <w:rsid w:val="00E927B9"/>
    <w:rsid w:val="00E9282E"/>
    <w:rsid w:val="00EA23F9"/>
    <w:rsid w:val="00EB1D35"/>
    <w:rsid w:val="00EB5061"/>
    <w:rsid w:val="00EB605F"/>
    <w:rsid w:val="00EC2167"/>
    <w:rsid w:val="00EC3150"/>
    <w:rsid w:val="00EC79A6"/>
    <w:rsid w:val="00EC79F7"/>
    <w:rsid w:val="00EC7E77"/>
    <w:rsid w:val="00ED138F"/>
    <w:rsid w:val="00ED3481"/>
    <w:rsid w:val="00EE11E9"/>
    <w:rsid w:val="00EE4B54"/>
    <w:rsid w:val="00EE5220"/>
    <w:rsid w:val="00EE73BD"/>
    <w:rsid w:val="00EF3669"/>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6B2"/>
    <w:rsid w:val="00F318B7"/>
    <w:rsid w:val="00F31A81"/>
    <w:rsid w:val="00F33658"/>
    <w:rsid w:val="00F343C3"/>
    <w:rsid w:val="00F35BAC"/>
    <w:rsid w:val="00F36C59"/>
    <w:rsid w:val="00F4582E"/>
    <w:rsid w:val="00F47161"/>
    <w:rsid w:val="00F53260"/>
    <w:rsid w:val="00F534FB"/>
    <w:rsid w:val="00F56B3B"/>
    <w:rsid w:val="00F570CD"/>
    <w:rsid w:val="00F67C6B"/>
    <w:rsid w:val="00F71BA2"/>
    <w:rsid w:val="00F71C27"/>
    <w:rsid w:val="00F72B35"/>
    <w:rsid w:val="00F87CE8"/>
    <w:rsid w:val="00FA4A39"/>
    <w:rsid w:val="00FB36DF"/>
    <w:rsid w:val="00FB61E4"/>
    <w:rsid w:val="00FD31EE"/>
    <w:rsid w:val="00FD378B"/>
    <w:rsid w:val="00FD3E3B"/>
    <w:rsid w:val="00FD3E63"/>
    <w:rsid w:val="00FD4D9D"/>
    <w:rsid w:val="00FD5A94"/>
    <w:rsid w:val="00FE0837"/>
    <w:rsid w:val="00FE2780"/>
    <w:rsid w:val="00FE2D19"/>
    <w:rsid w:val="00FE3862"/>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99"/>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customStyle="1" w:styleId="bodytext21">
    <w:name w:val="bodytext21"/>
    <w:basedOn w:val="Normal"/>
    <w:rsid w:val="00C40289"/>
    <w:pPr>
      <w:spacing w:before="100" w:beforeAutospacing="1" w:after="100" w:afterAutospacing="1" w:line="240" w:lineRule="auto"/>
    </w:pPr>
    <w:rPr>
      <w:rFonts w:ascii="Times New Roman" w:eastAsia="MS Mincho"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524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caldiabogota.gov.co/sisjur/normas/Norma1.jsp?i=524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524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caldiabogota.gov.co/sisjur/normas/Norma1.jsp?i=4125" TargetMode="External"/><Relationship Id="rId4" Type="http://schemas.openxmlformats.org/officeDocument/2006/relationships/settings" Target="settings.xml"/><Relationship Id="rId9" Type="http://schemas.openxmlformats.org/officeDocument/2006/relationships/hyperlink" Target="http://www.alcaldiabogota.gov.co/sisjur/normas/Norma1.jsp?i=524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512E8-5D2E-4F47-B1C0-DA7CA011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1832</Words>
  <Characters>10076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yanirayanguas</cp:lastModifiedBy>
  <cp:revision>5</cp:revision>
  <cp:lastPrinted>2018-04-04T20:09:00Z</cp:lastPrinted>
  <dcterms:created xsi:type="dcterms:W3CDTF">2018-04-17T21:29:00Z</dcterms:created>
  <dcterms:modified xsi:type="dcterms:W3CDTF">2018-04-17T21:41:00Z</dcterms:modified>
</cp:coreProperties>
</file>