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DE0F51">
        <w:rPr>
          <w:rFonts w:ascii="Arial" w:hAnsi="Arial" w:cs="Arial"/>
          <w:b/>
          <w:bCs/>
        </w:rPr>
        <w:t>060</w:t>
      </w:r>
      <w:r w:rsidR="00994041">
        <w:rPr>
          <w:rFonts w:ascii="Arial" w:hAnsi="Arial" w:cs="Arial"/>
          <w:b/>
        </w:rPr>
        <w:t xml:space="preserve"> DE 2017 CÁMARA</w:t>
      </w:r>
      <w:r w:rsidR="001F62AE">
        <w:rPr>
          <w:rFonts w:ascii="Arial" w:hAnsi="Arial" w:cs="Arial"/>
          <w:b/>
        </w:rPr>
        <w:t xml:space="preserve"> </w:t>
      </w:r>
      <w:r w:rsidR="00994041" w:rsidRPr="001F62AE">
        <w:rPr>
          <w:rFonts w:ascii="Arial" w:hAnsi="Arial" w:cs="Arial"/>
          <w:b/>
        </w:rPr>
        <w:t>“</w:t>
      </w:r>
      <w:r w:rsidR="00DE0F51" w:rsidRPr="000A513E">
        <w:rPr>
          <w:rFonts w:ascii="Arial" w:hAnsi="Arial" w:cs="Arial"/>
          <w:b/>
        </w:rPr>
        <w:t>POR MEDIO DEL CUAL SE MODIFICA EL ARTÍCULO 5° DE LA LEY 1639 DE 2013, SE CREAN OTRAS MEDIDAS DE PROTECCIÓN A FAVOR DE LAS VÍCTIMAS DE DELITOS CON SUSTANCIAS CORROSIVAS A LA PIEL, Y SE DICTAN OTRAS DISPOSICIONES</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1F62AE">
        <w:rPr>
          <w:rFonts w:ascii="Arial" w:hAnsi="Arial" w:cs="Arial"/>
        </w:rPr>
        <w:t>03</w:t>
      </w:r>
      <w:r w:rsidRPr="00741569">
        <w:rPr>
          <w:rFonts w:ascii="Arial" w:hAnsi="Arial" w:cs="Arial"/>
        </w:rPr>
        <w:t xml:space="preserve"> de </w:t>
      </w:r>
      <w:r w:rsidR="001F62AE">
        <w:rPr>
          <w:rFonts w:ascii="Arial" w:hAnsi="Arial" w:cs="Arial"/>
        </w:rPr>
        <w:t xml:space="preserve">octubre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1F62AE">
        <w:rPr>
          <w:rFonts w:ascii="Arial" w:hAnsi="Arial" w:cs="Arial"/>
        </w:rPr>
        <w:t>14</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A23ACD" w:rsidRPr="00A325F6" w:rsidRDefault="00A23ACD" w:rsidP="00A23ACD">
      <w:pPr>
        <w:pStyle w:val="Sinespaciado"/>
        <w:jc w:val="center"/>
        <w:rPr>
          <w:rFonts w:ascii="Arial" w:hAnsi="Arial" w:cs="Arial"/>
          <w:b/>
          <w:lang w:val="es-ES"/>
        </w:rPr>
      </w:pPr>
      <w:r w:rsidRPr="00A325F6">
        <w:rPr>
          <w:rFonts w:ascii="Arial" w:hAnsi="Arial" w:cs="Arial"/>
          <w:b/>
          <w:lang w:val="es-ES"/>
        </w:rPr>
        <w:t>Decreta</w:t>
      </w:r>
    </w:p>
    <w:p w:rsidR="00A23ACD" w:rsidRPr="00A325F6" w:rsidRDefault="00A23ACD" w:rsidP="00A23ACD">
      <w:pPr>
        <w:pStyle w:val="Sinespaciado"/>
        <w:jc w:val="both"/>
        <w:rPr>
          <w:rFonts w:ascii="Arial" w:hAnsi="Arial" w:cs="Arial"/>
          <w:lang w:val="es-ES"/>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1°. Objeto</w:t>
      </w:r>
      <w:r w:rsidRPr="00A325F6">
        <w:rPr>
          <w:rFonts w:ascii="Arial" w:eastAsia="Times New Roman" w:hAnsi="Arial" w:cs="Arial"/>
          <w:color w:val="222222"/>
          <w:lang w:eastAsia="es-CO"/>
        </w:rPr>
        <w:t>. La presente ley busca el restablecimiento de los derechos en atención y salud, de las personas víctimas de ataques con sustancias o agentes químicos corrosivos a la piel.</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2°.</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Sustancias o agentes corrosivos.</w:t>
      </w:r>
      <w:r w:rsidRPr="00A325F6">
        <w:rPr>
          <w:rFonts w:ascii="Arial" w:eastAsia="Times New Roman" w:hAnsi="Arial" w:cs="Arial"/>
          <w:color w:val="222222"/>
          <w:lang w:eastAsia="es-CO"/>
        </w:rPr>
        <w:t xml:space="preserve"> Se entenderán por sustancias o agentes químicos corrosivos a la piel, aquellos(as) que en contacto con la piel puedan causar algún tipo de lesión parcial o total en la persona, bien sea que dicha lesión tenga un carácter permanente y/o transitorio, de acuerdo a lo ya contemplado en el Decreto 1033 de 2014.</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3°.</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Reconocimiento de la víctima</w:t>
      </w:r>
      <w:r w:rsidRPr="00A325F6">
        <w:rPr>
          <w:rFonts w:ascii="Arial" w:eastAsia="Times New Roman" w:hAnsi="Arial" w:cs="Arial"/>
          <w:color w:val="222222"/>
          <w:lang w:eastAsia="es-CO"/>
        </w:rPr>
        <w:t>. Se reconocerá a la víctima de ataque con sustancias o agentes químicos corrosivos a la piel, como víctima de enfermedad catastrófica, con lo cual se da lugar a la aplicación de los criterios establecidos en la Ley 972 de 2005 y sus modificatorias.</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4°.</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Incapacidad</w:t>
      </w:r>
      <w:r w:rsidRPr="00A325F6">
        <w:rPr>
          <w:rFonts w:ascii="Arial" w:eastAsia="Times New Roman" w:hAnsi="Arial" w:cs="Arial"/>
          <w:color w:val="222222"/>
          <w:lang w:eastAsia="es-CO"/>
        </w:rPr>
        <w:t>. La incapacidad inicial otorgada por Medicina Legal a las víctimas de ataques con sustancias o agentes químicos corrosivos a la piel, deberá ser la correspondiente al tiempo promedio que pueda emplearse en la recuperación y rehabilitación de un paciente en dichas condiciones.</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5°.</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Subsidio de apoyo</w:t>
      </w:r>
      <w:r w:rsidRPr="00A325F6">
        <w:rPr>
          <w:rFonts w:ascii="Arial" w:eastAsia="Times New Roman" w:hAnsi="Arial" w:cs="Arial"/>
          <w:color w:val="222222"/>
          <w:lang w:eastAsia="es-CO"/>
        </w:rPr>
        <w:t xml:space="preserve">. El Gobierno nacional establecerá un subsidio de apoyo para las víctimas de ataques con agentes o sustancias corrosivas a la piel, igual a un salario mínimo legal vigente, siempre y cuando se constate que la persona pertenece a los niveles 1, 2 y 3 del </w:t>
      </w:r>
      <w:proofErr w:type="spellStart"/>
      <w:r>
        <w:rPr>
          <w:rFonts w:ascii="Arial" w:eastAsia="Times New Roman" w:hAnsi="Arial" w:cs="Arial"/>
          <w:color w:val="222222"/>
          <w:lang w:eastAsia="es-CO"/>
        </w:rPr>
        <w:t>Sisbé</w:t>
      </w:r>
      <w:r w:rsidRPr="00A325F6">
        <w:rPr>
          <w:rFonts w:ascii="Arial" w:eastAsia="Times New Roman" w:hAnsi="Arial" w:cs="Arial"/>
          <w:color w:val="222222"/>
          <w:lang w:eastAsia="es-CO"/>
        </w:rPr>
        <w:t>n</w:t>
      </w:r>
      <w:proofErr w:type="spellEnd"/>
      <w:r w:rsidRPr="00A325F6">
        <w:rPr>
          <w:rFonts w:ascii="Arial" w:eastAsia="Times New Roman" w:hAnsi="Arial" w:cs="Arial"/>
          <w:color w:val="222222"/>
          <w:lang w:eastAsia="es-CO"/>
        </w:rPr>
        <w:t>, ha presentado pérdida de su trabajo posterior a la agresión, que además no cuenta con recursos familiares para su manutención, y que tampoco es objeto de otro tipo de subsidios o ayudas por parte del Estado.</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1°.</w:t>
      </w:r>
      <w:r w:rsidRPr="00A325F6">
        <w:rPr>
          <w:rFonts w:ascii="Arial" w:eastAsia="Times New Roman" w:hAnsi="Arial" w:cs="Arial"/>
          <w:color w:val="222222"/>
          <w:lang w:eastAsia="es-CO"/>
        </w:rPr>
        <w:t xml:space="preserve"> Al Gobierno nacional, en cabeza del Ministerio de Salud o quien este delegue, le corresponderá determinar la entidad responsable </w:t>
      </w:r>
      <w:r>
        <w:rPr>
          <w:rFonts w:ascii="Arial" w:eastAsia="Times New Roman" w:hAnsi="Arial" w:cs="Arial"/>
          <w:color w:val="222222"/>
          <w:lang w:eastAsia="es-CO"/>
        </w:rPr>
        <w:t>y</w:t>
      </w:r>
      <w:r w:rsidRPr="00A325F6">
        <w:rPr>
          <w:rFonts w:ascii="Arial" w:eastAsia="Times New Roman" w:hAnsi="Arial" w:cs="Arial"/>
          <w:color w:val="222222"/>
          <w:lang w:eastAsia="es-CO"/>
        </w:rPr>
        <w:t xml:space="preserve"> el procedimiento respectivo para acceder al subsidio.</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2°.</w:t>
      </w:r>
      <w:r w:rsidRPr="00A325F6">
        <w:rPr>
          <w:rFonts w:ascii="Arial" w:eastAsia="Times New Roman" w:hAnsi="Arial" w:cs="Arial"/>
          <w:color w:val="222222"/>
          <w:lang w:eastAsia="es-CO"/>
        </w:rPr>
        <w:t xml:space="preserve"> La duración del subsidio será igual o menor a 4 (cuatro) meses, la víctima beneficiaria podrá solicitar el mencionado subsidio en cualquier momento, siempre y cuando aún </w:t>
      </w:r>
      <w:r w:rsidRPr="00A325F6">
        <w:rPr>
          <w:rFonts w:ascii="Arial" w:eastAsia="Times New Roman" w:hAnsi="Arial" w:cs="Arial"/>
          <w:color w:val="222222"/>
          <w:lang w:eastAsia="es-CO"/>
        </w:rPr>
        <w:lastRenderedPageBreak/>
        <w:t>se encuentre en tratamiento y además cumpla con las condiciones previamente señaladas en este artículo.</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3°.</w:t>
      </w:r>
      <w:r w:rsidRPr="00A325F6">
        <w:rPr>
          <w:rFonts w:ascii="Arial" w:eastAsia="Times New Roman" w:hAnsi="Arial" w:cs="Arial"/>
          <w:color w:val="222222"/>
          <w:lang w:eastAsia="es-CO"/>
        </w:rPr>
        <w:t xml:space="preserve"> El subsidio será prorrogable por única vez, en un tiempo igual al establecido en el parágrafo 2°, siempre y cuando el tratamiento tenga una duración superior a un año.</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4°.</w:t>
      </w:r>
      <w:r w:rsidRPr="00A325F6">
        <w:rPr>
          <w:rFonts w:ascii="Arial" w:eastAsia="Times New Roman" w:hAnsi="Arial" w:cs="Arial"/>
          <w:color w:val="222222"/>
          <w:lang w:eastAsia="es-CO"/>
        </w:rPr>
        <w:t xml:space="preserve"> Si posterior al tiempo de tratamiento, el médico tratante y un equipo interdisciplinario de la EPS, determina la incapacidad laboral permanente o de por vida, fruto de la agresión con una sustancia corrosiva a la piel, la persona será incluida por el Gobierno dentro de los planes de atención a la población con discapacidad del país.</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5°.</w:t>
      </w:r>
      <w:r w:rsidRPr="00A325F6">
        <w:rPr>
          <w:rFonts w:ascii="Arial" w:eastAsia="Times New Roman" w:hAnsi="Arial" w:cs="Arial"/>
          <w:color w:val="222222"/>
          <w:lang w:eastAsia="es-CO"/>
        </w:rPr>
        <w:t xml:space="preserve"> Existirá negación o pérdida del acceso al subsidio de comprobarse que el beneficiario(a) participó del mismo delito del cual es víctima o conexos.</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6°.</w:t>
      </w:r>
      <w:r w:rsidRPr="00A325F6">
        <w:rPr>
          <w:rFonts w:ascii="Arial" w:eastAsia="Times New Roman" w:hAnsi="Arial" w:cs="Arial"/>
          <w:color w:val="222222"/>
          <w:lang w:eastAsia="es-CO"/>
        </w:rPr>
        <w:t xml:space="preserve"> Adiciónese </w:t>
      </w:r>
      <w:r>
        <w:rPr>
          <w:rFonts w:ascii="Arial" w:eastAsia="Times New Roman" w:hAnsi="Arial" w:cs="Arial"/>
          <w:color w:val="222222"/>
          <w:lang w:eastAsia="es-CO"/>
        </w:rPr>
        <w:t xml:space="preserve">un inciso y los parágrafos 2 y3 </w:t>
      </w:r>
      <w:r w:rsidRPr="00A325F6">
        <w:rPr>
          <w:rFonts w:ascii="Arial" w:eastAsia="Times New Roman" w:hAnsi="Arial" w:cs="Arial"/>
          <w:color w:val="222222"/>
          <w:lang w:eastAsia="es-CO"/>
        </w:rPr>
        <w:t>al artículo 5° de la ley 1639 de 2013</w:t>
      </w:r>
      <w:r>
        <w:rPr>
          <w:rFonts w:ascii="Arial" w:eastAsia="Times New Roman" w:hAnsi="Arial" w:cs="Arial"/>
          <w:color w:val="222222"/>
          <w:lang w:eastAsia="es-CO"/>
        </w:rPr>
        <w:t>, de la</w:t>
      </w:r>
      <w:r w:rsidRPr="00A325F6">
        <w:rPr>
          <w:rFonts w:ascii="Arial" w:eastAsia="Times New Roman" w:hAnsi="Arial" w:cs="Arial"/>
          <w:color w:val="222222"/>
          <w:lang w:eastAsia="es-CO"/>
        </w:rPr>
        <w:t xml:space="preserve"> siguiente</w:t>
      </w:r>
      <w:r>
        <w:rPr>
          <w:rFonts w:ascii="Arial" w:eastAsia="Times New Roman" w:hAnsi="Arial" w:cs="Arial"/>
          <w:color w:val="222222"/>
          <w:lang w:eastAsia="es-CO"/>
        </w:rPr>
        <w:t xml:space="preserve"> forma</w:t>
      </w:r>
      <w:r w:rsidRPr="00A325F6">
        <w:rPr>
          <w:rFonts w:ascii="Arial" w:eastAsia="Times New Roman" w:hAnsi="Arial" w:cs="Arial"/>
          <w:color w:val="222222"/>
          <w:lang w:eastAsia="es-CO"/>
        </w:rPr>
        <w:t>:</w:t>
      </w:r>
    </w:p>
    <w:p w:rsidR="00A23ACD" w:rsidRDefault="00A23ACD" w:rsidP="00A23ACD">
      <w:pPr>
        <w:pStyle w:val="Sinespaciado"/>
        <w:jc w:val="both"/>
        <w:rPr>
          <w:rFonts w:ascii="Arial" w:eastAsia="Times New Roman" w:hAnsi="Arial" w:cs="Arial"/>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color w:val="222222"/>
          <w:lang w:eastAsia="es-CO"/>
        </w:rPr>
        <w:t>“El Ministerio de Salud garantizará el acceso a los insumos, procedimientos y tecnologías que el médico tratante o especialista requiera para atender oportunamente a una víctima de ataque con sustancias o agentes químicos corrosivos a la piel.</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1º.</w:t>
      </w:r>
      <w:r w:rsidRPr="00A325F6">
        <w:rPr>
          <w:rFonts w:ascii="Arial" w:eastAsia="Times New Roman" w:hAnsi="Arial" w:cs="Arial"/>
          <w:color w:val="222222"/>
          <w:lang w:eastAsia="es-CO"/>
        </w:rPr>
        <w:t xml:space="preserve"> La EPS o la entidad que ejerza sus funciones garantizarán al afiliado en menos de 24 horas todo lo solicitado por el médico tratante para su atención, desde insumos, procedimientos médicos y tratamientos alternos, a partir del momento en que es solicitado por el profesional médico, sin perjuicio de la etapa del proceso en que el paciente se encuentre.</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2º</w:t>
      </w:r>
      <w:r w:rsidRPr="00A325F6">
        <w:rPr>
          <w:rFonts w:ascii="Arial" w:eastAsia="Times New Roman" w:hAnsi="Arial" w:cs="Arial"/>
          <w:color w:val="222222"/>
          <w:lang w:eastAsia="es-CO"/>
        </w:rPr>
        <w:t>. Por ningún motivo la EPS o la entidad que ejerza sus funciones podrán suspender el tratamiento, negar procedimientos, o retrasarlos. El Ministerio de Salud verificará que las EPS o la entidad que ejerza sus funciones garanticen las condiciones de continuidad de todo el tratamiento incluidos procedimientos ordinarios y alternos, avalados y supervisados desde las unidades de quemados del país.</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7°.</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Capacitación.</w:t>
      </w:r>
      <w:r w:rsidRPr="00A325F6">
        <w:rPr>
          <w:rFonts w:ascii="Arial" w:eastAsia="Times New Roman" w:hAnsi="Arial" w:cs="Arial"/>
          <w:color w:val="222222"/>
          <w:lang w:eastAsia="es-CO"/>
        </w:rPr>
        <w:t xml:space="preserve"> El Gobierno nacional se encargará de garantizar la capacitación del personal estatal que pueda tener contacto primario con una víctima de ataque con sustancias o agentes químicos corrosivos, a fin de darle la atención correspondiente, esto incluye al personal de la Policía y al del Instituto Nacional de Medicina Legal.</w:t>
      </w:r>
    </w:p>
    <w:p w:rsidR="00A23ACD" w:rsidRDefault="00A23ACD" w:rsidP="00A23ACD">
      <w:pPr>
        <w:pStyle w:val="Sinespaciado"/>
        <w:jc w:val="both"/>
        <w:rPr>
          <w:rFonts w:ascii="Arial" w:eastAsia="Times New Roman" w:hAnsi="Arial" w:cs="Arial"/>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color w:val="222222"/>
          <w:lang w:eastAsia="es-CO"/>
        </w:rPr>
        <w:t>A su vez, el Ministerio de Salud se encargará de que los profesionales médicos de rotación de urgencias tengan capacitación permanente en las principales unidades de quemados del país, y conozcan el tratamiento inmediato de una persona atacada por sustancias o agentes químicos corrosivos a la piel.</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1º</w:t>
      </w:r>
      <w:r w:rsidRPr="00A325F6">
        <w:rPr>
          <w:rFonts w:ascii="Arial" w:eastAsia="Times New Roman" w:hAnsi="Arial" w:cs="Arial"/>
          <w:color w:val="222222"/>
          <w:lang w:eastAsia="es-CO"/>
        </w:rPr>
        <w:t>. El Ministerio de Salud se encargará de fortalecer y apoyar las Unidades de atención de quemados del sistema de salud público del país, con mayor infraestructura, tecnología e inversión, teniendo en cuenta que atienden condiciones de salud grave, y son además, focos de aprendizaje y enseñanza médica especializada.</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 2º</w:t>
      </w:r>
      <w:r w:rsidRPr="00A325F6">
        <w:rPr>
          <w:rFonts w:ascii="Arial" w:eastAsia="Times New Roman" w:hAnsi="Arial" w:cs="Arial"/>
          <w:color w:val="222222"/>
          <w:lang w:eastAsia="es-CO"/>
        </w:rPr>
        <w:t xml:space="preserve">. El Ministerio de Salud se encargará de socializar en un plazo menor a seis meses los protocolos de atención a población atacada con sustancias o agentes químicos corrosivos a </w:t>
      </w:r>
      <w:r w:rsidRPr="00A325F6">
        <w:rPr>
          <w:rFonts w:ascii="Arial" w:eastAsia="Times New Roman" w:hAnsi="Arial" w:cs="Arial"/>
          <w:color w:val="222222"/>
          <w:lang w:eastAsia="es-CO"/>
        </w:rPr>
        <w:lastRenderedPageBreak/>
        <w:t>la piel, entre el total de profesionales médicos y de enfermería del país, con acompañamiento y dirección de las unidades de quemados de la nación.</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8°.</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Alianzas público-privadas</w:t>
      </w:r>
      <w:r w:rsidRPr="00A325F6">
        <w:rPr>
          <w:rFonts w:ascii="Arial" w:eastAsia="Times New Roman" w:hAnsi="Arial" w:cs="Arial"/>
          <w:color w:val="222222"/>
          <w:lang w:eastAsia="es-CO"/>
        </w:rPr>
        <w:t>. El Gobierno nacional deberá establecer las alianzas público-privadas, nacionales e internacionales necesarias para el acceso a tecnologías e insumos requeridos para el efectivo tratamiento de las víctimas de ataques con sustancias o agentes químicos corrosivos a la piel.</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Parágrafo.</w:t>
      </w:r>
      <w:r w:rsidRPr="00A325F6">
        <w:rPr>
          <w:rFonts w:ascii="Arial" w:eastAsia="Times New Roman" w:hAnsi="Arial" w:cs="Arial"/>
          <w:color w:val="222222"/>
          <w:lang w:eastAsia="es-CO"/>
        </w:rPr>
        <w:t xml:space="preserve"> El Ministerio de Salud garantizará el acceso al país, de cantidades industriales necesarias de los insumos que son importantes para la restauración de la dermis del paciente. Un equipo médico seleccionado de las unidades de atención de quemados del país, asesorará al Gobierno en los insumos y cantidades necesarias de los mismos para la atención de estas víctimas.</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9°.</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Campañas</w:t>
      </w:r>
      <w:r w:rsidRPr="00A325F6">
        <w:rPr>
          <w:rFonts w:ascii="Arial" w:eastAsia="Times New Roman" w:hAnsi="Arial" w:cs="Arial"/>
          <w:color w:val="222222"/>
          <w:lang w:eastAsia="es-CO"/>
        </w:rPr>
        <w:t>. El Ministerio de Salud emprenderá campañas de sensibilización y prevención en contra de la agresión con sustancias o agentes químicos corrosivos a la piel.</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10.</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Casos excepcionales.</w:t>
      </w:r>
      <w:r w:rsidRPr="00A325F6">
        <w:rPr>
          <w:rFonts w:ascii="Arial" w:eastAsia="Times New Roman" w:hAnsi="Arial" w:cs="Arial"/>
          <w:color w:val="222222"/>
          <w:lang w:eastAsia="es-CO"/>
        </w:rPr>
        <w:t xml:space="preserve"> Las víctimas atacadas, como caso excepcional, por más de una ocasión bajo la modalidad de este delito, entrarán a formar parte de los planes de seguridad y protección amparados y brindados por el Estado.</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11</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Informe</w:t>
      </w:r>
      <w:r w:rsidRPr="00A325F6">
        <w:rPr>
          <w:rFonts w:ascii="Arial" w:eastAsia="Times New Roman" w:hAnsi="Arial" w:cs="Arial"/>
          <w:color w:val="222222"/>
          <w:lang w:eastAsia="es-CO"/>
        </w:rPr>
        <w:t>. La Superintendencia Nacional de Salud será responsable de rendir un informe anual a la Comisión Séptima de Senado</w:t>
      </w:r>
      <w:r>
        <w:rPr>
          <w:rFonts w:ascii="Arial" w:eastAsia="Times New Roman" w:hAnsi="Arial" w:cs="Arial"/>
          <w:color w:val="222222"/>
          <w:lang w:eastAsia="es-CO"/>
        </w:rPr>
        <w:t xml:space="preserve"> y Cámara</w:t>
      </w:r>
      <w:r w:rsidRPr="00A325F6">
        <w:rPr>
          <w:rFonts w:ascii="Arial" w:eastAsia="Times New Roman" w:hAnsi="Arial" w:cs="Arial"/>
          <w:color w:val="222222"/>
          <w:lang w:eastAsia="es-CO"/>
        </w:rPr>
        <w:t>, dando cuenta del número de víctimas de este delito, y de las quejas presentadas por irregularidades en el sistema de salud que atiende a estas víctimas.</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12.</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Del registro.</w:t>
      </w:r>
      <w:r w:rsidRPr="00A325F6">
        <w:rPr>
          <w:rFonts w:ascii="Arial" w:eastAsia="Times New Roman" w:hAnsi="Arial" w:cs="Arial"/>
          <w:color w:val="222222"/>
          <w:lang w:eastAsia="es-CO"/>
        </w:rPr>
        <w:t xml:space="preserve"> El Ministerio de Salud consolidará anualmente un registro único de las víctimas de ataques con sustancias o agentes químicos corrosivos a la piel.</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13. Sanciones</w:t>
      </w:r>
      <w:r w:rsidRPr="00A325F6">
        <w:rPr>
          <w:rFonts w:ascii="Arial" w:eastAsia="Times New Roman" w:hAnsi="Arial" w:cs="Arial"/>
          <w:color w:val="222222"/>
          <w:lang w:eastAsia="es-CO"/>
        </w:rPr>
        <w:t>. El Gobierno nacional establecerá las sanciones al incumplimiento de uno o más artículos de la presente ley.</w:t>
      </w:r>
    </w:p>
    <w:p w:rsidR="00A23ACD" w:rsidRDefault="00A23ACD" w:rsidP="00A23ACD">
      <w:pPr>
        <w:pStyle w:val="Sinespaciado"/>
        <w:jc w:val="both"/>
        <w:rPr>
          <w:rFonts w:ascii="Arial" w:eastAsia="Times New Roman" w:hAnsi="Arial" w:cs="Arial"/>
          <w:b/>
          <w:color w:val="222222"/>
          <w:lang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color w:val="222222"/>
          <w:lang w:eastAsia="es-CO"/>
        </w:rPr>
        <w:t>Artículo 14.</w:t>
      </w:r>
      <w:r w:rsidRPr="00A325F6">
        <w:rPr>
          <w:rFonts w:ascii="Arial" w:eastAsia="Times New Roman" w:hAnsi="Arial" w:cs="Arial"/>
          <w:color w:val="222222"/>
          <w:lang w:eastAsia="es-CO"/>
        </w:rPr>
        <w:t xml:space="preserve"> </w:t>
      </w:r>
      <w:r w:rsidRPr="00A325F6">
        <w:rPr>
          <w:rFonts w:ascii="Arial" w:eastAsia="Times New Roman" w:hAnsi="Arial" w:cs="Arial"/>
          <w:b/>
          <w:color w:val="222222"/>
          <w:lang w:eastAsia="es-CO"/>
        </w:rPr>
        <w:t>Vigencia</w:t>
      </w:r>
      <w:r w:rsidRPr="00A325F6">
        <w:rPr>
          <w:rFonts w:ascii="Arial" w:eastAsia="Times New Roman" w:hAnsi="Arial" w:cs="Arial"/>
          <w:color w:val="222222"/>
          <w:lang w:eastAsia="es-CO"/>
        </w:rPr>
        <w:t>. La presente ley rige a partir de su promulgación y deroga todas las demás disposiciones que le sean contrarias.</w:t>
      </w:r>
    </w:p>
    <w:p w:rsidR="00A23ACD" w:rsidRPr="00A325F6" w:rsidRDefault="00A23ACD" w:rsidP="00A23ACD">
      <w:pPr>
        <w:pStyle w:val="Sinespaciado"/>
        <w:jc w:val="both"/>
        <w:rPr>
          <w:rFonts w:ascii="Arial" w:eastAsia="Times New Roman" w:hAnsi="Arial" w:cs="Arial"/>
          <w:color w:val="222222"/>
          <w:lang w:eastAsia="es-CO"/>
        </w:rPr>
      </w:pPr>
    </w:p>
    <w:p w:rsidR="00A23ACD" w:rsidRPr="00A325F6" w:rsidRDefault="00A23ACD" w:rsidP="00A23ACD">
      <w:pPr>
        <w:pStyle w:val="Sinespaciado"/>
        <w:jc w:val="both"/>
        <w:rPr>
          <w:rFonts w:ascii="Arial" w:hAnsi="Arial" w:cs="Arial"/>
          <w:lang w:val="es-ES"/>
        </w:rPr>
      </w:pPr>
      <w:r w:rsidRPr="00A325F6">
        <w:rPr>
          <w:rFonts w:ascii="Arial" w:hAnsi="Arial" w:cs="Arial"/>
          <w:lang w:val="es-ES"/>
        </w:rPr>
        <w:t>Cordialmente,</w:t>
      </w:r>
    </w:p>
    <w:p w:rsidR="00A23ACD" w:rsidRPr="00A325F6" w:rsidRDefault="00A23ACD" w:rsidP="00A23ACD">
      <w:pPr>
        <w:pStyle w:val="Sinespaciado"/>
        <w:jc w:val="both"/>
        <w:rPr>
          <w:rFonts w:ascii="Arial" w:hAnsi="Arial" w:cs="Arial"/>
          <w:lang w:val="es-ES"/>
        </w:rPr>
      </w:pPr>
    </w:p>
    <w:p w:rsidR="00A23ACD" w:rsidRDefault="00A23ACD" w:rsidP="00A23ACD">
      <w:pPr>
        <w:pStyle w:val="Sinespaciado"/>
        <w:jc w:val="both"/>
        <w:rPr>
          <w:rFonts w:ascii="Arial" w:hAnsi="Arial" w:cs="Arial"/>
          <w:lang w:val="es-ES"/>
        </w:rPr>
      </w:pPr>
    </w:p>
    <w:p w:rsidR="00DE0F51" w:rsidRPr="00A325F6" w:rsidRDefault="00DE0F51" w:rsidP="00A23ACD">
      <w:pPr>
        <w:pStyle w:val="Sinespaciado"/>
        <w:jc w:val="both"/>
        <w:rPr>
          <w:rFonts w:ascii="Arial" w:hAnsi="Arial" w:cs="Arial"/>
          <w:lang w:val="es-ES"/>
        </w:rPr>
      </w:pPr>
    </w:p>
    <w:p w:rsidR="00A23ACD" w:rsidRDefault="00A23ACD" w:rsidP="00A23ACD">
      <w:pPr>
        <w:pStyle w:val="Sinespaciado"/>
        <w:jc w:val="both"/>
        <w:rPr>
          <w:rFonts w:ascii="Arial" w:eastAsia="Times New Roman" w:hAnsi="Arial" w:cs="Arial"/>
          <w:b/>
          <w:bCs/>
          <w:color w:val="000000"/>
          <w:lang w:val="es-ES" w:eastAsia="es-CO"/>
        </w:rPr>
      </w:pPr>
    </w:p>
    <w:p w:rsidR="00A23ACD" w:rsidRPr="00A325F6" w:rsidRDefault="00A23ACD" w:rsidP="00A23ACD">
      <w:pPr>
        <w:pStyle w:val="Sinespaciado"/>
        <w:jc w:val="both"/>
        <w:rPr>
          <w:rFonts w:ascii="Arial" w:eastAsia="Times New Roman" w:hAnsi="Arial" w:cs="Arial"/>
          <w:color w:val="222222"/>
          <w:lang w:eastAsia="es-CO"/>
        </w:rPr>
      </w:pPr>
      <w:r w:rsidRPr="00A325F6">
        <w:rPr>
          <w:rFonts w:ascii="Arial" w:eastAsia="Times New Roman" w:hAnsi="Arial" w:cs="Arial"/>
          <w:b/>
          <w:bCs/>
          <w:color w:val="000000"/>
          <w:lang w:val="es-ES" w:eastAsia="es-CO"/>
        </w:rPr>
        <w:t xml:space="preserve">ESPERANZA PINZÓN DE JIMÉNEZ                                                      </w:t>
      </w:r>
    </w:p>
    <w:p w:rsidR="00994041" w:rsidRPr="00AE5897" w:rsidRDefault="00A23ACD" w:rsidP="00A23ACD">
      <w:pPr>
        <w:pStyle w:val="Sinespaciado"/>
        <w:jc w:val="both"/>
        <w:rPr>
          <w:rFonts w:ascii="Arial" w:eastAsia="Arial Unicode MS" w:hAnsi="Arial" w:cs="Arial"/>
          <w:bCs/>
          <w:lang w:eastAsia="es-CO"/>
        </w:rPr>
      </w:pPr>
      <w:r w:rsidRPr="00A325F6">
        <w:rPr>
          <w:rFonts w:ascii="Arial" w:eastAsia="Times New Roman" w:hAnsi="Arial" w:cs="Arial"/>
          <w:color w:val="000000"/>
          <w:lang w:val="es-ES" w:eastAsia="es-CO"/>
        </w:rPr>
        <w:t>Ponente</w:t>
      </w:r>
      <w:r>
        <w:rPr>
          <w:rFonts w:ascii="Arial" w:eastAsia="Times New Roman" w:hAnsi="Arial" w:cs="Arial"/>
          <w:color w:val="000000"/>
          <w:lang w:val="es-ES" w:eastAsia="es-CO"/>
        </w:rPr>
        <w:t xml:space="preserve"> única</w:t>
      </w:r>
      <w:bookmarkStart w:id="0" w:name="_GoBack"/>
      <w:bookmarkEnd w:id="0"/>
    </w:p>
    <w:sectPr w:rsidR="00994041" w:rsidRPr="00AE5897" w:rsidSect="00A63400">
      <w:headerReference w:type="default" r:id="rId8"/>
      <w:footerReference w:type="default" r:id="rId9"/>
      <w:pgSz w:w="12240" w:h="15840" w:code="1"/>
      <w:pgMar w:top="2155" w:right="1134" w:bottom="567" w:left="1701"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122" w:rsidRDefault="001E0122" w:rsidP="001A75AA">
      <w:pPr>
        <w:spacing w:after="0" w:line="240" w:lineRule="auto"/>
      </w:pPr>
      <w:r>
        <w:separator/>
      </w:r>
    </w:p>
  </w:endnote>
  <w:endnote w:type="continuationSeparator" w:id="0">
    <w:p w:rsidR="001E0122" w:rsidRDefault="001E0122"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122" w:rsidRDefault="001E0122" w:rsidP="001A75AA">
      <w:pPr>
        <w:spacing w:after="0" w:line="240" w:lineRule="auto"/>
      </w:pPr>
      <w:r>
        <w:separator/>
      </w:r>
    </w:p>
  </w:footnote>
  <w:footnote w:type="continuationSeparator" w:id="0">
    <w:p w:rsidR="001E0122" w:rsidRDefault="001E0122"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7"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8"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9"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7"/>
  </w:num>
  <w:num w:numId="3">
    <w:abstractNumId w:val="28"/>
  </w:num>
  <w:num w:numId="4">
    <w:abstractNumId w:val="30"/>
  </w:num>
  <w:num w:numId="5">
    <w:abstractNumId w:val="11"/>
  </w:num>
  <w:num w:numId="6">
    <w:abstractNumId w:val="22"/>
  </w:num>
  <w:num w:numId="7">
    <w:abstractNumId w:val="19"/>
  </w:num>
  <w:num w:numId="8">
    <w:abstractNumId w:val="33"/>
  </w:num>
  <w:num w:numId="9">
    <w:abstractNumId w:val="25"/>
  </w:num>
  <w:num w:numId="10">
    <w:abstractNumId w:val="34"/>
  </w:num>
  <w:num w:numId="11">
    <w:abstractNumId w:val="8"/>
  </w:num>
  <w:num w:numId="12">
    <w:abstractNumId w:val="10"/>
  </w:num>
  <w:num w:numId="13">
    <w:abstractNumId w:val="5"/>
  </w:num>
  <w:num w:numId="14">
    <w:abstractNumId w:val="31"/>
  </w:num>
  <w:num w:numId="15">
    <w:abstractNumId w:val="2"/>
  </w:num>
  <w:num w:numId="16">
    <w:abstractNumId w:val="23"/>
  </w:num>
  <w:num w:numId="17">
    <w:abstractNumId w:val="1"/>
  </w:num>
  <w:num w:numId="18">
    <w:abstractNumId w:val="13"/>
  </w:num>
  <w:num w:numId="19">
    <w:abstractNumId w:val="6"/>
  </w:num>
  <w:num w:numId="20">
    <w:abstractNumId w:val="18"/>
  </w:num>
  <w:num w:numId="21">
    <w:abstractNumId w:val="14"/>
  </w:num>
  <w:num w:numId="22">
    <w:abstractNumId w:val="12"/>
  </w:num>
  <w:num w:numId="23">
    <w:abstractNumId w:val="26"/>
  </w:num>
  <w:num w:numId="24">
    <w:abstractNumId w:val="24"/>
  </w:num>
  <w:num w:numId="25">
    <w:abstractNumId w:val="32"/>
  </w:num>
  <w:num w:numId="26">
    <w:abstractNumId w:val="17"/>
  </w:num>
  <w:num w:numId="27">
    <w:abstractNumId w:val="29"/>
  </w:num>
  <w:num w:numId="28">
    <w:abstractNumId w:val="3"/>
  </w:num>
  <w:num w:numId="29">
    <w:abstractNumId w:val="7"/>
  </w:num>
  <w:num w:numId="30">
    <w:abstractNumId w:val="20"/>
  </w:num>
  <w:num w:numId="31">
    <w:abstractNumId w:val="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0122"/>
    <w:rsid w:val="001E27BF"/>
    <w:rsid w:val="001F62AE"/>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80F35"/>
    <w:rsid w:val="0048114C"/>
    <w:rsid w:val="00484FBF"/>
    <w:rsid w:val="0048518F"/>
    <w:rsid w:val="00487799"/>
    <w:rsid w:val="00487D37"/>
    <w:rsid w:val="00494A18"/>
    <w:rsid w:val="004A1D04"/>
    <w:rsid w:val="004A2006"/>
    <w:rsid w:val="004A4C6F"/>
    <w:rsid w:val="004B1160"/>
    <w:rsid w:val="004B4719"/>
    <w:rsid w:val="004B47F9"/>
    <w:rsid w:val="004B7885"/>
    <w:rsid w:val="004C3501"/>
    <w:rsid w:val="004D0108"/>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25D6"/>
    <w:rsid w:val="005835FD"/>
    <w:rsid w:val="00583B23"/>
    <w:rsid w:val="00586945"/>
    <w:rsid w:val="00587D45"/>
    <w:rsid w:val="00594EE6"/>
    <w:rsid w:val="00595842"/>
    <w:rsid w:val="005B29EB"/>
    <w:rsid w:val="005C0101"/>
    <w:rsid w:val="005C265D"/>
    <w:rsid w:val="005C46B5"/>
    <w:rsid w:val="005C6DC9"/>
    <w:rsid w:val="005D3575"/>
    <w:rsid w:val="005D4E38"/>
    <w:rsid w:val="005E12DE"/>
    <w:rsid w:val="005E46E7"/>
    <w:rsid w:val="005F2C9B"/>
    <w:rsid w:val="0061264E"/>
    <w:rsid w:val="00613B02"/>
    <w:rsid w:val="00622B3F"/>
    <w:rsid w:val="00622B74"/>
    <w:rsid w:val="006276D2"/>
    <w:rsid w:val="0063155D"/>
    <w:rsid w:val="00637559"/>
    <w:rsid w:val="00645C61"/>
    <w:rsid w:val="00670DED"/>
    <w:rsid w:val="00671BC3"/>
    <w:rsid w:val="0067641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11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20232"/>
    <w:rsid w:val="00A20FB3"/>
    <w:rsid w:val="00A223A5"/>
    <w:rsid w:val="00A23ACD"/>
    <w:rsid w:val="00A24B2C"/>
    <w:rsid w:val="00A26683"/>
    <w:rsid w:val="00A32626"/>
    <w:rsid w:val="00A3797C"/>
    <w:rsid w:val="00A466E2"/>
    <w:rsid w:val="00A4736E"/>
    <w:rsid w:val="00A52153"/>
    <w:rsid w:val="00A5385F"/>
    <w:rsid w:val="00A55B53"/>
    <w:rsid w:val="00A63400"/>
    <w:rsid w:val="00A644EA"/>
    <w:rsid w:val="00A66C8B"/>
    <w:rsid w:val="00A739BC"/>
    <w:rsid w:val="00A76565"/>
    <w:rsid w:val="00A769D4"/>
    <w:rsid w:val="00A76CEC"/>
    <w:rsid w:val="00A76ED5"/>
    <w:rsid w:val="00A908E5"/>
    <w:rsid w:val="00A92671"/>
    <w:rsid w:val="00A9451E"/>
    <w:rsid w:val="00AA3B73"/>
    <w:rsid w:val="00AB10D9"/>
    <w:rsid w:val="00AB4143"/>
    <w:rsid w:val="00AD580C"/>
    <w:rsid w:val="00AE5897"/>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6A38"/>
    <w:rsid w:val="00D7467B"/>
    <w:rsid w:val="00D761DD"/>
    <w:rsid w:val="00D8118C"/>
    <w:rsid w:val="00D81B26"/>
    <w:rsid w:val="00D83320"/>
    <w:rsid w:val="00D83610"/>
    <w:rsid w:val="00D86E0C"/>
    <w:rsid w:val="00D9054F"/>
    <w:rsid w:val="00D94A44"/>
    <w:rsid w:val="00D97B31"/>
    <w:rsid w:val="00DA6203"/>
    <w:rsid w:val="00DB08FB"/>
    <w:rsid w:val="00DB1EC0"/>
    <w:rsid w:val="00DC1A7C"/>
    <w:rsid w:val="00DD2204"/>
    <w:rsid w:val="00DD235F"/>
    <w:rsid w:val="00DD2F8B"/>
    <w:rsid w:val="00DD62CA"/>
    <w:rsid w:val="00DE0F51"/>
    <w:rsid w:val="00DE4A3F"/>
    <w:rsid w:val="00DE5D05"/>
    <w:rsid w:val="00E020D5"/>
    <w:rsid w:val="00E05114"/>
    <w:rsid w:val="00E17403"/>
    <w:rsid w:val="00E42F28"/>
    <w:rsid w:val="00E501B8"/>
    <w:rsid w:val="00E53778"/>
    <w:rsid w:val="00E61324"/>
    <w:rsid w:val="00E62CF7"/>
    <w:rsid w:val="00E67E16"/>
    <w:rsid w:val="00E73DC8"/>
    <w:rsid w:val="00E77C5E"/>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3658"/>
    <w:rsid w:val="00F343C3"/>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F4B-0A72-4316-8A63-EF2237BA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1201</Words>
  <Characters>6609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4</cp:revision>
  <cp:lastPrinted>2017-09-13T21:22:00Z</cp:lastPrinted>
  <dcterms:created xsi:type="dcterms:W3CDTF">2017-10-03T21:13:00Z</dcterms:created>
  <dcterms:modified xsi:type="dcterms:W3CDTF">2017-10-03T21:35:00Z</dcterms:modified>
</cp:coreProperties>
</file>