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6F2192" w:rsidRPr="00467A27" w:rsidRDefault="002717D1" w:rsidP="006F2192">
      <w:pPr>
        <w:jc w:val="center"/>
        <w:textAlignment w:val="center"/>
        <w:rPr>
          <w:rFonts w:ascii="Arial" w:eastAsia="Times New Roman" w:hAnsi="Arial" w:cs="Arial"/>
          <w:b/>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 xml:space="preserve">L </w:t>
      </w:r>
      <w:r w:rsidR="007855A6" w:rsidRPr="003E193F">
        <w:rPr>
          <w:rFonts w:ascii="Arial" w:hAnsi="Arial" w:cs="Arial"/>
          <w:b/>
          <w:bCs/>
        </w:rPr>
        <w:t xml:space="preserve">PROYECTO DE LEY </w:t>
      </w:r>
      <w:r w:rsidR="00E67F56">
        <w:rPr>
          <w:rFonts w:ascii="Arial" w:hAnsi="Arial" w:cs="Arial"/>
          <w:b/>
          <w:bCs/>
        </w:rPr>
        <w:t xml:space="preserve">No. </w:t>
      </w:r>
      <w:r w:rsidR="00E67F56">
        <w:rPr>
          <w:rFonts w:ascii="Arial" w:hAnsi="Arial" w:cs="Arial"/>
          <w:b/>
          <w:bCs/>
        </w:rPr>
        <w:t>123</w:t>
      </w:r>
      <w:r w:rsidR="00E67F56">
        <w:rPr>
          <w:rFonts w:ascii="Arial" w:hAnsi="Arial" w:cs="Arial"/>
          <w:b/>
        </w:rPr>
        <w:t xml:space="preserve"> DE 2017 CÁMARA “</w:t>
      </w:r>
      <w:r w:rsidR="00E67F56" w:rsidRPr="00381F47">
        <w:rPr>
          <w:rFonts w:ascii="Arial" w:hAnsi="Arial" w:cs="Arial"/>
          <w:b/>
        </w:rPr>
        <w:t>P</w:t>
      </w:r>
      <w:r w:rsidR="00E67F56" w:rsidRPr="00381F47">
        <w:rPr>
          <w:rFonts w:ascii="Arial" w:hAnsi="Arial" w:cs="Arial"/>
          <w:b/>
          <w:bCs/>
          <w:iCs/>
        </w:rPr>
        <w:t>OR EL CUAL SE DICTAN DISPOSICIONES RELACIONADAS CON LA DIGNIFICACIÓN DEL TRABAJO DE LA POBLACIÓN RURAL EN COLOMBIA Y EL ESTABLECIMIENTO DE UN PISO DE PROTECCIÓN SOCIAL MÍNIMO</w:t>
      </w:r>
      <w:r w:rsidR="006F2192" w:rsidRPr="00467A27">
        <w:rPr>
          <w:rFonts w:ascii="Arial" w:eastAsia="Times New Roman" w:hAnsi="Arial" w:cs="Arial"/>
          <w:b/>
          <w:lang w:eastAsia="es-CO"/>
        </w:rPr>
        <w:t>”</w:t>
      </w:r>
    </w:p>
    <w:p w:rsidR="002717D1" w:rsidRPr="000911A5" w:rsidRDefault="002717D1" w:rsidP="00151008">
      <w:pPr>
        <w:spacing w:line="240" w:lineRule="auto"/>
        <w:contextualSpacing/>
        <w:jc w:val="center"/>
        <w:rPr>
          <w:rFonts w:ascii="Arial" w:hAnsi="Arial" w:cs="Arial"/>
        </w:rPr>
      </w:pPr>
      <w:r w:rsidRPr="000911A5">
        <w:rPr>
          <w:rFonts w:ascii="Arial" w:hAnsi="Arial" w:cs="Arial"/>
        </w:rPr>
        <w:t xml:space="preserve">(Aprobado en la </w:t>
      </w:r>
      <w:r w:rsidR="006B757E" w:rsidRPr="000911A5">
        <w:rPr>
          <w:rFonts w:ascii="Arial" w:hAnsi="Arial" w:cs="Arial"/>
        </w:rPr>
        <w:t>Sesión</w:t>
      </w:r>
      <w:r w:rsidRPr="000911A5">
        <w:rPr>
          <w:rFonts w:ascii="Arial" w:hAnsi="Arial" w:cs="Arial"/>
        </w:rPr>
        <w:t xml:space="preserve"> de</w:t>
      </w:r>
      <w:r w:rsidR="006B757E" w:rsidRPr="000911A5">
        <w:rPr>
          <w:rFonts w:ascii="Arial" w:hAnsi="Arial" w:cs="Arial"/>
        </w:rPr>
        <w:t xml:space="preserve">l </w:t>
      </w:r>
      <w:r w:rsidR="007855A6">
        <w:rPr>
          <w:rFonts w:ascii="Arial" w:hAnsi="Arial" w:cs="Arial"/>
        </w:rPr>
        <w:t>31</w:t>
      </w:r>
      <w:r w:rsidR="006F2192">
        <w:rPr>
          <w:rFonts w:ascii="Arial" w:hAnsi="Arial" w:cs="Arial"/>
        </w:rPr>
        <w:t xml:space="preserve"> </w:t>
      </w:r>
      <w:r w:rsidRPr="000911A5">
        <w:rPr>
          <w:rFonts w:ascii="Arial" w:hAnsi="Arial" w:cs="Arial"/>
        </w:rPr>
        <w:t xml:space="preserve">de </w:t>
      </w:r>
      <w:r w:rsidR="007855A6">
        <w:rPr>
          <w:rFonts w:ascii="Arial" w:hAnsi="Arial" w:cs="Arial"/>
        </w:rPr>
        <w:t xml:space="preserve">octubre </w:t>
      </w:r>
      <w:r w:rsidRPr="000911A5">
        <w:rPr>
          <w:rFonts w:ascii="Arial" w:hAnsi="Arial" w:cs="Arial"/>
        </w:rPr>
        <w:t>de 201</w:t>
      </w:r>
      <w:r w:rsidR="009C714F">
        <w:rPr>
          <w:rFonts w:ascii="Arial" w:hAnsi="Arial" w:cs="Arial"/>
        </w:rPr>
        <w:t>7</w:t>
      </w:r>
      <w:r w:rsidRPr="000911A5">
        <w:rPr>
          <w:rFonts w:ascii="Arial" w:hAnsi="Arial" w:cs="Arial"/>
        </w:rPr>
        <w:t xml:space="preserve"> en la Comisión VII de la H. Cámara de Representantes, Acta No.</w:t>
      </w:r>
      <w:r w:rsidR="006B757E" w:rsidRPr="000911A5">
        <w:rPr>
          <w:rFonts w:ascii="Arial" w:hAnsi="Arial" w:cs="Arial"/>
        </w:rPr>
        <w:t xml:space="preserve"> </w:t>
      </w:r>
      <w:r w:rsidR="007855A6">
        <w:rPr>
          <w:rFonts w:ascii="Arial" w:hAnsi="Arial" w:cs="Arial"/>
        </w:rPr>
        <w:t>20</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6F2192" w:rsidRPr="00467A27" w:rsidRDefault="006F2192" w:rsidP="006F2192">
      <w:pPr>
        <w:pStyle w:val="Sinespaciado"/>
        <w:jc w:val="center"/>
        <w:rPr>
          <w:rFonts w:ascii="Arial" w:hAnsi="Arial" w:cs="Arial"/>
          <w:b/>
          <w:lang w:eastAsia="es-CO"/>
        </w:rPr>
      </w:pPr>
      <w:r w:rsidRPr="00467A27">
        <w:rPr>
          <w:rFonts w:ascii="Arial" w:hAnsi="Arial" w:cs="Arial"/>
          <w:b/>
          <w:lang w:eastAsia="es-CO"/>
        </w:rPr>
        <w:t>DECRETA:</w:t>
      </w:r>
    </w:p>
    <w:p w:rsidR="006F2192" w:rsidRPr="00467A27" w:rsidRDefault="006F2192" w:rsidP="006F2192">
      <w:pPr>
        <w:pStyle w:val="Sinespaciado"/>
        <w:jc w:val="both"/>
        <w:rPr>
          <w:rFonts w:ascii="Arial" w:hAnsi="Arial" w:cs="Arial"/>
          <w:lang w:eastAsia="es-CO"/>
        </w:rPr>
      </w:pPr>
    </w:p>
    <w:p w:rsidR="00E67F56" w:rsidRDefault="00E67F56" w:rsidP="00E67F56">
      <w:pPr>
        <w:pStyle w:val="Sinespaciado"/>
        <w:jc w:val="center"/>
        <w:rPr>
          <w:rFonts w:ascii="Arial" w:hAnsi="Arial" w:cs="Arial"/>
          <w:b/>
        </w:rPr>
      </w:pPr>
      <w:r>
        <w:rPr>
          <w:rFonts w:ascii="Arial" w:hAnsi="Arial" w:cs="Arial"/>
          <w:b/>
        </w:rPr>
        <w:t>CAPITULO PRIMERO</w:t>
      </w:r>
    </w:p>
    <w:p w:rsidR="00E67F56" w:rsidRDefault="00E67F56" w:rsidP="00E67F56">
      <w:pPr>
        <w:pStyle w:val="Sinespaciado"/>
        <w:jc w:val="center"/>
        <w:rPr>
          <w:rFonts w:ascii="Arial" w:hAnsi="Arial" w:cs="Arial"/>
          <w:b/>
        </w:rPr>
      </w:pPr>
    </w:p>
    <w:p w:rsidR="00E67F56" w:rsidRDefault="00E67F56" w:rsidP="00E67F56">
      <w:pPr>
        <w:pStyle w:val="Sinespaciado"/>
        <w:jc w:val="center"/>
        <w:rPr>
          <w:rFonts w:ascii="Arial" w:hAnsi="Arial" w:cs="Arial"/>
          <w:b/>
        </w:rPr>
      </w:pPr>
      <w:r>
        <w:rPr>
          <w:rFonts w:ascii="Arial" w:hAnsi="Arial" w:cs="Arial"/>
          <w:b/>
        </w:rPr>
        <w:t>Disposiciones Generales</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 Principios</w:t>
      </w:r>
      <w:r>
        <w:rPr>
          <w:rFonts w:ascii="Arial" w:hAnsi="Arial" w:cs="Arial"/>
        </w:rPr>
        <w:t xml:space="preserve">. Los principios que orientan la presente Ley son los siguientes: </w:t>
      </w:r>
    </w:p>
    <w:p w:rsidR="00E67F56" w:rsidRDefault="00E67F56" w:rsidP="00E67F56">
      <w:pPr>
        <w:pStyle w:val="Sinespaciado"/>
        <w:jc w:val="both"/>
        <w:rPr>
          <w:rFonts w:ascii="Arial" w:hAnsi="Arial" w:cs="Arial"/>
          <w:b/>
        </w:rPr>
      </w:pPr>
    </w:p>
    <w:p w:rsidR="00E67F56" w:rsidRDefault="00E67F56" w:rsidP="00E67F56">
      <w:pPr>
        <w:pStyle w:val="Sinespaciado"/>
        <w:numPr>
          <w:ilvl w:val="0"/>
          <w:numId w:val="32"/>
        </w:numPr>
        <w:jc w:val="both"/>
        <w:rPr>
          <w:rFonts w:ascii="Arial" w:hAnsi="Arial" w:cs="Arial"/>
        </w:rPr>
      </w:pPr>
      <w:r>
        <w:rPr>
          <w:rFonts w:ascii="Arial" w:hAnsi="Arial" w:cs="Arial"/>
          <w:b/>
        </w:rPr>
        <w:t>Eficiencia</w:t>
      </w:r>
      <w:r>
        <w:rPr>
          <w:rFonts w:ascii="Arial" w:hAnsi="Arial" w:cs="Arial"/>
        </w:rPr>
        <w:t xml:space="preserve">. Es la mejor utilización social y económica de los recursos administrativos, técnicos y financieros disponibles para que los beneficios a que da derecho el Sistema de Protección Social, sean prestados en forma adecuada, oportuna y suficiente.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2"/>
        </w:numPr>
        <w:jc w:val="both"/>
        <w:rPr>
          <w:rFonts w:ascii="Arial" w:hAnsi="Arial" w:cs="Arial"/>
        </w:rPr>
      </w:pPr>
      <w:r>
        <w:rPr>
          <w:rFonts w:ascii="Arial" w:hAnsi="Arial" w:cs="Arial"/>
          <w:b/>
        </w:rPr>
        <w:t>Universalidad.</w:t>
      </w:r>
      <w:r>
        <w:rPr>
          <w:rFonts w:ascii="Arial" w:hAnsi="Arial" w:cs="Arial"/>
        </w:rPr>
        <w:t xml:space="preserve"> Es la garantía de la protección social mínima para todos los habitantes del sector rural que desempeñen actividades agropecuarias, sin ninguna discriminación, en todas las etapas de la vida.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2"/>
        </w:numPr>
        <w:jc w:val="both"/>
        <w:rPr>
          <w:rFonts w:ascii="Arial" w:hAnsi="Arial" w:cs="Arial"/>
        </w:rPr>
      </w:pPr>
      <w:r>
        <w:rPr>
          <w:rFonts w:ascii="Arial" w:hAnsi="Arial" w:cs="Arial"/>
          <w:b/>
        </w:rPr>
        <w:t>Solidaridad.</w:t>
      </w:r>
      <w:r>
        <w:rPr>
          <w:rFonts w:ascii="Arial" w:hAnsi="Arial" w:cs="Arial"/>
        </w:rPr>
        <w:t xml:space="preserve"> Es la práctica de la mutua ayuda entre las personas, las generaciones, los sectores económicos, las regiones y las comunidades en beneficio de la población rural. </w:t>
      </w:r>
    </w:p>
    <w:p w:rsidR="00E67F56" w:rsidRDefault="00E67F56" w:rsidP="00E67F56">
      <w:pPr>
        <w:pStyle w:val="Sinespaciado"/>
        <w:jc w:val="both"/>
        <w:rPr>
          <w:rFonts w:ascii="Arial" w:hAnsi="Arial" w:cs="Arial"/>
        </w:rPr>
      </w:pPr>
    </w:p>
    <w:p w:rsidR="00E67F56" w:rsidRDefault="00E67F56" w:rsidP="00E67F56">
      <w:pPr>
        <w:pStyle w:val="Sinespaciado"/>
        <w:ind w:left="708"/>
        <w:jc w:val="both"/>
        <w:rPr>
          <w:rFonts w:ascii="Arial" w:hAnsi="Arial" w:cs="Arial"/>
        </w:rPr>
      </w:pPr>
      <w:r>
        <w:rPr>
          <w:rFonts w:ascii="Arial" w:hAnsi="Arial" w:cs="Arial"/>
        </w:rPr>
        <w:t xml:space="preserve">Es deber del Estado garantizar la solidaridad en el Sistema de Protección Social para el habitante del sector rural que desempeñe actividades agropecuarias mediante su participación, control y la coordinación del mismo.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2"/>
        </w:numPr>
        <w:jc w:val="both"/>
        <w:rPr>
          <w:rFonts w:ascii="Arial" w:hAnsi="Arial" w:cs="Arial"/>
        </w:rPr>
      </w:pPr>
      <w:r>
        <w:rPr>
          <w:rFonts w:ascii="Arial" w:hAnsi="Arial" w:cs="Arial"/>
          <w:b/>
        </w:rPr>
        <w:t>Integralidad</w:t>
      </w:r>
      <w:r>
        <w:rPr>
          <w:rFonts w:ascii="Arial" w:hAnsi="Arial" w:cs="Arial"/>
        </w:rPr>
        <w:t xml:space="preserve">. Es la cobertura mínima de las contingencias que afectan la salud, la capacidad económica y en general las condiciones de vida del habitante del sector rural que desempeñe actividades agropecuarias. Para este efecto cada quien contribuirá según su capacidad y recibirá las prestaciones mínimas necesarias para atender sus contingencias amparadas por esta Ley.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2"/>
        </w:numPr>
        <w:jc w:val="both"/>
        <w:rPr>
          <w:rFonts w:ascii="Arial" w:hAnsi="Arial" w:cs="Arial"/>
        </w:rPr>
      </w:pPr>
      <w:r>
        <w:rPr>
          <w:rFonts w:ascii="Arial" w:hAnsi="Arial" w:cs="Arial"/>
          <w:b/>
        </w:rPr>
        <w:t>Especialidad.</w:t>
      </w:r>
      <w:r>
        <w:rPr>
          <w:rFonts w:ascii="Arial" w:hAnsi="Arial" w:cs="Arial"/>
        </w:rPr>
        <w:t xml:space="preserve"> Es el reconocimiento de las diferencias, particularidades y características propias de la economía y los habitantes del sector rural que desempeñen actividades agropecuarias en Colombia. </w:t>
      </w:r>
    </w:p>
    <w:p w:rsidR="00E67F56" w:rsidRDefault="00E67F56" w:rsidP="00E67F56">
      <w:pPr>
        <w:pStyle w:val="Sinespaciado"/>
        <w:jc w:val="both"/>
        <w:rPr>
          <w:rFonts w:ascii="Arial" w:hAnsi="Arial" w:cs="Arial"/>
        </w:rPr>
      </w:pPr>
    </w:p>
    <w:p w:rsidR="00E67F56" w:rsidRDefault="00E67F56" w:rsidP="00E67F56">
      <w:pPr>
        <w:pStyle w:val="Sinespaciado"/>
        <w:ind w:left="708"/>
        <w:jc w:val="both"/>
        <w:rPr>
          <w:rFonts w:ascii="Arial" w:hAnsi="Arial" w:cs="Arial"/>
        </w:rPr>
      </w:pPr>
      <w:r>
        <w:rPr>
          <w:rFonts w:ascii="Arial" w:hAnsi="Arial" w:cs="Arial"/>
        </w:rPr>
        <w:lastRenderedPageBreak/>
        <w:t xml:space="preserve">Bajo el reconocimiento de estas diferencias y con el fin de dignificar al habitante del sector rural que desempeñe actividades agropecuarias, se diseña la Política de Atención Mínima en Materia de Protección Social para esta población y se crea una modalidad especial de contrato de trabajo agropecuario. </w:t>
      </w:r>
    </w:p>
    <w:p w:rsidR="00E67F56" w:rsidRDefault="00E67F56" w:rsidP="00E67F56">
      <w:pPr>
        <w:pStyle w:val="Sinespaciado"/>
        <w:jc w:val="both"/>
        <w:rPr>
          <w:rFonts w:ascii="Arial" w:hAnsi="Arial" w:cs="Arial"/>
          <w:b/>
        </w:rPr>
      </w:pPr>
    </w:p>
    <w:p w:rsidR="00E67F56" w:rsidRDefault="00E67F56" w:rsidP="00E67F56">
      <w:pPr>
        <w:pStyle w:val="Sinespaciado"/>
        <w:numPr>
          <w:ilvl w:val="0"/>
          <w:numId w:val="32"/>
        </w:numPr>
        <w:jc w:val="both"/>
        <w:rPr>
          <w:rFonts w:ascii="Arial" w:hAnsi="Arial" w:cs="Arial"/>
        </w:rPr>
      </w:pPr>
      <w:r>
        <w:rPr>
          <w:rFonts w:ascii="Arial" w:hAnsi="Arial" w:cs="Arial"/>
          <w:b/>
        </w:rPr>
        <w:t>Dignificación</w:t>
      </w:r>
      <w:r>
        <w:rPr>
          <w:rFonts w:ascii="Arial" w:hAnsi="Arial" w:cs="Arial"/>
        </w:rPr>
        <w:t xml:space="preserve">. Es el reconocimiento de las condiciones laborales y de vida del habitante del sector rural que desempeñe actividades agropecuarias, con el propósito de ofrecer un mínimo de protección social y una regulación laboral en materia de jornada, remuneración y subordinación, entre otros aspectos, inspirado en la garantía de los derechos humanos del habitante del sector rural, entre otros, los consagrados en los artículos 25, 48, 49 y 53 de la Constitución Política y con base, en los desarrollos jurisprudenciales, las normas y convenios internacionales ratificados por Colombia, entre otras fuentes, que permitan garantizar de manera efectiva el derecho fundamental al trabajo y a la Seguridad Social del habitante del sector rural.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Adicionalmente, la presente Ley se fundamenta en el punto 1.3.3.5 del Acuerdo Final para la Terminación del Conflicto y la Construcción de una paz estable y duradera suscrito entre el Gobierno Nacional de Colombia y las FARC-EP, que reconoció la necesidad de establecer un Sistema de Protección y Seguridad Social de la población rural, con un enfoque diferencial y de género, con el propósito de garantizar el trabajo digno y los derechos de los trabajadores y trabajadoras del campo, y su protección social (protección a la vejez, maternidad y riesgos laborales).</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2°. Objeto</w:t>
      </w:r>
      <w:r>
        <w:rPr>
          <w:rFonts w:ascii="Arial" w:hAnsi="Arial" w:cs="Arial"/>
        </w:rPr>
        <w:t xml:space="preserve">. La presente Ley tiene por objeto 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Adicionalmente, la presente Ley tiene como propósito reconocer las condiciones especiales bajo la cuales los habitantes del sector rural desempeñan actividades agropecuarias bajo contrato de trabajo, mediante el establecimiento de modalidades de vinculación laboral afines a la economía agropecuaria.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3°. Alcance</w:t>
      </w:r>
      <w:r>
        <w:rPr>
          <w:rFonts w:ascii="Arial" w:hAnsi="Arial" w:cs="Arial"/>
        </w:rPr>
        <w:t xml:space="preserve">. La presente Ley se aplicará a todos los habitantes del sector rural que realicen actividades agropecuarias, según se define más adelante.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Se excluye de la aplicación de la presente Ley, los siguientes habitantes del sector rural: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3"/>
        </w:numPr>
        <w:jc w:val="both"/>
        <w:rPr>
          <w:rFonts w:ascii="Arial" w:hAnsi="Arial" w:cs="Arial"/>
        </w:rPr>
      </w:pPr>
      <w:r>
        <w:rPr>
          <w:rFonts w:ascii="Arial" w:hAnsi="Arial" w:cs="Arial"/>
        </w:rPr>
        <w:t xml:space="preserve">Aquellos cuya labor o servicio esté dedicado exclusiva o principalmente al desarrollo de actividades industriales, turísticas, de transporte u otros servicios distintos de actividades relacionadas con la producción agropecuaria; </w:t>
      </w:r>
    </w:p>
    <w:p w:rsidR="00E67F56" w:rsidRDefault="00E67F56" w:rsidP="00E67F56">
      <w:pPr>
        <w:pStyle w:val="Sinespaciado"/>
        <w:numPr>
          <w:ilvl w:val="0"/>
          <w:numId w:val="33"/>
        </w:numPr>
        <w:jc w:val="both"/>
        <w:rPr>
          <w:rFonts w:ascii="Arial" w:hAnsi="Arial" w:cs="Arial"/>
        </w:rPr>
      </w:pPr>
      <w:r>
        <w:rPr>
          <w:rFonts w:ascii="Arial" w:hAnsi="Arial" w:cs="Arial"/>
        </w:rPr>
        <w:t xml:space="preserve">Trabajadores o contratistas que fueren contratados para realizar tareas ajenas a las actividades agropecuarias; </w:t>
      </w:r>
    </w:p>
    <w:p w:rsidR="00E67F56" w:rsidRDefault="00E67F56" w:rsidP="00E67F56">
      <w:pPr>
        <w:pStyle w:val="Sinespaciado"/>
        <w:numPr>
          <w:ilvl w:val="0"/>
          <w:numId w:val="33"/>
        </w:numPr>
        <w:jc w:val="both"/>
        <w:rPr>
          <w:rFonts w:ascii="Arial" w:hAnsi="Arial" w:cs="Arial"/>
        </w:rPr>
      </w:pPr>
      <w:r>
        <w:rPr>
          <w:rFonts w:ascii="Arial" w:hAnsi="Arial" w:cs="Arial"/>
        </w:rPr>
        <w:t xml:space="preserve">Trabajadores del servicio doméstico; </w:t>
      </w:r>
    </w:p>
    <w:p w:rsidR="00E67F56" w:rsidRDefault="00E67F56" w:rsidP="00E67F56">
      <w:pPr>
        <w:pStyle w:val="Sinespaciado"/>
        <w:numPr>
          <w:ilvl w:val="0"/>
          <w:numId w:val="33"/>
        </w:numPr>
        <w:jc w:val="both"/>
        <w:rPr>
          <w:rFonts w:ascii="Arial" w:hAnsi="Arial" w:cs="Arial"/>
        </w:rPr>
      </w:pPr>
      <w:r>
        <w:rPr>
          <w:rFonts w:ascii="Arial" w:hAnsi="Arial" w:cs="Arial"/>
        </w:rPr>
        <w:lastRenderedPageBreak/>
        <w:t xml:space="preserve">Trabajadores o contratistas dedicados exclusivamente a actividades de gestión administrativa tales como administradores, contadores, asistentes, secretarios y otros empleados semejantes.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w:t>
      </w:r>
      <w:r>
        <w:rPr>
          <w:rFonts w:ascii="Arial" w:hAnsi="Arial" w:cs="Arial"/>
        </w:rPr>
        <w:t xml:space="preserve"> Para efectos de la presente Ley, se entienden como actividades agropecuarias, todas aquellas actividades agrícolas, forestales, pecuarias, pesqueras, o acuícolas que realice o ejecute una persona natural en el sector rural, con independencia del vínculo jurídico a través del cual las realicen, incluyendo aquellas actividades ejecutadas por cuenta propia o a favor de un tercero, en sus propios predios o en ajenos y de acuerdo con las demás características que determine el Gobierno Nacional mediante reglamentación.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4°. Definiciones.</w:t>
      </w:r>
      <w:r>
        <w:rPr>
          <w:rFonts w:ascii="Arial" w:hAnsi="Arial" w:cs="Arial"/>
        </w:rPr>
        <w:t xml:space="preserve"> Para los efectos de esta Ley se adoptan las siguientes definiciones: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Contrato de trabajo agropecuario: Es aquel por el cual una persona natural se obliga a prestar sus servicios personales en actividades agrícolas, forestales, pecuarias, pesqueras, o acuícolas, en favor de otra persona natural o jurídica, bajo su continuada dependencia o subordinación y mediante remuneración.</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Contratistas independientes agropecuarios: Persona Natural que en forma independiente, con sus propios medios, con libertad y autonomía técnica, administrativa y financiera, desarrolla en favor de una persona natural o jurídica, la ejecución de una o varias obras, o la prestación de servicios agrícolas, forestales, pecuarias, pesqueras, o acuícolas, sin que medie relación de subordinación.</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 xml:space="preserve">Contratante independiente: Persona natural o jurídica que celebre un contrato de prestación de servicios con un contratista independiente agropecuario, para que, de forma autónoma, con sus propios medios, con libertad y autonomía técnica, administrativa y financiera, desarrolle actividades agrícolas, forestales, pecuarias, pesqueras, o acuícolas, sin que medie relación de subordinación.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Trabajador por cuenta propia independiente agrícola: Persona Natural que, en forma independiente, con sus propios medios, con libertad y autonomía técnica y directiva, y sin ningún vínculo jurídico con tercero, desarrolla en beneficio propio actividades agrícolas, forestales, pecuarias, pesqueras, o acuícolas.</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 xml:space="preserve">Habitante del sector rural: Persona natural clasificada como trabajador, contratista independiente o trabajador por cuenta propia en los términos de la presente Ley, que resida en una zona del territorio considerada como rural, de acuerdo con la reglamentación que para el efecto expida el Gobierno Nacional. La característica de habitante del sector rural no se pierde por el hecho de que haya actividad nómada o trashumancia.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 xml:space="preserve">Empleador agropecuario: Persona natural o jurídica que contrate una (1) o varias personas naturales para el desarrollo de actividades agrícolas, forestales, pecuarias, pesqueras, o acuícolas, de manera subordinada y a cambio de una remuneración.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 xml:space="preserve">Trabajador agropecuario dependiente: Persona natural que en forma personal y bajo la continuada dependencia o subordinación de su empleador, desarrolla a favor de una </w:t>
      </w:r>
      <w:r>
        <w:rPr>
          <w:rFonts w:ascii="Arial" w:hAnsi="Arial" w:cs="Arial"/>
        </w:rPr>
        <w:lastRenderedPageBreak/>
        <w:t xml:space="preserve">persona natural o jurídica, actividades agrícolas, forestales, pecuarias, pesqueras, o acuícolas, a cambio de una remuneración. </w:t>
      </w:r>
    </w:p>
    <w:p w:rsidR="00E67F56" w:rsidRDefault="00E67F56" w:rsidP="00E67F56">
      <w:pPr>
        <w:pStyle w:val="Sinespaciado"/>
        <w:jc w:val="both"/>
        <w:rPr>
          <w:rFonts w:ascii="Arial" w:hAnsi="Arial" w:cs="Arial"/>
        </w:rPr>
      </w:pPr>
    </w:p>
    <w:p w:rsidR="00E67F56" w:rsidRDefault="00E67F56" w:rsidP="00E67F56">
      <w:pPr>
        <w:pStyle w:val="Sinespaciado"/>
        <w:numPr>
          <w:ilvl w:val="0"/>
          <w:numId w:val="34"/>
        </w:numPr>
        <w:jc w:val="both"/>
        <w:rPr>
          <w:rFonts w:ascii="Arial" w:hAnsi="Arial" w:cs="Arial"/>
        </w:rPr>
      </w:pPr>
      <w:r>
        <w:rPr>
          <w:rFonts w:ascii="Arial" w:hAnsi="Arial" w:cs="Arial"/>
        </w:rPr>
        <w:t xml:space="preserve">Trabajador agropecuario del régimen contributivo: Persona natural que en forma personal y bajo la continuada dependencia o subordinación desarrolla a favor de una persona natural o jurídica, actividades agrícolas, forestales, pecuarias, pesqueras, o acuícolas, a cambio de una remuneración, y que tiene la condición de afiliada y cotizante al Sistema de Seguridad Social Integral.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w:t>
      </w:r>
      <w:r>
        <w:rPr>
          <w:rFonts w:ascii="Arial" w:hAnsi="Arial" w:cs="Arial"/>
        </w:rPr>
        <w:t xml:space="preserve"> La aplicación de la presente ley atenderá en todo caso a la realidad jurídica y económica de las actividades agrícolas, forestales, pecuarias, pesqueras, o acuícolas a desarrollar entre las partes.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5°. Relación jurídica para el desarrollo de actividades agropecuarias en el sector rural</w:t>
      </w:r>
      <w:r>
        <w:rPr>
          <w:rFonts w:ascii="Arial" w:hAnsi="Arial" w:cs="Arial"/>
        </w:rPr>
        <w:t xml:space="preserve">. La presente ley reconoce que los habitantes del sector rural pueden ser considerados trabajadores agropecuarios dependientes, independientes o por cuenta propia, dependiendo de que desarrollen sus servicios en forma subordinada o independiente a cambio de una remuneración o el pago de honorarios, o en beneficio propio o de un tercero. </w:t>
      </w:r>
    </w:p>
    <w:p w:rsidR="00E67F56" w:rsidRDefault="00E67F56" w:rsidP="00E67F56">
      <w:pPr>
        <w:pStyle w:val="Sinespaciado"/>
        <w:jc w:val="both"/>
        <w:rPr>
          <w:rFonts w:ascii="Arial" w:hAnsi="Arial" w:cs="Arial"/>
        </w:rPr>
      </w:pPr>
    </w:p>
    <w:p w:rsidR="00E67F56" w:rsidRDefault="00E67F56" w:rsidP="00E67F56">
      <w:pPr>
        <w:pStyle w:val="Sinespaciado"/>
        <w:jc w:val="center"/>
        <w:rPr>
          <w:rFonts w:ascii="Arial" w:hAnsi="Arial" w:cs="Arial"/>
          <w:b/>
        </w:rPr>
      </w:pPr>
      <w:r>
        <w:rPr>
          <w:rFonts w:ascii="Arial" w:hAnsi="Arial" w:cs="Arial"/>
          <w:b/>
        </w:rPr>
        <w:t>CAPITULO II</w:t>
      </w:r>
    </w:p>
    <w:p w:rsidR="00E67F56" w:rsidRDefault="00E67F56" w:rsidP="00E67F56">
      <w:pPr>
        <w:pStyle w:val="Sinespaciado"/>
        <w:jc w:val="center"/>
        <w:rPr>
          <w:rFonts w:ascii="Arial" w:hAnsi="Arial" w:cs="Arial"/>
          <w:b/>
        </w:rPr>
      </w:pPr>
      <w:r>
        <w:rPr>
          <w:rFonts w:ascii="Arial" w:hAnsi="Arial" w:cs="Arial"/>
          <w:b/>
        </w:rPr>
        <w:t>PISO MÍNIMO DE PROTECCIÓN SOCIAL</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6°. Ámbito de aplicación del Piso Mínimo de Protección Social</w:t>
      </w:r>
      <w:r>
        <w:rPr>
          <w:rFonts w:ascii="Arial" w:hAnsi="Arial" w:cs="Arial"/>
        </w:rPr>
        <w:t xml:space="preserve">. Tendrán derecho a acceder a un Piso Mínimo de Protección Social todos los habitantes del sector rural que realicen actividades agropecuarias, según se define en la presente Ley, y cuyos ingresos promedio mensuales en el año calendario inmediatamente anterior no superen el valor de un (1) Salario Mínimo Legal Mensual Vigente, una vez restado un porcentaje equivalente al monto de los gastos en que deba incurrir por concepto de vivienda, alimentación, y manutención.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w:t>
      </w:r>
      <w:r>
        <w:rPr>
          <w:rFonts w:ascii="Arial" w:hAnsi="Arial" w:cs="Arial"/>
        </w:rPr>
        <w:t xml:space="preserve">. Para efectos del presente artículo, el porcentaje que podrá restar de su ingreso bruto el trabajador o contratista que desarrolle actividades agrícolas por concepto de sus gastos de vivienda, alimentación y manutención para efectos de considerarse como sujeto de la presente Ley, dependerá de la relación jurídica de la que provengan sus recursos y de la relación jurídica que tenga con la tierra en la cual realice la actividad agrícola.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En ese sentido, se entenderá que el trabajador agropecuario, podrá restar de su ingreso bruto los gastos de vivienda, alimentación y manutención en el mismo porcentaje de renta exenta que esté previsto para efectos tributarios.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Cuando se trate de habitantes del sector rural que ejecuten de forma independiente, o por cuenta propia, actividades agrícolas, el porcentaje que podrán restar de su ingreso bruto para efectos de la aplicación de la presente Ley por concepto de gastos de vivienda, alimentación y manutención, será equivalente al porcentaje que se tenga previsto para los contratistas independientes como ingreso base de cotización al Sistema de Seguridad Social Integral.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7°. Protección Social Mínima para los trabajadores y contratistas independientes o por cuenta propia agropecuarios</w:t>
      </w:r>
      <w:r>
        <w:rPr>
          <w:rFonts w:ascii="Arial" w:hAnsi="Arial" w:cs="Arial"/>
        </w:rPr>
        <w:t xml:space="preserve">. Forman parte de la protección social mínima para el habitante del sector rural objeto del presente capítulo, la atención de los riesgos de vejez, accidentes, enfermedad, y otros servicios sociales complementarios.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Para atender los mencionados riesgos y con el alcance previsto en la presente Ley, los habitantes del sector rural tendrán derecho a acceder y afiliarse al programa de Beneficios Económicos Periódicos - BEPS administrado por COLPENSIONES, afiliarse al Régimen de Salud Subsidiada, y adquirir un micro seguro dentro de la cobertura de ahorros a BEPS cuya fuente de financiación determine el Gobierno Nacional y previa validación de sus condiciones socioeconómicas. En este orden de ideas los habitantes del sector rural tendrán la protección social mínima del Sistema en los términos de la presente ley con la cobertura de BEPS, Salud Subsidiada y Microseguros laborales.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 primero</w:t>
      </w:r>
      <w:r>
        <w:rPr>
          <w:rFonts w:ascii="Arial" w:hAnsi="Arial" w:cs="Arial"/>
        </w:rPr>
        <w:t xml:space="preserve">. Para estos efectos, COLPENSIONES deberá establecer o adquirir una póliza colectiva y en general proceder con la contratación directa de los microseguros correspondientes, que deberán cubrir como mínimo prestaciones asistenciales e indemnizatorias por accidentes y/o incapacidades producidas con ocasión a la realización o ejecución de la obra o labor. </w:t>
      </w:r>
    </w:p>
    <w:p w:rsidR="00E67F56" w:rsidRDefault="00E67F56" w:rsidP="00E67F56">
      <w:pPr>
        <w:pStyle w:val="Sinespaciado"/>
        <w:jc w:val="both"/>
        <w:rPr>
          <w:rFonts w:ascii="Arial" w:hAnsi="Arial" w:cs="Arial"/>
          <w:b/>
        </w:rPr>
      </w:pPr>
    </w:p>
    <w:p w:rsidR="00E67F56" w:rsidRDefault="00E67F56" w:rsidP="00E67F56">
      <w:pPr>
        <w:pStyle w:val="Sinespaciado"/>
        <w:jc w:val="both"/>
        <w:rPr>
          <w:rFonts w:ascii="Arial" w:hAnsi="Arial" w:cs="Arial"/>
        </w:rPr>
      </w:pPr>
      <w:r>
        <w:rPr>
          <w:rFonts w:ascii="Arial" w:hAnsi="Arial" w:cs="Arial"/>
          <w:b/>
        </w:rPr>
        <w:t>Parágrafo segundo</w:t>
      </w:r>
      <w:r>
        <w:rPr>
          <w:rFonts w:ascii="Arial" w:hAnsi="Arial" w:cs="Arial"/>
        </w:rPr>
        <w:t xml:space="preserve">. Para efectos de contar con las pólizas correspondientes que permitan ofrecer la cobertura definida en el presente artículo, la Superintendencia Financiera vigilará que las entidades aseguradoras autorizadas para funcionar en Colombia pongan a su disposición los análisis, estudios y productos que permitan cumplir con esta obligación.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 tercero.</w:t>
      </w:r>
      <w:r>
        <w:rPr>
          <w:rFonts w:ascii="Arial" w:hAnsi="Arial" w:cs="Arial"/>
        </w:rPr>
        <w:t xml:space="preserve"> Para efectos de la afiliación al Régimen Subsidiado de Salud, el habitante del sector rural que realice actividades agropecuarias deberá cumplir con la normatividad vigente sobre dicha materia para ello. </w:t>
      </w:r>
    </w:p>
    <w:p w:rsidR="00E67F56" w:rsidRDefault="00E67F56" w:rsidP="00E67F56">
      <w:pPr>
        <w:pStyle w:val="Sinespaciado"/>
        <w:jc w:val="both"/>
        <w:rPr>
          <w:rFonts w:ascii="Arial" w:hAnsi="Arial" w:cs="Arial"/>
          <w:b/>
        </w:rPr>
      </w:pPr>
    </w:p>
    <w:p w:rsidR="00E67F56" w:rsidRDefault="00E67F56" w:rsidP="00E67F56">
      <w:pPr>
        <w:pStyle w:val="Sinespaciado"/>
        <w:jc w:val="both"/>
        <w:rPr>
          <w:rFonts w:ascii="Arial" w:hAnsi="Arial" w:cs="Arial"/>
        </w:rPr>
      </w:pPr>
      <w:r>
        <w:rPr>
          <w:rFonts w:ascii="Arial" w:hAnsi="Arial" w:cs="Arial"/>
          <w:b/>
        </w:rPr>
        <w:t>Parágrafo cuarto</w:t>
      </w:r>
      <w:r>
        <w:rPr>
          <w:rFonts w:ascii="Arial" w:hAnsi="Arial" w:cs="Arial"/>
        </w:rPr>
        <w:t xml:space="preserve">. En materia de BEPS, los habitantes del sector rural que desarrollen actividades agropecuarias y que estén cobijados por el presente capítulo deberán cumplir con lo previsto en la normatividad vigente para acceder a dicho programa de beneficios económicos periódicos.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 quinto</w:t>
      </w:r>
      <w:r>
        <w:rPr>
          <w:rFonts w:ascii="Arial" w:hAnsi="Arial" w:cs="Arial"/>
        </w:rPr>
        <w:t xml:space="preserve">. Solo quienes cuenten como mínimo con un piso de protección social representado en la afiliación a BEPS, salud subsidiado y con un microseguro laboral, podrán ser contratados para una actividad agrícola. Lo anterior sin perjuicio de quienes estén contratados bajo alguna de las modalidades de que trata el capítulo tercero de esta ley, y sin perjuicio de las otras modalidades de contratos de trabajo que estén vigentes.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8°. Cruces de información entre las autoridades</w:t>
      </w:r>
      <w:r>
        <w:rPr>
          <w:rFonts w:ascii="Arial" w:hAnsi="Arial" w:cs="Arial"/>
        </w:rPr>
        <w:t xml:space="preserve">. La Dirección de Impuestos y Aduanas Nacionales - DIAN, la Unidad de Gestión Pensional y Parafiscales de la Protección Social - UGPP, y demás autoridades del orden nacional, departamental o municipal que tengan acceso a información de la población rural objeto de la presente Ley, deberán realizar cruces de información para comprobar que el habitante del sector rural cobijado con los beneficios previstos en el presente capítulo no hayan percibido ingresos promedio mensuales en el año calendario inmediatamente anterior que superen el valor de un (1) Salario Mínimo Legal Mensual Vigente, una vez deducido un porcentaje equivalente al monto de sus gastos por concepto de vivienda, alimentación y manutención en los porcentajes que aquí se establecen. Este cruce se realizará transcurrido un año de la expedición de la presente ley.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lastRenderedPageBreak/>
        <w:t xml:space="preserve">De comprobarse esta situación, se procederá a informar al habitante del sector rural con el propósito de establecer su vinculación o pagos pendientes al Régimen Contributivo de Salud y al Sistema General de Pensiones.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9°. Desarrollo y Promoción de Programas que incentiven el ahorro para la vejez a cargo de las Autoridades Departamentales y Municipales</w:t>
      </w:r>
      <w:r>
        <w:rPr>
          <w:rFonts w:ascii="Arial" w:hAnsi="Arial" w:cs="Arial"/>
        </w:rPr>
        <w:t xml:space="preserve">. Las Autoridades departamentales y municipales de las áreas donde residan los habitantes del sector rural objeto del presente capítulo, desarrollarán programas de estímulo por su propia cuenta o con cooperación o patrocinio nacional o internacional, según resulte conveniente, para desarrollar estrategias y programas que permitan nutrir y estimular el ahorro o los patrocinios de que trata el Decreto 295 de 2017, con el propósito de que las cuentas individuales de los beneficiarios del programa BEPS cuenten con ahorro efectivo que se vea traducido en el futuro en rentas periódicas y beneficios para la vejez del habitante del sector rural.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Las entidades administradoras de los distintos riesgos y beneficios podrán diseñar programas complementarios en materia de prestaciones de vejez, salud y riesgos laborales que mejoren la situación de determinados grupos poblacionales. A estos programas podrán vincularse de manera voluntaria las entidades públicas y privadas en los términos que reglamente el Gobierno Nacional.</w:t>
      </w:r>
    </w:p>
    <w:p w:rsidR="00E67F56" w:rsidRDefault="00E67F56" w:rsidP="00E67F56">
      <w:pPr>
        <w:pStyle w:val="Sinespaciado"/>
        <w:jc w:val="both"/>
        <w:rPr>
          <w:rFonts w:ascii="Arial" w:hAnsi="Arial" w:cs="Arial"/>
          <w:b/>
        </w:rPr>
      </w:pPr>
    </w:p>
    <w:p w:rsidR="00E67F56" w:rsidRDefault="00E67F56" w:rsidP="00E67F56">
      <w:pPr>
        <w:pStyle w:val="Sinespaciado"/>
        <w:jc w:val="both"/>
        <w:rPr>
          <w:rFonts w:ascii="Arial" w:hAnsi="Arial" w:cs="Arial"/>
        </w:rPr>
      </w:pPr>
      <w:r>
        <w:rPr>
          <w:rFonts w:ascii="Arial" w:hAnsi="Arial" w:cs="Arial"/>
          <w:b/>
        </w:rPr>
        <w:t>Artículo 10°. Promoción del piso mínimo de protección social a través de las asociaciones.</w:t>
      </w:r>
      <w:r>
        <w:rPr>
          <w:rFonts w:ascii="Arial" w:hAnsi="Arial" w:cs="Arial"/>
        </w:rPr>
        <w:t xml:space="preserve"> Las distintas autoridades de carácter nacional o territorial, deberán promover la asociatividad dentro de los habitantes del sector rural para fomentar el acceso a los beneficios en materia de cobertura de riesgos acá indicados, y con el propósito de lograr una efectiva afiliación, ahorro, cobertura e identificación de los beneficiarios de que trata el presente capítulo de esta Ley. Las diferentes Agencias, el SENA, las Cajas de Compensación familiar se vincularán a estos programas.</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11°. Dignificación del habitante del sector rural</w:t>
      </w:r>
      <w:r>
        <w:rPr>
          <w:rFonts w:ascii="Arial" w:hAnsi="Arial" w:cs="Arial"/>
        </w:rPr>
        <w:t xml:space="preserve">. La Dirección Nacional de Planeación deberá incorporar las distintas variables, características y realidades del sector rural al momento de realizar encuestas de clasificación de la población en el campo que facilite su identificación e inclusión a estos beneficios y que refleje su realidad.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Para tales efectos, la citada Dirección deberá desarrollar las estrategias y mecanismos de identificación de los grupos más vulnerables dentro de los habitantes del sector rural para facilitar su inclusión a estos beneficios mínimos de protección social, en particular a la población rural víctima, desplazada, de resguardos indígenas, los nómadas, trashumantes, entre otros, de tal suerte que ninguna de estas condiciones o características se constituyan en una barrera para su afiliación a los BEPS o a la salud subsidiada o demás beneficios sociales complementarios.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 xml:space="preserve">Artículo 12°. Afiliación de </w:t>
      </w:r>
      <w:bookmarkStart w:id="0" w:name="_GoBack"/>
      <w:bookmarkEnd w:id="0"/>
      <w:r>
        <w:rPr>
          <w:rFonts w:ascii="Arial" w:hAnsi="Arial" w:cs="Arial"/>
          <w:b/>
        </w:rPr>
        <w:t>los trabajadores agropecuarios y contratistas independientes o por cuenta propia agropecuarios al régimen de protección social.</w:t>
      </w:r>
      <w:r>
        <w:rPr>
          <w:rFonts w:ascii="Arial" w:hAnsi="Arial" w:cs="Arial"/>
        </w:rPr>
        <w:t xml:space="preserve"> La verificación de la vinculación de los trabajadores agropecuarios objeto del presente capítulo al Sistema de Piso Mínimo de Protección social, estará a cargo de los empleadores o contratantes agropecuarios a quienes éstos presten sus servicios.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Para el caso de los trabajadores por cuenta propia agropecuarios, la vinculación al régimen de protección social establecido por el presente capítulo se hará directamente ante las entidades del Sistema de Piso Mínimo de Protección Social.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COLPENSIONES y las administradoras del régimen subsidiado de salud y demás administradoras de los servicios sociales complementarios que estén obligadas a prestar los beneficios de que trata este sistema de piso mínimo de protección social para la dignificación de los habitantes del campo, estarán obligados a desplegar sus servicios de manera directa o a través de los intermediarios que se autoricen de tal suerte que puedan cubrir el territorio nacional y llegar con sus servicios donde se requieran. Los entes de supervisión y control velarán porque se cumpla con esta obligación en los términos que reglamente el Gobierno Nacional. </w:t>
      </w:r>
    </w:p>
    <w:p w:rsidR="00E67F56" w:rsidRDefault="00E67F56" w:rsidP="00E67F56">
      <w:pPr>
        <w:pStyle w:val="Sinespaciado"/>
        <w:jc w:val="both"/>
        <w:rPr>
          <w:rFonts w:ascii="Arial" w:hAnsi="Arial" w:cs="Arial"/>
        </w:rPr>
      </w:pPr>
    </w:p>
    <w:p w:rsidR="00E67F56" w:rsidRDefault="00E67F56" w:rsidP="00E67F56">
      <w:pPr>
        <w:pStyle w:val="Sinespaciado"/>
        <w:jc w:val="center"/>
        <w:rPr>
          <w:rFonts w:ascii="Arial" w:hAnsi="Arial" w:cs="Arial"/>
          <w:b/>
        </w:rPr>
      </w:pPr>
      <w:r>
        <w:rPr>
          <w:rFonts w:ascii="Arial" w:hAnsi="Arial" w:cs="Arial"/>
          <w:b/>
        </w:rPr>
        <w:t>CAPÍTULO III</w:t>
      </w:r>
    </w:p>
    <w:p w:rsidR="00E67F56" w:rsidRDefault="00E67F56" w:rsidP="00E67F56">
      <w:pPr>
        <w:pStyle w:val="Sinespaciado"/>
        <w:jc w:val="center"/>
        <w:rPr>
          <w:rFonts w:ascii="Arial" w:hAnsi="Arial" w:cs="Arial"/>
          <w:b/>
        </w:rPr>
      </w:pPr>
      <w:r>
        <w:rPr>
          <w:rFonts w:ascii="Arial" w:hAnsi="Arial" w:cs="Arial"/>
          <w:b/>
        </w:rPr>
        <w:t>DIGNIFICACIÓN DEL TRABAJO AGROPECUARIO</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13°. Contrato de trabajo agropecuario.</w:t>
      </w:r>
      <w:r>
        <w:rPr>
          <w:rFonts w:ascii="Arial" w:hAnsi="Arial" w:cs="Arial"/>
        </w:rPr>
        <w:t xml:space="preserve"> Jornal Diario Integral. Además de lo dispuesto en la presente ley, créese la modalidad de Jornal Diario Integral para remunerar aquellos contratos de trabajo suscritos con trabajadores agropecuarios del régimen contributivo que se podrán celebrar por un tiempo determinado, o por el tiempo que dure la realización de una obra o labor.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El pago del salario y en general de la totalidad de derechos y obligaciones derivados del contrato de trabajo agropecuario en la modalidad aquí descrita, se reconocerán y liquidarán diariamente bajo la modalidad de un jornal integral diario, que además de retribuir el trabajo diario ordinario, compensará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En ningún caso el jornal integral diario podrá ser inferior al monto de un (1) Salario Mínimo Diario Legal Vigente más el factor prestacional, que equivale al treinta y cinco por ciento (35%) de aquel.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Cuando los jornales integrales diarios sean pagados por un mismo empleador por más de ciento ochenta días (180) continuos o discontinuos durante un periodo cualquiera de trescientos sesenta (360) días calendario consecutivos contados a partir de la fecha de iniciación del contrato laboral, el trabajador agropecuario tendrá derecho al reconocimiento de quince (15) días de vacaciones por año trabajado o proporcionalmente por fracción,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aquí previsto.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14°. Jornadas especiales de trabajo</w:t>
      </w:r>
      <w:r>
        <w:rPr>
          <w:rFonts w:ascii="Arial" w:hAnsi="Arial" w:cs="Arial"/>
        </w:rPr>
        <w:t xml:space="preserve">. En casos de periodos estacionales, cosechas, incrementos en la producción y asimilables, se podrán pactar jornadas especiales de trabajo de acuerdo con la naturaleza propia de cada actividad, respetando en todo caso la jornada máxima legal vigente.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15°. Trabajo Suplementario</w:t>
      </w:r>
      <w:r>
        <w:rPr>
          <w:rFonts w:ascii="Arial" w:hAnsi="Arial" w:cs="Arial"/>
        </w:rPr>
        <w:t xml:space="preserve">. En casos de periodos estacionales, cosechas, incrementos en la producción y asimilables, la jornada de trabajo podrá incrementarse directamente por acuerdo entre empleador y trabajador agropecuario, respetando en todo caso la remuneración por trabajo dominical, festivo, nocturno y extraordinario.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16°. Cotización de los trabajadores agropecuarios al Régimen de Protección Social.</w:t>
      </w:r>
      <w:r>
        <w:rPr>
          <w:rFonts w:ascii="Arial" w:hAnsi="Arial" w:cs="Arial"/>
        </w:rPr>
        <w:t xml:space="preserve"> Los empleadores agropecuarios deberán realizar los aportes al Sistema de Protección Social por cuenta de sus trabajadores agropecuarios, para lo cual el empleador asumirá la parte que le corresponde bajo la regulación vigente en materia de protección social y estará obligado a descontar del jornal integral diario que le reconozca al trabajador la proporción que le corresponda asumir a dicho trabajador agropecuario en materia de cotizaciones al sistema de seguridad social integral, de conformidad con la regulación que para el efecto expida el Gobierno Nacional. En cualquier caso, la cotización de aportes será por lo menos de forma mensual.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Para efectos de establecer el ingreso base de cotización para el pago de los aportes al sistema de protección social bajo esta modalidad contractual, no se tendrá en cuenta el treinta y cinco (35%) adicional, correspondiente al factor prestacional.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rPr>
        <w:t xml:space="preserve">Este esquema de cotización deberá articularse con la planilla integrada de liquidación de aportes del sistema de protección social, el cual será gestionado por los operadores de información y por las redes de recaudo de bajo valor debidamente habilitadas, de conformidad con las condiciones que defina el Gobierno Nacional.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17°. Formación para trabajadores agropecuarios</w:t>
      </w:r>
      <w:r>
        <w:rPr>
          <w:rFonts w:ascii="Arial" w:hAnsi="Arial" w:cs="Arial"/>
        </w:rPr>
        <w:t xml:space="preserve">. El Gobierno Nacional reglamentará el régimen de formación para los trabajadores agropecuarios, el cual podrá estar a cargo de los gremios de la producción agropecuaria o de las asociaciones o cooperativas productivas, en forma articulada con el Servicio Nacional de Aprendizaje SENA, en concordancia con la normatividad vigente. </w:t>
      </w:r>
    </w:p>
    <w:p w:rsidR="00E67F56" w:rsidRDefault="00E67F56" w:rsidP="00E67F56">
      <w:pPr>
        <w:pStyle w:val="Sinespaciado"/>
        <w:jc w:val="both"/>
        <w:rPr>
          <w:rFonts w:ascii="Arial" w:hAnsi="Arial" w:cs="Arial"/>
        </w:rPr>
      </w:pPr>
    </w:p>
    <w:p w:rsidR="00E67F56" w:rsidRDefault="00E67F56" w:rsidP="00E67F56">
      <w:pPr>
        <w:pStyle w:val="Sinespaciado"/>
        <w:jc w:val="center"/>
        <w:rPr>
          <w:rFonts w:ascii="Arial" w:hAnsi="Arial" w:cs="Arial"/>
          <w:b/>
        </w:rPr>
      </w:pPr>
      <w:r>
        <w:rPr>
          <w:rFonts w:ascii="Arial" w:hAnsi="Arial" w:cs="Arial"/>
          <w:b/>
        </w:rPr>
        <w:t>CAPÍTULO IV</w:t>
      </w:r>
    </w:p>
    <w:p w:rsidR="00E67F56" w:rsidRDefault="00E67F56" w:rsidP="00E67F56">
      <w:pPr>
        <w:pStyle w:val="Sinespaciado"/>
        <w:jc w:val="center"/>
        <w:rPr>
          <w:rFonts w:ascii="Arial" w:hAnsi="Arial" w:cs="Arial"/>
          <w:b/>
        </w:rPr>
      </w:pPr>
      <w:r>
        <w:rPr>
          <w:rFonts w:ascii="Arial" w:hAnsi="Arial" w:cs="Arial"/>
          <w:b/>
        </w:rPr>
        <w:t>DISPOSICIONES FINALES</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18°. Servicio de afiliación simplificado al régimen de protección social</w:t>
      </w:r>
      <w:r>
        <w:rPr>
          <w:rFonts w:ascii="Arial" w:hAnsi="Arial" w:cs="Arial"/>
        </w:rPr>
        <w:t xml:space="preserve">. Créase el servicio de afiliación simplificado al régimen de protección social para habitantes del sector rural, articulado con la planilla integrada de liquidación de aportes del sistema de seguridad social integral y al sistema de afiliación y registro unificado del sistema de salud, el cual será gestionado por los operadores de información y por las redes de recaudo de bajo valor debidamente habilitadas, conforme las condiciones que defina el Gobierno Nacional.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19°. Régimen de servicios sociales para trabajadores agropecuarios.</w:t>
      </w:r>
      <w:r>
        <w:rPr>
          <w:rFonts w:ascii="Arial" w:hAnsi="Arial" w:cs="Arial"/>
        </w:rPr>
        <w:t xml:space="preserve"> Las Cajas de Compensación Familiar deberán dentro de los seis (6) meses siguientes a la entrada en vigencia de la presente Ley, desarrollar esquemas de servicios sociales para los trabajadores agropecuarios, dando prelación al reconocimiento de prestaciones de crédito social, emprendimiento y recreación.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Parágrafo.</w:t>
      </w:r>
      <w:r>
        <w:rPr>
          <w:rFonts w:ascii="Arial" w:hAnsi="Arial" w:cs="Arial"/>
        </w:rPr>
        <w:t xml:space="preserve"> La Superintendencia de Subsidio Familiar vigilará la prestación efectiva de los servicios sociales a los trabajadores agropecuarios a cargo de las Cajas de Compensación Familiar, quienes deberán llevar un registro de trabajadores agropecuarios efectivamente atendidos.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20°. Servicio Público de Empleo para el Sector Rural</w:t>
      </w:r>
      <w:r>
        <w:rPr>
          <w:rFonts w:ascii="Arial" w:hAnsi="Arial" w:cs="Arial"/>
        </w:rPr>
        <w:t xml:space="preserve">. Créase como una plataforma específica pero integrada al Servicio Público de Empleo, denominada Servicio Público de Empleo o actividad productiva remunerada para el Sector Rural, a cargo de la Unidad </w:t>
      </w:r>
      <w:r>
        <w:rPr>
          <w:rFonts w:ascii="Arial" w:hAnsi="Arial" w:cs="Arial"/>
        </w:rPr>
        <w:lastRenderedPageBreak/>
        <w:t xml:space="preserve">Administrativa del Servicio Público de Empleo, conforme con las reglas generales y las reglamentarias que para el efecto se dicten.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21°. Deducibilidad de los pagos realizados en el marco de actividades agrícolas</w:t>
      </w:r>
      <w:r>
        <w:rPr>
          <w:rFonts w:ascii="Arial" w:hAnsi="Arial" w:cs="Arial"/>
        </w:rPr>
        <w:t xml:space="preserve">. Para efectos tributarios, los pagos que realicen los empleadores de trabajadores agropecuarios, o los contratantes de contratistas agropecuarios o por cuenta propia, que tengan como propósito remunerar la prestación de una actividad agrícola y que sean susceptibles de verificación, cualquiera que sea la modalidad de las que trata la presente ley, serán deducibles del impuesto de renta y complementarios sin necesidad de acreditar los requisitos previstos en el Estatuto Tributario para deducir los pagos derivados de una relación laboral o de un Contrato de prestación de servicios. Lo anterior sin perjuicio de que las autoridades correspondientes hagan las verificaciones a que haya lugar. </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transitorio</w:t>
      </w:r>
      <w:r>
        <w:rPr>
          <w:rFonts w:ascii="Arial" w:hAnsi="Arial" w:cs="Arial"/>
        </w:rPr>
        <w:t>. Para los efectos de la aplicación de esta ley y el acceso a los beneficios que aquí se mencionan, se tomará como inicio el promedio de los ingresos derivados de la actividad agrícola del último año.</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r>
        <w:rPr>
          <w:rFonts w:ascii="Arial" w:hAnsi="Arial" w:cs="Arial"/>
          <w:b/>
        </w:rPr>
        <w:t>Artículo 22°. Vigencia</w:t>
      </w:r>
      <w:r>
        <w:rPr>
          <w:rFonts w:ascii="Arial" w:hAnsi="Arial" w:cs="Arial"/>
        </w:rPr>
        <w:t>. La presente ley rige a partir de la fecha de su promulgación.</w:t>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b/>
        </w:rPr>
      </w:pPr>
      <w:r>
        <w:rPr>
          <w:rFonts w:ascii="Arial" w:hAnsi="Arial" w:cs="Arial"/>
          <w:b/>
        </w:rPr>
        <w:t>RAFAEL E.  PALAU SALAZAR</w:t>
      </w:r>
      <w:r>
        <w:rPr>
          <w:rFonts w:ascii="Arial" w:hAnsi="Arial" w:cs="Arial"/>
          <w:b/>
        </w:rPr>
        <w:tab/>
      </w:r>
      <w:r>
        <w:rPr>
          <w:rFonts w:ascii="Arial" w:hAnsi="Arial" w:cs="Arial"/>
          <w:b/>
        </w:rPr>
        <w:tab/>
      </w:r>
      <w:r>
        <w:rPr>
          <w:rFonts w:ascii="Arial" w:hAnsi="Arial" w:cs="Arial"/>
          <w:b/>
        </w:rPr>
        <w:tab/>
        <w:t>ARGENIS VELASQUEZ RAMÍREZ</w:t>
      </w:r>
    </w:p>
    <w:p w:rsidR="00E67F56" w:rsidRDefault="00E67F56" w:rsidP="00E67F56">
      <w:pPr>
        <w:pStyle w:val="Sinespaciado"/>
        <w:jc w:val="both"/>
        <w:rPr>
          <w:rFonts w:ascii="Arial" w:hAnsi="Arial" w:cs="Arial"/>
        </w:rPr>
      </w:pPr>
      <w:r>
        <w:rPr>
          <w:rFonts w:ascii="Arial" w:hAnsi="Arial" w:cs="Arial"/>
        </w:rPr>
        <w:t>Ponente Coordinador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r>
        <w:rPr>
          <w:rFonts w:ascii="Arial" w:hAnsi="Arial" w:cs="Arial"/>
        </w:rPr>
        <w:tab/>
      </w:r>
      <w:r>
        <w:rPr>
          <w:rFonts w:ascii="Arial" w:hAnsi="Arial" w:cs="Arial"/>
        </w:rPr>
        <w:tab/>
      </w:r>
      <w:r>
        <w:rPr>
          <w:rFonts w:ascii="Arial" w:hAnsi="Arial" w:cs="Arial"/>
        </w:rPr>
        <w:tab/>
      </w:r>
    </w:p>
    <w:p w:rsidR="00E67F56" w:rsidRDefault="00E67F56" w:rsidP="00E67F56">
      <w:pPr>
        <w:pStyle w:val="Sinespaciado"/>
        <w:jc w:val="both"/>
        <w:rPr>
          <w:rFonts w:ascii="Arial" w:hAnsi="Arial" w:cs="Arial"/>
        </w:rPr>
      </w:pPr>
      <w:r>
        <w:rPr>
          <w:rFonts w:ascii="Arial" w:hAnsi="Arial" w:cs="Arial"/>
        </w:rPr>
        <w:t>H.R. del Valle del Cauca</w:t>
      </w:r>
      <w:r>
        <w:rPr>
          <w:rFonts w:ascii="Arial" w:hAnsi="Arial" w:cs="Arial"/>
        </w:rPr>
        <w:tab/>
      </w:r>
      <w:r>
        <w:rPr>
          <w:rFonts w:ascii="Arial" w:hAnsi="Arial" w:cs="Arial"/>
        </w:rPr>
        <w:tab/>
      </w:r>
      <w:r>
        <w:rPr>
          <w:rFonts w:ascii="Arial" w:hAnsi="Arial" w:cs="Arial"/>
        </w:rPr>
        <w:tab/>
      </w:r>
      <w:r>
        <w:rPr>
          <w:rFonts w:ascii="Arial" w:hAnsi="Arial" w:cs="Arial"/>
        </w:rPr>
        <w:tab/>
        <w:t>H.R. del Putumayo</w:t>
      </w:r>
      <w:r>
        <w:rPr>
          <w:rFonts w:ascii="Arial" w:hAnsi="Arial" w:cs="Arial"/>
        </w:rPr>
        <w:tab/>
      </w:r>
      <w:r>
        <w:rPr>
          <w:rFonts w:ascii="Arial" w:hAnsi="Arial" w:cs="Arial"/>
        </w:rPr>
        <w:tab/>
      </w:r>
    </w:p>
    <w:p w:rsidR="00E67F56" w:rsidRDefault="00E67F56" w:rsidP="00E67F56">
      <w:pPr>
        <w:pStyle w:val="Sinespaciado"/>
        <w:jc w:val="both"/>
        <w:rPr>
          <w:rFonts w:ascii="Arial" w:hAnsi="Arial" w:cs="Arial"/>
        </w:rPr>
      </w:pPr>
      <w:r>
        <w:rPr>
          <w:rFonts w:ascii="Arial" w:hAnsi="Arial" w:cs="Arial"/>
        </w:rPr>
        <w:t>Partido de 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Partido Liberal</w:t>
      </w:r>
      <w:r>
        <w:rPr>
          <w:rFonts w:ascii="Arial" w:hAnsi="Arial" w:cs="Arial"/>
        </w:rPr>
        <w:tab/>
      </w: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rPr>
      </w:pPr>
    </w:p>
    <w:p w:rsidR="00E67F56" w:rsidRDefault="00E67F56" w:rsidP="00E67F56">
      <w:pPr>
        <w:pStyle w:val="Sinespaciado"/>
        <w:jc w:val="both"/>
        <w:rPr>
          <w:rFonts w:ascii="Arial" w:hAnsi="Arial" w:cs="Arial"/>
          <w:b/>
        </w:rPr>
      </w:pPr>
      <w:r>
        <w:rPr>
          <w:rFonts w:ascii="Arial" w:hAnsi="Arial" w:cs="Arial"/>
          <w:b/>
        </w:rPr>
        <w:t>ANA CRISTINA PAZ CARDONA</w:t>
      </w:r>
      <w:r>
        <w:rPr>
          <w:rFonts w:ascii="Arial" w:hAnsi="Arial" w:cs="Arial"/>
          <w:b/>
        </w:rPr>
        <w:tab/>
      </w:r>
    </w:p>
    <w:p w:rsidR="00E67F56" w:rsidRDefault="00E67F56" w:rsidP="00E67F56">
      <w:pPr>
        <w:pStyle w:val="Sinespaciado"/>
        <w:jc w:val="both"/>
        <w:rPr>
          <w:rFonts w:ascii="Arial" w:hAnsi="Arial" w:cs="Arial"/>
        </w:rPr>
      </w:pPr>
      <w:r>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67F56" w:rsidRDefault="00E67F56" w:rsidP="00E67F56">
      <w:pPr>
        <w:pStyle w:val="Sinespaciado"/>
        <w:jc w:val="both"/>
        <w:rPr>
          <w:rFonts w:ascii="Arial" w:hAnsi="Arial" w:cs="Arial"/>
        </w:rPr>
      </w:pPr>
      <w:r>
        <w:rPr>
          <w:rFonts w:ascii="Arial" w:hAnsi="Arial" w:cs="Arial"/>
        </w:rPr>
        <w:t>H.R. del Valle del Cauca</w:t>
      </w:r>
      <w:r>
        <w:rPr>
          <w:rFonts w:ascii="Arial" w:hAnsi="Arial" w:cs="Arial"/>
        </w:rPr>
        <w:tab/>
      </w:r>
      <w:r>
        <w:rPr>
          <w:rFonts w:ascii="Arial" w:hAnsi="Arial" w:cs="Arial"/>
        </w:rPr>
        <w:tab/>
      </w:r>
    </w:p>
    <w:p w:rsidR="006F2192" w:rsidRPr="00E050EF" w:rsidRDefault="00E67F56" w:rsidP="00E67F56">
      <w:pPr>
        <w:pStyle w:val="Sinespaciado"/>
        <w:jc w:val="both"/>
        <w:rPr>
          <w:rFonts w:ascii="Arial" w:hAnsi="Arial" w:cs="Arial"/>
          <w:b/>
        </w:rPr>
      </w:pPr>
      <w:r>
        <w:rPr>
          <w:rFonts w:ascii="Arial" w:hAnsi="Arial" w:cs="Arial"/>
        </w:rPr>
        <w:t>Partido Alianza Verde</w:t>
      </w:r>
    </w:p>
    <w:sectPr w:rsidR="006F2192" w:rsidRPr="00E050EF" w:rsidSect="00FF69E6">
      <w:headerReference w:type="default" r:id="rId8"/>
      <w:footerReference w:type="default" r:id="rId9"/>
      <w:pgSz w:w="12240" w:h="15840" w:code="1"/>
      <w:pgMar w:top="2211" w:right="1191" w:bottom="624" w:left="1758"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6D" w:rsidRDefault="0021476D" w:rsidP="001A75AA">
      <w:pPr>
        <w:spacing w:after="0" w:line="240" w:lineRule="auto"/>
      </w:pPr>
      <w:r>
        <w:separator/>
      </w:r>
    </w:p>
  </w:endnote>
  <w:endnote w:type="continuationSeparator" w:id="0">
    <w:p w:rsidR="0021476D" w:rsidRDefault="0021476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9E6" w:rsidRPr="00FF69E6" w:rsidRDefault="00FF69E6" w:rsidP="00FF69E6">
    <w:pPr>
      <w:pStyle w:val="Piedepgina"/>
      <w:jc w:val="right"/>
      <w:rPr>
        <w:rFonts w:ascii="Arial" w:hAnsi="Arial" w:cs="Arial"/>
        <w:color w:val="4F81BD" w:themeColor="accent1"/>
        <w:sz w:val="14"/>
        <w:szCs w:val="14"/>
      </w:rPr>
    </w:pPr>
    <w:r w:rsidRPr="00FF69E6">
      <w:rPr>
        <w:rFonts w:ascii="Arial" w:hAnsi="Arial" w:cs="Arial"/>
        <w:color w:val="4F81BD" w:themeColor="accent1"/>
        <w:sz w:val="14"/>
        <w:szCs w:val="14"/>
        <w:lang w:val="es-ES"/>
      </w:rPr>
      <w:t xml:space="preserve">Página </w:t>
    </w:r>
    <w:r w:rsidRPr="00FF69E6">
      <w:rPr>
        <w:rFonts w:ascii="Arial" w:hAnsi="Arial" w:cs="Arial"/>
        <w:color w:val="4F81BD" w:themeColor="accent1"/>
        <w:sz w:val="14"/>
        <w:szCs w:val="14"/>
      </w:rPr>
      <w:fldChar w:fldCharType="begin"/>
    </w:r>
    <w:r w:rsidRPr="00FF69E6">
      <w:rPr>
        <w:rFonts w:ascii="Arial" w:hAnsi="Arial" w:cs="Arial"/>
        <w:color w:val="4F81BD" w:themeColor="accent1"/>
        <w:sz w:val="14"/>
        <w:szCs w:val="14"/>
      </w:rPr>
      <w:instrText>PAGE  \* Arabic  \* MERGEFORMAT</w:instrText>
    </w:r>
    <w:r w:rsidRPr="00FF69E6">
      <w:rPr>
        <w:rFonts w:ascii="Arial" w:hAnsi="Arial" w:cs="Arial"/>
        <w:color w:val="4F81BD" w:themeColor="accent1"/>
        <w:sz w:val="14"/>
        <w:szCs w:val="14"/>
      </w:rPr>
      <w:fldChar w:fldCharType="separate"/>
    </w:r>
    <w:r w:rsidRPr="00FF69E6">
      <w:rPr>
        <w:rFonts w:ascii="Arial" w:hAnsi="Arial" w:cs="Arial"/>
        <w:noProof/>
        <w:color w:val="4F81BD" w:themeColor="accent1"/>
        <w:sz w:val="14"/>
        <w:szCs w:val="14"/>
        <w:lang w:val="es-ES"/>
      </w:rPr>
      <w:t>9</w:t>
    </w:r>
    <w:r w:rsidRPr="00FF69E6">
      <w:rPr>
        <w:rFonts w:ascii="Arial" w:hAnsi="Arial" w:cs="Arial"/>
        <w:color w:val="4F81BD" w:themeColor="accent1"/>
        <w:sz w:val="14"/>
        <w:szCs w:val="14"/>
      </w:rPr>
      <w:fldChar w:fldCharType="end"/>
    </w:r>
    <w:r w:rsidRPr="00FF69E6">
      <w:rPr>
        <w:rFonts w:ascii="Arial" w:hAnsi="Arial" w:cs="Arial"/>
        <w:color w:val="4F81BD" w:themeColor="accent1"/>
        <w:sz w:val="14"/>
        <w:szCs w:val="14"/>
        <w:lang w:val="es-ES"/>
      </w:rPr>
      <w:t xml:space="preserve"> de </w:t>
    </w:r>
    <w:r w:rsidRPr="00FF69E6">
      <w:rPr>
        <w:rFonts w:ascii="Arial" w:hAnsi="Arial" w:cs="Arial"/>
        <w:color w:val="4F81BD" w:themeColor="accent1"/>
        <w:sz w:val="14"/>
        <w:szCs w:val="14"/>
      </w:rPr>
      <w:fldChar w:fldCharType="begin"/>
    </w:r>
    <w:r w:rsidRPr="00FF69E6">
      <w:rPr>
        <w:rFonts w:ascii="Arial" w:hAnsi="Arial" w:cs="Arial"/>
        <w:color w:val="4F81BD" w:themeColor="accent1"/>
        <w:sz w:val="14"/>
        <w:szCs w:val="14"/>
      </w:rPr>
      <w:instrText>NUMPAGES  \* Arabic  \* MERGEFORMAT</w:instrText>
    </w:r>
    <w:r w:rsidRPr="00FF69E6">
      <w:rPr>
        <w:rFonts w:ascii="Arial" w:hAnsi="Arial" w:cs="Arial"/>
        <w:color w:val="4F81BD" w:themeColor="accent1"/>
        <w:sz w:val="14"/>
        <w:szCs w:val="14"/>
      </w:rPr>
      <w:fldChar w:fldCharType="separate"/>
    </w:r>
    <w:r w:rsidRPr="00FF69E6">
      <w:rPr>
        <w:rFonts w:ascii="Arial" w:hAnsi="Arial" w:cs="Arial"/>
        <w:noProof/>
        <w:color w:val="4F81BD" w:themeColor="accent1"/>
        <w:sz w:val="14"/>
        <w:szCs w:val="14"/>
        <w:lang w:val="es-ES"/>
      </w:rPr>
      <w:t>9</w:t>
    </w:r>
    <w:r w:rsidRPr="00FF69E6">
      <w:rPr>
        <w:rFonts w:ascii="Arial" w:hAnsi="Arial" w:cs="Arial"/>
        <w:color w:val="4F81BD" w:themeColor="accent1"/>
        <w:sz w:val="14"/>
        <w:szCs w:val="14"/>
      </w:rPr>
      <w:fldChar w:fldCharType="end"/>
    </w:r>
  </w:p>
  <w:p w:rsidR="0032258F" w:rsidRDefault="003225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6D" w:rsidRDefault="0021476D" w:rsidP="001A75AA">
      <w:pPr>
        <w:spacing w:after="0" w:line="240" w:lineRule="auto"/>
      </w:pPr>
      <w:r>
        <w:separator/>
      </w:r>
    </w:p>
  </w:footnote>
  <w:footnote w:type="continuationSeparator" w:id="0">
    <w:p w:rsidR="0021476D" w:rsidRDefault="0021476D"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8F" w:rsidRDefault="0032258F">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1D1960"/>
    <w:multiLevelType w:val="hybridMultilevel"/>
    <w:tmpl w:val="1BDABA3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62953601"/>
    <w:multiLevelType w:val="hybridMultilevel"/>
    <w:tmpl w:val="FC8882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6"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7"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D881373"/>
    <w:multiLevelType w:val="hybridMultilevel"/>
    <w:tmpl w:val="AB3A51D4"/>
    <w:lvl w:ilvl="0" w:tplc="954E4CD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5"/>
  </w:num>
  <w:num w:numId="3">
    <w:abstractNumId w:val="26"/>
  </w:num>
  <w:num w:numId="4">
    <w:abstractNumId w:val="28"/>
  </w:num>
  <w:num w:numId="5">
    <w:abstractNumId w:val="10"/>
  </w:num>
  <w:num w:numId="6">
    <w:abstractNumId w:val="20"/>
  </w:num>
  <w:num w:numId="7">
    <w:abstractNumId w:val="16"/>
  </w:num>
  <w:num w:numId="8">
    <w:abstractNumId w:val="31"/>
  </w:num>
  <w:num w:numId="9">
    <w:abstractNumId w:val="23"/>
  </w:num>
  <w:num w:numId="10">
    <w:abstractNumId w:val="33"/>
  </w:num>
  <w:num w:numId="11">
    <w:abstractNumId w:val="8"/>
  </w:num>
  <w:num w:numId="12">
    <w:abstractNumId w:val="9"/>
  </w:num>
  <w:num w:numId="13">
    <w:abstractNumId w:val="5"/>
  </w:num>
  <w:num w:numId="14">
    <w:abstractNumId w:val="29"/>
  </w:num>
  <w:num w:numId="15">
    <w:abstractNumId w:val="2"/>
  </w:num>
  <w:num w:numId="16">
    <w:abstractNumId w:val="21"/>
  </w:num>
  <w:num w:numId="17">
    <w:abstractNumId w:val="1"/>
  </w:num>
  <w:num w:numId="18">
    <w:abstractNumId w:val="12"/>
  </w:num>
  <w:num w:numId="19">
    <w:abstractNumId w:val="6"/>
  </w:num>
  <w:num w:numId="20">
    <w:abstractNumId w:val="15"/>
  </w:num>
  <w:num w:numId="21">
    <w:abstractNumId w:val="13"/>
  </w:num>
  <w:num w:numId="22">
    <w:abstractNumId w:val="11"/>
  </w:num>
  <w:num w:numId="23">
    <w:abstractNumId w:val="24"/>
  </w:num>
  <w:num w:numId="24">
    <w:abstractNumId w:val="22"/>
  </w:num>
  <w:num w:numId="25">
    <w:abstractNumId w:val="30"/>
  </w:num>
  <w:num w:numId="26">
    <w:abstractNumId w:val="14"/>
  </w:num>
  <w:num w:numId="27">
    <w:abstractNumId w:val="27"/>
  </w:num>
  <w:num w:numId="28">
    <w:abstractNumId w:val="3"/>
  </w:num>
  <w:num w:numId="29">
    <w:abstractNumId w:val="7"/>
  </w:num>
  <w:num w:numId="30">
    <w:abstractNumId w:val="17"/>
  </w:num>
  <w:num w:numId="31">
    <w:abstractNumId w:val="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76E1"/>
    <w:rsid w:val="00017793"/>
    <w:rsid w:val="00021E24"/>
    <w:rsid w:val="00021ED0"/>
    <w:rsid w:val="0002559F"/>
    <w:rsid w:val="00026637"/>
    <w:rsid w:val="00044901"/>
    <w:rsid w:val="00045135"/>
    <w:rsid w:val="00047FB1"/>
    <w:rsid w:val="000512BC"/>
    <w:rsid w:val="00053857"/>
    <w:rsid w:val="0005764D"/>
    <w:rsid w:val="00061172"/>
    <w:rsid w:val="00062D9C"/>
    <w:rsid w:val="00063138"/>
    <w:rsid w:val="0006405F"/>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5AA"/>
    <w:rsid w:val="001B1EBA"/>
    <w:rsid w:val="001C239C"/>
    <w:rsid w:val="001C7B89"/>
    <w:rsid w:val="001D6579"/>
    <w:rsid w:val="001D7E11"/>
    <w:rsid w:val="001E27BF"/>
    <w:rsid w:val="00200519"/>
    <w:rsid w:val="00201497"/>
    <w:rsid w:val="00203ACE"/>
    <w:rsid w:val="002119E3"/>
    <w:rsid w:val="002126FF"/>
    <w:rsid w:val="0021331D"/>
    <w:rsid w:val="0021476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819FF"/>
    <w:rsid w:val="00295486"/>
    <w:rsid w:val="002A37AF"/>
    <w:rsid w:val="002A42AF"/>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C0DF5"/>
    <w:rsid w:val="003C2A93"/>
    <w:rsid w:val="003C3E07"/>
    <w:rsid w:val="003D161F"/>
    <w:rsid w:val="003D3D21"/>
    <w:rsid w:val="003D7516"/>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704C6"/>
    <w:rsid w:val="00470B1E"/>
    <w:rsid w:val="0047227F"/>
    <w:rsid w:val="00480F35"/>
    <w:rsid w:val="0048114C"/>
    <w:rsid w:val="00484FBF"/>
    <w:rsid w:val="0048518F"/>
    <w:rsid w:val="00494A18"/>
    <w:rsid w:val="004A1D04"/>
    <w:rsid w:val="004A2006"/>
    <w:rsid w:val="004A4C6F"/>
    <w:rsid w:val="004B1160"/>
    <w:rsid w:val="004B4719"/>
    <w:rsid w:val="004B47F9"/>
    <w:rsid w:val="004B7885"/>
    <w:rsid w:val="004C3501"/>
    <w:rsid w:val="004E674B"/>
    <w:rsid w:val="004E71FD"/>
    <w:rsid w:val="004F06CF"/>
    <w:rsid w:val="004F1CE6"/>
    <w:rsid w:val="004F215A"/>
    <w:rsid w:val="004F4B33"/>
    <w:rsid w:val="00513432"/>
    <w:rsid w:val="005175EF"/>
    <w:rsid w:val="00523669"/>
    <w:rsid w:val="00527551"/>
    <w:rsid w:val="005301F9"/>
    <w:rsid w:val="00533418"/>
    <w:rsid w:val="0054196F"/>
    <w:rsid w:val="00544B41"/>
    <w:rsid w:val="005473D7"/>
    <w:rsid w:val="00553452"/>
    <w:rsid w:val="0055369D"/>
    <w:rsid w:val="0055410E"/>
    <w:rsid w:val="00556F17"/>
    <w:rsid w:val="00566078"/>
    <w:rsid w:val="00566ED4"/>
    <w:rsid w:val="00570637"/>
    <w:rsid w:val="00571058"/>
    <w:rsid w:val="00580751"/>
    <w:rsid w:val="005835FD"/>
    <w:rsid w:val="00586945"/>
    <w:rsid w:val="00587D45"/>
    <w:rsid w:val="00594EE6"/>
    <w:rsid w:val="00595842"/>
    <w:rsid w:val="005A786F"/>
    <w:rsid w:val="005B29EB"/>
    <w:rsid w:val="005C0101"/>
    <w:rsid w:val="005C265D"/>
    <w:rsid w:val="005C46B5"/>
    <w:rsid w:val="005C6DC9"/>
    <w:rsid w:val="005D0418"/>
    <w:rsid w:val="005D3575"/>
    <w:rsid w:val="005D4E38"/>
    <w:rsid w:val="005E12DE"/>
    <w:rsid w:val="005E46E7"/>
    <w:rsid w:val="005F2C9B"/>
    <w:rsid w:val="0061264E"/>
    <w:rsid w:val="00613B02"/>
    <w:rsid w:val="00622B3F"/>
    <w:rsid w:val="00622B74"/>
    <w:rsid w:val="0063155D"/>
    <w:rsid w:val="00635C6F"/>
    <w:rsid w:val="00637559"/>
    <w:rsid w:val="00645C61"/>
    <w:rsid w:val="00670DED"/>
    <w:rsid w:val="00671BC3"/>
    <w:rsid w:val="0067641B"/>
    <w:rsid w:val="00677FDE"/>
    <w:rsid w:val="00681AE7"/>
    <w:rsid w:val="00681C48"/>
    <w:rsid w:val="006842D0"/>
    <w:rsid w:val="006846A0"/>
    <w:rsid w:val="00687291"/>
    <w:rsid w:val="006904B4"/>
    <w:rsid w:val="00695983"/>
    <w:rsid w:val="006A06BA"/>
    <w:rsid w:val="006A0D57"/>
    <w:rsid w:val="006B2B87"/>
    <w:rsid w:val="006B40AC"/>
    <w:rsid w:val="006B757E"/>
    <w:rsid w:val="006C2A67"/>
    <w:rsid w:val="006C302E"/>
    <w:rsid w:val="006C370B"/>
    <w:rsid w:val="006D3C55"/>
    <w:rsid w:val="006E0E29"/>
    <w:rsid w:val="006E177A"/>
    <w:rsid w:val="006E1D47"/>
    <w:rsid w:val="006F021B"/>
    <w:rsid w:val="006F2192"/>
    <w:rsid w:val="006F38A8"/>
    <w:rsid w:val="00713DC0"/>
    <w:rsid w:val="00716397"/>
    <w:rsid w:val="007167A5"/>
    <w:rsid w:val="00720ABC"/>
    <w:rsid w:val="00743F79"/>
    <w:rsid w:val="007446C5"/>
    <w:rsid w:val="00752B55"/>
    <w:rsid w:val="0076487F"/>
    <w:rsid w:val="00765D2D"/>
    <w:rsid w:val="00766F75"/>
    <w:rsid w:val="00772861"/>
    <w:rsid w:val="00777E62"/>
    <w:rsid w:val="0078393C"/>
    <w:rsid w:val="00783FF1"/>
    <w:rsid w:val="007855A6"/>
    <w:rsid w:val="0078793C"/>
    <w:rsid w:val="0079437A"/>
    <w:rsid w:val="00796C52"/>
    <w:rsid w:val="007B03BB"/>
    <w:rsid w:val="007B15C8"/>
    <w:rsid w:val="007B390C"/>
    <w:rsid w:val="007B419E"/>
    <w:rsid w:val="007D2527"/>
    <w:rsid w:val="007D43C4"/>
    <w:rsid w:val="007D582E"/>
    <w:rsid w:val="007E024C"/>
    <w:rsid w:val="007E0D32"/>
    <w:rsid w:val="007F0C2F"/>
    <w:rsid w:val="007F223F"/>
    <w:rsid w:val="007F2A05"/>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4264"/>
    <w:rsid w:val="008F4687"/>
    <w:rsid w:val="00900E3B"/>
    <w:rsid w:val="0092131B"/>
    <w:rsid w:val="0092191E"/>
    <w:rsid w:val="00923085"/>
    <w:rsid w:val="00925C03"/>
    <w:rsid w:val="009277E9"/>
    <w:rsid w:val="00931867"/>
    <w:rsid w:val="00935879"/>
    <w:rsid w:val="00940610"/>
    <w:rsid w:val="00945341"/>
    <w:rsid w:val="00963451"/>
    <w:rsid w:val="00963D5C"/>
    <w:rsid w:val="00967BA7"/>
    <w:rsid w:val="00972DF0"/>
    <w:rsid w:val="00976AEB"/>
    <w:rsid w:val="00977842"/>
    <w:rsid w:val="00981CC9"/>
    <w:rsid w:val="0098219B"/>
    <w:rsid w:val="009828E1"/>
    <w:rsid w:val="009854E8"/>
    <w:rsid w:val="00985E6B"/>
    <w:rsid w:val="009A0AAB"/>
    <w:rsid w:val="009A3159"/>
    <w:rsid w:val="009C1657"/>
    <w:rsid w:val="009C42ED"/>
    <w:rsid w:val="009C714F"/>
    <w:rsid w:val="009D3CE0"/>
    <w:rsid w:val="009D43DE"/>
    <w:rsid w:val="009D6D67"/>
    <w:rsid w:val="009E52D9"/>
    <w:rsid w:val="009F068A"/>
    <w:rsid w:val="009F2514"/>
    <w:rsid w:val="009F7BF3"/>
    <w:rsid w:val="00A05691"/>
    <w:rsid w:val="00A20232"/>
    <w:rsid w:val="00A20FB3"/>
    <w:rsid w:val="00A24B2C"/>
    <w:rsid w:val="00A26683"/>
    <w:rsid w:val="00A300AD"/>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A5676"/>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27DD"/>
    <w:rsid w:val="00C43F87"/>
    <w:rsid w:val="00C47D16"/>
    <w:rsid w:val="00C525EA"/>
    <w:rsid w:val="00C54F74"/>
    <w:rsid w:val="00C54FD9"/>
    <w:rsid w:val="00C55F1A"/>
    <w:rsid w:val="00C567AB"/>
    <w:rsid w:val="00C56F63"/>
    <w:rsid w:val="00C719AD"/>
    <w:rsid w:val="00C7665C"/>
    <w:rsid w:val="00C8653A"/>
    <w:rsid w:val="00C910BE"/>
    <w:rsid w:val="00C91C15"/>
    <w:rsid w:val="00C92567"/>
    <w:rsid w:val="00C930F7"/>
    <w:rsid w:val="00C9410C"/>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504C2"/>
    <w:rsid w:val="00D506F5"/>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B7237"/>
    <w:rsid w:val="00DC1A7C"/>
    <w:rsid w:val="00DD2204"/>
    <w:rsid w:val="00DD235F"/>
    <w:rsid w:val="00DD2F8B"/>
    <w:rsid w:val="00DD62CA"/>
    <w:rsid w:val="00DE4A3F"/>
    <w:rsid w:val="00DE5D05"/>
    <w:rsid w:val="00E020D5"/>
    <w:rsid w:val="00E050EF"/>
    <w:rsid w:val="00E05114"/>
    <w:rsid w:val="00E17403"/>
    <w:rsid w:val="00E42F28"/>
    <w:rsid w:val="00E501B8"/>
    <w:rsid w:val="00E53778"/>
    <w:rsid w:val="00E61324"/>
    <w:rsid w:val="00E62CF7"/>
    <w:rsid w:val="00E67E16"/>
    <w:rsid w:val="00E67F5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4C23"/>
    <w:rsid w:val="00EE5220"/>
    <w:rsid w:val="00EE73BD"/>
    <w:rsid w:val="00EF3669"/>
    <w:rsid w:val="00F00145"/>
    <w:rsid w:val="00F0017A"/>
    <w:rsid w:val="00F012BD"/>
    <w:rsid w:val="00F049A0"/>
    <w:rsid w:val="00F071FB"/>
    <w:rsid w:val="00F07E05"/>
    <w:rsid w:val="00F14642"/>
    <w:rsid w:val="00F14F87"/>
    <w:rsid w:val="00F170EB"/>
    <w:rsid w:val="00F2252D"/>
    <w:rsid w:val="00F259F8"/>
    <w:rsid w:val="00F25FCE"/>
    <w:rsid w:val="00F2757C"/>
    <w:rsid w:val="00F306B2"/>
    <w:rsid w:val="00F318B7"/>
    <w:rsid w:val="00F33658"/>
    <w:rsid w:val="00F343C3"/>
    <w:rsid w:val="00F36C59"/>
    <w:rsid w:val="00F4582E"/>
    <w:rsid w:val="00F53260"/>
    <w:rsid w:val="00F534FB"/>
    <w:rsid w:val="00F56B3B"/>
    <w:rsid w:val="00F570CD"/>
    <w:rsid w:val="00F609E8"/>
    <w:rsid w:val="00F67C6B"/>
    <w:rsid w:val="00F71BA2"/>
    <w:rsid w:val="00F71C27"/>
    <w:rsid w:val="00F72B35"/>
    <w:rsid w:val="00F87CE8"/>
    <w:rsid w:val="00F93EE3"/>
    <w:rsid w:val="00FA4A39"/>
    <w:rsid w:val="00FB36DF"/>
    <w:rsid w:val="00FB61E4"/>
    <w:rsid w:val="00FD31EE"/>
    <w:rsid w:val="00FD378B"/>
    <w:rsid w:val="00FD3E3B"/>
    <w:rsid w:val="00FD4D9D"/>
    <w:rsid w:val="00FD5A94"/>
    <w:rsid w:val="00FE0837"/>
    <w:rsid w:val="00FE2780"/>
    <w:rsid w:val="00FE2D19"/>
    <w:rsid w:val="00FE3862"/>
    <w:rsid w:val="00FF0B4C"/>
    <w:rsid w:val="00FF630A"/>
    <w:rsid w:val="00FF69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5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795362805">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D0BA-60AD-4D8A-A913-7E532BCF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4067</Words>
  <Characters>22369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2017-09-12T22:05:00Z</cp:lastPrinted>
  <dcterms:created xsi:type="dcterms:W3CDTF">2017-10-31T22:39:00Z</dcterms:created>
  <dcterms:modified xsi:type="dcterms:W3CDTF">2017-10-31T23:15:00Z</dcterms:modified>
</cp:coreProperties>
</file>