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2BF" w:rsidRDefault="00F702BF">
      <w:pPr>
        <w:spacing w:after="0" w:line="240" w:lineRule="auto"/>
        <w:jc w:val="center"/>
        <w:rPr>
          <w:rFonts w:ascii="Arial" w:hAnsi="Arial"/>
          <w:b/>
          <w:bCs/>
          <w:i/>
          <w:sz w:val="24"/>
          <w:szCs w:val="24"/>
          <w:lang w:val="es-ES_tradnl"/>
        </w:rPr>
      </w:pPr>
      <w:bookmarkStart w:id="0" w:name="_GoBack"/>
      <w:bookmarkEnd w:id="0"/>
    </w:p>
    <w:p w:rsidR="00F702BF" w:rsidRDefault="00F0380A">
      <w:pPr>
        <w:spacing w:after="0" w:line="240" w:lineRule="auto"/>
        <w:jc w:val="center"/>
      </w:pPr>
      <w:r>
        <w:rPr>
          <w:rFonts w:ascii="Arial" w:hAnsi="Arial"/>
          <w:b/>
          <w:bCs/>
          <w:i/>
          <w:sz w:val="24"/>
          <w:szCs w:val="24"/>
          <w:lang w:val="es-ES_tradnl"/>
        </w:rPr>
        <w:t xml:space="preserve">INFORME DE PONENCIA PARA PRIMER DEBATE AL PROYECTO </w:t>
      </w:r>
      <w:r>
        <w:rPr>
          <w:rFonts w:ascii="Arial" w:hAnsi="Arial"/>
          <w:b/>
          <w:bCs/>
          <w:i/>
          <w:sz w:val="24"/>
          <w:szCs w:val="24"/>
          <w:lang w:val="es-ES"/>
        </w:rPr>
        <w:t>DE ACTO LEGISLATIVO No. 155 DE 2017 CÁMARA</w:t>
      </w:r>
    </w:p>
    <w:p w:rsidR="00F702BF" w:rsidRDefault="00F0380A">
      <w:pPr>
        <w:spacing w:after="0" w:line="240" w:lineRule="auto"/>
        <w:jc w:val="center"/>
      </w:pPr>
      <w:r>
        <w:rPr>
          <w:rFonts w:ascii="Arial" w:hAnsi="Arial"/>
          <w:b/>
          <w:bCs/>
          <w:i/>
          <w:sz w:val="24"/>
          <w:szCs w:val="24"/>
          <w:lang w:val="es-ES"/>
        </w:rPr>
        <w:t xml:space="preserve">“POR MEDIO DEL CUAL SE MODIFICA EL </w:t>
      </w:r>
      <w:r>
        <w:rPr>
          <w:rFonts w:ascii="Arial" w:hAnsi="Arial"/>
          <w:b/>
          <w:bCs/>
          <w:i/>
          <w:sz w:val="24"/>
          <w:szCs w:val="24"/>
        </w:rPr>
        <w:t xml:space="preserve">PARÁGRAFO 2° DEL ARTÍCULO 2° DEL </w:t>
      </w:r>
      <w:r>
        <w:rPr>
          <w:rFonts w:ascii="Arial" w:hAnsi="Arial"/>
          <w:b/>
          <w:bCs/>
          <w:i/>
          <w:sz w:val="24"/>
          <w:szCs w:val="24"/>
          <w:lang w:val="es-ES"/>
        </w:rPr>
        <w:t xml:space="preserve">ACTO LEGISLATIVO 005 </w:t>
      </w:r>
      <w:r>
        <w:rPr>
          <w:rFonts w:ascii="Arial" w:hAnsi="Arial"/>
          <w:b/>
          <w:bCs/>
          <w:i/>
          <w:sz w:val="24"/>
          <w:szCs w:val="24"/>
          <w:lang w:val="es-ES"/>
        </w:rPr>
        <w:t>DE 2011”</w:t>
      </w:r>
    </w:p>
    <w:p w:rsidR="00F702BF" w:rsidRDefault="00F702BF">
      <w:pPr>
        <w:spacing w:after="0" w:line="240" w:lineRule="auto"/>
        <w:jc w:val="center"/>
        <w:rPr>
          <w:rFonts w:ascii="Arial" w:hAnsi="Arial"/>
          <w:b/>
          <w:bCs/>
          <w:i/>
          <w:sz w:val="24"/>
          <w:szCs w:val="24"/>
          <w:lang w:val="es-ES"/>
        </w:rPr>
      </w:pPr>
    </w:p>
    <w:p w:rsidR="00F702BF" w:rsidRDefault="00F702BF">
      <w:pPr>
        <w:spacing w:after="0" w:line="240" w:lineRule="auto"/>
        <w:jc w:val="center"/>
        <w:rPr>
          <w:rFonts w:ascii="Arial" w:hAnsi="Arial"/>
          <w:b/>
          <w:sz w:val="24"/>
          <w:szCs w:val="24"/>
          <w:lang w:val="es-ES"/>
        </w:rPr>
      </w:pP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Bogotá, D. C., noviembre 7 de 2017.</w:t>
      </w:r>
    </w:p>
    <w:p w:rsidR="00F702BF" w:rsidRDefault="00F702BF">
      <w:pPr>
        <w:spacing w:after="0" w:line="240" w:lineRule="auto"/>
        <w:jc w:val="both"/>
        <w:textAlignment w:val="center"/>
        <w:rPr>
          <w:rFonts w:ascii="Arial" w:hAnsi="Arial"/>
          <w:sz w:val="24"/>
          <w:szCs w:val="24"/>
          <w:lang w:val="es-ES_tradnl"/>
        </w:rPr>
      </w:pP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Doctor</w:t>
      </w:r>
    </w:p>
    <w:p w:rsidR="00F702BF" w:rsidRDefault="00F0380A">
      <w:pPr>
        <w:spacing w:after="0" w:line="240" w:lineRule="auto"/>
        <w:jc w:val="both"/>
        <w:textAlignment w:val="center"/>
        <w:rPr>
          <w:rFonts w:ascii="Arial" w:hAnsi="Arial"/>
          <w:b/>
          <w:sz w:val="24"/>
          <w:szCs w:val="24"/>
          <w:lang w:val="es-ES_tradnl"/>
        </w:rPr>
      </w:pPr>
      <w:r>
        <w:rPr>
          <w:rFonts w:ascii="Arial" w:hAnsi="Arial"/>
          <w:b/>
          <w:sz w:val="24"/>
          <w:szCs w:val="24"/>
          <w:lang w:val="es-ES_tradnl"/>
        </w:rPr>
        <w:t>CARLOS ARTURO CORREA MOJICA</w:t>
      </w: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Presidente</w:t>
      </w: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Comisión Primera Constitucional Permanente</w:t>
      </w: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Cámara de Representantes</w:t>
      </w: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Ciudad</w:t>
      </w:r>
    </w:p>
    <w:p w:rsidR="00F702BF" w:rsidRDefault="00F702BF">
      <w:pPr>
        <w:spacing w:after="0" w:line="240" w:lineRule="auto"/>
        <w:jc w:val="both"/>
        <w:rPr>
          <w:rFonts w:ascii="Arial" w:hAnsi="Arial"/>
          <w:b/>
          <w:bCs/>
          <w:sz w:val="24"/>
          <w:szCs w:val="24"/>
          <w:lang w:val="es-ES_tradnl"/>
        </w:rPr>
      </w:pPr>
    </w:p>
    <w:p w:rsidR="00F702BF" w:rsidRDefault="00F702BF">
      <w:pPr>
        <w:spacing w:after="0" w:line="240" w:lineRule="auto"/>
        <w:jc w:val="both"/>
        <w:rPr>
          <w:rFonts w:ascii="Arial" w:hAnsi="Arial"/>
          <w:b/>
          <w:bCs/>
          <w:sz w:val="24"/>
          <w:szCs w:val="24"/>
          <w:lang w:val="es-ES_tradnl"/>
        </w:rPr>
      </w:pPr>
    </w:p>
    <w:p w:rsidR="00F702BF" w:rsidRDefault="00F0380A">
      <w:pPr>
        <w:spacing w:after="0" w:line="240" w:lineRule="auto"/>
        <w:ind w:left="1701"/>
        <w:jc w:val="both"/>
      </w:pPr>
      <w:r>
        <w:rPr>
          <w:rFonts w:ascii="Arial" w:hAnsi="Arial"/>
          <w:b/>
          <w:bCs/>
          <w:sz w:val="24"/>
          <w:szCs w:val="24"/>
          <w:lang w:val="es-ES_tradnl"/>
        </w:rPr>
        <w:t>Referencia:</w:t>
      </w:r>
      <w:r>
        <w:rPr>
          <w:rFonts w:ascii="Arial" w:hAnsi="Arial"/>
          <w:sz w:val="24"/>
          <w:szCs w:val="24"/>
          <w:lang w:val="es-ES_tradnl"/>
        </w:rPr>
        <w:t xml:space="preserve"> </w:t>
      </w:r>
      <w:r>
        <w:rPr>
          <w:rFonts w:ascii="Arial" w:hAnsi="Arial"/>
          <w:bCs/>
          <w:i/>
          <w:sz w:val="24"/>
          <w:szCs w:val="24"/>
          <w:lang w:val="es-ES_tradnl"/>
        </w:rPr>
        <w:t xml:space="preserve">Informe de ponencia para primer debate en Comisión Primera </w:t>
      </w:r>
      <w:r>
        <w:rPr>
          <w:rFonts w:ascii="Arial" w:hAnsi="Arial"/>
          <w:bCs/>
          <w:i/>
          <w:sz w:val="24"/>
          <w:szCs w:val="24"/>
          <w:lang w:val="es-ES_tradnl"/>
        </w:rPr>
        <w:t xml:space="preserve">Constitucional Permanente de Cámara de Representantes, al Proyecto </w:t>
      </w:r>
      <w:r>
        <w:rPr>
          <w:rFonts w:ascii="Arial" w:hAnsi="Arial"/>
          <w:bCs/>
          <w:i/>
          <w:sz w:val="24"/>
          <w:szCs w:val="24"/>
          <w:lang w:val="es-ES"/>
        </w:rPr>
        <w:t xml:space="preserve">de acto legislativo No. 155 de 2017 cámara “Por medio del cual se modifica el </w:t>
      </w:r>
      <w:r>
        <w:rPr>
          <w:rFonts w:ascii="Arial" w:hAnsi="Arial"/>
          <w:bCs/>
          <w:i/>
          <w:sz w:val="24"/>
          <w:szCs w:val="24"/>
        </w:rPr>
        <w:t xml:space="preserve">parágrafo 2° del artículo 2° del </w:t>
      </w:r>
      <w:r>
        <w:rPr>
          <w:rFonts w:ascii="Arial" w:hAnsi="Arial"/>
          <w:bCs/>
          <w:i/>
          <w:sz w:val="24"/>
          <w:szCs w:val="24"/>
          <w:lang w:val="es-ES"/>
        </w:rPr>
        <w:t>Acto Legislativo 005 de 2011”.</w:t>
      </w:r>
    </w:p>
    <w:p w:rsidR="00F702BF" w:rsidRDefault="00F702BF">
      <w:pPr>
        <w:spacing w:after="0" w:line="240" w:lineRule="auto"/>
        <w:ind w:left="1701"/>
        <w:jc w:val="both"/>
        <w:rPr>
          <w:rFonts w:ascii="Arial" w:hAnsi="Arial"/>
          <w:sz w:val="24"/>
          <w:szCs w:val="24"/>
        </w:rPr>
      </w:pPr>
    </w:p>
    <w:p w:rsidR="00F702BF" w:rsidRDefault="00F702BF">
      <w:pPr>
        <w:spacing w:after="0" w:line="240" w:lineRule="auto"/>
        <w:ind w:left="1701"/>
        <w:jc w:val="both"/>
        <w:textAlignment w:val="center"/>
        <w:rPr>
          <w:rFonts w:ascii="Arial" w:hAnsi="Arial"/>
          <w:sz w:val="24"/>
          <w:szCs w:val="24"/>
          <w:lang w:val="es-ES_tradnl"/>
        </w:rPr>
      </w:pP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Respetado doctor:</w:t>
      </w:r>
    </w:p>
    <w:p w:rsidR="00F702BF" w:rsidRDefault="00F702BF">
      <w:pPr>
        <w:spacing w:after="0" w:line="240" w:lineRule="auto"/>
        <w:jc w:val="both"/>
        <w:rPr>
          <w:rFonts w:ascii="Arial" w:hAnsi="Arial"/>
          <w:sz w:val="24"/>
          <w:szCs w:val="24"/>
          <w:lang w:val="es-ES_tradnl"/>
        </w:rPr>
      </w:pPr>
    </w:p>
    <w:p w:rsidR="00F702BF" w:rsidRDefault="00F0380A">
      <w:pPr>
        <w:spacing w:after="0" w:line="240" w:lineRule="auto"/>
        <w:jc w:val="both"/>
      </w:pPr>
      <w:r>
        <w:rPr>
          <w:rFonts w:ascii="Arial" w:hAnsi="Arial"/>
          <w:sz w:val="24"/>
          <w:szCs w:val="24"/>
          <w:lang w:val="es-ES_tradnl"/>
        </w:rPr>
        <w:t>En cumplimiento de la desi</w:t>
      </w:r>
      <w:r>
        <w:rPr>
          <w:rFonts w:ascii="Arial" w:hAnsi="Arial"/>
          <w:sz w:val="24"/>
          <w:szCs w:val="24"/>
          <w:lang w:val="es-ES_tradnl"/>
        </w:rPr>
        <w:t>gnación hecha por la Mesa Directiva de la Comisión Primera Constitucional Permanente, de la honorable Cámara de Representantes y de acuerdo con las disposiciones contenidas en la Ley 5ª de 1992, nos permitimos presentar el informe de ponencia para primer d</w:t>
      </w:r>
      <w:r>
        <w:rPr>
          <w:rFonts w:ascii="Arial" w:hAnsi="Arial"/>
          <w:sz w:val="24"/>
          <w:szCs w:val="24"/>
          <w:lang w:val="es-ES_tradnl"/>
        </w:rPr>
        <w:t xml:space="preserve">ebate en Cámara de Representantes, al </w:t>
      </w:r>
      <w:r>
        <w:rPr>
          <w:rFonts w:ascii="Arial" w:hAnsi="Arial"/>
          <w:bCs/>
          <w:sz w:val="24"/>
          <w:szCs w:val="24"/>
          <w:lang w:val="es-ES_tradnl"/>
        </w:rPr>
        <w:t xml:space="preserve">Proyecto </w:t>
      </w:r>
      <w:r>
        <w:rPr>
          <w:rFonts w:ascii="Arial" w:hAnsi="Arial"/>
          <w:bCs/>
          <w:sz w:val="24"/>
          <w:szCs w:val="24"/>
          <w:lang w:val="es-ES"/>
        </w:rPr>
        <w:t xml:space="preserve">de acto legislativo No. 155 de 2017 Cámara </w:t>
      </w:r>
      <w:r>
        <w:rPr>
          <w:rFonts w:ascii="Arial" w:hAnsi="Arial"/>
          <w:bCs/>
          <w:i/>
          <w:sz w:val="24"/>
          <w:szCs w:val="24"/>
          <w:lang w:val="es-ES"/>
        </w:rPr>
        <w:t xml:space="preserve">“Por medio del cual se modifica el </w:t>
      </w:r>
      <w:r>
        <w:rPr>
          <w:rFonts w:ascii="Arial" w:hAnsi="Arial"/>
          <w:bCs/>
          <w:i/>
          <w:sz w:val="24"/>
          <w:szCs w:val="24"/>
        </w:rPr>
        <w:t xml:space="preserve">parágrafo 2° del artículo 2° del </w:t>
      </w:r>
      <w:r>
        <w:rPr>
          <w:rFonts w:ascii="Arial" w:hAnsi="Arial"/>
          <w:bCs/>
          <w:i/>
          <w:sz w:val="24"/>
          <w:szCs w:val="24"/>
          <w:lang w:val="es-ES"/>
        </w:rPr>
        <w:t>Acto Legislativo 005 de 2011”</w:t>
      </w:r>
    </w:p>
    <w:p w:rsidR="00F702BF" w:rsidRDefault="00F702BF">
      <w:pPr>
        <w:spacing w:after="0" w:line="240" w:lineRule="auto"/>
        <w:jc w:val="both"/>
        <w:textAlignment w:val="center"/>
        <w:rPr>
          <w:rFonts w:ascii="Arial" w:hAnsi="Arial"/>
          <w:b/>
          <w:bCs/>
          <w:sz w:val="24"/>
          <w:szCs w:val="24"/>
          <w:lang w:val="es-ES_tradnl"/>
        </w:rPr>
      </w:pPr>
    </w:p>
    <w:p w:rsidR="00F702BF" w:rsidRDefault="00F0380A">
      <w:pPr>
        <w:spacing w:after="0" w:line="240" w:lineRule="auto"/>
        <w:jc w:val="both"/>
        <w:textAlignment w:val="center"/>
        <w:rPr>
          <w:rFonts w:ascii="Arial" w:hAnsi="Arial"/>
          <w:b/>
          <w:bCs/>
          <w:sz w:val="24"/>
          <w:szCs w:val="24"/>
          <w:lang w:val="es-ES_tradnl"/>
        </w:rPr>
      </w:pPr>
      <w:r>
        <w:rPr>
          <w:rFonts w:ascii="Arial" w:hAnsi="Arial"/>
          <w:b/>
          <w:bCs/>
          <w:sz w:val="24"/>
          <w:szCs w:val="24"/>
          <w:lang w:val="es-ES_tradnl"/>
        </w:rPr>
        <w:t>I. ANTECEDENTES LEGISLATIVOS DEL PROYECTO DE ACTO LEGISLATIVO</w:t>
      </w: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pPr>
      <w:r>
        <w:rPr>
          <w:rFonts w:ascii="Arial" w:eastAsia="Times New Roman" w:hAnsi="Arial"/>
          <w:bCs/>
          <w:sz w:val="24"/>
          <w:szCs w:val="24"/>
          <w:lang w:eastAsia="es-CO"/>
        </w:rPr>
        <w:t>El p</w:t>
      </w:r>
      <w:r>
        <w:rPr>
          <w:rFonts w:ascii="Arial" w:eastAsia="Times New Roman" w:hAnsi="Arial"/>
          <w:bCs/>
          <w:sz w:val="24"/>
          <w:szCs w:val="24"/>
          <w:lang w:eastAsia="es-CO"/>
        </w:rPr>
        <w:t xml:space="preserve">resente proyecto había sido radicado en la Secretaría General de la Cámara de Representantes en abril 18 de 2017 con el Número </w:t>
      </w:r>
      <w:r>
        <w:rPr>
          <w:rFonts w:ascii="Arial" w:eastAsia="MS Mincho" w:hAnsi="Arial"/>
          <w:bCs/>
          <w:sz w:val="24"/>
          <w:szCs w:val="24"/>
          <w:lang w:val="es-ES" w:eastAsia="es-ES"/>
        </w:rPr>
        <w:t xml:space="preserve">254 y publicado en la </w:t>
      </w:r>
      <w:r>
        <w:rPr>
          <w:rFonts w:ascii="Arial" w:eastAsia="MS Mincho" w:hAnsi="Arial"/>
          <w:bCs/>
          <w:sz w:val="24"/>
          <w:szCs w:val="24"/>
          <w:lang w:eastAsia="es-ES"/>
        </w:rPr>
        <w:t>Gaceta N°491 de 2017. Teniendo en cuenta que fue archivado por cambio de legislatura, hemos decidido volver</w:t>
      </w:r>
      <w:r>
        <w:rPr>
          <w:rFonts w:ascii="Arial" w:eastAsia="MS Mincho" w:hAnsi="Arial"/>
          <w:bCs/>
          <w:sz w:val="24"/>
          <w:szCs w:val="24"/>
          <w:lang w:eastAsia="es-ES"/>
        </w:rPr>
        <w:t xml:space="preserve"> a presentarlo considerando su aporte al manejo eficiente de las regalías y a la superación de la problemática de suministro de energía en las regiones, proponiendo para ello el empleo de las </w:t>
      </w:r>
      <w:r>
        <w:rPr>
          <w:rFonts w:ascii="Arial" w:eastAsia="Times New Roman" w:hAnsi="Arial"/>
          <w:sz w:val="24"/>
          <w:szCs w:val="24"/>
          <w:lang w:eastAsia="es-CO"/>
        </w:rPr>
        <w:t>Fuentes No Convencionales de Energía Renovable (FNCER).</w:t>
      </w:r>
    </w:p>
    <w:p w:rsidR="00F702BF" w:rsidRDefault="00F702BF">
      <w:pPr>
        <w:spacing w:after="0" w:line="240" w:lineRule="auto"/>
        <w:jc w:val="both"/>
        <w:rPr>
          <w:rFonts w:ascii="Arial" w:hAnsi="Arial"/>
          <w:sz w:val="24"/>
          <w:szCs w:val="24"/>
          <w:lang w:val="es-ES_tradnl"/>
        </w:rPr>
      </w:pPr>
    </w:p>
    <w:p w:rsidR="00F702BF" w:rsidRDefault="00F0380A">
      <w:pPr>
        <w:spacing w:after="0" w:line="240" w:lineRule="auto"/>
        <w:jc w:val="both"/>
        <w:textAlignment w:val="center"/>
      </w:pPr>
      <w:r>
        <w:rPr>
          <w:rFonts w:ascii="Arial" w:hAnsi="Arial"/>
          <w:sz w:val="24"/>
          <w:szCs w:val="24"/>
          <w:lang w:val="es-ES_tradnl"/>
        </w:rPr>
        <w:lastRenderedPageBreak/>
        <w:t>Para es</w:t>
      </w:r>
      <w:r>
        <w:rPr>
          <w:rFonts w:ascii="Arial" w:hAnsi="Arial"/>
          <w:sz w:val="24"/>
          <w:szCs w:val="24"/>
          <w:lang w:val="es-ES_tradnl"/>
        </w:rPr>
        <w:t>e efecto, se radicó nuevamente con el</w:t>
      </w:r>
      <w:r>
        <w:rPr>
          <w:rFonts w:ascii="Arial" w:hAnsi="Arial"/>
          <w:bCs/>
          <w:sz w:val="24"/>
          <w:szCs w:val="24"/>
          <w:lang w:val="es-ES"/>
        </w:rPr>
        <w:t xml:space="preserve"> No. 155 de 2017 Cámara</w:t>
      </w:r>
      <w:r>
        <w:rPr>
          <w:rFonts w:ascii="Arial" w:hAnsi="Arial"/>
          <w:sz w:val="24"/>
          <w:szCs w:val="24"/>
          <w:lang w:val="es-ES_tradnl"/>
        </w:rPr>
        <w:t xml:space="preserve"> por iniciativa de los Honorables Representantes a la Cámara Eduardo Agatón Díaz Granados Abadía, Eduardo Alfonso Crissien Borrero, Juan Felipe Lemos Uribe, José Bernardo Flórez Asprilla, Rafael E</w:t>
      </w:r>
      <w:r>
        <w:rPr>
          <w:rFonts w:ascii="Arial" w:hAnsi="Arial"/>
          <w:sz w:val="24"/>
          <w:szCs w:val="24"/>
          <w:lang w:val="es-ES_tradnl"/>
        </w:rPr>
        <w:t xml:space="preserve">duardo Palau Salazar, Albeiro Vanegas Osorio, Didier Burgos Ramírez, Martha Patricia Villalba Hodwalker, Elda Lucy Contento Sanz, León Darío Ramírez Valencia y Jaime Buenahora Febres. El proyecto de acto legislativo se publicó en la </w:t>
      </w:r>
      <w:r>
        <w:rPr>
          <w:rFonts w:ascii="Arial" w:hAnsi="Arial"/>
          <w:bCs/>
          <w:iCs/>
          <w:sz w:val="24"/>
          <w:szCs w:val="24"/>
          <w:lang w:val="es-ES_tradnl"/>
        </w:rPr>
        <w:t>Gaceta del Congreso</w:t>
      </w:r>
      <w:r>
        <w:rPr>
          <w:rFonts w:ascii="Arial" w:hAnsi="Arial"/>
          <w:sz w:val="24"/>
          <w:szCs w:val="24"/>
          <w:lang w:val="es-ES_tradnl"/>
        </w:rPr>
        <w:t xml:space="preserve"> </w:t>
      </w:r>
      <w:r>
        <w:rPr>
          <w:rFonts w:ascii="Arial" w:hAnsi="Arial"/>
          <w:sz w:val="24"/>
          <w:szCs w:val="24"/>
        </w:rPr>
        <w:t>N°8</w:t>
      </w:r>
      <w:r>
        <w:rPr>
          <w:rFonts w:ascii="Arial" w:hAnsi="Arial"/>
          <w:sz w:val="24"/>
          <w:szCs w:val="24"/>
        </w:rPr>
        <w:t>25 de 2017</w:t>
      </w:r>
      <w:r>
        <w:rPr>
          <w:rFonts w:ascii="Arial" w:hAnsi="Arial"/>
          <w:sz w:val="24"/>
          <w:szCs w:val="24"/>
          <w:lang w:val="es-ES_tradnl"/>
        </w:rPr>
        <w:t>, en cumplimiento de la Ley 5ª de 1992.</w:t>
      </w:r>
    </w:p>
    <w:p w:rsidR="00F702BF" w:rsidRDefault="00F702BF">
      <w:pPr>
        <w:spacing w:after="0" w:line="240" w:lineRule="auto"/>
        <w:jc w:val="both"/>
        <w:textAlignment w:val="center"/>
        <w:rPr>
          <w:rFonts w:ascii="Arial" w:hAnsi="Arial"/>
          <w:b/>
          <w:bCs/>
          <w:sz w:val="24"/>
          <w:szCs w:val="24"/>
          <w:lang w:val="es-ES_tradnl"/>
        </w:rPr>
      </w:pPr>
    </w:p>
    <w:p w:rsidR="00F702BF" w:rsidRDefault="00F0380A">
      <w:pPr>
        <w:spacing w:after="0" w:line="240" w:lineRule="auto"/>
        <w:jc w:val="both"/>
        <w:textAlignment w:val="center"/>
        <w:rPr>
          <w:rFonts w:ascii="Arial" w:hAnsi="Arial"/>
          <w:b/>
          <w:bCs/>
          <w:sz w:val="24"/>
          <w:szCs w:val="24"/>
          <w:lang w:val="es-ES_tradnl"/>
        </w:rPr>
      </w:pPr>
      <w:r>
        <w:rPr>
          <w:rFonts w:ascii="Arial" w:hAnsi="Arial"/>
          <w:b/>
          <w:bCs/>
          <w:sz w:val="24"/>
          <w:szCs w:val="24"/>
          <w:lang w:val="es-ES_tradnl"/>
        </w:rPr>
        <w:t>II. OBJETIVOS DEL PROYECTO</w:t>
      </w:r>
    </w:p>
    <w:p w:rsidR="00F702BF" w:rsidRDefault="00F702BF">
      <w:pPr>
        <w:spacing w:after="0" w:line="240" w:lineRule="auto"/>
        <w:jc w:val="both"/>
        <w:rPr>
          <w:rFonts w:ascii="Arial" w:hAnsi="Arial"/>
          <w:sz w:val="24"/>
          <w:szCs w:val="24"/>
          <w:lang w:val="es-ES_tradnl"/>
        </w:rPr>
      </w:pPr>
    </w:p>
    <w:p w:rsidR="00F702BF" w:rsidRDefault="00F0380A">
      <w:pPr>
        <w:pStyle w:val="Prrafodelista"/>
        <w:numPr>
          <w:ilvl w:val="0"/>
          <w:numId w:val="1"/>
        </w:num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Facilitar a los Departamentos, Municipios y Distritos, contar con recursos de financiación para programas y/o proyectos para el desarrollo y utilización de las Fuentes No Conven</w:t>
      </w:r>
      <w:r>
        <w:rPr>
          <w:rFonts w:ascii="Arial" w:eastAsia="Times New Roman" w:hAnsi="Arial"/>
          <w:sz w:val="24"/>
          <w:szCs w:val="24"/>
          <w:lang w:eastAsia="es-CO"/>
        </w:rPr>
        <w:t>cionales de Energía Renovable (FNCER) aprovechando su disponibilidad, la condición de ser ambientalmente sostenibles y facilitando su comercialización.</w:t>
      </w:r>
    </w:p>
    <w:p w:rsidR="00F702BF" w:rsidRDefault="00F702BF">
      <w:pPr>
        <w:pStyle w:val="Prrafodelista"/>
        <w:spacing w:after="0" w:line="240" w:lineRule="auto"/>
        <w:jc w:val="both"/>
        <w:rPr>
          <w:rFonts w:ascii="Arial" w:eastAsia="Times New Roman" w:hAnsi="Arial"/>
          <w:sz w:val="24"/>
          <w:szCs w:val="24"/>
          <w:lang w:eastAsia="es-CO"/>
        </w:rPr>
      </w:pPr>
    </w:p>
    <w:p w:rsidR="00F702BF" w:rsidRDefault="00F0380A">
      <w:pPr>
        <w:pStyle w:val="Prrafodelista"/>
        <w:numPr>
          <w:ilvl w:val="0"/>
          <w:numId w:val="1"/>
        </w:num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Realizar un aporte muy significativo al país en el propósito cumplir los compromisos asumidos internaci</w:t>
      </w:r>
      <w:r>
        <w:rPr>
          <w:rFonts w:ascii="Arial" w:eastAsia="Times New Roman" w:hAnsi="Arial"/>
          <w:sz w:val="24"/>
          <w:szCs w:val="24"/>
          <w:lang w:eastAsia="es-CO"/>
        </w:rPr>
        <w:t xml:space="preserve">onalmente en materia de desarrollo sostenible y cambio climático. </w:t>
      </w:r>
    </w:p>
    <w:p w:rsidR="00F702BF" w:rsidRDefault="00F702BF">
      <w:pPr>
        <w:pStyle w:val="Prrafodelista"/>
        <w:spacing w:after="0" w:line="240" w:lineRule="auto"/>
        <w:jc w:val="both"/>
        <w:rPr>
          <w:rFonts w:ascii="Arial" w:eastAsia="Times New Roman" w:hAnsi="Arial"/>
          <w:sz w:val="24"/>
          <w:szCs w:val="24"/>
          <w:lang w:eastAsia="es-CO"/>
        </w:rPr>
      </w:pPr>
    </w:p>
    <w:p w:rsidR="00F702BF" w:rsidRDefault="00F0380A">
      <w:pPr>
        <w:pStyle w:val="Prrafodelista"/>
        <w:numPr>
          <w:ilvl w:val="0"/>
          <w:numId w:val="1"/>
        </w:num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 xml:space="preserve">Priorizar recursos para atender con energía renovable uno de los problemas más importantes que tienen las regiones, especialmente el sector rural, como es el déficit de energía, factor </w:t>
      </w:r>
      <w:r>
        <w:rPr>
          <w:rFonts w:ascii="Arial" w:eastAsia="Times New Roman" w:hAnsi="Arial"/>
          <w:sz w:val="24"/>
          <w:szCs w:val="24"/>
          <w:lang w:eastAsia="es-CO"/>
        </w:rPr>
        <w:t>clave de la calidad de vida y en la generación de oportunidades de desarrollo económico y competitividad.</w:t>
      </w:r>
    </w:p>
    <w:p w:rsidR="00F702BF" w:rsidRDefault="00F702BF">
      <w:pPr>
        <w:pStyle w:val="Prrafodelista"/>
        <w:spacing w:after="0" w:line="240" w:lineRule="auto"/>
        <w:jc w:val="both"/>
        <w:rPr>
          <w:rFonts w:ascii="Arial" w:eastAsia="Times New Roman" w:hAnsi="Arial"/>
          <w:sz w:val="24"/>
          <w:szCs w:val="24"/>
          <w:lang w:eastAsia="es-CO"/>
        </w:rPr>
      </w:pPr>
    </w:p>
    <w:p w:rsidR="00F702BF" w:rsidRDefault="00F0380A">
      <w:pPr>
        <w:pStyle w:val="Prrafodelista"/>
        <w:numPr>
          <w:ilvl w:val="0"/>
          <w:numId w:val="1"/>
        </w:num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 xml:space="preserve">Racionalizar el uso de los recursos de regalías orientando su aplicación en un factor altamente estratégico del país y prevenir así la dispersión en </w:t>
      </w:r>
      <w:r>
        <w:rPr>
          <w:rFonts w:ascii="Arial" w:eastAsia="Times New Roman" w:hAnsi="Arial"/>
          <w:sz w:val="24"/>
          <w:szCs w:val="24"/>
          <w:lang w:eastAsia="es-CO"/>
        </w:rPr>
        <w:t>la atención de múltiples problemas sin resultados significativos, lo cual ha suscitado críticas e investigaciones fiscales, por el bajo impacto de estos recursos especialmente en el sector de ciencia, tecnología e innovación de los departamentos, municipio</w:t>
      </w:r>
      <w:r>
        <w:rPr>
          <w:rFonts w:ascii="Arial" w:eastAsia="Times New Roman" w:hAnsi="Arial"/>
          <w:sz w:val="24"/>
          <w:szCs w:val="24"/>
          <w:lang w:eastAsia="es-CO"/>
        </w:rPr>
        <w:t>s y distritos.</w:t>
      </w:r>
    </w:p>
    <w:p w:rsidR="00F702BF" w:rsidRDefault="00F702BF">
      <w:pPr>
        <w:spacing w:after="0" w:line="240" w:lineRule="auto"/>
        <w:jc w:val="both"/>
        <w:rPr>
          <w:rFonts w:ascii="Arial" w:eastAsia="Times New Roman" w:hAnsi="Arial"/>
          <w:bCs/>
          <w:sz w:val="24"/>
          <w:szCs w:val="24"/>
          <w:lang w:eastAsia="es-CO"/>
        </w:rPr>
      </w:pPr>
    </w:p>
    <w:p w:rsidR="00F702BF" w:rsidRDefault="00F0380A">
      <w:pPr>
        <w:spacing w:after="0" w:line="240" w:lineRule="auto"/>
        <w:jc w:val="both"/>
        <w:textAlignment w:val="center"/>
        <w:rPr>
          <w:rFonts w:ascii="Arial" w:hAnsi="Arial"/>
          <w:b/>
          <w:bCs/>
          <w:sz w:val="24"/>
          <w:szCs w:val="24"/>
          <w:lang w:val="es-ES_tradnl"/>
        </w:rPr>
      </w:pPr>
      <w:r>
        <w:rPr>
          <w:rFonts w:ascii="Arial" w:hAnsi="Arial"/>
          <w:b/>
          <w:bCs/>
          <w:sz w:val="24"/>
          <w:szCs w:val="24"/>
          <w:lang w:val="es-ES_tradnl"/>
        </w:rPr>
        <w:t>III. CONSIDERACIONES DE LOS AUTORES</w:t>
      </w:r>
    </w:p>
    <w:p w:rsidR="00F702BF" w:rsidRDefault="00F702BF">
      <w:pPr>
        <w:spacing w:after="0" w:line="240" w:lineRule="auto"/>
        <w:jc w:val="both"/>
        <w:textAlignment w:val="center"/>
        <w:rPr>
          <w:rFonts w:ascii="Arial" w:hAnsi="Arial"/>
          <w:bCs/>
          <w:sz w:val="24"/>
          <w:szCs w:val="24"/>
          <w:lang w:val="es-ES_tradnl"/>
        </w:rPr>
      </w:pPr>
    </w:p>
    <w:p w:rsidR="00F702BF" w:rsidRDefault="00F0380A">
      <w:pPr>
        <w:spacing w:after="0" w:line="240" w:lineRule="auto"/>
        <w:jc w:val="both"/>
      </w:pPr>
      <w:r>
        <w:rPr>
          <w:rFonts w:ascii="Arial" w:eastAsia="Times New Roman" w:hAnsi="Arial"/>
          <w:bCs/>
          <w:sz w:val="24"/>
          <w:szCs w:val="24"/>
          <w:lang w:eastAsia="es-CO"/>
        </w:rPr>
        <w:t>De acuerdo con el Artículo</w:t>
      </w:r>
      <w:bookmarkStart w:id="1" w:name="1"/>
      <w:r>
        <w:rPr>
          <w:rFonts w:ascii="Arial" w:eastAsia="Times New Roman" w:hAnsi="Arial"/>
          <w:bCs/>
          <w:sz w:val="24"/>
          <w:szCs w:val="24"/>
          <w:lang w:eastAsia="es-CO"/>
        </w:rPr>
        <w:t> </w:t>
      </w:r>
      <w:bookmarkEnd w:id="1"/>
      <w:r>
        <w:rPr>
          <w:rFonts w:ascii="Arial" w:eastAsia="Times New Roman" w:hAnsi="Arial"/>
          <w:bCs/>
          <w:sz w:val="24"/>
          <w:szCs w:val="24"/>
          <w:lang w:eastAsia="es-CO"/>
        </w:rPr>
        <w:t xml:space="preserve">1° del Acto Legislativo 005 de 2011, se estableció que </w:t>
      </w:r>
      <w:r>
        <w:rPr>
          <w:rFonts w:ascii="Arial" w:eastAsia="Times New Roman" w:hAnsi="Arial"/>
          <w:bCs/>
          <w:i/>
          <w:sz w:val="24"/>
          <w:szCs w:val="24"/>
          <w:lang w:eastAsia="es-CO"/>
        </w:rPr>
        <w:t>“</w:t>
      </w:r>
      <w:r>
        <w:rPr>
          <w:rFonts w:ascii="Arial" w:eastAsia="Times New Roman" w:hAnsi="Arial"/>
          <w:i/>
          <w:sz w:val="24"/>
          <w:szCs w:val="24"/>
          <w:lang w:eastAsia="es-CO"/>
        </w:rPr>
        <w:t>La explotación de un recurso natural no renovable causará, a favor del Estado, una contraprestación económica a título d</w:t>
      </w:r>
      <w:r>
        <w:rPr>
          <w:rFonts w:ascii="Arial" w:eastAsia="Times New Roman" w:hAnsi="Arial"/>
          <w:i/>
          <w:sz w:val="24"/>
          <w:szCs w:val="24"/>
          <w:lang w:eastAsia="es-CO"/>
        </w:rPr>
        <w:t>e regalía, sin perjuicio de cualquier otro derecho o compensación que se pacte. La ley determinará las condiciones para la explotación de los recursos naturales no renovables.</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Mediante otra ley, a iniciativa del Gobierno, la ley determinará la distribución</w:t>
      </w:r>
      <w:r>
        <w:rPr>
          <w:rFonts w:ascii="Arial" w:eastAsia="Times New Roman" w:hAnsi="Arial"/>
          <w:i/>
          <w:sz w:val="24"/>
          <w:szCs w:val="24"/>
          <w:lang w:eastAsia="es-CO"/>
        </w:rPr>
        <w:t xml:space="preserve">, objetivos, fines, administración, ejecución, control, el uso eficiente y la destinación de los ingresos provenientes de la explotación de los recursos naturales no renovables precisando las condiciones de participación de sus beneficiarios. Este </w:t>
      </w:r>
      <w:r>
        <w:rPr>
          <w:rFonts w:ascii="Arial" w:eastAsia="Times New Roman" w:hAnsi="Arial"/>
          <w:i/>
          <w:sz w:val="24"/>
          <w:szCs w:val="24"/>
          <w:lang w:eastAsia="es-CO"/>
        </w:rPr>
        <w:lastRenderedPageBreak/>
        <w:t>conjunto</w:t>
      </w:r>
      <w:r>
        <w:rPr>
          <w:rFonts w:ascii="Arial" w:eastAsia="Times New Roman" w:hAnsi="Arial"/>
          <w:i/>
          <w:sz w:val="24"/>
          <w:szCs w:val="24"/>
          <w:lang w:eastAsia="es-CO"/>
        </w:rPr>
        <w:t xml:space="preserve"> de ingresos, asignaciones, órganos, procedimientos y regulaciones constituye el Sistema General de Regalías.”</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 xml:space="preserve">De ese modo, las regalías provienen de la explotación de los recursos naturales no renovables y su uso debería garantizar alternativas frente a </w:t>
      </w:r>
      <w:r>
        <w:rPr>
          <w:rFonts w:ascii="Arial" w:eastAsia="Times New Roman" w:hAnsi="Arial"/>
          <w:sz w:val="24"/>
          <w:szCs w:val="24"/>
          <w:lang w:eastAsia="es-CO"/>
        </w:rPr>
        <w:t>estos recursos que son finitos, tal como se propone en el presente proyecto de acto legislativo con la destinación del 50% de los recursos previstos para financiar los programas y/o proyectos en ciencia, tecnología e innovación de los departamentos, munici</w:t>
      </w:r>
      <w:r>
        <w:rPr>
          <w:rFonts w:ascii="Arial" w:eastAsia="Times New Roman" w:hAnsi="Arial"/>
          <w:sz w:val="24"/>
          <w:szCs w:val="24"/>
          <w:lang w:eastAsia="es-CO"/>
        </w:rPr>
        <w:t>pios y distritos, para el desarrollo y la utilización de las Fuentes No Convencionales de Energía Renovable (FNCER).</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El artículo 5º de la </w:t>
      </w:r>
      <w:r>
        <w:rPr>
          <w:rFonts w:ascii="Arial" w:eastAsia="Times New Roman" w:hAnsi="Arial"/>
          <w:bCs/>
          <w:sz w:val="24"/>
          <w:szCs w:val="24"/>
          <w:lang w:eastAsia="es-CO"/>
        </w:rPr>
        <w:t>ley 1715 de 2014</w:t>
      </w:r>
      <w:r>
        <w:rPr>
          <w:rFonts w:ascii="Arial" w:eastAsia="Times New Roman" w:hAnsi="Arial"/>
          <w:sz w:val="24"/>
          <w:szCs w:val="24"/>
          <w:lang w:eastAsia="es-CO"/>
        </w:rPr>
        <w:t xml:space="preserve"> “</w:t>
      </w:r>
      <w:r>
        <w:rPr>
          <w:rFonts w:ascii="Arial" w:eastAsia="Times New Roman" w:hAnsi="Arial"/>
          <w:bCs/>
          <w:sz w:val="24"/>
          <w:szCs w:val="24"/>
          <w:lang w:eastAsia="es-CO"/>
        </w:rPr>
        <w:t xml:space="preserve">Por medio de la cual se regula la integración de las energías renovables no convencionales al </w:t>
      </w:r>
      <w:r>
        <w:rPr>
          <w:rFonts w:ascii="Arial" w:eastAsia="Times New Roman" w:hAnsi="Arial"/>
          <w:bCs/>
          <w:sz w:val="24"/>
          <w:szCs w:val="24"/>
          <w:lang w:eastAsia="es-CO"/>
        </w:rPr>
        <w:t>Sistema Energético Nacional”, define así las</w:t>
      </w:r>
      <w:r>
        <w:rPr>
          <w:rFonts w:ascii="Arial" w:eastAsia="Times New Roman" w:hAnsi="Arial"/>
          <w:sz w:val="24"/>
          <w:szCs w:val="24"/>
          <w:lang w:eastAsia="es-CO"/>
        </w:rPr>
        <w:t xml:space="preserve"> Fuentes No Convencionales de Energía Renovable (FNCER): </w:t>
      </w:r>
      <w:r>
        <w:rPr>
          <w:rFonts w:ascii="Arial" w:eastAsia="Times New Roman" w:hAnsi="Arial"/>
          <w:i/>
          <w:sz w:val="24"/>
          <w:szCs w:val="24"/>
          <w:lang w:eastAsia="es-CO"/>
        </w:rPr>
        <w:t>“Son aquellos recursos de energía renovable disponibles a nivel mundial que son ambientalmente sostenibles, pero que en el país no son empleados o son util</w:t>
      </w:r>
      <w:r>
        <w:rPr>
          <w:rFonts w:ascii="Arial" w:eastAsia="Times New Roman" w:hAnsi="Arial"/>
          <w:i/>
          <w:sz w:val="24"/>
          <w:szCs w:val="24"/>
          <w:lang w:eastAsia="es-CO"/>
        </w:rPr>
        <w:t>izados de manera marginal y no se comercializan ampliamente. Se consideran FNCER la biomasa, los pequeños aprovechamientos hidroeléctricos, la eólica, la geotérmica, la solar y los mares”.</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La norma precitada define estas fuentes del siguiente modo: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“8. E</w:t>
      </w:r>
      <w:r>
        <w:rPr>
          <w:rFonts w:ascii="Arial" w:eastAsia="Times New Roman" w:hAnsi="Arial"/>
          <w:i/>
          <w:sz w:val="24"/>
          <w:szCs w:val="24"/>
          <w:lang w:eastAsia="es-CO"/>
        </w:rPr>
        <w:t xml:space="preserve">nergía de biomasa. Energía obtenida a partir de aquella fuente no convencional de energía renovable que se basa en la degradación espontánea o inducida de cualquier tipo de materia orgánica que ha tenido su origen inmediato como consecuencia de un proceso </w:t>
      </w:r>
      <w:r>
        <w:rPr>
          <w:rFonts w:ascii="Arial" w:eastAsia="Times New Roman" w:hAnsi="Arial"/>
          <w:i/>
          <w:sz w:val="24"/>
          <w:szCs w:val="24"/>
          <w:lang w:eastAsia="es-CO"/>
        </w:rPr>
        <w:t>biológico y toda materia vegetal originada por el proceso de fotosíntesis, así como de los procesos metabólicos de los organismos heterótrofos, y que no contiene o hayan estado en contacto con trazas de elementos que confieren algún grado de peligrosidad.</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9. Energía de los mares. Energía obtenida a partir de aquella fuente no convencional de energía renovable que comprende fenómenos naturales marinos como lo son las mareas, el oleaje, las corrientes marinas, los gradientes térmicos oceánicos y los gradient</w:t>
      </w:r>
      <w:r>
        <w:rPr>
          <w:rFonts w:ascii="Arial" w:eastAsia="Times New Roman" w:hAnsi="Arial"/>
          <w:i/>
          <w:sz w:val="24"/>
          <w:szCs w:val="24"/>
          <w:lang w:eastAsia="es-CO"/>
        </w:rPr>
        <w:t>es de salinidad, entre otros posibles.</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10. Energía de pequeños aprovechamientos hidroeléctricos. Energía obtenida a partir de aquella fuente no convencional de energía renovable que se basa en los cuerpos de agua a pequeña escala.</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11. Energía eólica. Ene</w:t>
      </w:r>
      <w:r>
        <w:rPr>
          <w:rFonts w:ascii="Arial" w:eastAsia="Times New Roman" w:hAnsi="Arial"/>
          <w:i/>
          <w:sz w:val="24"/>
          <w:szCs w:val="24"/>
          <w:lang w:eastAsia="es-CO"/>
        </w:rPr>
        <w:t>rgía obtenida a partir de aquella fuente no convencional de energía renovable que consiste en el movimiento de las masas de aire.</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12. Energía geotérmica. Energía obtenida a partir de aquella fuente no convencional de energía renovable que consiste en el c</w:t>
      </w:r>
      <w:r>
        <w:rPr>
          <w:rFonts w:ascii="Arial" w:eastAsia="Times New Roman" w:hAnsi="Arial"/>
          <w:i/>
          <w:sz w:val="24"/>
          <w:szCs w:val="24"/>
          <w:lang w:eastAsia="es-CO"/>
        </w:rPr>
        <w:t>alor que yace del subsuelo terrestre.</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13. Energía solar. Energía obtenida a partir de aquella fuente no convencional de energía renovable que consiste de la radiación electromagnética proveniente del sol”.</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Dichas fuentes existen en forma abundante en </w:t>
      </w:r>
      <w:r>
        <w:rPr>
          <w:rFonts w:ascii="Arial" w:eastAsia="Times New Roman" w:hAnsi="Arial"/>
          <w:sz w:val="24"/>
          <w:szCs w:val="24"/>
          <w:lang w:eastAsia="es-CO"/>
        </w:rPr>
        <w:t>todo el territorio nacional por lo cual se justifica plenamente adelantar una iniciativa como la aquí propuesta que les permita a las regiones descubrir y aprovechar las oportunidades que brindan las energías renovables. Una ojeada al potencial del país en</w:t>
      </w:r>
      <w:r>
        <w:rPr>
          <w:rFonts w:ascii="Arial" w:eastAsia="Times New Roman" w:hAnsi="Arial"/>
          <w:sz w:val="24"/>
          <w:szCs w:val="24"/>
          <w:lang w:eastAsia="es-CO"/>
        </w:rPr>
        <w:t xml:space="preserve"> esta materia nos muestra las enormes posibilidades con que contamos, como las fuentes eólica y solar</w:t>
      </w:r>
      <w:r>
        <w:rPr>
          <w:rStyle w:val="Refdenotaalpie"/>
          <w:rFonts w:ascii="Arial" w:eastAsia="Times New Roman" w:hAnsi="Arial"/>
          <w:sz w:val="24"/>
          <w:szCs w:val="24"/>
          <w:lang w:eastAsia="es-CO"/>
        </w:rPr>
        <w:footnoteReference w:id="1"/>
      </w:r>
      <w:r>
        <w:rPr>
          <w:rFonts w:ascii="Arial" w:eastAsia="Times New Roman" w:hAnsi="Arial"/>
          <w:sz w:val="24"/>
          <w:szCs w:val="24"/>
          <w:lang w:eastAsia="es-CO"/>
        </w:rPr>
        <w:t>:</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center"/>
      </w:pPr>
      <w:r>
        <w:rPr>
          <w:rFonts w:ascii="Arial" w:hAnsi="Arial"/>
          <w:noProof/>
          <w:sz w:val="24"/>
          <w:szCs w:val="24"/>
          <w:lang w:eastAsia="es-CO"/>
        </w:rPr>
        <w:drawing>
          <wp:inline distT="0" distB="0" distL="0" distR="0">
            <wp:extent cx="5611023" cy="3429484"/>
            <wp:effectExtent l="19050" t="19050" r="27777" b="18566"/>
            <wp:docPr id="2"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1023" cy="3429484"/>
                    </a:xfrm>
                    <a:prstGeom prst="rect">
                      <a:avLst/>
                    </a:prstGeom>
                    <a:noFill/>
                    <a:ln w="9528">
                      <a:solidFill>
                        <a:srgbClr val="5B9BD5"/>
                      </a:solidFill>
                      <a:prstDash val="solid"/>
                    </a:ln>
                  </pic:spPr>
                </pic:pic>
              </a:graphicData>
            </a:graphic>
          </wp:inline>
        </w:drawing>
      </w:r>
    </w:p>
    <w:p w:rsidR="00F702BF" w:rsidRDefault="00F0380A">
      <w:pPr>
        <w:spacing w:after="0" w:line="240" w:lineRule="auto"/>
        <w:jc w:val="center"/>
        <w:rPr>
          <w:rFonts w:ascii="Arial" w:eastAsia="Times New Roman" w:hAnsi="Arial"/>
          <w:sz w:val="24"/>
          <w:szCs w:val="24"/>
          <w:lang w:eastAsia="es-CO"/>
        </w:rPr>
      </w:pPr>
      <w:r>
        <w:rPr>
          <w:rFonts w:ascii="Arial" w:eastAsia="Times New Roman" w:hAnsi="Arial"/>
          <w:sz w:val="24"/>
          <w:szCs w:val="24"/>
          <w:lang w:eastAsia="es-CO"/>
        </w:rPr>
        <w:t>Figura No.1.Potencial Generación del Viento (Eólico). Fuente UPME.</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center"/>
      </w:pPr>
      <w:r>
        <w:rPr>
          <w:rFonts w:ascii="Arial" w:hAnsi="Arial"/>
          <w:noProof/>
          <w:sz w:val="24"/>
          <w:szCs w:val="24"/>
          <w:lang w:eastAsia="es-CO"/>
        </w:rPr>
        <w:lastRenderedPageBreak/>
        <w:drawing>
          <wp:inline distT="0" distB="0" distL="0" distR="0">
            <wp:extent cx="5487177" cy="3515218"/>
            <wp:effectExtent l="19050" t="19050" r="18273" b="28082"/>
            <wp:docPr id="3"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7177" cy="3515218"/>
                    </a:xfrm>
                    <a:prstGeom prst="rect">
                      <a:avLst/>
                    </a:prstGeom>
                    <a:noFill/>
                    <a:ln w="9528">
                      <a:solidFill>
                        <a:srgbClr val="5B9BD5"/>
                      </a:solidFill>
                      <a:prstDash val="solid"/>
                    </a:ln>
                  </pic:spPr>
                </pic:pic>
              </a:graphicData>
            </a:graphic>
          </wp:inline>
        </w:drawing>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center"/>
        <w:rPr>
          <w:rFonts w:ascii="Arial" w:eastAsia="Times New Roman" w:hAnsi="Arial"/>
          <w:sz w:val="24"/>
          <w:szCs w:val="24"/>
          <w:lang w:eastAsia="es-CO"/>
        </w:rPr>
      </w:pPr>
      <w:r>
        <w:rPr>
          <w:rFonts w:ascii="Arial" w:eastAsia="Times New Roman" w:hAnsi="Arial"/>
          <w:sz w:val="24"/>
          <w:szCs w:val="24"/>
          <w:lang w:eastAsia="es-CO"/>
        </w:rPr>
        <w:t>Figura No.2.Potencial Generación Energía Solar Fuente UPME.</w:t>
      </w:r>
    </w:p>
    <w:p w:rsidR="00F702BF" w:rsidRDefault="00F702BF">
      <w:pPr>
        <w:spacing w:after="0" w:line="240" w:lineRule="auto"/>
        <w:jc w:val="center"/>
        <w:rPr>
          <w:rFonts w:ascii="Arial" w:eastAsia="Times New Roman" w:hAnsi="Arial"/>
          <w:sz w:val="24"/>
          <w:szCs w:val="24"/>
          <w:lang w:eastAsia="es-CO"/>
        </w:rPr>
      </w:pP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De otro lado, los autores consideran que el </w:t>
      </w:r>
      <w:r>
        <w:rPr>
          <w:rFonts w:ascii="Arial" w:eastAsia="Times New Roman" w:hAnsi="Arial"/>
          <w:sz w:val="24"/>
          <w:szCs w:val="24"/>
          <w:lang w:eastAsia="es-CO"/>
        </w:rPr>
        <w:t xml:space="preserve">presente proyecto de Acto Legislativo contribuye al país para cumplir los compromisos asumidos para enfrentar el cambio climático. En efecto, el panorama actual de generación de electricidad del país se puede resumir así: </w:t>
      </w:r>
      <w:r>
        <w:rPr>
          <w:rFonts w:ascii="Arial" w:eastAsia="Times New Roman" w:hAnsi="Arial"/>
          <w:i/>
          <w:sz w:val="24"/>
          <w:szCs w:val="24"/>
          <w:lang w:eastAsia="es-CO"/>
        </w:rPr>
        <w:t>“Se realiza a través de plantas hi</w:t>
      </w:r>
      <w:r>
        <w:rPr>
          <w:rFonts w:ascii="Arial" w:eastAsia="Times New Roman" w:hAnsi="Arial"/>
          <w:i/>
          <w:sz w:val="24"/>
          <w:szCs w:val="24"/>
          <w:lang w:eastAsia="es-CO"/>
        </w:rPr>
        <w:t>dráulicas (64%), lo cual se constituye en el principal factor que hace que Colombia ocupe el 4° puesto de 129 países en el ranking de sostenibilidad ambiental del World Energy Council, por encima de todos los países de la OCED exceptuando Suiza. Sin embarg</w:t>
      </w:r>
      <w:r>
        <w:rPr>
          <w:rFonts w:ascii="Arial" w:eastAsia="Times New Roman" w:hAnsi="Arial"/>
          <w:i/>
          <w:sz w:val="24"/>
          <w:szCs w:val="24"/>
          <w:lang w:eastAsia="es-CO"/>
        </w:rPr>
        <w:t xml:space="preserve">o, el 31% de la generación de electricidad proviene de plantas térmicas </w:t>
      </w:r>
      <w:r>
        <w:rPr>
          <w:rFonts w:ascii="Arial" w:eastAsia="Times New Roman" w:hAnsi="Arial"/>
          <w:b/>
          <w:i/>
          <w:sz w:val="24"/>
          <w:szCs w:val="24"/>
          <w:lang w:eastAsia="es-CO"/>
        </w:rPr>
        <w:t>y solamente el 4,5% de fuentes no convencionales de energía renovable</w:t>
      </w:r>
      <w:r>
        <w:rPr>
          <w:rFonts w:ascii="Arial" w:eastAsia="Times New Roman" w:hAnsi="Arial"/>
          <w:i/>
          <w:sz w:val="24"/>
          <w:szCs w:val="24"/>
          <w:lang w:eastAsia="es-CO"/>
        </w:rPr>
        <w:t xml:space="preserve"> (UPME, 2014, p.69). Bajo escenarios de reducción de la precipitación, la generación térmica podría incrementarse, </w:t>
      </w:r>
      <w:r>
        <w:rPr>
          <w:rFonts w:ascii="Arial" w:eastAsia="Times New Roman" w:hAnsi="Arial"/>
          <w:i/>
          <w:sz w:val="24"/>
          <w:szCs w:val="24"/>
          <w:lang w:eastAsia="es-CO"/>
        </w:rPr>
        <w:t>generando un aumento en las emisiones de Gases de Efecto Invernadero (GEI), las cuales actualmente representan el 8,5% de las emisiones del país (IDEAM, 2009, p.25)”</w:t>
      </w:r>
      <w:r>
        <w:rPr>
          <w:rStyle w:val="Refdenotaalpie"/>
          <w:rFonts w:ascii="Arial" w:eastAsia="Times New Roman" w:hAnsi="Arial"/>
          <w:sz w:val="24"/>
          <w:szCs w:val="24"/>
          <w:lang w:eastAsia="es-CO"/>
        </w:rPr>
        <w:footnoteReference w:id="2"/>
      </w:r>
      <w:r>
        <w:rPr>
          <w:rFonts w:ascii="Arial" w:eastAsia="Times New Roman" w:hAnsi="Arial"/>
          <w:sz w:val="24"/>
          <w:szCs w:val="24"/>
          <w:lang w:eastAsia="es-CO"/>
        </w:rPr>
        <w:t xml:space="preserve"> (Subrayado nuestro).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Estos escenario</w:t>
      </w:r>
      <w:r>
        <w:rPr>
          <w:rFonts w:ascii="Arial" w:eastAsia="Times New Roman" w:hAnsi="Arial"/>
          <w:sz w:val="24"/>
          <w:szCs w:val="24"/>
          <w:lang w:eastAsia="es-CO"/>
        </w:rPr>
        <w:t xml:space="preserve">s plantean la necesidad de incrementar el porcentaje de fuentes no convencionales de energía renovable que hoy está solo en un 4,5%, tal como se ha previsto en los planes que se ha trazado el país en la política del sector eléctrico y </w:t>
      </w:r>
      <w:r>
        <w:rPr>
          <w:rFonts w:ascii="Arial" w:eastAsia="Times New Roman" w:hAnsi="Arial"/>
          <w:sz w:val="24"/>
          <w:szCs w:val="24"/>
          <w:lang w:eastAsia="es-CO"/>
        </w:rPr>
        <w:lastRenderedPageBreak/>
        <w:t>teniendo en cuenta qu</w:t>
      </w:r>
      <w:r>
        <w:rPr>
          <w:rFonts w:ascii="Arial" w:eastAsia="Times New Roman" w:hAnsi="Arial"/>
          <w:sz w:val="24"/>
          <w:szCs w:val="24"/>
          <w:lang w:eastAsia="es-CO"/>
        </w:rPr>
        <w:t>e “según</w:t>
      </w:r>
      <w:r>
        <w:rPr>
          <w:rFonts w:ascii="Arial" w:eastAsia="Times New Roman" w:hAnsi="Arial"/>
          <w:i/>
          <w:sz w:val="24"/>
          <w:szCs w:val="24"/>
          <w:lang w:eastAsia="es-CO"/>
        </w:rPr>
        <w:t xml:space="preserve"> la Unidad de Planeación Nacional Minero Energética (Upme), las energías renovables cubren actualmente cerca del 20% del consumo mundial de electricidad”.</w:t>
      </w:r>
      <w:r>
        <w:rPr>
          <w:rStyle w:val="Refdenotaalpie"/>
          <w:rFonts w:ascii="Arial" w:eastAsia="Times New Roman" w:hAnsi="Arial"/>
          <w:i/>
          <w:sz w:val="24"/>
          <w:szCs w:val="24"/>
          <w:lang w:eastAsia="es-CO"/>
        </w:rPr>
        <w:footnoteReference w:id="3"/>
      </w:r>
      <w:r>
        <w:rPr>
          <w:rFonts w:ascii="Arial" w:eastAsia="Times New Roman" w:hAnsi="Arial"/>
          <w:sz w:val="24"/>
          <w:szCs w:val="24"/>
          <w:lang w:eastAsia="es-CO"/>
        </w:rPr>
        <w:t xml:space="preserve"> El Gobierno Na</w:t>
      </w:r>
      <w:r>
        <w:rPr>
          <w:rFonts w:ascii="Arial" w:eastAsia="Times New Roman" w:hAnsi="Arial"/>
          <w:sz w:val="24"/>
          <w:szCs w:val="24"/>
          <w:lang w:eastAsia="es-CO"/>
        </w:rPr>
        <w:t>cional</w:t>
      </w:r>
      <w:r>
        <w:rPr>
          <w:rStyle w:val="Refdenotaalpie"/>
          <w:rFonts w:ascii="Arial" w:eastAsia="Times New Roman" w:hAnsi="Arial"/>
          <w:sz w:val="24"/>
          <w:szCs w:val="24"/>
          <w:lang w:eastAsia="es-CO"/>
        </w:rPr>
        <w:footnoteReference w:id="4"/>
      </w:r>
      <w:r>
        <w:rPr>
          <w:rFonts w:ascii="Arial" w:eastAsia="Times New Roman" w:hAnsi="Arial"/>
          <w:sz w:val="24"/>
          <w:szCs w:val="24"/>
          <w:lang w:eastAsia="es-CO"/>
        </w:rPr>
        <w:t xml:space="preserve"> ha planteado el rol que juga</w:t>
      </w:r>
      <w:r>
        <w:rPr>
          <w:rFonts w:ascii="Arial" w:eastAsia="Times New Roman" w:hAnsi="Arial"/>
          <w:sz w:val="24"/>
          <w:szCs w:val="24"/>
          <w:lang w:eastAsia="es-CO"/>
        </w:rPr>
        <w:t>rán las energías renovables no convencionales en la matriz energética del futuro en Colombia tal como se aprecia a continuación:</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-Estrategia clave para lograr la meta de reducción de emisiones de Gases de Efecto Invernadero del sector.</w:t>
      </w: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 xml:space="preserve">-Evolución del </w:t>
      </w:r>
      <w:r>
        <w:rPr>
          <w:rFonts w:ascii="Arial" w:eastAsia="Times New Roman" w:hAnsi="Arial"/>
          <w:sz w:val="24"/>
          <w:szCs w:val="24"/>
          <w:lang w:eastAsia="es-CO"/>
        </w:rPr>
        <w:t>Mercado eléctrico y la planeación del sector (Nuevas tecnologías de medición, actualización de la normatividad, potenciales etc).</w:t>
      </w: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-Fortalecerá la adaptación del sector ante los riesgos generados por el cambio climático y la variabilidad climática. (Ver Grá</w:t>
      </w:r>
      <w:r>
        <w:rPr>
          <w:rFonts w:ascii="Arial" w:eastAsia="Times New Roman" w:hAnsi="Arial"/>
          <w:sz w:val="24"/>
          <w:szCs w:val="24"/>
          <w:lang w:eastAsia="es-CO"/>
        </w:rPr>
        <w:t>fica).</w:t>
      </w:r>
    </w:p>
    <w:p w:rsidR="00F702BF" w:rsidRDefault="00F702BF">
      <w:pPr>
        <w:spacing w:after="0" w:line="240" w:lineRule="auto"/>
        <w:ind w:left="360"/>
        <w:jc w:val="both"/>
        <w:rPr>
          <w:rFonts w:ascii="Arial" w:eastAsia="Times New Roman" w:hAnsi="Arial"/>
          <w:sz w:val="24"/>
          <w:szCs w:val="24"/>
          <w:lang w:eastAsia="es-CO"/>
        </w:rPr>
      </w:pPr>
    </w:p>
    <w:p w:rsidR="00F702BF" w:rsidRDefault="00F0380A">
      <w:pPr>
        <w:spacing w:after="0" w:line="240" w:lineRule="auto"/>
        <w:jc w:val="center"/>
      </w:pPr>
      <w:r>
        <w:rPr>
          <w:rFonts w:ascii="Arial" w:hAnsi="Arial"/>
          <w:noProof/>
          <w:sz w:val="24"/>
          <w:szCs w:val="24"/>
          <w:lang w:eastAsia="es-CO"/>
        </w:rPr>
        <w:drawing>
          <wp:inline distT="0" distB="0" distL="0" distR="0">
            <wp:extent cx="5610858" cy="3172181"/>
            <wp:effectExtent l="19050" t="19050" r="27942" b="28219"/>
            <wp:docPr id="4"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0858" cy="3172181"/>
                    </a:xfrm>
                    <a:prstGeom prst="rect">
                      <a:avLst/>
                    </a:prstGeom>
                    <a:noFill/>
                    <a:ln w="9528">
                      <a:solidFill>
                        <a:srgbClr val="5B9BD5"/>
                      </a:solidFill>
                      <a:prstDash val="solid"/>
                    </a:ln>
                  </pic:spPr>
                </pic:pic>
              </a:graphicData>
            </a:graphic>
          </wp:inline>
        </w:drawing>
      </w:r>
    </w:p>
    <w:p w:rsidR="00F702BF" w:rsidRDefault="00F702BF">
      <w:pPr>
        <w:pStyle w:val="Textonotapie"/>
        <w:jc w:val="center"/>
        <w:rPr>
          <w:rFonts w:ascii="Arial" w:eastAsia="Times New Roman" w:hAnsi="Arial"/>
          <w:sz w:val="24"/>
          <w:szCs w:val="24"/>
          <w:lang w:eastAsia="es-CO"/>
        </w:rPr>
      </w:pPr>
    </w:p>
    <w:p w:rsidR="00F702BF" w:rsidRDefault="00F0380A">
      <w:pPr>
        <w:pStyle w:val="Textonotapie"/>
        <w:jc w:val="center"/>
        <w:rPr>
          <w:rFonts w:ascii="Arial" w:eastAsia="Times New Roman" w:hAnsi="Arial"/>
          <w:sz w:val="24"/>
          <w:szCs w:val="24"/>
          <w:lang w:eastAsia="es-CO"/>
        </w:rPr>
      </w:pPr>
      <w:r>
        <w:rPr>
          <w:rFonts w:ascii="Arial" w:eastAsia="Times New Roman" w:hAnsi="Arial"/>
          <w:sz w:val="24"/>
          <w:szCs w:val="24"/>
          <w:lang w:eastAsia="es-CO"/>
        </w:rPr>
        <w:t>Figura 3. Rol de las Energías renovables en el país.</w:t>
      </w:r>
    </w:p>
    <w:p w:rsidR="00F702BF" w:rsidRDefault="00F0380A">
      <w:pPr>
        <w:pStyle w:val="Textonotapie"/>
        <w:jc w:val="center"/>
      </w:pPr>
      <w:r>
        <w:rPr>
          <w:rFonts w:ascii="Arial" w:eastAsia="Times New Roman" w:hAnsi="Arial"/>
          <w:sz w:val="24"/>
          <w:szCs w:val="24"/>
          <w:lang w:eastAsia="es-CO"/>
        </w:rPr>
        <w:t xml:space="preserve"> Fuente: </w:t>
      </w:r>
      <w:r>
        <w:rPr>
          <w:rFonts w:ascii="Arial" w:hAnsi="Arial"/>
          <w:sz w:val="24"/>
          <w:szCs w:val="24"/>
        </w:rPr>
        <w:t>I Encuentro Internacional de Energías Renovables Riohacha, 29-30 de Marzo de 2017</w:t>
      </w:r>
    </w:p>
    <w:p w:rsidR="00F702BF" w:rsidRDefault="00F702BF">
      <w:pPr>
        <w:spacing w:after="0" w:line="240" w:lineRule="auto"/>
        <w:jc w:val="center"/>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De acuerdo con el Presidente del Consejo Mundial de Energía (Colombia)</w:t>
      </w:r>
      <w:r>
        <w:rPr>
          <w:rStyle w:val="Refdenotaalpie"/>
          <w:rFonts w:ascii="Arial" w:eastAsia="Times New Roman" w:hAnsi="Arial"/>
          <w:sz w:val="24"/>
          <w:szCs w:val="24"/>
          <w:lang w:eastAsia="es-CO"/>
        </w:rPr>
        <w:footnoteReference w:id="5"/>
      </w:r>
      <w:r>
        <w:rPr>
          <w:rFonts w:ascii="Arial" w:eastAsia="Times New Roman" w:hAnsi="Arial"/>
          <w:sz w:val="24"/>
          <w:szCs w:val="24"/>
          <w:lang w:eastAsia="es-CO"/>
        </w:rPr>
        <w:t xml:space="preserve"> el mundo avanza significativamente en el uso de las energías renovables. Nuest</w:t>
      </w:r>
      <w:r>
        <w:rPr>
          <w:rFonts w:ascii="Arial" w:eastAsia="Times New Roman" w:hAnsi="Arial"/>
          <w:sz w:val="24"/>
          <w:szCs w:val="24"/>
          <w:lang w:eastAsia="es-CO"/>
        </w:rPr>
        <w:t xml:space="preserve">ro país se suma a estos esfuerzos y en el precitado Plan Nacional de Desarrollo PND, se prevé: </w:t>
      </w:r>
      <w:r>
        <w:rPr>
          <w:rFonts w:ascii="Arial" w:eastAsia="Times New Roman" w:hAnsi="Arial"/>
          <w:i/>
          <w:sz w:val="24"/>
          <w:szCs w:val="24"/>
          <w:lang w:eastAsia="es-CO"/>
        </w:rPr>
        <w:t>“</w:t>
      </w:r>
      <w:r>
        <w:rPr>
          <w:rFonts w:ascii="Arial" w:eastAsia="Times New Roman" w:hAnsi="Arial"/>
          <w:b/>
          <w:i/>
          <w:sz w:val="24"/>
          <w:szCs w:val="24"/>
          <w:lang w:eastAsia="es-CO"/>
        </w:rPr>
        <w:t>Incrementar la participación de las fuentes no convencionales de energía renovable en la generación de energía eléctrica,</w:t>
      </w:r>
      <w:r>
        <w:rPr>
          <w:rFonts w:ascii="Arial" w:eastAsia="Times New Roman" w:hAnsi="Arial"/>
          <w:i/>
          <w:sz w:val="24"/>
          <w:szCs w:val="24"/>
          <w:lang w:eastAsia="es-CO"/>
        </w:rPr>
        <w:t xml:space="preserve"> reducir la intensidad energética de la</w:t>
      </w:r>
      <w:r>
        <w:rPr>
          <w:rFonts w:ascii="Arial" w:eastAsia="Times New Roman" w:hAnsi="Arial"/>
          <w:i/>
          <w:sz w:val="24"/>
          <w:szCs w:val="24"/>
          <w:lang w:eastAsia="es-CO"/>
        </w:rPr>
        <w:t xml:space="preserve"> economía y promover la participación activa de la demanda, con el fin de reducir las emisiones asociadas de GEI y hacer un uso más eficiente de la capacidad instalada. Adicionalmente, </w:t>
      </w:r>
      <w:r>
        <w:rPr>
          <w:rFonts w:ascii="Arial" w:eastAsia="Times New Roman" w:hAnsi="Arial"/>
          <w:b/>
          <w:i/>
          <w:sz w:val="24"/>
          <w:szCs w:val="24"/>
          <w:lang w:eastAsia="es-CO"/>
        </w:rPr>
        <w:t>permiten una oferta eléctrica de menor impacto ambiental para poblacion</w:t>
      </w:r>
      <w:r>
        <w:rPr>
          <w:rFonts w:ascii="Arial" w:eastAsia="Times New Roman" w:hAnsi="Arial"/>
          <w:b/>
          <w:i/>
          <w:sz w:val="24"/>
          <w:szCs w:val="24"/>
          <w:lang w:eastAsia="es-CO"/>
        </w:rPr>
        <w:t>es alejadas que se encuentran en Zonas No Interconectadas (ZNI), reducen los costos asociados al uso y producción de energía eléctrica, mejora el desempeño ambiental de los sectores,</w:t>
      </w:r>
      <w:r>
        <w:rPr>
          <w:rFonts w:ascii="Arial" w:eastAsia="Times New Roman" w:hAnsi="Arial"/>
          <w:i/>
          <w:sz w:val="24"/>
          <w:szCs w:val="24"/>
          <w:lang w:eastAsia="es-CO"/>
        </w:rPr>
        <w:t xml:space="preserve"> y puede reducir las necesidades de expansión del sistema y/o postergar la</w:t>
      </w:r>
      <w:r>
        <w:rPr>
          <w:rFonts w:ascii="Arial" w:eastAsia="Times New Roman" w:hAnsi="Arial"/>
          <w:i/>
          <w:sz w:val="24"/>
          <w:szCs w:val="24"/>
          <w:lang w:eastAsia="es-CO"/>
        </w:rPr>
        <w:t xml:space="preserve"> entrada en operación de nuevas fuentes de generación”</w:t>
      </w:r>
      <w:r>
        <w:rPr>
          <w:rStyle w:val="Refdenotaalpie"/>
          <w:rFonts w:ascii="Arial" w:eastAsia="Times New Roman" w:hAnsi="Arial"/>
          <w:sz w:val="24"/>
          <w:szCs w:val="24"/>
          <w:lang w:eastAsia="es-CO"/>
        </w:rPr>
        <w:footnoteReference w:id="6"/>
      </w:r>
      <w:r>
        <w:rPr>
          <w:rFonts w:ascii="Arial" w:eastAsia="Times New Roman" w:hAnsi="Arial"/>
          <w:sz w:val="24"/>
          <w:szCs w:val="24"/>
          <w:lang w:eastAsia="es-CO"/>
        </w:rPr>
        <w:t xml:space="preserve"> (Subrayado nuestro)</w:t>
      </w:r>
    </w:p>
    <w:p w:rsidR="00F702BF" w:rsidRDefault="00F702BF">
      <w:pPr>
        <w:spacing w:after="0" w:line="240" w:lineRule="auto"/>
        <w:jc w:val="both"/>
        <w:rPr>
          <w:rFonts w:ascii="Arial" w:eastAsia="Times New Roman" w:hAnsi="Arial"/>
          <w:b/>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Esta perspectiva del PND, es sin duda, un propósito de país, al cual se contribuye con el presente proyecto de Acto Legislativo</w:t>
      </w:r>
      <w:r>
        <w:rPr>
          <w:rFonts w:ascii="Arial" w:eastAsia="Times New Roman" w:hAnsi="Arial"/>
          <w:sz w:val="24"/>
          <w:szCs w:val="24"/>
          <w:lang w:eastAsia="es-CO"/>
        </w:rPr>
        <w:t>, al priorizar recursos de regalías del sector de ciencia, tecnología e innovación de los departamentos, municipios y distritos, que serán destinados al desarrollo y la utilización de las Fuentes No Convencionales de Energía Renovable (FNCER).</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Adicionalme</w:t>
      </w:r>
      <w:r>
        <w:rPr>
          <w:rFonts w:ascii="Arial" w:eastAsia="Times New Roman" w:hAnsi="Arial"/>
          <w:sz w:val="24"/>
          <w:szCs w:val="24"/>
          <w:lang w:eastAsia="es-CO"/>
        </w:rPr>
        <w:t>nte, con esta propuesta se fondean importantes recursos que le permitirán al país responder con los compromisos asumidos con la comunidad internacional de reducir las emisiones asociadas de GEI.</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A ese efecto, resulta muy valioso tener en cuenta la </w:t>
      </w:r>
      <w:r>
        <w:rPr>
          <w:rFonts w:ascii="Arial" w:eastAsia="Times New Roman" w:hAnsi="Arial"/>
          <w:sz w:val="24"/>
          <w:szCs w:val="24"/>
          <w:lang w:eastAsia="es-CO"/>
        </w:rPr>
        <w:t xml:space="preserve">vulnerabilidad del país al cambio climático: </w:t>
      </w:r>
      <w:r>
        <w:rPr>
          <w:rFonts w:ascii="Arial" w:eastAsia="Times New Roman" w:hAnsi="Arial"/>
          <w:i/>
          <w:sz w:val="24"/>
          <w:szCs w:val="24"/>
          <w:lang w:eastAsia="es-CO"/>
        </w:rPr>
        <w:t xml:space="preserve">“Debido a su ubicación geográfica, extensas costas, tres cordilleras y seis regiones naturales, </w:t>
      </w:r>
      <w:r>
        <w:rPr>
          <w:rFonts w:ascii="Arial" w:eastAsia="Times New Roman" w:hAnsi="Arial"/>
          <w:b/>
          <w:i/>
          <w:sz w:val="24"/>
          <w:szCs w:val="24"/>
          <w:lang w:eastAsia="es-CO"/>
        </w:rPr>
        <w:t>Colombia se caracteriza por ser un país altamente vulnerable al cambio climático</w:t>
      </w:r>
      <w:r>
        <w:rPr>
          <w:rFonts w:ascii="Arial" w:eastAsia="Times New Roman" w:hAnsi="Arial"/>
          <w:i/>
          <w:sz w:val="24"/>
          <w:szCs w:val="24"/>
          <w:lang w:eastAsia="es-CO"/>
        </w:rPr>
        <w:t>. Esto se evidenció claramente de 2</w:t>
      </w:r>
      <w:r>
        <w:rPr>
          <w:rFonts w:ascii="Arial" w:eastAsia="Times New Roman" w:hAnsi="Arial"/>
          <w:i/>
          <w:sz w:val="24"/>
          <w:szCs w:val="24"/>
          <w:lang w:eastAsia="es-CO"/>
        </w:rPr>
        <w:t>010 a 2011 cuando Colombia tuvo que enfrentar –sin estar preparada– un fenómeno de la Niña muchísimo más intenso que los anteriores. Hubo lluvias por encima de los promedios históricos e inundaciones; vías, puentes, acueductos, viviendas y edificios fueron</w:t>
      </w:r>
      <w:r>
        <w:rPr>
          <w:rFonts w:ascii="Arial" w:eastAsia="Times New Roman" w:hAnsi="Arial"/>
          <w:i/>
          <w:sz w:val="24"/>
          <w:szCs w:val="24"/>
          <w:lang w:eastAsia="es-CO"/>
        </w:rPr>
        <w:t xml:space="preserve"> completamente destruidos; cientos de hectáreas productivas estuvieron inundadas por meses; y quedaron más de tres millones de personas –cerca del 7% de la población nacional– damnificadas o afectadas. Esto le costó al país cerca de 11. 2 billones de pesos</w:t>
      </w:r>
      <w:r>
        <w:rPr>
          <w:rFonts w:ascii="Arial" w:eastAsia="Times New Roman" w:hAnsi="Arial"/>
          <w:i/>
          <w:sz w:val="24"/>
          <w:szCs w:val="24"/>
          <w:lang w:eastAsia="es-CO"/>
        </w:rPr>
        <w:t xml:space="preserve">, equivalentes al 2 .2% del PIB, según cifras de la CEPAL. </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w:t>
      </w:r>
    </w:p>
    <w:p w:rsidR="00F702BF" w:rsidRDefault="00F0380A">
      <w:pPr>
        <w:spacing w:after="0" w:line="240" w:lineRule="auto"/>
        <w:jc w:val="both"/>
      </w:pPr>
      <w:r>
        <w:rPr>
          <w:rFonts w:ascii="Arial" w:eastAsia="Times New Roman" w:hAnsi="Arial"/>
          <w:b/>
          <w:i/>
          <w:sz w:val="24"/>
          <w:szCs w:val="24"/>
          <w:lang w:eastAsia="es-CO"/>
        </w:rPr>
        <w:lastRenderedPageBreak/>
        <w:t>Por esta razón, la adaptación es una prioridad nacional.</w:t>
      </w:r>
      <w:r>
        <w:rPr>
          <w:rFonts w:ascii="Arial" w:eastAsia="Times New Roman" w:hAnsi="Arial"/>
          <w:i/>
          <w:sz w:val="24"/>
          <w:szCs w:val="24"/>
          <w:lang w:eastAsia="es-CO"/>
        </w:rPr>
        <w:t xml:space="preserve"> </w:t>
      </w:r>
      <w:r>
        <w:rPr>
          <w:rFonts w:ascii="Arial" w:eastAsia="Times New Roman" w:hAnsi="Arial"/>
          <w:b/>
          <w:i/>
          <w:sz w:val="24"/>
          <w:szCs w:val="24"/>
          <w:lang w:eastAsia="es-CO"/>
        </w:rPr>
        <w:t>Se estima que las pérdidas por el cambio climático equivaldrían a sufrir un fenómeno de La Niña cada cuatro años. Esto afectaría gravem</w:t>
      </w:r>
      <w:r>
        <w:rPr>
          <w:rFonts w:ascii="Arial" w:eastAsia="Times New Roman" w:hAnsi="Arial"/>
          <w:b/>
          <w:i/>
          <w:sz w:val="24"/>
          <w:szCs w:val="24"/>
          <w:lang w:eastAsia="es-CO"/>
        </w:rPr>
        <w:t>ente los sectores productivos y la población, sobre todo, aquella en mayores condiciones de vulnerabilidad</w:t>
      </w:r>
      <w:r>
        <w:rPr>
          <w:rFonts w:ascii="Arial" w:eastAsia="Times New Roman" w:hAnsi="Arial"/>
          <w:i/>
          <w:sz w:val="24"/>
          <w:szCs w:val="24"/>
          <w:lang w:eastAsia="es-CO"/>
        </w:rPr>
        <w:t>. De hecho, Colombia se ha sumado de forma activa en el esfuerzo global de enfrentar el cambio climático. En consecuencia, la contribución de Colombia</w:t>
      </w:r>
      <w:r>
        <w:rPr>
          <w:rFonts w:ascii="Arial" w:eastAsia="Times New Roman" w:hAnsi="Arial"/>
          <w:i/>
          <w:sz w:val="24"/>
          <w:szCs w:val="24"/>
          <w:lang w:eastAsia="es-CO"/>
        </w:rPr>
        <w:t xml:space="preserve"> ha sido orientada hacia los siguientes objetivos:</w:t>
      </w:r>
    </w:p>
    <w:p w:rsidR="00F702BF" w:rsidRDefault="00F0380A">
      <w:pPr>
        <w:spacing w:after="0" w:line="240" w:lineRule="auto"/>
        <w:ind w:left="60"/>
        <w:jc w:val="both"/>
      </w:pPr>
      <w:r>
        <w:rPr>
          <w:rFonts w:ascii="Arial" w:eastAsia="Times New Roman" w:hAnsi="Arial"/>
          <w:b/>
          <w:i/>
          <w:sz w:val="24"/>
          <w:szCs w:val="24"/>
          <w:lang w:eastAsia="es-CO"/>
        </w:rPr>
        <w:t xml:space="preserve">• Reducir las emisiones de gases de efecto invernadero del país 20% con relación a las emisiones proyectadas a 2030 . </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 xml:space="preserve">• Aumentar la resiliencia y la capacidad adaptativa del país, a través de 10 acciones </w:t>
      </w:r>
      <w:r>
        <w:rPr>
          <w:rFonts w:ascii="Arial" w:eastAsia="Times New Roman" w:hAnsi="Arial"/>
          <w:b/>
          <w:i/>
          <w:sz w:val="24"/>
          <w:szCs w:val="24"/>
          <w:lang w:eastAsia="es-CO"/>
        </w:rPr>
        <w:t xml:space="preserve">sectoriales y territoriales priorizadas a 2030 . </w:t>
      </w:r>
    </w:p>
    <w:p w:rsidR="00F702BF" w:rsidRDefault="00F0380A">
      <w:pPr>
        <w:spacing w:after="0" w:line="240" w:lineRule="auto"/>
        <w:jc w:val="both"/>
      </w:pPr>
      <w:r>
        <w:rPr>
          <w:rFonts w:ascii="Arial" w:eastAsia="Times New Roman" w:hAnsi="Arial"/>
          <w:b/>
          <w:i/>
          <w:sz w:val="24"/>
          <w:szCs w:val="24"/>
          <w:lang w:eastAsia="es-CO"/>
        </w:rPr>
        <w:t>• Fomentar el intercambio de conocimiento, tecnología y financiamiento para acelerar las contribuciones planteadas en materia de adaptación y mitigación de gases de efecto invernadero”</w:t>
      </w:r>
      <w:r>
        <w:rPr>
          <w:rStyle w:val="Refdenotaalpie"/>
          <w:rFonts w:ascii="Arial" w:eastAsia="Times New Roman" w:hAnsi="Arial"/>
          <w:sz w:val="24"/>
          <w:szCs w:val="24"/>
          <w:lang w:eastAsia="es-CO"/>
        </w:rPr>
        <w:footnoteReference w:id="7"/>
      </w:r>
      <w:r>
        <w:rPr>
          <w:rFonts w:ascii="Arial" w:eastAsia="Times New Roman" w:hAnsi="Arial"/>
          <w:sz w:val="24"/>
          <w:szCs w:val="24"/>
          <w:lang w:eastAsia="es-CO"/>
        </w:rPr>
        <w:t xml:space="preserve"> . (Subrayado nuestro).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En la siguiente gráfica se resumen los acuerdos internacionales de trabajo conjunto </w:t>
      </w:r>
      <w:r>
        <w:rPr>
          <w:rFonts w:ascii="Arial" w:eastAsia="Times New Roman" w:hAnsi="Arial"/>
          <w:sz w:val="24"/>
          <w:szCs w:val="24"/>
          <w:lang w:eastAsia="es-CO"/>
        </w:rPr>
        <w:t>suscritos por el país para el impulso de las FNCER</w:t>
      </w:r>
      <w:r>
        <w:rPr>
          <w:rStyle w:val="Refdenotaalpie"/>
          <w:rFonts w:ascii="Arial" w:eastAsia="Times New Roman" w:hAnsi="Arial"/>
          <w:sz w:val="24"/>
          <w:szCs w:val="24"/>
          <w:lang w:eastAsia="es-CO"/>
        </w:rPr>
        <w:footnoteReference w:id="8"/>
      </w:r>
      <w:r>
        <w:rPr>
          <w:rFonts w:ascii="Arial" w:eastAsia="Times New Roman" w:hAnsi="Arial"/>
          <w:sz w:val="24"/>
          <w:szCs w:val="24"/>
          <w:lang w:eastAsia="es-CO"/>
        </w:rPr>
        <w:t>:</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hAnsi="Arial"/>
          <w:noProof/>
          <w:sz w:val="24"/>
          <w:szCs w:val="24"/>
          <w:lang w:eastAsia="es-CO"/>
        </w:rPr>
        <w:drawing>
          <wp:inline distT="0" distB="0" distL="0" distR="0">
            <wp:extent cx="5612129" cy="3046094"/>
            <wp:effectExtent l="19050" t="19050" r="26671" b="20956"/>
            <wp:docPr id="5"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29" cy="3046094"/>
                    </a:xfrm>
                    <a:prstGeom prst="rect">
                      <a:avLst/>
                    </a:prstGeom>
                    <a:noFill/>
                    <a:ln w="9528">
                      <a:solidFill>
                        <a:srgbClr val="5B9BD5"/>
                      </a:solidFill>
                      <a:prstDash val="solid"/>
                    </a:ln>
                  </pic:spPr>
                </pic:pic>
              </a:graphicData>
            </a:graphic>
          </wp:inline>
        </w:drawing>
      </w:r>
    </w:p>
    <w:p w:rsidR="00F702BF" w:rsidRDefault="00F0380A">
      <w:pPr>
        <w:pStyle w:val="Textonotapie"/>
        <w:jc w:val="center"/>
        <w:rPr>
          <w:rFonts w:ascii="Arial" w:eastAsia="Times New Roman" w:hAnsi="Arial"/>
          <w:sz w:val="24"/>
          <w:szCs w:val="24"/>
          <w:lang w:eastAsia="es-CO"/>
        </w:rPr>
      </w:pPr>
      <w:r>
        <w:rPr>
          <w:rFonts w:ascii="Arial" w:eastAsia="Times New Roman" w:hAnsi="Arial"/>
          <w:sz w:val="24"/>
          <w:szCs w:val="24"/>
          <w:lang w:eastAsia="es-CO"/>
        </w:rPr>
        <w:t>Figura 4. Acuerdos internacionales de trabajo</w:t>
      </w:r>
      <w:r>
        <w:rPr>
          <w:rFonts w:ascii="Arial" w:eastAsia="Times New Roman" w:hAnsi="Arial"/>
          <w:sz w:val="24"/>
          <w:szCs w:val="24"/>
          <w:lang w:eastAsia="es-CO"/>
        </w:rPr>
        <w:t xml:space="preserve"> conjunto energías renovables.</w:t>
      </w:r>
    </w:p>
    <w:p w:rsidR="00F702BF" w:rsidRDefault="00F0380A">
      <w:pPr>
        <w:pStyle w:val="Textonotapie"/>
        <w:jc w:val="center"/>
      </w:pPr>
      <w:r>
        <w:rPr>
          <w:rFonts w:ascii="Arial" w:eastAsia="Times New Roman" w:hAnsi="Arial"/>
          <w:sz w:val="24"/>
          <w:szCs w:val="24"/>
          <w:lang w:eastAsia="es-CO"/>
        </w:rPr>
        <w:t xml:space="preserve"> Fuente:</w:t>
      </w:r>
      <w:r>
        <w:rPr>
          <w:rFonts w:ascii="Arial" w:hAnsi="Arial"/>
          <w:sz w:val="24"/>
          <w:szCs w:val="24"/>
        </w:rPr>
        <w:t>I Encuentro Internacional de Energías Renovables Riohacha, 29-30 de Marzo de 2017</w:t>
      </w:r>
    </w:p>
    <w:p w:rsidR="00F702BF" w:rsidRDefault="00F702BF">
      <w:pPr>
        <w:spacing w:after="0" w:line="240" w:lineRule="auto"/>
        <w:jc w:val="both"/>
        <w:rPr>
          <w:rFonts w:ascii="Arial" w:eastAsia="Times New Roman" w:hAnsi="Arial"/>
          <w:sz w:val="24"/>
          <w:szCs w:val="24"/>
          <w:lang w:eastAsia="es-CO"/>
        </w:rPr>
      </w:pP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El aporte de recursos, vía regalías, previsto en el presente proyecto de Acto Legislativo contribuye, sin duda, a alcanzar estos obje</w:t>
      </w:r>
      <w:r>
        <w:rPr>
          <w:rFonts w:ascii="Arial" w:eastAsia="Times New Roman" w:hAnsi="Arial"/>
          <w:sz w:val="24"/>
          <w:szCs w:val="24"/>
          <w:lang w:eastAsia="es-CO"/>
        </w:rPr>
        <w:t xml:space="preserve">tivos a los que se ha comprometido el país en la lucha contra el cambio climático, al posibilitar la financiación de programas y/o proyectos en ciencia, tecnología e innovación de los departamentos, municipios y distritos, relacionados con el desarrollo y </w:t>
      </w:r>
      <w:r>
        <w:rPr>
          <w:rFonts w:ascii="Arial" w:eastAsia="Times New Roman" w:hAnsi="Arial"/>
          <w:sz w:val="24"/>
          <w:szCs w:val="24"/>
          <w:lang w:eastAsia="es-CO"/>
        </w:rPr>
        <w:t>la utilización de las Fuentes No Convencionales de Energía Renovable (FNCER).</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Estos recursos se unen a esfuerzos muy importantes que ha dado el país en esta dirección, que constituye una visión apropiada para el futuro de las generaciones de colombianos y</w:t>
      </w:r>
      <w:r>
        <w:rPr>
          <w:rFonts w:ascii="Arial" w:eastAsia="Times New Roman" w:hAnsi="Arial"/>
          <w:sz w:val="24"/>
          <w:szCs w:val="24"/>
          <w:lang w:eastAsia="es-CO"/>
        </w:rPr>
        <w:t xml:space="preserve"> demás habitantes del planeta.</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Colombia ha dado un paso muy importante en el cumplimiento de los compromisos asumidos internacionalmente para enfrentar el cambio climático especialmente en materia de utilización de las Fuentes No Convencionales de Energía</w:t>
      </w:r>
      <w:r>
        <w:rPr>
          <w:rFonts w:ascii="Arial" w:eastAsia="Times New Roman" w:hAnsi="Arial"/>
          <w:sz w:val="24"/>
          <w:szCs w:val="24"/>
          <w:lang w:eastAsia="es-CO"/>
        </w:rPr>
        <w:t xml:space="preserve"> Renovable (FNCER), con la promulgación de la </w:t>
      </w:r>
      <w:r>
        <w:rPr>
          <w:rFonts w:ascii="Arial" w:eastAsia="Times New Roman" w:hAnsi="Arial"/>
          <w:b/>
          <w:sz w:val="24"/>
          <w:szCs w:val="24"/>
          <w:lang w:eastAsia="es-CO"/>
        </w:rPr>
        <w:t>L</w:t>
      </w:r>
      <w:r>
        <w:rPr>
          <w:rFonts w:ascii="Arial" w:eastAsia="Times New Roman" w:hAnsi="Arial"/>
          <w:b/>
          <w:bCs/>
          <w:sz w:val="24"/>
          <w:szCs w:val="24"/>
          <w:lang w:eastAsia="es-CO"/>
        </w:rPr>
        <w:t>ey 1715 de 2014</w:t>
      </w:r>
      <w:r>
        <w:rPr>
          <w:rFonts w:ascii="Arial" w:eastAsia="Times New Roman" w:hAnsi="Arial"/>
          <w:b/>
          <w:sz w:val="24"/>
          <w:szCs w:val="24"/>
          <w:lang w:eastAsia="es-CO"/>
        </w:rPr>
        <w:t xml:space="preserve"> “</w:t>
      </w:r>
      <w:r>
        <w:rPr>
          <w:rFonts w:ascii="Arial" w:eastAsia="Times New Roman" w:hAnsi="Arial"/>
          <w:b/>
          <w:bCs/>
          <w:sz w:val="24"/>
          <w:szCs w:val="24"/>
          <w:lang w:eastAsia="es-CO"/>
        </w:rPr>
        <w:t>Por medio de la cual se regula la integración de las energías renovables no convencionales al Sistema Energético Nacional”</w:t>
      </w:r>
      <w:r>
        <w:rPr>
          <w:rFonts w:ascii="Arial" w:eastAsia="Times New Roman" w:hAnsi="Arial"/>
          <w:bCs/>
          <w:sz w:val="24"/>
          <w:szCs w:val="24"/>
          <w:lang w:eastAsia="es-CO"/>
        </w:rPr>
        <w:t>.</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bCs/>
          <w:sz w:val="24"/>
          <w:szCs w:val="24"/>
          <w:lang w:eastAsia="es-CO"/>
        </w:rPr>
        <w:t>De esta norma es importante destacar algunos apartes que le dan may</w:t>
      </w:r>
      <w:r>
        <w:rPr>
          <w:rFonts w:ascii="Arial" w:eastAsia="Times New Roman" w:hAnsi="Arial"/>
          <w:bCs/>
          <w:sz w:val="24"/>
          <w:szCs w:val="24"/>
          <w:lang w:eastAsia="es-CO"/>
        </w:rPr>
        <w:t xml:space="preserve">or profundidad al alcance de la presente propuesta de Acto Legislativo. En efecto, el </w:t>
      </w:r>
      <w:r>
        <w:rPr>
          <w:rFonts w:ascii="Arial" w:eastAsia="Times New Roman" w:hAnsi="Arial"/>
          <w:bCs/>
          <w:i/>
          <w:sz w:val="24"/>
          <w:szCs w:val="24"/>
          <w:lang w:eastAsia="es-CO"/>
        </w:rPr>
        <w:t>“Artículo 1°. Objeto.</w:t>
      </w:r>
      <w:r>
        <w:rPr>
          <w:rFonts w:ascii="Arial" w:eastAsia="Times New Roman" w:hAnsi="Arial"/>
          <w:i/>
          <w:iCs/>
          <w:sz w:val="24"/>
          <w:szCs w:val="24"/>
          <w:lang w:eastAsia="es-CO"/>
        </w:rPr>
        <w:t> </w:t>
      </w:r>
      <w:r>
        <w:rPr>
          <w:rFonts w:ascii="Arial" w:eastAsia="Times New Roman" w:hAnsi="Arial"/>
          <w:i/>
          <w:sz w:val="24"/>
          <w:szCs w:val="24"/>
          <w:lang w:eastAsia="es-CO"/>
        </w:rPr>
        <w:t>La presente ley tiene por objeto promover el desarrollo y la utilización de las fuentes no convencionales de energía, principalmente aquellas de car</w:t>
      </w:r>
      <w:r>
        <w:rPr>
          <w:rFonts w:ascii="Arial" w:eastAsia="Times New Roman" w:hAnsi="Arial"/>
          <w:i/>
          <w:sz w:val="24"/>
          <w:szCs w:val="24"/>
          <w:lang w:eastAsia="es-CO"/>
        </w:rPr>
        <w:t xml:space="preserve">ácter renovable, en el sistema energético nacional, </w:t>
      </w:r>
      <w:r>
        <w:rPr>
          <w:rFonts w:ascii="Arial" w:eastAsia="Times New Roman" w:hAnsi="Arial"/>
          <w:b/>
          <w:i/>
          <w:sz w:val="24"/>
          <w:szCs w:val="24"/>
          <w:lang w:eastAsia="es-CO"/>
        </w:rPr>
        <w:t>mediante su integración al mercado eléctrico, su participación en las zonas no interconectadas y en otros usos energéticos como medio necesario para el desarrollo económico sostenible, la reducción de emi</w:t>
      </w:r>
      <w:r>
        <w:rPr>
          <w:rFonts w:ascii="Arial" w:eastAsia="Times New Roman" w:hAnsi="Arial"/>
          <w:b/>
          <w:i/>
          <w:sz w:val="24"/>
          <w:szCs w:val="24"/>
          <w:lang w:eastAsia="es-CO"/>
        </w:rPr>
        <w:t>siones de gases de efecto invernadero y la seguridad del abastecimiento energético.</w:t>
      </w:r>
      <w:r>
        <w:rPr>
          <w:rFonts w:ascii="Arial" w:eastAsia="Times New Roman" w:hAnsi="Arial"/>
          <w:i/>
          <w:sz w:val="24"/>
          <w:szCs w:val="24"/>
          <w:lang w:eastAsia="es-CO"/>
        </w:rPr>
        <w:t xml:space="preserve"> Con los mismos propósitos se busca promover la gestión eficiente de la energía, que comprende tanto la eficiencia energética como la respuesta de la demanda”. </w:t>
      </w:r>
      <w:r>
        <w:rPr>
          <w:rFonts w:ascii="Arial" w:eastAsia="Times New Roman" w:hAnsi="Arial"/>
          <w:sz w:val="24"/>
          <w:szCs w:val="24"/>
          <w:lang w:eastAsia="es-CO"/>
        </w:rPr>
        <w:t xml:space="preserve">(Subrayado </w:t>
      </w:r>
      <w:r>
        <w:rPr>
          <w:rFonts w:ascii="Arial" w:eastAsia="Times New Roman" w:hAnsi="Arial"/>
          <w:sz w:val="24"/>
          <w:szCs w:val="24"/>
          <w:lang w:eastAsia="es-CO"/>
        </w:rPr>
        <w:t>nuestro)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Así mismo, resulta de sumo interés para la presente propuesta considerar la finalidad de la precitada Ley, la cual citamos in extenso por su aporte a la claridad que requerimos alcanzar con nuestra propuesta de Acto Legislativo, a saber: </w:t>
      </w:r>
      <w:r>
        <w:rPr>
          <w:rFonts w:ascii="Arial" w:eastAsia="Times New Roman" w:hAnsi="Arial"/>
          <w:bCs/>
          <w:i/>
          <w:sz w:val="24"/>
          <w:szCs w:val="24"/>
          <w:lang w:eastAsia="es-CO"/>
        </w:rPr>
        <w:t>“Artícul</w:t>
      </w:r>
      <w:r>
        <w:rPr>
          <w:rFonts w:ascii="Arial" w:eastAsia="Times New Roman" w:hAnsi="Arial"/>
          <w:bCs/>
          <w:i/>
          <w:sz w:val="24"/>
          <w:szCs w:val="24"/>
          <w:lang w:eastAsia="es-CO"/>
        </w:rPr>
        <w:t>o 2°. Finalidad de la ley. </w:t>
      </w:r>
      <w:r>
        <w:rPr>
          <w:rFonts w:ascii="Arial" w:eastAsia="Times New Roman" w:hAnsi="Arial"/>
          <w:i/>
          <w:sz w:val="24"/>
          <w:szCs w:val="24"/>
          <w:lang w:eastAsia="es-CO"/>
        </w:rPr>
        <w:t>La finalidad de la presente ley es establecer el marco legal y los instrumentos para la promoción del aprovechamiento de las fuentes no convencionales de energía, principalmente aquellas de carácter renovable, lo mismo que para e</w:t>
      </w:r>
      <w:r>
        <w:rPr>
          <w:rFonts w:ascii="Arial" w:eastAsia="Times New Roman" w:hAnsi="Arial"/>
          <w:i/>
          <w:sz w:val="24"/>
          <w:szCs w:val="24"/>
          <w:lang w:eastAsia="es-CO"/>
        </w:rPr>
        <w:t xml:space="preserve">l fomento de la inversión, investigación y desarrollo de tecnologías limpias para producción de energía, la eficiencia energética y la respuesta de la demanda, en el marco de la política energética nacional. Igualmente, tiene por objeto </w:t>
      </w:r>
      <w:r>
        <w:rPr>
          <w:rFonts w:ascii="Arial" w:eastAsia="Times New Roman" w:hAnsi="Arial"/>
          <w:b/>
          <w:i/>
          <w:sz w:val="24"/>
          <w:szCs w:val="24"/>
          <w:lang w:eastAsia="es-CO"/>
        </w:rPr>
        <w:t>establecer líneas d</w:t>
      </w:r>
      <w:r>
        <w:rPr>
          <w:rFonts w:ascii="Arial" w:eastAsia="Times New Roman" w:hAnsi="Arial"/>
          <w:b/>
          <w:i/>
          <w:sz w:val="24"/>
          <w:szCs w:val="24"/>
          <w:lang w:eastAsia="es-CO"/>
        </w:rPr>
        <w:t xml:space="preserve">e acción para el cumplimento de compromisos asumidos por Colombia en materia de energías renovables, gestión eficiente de la energía y reducción de emisiones de gases de efecto invernadero, tales </w:t>
      </w:r>
      <w:r>
        <w:rPr>
          <w:rFonts w:ascii="Arial" w:eastAsia="Times New Roman" w:hAnsi="Arial"/>
          <w:b/>
          <w:i/>
          <w:sz w:val="24"/>
          <w:szCs w:val="24"/>
          <w:lang w:eastAsia="es-CO"/>
        </w:rPr>
        <w:lastRenderedPageBreak/>
        <w:t>como aquellos adquiridos a través de la aprobación del estat</w:t>
      </w:r>
      <w:r>
        <w:rPr>
          <w:rFonts w:ascii="Arial" w:eastAsia="Times New Roman" w:hAnsi="Arial"/>
          <w:b/>
          <w:i/>
          <w:sz w:val="24"/>
          <w:szCs w:val="24"/>
          <w:lang w:eastAsia="es-CO"/>
        </w:rPr>
        <w:t>uto de la Agencia Internacional de Energías Renovables (Irena) mediante la Ley 1665 de 2013.</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Son finalidades de esta ley:</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b) Incentivar la penetración de las fuentes no convencionales de energía, principalmente aquellas de carácter renovable en el sist</w:t>
      </w:r>
      <w:r>
        <w:rPr>
          <w:rFonts w:ascii="Arial" w:eastAsia="Times New Roman" w:hAnsi="Arial"/>
          <w:b/>
          <w:i/>
          <w:sz w:val="24"/>
          <w:szCs w:val="24"/>
          <w:lang w:eastAsia="es-CO"/>
        </w:rPr>
        <w:t>ema energético colombiano, la eficiencia energética y la respuesta de la demanda en todos los sectores y actividades, con criterios de sostenibilidad medioambiental, social y económica;</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c) Establecer mecanismos de cooperación y coordinación entre el sector</w:t>
      </w:r>
      <w:r>
        <w:rPr>
          <w:rFonts w:ascii="Arial" w:eastAsia="Times New Roman" w:hAnsi="Arial"/>
          <w:i/>
          <w:sz w:val="24"/>
          <w:szCs w:val="24"/>
          <w:lang w:eastAsia="es-CO"/>
        </w:rPr>
        <w:t xml:space="preserve"> público, el sector privado y los usuarios para el desarrollo de fuentes no convencionales de energía, principalmente aquellas de carácter renovable, y el fomento de la gestión eficiente de la energía;</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 xml:space="preserve">d) Establecer el deber a cargo del Estado a través de </w:t>
      </w:r>
      <w:r>
        <w:rPr>
          <w:rFonts w:ascii="Arial" w:eastAsia="Times New Roman" w:hAnsi="Arial"/>
          <w:b/>
          <w:i/>
          <w:sz w:val="24"/>
          <w:szCs w:val="24"/>
          <w:lang w:eastAsia="es-CO"/>
        </w:rPr>
        <w:t>las entidades del orden nacional, departamental, municipal o de desarrollar programas y políticas para asegurar el impulso y uso de mecanismos de fomento de la gestión eficiente de la energía de la penetración de las fuentes no convencionales de energía, p</w:t>
      </w:r>
      <w:r>
        <w:rPr>
          <w:rFonts w:ascii="Arial" w:eastAsia="Times New Roman" w:hAnsi="Arial"/>
          <w:b/>
          <w:i/>
          <w:sz w:val="24"/>
          <w:szCs w:val="24"/>
          <w:lang w:eastAsia="es-CO"/>
        </w:rPr>
        <w:t>rincipalmente aquellas de carácter renovable, en la canasta energética colombiana;</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e) Estimular la inversión, la investigación y el desarrollo para la producción y utilización de energía a partir de fuentes no convencionales de energía, principalmente aque</w:t>
      </w:r>
      <w:r>
        <w:rPr>
          <w:rFonts w:ascii="Arial" w:eastAsia="Times New Roman" w:hAnsi="Arial"/>
          <w:b/>
          <w:i/>
          <w:sz w:val="24"/>
          <w:szCs w:val="24"/>
          <w:lang w:eastAsia="es-CO"/>
        </w:rPr>
        <w:t>llas de carácter renovable, mediante el establecimiento de incentivos tributarios, arancelarios o contables y demás mecanismos que estimulen desarrollo de tales fuentes en Colombia;</w:t>
      </w:r>
    </w:p>
    <w:p w:rsidR="00F702BF" w:rsidRDefault="00F0380A">
      <w:pPr>
        <w:spacing w:after="0" w:line="240" w:lineRule="auto"/>
        <w:jc w:val="both"/>
      </w:pPr>
      <w:r>
        <w:rPr>
          <w:rFonts w:ascii="Arial" w:eastAsia="Times New Roman" w:hAnsi="Arial"/>
          <w:i/>
          <w:sz w:val="24"/>
          <w:szCs w:val="24"/>
          <w:lang w:eastAsia="es-CO"/>
        </w:rPr>
        <w:t>f) Establecer los criterios y principios que complementen el marco jurídic</w:t>
      </w:r>
      <w:r>
        <w:rPr>
          <w:rFonts w:ascii="Arial" w:eastAsia="Times New Roman" w:hAnsi="Arial"/>
          <w:i/>
          <w:sz w:val="24"/>
          <w:szCs w:val="24"/>
          <w:lang w:eastAsia="es-CO"/>
        </w:rPr>
        <w:t xml:space="preserve">o actual, otorgando certidumbre y estabilidad al desarrollo sostenible de las fuentes no convencionales de energías, principalmente aquellas de carácter renovable, y al fomento de la gestión eficiente de la energía. </w:t>
      </w:r>
      <w:r>
        <w:rPr>
          <w:rFonts w:ascii="Arial" w:eastAsia="Times New Roman" w:hAnsi="Arial"/>
          <w:b/>
          <w:i/>
          <w:sz w:val="24"/>
          <w:szCs w:val="24"/>
          <w:lang w:eastAsia="es-CO"/>
        </w:rPr>
        <w:t>Suprimiendo o superando gradualmente las</w:t>
      </w:r>
      <w:r>
        <w:rPr>
          <w:rFonts w:ascii="Arial" w:eastAsia="Times New Roman" w:hAnsi="Arial"/>
          <w:b/>
          <w:i/>
          <w:sz w:val="24"/>
          <w:szCs w:val="24"/>
          <w:lang w:eastAsia="es-CO"/>
        </w:rPr>
        <w:t xml:space="preserve"> barreras de tipo jurídico, económico y de mercado, creando así las condiciones propicias para el aprovechamiento de las fuentes no convencionales de energía, principalmente aquellas de carácter renovable, y el desarrollo de un mercado de eficiencia energé</w:t>
      </w:r>
      <w:r>
        <w:rPr>
          <w:rFonts w:ascii="Arial" w:eastAsia="Times New Roman" w:hAnsi="Arial"/>
          <w:b/>
          <w:i/>
          <w:sz w:val="24"/>
          <w:szCs w:val="24"/>
          <w:lang w:eastAsia="es-CO"/>
        </w:rPr>
        <w:t xml:space="preserve">tica y respuesta de la demanda </w:t>
      </w:r>
      <w:r>
        <w:rPr>
          <w:rFonts w:ascii="Arial" w:eastAsia="Times New Roman" w:hAnsi="Arial"/>
          <w:i/>
          <w:sz w:val="24"/>
          <w:szCs w:val="24"/>
          <w:lang w:eastAsia="es-CO"/>
        </w:rPr>
        <w:t>(…).</w:t>
      </w:r>
      <w:r>
        <w:rPr>
          <w:rFonts w:ascii="Arial" w:eastAsia="Times New Roman" w:hAnsi="Arial"/>
          <w:sz w:val="24"/>
          <w:szCs w:val="24"/>
          <w:lang w:eastAsia="es-CO"/>
        </w:rPr>
        <w:t>(Subrayado nuestro)</w:t>
      </w:r>
    </w:p>
    <w:p w:rsidR="00F702BF" w:rsidRDefault="00F702BF">
      <w:pPr>
        <w:spacing w:after="0" w:line="240" w:lineRule="auto"/>
        <w:jc w:val="both"/>
        <w:rPr>
          <w:rFonts w:ascii="Arial" w:eastAsia="Times New Roman" w:hAnsi="Arial"/>
          <w:bCs/>
          <w:sz w:val="24"/>
          <w:szCs w:val="24"/>
          <w:lang w:eastAsia="es-CO"/>
        </w:rPr>
      </w:pPr>
    </w:p>
    <w:p w:rsidR="00F702BF" w:rsidRDefault="00F0380A">
      <w:pPr>
        <w:spacing w:after="0" w:line="240" w:lineRule="auto"/>
        <w:jc w:val="both"/>
      </w:pPr>
      <w:r>
        <w:rPr>
          <w:rFonts w:ascii="Arial" w:eastAsia="Times New Roman" w:hAnsi="Arial"/>
          <w:bCs/>
          <w:sz w:val="24"/>
          <w:szCs w:val="24"/>
          <w:lang w:eastAsia="es-CO"/>
        </w:rPr>
        <w:t>Finalmente, orientamos la atención sobre el siguiente aparte de esta esclarecedora Ley que le abre al país un prometedor camino de desarrollo sostenible, el cual podrá ser recorrido con mayor confianz</w:t>
      </w:r>
      <w:r>
        <w:rPr>
          <w:rFonts w:ascii="Arial" w:eastAsia="Times New Roman" w:hAnsi="Arial"/>
          <w:bCs/>
          <w:sz w:val="24"/>
          <w:szCs w:val="24"/>
          <w:lang w:eastAsia="es-CO"/>
        </w:rPr>
        <w:t>a por los Departamentos, Municipios y Distritos al amparo del presente proyecto de Acto Legislativo: “</w:t>
      </w:r>
      <w:r>
        <w:rPr>
          <w:rFonts w:ascii="Arial" w:eastAsia="Times New Roman" w:hAnsi="Arial"/>
          <w:bCs/>
          <w:i/>
          <w:sz w:val="24"/>
          <w:szCs w:val="24"/>
          <w:lang w:eastAsia="es-CO"/>
        </w:rPr>
        <w:t>Artículo 4°. Declaratoria de utilidad pública e interés social.</w:t>
      </w:r>
      <w:r>
        <w:rPr>
          <w:rFonts w:ascii="Arial" w:eastAsia="Times New Roman" w:hAnsi="Arial"/>
          <w:i/>
          <w:sz w:val="24"/>
          <w:szCs w:val="24"/>
          <w:lang w:eastAsia="es-CO"/>
        </w:rPr>
        <w:t> </w:t>
      </w:r>
      <w:r>
        <w:rPr>
          <w:rFonts w:ascii="Arial" w:eastAsia="Times New Roman" w:hAnsi="Arial"/>
          <w:b/>
          <w:i/>
          <w:sz w:val="24"/>
          <w:szCs w:val="24"/>
          <w:lang w:eastAsia="es-CO"/>
        </w:rPr>
        <w:t xml:space="preserve">La promoción, estímulo e incentivo al desarrollo de las actividades de producción y </w:t>
      </w:r>
      <w:r>
        <w:rPr>
          <w:rFonts w:ascii="Arial" w:eastAsia="Times New Roman" w:hAnsi="Arial"/>
          <w:b/>
          <w:i/>
          <w:sz w:val="24"/>
          <w:szCs w:val="24"/>
          <w:lang w:eastAsia="es-CO"/>
        </w:rPr>
        <w:t>utilización de fuentes no convencionales de energía, principalmente aquellas de carácter renovable, se declara como un asunto de utilidad pública e interés social, público y de conveniencia nacional, fundamental para asegurar la diversificación del abastec</w:t>
      </w:r>
      <w:r>
        <w:rPr>
          <w:rFonts w:ascii="Arial" w:eastAsia="Times New Roman" w:hAnsi="Arial"/>
          <w:b/>
          <w:i/>
          <w:sz w:val="24"/>
          <w:szCs w:val="24"/>
          <w:lang w:eastAsia="es-CO"/>
        </w:rPr>
        <w:t xml:space="preserve">imiento energético pleno y oportuno, la competitividad de la economía colombiana, la </w:t>
      </w:r>
      <w:r>
        <w:rPr>
          <w:rFonts w:ascii="Arial" w:eastAsia="Times New Roman" w:hAnsi="Arial"/>
          <w:b/>
          <w:i/>
          <w:sz w:val="24"/>
          <w:szCs w:val="24"/>
          <w:lang w:eastAsia="es-CO"/>
        </w:rPr>
        <w:lastRenderedPageBreak/>
        <w:t>protección del ambiente, el uso eficiente de la energía y la preservación y conservación de los recursos naturales renovables.</w:t>
      </w:r>
    </w:p>
    <w:p w:rsidR="00F702BF" w:rsidRDefault="00F0380A">
      <w:pPr>
        <w:spacing w:after="0" w:line="240" w:lineRule="auto"/>
        <w:jc w:val="both"/>
      </w:pPr>
      <w:r>
        <w:rPr>
          <w:rFonts w:ascii="Arial" w:eastAsia="Times New Roman" w:hAnsi="Arial"/>
          <w:b/>
          <w:i/>
          <w:sz w:val="24"/>
          <w:szCs w:val="24"/>
          <w:lang w:eastAsia="es-CO"/>
        </w:rPr>
        <w:t xml:space="preserve">Esta calificación de utilidad pública o </w:t>
      </w:r>
      <w:r>
        <w:rPr>
          <w:rFonts w:ascii="Arial" w:eastAsia="Times New Roman" w:hAnsi="Arial"/>
          <w:b/>
          <w:i/>
          <w:sz w:val="24"/>
          <w:szCs w:val="24"/>
          <w:lang w:eastAsia="es-CO"/>
        </w:rPr>
        <w:t>interés social tendrá los efectos oportunos para su primacía en todo lo referente a ordenamiento del territorio, urbanismo, planificación ambiental, fomento económico, valoración positiva en los procedimientos administrativos de concurrencia y selección, a</w:t>
      </w:r>
      <w:r>
        <w:rPr>
          <w:rFonts w:ascii="Arial" w:eastAsia="Times New Roman" w:hAnsi="Arial"/>
          <w:b/>
          <w:i/>
          <w:sz w:val="24"/>
          <w:szCs w:val="24"/>
          <w:lang w:eastAsia="es-CO"/>
        </w:rPr>
        <w:t>sí como a efectos de expropiación forzosa”.</w:t>
      </w:r>
      <w:r>
        <w:rPr>
          <w:rFonts w:ascii="Arial" w:eastAsia="Times New Roman" w:hAnsi="Arial"/>
          <w:i/>
          <w:sz w:val="24"/>
          <w:szCs w:val="24"/>
          <w:lang w:eastAsia="es-CO"/>
        </w:rPr>
        <w:t xml:space="preserve"> </w:t>
      </w:r>
      <w:r>
        <w:rPr>
          <w:rFonts w:ascii="Arial" w:eastAsia="Times New Roman" w:hAnsi="Arial"/>
          <w:sz w:val="24"/>
          <w:szCs w:val="24"/>
          <w:lang w:eastAsia="es-CO"/>
        </w:rPr>
        <w:t>(Subrayado nuestro)</w:t>
      </w:r>
    </w:p>
    <w:p w:rsidR="00F702BF" w:rsidRDefault="00F702BF">
      <w:pPr>
        <w:spacing w:after="0" w:line="240" w:lineRule="auto"/>
        <w:jc w:val="both"/>
        <w:rPr>
          <w:rFonts w:ascii="Arial" w:eastAsia="Times New Roman" w:hAnsi="Arial"/>
          <w:bCs/>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La precitada Ley 1715 de 2014 ha contado con un dinámico desarrollo normativo, que ha creado las condiciones institucionales, de política y de recursos para su implementación, en el cual se i</w:t>
      </w:r>
      <w:r>
        <w:rPr>
          <w:rFonts w:ascii="Arial" w:eastAsia="Times New Roman" w:hAnsi="Arial"/>
          <w:sz w:val="24"/>
          <w:szCs w:val="24"/>
          <w:lang w:eastAsia="es-CO"/>
        </w:rPr>
        <w:t>nserta de manera adecuada la presente propuesta de Acto Legislativo.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Importante registrar también los avances en materia de planificación de largo plazo del Gobierno nacional en materia de generación de energía. A ese respeto señalamos que en el “Plan de </w:t>
      </w:r>
      <w:r>
        <w:rPr>
          <w:rFonts w:ascii="Arial" w:eastAsia="Times New Roman" w:hAnsi="Arial"/>
          <w:sz w:val="24"/>
          <w:szCs w:val="24"/>
          <w:lang w:eastAsia="es-CO"/>
        </w:rPr>
        <w:t>expansión en generación de electricidad” para el horizonte 2016-2030</w:t>
      </w:r>
      <w:r>
        <w:rPr>
          <w:rStyle w:val="Refdenotaalpie"/>
          <w:rFonts w:ascii="Arial" w:eastAsia="Times New Roman" w:hAnsi="Arial"/>
          <w:sz w:val="24"/>
          <w:szCs w:val="24"/>
          <w:lang w:eastAsia="es-CO"/>
        </w:rPr>
        <w:footnoteReference w:id="9"/>
      </w:r>
      <w:r>
        <w:rPr>
          <w:rFonts w:ascii="Arial" w:eastAsia="Times New Roman" w:hAnsi="Arial"/>
          <w:sz w:val="24"/>
          <w:szCs w:val="24"/>
          <w:lang w:eastAsia="es-CO"/>
        </w:rPr>
        <w:t xml:space="preserve">, liderado por la UPME, se contempla la incorporación de fuentes renovables no convencionales. Un aspecto estratégico en dicho plan es el siguiente: </w:t>
      </w:r>
      <w:r>
        <w:rPr>
          <w:rFonts w:ascii="Arial" w:eastAsia="Times New Roman" w:hAnsi="Arial"/>
          <w:b/>
          <w:sz w:val="24"/>
          <w:szCs w:val="24"/>
          <w:lang w:eastAsia="es-CO"/>
        </w:rPr>
        <w:t>“Teniendo en cuenta los resultados de largo plazo, que evidenc</w:t>
      </w:r>
      <w:r>
        <w:rPr>
          <w:rFonts w:ascii="Arial" w:eastAsia="Times New Roman" w:hAnsi="Arial"/>
          <w:b/>
          <w:sz w:val="24"/>
          <w:szCs w:val="24"/>
          <w:lang w:eastAsia="es-CO"/>
        </w:rPr>
        <w:t>ian una penetración importante de fuentes renovables no convencionales en el Sistema Interconectado Nacional-SIN (viento y sol), en este Plan la UPME aborda el concepto de flexibilidad, el cual está relacionado con la capacidad que tiene el sistema para in</w:t>
      </w:r>
      <w:r>
        <w:rPr>
          <w:rFonts w:ascii="Arial" w:eastAsia="Times New Roman" w:hAnsi="Arial"/>
          <w:b/>
          <w:sz w:val="24"/>
          <w:szCs w:val="24"/>
          <w:lang w:eastAsia="es-CO"/>
        </w:rPr>
        <w:t>corporar este tipo de recursos”.</w:t>
      </w:r>
      <w:r>
        <w:rPr>
          <w:rFonts w:ascii="Arial" w:eastAsia="Times New Roman" w:hAnsi="Arial"/>
          <w:sz w:val="24"/>
          <w:szCs w:val="24"/>
          <w:lang w:eastAsia="es-CO"/>
        </w:rPr>
        <w:t xml:space="preserve"> (Subrayado nuestro).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Es muy importante subrayar este reconocimiento a la “penetración” alcanzada por las FNCER en el sistema eléctrico y la capacidad de flexibilidad de éste para aumentar la “incorporación” de las mismas, </w:t>
      </w:r>
      <w:r>
        <w:rPr>
          <w:rFonts w:ascii="Arial" w:eastAsia="Times New Roman" w:hAnsi="Arial"/>
          <w:sz w:val="24"/>
          <w:szCs w:val="24"/>
          <w:lang w:eastAsia="es-CO"/>
        </w:rPr>
        <w:t xml:space="preserve">lo cual sin duda abre un enorme campo de acción para contribuir con recursos de regalías por parte de los departamentos, municipios y distritos, para el desarrollo y la utilización de las Fuentes No Convencionales de Energía Renovable (FNCER). El presente </w:t>
      </w:r>
      <w:r>
        <w:rPr>
          <w:rFonts w:ascii="Arial" w:eastAsia="Times New Roman" w:hAnsi="Arial"/>
          <w:sz w:val="24"/>
          <w:szCs w:val="24"/>
          <w:lang w:eastAsia="es-CO"/>
        </w:rPr>
        <w:t>proyecto de Acto Legislativo permitirá complementar estos importantes avances normativos y de planeación</w:t>
      </w:r>
      <w:r>
        <w:rPr>
          <w:rFonts w:ascii="Arial" w:eastAsia="Times New Roman" w:hAnsi="Arial"/>
          <w:b/>
          <w:sz w:val="24"/>
          <w:szCs w:val="24"/>
          <w:lang w:eastAsia="es-CO"/>
        </w:rPr>
        <w:t xml:space="preserve"> </w:t>
      </w:r>
      <w:r>
        <w:rPr>
          <w:rFonts w:ascii="Arial" w:eastAsia="Times New Roman" w:hAnsi="Arial"/>
          <w:sz w:val="24"/>
          <w:szCs w:val="24"/>
          <w:lang w:eastAsia="es-CO"/>
        </w:rPr>
        <w:t xml:space="preserve">creando la posibilidad de financiar los programas y/o proyectos en ciencia, tecnología e innovación de las regiones con recursos de regalías aportados </w:t>
      </w:r>
      <w:r>
        <w:rPr>
          <w:rFonts w:ascii="Arial" w:eastAsia="Times New Roman" w:hAnsi="Arial"/>
          <w:sz w:val="24"/>
          <w:szCs w:val="24"/>
          <w:lang w:eastAsia="es-CO"/>
        </w:rPr>
        <w:t>por los departamentos, municipios y distritos, para el desarrollo y la utilización de las Fuentes No Convencionales de Energía Renovable (FNCER).</w:t>
      </w:r>
      <w:r>
        <w:rPr>
          <w:rFonts w:ascii="Arial" w:eastAsia="Times New Roman" w:hAnsi="Arial"/>
          <w:b/>
          <w:sz w:val="24"/>
          <w:szCs w:val="24"/>
          <w:lang w:eastAsia="es-CO"/>
        </w:rPr>
        <w:t xml:space="preserve"> </w:t>
      </w:r>
    </w:p>
    <w:p w:rsidR="00F702BF" w:rsidRDefault="00F702BF">
      <w:pPr>
        <w:spacing w:after="0" w:line="240" w:lineRule="auto"/>
        <w:jc w:val="both"/>
        <w:rPr>
          <w:rFonts w:ascii="Arial" w:eastAsia="Times New Roman" w:hAnsi="Arial"/>
          <w:b/>
          <w:sz w:val="24"/>
          <w:szCs w:val="24"/>
          <w:lang w:eastAsia="es-CO"/>
        </w:rPr>
      </w:pPr>
    </w:p>
    <w:p w:rsidR="00F702BF" w:rsidRDefault="00F702BF">
      <w:pPr>
        <w:spacing w:after="0" w:line="240" w:lineRule="auto"/>
        <w:jc w:val="both"/>
        <w:rPr>
          <w:rFonts w:ascii="Arial" w:eastAsia="Times New Roman" w:hAnsi="Arial"/>
          <w:b/>
          <w:sz w:val="24"/>
          <w:szCs w:val="24"/>
          <w:lang w:eastAsia="es-CO"/>
        </w:rPr>
      </w:pPr>
    </w:p>
    <w:p w:rsidR="00F702BF" w:rsidRDefault="00F0380A">
      <w:pPr>
        <w:spacing w:after="0" w:line="240" w:lineRule="auto"/>
        <w:jc w:val="both"/>
        <w:rPr>
          <w:rFonts w:ascii="Arial" w:eastAsia="Times New Roman" w:hAnsi="Arial"/>
          <w:b/>
          <w:sz w:val="24"/>
          <w:szCs w:val="24"/>
          <w:lang w:eastAsia="es-CO"/>
        </w:rPr>
      </w:pPr>
      <w:r>
        <w:rPr>
          <w:rFonts w:ascii="Arial" w:eastAsia="Times New Roman" w:hAnsi="Arial"/>
          <w:b/>
          <w:sz w:val="24"/>
          <w:szCs w:val="24"/>
          <w:lang w:eastAsia="es-CO"/>
        </w:rPr>
        <w:lastRenderedPageBreak/>
        <w:t xml:space="preserve">Los autores plantean con acierto que el presente proyecto de Acto Legislativo constituye una oportunidad </w:t>
      </w:r>
      <w:r>
        <w:rPr>
          <w:rFonts w:ascii="Arial" w:eastAsia="Times New Roman" w:hAnsi="Arial"/>
          <w:b/>
          <w:sz w:val="24"/>
          <w:szCs w:val="24"/>
          <w:lang w:eastAsia="es-CO"/>
        </w:rPr>
        <w:t>para el desarrollo sostenible de las regiones con el desarrollo y la utilización de las Fuentes No Convencionales de Energía Renovable (FNCER)</w:t>
      </w:r>
    </w:p>
    <w:p w:rsidR="00F702BF" w:rsidRDefault="00F702BF">
      <w:pPr>
        <w:spacing w:after="0" w:line="240" w:lineRule="auto"/>
        <w:jc w:val="both"/>
        <w:rPr>
          <w:rFonts w:ascii="Arial" w:eastAsia="Times New Roman" w:hAnsi="Arial"/>
          <w:b/>
          <w:sz w:val="24"/>
          <w:szCs w:val="24"/>
          <w:lang w:eastAsia="es-CO"/>
        </w:rPr>
      </w:pPr>
    </w:p>
    <w:p w:rsidR="00F702BF" w:rsidRDefault="00F0380A">
      <w:pPr>
        <w:spacing w:after="0" w:line="240" w:lineRule="auto"/>
        <w:jc w:val="both"/>
      </w:pPr>
      <w:r>
        <w:rPr>
          <w:rFonts w:ascii="Arial" w:hAnsi="Arial"/>
          <w:sz w:val="24"/>
          <w:szCs w:val="24"/>
        </w:rPr>
        <w:t xml:space="preserve">Colombia tiene grandes oportunidades con el </w:t>
      </w:r>
      <w:r>
        <w:rPr>
          <w:rFonts w:ascii="Arial" w:eastAsia="Times New Roman" w:hAnsi="Arial"/>
          <w:sz w:val="24"/>
          <w:szCs w:val="24"/>
          <w:lang w:eastAsia="es-CO"/>
        </w:rPr>
        <w:t>desarrollo y la utilización de las Fuentes No Convencionales de Ener</w:t>
      </w:r>
      <w:r>
        <w:rPr>
          <w:rFonts w:ascii="Arial" w:eastAsia="Times New Roman" w:hAnsi="Arial"/>
          <w:sz w:val="24"/>
          <w:szCs w:val="24"/>
          <w:lang w:eastAsia="es-CO"/>
        </w:rPr>
        <w:t>gía Renovable (FNCER) especialmente en las regiones más apartadas del desarrollo social y económico con énfasis en el sector rural y/o zonas no interconectadas al sistema eléctrico.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La opinión pública en el país ha mirado con optimismo el compromiso que s</w:t>
      </w:r>
      <w:r>
        <w:rPr>
          <w:rFonts w:ascii="Arial" w:eastAsia="Times New Roman" w:hAnsi="Arial"/>
          <w:sz w:val="24"/>
          <w:szCs w:val="24"/>
          <w:lang w:eastAsia="es-CO"/>
        </w:rPr>
        <w:t>e ha asumido desde el punto de vista normativo, institucional, gremial y académico con la adopción de las FNCER.</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A continuación, proponemos un rápido recorrido por algunos testimonios que destacan el importante rol de las FNCER en el desarrollo sostenible</w:t>
      </w:r>
      <w:r>
        <w:rPr>
          <w:rFonts w:ascii="Arial" w:eastAsia="Times New Roman" w:hAnsi="Arial"/>
          <w:sz w:val="24"/>
          <w:szCs w:val="24"/>
          <w:lang w:eastAsia="es-CO"/>
        </w:rPr>
        <w:t xml:space="preserve"> de las regiones. Iniciamos con el importante medio Portafolio</w:t>
      </w:r>
      <w:r>
        <w:rPr>
          <w:rStyle w:val="Refdenotaalpie"/>
          <w:rFonts w:ascii="Arial" w:eastAsia="Times New Roman" w:hAnsi="Arial"/>
          <w:sz w:val="24"/>
          <w:szCs w:val="24"/>
          <w:lang w:eastAsia="es-CO"/>
        </w:rPr>
        <w:footnoteReference w:id="10"/>
      </w:r>
      <w:r>
        <w:rPr>
          <w:rFonts w:ascii="Arial" w:eastAsia="Times New Roman" w:hAnsi="Arial"/>
          <w:sz w:val="24"/>
          <w:szCs w:val="24"/>
          <w:lang w:eastAsia="es-CO"/>
        </w:rPr>
        <w:t xml:space="preserve"> que destacó así la adopción de la precitada Ley 1715 de 2014:</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“Como lo expresó en su momento, el exministro de M</w:t>
      </w:r>
      <w:r>
        <w:rPr>
          <w:rFonts w:ascii="Arial" w:eastAsia="Times New Roman" w:hAnsi="Arial"/>
          <w:i/>
          <w:sz w:val="24"/>
          <w:szCs w:val="24"/>
          <w:lang w:eastAsia="es-CO"/>
        </w:rPr>
        <w:t>inas y Energía, Amilkar Acosta Medina, al presentar la norma, “un país con una ley de energías renovables está más cerca del desarrollo económico sostenible, de la reducción de emisiones de gases de efecto invernadero y de la seguridad del abastecimiento e</w:t>
      </w:r>
      <w:r>
        <w:rPr>
          <w:rFonts w:ascii="Arial" w:eastAsia="Times New Roman" w:hAnsi="Arial"/>
          <w:i/>
          <w:sz w:val="24"/>
          <w:szCs w:val="24"/>
          <w:lang w:eastAsia="es-CO"/>
        </w:rPr>
        <w:t>nergético”.</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 xml:space="preserve">Y es que las reservas, cada vez más agotadas, de las fuentes tradicionales de energía (combustibles fósiles) han puesto sobre el tapete la inminente necesidad de encontrar soluciones alternativas a la producción energética, especialmente </w:t>
      </w:r>
      <w:r>
        <w:rPr>
          <w:rFonts w:ascii="Arial" w:eastAsia="Times New Roman" w:hAnsi="Arial"/>
          <w:b/>
          <w:i/>
          <w:sz w:val="24"/>
          <w:szCs w:val="24"/>
          <w:lang w:eastAsia="es-CO"/>
        </w:rPr>
        <w:t>aquellas que aprovechan recursos naturales como el viento, el sol, ríos y mares, material orgánico de plantas o el calor interior de la tierra, entre otros.</w:t>
      </w:r>
    </w:p>
    <w:p w:rsidR="00F702BF" w:rsidRDefault="00F702BF">
      <w:pPr>
        <w:spacing w:after="0" w:line="240" w:lineRule="auto"/>
        <w:jc w:val="both"/>
        <w:rPr>
          <w:rFonts w:ascii="Arial" w:eastAsia="Times New Roman" w:hAnsi="Arial"/>
          <w:b/>
          <w:i/>
          <w:sz w:val="24"/>
          <w:szCs w:val="24"/>
          <w:lang w:eastAsia="es-CO"/>
        </w:rPr>
      </w:pPr>
    </w:p>
    <w:p w:rsidR="00F702BF" w:rsidRDefault="00F0380A">
      <w:pPr>
        <w:spacing w:after="0" w:line="240" w:lineRule="auto"/>
        <w:jc w:val="both"/>
      </w:pPr>
      <w:r>
        <w:rPr>
          <w:rFonts w:ascii="Arial" w:eastAsia="Times New Roman" w:hAnsi="Arial"/>
          <w:i/>
          <w:sz w:val="24"/>
          <w:szCs w:val="24"/>
          <w:lang w:eastAsia="es-CO"/>
        </w:rPr>
        <w:t>Para Empresas Públicas de Medellín (EPM), “Colombia tiene la ventaja de contar con un enorme poten</w:t>
      </w:r>
      <w:r>
        <w:rPr>
          <w:rFonts w:ascii="Arial" w:eastAsia="Times New Roman" w:hAnsi="Arial"/>
          <w:i/>
          <w:sz w:val="24"/>
          <w:szCs w:val="24"/>
          <w:lang w:eastAsia="es-CO"/>
        </w:rPr>
        <w:t>cial para el aprovechamiento de energías renovables en el campo hidroeléctrico, gracias a su riqueza en fuentes de agua en gran parte de su territorio. De hecho, hoy, cerca del 80% de su sistema de generación proviene de ellas, lo que le permite disponer d</w:t>
      </w:r>
      <w:r>
        <w:rPr>
          <w:rFonts w:ascii="Arial" w:eastAsia="Times New Roman" w:hAnsi="Arial"/>
          <w:i/>
          <w:sz w:val="24"/>
          <w:szCs w:val="24"/>
          <w:lang w:eastAsia="es-CO"/>
        </w:rPr>
        <w:t xml:space="preserve">e una energía almacenable, económica, firme y confiable”, a lo que agrega que, </w:t>
      </w:r>
      <w:r>
        <w:rPr>
          <w:rFonts w:ascii="Arial" w:eastAsia="Times New Roman" w:hAnsi="Arial"/>
          <w:b/>
          <w:i/>
          <w:sz w:val="24"/>
          <w:szCs w:val="24"/>
          <w:lang w:eastAsia="es-CO"/>
        </w:rPr>
        <w:t>“por su estratégica posición en el trópico y en el sistema montañoso de los Andes, tiene un potencial en energías como la eólica, la solar y la geotérmica”.</w:t>
      </w:r>
    </w:p>
    <w:p w:rsidR="00F702BF" w:rsidRDefault="00F0380A">
      <w:pPr>
        <w:spacing w:after="0" w:line="240" w:lineRule="auto"/>
        <w:jc w:val="both"/>
      </w:pPr>
      <w:r>
        <w:rPr>
          <w:rFonts w:ascii="Arial" w:eastAsia="Times New Roman" w:hAnsi="Arial"/>
          <w:i/>
          <w:sz w:val="24"/>
          <w:szCs w:val="24"/>
          <w:lang w:eastAsia="es-CO"/>
        </w:rPr>
        <w:lastRenderedPageBreak/>
        <w:t>Según la Unidad de P</w:t>
      </w:r>
      <w:r>
        <w:rPr>
          <w:rFonts w:ascii="Arial" w:eastAsia="Times New Roman" w:hAnsi="Arial"/>
          <w:i/>
          <w:sz w:val="24"/>
          <w:szCs w:val="24"/>
          <w:lang w:eastAsia="es-CO"/>
        </w:rPr>
        <w:t xml:space="preserve">laneación Nacional Minero Energética (Upme), </w:t>
      </w:r>
      <w:r>
        <w:rPr>
          <w:rFonts w:ascii="Arial" w:eastAsia="Times New Roman" w:hAnsi="Arial"/>
          <w:b/>
          <w:i/>
          <w:sz w:val="24"/>
          <w:szCs w:val="24"/>
          <w:lang w:eastAsia="es-CO"/>
        </w:rPr>
        <w:t>las energías renovables cubren actualmente cerca del 20% del consumo mundial de electricidad,</w:t>
      </w:r>
      <w:r>
        <w:rPr>
          <w:rFonts w:ascii="Arial" w:eastAsia="Times New Roman" w:hAnsi="Arial"/>
          <w:i/>
          <w:sz w:val="24"/>
          <w:szCs w:val="24"/>
          <w:lang w:eastAsia="es-CO"/>
        </w:rPr>
        <w:t xml:space="preserve"> lo que para el sector es muy importante, como lo manifestó a Portafolio TV, Arturo Quirós Boada, presidente de la Cám</w:t>
      </w:r>
      <w:r>
        <w:rPr>
          <w:rFonts w:ascii="Arial" w:eastAsia="Times New Roman" w:hAnsi="Arial"/>
          <w:i/>
          <w:sz w:val="24"/>
          <w:szCs w:val="24"/>
          <w:lang w:eastAsia="es-CO"/>
        </w:rPr>
        <w:t xml:space="preserve">ara Colombiana de Energía, </w:t>
      </w:r>
      <w:r>
        <w:rPr>
          <w:rFonts w:ascii="Arial" w:eastAsia="Times New Roman" w:hAnsi="Arial"/>
          <w:b/>
          <w:i/>
          <w:sz w:val="24"/>
          <w:szCs w:val="24"/>
          <w:lang w:eastAsia="es-CO"/>
        </w:rPr>
        <w:t>“vamos a tener posibilidades de contar con un sistema mucho más eficiente, que pueda ser utilizado de mejor forma para que cuando vengan eventos como el fenómeno del niño, tengamos la suficiente capacidad instalada para sobrellev</w:t>
      </w:r>
      <w:r>
        <w:rPr>
          <w:rFonts w:ascii="Arial" w:eastAsia="Times New Roman" w:hAnsi="Arial"/>
          <w:b/>
          <w:i/>
          <w:sz w:val="24"/>
          <w:szCs w:val="24"/>
          <w:lang w:eastAsia="es-CO"/>
        </w:rPr>
        <w:t>ar situaciones de esa clase”</w:t>
      </w:r>
      <w:r>
        <w:rPr>
          <w:rFonts w:ascii="Arial" w:eastAsia="Times New Roman" w:hAnsi="Arial"/>
          <w:i/>
          <w:sz w:val="24"/>
          <w:szCs w:val="24"/>
          <w:lang w:eastAsia="es-CO"/>
        </w:rPr>
        <w:t>.</w:t>
      </w:r>
    </w:p>
    <w:p w:rsidR="00F702BF" w:rsidRDefault="00F702BF">
      <w:pPr>
        <w:spacing w:after="0" w:line="240" w:lineRule="auto"/>
        <w:jc w:val="both"/>
        <w:rPr>
          <w:rFonts w:ascii="Arial" w:hAnsi="Arial"/>
          <w:sz w:val="24"/>
          <w:szCs w:val="24"/>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EPM ha desarrollado el Parque Eólico Jepírachi, en La Guajira, el primer proyecto que Colombia registró oficialmente ante las Naciones Unidas para su estrategia de cambio climático. Ubicado en el municipio de Uribía, está con</w:t>
      </w:r>
      <w:r>
        <w:rPr>
          <w:rFonts w:ascii="Arial" w:eastAsia="Times New Roman" w:hAnsi="Arial"/>
          <w:i/>
          <w:sz w:val="24"/>
          <w:szCs w:val="24"/>
          <w:lang w:eastAsia="es-CO"/>
        </w:rPr>
        <w:t>formado por 15 aerogeneradores con una capacidad de 1.300 kW cada uno, para una capacidad instalada total de 19,5 MW de potencia nominal. Avanza también en investigaciones para la producción de biocombustibles que generen energía a partir de microalgas y j</w:t>
      </w:r>
      <w:r>
        <w:rPr>
          <w:rFonts w:ascii="Arial" w:eastAsia="Times New Roman" w:hAnsi="Arial"/>
          <w:i/>
          <w:sz w:val="24"/>
          <w:szCs w:val="24"/>
          <w:lang w:eastAsia="es-CO"/>
        </w:rPr>
        <w:t>atrofa, y en aprovechar el biogás en rellenos sanitarios.</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MÁS PROYECTOS CON FUENTES LIMPIAS</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 xml:space="preserve">Empresas Públicas de Medellín (EPM) del mismo modo lleva a cabo investigaciones en geotermia, en el Nevado del Ruiz, donde ha perforado un pozo exploratorio y se </w:t>
      </w:r>
      <w:r>
        <w:rPr>
          <w:rFonts w:ascii="Arial" w:eastAsia="Times New Roman" w:hAnsi="Arial"/>
          <w:i/>
          <w:sz w:val="24"/>
          <w:szCs w:val="24"/>
          <w:lang w:eastAsia="es-CO"/>
        </w:rPr>
        <w:t>realizan estudios que analizan su potencial energético.</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En un reciente foro de integración regional en energías renovables, organizado por el Instituto de Planificación y Promoción de Soluciones Energéticas para las Zonas No Interconectadas (Ipse), en Quib</w:t>
      </w:r>
      <w:r>
        <w:rPr>
          <w:rFonts w:ascii="Arial" w:eastAsia="Times New Roman" w:hAnsi="Arial"/>
          <w:i/>
          <w:sz w:val="24"/>
          <w:szCs w:val="24"/>
          <w:lang w:eastAsia="es-CO"/>
        </w:rPr>
        <w:t>dó (Chocó), representantes del Medio Baudó manifestaron su interés en presentar un proyecto para el aprovechamiento del bagazo de la caña, como materia prima para la generación de energía eléctrica, y así satisfacer la demanda de producción.</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Durante el eve</w:t>
      </w:r>
      <w:r>
        <w:rPr>
          <w:rFonts w:ascii="Arial" w:eastAsia="Times New Roman" w:hAnsi="Arial"/>
          <w:i/>
          <w:sz w:val="24"/>
          <w:szCs w:val="24"/>
          <w:lang w:eastAsia="es-CO"/>
        </w:rPr>
        <w:t>nto también se resaltaron proyectos como el híbrido solar diésel, que implementó el Ipse en Titumate, Unguía; microcentrales eléctricas y solares en Arusí y el Parque Nacional Utría, respectivamente, y la positiva perspectiva en el uso de biomasa para proy</w:t>
      </w:r>
      <w:r>
        <w:rPr>
          <w:rFonts w:ascii="Arial" w:eastAsia="Times New Roman" w:hAnsi="Arial"/>
          <w:i/>
          <w:sz w:val="24"/>
          <w:szCs w:val="24"/>
          <w:lang w:eastAsia="es-CO"/>
        </w:rPr>
        <w:t>ectos futuros.</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ASISTENCIA TÉCNICA PARA PRODUCIR ELECTRICIDAD</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El Programa de Energía Limpia para Colombia (CCEP, por sus siglas en inglés), de la Agencia de Estados Unidos para el Desarrollo Internacional (Usaid) apoya proyectos de desarrollo, asistencia t</w:t>
      </w:r>
      <w:r>
        <w:rPr>
          <w:rFonts w:ascii="Arial" w:eastAsia="Times New Roman" w:hAnsi="Arial"/>
          <w:i/>
          <w:sz w:val="24"/>
          <w:szCs w:val="24"/>
          <w:lang w:eastAsia="es-CO"/>
        </w:rPr>
        <w:t>écnica y financiamiento para estimular la inversión en la generación de electricidad con el uso de fuentes de energía renovable.</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pPr>
      <w:r>
        <w:rPr>
          <w:rFonts w:ascii="Arial" w:eastAsia="Times New Roman" w:hAnsi="Arial"/>
          <w:i/>
          <w:sz w:val="24"/>
          <w:szCs w:val="24"/>
          <w:lang w:eastAsia="es-CO"/>
        </w:rPr>
        <w:t>Entre ellos se destaca la implementación de un proyecto de biogás en Fredonia (Antioquia) con cerdos y porcinos para sustituir</w:t>
      </w:r>
      <w:r>
        <w:rPr>
          <w:rFonts w:ascii="Arial" w:eastAsia="Times New Roman" w:hAnsi="Arial"/>
          <w:i/>
          <w:sz w:val="24"/>
          <w:szCs w:val="24"/>
          <w:lang w:eastAsia="es-CO"/>
        </w:rPr>
        <w:t xml:space="preserve"> el consumo actual de gas licuado de petróleo (GLP) por biogás generado a partir de un sistema de digestión anaeróbica, que procesará el estiércol de cerdo, y cuyos principales beneficios son la reducción </w:t>
      </w:r>
      <w:r>
        <w:rPr>
          <w:rFonts w:ascii="Arial" w:eastAsia="Times New Roman" w:hAnsi="Arial"/>
          <w:i/>
          <w:sz w:val="24"/>
          <w:szCs w:val="24"/>
          <w:lang w:eastAsia="es-CO"/>
        </w:rPr>
        <w:lastRenderedPageBreak/>
        <w:t>de las emisiones de gases de efecto invernadero, el</w:t>
      </w:r>
      <w:r>
        <w:rPr>
          <w:rFonts w:ascii="Arial" w:eastAsia="Times New Roman" w:hAnsi="Arial"/>
          <w:i/>
          <w:sz w:val="24"/>
          <w:szCs w:val="24"/>
          <w:lang w:eastAsia="es-CO"/>
        </w:rPr>
        <w:t xml:space="preserve"> uso del sustrato obtenido en el digestor como fertilizante y el ahorro de consumo de GLP”. </w:t>
      </w:r>
      <w:r>
        <w:rPr>
          <w:rFonts w:ascii="Arial" w:eastAsia="Times New Roman" w:hAnsi="Arial"/>
          <w:sz w:val="24"/>
          <w:szCs w:val="24"/>
          <w:lang w:eastAsia="es-CO"/>
        </w:rPr>
        <w:t xml:space="preserve"> (Subrayado nuestro).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Dos años después de haber entrado en vigencia la Ley 1715 de 2014, se han incrementado los esfuerzos en el país en la generación de energías </w:t>
      </w:r>
      <w:r>
        <w:rPr>
          <w:rFonts w:ascii="Arial" w:eastAsia="Times New Roman" w:hAnsi="Arial"/>
          <w:sz w:val="24"/>
          <w:szCs w:val="24"/>
          <w:lang w:eastAsia="es-CO"/>
        </w:rPr>
        <w:t>renovables, tal como se aprecia en la siguiente publicación</w:t>
      </w:r>
      <w:r>
        <w:rPr>
          <w:rStyle w:val="Refdenotaalpie"/>
          <w:rFonts w:ascii="Arial" w:eastAsia="Times New Roman" w:hAnsi="Arial"/>
          <w:sz w:val="24"/>
          <w:szCs w:val="24"/>
          <w:lang w:eastAsia="es-CO"/>
        </w:rPr>
        <w:footnoteReference w:id="11"/>
      </w:r>
      <w:r>
        <w:rPr>
          <w:rFonts w:ascii="Arial" w:eastAsia="Times New Roman" w:hAnsi="Arial"/>
          <w:sz w:val="24"/>
          <w:szCs w:val="24"/>
          <w:lang w:eastAsia="es-CO"/>
        </w:rPr>
        <w:t>:</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“Autogeneradores : Grandes empresas como Cementos Argos, Cémex, Cartón de Colombia y Ecopetrol ya optaron por la autogeneración y cogeneración de energías alternativas (renovable</w:t>
      </w:r>
      <w:r>
        <w:rPr>
          <w:rFonts w:ascii="Arial" w:eastAsia="Times New Roman" w:hAnsi="Arial"/>
          <w:i/>
          <w:sz w:val="24"/>
          <w:szCs w:val="24"/>
          <w:lang w:eastAsia="es-CO"/>
        </w:rPr>
        <w:t>s y no renovables).</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 xml:space="preserve">Cementos Argos, por ejemplo, está generando el 85 por ciento de la energía que consume y le entregó al SIN unos 30 megavatios que, sumados al ahorro en sus instalaciones, implicaron el 10 por ciento de la meta de ahorro nacional. En la </w:t>
      </w:r>
      <w:r>
        <w:rPr>
          <w:rFonts w:ascii="Arial" w:eastAsia="Times New Roman" w:hAnsi="Arial"/>
          <w:i/>
          <w:sz w:val="24"/>
          <w:szCs w:val="24"/>
          <w:lang w:eastAsia="es-CO"/>
        </w:rPr>
        <w:t>recién inaugurada planta de Neiva, la empresa hace uso de la energía solar para iluminar las oficinas.</w:t>
      </w:r>
    </w:p>
    <w:p w:rsidR="00F702BF" w:rsidRDefault="00F0380A">
      <w:pPr>
        <w:spacing w:after="0" w:line="240" w:lineRule="auto"/>
        <w:jc w:val="both"/>
      </w:pPr>
      <w:r>
        <w:rPr>
          <w:rFonts w:ascii="Arial" w:eastAsia="Times New Roman" w:hAnsi="Arial"/>
          <w:i/>
          <w:sz w:val="24"/>
          <w:szCs w:val="24"/>
          <w:lang w:eastAsia="es-CO"/>
        </w:rPr>
        <w:t xml:space="preserve">Ecopetrol es otra de las empresas autogeneradoras. El grupo y sus socios y filiales le aportaron 57,5 megavatios al sistema, lo que equivale a menos del </w:t>
      </w:r>
      <w:r>
        <w:rPr>
          <w:rFonts w:ascii="Arial" w:eastAsia="Times New Roman" w:hAnsi="Arial"/>
          <w:i/>
          <w:sz w:val="24"/>
          <w:szCs w:val="24"/>
          <w:lang w:eastAsia="es-CO"/>
        </w:rPr>
        <w:t>uno por ciento del consumo diario nacional. Sus plantas están ubicadas en las refinerías de Barrancabermeja y Cartagena. Además, está construyendo 13 plantas de autogeneración en los campos de Cantagallo, Yariguí, Casabe, Tibú y El Centro, entre otros.</w:t>
      </w:r>
    </w:p>
    <w:p w:rsidR="00F702BF" w:rsidRDefault="00F0380A">
      <w:pPr>
        <w:spacing w:after="0" w:line="240" w:lineRule="auto"/>
        <w:jc w:val="both"/>
        <w:rPr>
          <w:rFonts w:ascii="Arial" w:eastAsia="Times New Roman" w:hAnsi="Arial"/>
          <w:i/>
          <w:sz w:val="24"/>
          <w:szCs w:val="24"/>
          <w:lang w:eastAsia="es-CO"/>
        </w:rPr>
      </w:pPr>
      <w:r>
        <w:rPr>
          <w:rFonts w:ascii="Arial" w:eastAsia="Times New Roman" w:hAnsi="Arial"/>
          <w:i/>
          <w:sz w:val="24"/>
          <w:szCs w:val="24"/>
          <w:lang w:eastAsia="es-CO"/>
        </w:rPr>
        <w:t>Asi</w:t>
      </w:r>
      <w:r>
        <w:rPr>
          <w:rFonts w:ascii="Arial" w:eastAsia="Times New Roman" w:hAnsi="Arial"/>
          <w:i/>
          <w:sz w:val="24"/>
          <w:szCs w:val="24"/>
          <w:lang w:eastAsia="es-CO"/>
        </w:rPr>
        <w:t xml:space="preserve">mismo, compañías dedicadas a la generación y comercialización de energía como Celsia, filial del Grupo Argos, están invirtiendo en proyectos de energías limpias. “Hace dos años, en nuestra sede en Yumbo construimos uno de los laboratorios de energía solar </w:t>
      </w:r>
      <w:r>
        <w:rPr>
          <w:rFonts w:ascii="Arial" w:eastAsia="Times New Roman" w:hAnsi="Arial"/>
          <w:i/>
          <w:sz w:val="24"/>
          <w:szCs w:val="24"/>
          <w:lang w:eastAsia="es-CO"/>
        </w:rPr>
        <w:t>más grande de Colombia. Hoy hemos instalado paneles en algunas ciudades de Colombia. Además, buscamos tener en el mediano plazo 250 megavatios instalados de energía solar en Colombia y Panamá en nuestras granjas solares”, señala la empresa.</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pPr>
      <w:r>
        <w:rPr>
          <w:rFonts w:ascii="Arial" w:eastAsia="Times New Roman" w:hAnsi="Arial"/>
          <w:b/>
          <w:i/>
          <w:sz w:val="24"/>
          <w:szCs w:val="24"/>
          <w:lang w:eastAsia="es-CO"/>
        </w:rPr>
        <w:t>Pero no solo l</w:t>
      </w:r>
      <w:r>
        <w:rPr>
          <w:rFonts w:ascii="Arial" w:eastAsia="Times New Roman" w:hAnsi="Arial"/>
          <w:b/>
          <w:i/>
          <w:sz w:val="24"/>
          <w:szCs w:val="24"/>
          <w:lang w:eastAsia="es-CO"/>
        </w:rPr>
        <w:t>as grandes compañías son autogeneradoras; las instituciones educativas, fundaciones sin ánimo de lucro y pequeñas empresas dedicadas a promover las energías no convencionales en Colombia también lo hacen. El Servicio Nacional de Aprendizaje (Sena), en alia</w:t>
      </w:r>
      <w:r>
        <w:rPr>
          <w:rFonts w:ascii="Arial" w:eastAsia="Times New Roman" w:hAnsi="Arial"/>
          <w:b/>
          <w:i/>
          <w:sz w:val="24"/>
          <w:szCs w:val="24"/>
          <w:lang w:eastAsia="es-CO"/>
        </w:rPr>
        <w:t>nza con la empresa Sunset Solar, instaló dos plantas fotovoltaicas: una en el Centro de Electricidad, Electrónica y Telecomunicaciones (Ceet) de Bogotá y la otra en el Centro Regional, en Puerto Carreño (Vichada).</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 xml:space="preserve">A su turno, organizaciones sin ánimo de </w:t>
      </w:r>
      <w:r>
        <w:rPr>
          <w:rFonts w:ascii="Arial" w:eastAsia="Times New Roman" w:hAnsi="Arial"/>
          <w:b/>
          <w:i/>
          <w:sz w:val="24"/>
          <w:szCs w:val="24"/>
          <w:lang w:eastAsia="es-CO"/>
        </w:rPr>
        <w:t xml:space="preserve">lucro como la Fundación Centro de Entrenamiento de Energías Renovables (Funcener) también están generando </w:t>
      </w:r>
      <w:r>
        <w:rPr>
          <w:rFonts w:ascii="Arial" w:eastAsia="Times New Roman" w:hAnsi="Arial"/>
          <w:b/>
          <w:i/>
          <w:sz w:val="24"/>
          <w:szCs w:val="24"/>
          <w:lang w:eastAsia="es-CO"/>
        </w:rPr>
        <w:lastRenderedPageBreak/>
        <w:t>su propia energía. Por ejemplo, su sede de operaciones es, en su mayoría, abastecida por paneles solares y una turbina eólica.</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Y si bien Colombia tien</w:t>
      </w:r>
      <w:r>
        <w:rPr>
          <w:rFonts w:ascii="Arial" w:eastAsia="Times New Roman" w:hAnsi="Arial"/>
          <w:b/>
          <w:i/>
          <w:sz w:val="24"/>
          <w:szCs w:val="24"/>
          <w:lang w:eastAsia="es-CO"/>
        </w:rPr>
        <w:t>e mucho por hacer para alcanzar a líderes en energías limpias, la Ley 1715 y la última resolución de la Creg son pasos para que el país las adopte.</w:t>
      </w:r>
    </w:p>
    <w:p w:rsidR="00F702BF" w:rsidRDefault="00F0380A">
      <w:pPr>
        <w:spacing w:after="0" w:line="240" w:lineRule="auto"/>
        <w:jc w:val="both"/>
      </w:pPr>
      <w:r>
        <w:rPr>
          <w:rFonts w:ascii="Arial" w:eastAsia="Times New Roman" w:hAnsi="Arial"/>
          <w:i/>
          <w:sz w:val="24"/>
          <w:szCs w:val="24"/>
          <w:lang w:eastAsia="es-CO"/>
        </w:rPr>
        <w:t>(…)</w:t>
      </w:r>
    </w:p>
    <w:p w:rsidR="00F702BF" w:rsidRDefault="00F0380A">
      <w:pPr>
        <w:spacing w:after="0" w:line="240" w:lineRule="auto"/>
        <w:jc w:val="both"/>
        <w:rPr>
          <w:rFonts w:ascii="Arial" w:eastAsia="Times New Roman" w:hAnsi="Arial"/>
          <w:b/>
          <w:i/>
          <w:sz w:val="24"/>
          <w:szCs w:val="24"/>
          <w:lang w:eastAsia="es-CO"/>
        </w:rPr>
      </w:pPr>
      <w:r>
        <w:rPr>
          <w:rFonts w:ascii="Arial" w:eastAsia="Times New Roman" w:hAnsi="Arial"/>
          <w:b/>
          <w:i/>
          <w:sz w:val="24"/>
          <w:szCs w:val="24"/>
          <w:lang w:eastAsia="es-CO"/>
        </w:rPr>
        <w:t>Las zonas con los niveles más altos de radiación solar, como Cartagena o La Guajira, están implementando</w:t>
      </w:r>
      <w:r>
        <w:rPr>
          <w:rFonts w:ascii="Arial" w:eastAsia="Times New Roman" w:hAnsi="Arial"/>
          <w:b/>
          <w:i/>
          <w:sz w:val="24"/>
          <w:szCs w:val="24"/>
          <w:lang w:eastAsia="es-CO"/>
        </w:rPr>
        <w:t xml:space="preserve"> soluciones energéticas como la que instaló la Policía Metropolitana en Playa Blanca, en la isla de Barú. Pero no solo las instituciones tienen la responsabilidad de implementar alternativas limpias en el país, pues los hogares también pueden generar su pr</w:t>
      </w:r>
      <w:r>
        <w:rPr>
          <w:rFonts w:ascii="Arial" w:eastAsia="Times New Roman" w:hAnsi="Arial"/>
          <w:b/>
          <w:i/>
          <w:sz w:val="24"/>
          <w:szCs w:val="24"/>
          <w:lang w:eastAsia="es-CO"/>
        </w:rPr>
        <w:t xml:space="preserve">opia energía desde su vivienda. “Mi casa funciona 100 por ciento con energía solar. Todos los días recibo uno o dos vecinos que vienen a preguntarme por la energía solar. Es aprovechar nuestras azoteas para generar nuestra propia energía; se puede empezar </w:t>
      </w:r>
      <w:r>
        <w:rPr>
          <w:rFonts w:ascii="Arial" w:eastAsia="Times New Roman" w:hAnsi="Arial"/>
          <w:b/>
          <w:i/>
          <w:sz w:val="24"/>
          <w:szCs w:val="24"/>
          <w:lang w:eastAsia="es-CO"/>
        </w:rPr>
        <w:t>desde las luces de la casa, o de la vereda, e ir aumentando el sistema para terminar como mi casa, que se alimenta completamente de energías limpias”, cuenta Hugo Serrano, propietario de una casa autosostenible y fundador de la empresa Fuera de Red.</w:t>
      </w:r>
    </w:p>
    <w:p w:rsidR="00F702BF" w:rsidRDefault="00F0380A">
      <w:pPr>
        <w:spacing w:after="0" w:line="240" w:lineRule="auto"/>
        <w:jc w:val="both"/>
      </w:pPr>
      <w:r>
        <w:rPr>
          <w:rFonts w:ascii="Arial" w:eastAsia="Times New Roman" w:hAnsi="Arial"/>
          <w:b/>
          <w:i/>
          <w:sz w:val="24"/>
          <w:szCs w:val="24"/>
          <w:lang w:eastAsia="es-CO"/>
        </w:rPr>
        <w:t>La gen</w:t>
      </w:r>
      <w:r>
        <w:rPr>
          <w:rFonts w:ascii="Arial" w:eastAsia="Times New Roman" w:hAnsi="Arial"/>
          <w:b/>
          <w:i/>
          <w:sz w:val="24"/>
          <w:szCs w:val="24"/>
          <w:lang w:eastAsia="es-CO"/>
        </w:rPr>
        <w:t>eración distribuida se trata de eso, de que cada uno produzca energía en casa y que los excedentes vayan a la red eléctrica para así contribuir a un sistema más eficiente”.</w:t>
      </w:r>
      <w:r>
        <w:rPr>
          <w:rFonts w:ascii="Arial" w:eastAsia="Times New Roman" w:hAnsi="Arial"/>
          <w:i/>
          <w:sz w:val="24"/>
          <w:szCs w:val="24"/>
          <w:lang w:eastAsia="es-CO"/>
        </w:rPr>
        <w:t xml:space="preserve"> </w:t>
      </w:r>
      <w:r>
        <w:rPr>
          <w:rFonts w:ascii="Arial" w:eastAsia="Times New Roman" w:hAnsi="Arial"/>
          <w:sz w:val="24"/>
          <w:szCs w:val="24"/>
          <w:lang w:eastAsia="es-CO"/>
        </w:rPr>
        <w:t>(Subrayado nuestro).</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pPr>
      <w:r>
        <w:rPr>
          <w:rFonts w:ascii="Arial" w:eastAsia="Times New Roman" w:hAnsi="Arial"/>
          <w:sz w:val="24"/>
          <w:szCs w:val="24"/>
          <w:lang w:eastAsia="es-CO"/>
        </w:rPr>
        <w:t>En este punto consideramos de gran importancia destacar el an</w:t>
      </w:r>
      <w:r>
        <w:rPr>
          <w:rFonts w:ascii="Arial" w:eastAsia="Times New Roman" w:hAnsi="Arial"/>
          <w:sz w:val="24"/>
          <w:szCs w:val="24"/>
          <w:lang w:eastAsia="es-CO"/>
        </w:rPr>
        <w:t xml:space="preserve">uncio formulado por el </w:t>
      </w:r>
      <w:r>
        <w:rPr>
          <w:rFonts w:ascii="Arial" w:hAnsi="Arial"/>
          <w:sz w:val="24"/>
          <w:szCs w:val="24"/>
        </w:rPr>
        <w:t>ministro de Ambiente y Desarrollo Sostenible, Luis Gilberto Murillo, a propósito de una de estas regiones</w:t>
      </w:r>
      <w:r>
        <w:rPr>
          <w:rStyle w:val="Refdenotaalpie"/>
          <w:rFonts w:ascii="Arial" w:hAnsi="Arial"/>
          <w:sz w:val="24"/>
          <w:szCs w:val="24"/>
        </w:rPr>
        <w:footnoteReference w:id="12"/>
      </w:r>
      <w:r>
        <w:rPr>
          <w:rFonts w:ascii="Arial" w:hAnsi="Arial"/>
          <w:sz w:val="24"/>
          <w:szCs w:val="24"/>
        </w:rPr>
        <w:t>:</w:t>
      </w:r>
      <w:r>
        <w:rPr>
          <w:rFonts w:ascii="Arial" w:eastAsia="Times New Roman" w:hAnsi="Arial"/>
          <w:sz w:val="24"/>
          <w:szCs w:val="24"/>
          <w:lang w:eastAsia="es-CO"/>
        </w:rPr>
        <w:t xml:space="preserve"> </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hAnsi="Arial"/>
          <w:b/>
          <w:i/>
          <w:sz w:val="24"/>
          <w:szCs w:val="24"/>
        </w:rPr>
      </w:pPr>
      <w:r>
        <w:rPr>
          <w:rFonts w:ascii="Arial" w:hAnsi="Arial"/>
          <w:b/>
          <w:i/>
          <w:sz w:val="24"/>
          <w:szCs w:val="24"/>
        </w:rPr>
        <w:t xml:space="preserve">“En materia de energía eólica y solar, el departamento de La Guajira dobla el promedio que se tiene de oferta </w:t>
      </w:r>
      <w:r>
        <w:rPr>
          <w:rFonts w:ascii="Arial" w:hAnsi="Arial"/>
          <w:b/>
          <w:i/>
          <w:sz w:val="24"/>
          <w:szCs w:val="24"/>
        </w:rPr>
        <w:t>de este recurso en el resto del mundo, mientras que en Suramérica es de las áreas con mayor potencial, según lo señaló el ministro de Ambiente y Desarrollo Sostenible, Luis Gilberto Murillo.</w:t>
      </w:r>
    </w:p>
    <w:p w:rsidR="00F702BF" w:rsidRDefault="00F0380A">
      <w:pPr>
        <w:spacing w:after="0" w:line="240" w:lineRule="auto"/>
        <w:jc w:val="both"/>
      </w:pPr>
      <w:r>
        <w:rPr>
          <w:rFonts w:ascii="Arial" w:hAnsi="Arial"/>
          <w:b/>
          <w:i/>
          <w:sz w:val="24"/>
          <w:szCs w:val="24"/>
        </w:rPr>
        <w:t>“Si nosotros nos propusiéramos, La Guajira pudiese generar de fue</w:t>
      </w:r>
      <w:r>
        <w:rPr>
          <w:rFonts w:ascii="Arial" w:hAnsi="Arial"/>
          <w:b/>
          <w:i/>
          <w:sz w:val="24"/>
          <w:szCs w:val="24"/>
        </w:rPr>
        <w:t>ntes no convencionales de energía no renovables, toda la energía del país.</w:t>
      </w:r>
      <w:r>
        <w:rPr>
          <w:rFonts w:ascii="Arial" w:hAnsi="Arial"/>
          <w:i/>
          <w:sz w:val="24"/>
          <w:szCs w:val="24"/>
        </w:rPr>
        <w:t xml:space="preserve"> Pero, hay unas barreras que las estamos trabajando, algunas regulatorias y otras de infraestructura”, sostuvo Murillo.</w:t>
      </w:r>
    </w:p>
    <w:p w:rsidR="00F702BF" w:rsidRDefault="00F0380A">
      <w:pPr>
        <w:spacing w:after="0" w:line="240" w:lineRule="auto"/>
        <w:jc w:val="both"/>
        <w:rPr>
          <w:rFonts w:ascii="Arial" w:hAnsi="Arial"/>
          <w:i/>
          <w:sz w:val="24"/>
          <w:szCs w:val="24"/>
        </w:rPr>
      </w:pPr>
      <w:r>
        <w:rPr>
          <w:rFonts w:ascii="Arial" w:hAnsi="Arial"/>
          <w:i/>
          <w:sz w:val="24"/>
          <w:szCs w:val="24"/>
        </w:rPr>
        <w:t>De acuerdo a lo expresado, las barreras financieras y tecnológ</w:t>
      </w:r>
      <w:r>
        <w:rPr>
          <w:rFonts w:ascii="Arial" w:hAnsi="Arial"/>
          <w:i/>
          <w:sz w:val="24"/>
          <w:szCs w:val="24"/>
        </w:rPr>
        <w:t>icas han sido superadas, existen recursos y la gente quiere invertir.</w:t>
      </w:r>
    </w:p>
    <w:p w:rsidR="00F702BF" w:rsidRDefault="00F0380A">
      <w:pPr>
        <w:spacing w:after="0" w:line="240" w:lineRule="auto"/>
        <w:jc w:val="both"/>
        <w:rPr>
          <w:rFonts w:ascii="Arial" w:hAnsi="Arial"/>
          <w:i/>
          <w:sz w:val="24"/>
          <w:szCs w:val="24"/>
        </w:rPr>
      </w:pPr>
      <w:r>
        <w:rPr>
          <w:rFonts w:ascii="Arial" w:hAnsi="Arial"/>
          <w:i/>
          <w:sz w:val="24"/>
          <w:szCs w:val="24"/>
        </w:rPr>
        <w:lastRenderedPageBreak/>
        <w:t>Unas siete empresas están interesadas en el tema y se encuentran tramitando sus solicitudes ante la Autoridad Nacional de Licencias Ambientales, ANLA, entre las que se encuentran Epm, Is</w:t>
      </w:r>
      <w:r>
        <w:rPr>
          <w:rFonts w:ascii="Arial" w:hAnsi="Arial"/>
          <w:i/>
          <w:sz w:val="24"/>
          <w:szCs w:val="24"/>
        </w:rPr>
        <w:t>agen y la firma italiana Enel.</w:t>
      </w:r>
    </w:p>
    <w:p w:rsidR="00F702BF" w:rsidRDefault="00F0380A">
      <w:pPr>
        <w:spacing w:after="0" w:line="240" w:lineRule="auto"/>
        <w:jc w:val="both"/>
        <w:rPr>
          <w:rFonts w:ascii="Arial" w:hAnsi="Arial"/>
          <w:i/>
          <w:sz w:val="24"/>
          <w:szCs w:val="24"/>
        </w:rPr>
      </w:pPr>
      <w:r>
        <w:rPr>
          <w:rFonts w:ascii="Arial" w:hAnsi="Arial"/>
          <w:i/>
          <w:sz w:val="24"/>
          <w:szCs w:val="24"/>
        </w:rPr>
        <w:t>“Hay siete proyectos de empresas muy importantes que quisieran generar acá, inclusive eso va entre los 1.800 a 2000 megavatios de solicitudes, ahí hay un enorme potencial para La Guajira”, puntualizó.</w:t>
      </w:r>
    </w:p>
    <w:p w:rsidR="00F702BF" w:rsidRDefault="00F0380A">
      <w:pPr>
        <w:spacing w:after="0" w:line="240" w:lineRule="auto"/>
        <w:jc w:val="both"/>
        <w:rPr>
          <w:rFonts w:ascii="Arial" w:hAnsi="Arial"/>
          <w:i/>
          <w:sz w:val="24"/>
          <w:szCs w:val="24"/>
        </w:rPr>
      </w:pPr>
      <w:r>
        <w:rPr>
          <w:rFonts w:ascii="Arial" w:hAnsi="Arial"/>
          <w:i/>
          <w:sz w:val="24"/>
          <w:szCs w:val="24"/>
        </w:rPr>
        <w:t>Así mismo, también exist</w:t>
      </w:r>
      <w:r>
        <w:rPr>
          <w:rFonts w:ascii="Arial" w:hAnsi="Arial"/>
          <w:i/>
          <w:sz w:val="24"/>
          <w:szCs w:val="24"/>
        </w:rPr>
        <w:t>en otros proyectos menores, cuyos procesos de licenciamiento cursan en la Corporación Autónoma Regional de La Guajira, Corpoguajira.</w:t>
      </w:r>
    </w:p>
    <w:p w:rsidR="00F702BF" w:rsidRDefault="00F0380A">
      <w:pPr>
        <w:spacing w:after="0" w:line="240" w:lineRule="auto"/>
        <w:jc w:val="both"/>
        <w:rPr>
          <w:rFonts w:ascii="Arial" w:hAnsi="Arial"/>
          <w:i/>
          <w:sz w:val="24"/>
          <w:szCs w:val="24"/>
        </w:rPr>
      </w:pPr>
      <w:r>
        <w:rPr>
          <w:rFonts w:ascii="Arial" w:hAnsi="Arial"/>
          <w:i/>
          <w:sz w:val="24"/>
          <w:szCs w:val="24"/>
        </w:rPr>
        <w:t>Una de las barreras es la de interconexión, para que la energía pueda salir de La Guajira y la más importante, es la social</w:t>
      </w:r>
      <w:r>
        <w:rPr>
          <w:rFonts w:ascii="Arial" w:hAnsi="Arial"/>
          <w:i/>
          <w:sz w:val="24"/>
          <w:szCs w:val="24"/>
        </w:rPr>
        <w:t xml:space="preserve"> en el tema de equidad en el acceso y uso de los recursos naturales, en unas zonas en donde las esperanzas para que llegue la energía convencional son remotas.</w:t>
      </w:r>
    </w:p>
    <w:p w:rsidR="00F702BF" w:rsidRDefault="00F702BF">
      <w:pPr>
        <w:spacing w:after="0" w:line="240" w:lineRule="auto"/>
        <w:jc w:val="both"/>
        <w:rPr>
          <w:rFonts w:ascii="Arial" w:hAnsi="Arial"/>
          <w:i/>
          <w:sz w:val="24"/>
          <w:szCs w:val="24"/>
        </w:rPr>
      </w:pPr>
    </w:p>
    <w:p w:rsidR="00F702BF" w:rsidRDefault="00F0380A">
      <w:pPr>
        <w:spacing w:after="0" w:line="240" w:lineRule="auto"/>
        <w:jc w:val="both"/>
        <w:rPr>
          <w:rFonts w:ascii="Arial" w:hAnsi="Arial"/>
          <w:b/>
          <w:i/>
          <w:sz w:val="24"/>
          <w:szCs w:val="24"/>
        </w:rPr>
      </w:pPr>
      <w:r>
        <w:rPr>
          <w:rFonts w:ascii="Arial" w:hAnsi="Arial"/>
          <w:b/>
          <w:i/>
          <w:sz w:val="24"/>
          <w:szCs w:val="24"/>
        </w:rPr>
        <w:t>“Se tiene que pensar en un esquema en donde las comunidades, el departamento y el municipio pue</w:t>
      </w:r>
      <w:r>
        <w:rPr>
          <w:rFonts w:ascii="Arial" w:hAnsi="Arial"/>
          <w:b/>
          <w:i/>
          <w:sz w:val="24"/>
          <w:szCs w:val="24"/>
        </w:rPr>
        <w:t>dan participar de manera justa con regalías de eso que se va a generar y evitar ejemplos indeseables, aberrantes como: el de usted genera energía, pero las comunidades de alrededor no la tienen, eso no puede suceder en el país”, aseguró Murillo.</w:t>
      </w:r>
    </w:p>
    <w:p w:rsidR="00F702BF" w:rsidRDefault="00F0380A">
      <w:pPr>
        <w:spacing w:after="0" w:line="240" w:lineRule="auto"/>
        <w:jc w:val="both"/>
        <w:rPr>
          <w:rFonts w:ascii="Arial" w:hAnsi="Arial"/>
          <w:i/>
          <w:sz w:val="24"/>
          <w:szCs w:val="24"/>
        </w:rPr>
      </w:pPr>
      <w:r>
        <w:rPr>
          <w:rFonts w:ascii="Arial" w:hAnsi="Arial"/>
          <w:i/>
          <w:sz w:val="24"/>
          <w:szCs w:val="24"/>
        </w:rPr>
        <w:t>Por lo que</w:t>
      </w:r>
      <w:r>
        <w:rPr>
          <w:rFonts w:ascii="Arial" w:hAnsi="Arial"/>
          <w:i/>
          <w:sz w:val="24"/>
          <w:szCs w:val="24"/>
        </w:rPr>
        <w:t xml:space="preserve"> sugiere, se debe realizar un diálogo frecuente y sincero con las comunidades y que estos proyectos se construyan de la mano con ellas.</w:t>
      </w:r>
    </w:p>
    <w:p w:rsidR="00F702BF" w:rsidRDefault="00F0380A">
      <w:pPr>
        <w:spacing w:after="0" w:line="240" w:lineRule="auto"/>
        <w:jc w:val="both"/>
        <w:rPr>
          <w:rFonts w:ascii="Arial" w:hAnsi="Arial"/>
          <w:i/>
          <w:sz w:val="24"/>
          <w:szCs w:val="24"/>
        </w:rPr>
      </w:pPr>
      <w:r>
        <w:rPr>
          <w:rFonts w:ascii="Arial" w:hAnsi="Arial"/>
          <w:i/>
          <w:sz w:val="24"/>
          <w:szCs w:val="24"/>
        </w:rPr>
        <w:t>Santander también tiene potencial</w:t>
      </w:r>
    </w:p>
    <w:p w:rsidR="00F702BF" w:rsidRDefault="00F0380A">
      <w:pPr>
        <w:spacing w:after="0" w:line="240" w:lineRule="auto"/>
        <w:jc w:val="both"/>
        <w:rPr>
          <w:rFonts w:ascii="Arial" w:hAnsi="Arial"/>
          <w:i/>
          <w:sz w:val="24"/>
          <w:szCs w:val="24"/>
        </w:rPr>
      </w:pPr>
      <w:r>
        <w:rPr>
          <w:rFonts w:ascii="Arial" w:hAnsi="Arial"/>
          <w:i/>
          <w:sz w:val="24"/>
          <w:szCs w:val="24"/>
        </w:rPr>
        <w:t xml:space="preserve">El departamento de Santander, también cuenta con un alto potencial. Las posibilidades </w:t>
      </w:r>
      <w:r>
        <w:rPr>
          <w:rFonts w:ascii="Arial" w:hAnsi="Arial"/>
          <w:i/>
          <w:sz w:val="24"/>
          <w:szCs w:val="24"/>
        </w:rPr>
        <w:t>de energías renovables más cercanas en nuestro país están en la eólica, solar, biomasa y geotérmica.</w:t>
      </w:r>
    </w:p>
    <w:p w:rsidR="00F702BF" w:rsidRDefault="00F0380A">
      <w:pPr>
        <w:spacing w:after="0" w:line="240" w:lineRule="auto"/>
        <w:jc w:val="both"/>
      </w:pPr>
      <w:r>
        <w:rPr>
          <w:rFonts w:ascii="Arial" w:hAnsi="Arial"/>
          <w:i/>
          <w:sz w:val="24"/>
          <w:szCs w:val="24"/>
        </w:rPr>
        <w:t xml:space="preserve">Finalmente, señala el funcionario que La Guajira deberá moverse poco a poco del sector minero hacia el sector de energía de fuentes no convencionales como </w:t>
      </w:r>
      <w:r>
        <w:rPr>
          <w:rFonts w:ascii="Arial" w:hAnsi="Arial"/>
          <w:i/>
          <w:sz w:val="24"/>
          <w:szCs w:val="24"/>
        </w:rPr>
        <w:t>eólica y solar”.</w:t>
      </w:r>
      <w:r>
        <w:rPr>
          <w:rFonts w:ascii="Arial" w:eastAsia="Times New Roman" w:hAnsi="Arial"/>
          <w:sz w:val="24"/>
          <w:szCs w:val="24"/>
          <w:lang w:eastAsia="es-CO"/>
        </w:rPr>
        <w:t xml:space="preserve"> (Subrayado nuestro).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El siguiente es el inventario de proyectos de generación que se adelantan en el país con base en energías renovables</w:t>
      </w:r>
      <w:r>
        <w:rPr>
          <w:rStyle w:val="Refdenotaalpie"/>
          <w:rFonts w:ascii="Arial" w:eastAsia="Times New Roman" w:hAnsi="Arial"/>
          <w:sz w:val="24"/>
          <w:szCs w:val="24"/>
          <w:lang w:eastAsia="es-CO"/>
        </w:rPr>
        <w:footnoteReference w:id="13"/>
      </w:r>
      <w:r>
        <w:rPr>
          <w:rFonts w:ascii="Arial" w:eastAsia="Times New Roman" w:hAnsi="Arial"/>
          <w:sz w:val="24"/>
          <w:szCs w:val="24"/>
          <w:lang w:eastAsia="es-CO"/>
        </w:rPr>
        <w:t>: cerca de 4.000 MW en 220 proyectos de generación y 39 en la fase 2 (estudios en estado avanzado) y 12 en fase 3 (empezando la con</w:t>
      </w:r>
      <w:r>
        <w:rPr>
          <w:rFonts w:ascii="Arial" w:eastAsia="Times New Roman" w:hAnsi="Arial"/>
          <w:sz w:val="24"/>
          <w:szCs w:val="24"/>
          <w:lang w:eastAsia="es-CO"/>
        </w:rPr>
        <w:t>strucción) (Ver Gráfica)</w:t>
      </w:r>
    </w:p>
    <w:p w:rsidR="00F702BF" w:rsidRDefault="00F702BF">
      <w:pPr>
        <w:pStyle w:val="Prrafodelista"/>
        <w:spacing w:after="0" w:line="240" w:lineRule="auto"/>
        <w:jc w:val="both"/>
        <w:rPr>
          <w:rFonts w:ascii="Arial" w:eastAsia="Times New Roman" w:hAnsi="Arial"/>
          <w:sz w:val="24"/>
          <w:szCs w:val="24"/>
          <w:lang w:eastAsia="es-CO"/>
        </w:rPr>
      </w:pPr>
    </w:p>
    <w:p w:rsidR="00F702BF" w:rsidRDefault="00F0380A">
      <w:pPr>
        <w:spacing w:after="0" w:line="240" w:lineRule="auto"/>
        <w:jc w:val="center"/>
      </w:pPr>
      <w:r>
        <w:rPr>
          <w:rFonts w:ascii="Arial" w:hAnsi="Arial"/>
          <w:noProof/>
          <w:sz w:val="24"/>
          <w:szCs w:val="24"/>
          <w:lang w:eastAsia="es-CO"/>
        </w:rPr>
        <w:lastRenderedPageBreak/>
        <w:drawing>
          <wp:inline distT="0" distB="0" distL="0" distR="0">
            <wp:extent cx="5515340" cy="3406368"/>
            <wp:effectExtent l="19050" t="19050" r="28210" b="22632"/>
            <wp:docPr id="6"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15340" cy="3406368"/>
                    </a:xfrm>
                    <a:prstGeom prst="rect">
                      <a:avLst/>
                    </a:prstGeom>
                    <a:noFill/>
                    <a:ln w="9528">
                      <a:solidFill>
                        <a:srgbClr val="5B9BD5"/>
                      </a:solidFill>
                      <a:prstDash val="solid"/>
                    </a:ln>
                  </pic:spPr>
                </pic:pic>
              </a:graphicData>
            </a:graphic>
          </wp:inline>
        </w:drawing>
      </w:r>
    </w:p>
    <w:p w:rsidR="00F702BF" w:rsidRDefault="00F0380A">
      <w:pPr>
        <w:pStyle w:val="Textonotapie"/>
        <w:jc w:val="center"/>
      </w:pPr>
      <w:r>
        <w:rPr>
          <w:rFonts w:ascii="Arial" w:eastAsia="Times New Roman" w:hAnsi="Arial"/>
          <w:sz w:val="24"/>
          <w:szCs w:val="24"/>
          <w:lang w:eastAsia="es-CO"/>
        </w:rPr>
        <w:t>Figura 5. Proyectos Generación energías renovables por fuente energética. Fuente: UPME</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Sin duda, el presente proyecto de Acto Legislativo le brindará grandes oportunidades a las regiones del país para que exploren estas </w:t>
      </w:r>
      <w:r>
        <w:rPr>
          <w:rFonts w:ascii="Arial" w:eastAsia="Times New Roman" w:hAnsi="Arial"/>
          <w:sz w:val="24"/>
          <w:szCs w:val="24"/>
          <w:lang w:eastAsia="es-CO"/>
        </w:rPr>
        <w:t xml:space="preserve">opciones de aprovechamiento de las energías renovables, en forma rigurosa en el marco de programas y proyectos serios de ciencia, tecnología e innovación. Aquí vale la pena invocar nuevamente las palabras del Ministro Murillo: </w:t>
      </w:r>
      <w:r>
        <w:rPr>
          <w:rFonts w:ascii="Arial" w:hAnsi="Arial"/>
          <w:b/>
          <w:i/>
          <w:sz w:val="24"/>
          <w:szCs w:val="24"/>
        </w:rPr>
        <w:t>“Se tiene que pensar en un es</w:t>
      </w:r>
      <w:r>
        <w:rPr>
          <w:rFonts w:ascii="Arial" w:hAnsi="Arial"/>
          <w:b/>
          <w:i/>
          <w:sz w:val="24"/>
          <w:szCs w:val="24"/>
        </w:rPr>
        <w:t>quema en donde las comunidades, el departamento y el municipio puedan participar de manera justa con regalías”.</w:t>
      </w:r>
    </w:p>
    <w:p w:rsidR="00F702BF" w:rsidRDefault="00F702BF">
      <w:pPr>
        <w:spacing w:after="0" w:line="240" w:lineRule="auto"/>
        <w:jc w:val="both"/>
        <w:rPr>
          <w:rFonts w:ascii="Arial" w:hAnsi="Arial"/>
          <w:sz w:val="24"/>
          <w:szCs w:val="24"/>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No obstante, estos aires de optimismo y este conjunto de anuncios prometedores, varios expertos en el sector están presionando una mayor acción</w:t>
      </w:r>
      <w:r>
        <w:rPr>
          <w:rFonts w:ascii="Arial" w:eastAsia="Times New Roman" w:hAnsi="Arial"/>
          <w:sz w:val="24"/>
          <w:szCs w:val="24"/>
          <w:lang w:eastAsia="es-CO"/>
        </w:rPr>
        <w:t xml:space="preserve"> del Gobierno Nacional en esta materia con el fin de suplir los déficits en el uso de recursos renovables en la generación de energía, y sobre todo, en el cumplimiento de los compromisos del país con los tratados de lucha contra el cambio climático.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pPr>
      <w:r>
        <w:rPr>
          <w:rFonts w:ascii="Arial" w:eastAsia="Times New Roman" w:hAnsi="Arial"/>
          <w:sz w:val="24"/>
          <w:szCs w:val="24"/>
          <w:lang w:eastAsia="es-CO"/>
        </w:rPr>
        <w:t>Al re</w:t>
      </w:r>
      <w:r>
        <w:rPr>
          <w:rFonts w:ascii="Arial" w:eastAsia="Times New Roman" w:hAnsi="Arial"/>
          <w:sz w:val="24"/>
          <w:szCs w:val="24"/>
          <w:lang w:eastAsia="es-CO"/>
        </w:rPr>
        <w:t xml:space="preserve">specto Guillermo Perry, plantea: </w:t>
      </w:r>
      <w:r>
        <w:rPr>
          <w:rFonts w:ascii="Arial" w:eastAsia="Times New Roman" w:hAnsi="Arial"/>
          <w:i/>
          <w:sz w:val="24"/>
          <w:szCs w:val="24"/>
          <w:lang w:eastAsia="es-CO"/>
        </w:rPr>
        <w:t>“Lo grave es que el Gobierno no tiene una política energética clara, como concluyó el pasado Congreso del Gas. Uribe hizo cambios  importantes  al principio (la ANH y la reforma de Ecopetrol),  pero luego su  gobierno  y lo</w:t>
      </w:r>
      <w:r>
        <w:rPr>
          <w:rFonts w:ascii="Arial" w:eastAsia="Times New Roman" w:hAnsi="Arial"/>
          <w:i/>
          <w:sz w:val="24"/>
          <w:szCs w:val="24"/>
          <w:lang w:eastAsia="es-CO"/>
        </w:rPr>
        <w:t>s de Santos  se  limitaron a reaccionar ante  las  amenazas  de racionamientos  en  épocas  del  Niño y a sacarle dividendos a Ecopetrol. Hasta que nos llegó la destorcida.</w:t>
      </w:r>
    </w:p>
    <w:p w:rsidR="00F702BF" w:rsidRDefault="00F0380A">
      <w:pPr>
        <w:spacing w:after="0" w:line="240" w:lineRule="auto"/>
        <w:jc w:val="both"/>
      </w:pPr>
      <w:r>
        <w:rPr>
          <w:rFonts w:ascii="Arial" w:eastAsia="Times New Roman" w:hAnsi="Arial"/>
          <w:i/>
          <w:sz w:val="24"/>
          <w:szCs w:val="24"/>
          <w:lang w:eastAsia="es-CO"/>
        </w:rPr>
        <w:lastRenderedPageBreak/>
        <w:t xml:space="preserve"> </w:t>
      </w:r>
      <w:r>
        <w:rPr>
          <w:rFonts w:ascii="Arial" w:eastAsia="Times New Roman" w:hAnsi="Arial"/>
          <w:i/>
          <w:sz w:val="24"/>
          <w:szCs w:val="24"/>
          <w:lang w:eastAsia="es-CO"/>
        </w:rPr>
        <w:br/>
      </w:r>
      <w:r>
        <w:rPr>
          <w:rFonts w:ascii="Arial" w:eastAsia="Times New Roman" w:hAnsi="Arial"/>
          <w:i/>
          <w:sz w:val="24"/>
          <w:szCs w:val="24"/>
          <w:lang w:eastAsia="es-CO"/>
        </w:rPr>
        <w:t>Ecopetrol y otras empresas públicas y privadas que operan en estas actividades so</w:t>
      </w:r>
      <w:r>
        <w:rPr>
          <w:rFonts w:ascii="Arial" w:eastAsia="Times New Roman" w:hAnsi="Arial"/>
          <w:i/>
          <w:sz w:val="24"/>
          <w:szCs w:val="24"/>
          <w:lang w:eastAsia="es-CO"/>
        </w:rPr>
        <w:t>n muy competentes y han hecho esfuerzos grandes. Pero necesitan definiciones claras y oportunas del Ministerio y de la Creg. La lista de decisiones pendientes incluye:</w:t>
      </w:r>
    </w:p>
    <w:p w:rsidR="00F702BF" w:rsidRDefault="00F702BF">
      <w:pPr>
        <w:spacing w:after="0" w:line="240" w:lineRule="auto"/>
        <w:jc w:val="both"/>
        <w:rPr>
          <w:rFonts w:ascii="Arial" w:eastAsia="Times New Roman" w:hAnsi="Arial"/>
          <w:i/>
          <w:sz w:val="24"/>
          <w:szCs w:val="24"/>
          <w:lang w:eastAsia="es-CO"/>
        </w:rPr>
      </w:pPr>
    </w:p>
    <w:p w:rsidR="00F702BF" w:rsidRDefault="00F0380A">
      <w:pPr>
        <w:spacing w:after="0" w:line="240" w:lineRule="auto"/>
        <w:jc w:val="both"/>
      </w:pPr>
      <w:r>
        <w:rPr>
          <w:rFonts w:ascii="Arial" w:eastAsia="Times New Roman" w:hAnsi="Arial"/>
          <w:b/>
          <w:i/>
          <w:sz w:val="24"/>
          <w:szCs w:val="24"/>
          <w:lang w:eastAsia="es-CO"/>
        </w:rPr>
        <w:t>1) ¿Qué tanta energía eléctrica debemos generar con energía eólica y solar? ¡Ojo con es</w:t>
      </w:r>
      <w:r>
        <w:rPr>
          <w:rFonts w:ascii="Arial" w:eastAsia="Times New Roman" w:hAnsi="Arial"/>
          <w:b/>
          <w:i/>
          <w:sz w:val="24"/>
          <w:szCs w:val="24"/>
          <w:lang w:eastAsia="es-CO"/>
        </w:rPr>
        <w:t>tablecer subsidios no sostenibles, como hicimos con el etanol!</w:t>
      </w:r>
      <w:r>
        <w:rPr>
          <w:rFonts w:ascii="Arial" w:eastAsia="Times New Roman" w:hAnsi="Arial"/>
          <w:i/>
          <w:sz w:val="24"/>
          <w:szCs w:val="24"/>
          <w:lang w:eastAsia="es-CO"/>
        </w:rPr>
        <w:t>”</w:t>
      </w:r>
      <w:r>
        <w:rPr>
          <w:rStyle w:val="Refdenotaalpie"/>
          <w:rFonts w:ascii="Arial" w:eastAsia="Times New Roman" w:hAnsi="Arial"/>
          <w:i/>
          <w:sz w:val="24"/>
          <w:szCs w:val="24"/>
          <w:lang w:eastAsia="es-CO"/>
        </w:rPr>
        <w:footnoteReference w:id="14"/>
      </w:r>
      <w:r>
        <w:rPr>
          <w:rFonts w:ascii="Arial" w:eastAsia="Times New Roman" w:hAnsi="Arial"/>
          <w:i/>
          <w:sz w:val="24"/>
          <w:szCs w:val="24"/>
          <w:lang w:eastAsia="es-CO"/>
        </w:rPr>
        <w:t> </w:t>
      </w:r>
      <w:r>
        <w:rPr>
          <w:rFonts w:ascii="Arial" w:eastAsia="Times New Roman" w:hAnsi="Arial"/>
          <w:sz w:val="24"/>
          <w:szCs w:val="24"/>
          <w:lang w:eastAsia="es-CO"/>
        </w:rPr>
        <w:t>(Subrayado nuestro).</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El presente proyecto de Acto Legislativo constituye una oportunidad para el desarrollo </w:t>
      </w:r>
      <w:r>
        <w:rPr>
          <w:rFonts w:ascii="Arial" w:eastAsia="Times New Roman" w:hAnsi="Arial"/>
          <w:sz w:val="24"/>
          <w:szCs w:val="24"/>
          <w:lang w:eastAsia="es-CO"/>
        </w:rPr>
        <w:t xml:space="preserve">sostenible de las regiones con el desarrollo y la utilización de las Fuentes No Convencionales de Energía Renovable (FNCER), al permitirle a los Departamentos, Municipios y Distritos aportarle a la sostenibilidad de estas inversiones, que deben formularse </w:t>
      </w:r>
      <w:r>
        <w:rPr>
          <w:rFonts w:ascii="Arial" w:eastAsia="Times New Roman" w:hAnsi="Arial"/>
          <w:sz w:val="24"/>
          <w:szCs w:val="24"/>
          <w:lang w:eastAsia="es-CO"/>
        </w:rPr>
        <w:t>de la mano del Organismo Nacional encargado del manejo de la política pública del sector de las FNCER, que en la actualidad está a cargo de la UPME.</w:t>
      </w:r>
      <w:r>
        <w:rPr>
          <w:rFonts w:ascii="Arial" w:eastAsia="Times New Roman" w:hAnsi="Arial"/>
          <w:b/>
          <w:sz w:val="24"/>
          <w:szCs w:val="24"/>
          <w:lang w:eastAsia="es-CO"/>
        </w:rPr>
        <w:t xml:space="preserve"> </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Uno de los argumentos, más importantes de los autores es que el presente Proyecto de Acto Legislativo es </w:t>
      </w:r>
      <w:r>
        <w:rPr>
          <w:rFonts w:ascii="Arial" w:eastAsia="Times New Roman" w:hAnsi="Arial"/>
          <w:sz w:val="24"/>
          <w:szCs w:val="24"/>
          <w:lang w:eastAsia="es-CO"/>
        </w:rPr>
        <w:t>una herramienta eficaz en la necesidad de priorizar los recursos de regalías destinados a la ciencia, tecnología e innovación de los Departamentos, Municipios y Distritos. En días recientes se arreciaron las críticas sobre el uso adecuado de la regalías, e</w:t>
      </w:r>
      <w:r>
        <w:rPr>
          <w:rFonts w:ascii="Arial" w:eastAsia="Times New Roman" w:hAnsi="Arial"/>
          <w:sz w:val="24"/>
          <w:szCs w:val="24"/>
          <w:lang w:eastAsia="es-CO"/>
        </w:rPr>
        <w:t>specialmente del Fondo de Ciencia, Tecnología e Innovación, especialmente por parte del Contralor Edgardo Maya Villazón</w:t>
      </w:r>
      <w:r>
        <w:rPr>
          <w:rStyle w:val="Refdenotaalpie"/>
          <w:rFonts w:ascii="Arial" w:eastAsia="Times New Roman" w:hAnsi="Arial"/>
          <w:sz w:val="24"/>
          <w:szCs w:val="24"/>
          <w:lang w:eastAsia="es-CO"/>
        </w:rPr>
        <w:footnoteReference w:id="15"/>
      </w:r>
      <w:r>
        <w:rPr>
          <w:rFonts w:ascii="Arial" w:eastAsia="Times New Roman" w:hAnsi="Arial"/>
          <w:sz w:val="24"/>
          <w:szCs w:val="24"/>
          <w:lang w:eastAsia="es-CO"/>
        </w:rPr>
        <w:t>, que se resumen en los siguientes aspectos:</w:t>
      </w:r>
    </w:p>
    <w:p w:rsidR="00F702BF" w:rsidRDefault="00F702BF">
      <w:pPr>
        <w:shd w:val="clear" w:color="auto" w:fill="FFFFFF"/>
        <w:spacing w:after="0" w:line="240" w:lineRule="auto"/>
        <w:jc w:val="both"/>
        <w:rPr>
          <w:rFonts w:ascii="Arial" w:eastAsia="Times New Roman" w:hAnsi="Arial"/>
          <w:b/>
          <w:sz w:val="24"/>
          <w:szCs w:val="24"/>
          <w:lang w:eastAsia="es-CO"/>
        </w:rPr>
      </w:pPr>
    </w:p>
    <w:p w:rsidR="00F702BF" w:rsidRDefault="00F0380A">
      <w:pPr>
        <w:pStyle w:val="Prrafodelista"/>
        <w:numPr>
          <w:ilvl w:val="0"/>
          <w:numId w:val="2"/>
        </w:numPr>
        <w:shd w:val="clear" w:color="auto" w:fill="FFFFFF"/>
        <w:spacing w:after="0" w:line="240" w:lineRule="auto"/>
        <w:jc w:val="both"/>
      </w:pPr>
      <w:r>
        <w:rPr>
          <w:rFonts w:ascii="Arial" w:eastAsia="Times New Roman" w:hAnsi="Arial"/>
          <w:i/>
          <w:iCs/>
          <w:sz w:val="24"/>
          <w:szCs w:val="24"/>
          <w:lang w:eastAsia="es-CO"/>
        </w:rPr>
        <w:t xml:space="preserve">Altos saldos sin ejecutar ($1,5 billones) </w:t>
      </w:r>
    </w:p>
    <w:p w:rsidR="00F702BF" w:rsidRDefault="00F0380A">
      <w:pPr>
        <w:pStyle w:val="Prrafodelista"/>
        <w:numPr>
          <w:ilvl w:val="0"/>
          <w:numId w:val="2"/>
        </w:numPr>
        <w:shd w:val="clear" w:color="auto" w:fill="FFFFFF"/>
        <w:spacing w:after="0" w:line="240" w:lineRule="auto"/>
        <w:jc w:val="both"/>
      </w:pPr>
      <w:r>
        <w:rPr>
          <w:rFonts w:ascii="Arial" w:eastAsia="Times New Roman" w:hAnsi="Arial"/>
          <w:i/>
          <w:iCs/>
          <w:sz w:val="24"/>
          <w:szCs w:val="24"/>
          <w:lang w:eastAsia="es-CO"/>
        </w:rPr>
        <w:t>Factores de rie</w:t>
      </w:r>
      <w:r>
        <w:rPr>
          <w:rFonts w:ascii="Arial" w:eastAsia="Times New Roman" w:hAnsi="Arial"/>
          <w:i/>
          <w:iCs/>
          <w:sz w:val="24"/>
          <w:szCs w:val="24"/>
          <w:lang w:eastAsia="es-CO"/>
        </w:rPr>
        <w:t>sgo: entidades o instituciones no reconocidas por Colciencias manejan contratos por $600 mil millones</w:t>
      </w:r>
    </w:p>
    <w:p w:rsidR="00F702BF" w:rsidRDefault="00F0380A">
      <w:pPr>
        <w:pStyle w:val="Prrafodelista"/>
        <w:numPr>
          <w:ilvl w:val="0"/>
          <w:numId w:val="2"/>
        </w:numPr>
        <w:shd w:val="clear" w:color="auto" w:fill="FFFFFF"/>
        <w:spacing w:after="0" w:line="240" w:lineRule="auto"/>
        <w:jc w:val="both"/>
      </w:pPr>
      <w:r>
        <w:rPr>
          <w:rFonts w:ascii="Arial" w:eastAsia="Times New Roman" w:hAnsi="Arial"/>
          <w:i/>
          <w:iCs/>
          <w:sz w:val="24"/>
          <w:szCs w:val="24"/>
          <w:lang w:eastAsia="es-CO"/>
        </w:rPr>
        <w:t>Una buena parte de los proyectos de ciencia y tecnología son ejecutados por contratistas poco idóneos y no responden a necesidades puntuales de las region</w:t>
      </w:r>
      <w:r>
        <w:rPr>
          <w:rFonts w:ascii="Arial" w:eastAsia="Times New Roman" w:hAnsi="Arial"/>
          <w:i/>
          <w:iCs/>
          <w:sz w:val="24"/>
          <w:szCs w:val="24"/>
          <w:lang w:eastAsia="es-CO"/>
        </w:rPr>
        <w:t>es.</w:t>
      </w:r>
    </w:p>
    <w:p w:rsidR="00F702BF" w:rsidRDefault="00F702BF">
      <w:pPr>
        <w:shd w:val="clear" w:color="auto" w:fill="FFFFFF"/>
        <w:spacing w:after="0" w:line="240" w:lineRule="auto"/>
        <w:jc w:val="both"/>
        <w:rPr>
          <w:rFonts w:ascii="Arial" w:eastAsia="Times New Roman" w:hAnsi="Arial"/>
          <w:sz w:val="24"/>
          <w:szCs w:val="24"/>
          <w:lang w:eastAsia="es-CO"/>
        </w:rPr>
      </w:pPr>
    </w:p>
    <w:p w:rsidR="00F702BF" w:rsidRDefault="00F0380A">
      <w:pPr>
        <w:shd w:val="clear" w:color="auto" w:fill="FFFFFF"/>
        <w:spacing w:after="0" w:line="240" w:lineRule="auto"/>
        <w:jc w:val="both"/>
        <w:rPr>
          <w:rFonts w:ascii="Arial" w:eastAsia="Times New Roman" w:hAnsi="Arial"/>
          <w:bCs/>
          <w:sz w:val="24"/>
          <w:szCs w:val="24"/>
          <w:lang w:eastAsia="es-CO"/>
        </w:rPr>
      </w:pPr>
      <w:r>
        <w:rPr>
          <w:rFonts w:ascii="Arial" w:eastAsia="Times New Roman" w:hAnsi="Arial"/>
          <w:bCs/>
          <w:sz w:val="24"/>
          <w:szCs w:val="24"/>
          <w:lang w:eastAsia="es-CO"/>
        </w:rPr>
        <w:t xml:space="preserve">La presente propuesta de Acto Legislativo es una salida muy importante a esta crisis que ha señalado de manera acertada el señor Contralor, tal como se planteó desde </w:t>
      </w:r>
      <w:r>
        <w:rPr>
          <w:rFonts w:ascii="Arial" w:eastAsia="Times New Roman" w:hAnsi="Arial"/>
          <w:bCs/>
          <w:sz w:val="24"/>
          <w:szCs w:val="24"/>
          <w:lang w:eastAsia="es-CO"/>
        </w:rPr>
        <w:lastRenderedPageBreak/>
        <w:t>los propósitos del mismo. En efecto, al orientar el 50% de los recursos para financia</w:t>
      </w:r>
      <w:r>
        <w:rPr>
          <w:rFonts w:ascii="Arial" w:eastAsia="Times New Roman" w:hAnsi="Arial"/>
          <w:bCs/>
          <w:sz w:val="24"/>
          <w:szCs w:val="24"/>
          <w:lang w:eastAsia="es-CO"/>
        </w:rPr>
        <w:t>r los programas y/o proyectos en ciencia, tecnología e innovación de los departamentos, municipios y distritos, para el desarrollo y la utilización de las Fuentes No Convencionales de Energía Renovable (FNCER) se está atendiendo una prioridad de las region</w:t>
      </w:r>
      <w:r>
        <w:rPr>
          <w:rFonts w:ascii="Arial" w:eastAsia="Times New Roman" w:hAnsi="Arial"/>
          <w:bCs/>
          <w:sz w:val="24"/>
          <w:szCs w:val="24"/>
          <w:lang w:eastAsia="es-CO"/>
        </w:rPr>
        <w:t>es, que cuenta con un marco regulatorio ampliamente desarrollado.</w:t>
      </w:r>
    </w:p>
    <w:p w:rsidR="00F702BF" w:rsidRDefault="00F702BF">
      <w:pPr>
        <w:shd w:val="clear" w:color="auto" w:fill="FFFFFF"/>
        <w:spacing w:after="0" w:line="240" w:lineRule="auto"/>
        <w:jc w:val="both"/>
        <w:rPr>
          <w:rFonts w:ascii="Arial" w:eastAsia="Times New Roman" w:hAnsi="Arial"/>
          <w:bCs/>
          <w:sz w:val="24"/>
          <w:szCs w:val="24"/>
          <w:lang w:eastAsia="es-CO"/>
        </w:rPr>
      </w:pPr>
    </w:p>
    <w:p w:rsidR="00F702BF" w:rsidRDefault="00F0380A">
      <w:pPr>
        <w:shd w:val="clear" w:color="auto" w:fill="FFFFFF"/>
        <w:spacing w:after="0" w:line="240" w:lineRule="auto"/>
        <w:jc w:val="both"/>
        <w:rPr>
          <w:rFonts w:ascii="Arial" w:eastAsia="Times New Roman" w:hAnsi="Arial"/>
          <w:bCs/>
          <w:sz w:val="24"/>
          <w:szCs w:val="24"/>
          <w:lang w:eastAsia="es-CO"/>
        </w:rPr>
      </w:pPr>
      <w:r>
        <w:rPr>
          <w:rFonts w:ascii="Arial" w:eastAsia="Times New Roman" w:hAnsi="Arial"/>
          <w:bCs/>
          <w:sz w:val="24"/>
          <w:szCs w:val="24"/>
          <w:lang w:eastAsia="es-CO"/>
        </w:rPr>
        <w:t xml:space="preserve">Así mismo, se garantiza su buen uso, al exigir que los proyectos relacionados con el desarrollo y la utilización de las Fuentes No Convencionales de Energía Renovable (FNCER) que sean </w:t>
      </w:r>
      <w:r>
        <w:rPr>
          <w:rFonts w:ascii="Arial" w:eastAsia="Times New Roman" w:hAnsi="Arial"/>
          <w:bCs/>
          <w:sz w:val="24"/>
          <w:szCs w:val="24"/>
          <w:lang w:eastAsia="es-CO"/>
        </w:rPr>
        <w:t>financiados con los recursos del Fondo de Ciencia, Tecnología e Innovación deberán estar enmarcados en la política nacional del sector de las FNCER.</w:t>
      </w:r>
    </w:p>
    <w:p w:rsidR="00F702BF" w:rsidRDefault="00F0380A">
      <w:pPr>
        <w:shd w:val="clear" w:color="auto" w:fill="FFFFFF"/>
        <w:spacing w:after="0" w:line="240" w:lineRule="auto"/>
        <w:jc w:val="both"/>
        <w:rPr>
          <w:rFonts w:ascii="Arial" w:eastAsia="Times New Roman" w:hAnsi="Arial"/>
          <w:bCs/>
          <w:sz w:val="24"/>
          <w:szCs w:val="24"/>
          <w:lang w:eastAsia="es-CO"/>
        </w:rPr>
      </w:pPr>
      <w:r>
        <w:rPr>
          <w:rFonts w:ascii="Arial" w:eastAsia="Times New Roman" w:hAnsi="Arial"/>
          <w:bCs/>
          <w:sz w:val="24"/>
          <w:szCs w:val="24"/>
          <w:lang w:eastAsia="es-CO"/>
        </w:rPr>
        <w:t xml:space="preserve">  </w:t>
      </w:r>
    </w:p>
    <w:p w:rsidR="00F702BF" w:rsidRDefault="00F0380A">
      <w:pPr>
        <w:shd w:val="clear" w:color="auto" w:fill="FFFFFF"/>
        <w:spacing w:after="0" w:line="240" w:lineRule="auto"/>
        <w:jc w:val="both"/>
        <w:rPr>
          <w:rFonts w:ascii="Arial" w:eastAsia="Times New Roman" w:hAnsi="Arial"/>
          <w:bCs/>
          <w:sz w:val="24"/>
          <w:szCs w:val="24"/>
          <w:lang w:eastAsia="es-CO"/>
        </w:rPr>
      </w:pPr>
      <w:r>
        <w:rPr>
          <w:rFonts w:ascii="Arial" w:eastAsia="Times New Roman" w:hAnsi="Arial"/>
          <w:bCs/>
          <w:sz w:val="24"/>
          <w:szCs w:val="24"/>
          <w:lang w:eastAsia="es-CO"/>
        </w:rPr>
        <w:t>Adicionalmente, se blinda el estudio y aprobación de estos proyectos al prever que en el órgano colegiad</w:t>
      </w:r>
      <w:r>
        <w:rPr>
          <w:rFonts w:ascii="Arial" w:eastAsia="Times New Roman" w:hAnsi="Arial"/>
          <w:bCs/>
          <w:sz w:val="24"/>
          <w:szCs w:val="24"/>
          <w:lang w:eastAsia="es-CO"/>
        </w:rPr>
        <w:t xml:space="preserve">o de administración y decisión donde se definen los programas y/o proyectos relacionados con las FNCER incluirán a un (1) representante del Organismo Nacional encargado del manejo de la política pública del sector de las FNCER. </w:t>
      </w:r>
    </w:p>
    <w:p w:rsidR="00F702BF" w:rsidRDefault="00F702BF">
      <w:pPr>
        <w:shd w:val="clear" w:color="auto" w:fill="FFFFFF"/>
        <w:spacing w:after="0" w:line="240" w:lineRule="auto"/>
        <w:jc w:val="both"/>
        <w:rPr>
          <w:rFonts w:ascii="Arial" w:eastAsia="Times New Roman" w:hAnsi="Arial"/>
          <w:bCs/>
          <w:sz w:val="24"/>
          <w:szCs w:val="24"/>
          <w:lang w:eastAsia="es-CO"/>
        </w:rPr>
      </w:pPr>
    </w:p>
    <w:p w:rsidR="00F702BF" w:rsidRDefault="00F0380A">
      <w:pPr>
        <w:spacing w:after="0" w:line="240" w:lineRule="auto"/>
        <w:jc w:val="both"/>
      </w:pPr>
      <w:r>
        <w:rPr>
          <w:rFonts w:ascii="Arial" w:eastAsia="Times New Roman" w:hAnsi="Arial"/>
          <w:bCs/>
          <w:sz w:val="24"/>
          <w:szCs w:val="24"/>
          <w:lang w:eastAsia="es-CO"/>
        </w:rPr>
        <w:t xml:space="preserve">Estas medidas le darán un </w:t>
      </w:r>
      <w:r>
        <w:rPr>
          <w:rFonts w:ascii="Arial" w:eastAsia="Times New Roman" w:hAnsi="Arial"/>
          <w:bCs/>
          <w:sz w:val="24"/>
          <w:szCs w:val="24"/>
          <w:lang w:eastAsia="es-CO"/>
        </w:rPr>
        <w:t xml:space="preserve">giro fundamental al uso de los recursos de regalías destinados al </w:t>
      </w:r>
      <w:r>
        <w:rPr>
          <w:rFonts w:ascii="Arial" w:eastAsia="Times New Roman" w:hAnsi="Arial"/>
          <w:sz w:val="24"/>
          <w:szCs w:val="24"/>
          <w:lang w:eastAsia="es-CO"/>
        </w:rPr>
        <w:t xml:space="preserve">Fondo de Ciencia, Tecnología e Innovación y constituyen una posibilidad extraordinaria que le permitirá a las regiones descubrir y aprovechar las oportunidades que brinda la energía </w:t>
      </w:r>
      <w:r>
        <w:rPr>
          <w:rFonts w:ascii="Arial" w:eastAsia="Times New Roman" w:hAnsi="Arial"/>
          <w:sz w:val="24"/>
          <w:szCs w:val="24"/>
          <w:lang w:eastAsia="es-CO"/>
        </w:rPr>
        <w:t>renovable.</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Otro de los argumentos de fondo e los autores es que el presente proyecto le permite al país adelantar iniciativas que demuestran los beneficios de un modelo de energía que reportará bajos costos de inversión al país y tarifas más bajas a los c</w:t>
      </w:r>
      <w:r>
        <w:rPr>
          <w:rFonts w:ascii="Arial" w:eastAsia="Times New Roman" w:hAnsi="Arial"/>
          <w:sz w:val="24"/>
          <w:szCs w:val="24"/>
          <w:lang w:eastAsia="es-CO"/>
        </w:rPr>
        <w:t xml:space="preserve">onsumidores. </w:t>
      </w:r>
      <w:r>
        <w:rPr>
          <w:rFonts w:ascii="Arial" w:hAnsi="Arial"/>
          <w:sz w:val="24"/>
          <w:szCs w:val="24"/>
        </w:rPr>
        <w:t>En un estudio de la Universidad Nacional</w:t>
      </w:r>
      <w:r>
        <w:rPr>
          <w:rStyle w:val="Refdenotaalpie"/>
          <w:rFonts w:ascii="Arial" w:hAnsi="Arial"/>
          <w:sz w:val="24"/>
          <w:szCs w:val="24"/>
        </w:rPr>
        <w:footnoteReference w:id="16"/>
      </w:r>
      <w:r>
        <w:rPr>
          <w:rFonts w:ascii="Arial" w:hAnsi="Arial"/>
          <w:sz w:val="24"/>
          <w:szCs w:val="24"/>
        </w:rPr>
        <w:t xml:space="preserve"> sobre esta materia se concluyó lo siguiente: “Debido al alto grado de consumo de combustible diesel para la generación de energía a las </w:t>
      </w:r>
      <w:r>
        <w:rPr>
          <w:rFonts w:ascii="Arial" w:eastAsia="Times New Roman" w:hAnsi="Arial"/>
          <w:sz w:val="24"/>
          <w:szCs w:val="24"/>
          <w:lang w:eastAsia="es-CO"/>
        </w:rPr>
        <w:t xml:space="preserve">Zonas No Interconectadas </w:t>
      </w:r>
      <w:r>
        <w:rPr>
          <w:rFonts w:ascii="Arial" w:hAnsi="Arial"/>
          <w:sz w:val="24"/>
          <w:szCs w:val="24"/>
        </w:rPr>
        <w:t>ZNI, establecer una política de generación continua de energía por</w:t>
      </w:r>
      <w:r>
        <w:rPr>
          <w:rFonts w:ascii="Arial" w:hAnsi="Arial"/>
          <w:sz w:val="24"/>
          <w:szCs w:val="24"/>
        </w:rPr>
        <w:t xml:space="preserve"> medio de fuentes no convencionales que traería consigo una disminución progresiva de los costos unitarios, por lo que se necesitaría una importante inversión inicial pero los flujos de caja futuros descontarían solo las depreciaciones de los equipos y alg</w:t>
      </w:r>
      <w:r>
        <w:rPr>
          <w:rFonts w:ascii="Arial" w:hAnsi="Arial"/>
          <w:sz w:val="24"/>
          <w:szCs w:val="24"/>
        </w:rPr>
        <w:t>una tasa de interés para la financiación de las construcciones de los equipos no convencionales generadores de energía. Lo que significa que estos costos de producción solo consistirían en amortizar a lo largo de la prestación del servicio la inversión ini</w:t>
      </w:r>
      <w:r>
        <w:rPr>
          <w:rFonts w:ascii="Arial" w:hAnsi="Arial"/>
          <w:sz w:val="24"/>
          <w:szCs w:val="24"/>
        </w:rPr>
        <w:t xml:space="preserve">cial, las depreciaciones a cargo, el valor de mantenimiento y mano de obra necesaria para su funcionamiento, sistema de costos parecido con las hidroeléctricas, sin </w:t>
      </w:r>
      <w:r>
        <w:rPr>
          <w:rFonts w:ascii="Arial" w:hAnsi="Arial"/>
          <w:sz w:val="24"/>
          <w:szCs w:val="24"/>
        </w:rPr>
        <w:lastRenderedPageBreak/>
        <w:t>necesidad de incurrir en los costos constantes de combustibles fósiles que incrementan el c</w:t>
      </w:r>
      <w:r>
        <w:rPr>
          <w:rFonts w:ascii="Arial" w:hAnsi="Arial"/>
          <w:sz w:val="24"/>
          <w:szCs w:val="24"/>
        </w:rPr>
        <w:t>osto unitario en comparación de estas formas generadoras no convencionales.</w:t>
      </w:r>
    </w:p>
    <w:p w:rsidR="00F702BF" w:rsidRDefault="00F0380A">
      <w:pPr>
        <w:spacing w:after="0" w:line="240" w:lineRule="auto"/>
        <w:jc w:val="both"/>
      </w:pPr>
      <w:r>
        <w:rPr>
          <w:rFonts w:ascii="Arial" w:hAnsi="Arial"/>
          <w:noProof/>
          <w:sz w:val="24"/>
          <w:szCs w:val="24"/>
          <w:lang w:eastAsia="es-CO"/>
        </w:rPr>
        <w:drawing>
          <wp:inline distT="0" distB="0" distL="0" distR="0">
            <wp:extent cx="5612129" cy="3928747"/>
            <wp:effectExtent l="19050" t="19050" r="26671" b="14603"/>
            <wp:docPr id="7"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29" cy="3928747"/>
                    </a:xfrm>
                    <a:prstGeom prst="rect">
                      <a:avLst/>
                    </a:prstGeom>
                    <a:noFill/>
                    <a:ln w="9528">
                      <a:solidFill>
                        <a:srgbClr val="5B9BD5"/>
                      </a:solidFill>
                      <a:prstDash val="solid"/>
                    </a:ln>
                  </pic:spPr>
                </pic:pic>
              </a:graphicData>
            </a:graphic>
          </wp:inline>
        </w:drawing>
      </w:r>
    </w:p>
    <w:p w:rsidR="00F702BF" w:rsidRDefault="00F702BF">
      <w:pPr>
        <w:spacing w:after="0" w:line="240" w:lineRule="auto"/>
        <w:jc w:val="both"/>
        <w:rPr>
          <w:rFonts w:ascii="Arial" w:hAnsi="Arial"/>
          <w:sz w:val="24"/>
          <w:szCs w:val="24"/>
        </w:rPr>
      </w:pPr>
    </w:p>
    <w:p w:rsidR="00F702BF" w:rsidRDefault="00F0380A">
      <w:pPr>
        <w:pStyle w:val="Textonotapie"/>
        <w:jc w:val="center"/>
        <w:rPr>
          <w:rFonts w:ascii="Arial" w:eastAsia="Times New Roman" w:hAnsi="Arial"/>
          <w:sz w:val="24"/>
          <w:szCs w:val="24"/>
          <w:lang w:eastAsia="es-CO"/>
        </w:rPr>
      </w:pPr>
      <w:r>
        <w:rPr>
          <w:rFonts w:ascii="Arial" w:eastAsia="Times New Roman" w:hAnsi="Arial"/>
          <w:sz w:val="24"/>
          <w:szCs w:val="24"/>
          <w:lang w:eastAsia="es-CO"/>
        </w:rPr>
        <w:t xml:space="preserve">Figura 6. Análisis de Costos Generación. </w:t>
      </w:r>
    </w:p>
    <w:p w:rsidR="00F702BF" w:rsidRDefault="00F0380A">
      <w:pPr>
        <w:pStyle w:val="Textonotapie"/>
        <w:jc w:val="center"/>
      </w:pPr>
      <w:r>
        <w:rPr>
          <w:rFonts w:ascii="Arial" w:eastAsia="Times New Roman" w:hAnsi="Arial"/>
          <w:sz w:val="24"/>
          <w:szCs w:val="24"/>
          <w:lang w:eastAsia="es-CO"/>
        </w:rPr>
        <w:t>Fuente: Análisis del Costo Beneficio de Energías Renovables No Convencionales en Colombia.</w:t>
      </w:r>
    </w:p>
    <w:p w:rsidR="00F702BF" w:rsidRDefault="00F702BF">
      <w:pPr>
        <w:spacing w:after="0" w:line="240" w:lineRule="auto"/>
        <w:jc w:val="both"/>
        <w:rPr>
          <w:rFonts w:ascii="Arial" w:hAnsi="Arial"/>
          <w:sz w:val="24"/>
          <w:szCs w:val="24"/>
        </w:rPr>
      </w:pPr>
    </w:p>
    <w:p w:rsidR="00F702BF" w:rsidRDefault="00F0380A">
      <w:pPr>
        <w:spacing w:after="0" w:line="240" w:lineRule="auto"/>
        <w:jc w:val="both"/>
      </w:pPr>
      <w:r>
        <w:rPr>
          <w:rFonts w:ascii="Arial" w:hAnsi="Arial"/>
          <w:sz w:val="24"/>
          <w:szCs w:val="24"/>
        </w:rPr>
        <w:t>La Gráfica 6 referencia los costos de inver</w:t>
      </w:r>
      <w:r>
        <w:rPr>
          <w:rFonts w:ascii="Arial" w:hAnsi="Arial"/>
          <w:sz w:val="24"/>
          <w:szCs w:val="24"/>
        </w:rPr>
        <w:t>sión requeridos para la implementación de plantas generadoras de energía con fuentes renovables no convencionales, además hace un paralelo con los costos de inversión que se hacen en el marco internacional. La principal fuente de generación de energía de C</w:t>
      </w:r>
      <w:r>
        <w:rPr>
          <w:rFonts w:ascii="Arial" w:hAnsi="Arial"/>
          <w:sz w:val="24"/>
          <w:szCs w:val="24"/>
        </w:rPr>
        <w:t xml:space="preserve">olombia está soportada con plantas hidroeléctricas en las que se deben hacer fuertes inversiones, mientras que las plantas eólicas y de cogeneración tienen una importante ventaja. Por otro lado, </w:t>
      </w:r>
      <w:r>
        <w:rPr>
          <w:rFonts w:ascii="Arial" w:hAnsi="Arial"/>
          <w:b/>
          <w:sz w:val="24"/>
          <w:szCs w:val="24"/>
        </w:rPr>
        <w:t xml:space="preserve">se puede determinar que las plantas geotérmicas requieren de </w:t>
      </w:r>
      <w:r>
        <w:rPr>
          <w:rFonts w:ascii="Arial" w:hAnsi="Arial"/>
          <w:b/>
          <w:sz w:val="24"/>
          <w:szCs w:val="24"/>
        </w:rPr>
        <w:t>importantes cantidades de inversión que podrían verse reflejadas en un aumento tarifario, razón por la cual no se ha explotado el recurso asociado a estas plantas.</w:t>
      </w:r>
    </w:p>
    <w:p w:rsidR="00F702BF" w:rsidRDefault="00F0380A">
      <w:pPr>
        <w:spacing w:after="0" w:line="240" w:lineRule="auto"/>
        <w:jc w:val="both"/>
        <w:rPr>
          <w:rFonts w:ascii="Arial" w:hAnsi="Arial"/>
          <w:sz w:val="24"/>
          <w:szCs w:val="24"/>
        </w:rPr>
      </w:pPr>
      <w:r>
        <w:rPr>
          <w:rFonts w:ascii="Arial" w:hAnsi="Arial"/>
          <w:sz w:val="24"/>
          <w:szCs w:val="24"/>
        </w:rPr>
        <w:t>(…)</w:t>
      </w:r>
    </w:p>
    <w:p w:rsidR="00F702BF" w:rsidRDefault="00F0380A">
      <w:pPr>
        <w:spacing w:after="0" w:line="240" w:lineRule="auto"/>
        <w:jc w:val="both"/>
        <w:rPr>
          <w:rFonts w:ascii="Arial" w:hAnsi="Arial"/>
          <w:sz w:val="24"/>
          <w:szCs w:val="24"/>
        </w:rPr>
      </w:pPr>
      <w:r>
        <w:rPr>
          <w:rFonts w:ascii="Arial" w:hAnsi="Arial"/>
          <w:sz w:val="24"/>
          <w:szCs w:val="24"/>
        </w:rPr>
        <w:t xml:space="preserve">Colombia presenta condiciones geográficas favorables para la generación de ERNC, lo que </w:t>
      </w:r>
      <w:r>
        <w:rPr>
          <w:rFonts w:ascii="Arial" w:hAnsi="Arial"/>
          <w:sz w:val="24"/>
          <w:szCs w:val="24"/>
        </w:rPr>
        <w:t xml:space="preserve">facilita e incentiva la inversión en proyectos de este tipo y que </w:t>
      </w:r>
      <w:r>
        <w:rPr>
          <w:rFonts w:ascii="Arial" w:hAnsi="Arial"/>
          <w:sz w:val="24"/>
          <w:szCs w:val="24"/>
        </w:rPr>
        <w:lastRenderedPageBreak/>
        <w:t>adicional a esto existen incentivos tributarios que benefician considerablemente y reducen la carga tributaria a aquellos inversores o empresas que asuman la generación de ERNC.</w:t>
      </w:r>
    </w:p>
    <w:p w:rsidR="00F702BF" w:rsidRDefault="00F0380A">
      <w:pPr>
        <w:spacing w:after="0" w:line="240" w:lineRule="auto"/>
        <w:jc w:val="both"/>
      </w:pPr>
      <w:r>
        <w:rPr>
          <w:rFonts w:ascii="Arial" w:hAnsi="Arial"/>
          <w:b/>
          <w:sz w:val="24"/>
          <w:szCs w:val="24"/>
        </w:rPr>
        <w:t xml:space="preserve">Por último, </w:t>
      </w:r>
      <w:r>
        <w:rPr>
          <w:rFonts w:ascii="Arial" w:hAnsi="Arial"/>
          <w:b/>
          <w:sz w:val="24"/>
          <w:szCs w:val="24"/>
        </w:rPr>
        <w:t xml:space="preserve">cabe resaltar el contexto ambiental y económico actual en el cual la economía del país se ve afectada directamente por la caída en los precios del petróleo, que a su vez ha presentado disminuciones de producción y de reservas de este ya que es un producto </w:t>
      </w:r>
      <w:r>
        <w:rPr>
          <w:rFonts w:ascii="Arial" w:hAnsi="Arial"/>
          <w:b/>
          <w:sz w:val="24"/>
          <w:szCs w:val="24"/>
        </w:rPr>
        <w:t>agotable no renovable, por lo cual la necesidad de otras fuentes de generación que sean sostenibles económicamente y ambientalmente</w:t>
      </w:r>
      <w:r>
        <w:rPr>
          <w:rFonts w:ascii="Arial" w:hAnsi="Arial"/>
          <w:sz w:val="24"/>
          <w:szCs w:val="24"/>
        </w:rPr>
        <w:t>.” (Subrayados nuestros)</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En el precitado estudio se plantea las limitaciones y los sobre-costos de la energía convencional e</w:t>
      </w:r>
      <w:r>
        <w:rPr>
          <w:rFonts w:ascii="Arial" w:eastAsia="Times New Roman" w:hAnsi="Arial"/>
          <w:sz w:val="24"/>
          <w:szCs w:val="24"/>
          <w:lang w:eastAsia="es-CO"/>
        </w:rPr>
        <w:t>n las Zonas No Interconectadas que representan para el usuario (y para el Estado que aporta los subsidios): “Las zonas de generación de energía por medio de diesel tienen un área de influencia de o rango de cobertura de 1 km a la redonda, lo que quiere dec</w:t>
      </w:r>
      <w:r>
        <w:rPr>
          <w:rFonts w:ascii="Arial" w:eastAsia="Times New Roman" w:hAnsi="Arial"/>
          <w:sz w:val="24"/>
          <w:szCs w:val="24"/>
          <w:lang w:eastAsia="es-CO"/>
        </w:rPr>
        <w:t xml:space="preserve">ir que las zonas pobladas que no se encuentren dentro de este rango no podrán acceder al servicio de energía por medio de los oferentes privados que generen la energía, </w:t>
      </w:r>
      <w:r>
        <w:rPr>
          <w:rFonts w:ascii="Arial" w:eastAsia="Times New Roman" w:hAnsi="Arial"/>
          <w:b/>
          <w:sz w:val="24"/>
          <w:szCs w:val="24"/>
          <w:lang w:eastAsia="es-CO"/>
        </w:rPr>
        <w:t>a menos que el Estado asuma los sobre costos de las tarifas de los agentes privados o i</w:t>
      </w:r>
      <w:r>
        <w:rPr>
          <w:rFonts w:ascii="Arial" w:eastAsia="Times New Roman" w:hAnsi="Arial"/>
          <w:b/>
          <w:sz w:val="24"/>
          <w:szCs w:val="24"/>
          <w:lang w:eastAsia="es-CO"/>
        </w:rPr>
        <w:t>nstale plantas de generación propias que cubran estas ZNI, todo esto financiado mayoritariamente de los fondos FAER y FAZNI</w:t>
      </w:r>
      <w:r>
        <w:rPr>
          <w:rFonts w:ascii="Arial" w:eastAsia="Times New Roman" w:hAnsi="Arial"/>
          <w:sz w:val="24"/>
          <w:szCs w:val="24"/>
          <w:lang w:eastAsia="es-CO"/>
        </w:rPr>
        <w:t xml:space="preserve">”. Esta política de subsidios ha entrado en crisis tal como se pudo apreciar en el proyecto de presupuesto de la vigencia 2018 y una </w:t>
      </w:r>
      <w:r>
        <w:rPr>
          <w:rFonts w:ascii="Arial" w:eastAsia="Times New Roman" w:hAnsi="Arial"/>
          <w:sz w:val="24"/>
          <w:szCs w:val="24"/>
          <w:lang w:eastAsia="es-CO"/>
        </w:rPr>
        <w:t xml:space="preserve">forma sostenible para reemplazarlo es la adopción de nuevos sistemas de generación de energía basados en el uso de las </w:t>
      </w:r>
      <w:r>
        <w:rPr>
          <w:rFonts w:ascii="Arial" w:eastAsia="Times New Roman" w:hAnsi="Arial"/>
          <w:bCs/>
          <w:sz w:val="24"/>
          <w:szCs w:val="24"/>
          <w:lang w:eastAsia="es-CO"/>
        </w:rPr>
        <w:t>Fuentes No Convencionales de Energía Renovable</w:t>
      </w:r>
      <w:r>
        <w:rPr>
          <w:rFonts w:ascii="Arial" w:eastAsia="Times New Roman" w:hAnsi="Arial"/>
          <w:sz w:val="24"/>
          <w:szCs w:val="24"/>
          <w:lang w:eastAsia="es-CO"/>
        </w:rPr>
        <w:t>.</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Vale la pena aquí recordar los casos exitosos de uso de estos sistemas gracias a la apli</w:t>
      </w:r>
      <w:r>
        <w:rPr>
          <w:rFonts w:ascii="Arial" w:eastAsia="Times New Roman" w:hAnsi="Arial"/>
          <w:sz w:val="24"/>
          <w:szCs w:val="24"/>
          <w:lang w:eastAsia="es-CO"/>
        </w:rPr>
        <w:t>cación de la Ley 1715 de 2014, ya mencionados</w:t>
      </w:r>
      <w:r>
        <w:rPr>
          <w:rStyle w:val="Refdenotaalpie"/>
          <w:rFonts w:ascii="Arial" w:eastAsia="Times New Roman" w:hAnsi="Arial"/>
          <w:sz w:val="24"/>
          <w:szCs w:val="24"/>
          <w:lang w:eastAsia="es-CO"/>
        </w:rPr>
        <w:footnoteReference w:id="17"/>
      </w:r>
      <w:r>
        <w:rPr>
          <w:rFonts w:ascii="Arial" w:eastAsia="Times New Roman" w:hAnsi="Arial"/>
          <w:sz w:val="24"/>
          <w:szCs w:val="24"/>
          <w:lang w:eastAsia="es-CO"/>
        </w:rPr>
        <w:t xml:space="preserve">, a saber: </w:t>
      </w:r>
      <w:r>
        <w:rPr>
          <w:rFonts w:ascii="Arial" w:eastAsia="Times New Roman" w:hAnsi="Arial"/>
          <w:i/>
          <w:sz w:val="24"/>
          <w:szCs w:val="24"/>
          <w:lang w:eastAsia="es-CO"/>
        </w:rPr>
        <w:t>“Autogeneradores (Cementos Argos, Cémex, Cartón de Colombia y Ecopetrol). Cementos Argos, por ejemplo, está generando el 85 por ciento de la energía que consume y le</w:t>
      </w:r>
      <w:r>
        <w:rPr>
          <w:rFonts w:ascii="Arial" w:eastAsia="Times New Roman" w:hAnsi="Arial"/>
          <w:i/>
          <w:sz w:val="24"/>
          <w:szCs w:val="24"/>
          <w:lang w:eastAsia="es-CO"/>
        </w:rPr>
        <w:t xml:space="preserve"> entregó al SIN unos 30 megavatios que, sumados al ahorro en sus instalaciones, implicaron el 10 por ciento de la meta de ahorro nacional. (…). Pero no solo las grandes compañías son autogeneradoras; las instituciones educativas, fundaciones sin ánimo de l</w:t>
      </w:r>
      <w:r>
        <w:rPr>
          <w:rFonts w:ascii="Arial" w:eastAsia="Times New Roman" w:hAnsi="Arial"/>
          <w:i/>
          <w:sz w:val="24"/>
          <w:szCs w:val="24"/>
          <w:lang w:eastAsia="es-CO"/>
        </w:rPr>
        <w:t xml:space="preserve">ucro y pequeñas empresas dedicadas a promover las energías no convencionales en Colombia también lo hacen. A su turno, organizaciones sin ánimo de lucro como la Fundación Centro de Entrenamiento de Energías Renovables (Funcener) también están generando su </w:t>
      </w:r>
      <w:r>
        <w:rPr>
          <w:rFonts w:ascii="Arial" w:eastAsia="Times New Roman" w:hAnsi="Arial"/>
          <w:i/>
          <w:sz w:val="24"/>
          <w:szCs w:val="24"/>
          <w:lang w:eastAsia="es-CO"/>
        </w:rPr>
        <w:t>propia energía”.</w:t>
      </w:r>
    </w:p>
    <w:p w:rsidR="00F702BF" w:rsidRDefault="00F702BF">
      <w:pPr>
        <w:spacing w:after="0" w:line="240" w:lineRule="auto"/>
        <w:jc w:val="both"/>
        <w:rPr>
          <w:rFonts w:ascii="Arial" w:eastAsia="Times New Roman" w:hAnsi="Arial"/>
          <w:b/>
          <w:sz w:val="24"/>
          <w:szCs w:val="24"/>
          <w:lang w:eastAsia="es-CO"/>
        </w:rPr>
      </w:pPr>
    </w:p>
    <w:p w:rsidR="00F702BF" w:rsidRDefault="00F0380A">
      <w:pPr>
        <w:spacing w:after="0" w:line="240" w:lineRule="auto"/>
        <w:jc w:val="both"/>
      </w:pPr>
      <w:r>
        <w:rPr>
          <w:rFonts w:ascii="Arial" w:eastAsia="Times New Roman" w:hAnsi="Arial"/>
          <w:sz w:val="24"/>
          <w:szCs w:val="24"/>
          <w:lang w:eastAsia="es-CO"/>
        </w:rPr>
        <w:t xml:space="preserve">La rentabilidad para el país </w:t>
      </w:r>
      <w:r>
        <w:rPr>
          <w:rFonts w:ascii="Arial" w:hAnsi="Arial"/>
          <w:sz w:val="24"/>
          <w:szCs w:val="24"/>
        </w:rPr>
        <w:t xml:space="preserve">con dicha política de estímulos para estas fuentes de energía, ha sido debidamente demostrada por </w:t>
      </w:r>
      <w:r>
        <w:rPr>
          <w:rFonts w:ascii="Arial" w:eastAsia="Times New Roman" w:hAnsi="Arial"/>
          <w:sz w:val="24"/>
          <w:szCs w:val="24"/>
          <w:lang w:eastAsia="es-CO"/>
        </w:rPr>
        <w:t xml:space="preserve">la Unidad de Planeación Minero Energética, Upme, y el Ministerio de Minas y Energía, con el apoyo de varias </w:t>
      </w:r>
      <w:r>
        <w:rPr>
          <w:rFonts w:ascii="Arial" w:eastAsia="Times New Roman" w:hAnsi="Arial"/>
          <w:sz w:val="24"/>
          <w:szCs w:val="24"/>
          <w:lang w:eastAsia="es-CO"/>
        </w:rPr>
        <w:t xml:space="preserve">universidades y entes multilaterales, quienes “realizaron un estudio sobre el tema, el cual concluye que destinar recursos en estímulos para este sector es una apuesta </w:t>
      </w:r>
      <w:r>
        <w:rPr>
          <w:rFonts w:ascii="Arial" w:eastAsia="Times New Roman" w:hAnsi="Arial"/>
          <w:sz w:val="24"/>
          <w:szCs w:val="24"/>
          <w:lang w:eastAsia="es-CO"/>
        </w:rPr>
        <w:lastRenderedPageBreak/>
        <w:t>segura. En el informe, (…) la Upme dice que el costo total de implementar los incentivos</w:t>
      </w:r>
      <w:r>
        <w:rPr>
          <w:rFonts w:ascii="Arial" w:eastAsia="Times New Roman" w:hAnsi="Arial"/>
          <w:sz w:val="24"/>
          <w:szCs w:val="24"/>
          <w:lang w:eastAsia="es-CO"/>
        </w:rPr>
        <w:t xml:space="preserve"> fijados en la Ley de Energías Renovables No Convencionales (1715 de 2014) sería de 554 millones de dólares, en los próximos quince años. La ley incluye entre este tipo de energías a la solar fotovoltaica, eólica, pequeños aprovechamientos hidroeléctricos,</w:t>
      </w:r>
      <w:r>
        <w:rPr>
          <w:rFonts w:ascii="Arial" w:eastAsia="Times New Roman" w:hAnsi="Arial"/>
          <w:sz w:val="24"/>
          <w:szCs w:val="24"/>
          <w:lang w:eastAsia="es-CO"/>
        </w:rPr>
        <w:t xml:space="preserve"> geotérmica y la producida con biomasa, como el bagazo de caña de azúcar. Por otro lado, el beneficio de estos incentivos sería de 775 millones de dólares, lo que implica una ganancia neta de 221 millones de dólares en esos tres lustros. (…). Entre los ben</w:t>
      </w:r>
      <w:r>
        <w:rPr>
          <w:rFonts w:ascii="Arial" w:eastAsia="Times New Roman" w:hAnsi="Arial"/>
          <w:sz w:val="24"/>
          <w:szCs w:val="24"/>
          <w:lang w:eastAsia="es-CO"/>
        </w:rPr>
        <w:t>eficios, tiene en cuenta tanto el desarrollo económico generado por la evolución de este negocio, como los beneficios sociales en generación de empleo, ambientales en reducción de emisiones y menores impactos para la salud y la biodiversidad”</w:t>
      </w:r>
      <w:r>
        <w:rPr>
          <w:rStyle w:val="Refdenotaalpie"/>
          <w:rFonts w:ascii="Arial" w:eastAsia="Times New Roman" w:hAnsi="Arial"/>
          <w:sz w:val="24"/>
          <w:szCs w:val="24"/>
          <w:lang w:eastAsia="es-CO"/>
        </w:rPr>
        <w:footnoteReference w:id="18"/>
      </w:r>
      <w:r>
        <w:rPr>
          <w:rFonts w:ascii="Arial" w:eastAsia="Times New Roman" w:hAnsi="Arial"/>
          <w:sz w:val="24"/>
          <w:szCs w:val="24"/>
          <w:lang w:eastAsia="es-CO"/>
        </w:rPr>
        <w:t>.</w:t>
      </w:r>
    </w:p>
    <w:p w:rsidR="00F702BF" w:rsidRDefault="00F702BF">
      <w:pPr>
        <w:spacing w:after="0" w:line="240" w:lineRule="auto"/>
        <w:jc w:val="both"/>
        <w:rPr>
          <w:rFonts w:ascii="Arial" w:eastAsia="Times New Roman" w:hAnsi="Arial"/>
          <w:b/>
          <w:sz w:val="24"/>
          <w:szCs w:val="24"/>
          <w:lang w:eastAsia="es-CO"/>
        </w:rPr>
      </w:pPr>
    </w:p>
    <w:p w:rsidR="00F702BF" w:rsidRDefault="00F0380A">
      <w:pPr>
        <w:spacing w:after="0" w:line="240" w:lineRule="auto"/>
        <w:jc w:val="both"/>
      </w:pPr>
      <w:r>
        <w:rPr>
          <w:rFonts w:ascii="Arial" w:eastAsia="Times New Roman" w:hAnsi="Arial"/>
          <w:kern w:val="3"/>
          <w:sz w:val="24"/>
          <w:szCs w:val="24"/>
          <w:lang w:eastAsia="es-CO"/>
        </w:rPr>
        <w:t>Una excelente noticia</w:t>
      </w:r>
      <w:r>
        <w:rPr>
          <w:rStyle w:val="Refdenotaalpie"/>
          <w:rFonts w:ascii="Arial" w:eastAsia="Times New Roman" w:hAnsi="Arial"/>
          <w:kern w:val="3"/>
          <w:sz w:val="24"/>
          <w:szCs w:val="24"/>
          <w:lang w:eastAsia="es-CO"/>
        </w:rPr>
        <w:footnoteReference w:id="19"/>
      </w:r>
      <w:r>
        <w:rPr>
          <w:rFonts w:ascii="Arial" w:eastAsia="Times New Roman" w:hAnsi="Arial"/>
          <w:kern w:val="3"/>
          <w:sz w:val="24"/>
          <w:szCs w:val="24"/>
          <w:lang w:eastAsia="es-CO"/>
        </w:rPr>
        <w:t xml:space="preserve"> que ratifica el fin que busca el presente proyec</w:t>
      </w:r>
      <w:r>
        <w:rPr>
          <w:rFonts w:ascii="Arial" w:eastAsia="Times New Roman" w:hAnsi="Arial"/>
          <w:kern w:val="3"/>
          <w:sz w:val="24"/>
          <w:szCs w:val="24"/>
          <w:lang w:eastAsia="es-CO"/>
        </w:rPr>
        <w:t>to de Acto Legislativo fue la que dio el Gobierno Nacional según la cual “</w:t>
      </w:r>
      <w:r>
        <w:rPr>
          <w:rFonts w:ascii="Arial" w:eastAsia="Times New Roman" w:hAnsi="Arial"/>
          <w:sz w:val="24"/>
          <w:szCs w:val="24"/>
          <w:lang w:eastAsia="es-CO"/>
        </w:rPr>
        <w:t xml:space="preserve">Este tipo de energía llegará en los próximos cinco años a 4.600 familias isleñas de estratos menos favorecidos. </w:t>
      </w:r>
      <w:r>
        <w:rPr>
          <w:rFonts w:ascii="Arial" w:eastAsia="Times New Roman" w:hAnsi="Arial"/>
          <w:bCs/>
          <w:sz w:val="24"/>
          <w:szCs w:val="24"/>
          <w:lang w:eastAsia="es-CO"/>
        </w:rPr>
        <w:t>El </w:t>
      </w:r>
      <w:hyperlink r:id="rId13" w:history="1">
        <w:r>
          <w:rPr>
            <w:rFonts w:ascii="Arial" w:eastAsia="Times New Roman" w:hAnsi="Arial"/>
            <w:bCs/>
            <w:sz w:val="24"/>
            <w:szCs w:val="24"/>
            <w:lang w:eastAsia="es-CO"/>
          </w:rPr>
          <w:t>Gobierno colombiano</w:t>
        </w:r>
      </w:hyperlink>
      <w:r>
        <w:rPr>
          <w:rFonts w:ascii="Arial" w:eastAsia="Times New Roman" w:hAnsi="Arial"/>
          <w:bCs/>
          <w:sz w:val="24"/>
          <w:szCs w:val="24"/>
          <w:lang w:eastAsia="es-CO"/>
        </w:rPr>
        <w:t> anunció un programa de energía renovable que beneficiará a más de 60.000 personas del país,</w:t>
      </w:r>
      <w:r>
        <w:rPr>
          <w:rFonts w:ascii="Arial" w:eastAsia="Times New Roman" w:hAnsi="Arial"/>
          <w:b/>
          <w:bCs/>
          <w:sz w:val="24"/>
          <w:szCs w:val="24"/>
          <w:lang w:eastAsia="es-CO"/>
        </w:rPr>
        <w:t> </w:t>
      </w:r>
      <w:r>
        <w:rPr>
          <w:rFonts w:ascii="Arial" w:eastAsia="Times New Roman" w:hAnsi="Arial"/>
          <w:sz w:val="24"/>
          <w:szCs w:val="24"/>
          <w:lang w:eastAsia="es-CO"/>
        </w:rPr>
        <w:t>principalmente en departamentos afectados por el conflicto, iniciativa en la que se harán inversiones superiores a los 200.000 millones de pe</w:t>
      </w:r>
      <w:r>
        <w:rPr>
          <w:rFonts w:ascii="Arial" w:eastAsia="Times New Roman" w:hAnsi="Arial"/>
          <w:sz w:val="24"/>
          <w:szCs w:val="24"/>
          <w:lang w:eastAsia="es-CO"/>
        </w:rPr>
        <w:t>sos (unos 69 millones de dólares). </w:t>
      </w:r>
      <w:r>
        <w:rPr>
          <w:rFonts w:ascii="Arial" w:eastAsia="Times New Roman" w:hAnsi="Arial"/>
          <w:bCs/>
          <w:sz w:val="24"/>
          <w:szCs w:val="24"/>
          <w:lang w:eastAsia="es-CO"/>
        </w:rPr>
        <w:t>Los beneficiarios son pobladores de los departamentos de Arauca, Cauca, Caquetá, Córdoba, La Guajira, Guaviare, Magdalena, Meta, Putumayo, Vaupés y Vichada</w:t>
      </w:r>
      <w:r>
        <w:rPr>
          <w:rFonts w:ascii="Arial" w:eastAsia="Times New Roman" w:hAnsi="Arial"/>
          <w:sz w:val="24"/>
          <w:szCs w:val="24"/>
          <w:lang w:eastAsia="es-CO"/>
        </w:rPr>
        <w:t> que disponen de la viabilidad técnica y financiera para adelantar</w:t>
      </w:r>
      <w:r>
        <w:rPr>
          <w:rFonts w:ascii="Arial" w:eastAsia="Times New Roman" w:hAnsi="Arial"/>
          <w:sz w:val="24"/>
          <w:szCs w:val="24"/>
          <w:lang w:eastAsia="es-CO"/>
        </w:rPr>
        <w:t xml:space="preserve"> proyectos de energía fotovoltaica, informó el </w:t>
      </w:r>
      <w:hyperlink r:id="rId14" w:history="1">
        <w:r>
          <w:rPr>
            <w:rFonts w:ascii="Arial" w:eastAsia="Times New Roman" w:hAnsi="Arial"/>
            <w:sz w:val="24"/>
            <w:szCs w:val="24"/>
            <w:lang w:eastAsia="es-CO"/>
          </w:rPr>
          <w:t>Ministerio de Minas y Energía</w:t>
        </w:r>
      </w:hyperlink>
      <w:r>
        <w:rPr>
          <w:rFonts w:ascii="Arial" w:eastAsia="Times New Roman" w:hAnsi="Arial"/>
          <w:sz w:val="24"/>
          <w:szCs w:val="24"/>
          <w:lang w:eastAsia="es-CO"/>
        </w:rPr>
        <w:t xml:space="preserve"> en un comunicado. </w:t>
      </w:r>
      <w:hyperlink r:id="rId15" w:history="1"/>
      <w:r>
        <w:rPr>
          <w:rFonts w:ascii="Arial" w:eastAsia="Times New Roman" w:hAnsi="Arial"/>
          <w:sz w:val="24"/>
          <w:szCs w:val="24"/>
          <w:lang w:val="es-ES" w:eastAsia="es-CO"/>
        </w:rPr>
        <w:t xml:space="preserve">12 deptos contarán con $169 mil </w:t>
      </w:r>
      <w:r>
        <w:rPr>
          <w:rFonts w:ascii="Arial" w:eastAsia="Times New Roman" w:hAnsi="Arial"/>
          <w:sz w:val="24"/>
          <w:szCs w:val="24"/>
          <w:lang w:val="es-ES" w:eastAsia="es-CO"/>
        </w:rPr>
        <w:t xml:space="preserve">millones para inversiones en proyectos de energía fotovoltáica en comunidades hoy sin energía </w:t>
      </w:r>
      <w:r>
        <w:rPr>
          <w:rFonts w:ascii="Arial" w:eastAsia="Times New Roman" w:hAnsi="Arial"/>
          <w:sz w:val="24"/>
          <w:szCs w:val="24"/>
          <w:lang w:eastAsia="es-CO"/>
        </w:rPr>
        <w:t>Se trata de </w:t>
      </w:r>
      <w:r>
        <w:rPr>
          <w:rFonts w:ascii="Arial" w:eastAsia="Times New Roman" w:hAnsi="Arial"/>
          <w:b/>
          <w:bCs/>
          <w:sz w:val="24"/>
          <w:szCs w:val="24"/>
          <w:lang w:eastAsia="es-CO"/>
        </w:rPr>
        <w:t>proyectos que estimulan la producción de energías limpias, promueven y aseguran el uso racional y eficiente de la </w:t>
      </w:r>
      <w:hyperlink r:id="rId16" w:history="1">
        <w:r>
          <w:rPr>
            <w:rFonts w:ascii="Arial" w:eastAsia="Times New Roman" w:hAnsi="Arial"/>
            <w:b/>
            <w:bCs/>
            <w:sz w:val="24"/>
            <w:szCs w:val="24"/>
            <w:lang w:eastAsia="es-CO"/>
          </w:rPr>
          <w:t>energía</w:t>
        </w:r>
      </w:hyperlink>
      <w:r>
        <w:rPr>
          <w:rFonts w:ascii="Arial" w:eastAsia="Times New Roman" w:hAnsi="Arial"/>
          <w:b/>
          <w:bCs/>
          <w:sz w:val="24"/>
          <w:szCs w:val="24"/>
          <w:lang w:eastAsia="es-CO"/>
        </w:rPr>
        <w:t> y llevan el servicio a 60.000 personas</w:t>
      </w:r>
      <w:r>
        <w:rPr>
          <w:rFonts w:ascii="Arial" w:eastAsia="Times New Roman" w:hAnsi="Arial"/>
          <w:sz w:val="24"/>
          <w:szCs w:val="24"/>
          <w:lang w:eastAsia="es-CO"/>
        </w:rPr>
        <w:t xml:space="preserve"> que, por primera vez, contarán con este servicio básico. Entre los departamentos que se favorecerán con este plan está el de San Andrés, donde un grupo de viviendas y locales comerciales </w:t>
      </w:r>
      <w:r>
        <w:rPr>
          <w:rFonts w:ascii="Arial" w:eastAsia="Times New Roman" w:hAnsi="Arial"/>
          <w:sz w:val="24"/>
          <w:szCs w:val="24"/>
          <w:lang w:eastAsia="es-CO"/>
        </w:rPr>
        <w:t>contará con suministro con energía solar, al igual que un colegio y una iglesia Bautista. "Energía limpia y menos costosa, financiada con recursos del BID (Banco Interamericano de Desarrollo) para un proyecto piloto que se extenderá por el resto del archip</w:t>
      </w:r>
      <w:r>
        <w:rPr>
          <w:rFonts w:ascii="Arial" w:eastAsia="Times New Roman" w:hAnsi="Arial"/>
          <w:sz w:val="24"/>
          <w:szCs w:val="24"/>
          <w:lang w:eastAsia="es-CO"/>
        </w:rPr>
        <w:t xml:space="preserve">iélago", dijo el presidente colombiano, Juan Manuel Santos, quien visitó a San Andrés en donde entregó un colegio y viviendas gratis para </w:t>
      </w:r>
      <w:r>
        <w:rPr>
          <w:rFonts w:ascii="Arial" w:eastAsia="Times New Roman" w:hAnsi="Arial"/>
          <w:sz w:val="24"/>
          <w:szCs w:val="24"/>
          <w:lang w:eastAsia="es-CO"/>
        </w:rPr>
        <w:lastRenderedPageBreak/>
        <w:t>población. El jefe de Estado, citado en el comunicado del Ministerio de Minas, agrega que </w:t>
      </w:r>
      <w:r>
        <w:rPr>
          <w:rFonts w:ascii="Arial" w:eastAsia="Times New Roman" w:hAnsi="Arial"/>
          <w:b/>
          <w:bCs/>
          <w:sz w:val="24"/>
          <w:szCs w:val="24"/>
          <w:lang w:eastAsia="es-CO"/>
        </w:rPr>
        <w:t>este tipo de energía llegará</w:t>
      </w:r>
      <w:r>
        <w:rPr>
          <w:rFonts w:ascii="Arial" w:eastAsia="Times New Roman" w:hAnsi="Arial"/>
          <w:b/>
          <w:bCs/>
          <w:sz w:val="24"/>
          <w:szCs w:val="24"/>
          <w:lang w:eastAsia="es-CO"/>
        </w:rPr>
        <w:t xml:space="preserve"> en los próximos cinco años a 4.600 familias isleñas de estratos menos favorecidos, a 230 usuarios comerciales y 35 dependencias oficiales. </w:t>
      </w:r>
      <w:r>
        <w:rPr>
          <w:rFonts w:ascii="Arial" w:eastAsia="Times New Roman" w:hAnsi="Arial"/>
          <w:sz w:val="24"/>
          <w:szCs w:val="24"/>
          <w:lang w:eastAsia="es-CO"/>
        </w:rPr>
        <w:t xml:space="preserve">"Estas buenas noticias ratifican a Colombia como una de las diez superpotencias mundiales en generación de energías </w:t>
      </w:r>
      <w:r>
        <w:rPr>
          <w:rFonts w:ascii="Arial" w:eastAsia="Times New Roman" w:hAnsi="Arial"/>
          <w:sz w:val="24"/>
          <w:szCs w:val="24"/>
          <w:lang w:eastAsia="es-CO"/>
        </w:rPr>
        <w:t>renovables (de acuerdo con el World Economic Forum -WEF por su sigla en inglés) que cuentan con una matriz energética limpia", aseguró el ministro de Minas y Energía, Germán Arce. </w:t>
      </w:r>
    </w:p>
    <w:p w:rsidR="00F702BF" w:rsidRDefault="00F702BF">
      <w:pPr>
        <w:spacing w:after="0" w:line="240" w:lineRule="auto"/>
        <w:jc w:val="both"/>
        <w:textAlignment w:val="center"/>
        <w:rPr>
          <w:rFonts w:ascii="Arial" w:hAnsi="Arial"/>
          <w:bCs/>
          <w:sz w:val="24"/>
          <w:szCs w:val="24"/>
          <w:lang w:val="es-ES_tradnl"/>
        </w:rPr>
      </w:pPr>
    </w:p>
    <w:p w:rsidR="00F702BF" w:rsidRDefault="00F0380A">
      <w:pPr>
        <w:spacing w:after="0" w:line="240" w:lineRule="auto"/>
        <w:jc w:val="both"/>
        <w:textAlignment w:val="center"/>
        <w:rPr>
          <w:rFonts w:ascii="Arial" w:hAnsi="Arial"/>
          <w:b/>
          <w:bCs/>
          <w:color w:val="FF0000"/>
          <w:sz w:val="24"/>
          <w:szCs w:val="24"/>
          <w:lang w:val="es-ES_tradnl"/>
        </w:rPr>
      </w:pPr>
      <w:r>
        <w:rPr>
          <w:rFonts w:ascii="Arial" w:hAnsi="Arial"/>
          <w:b/>
          <w:bCs/>
          <w:color w:val="FF0000"/>
          <w:sz w:val="24"/>
          <w:szCs w:val="24"/>
          <w:lang w:val="es-ES_tradnl"/>
        </w:rPr>
        <w:t>CONSIDERACIONES FINALES</w:t>
      </w:r>
    </w:p>
    <w:p w:rsidR="00F702BF" w:rsidRDefault="00F702BF">
      <w:pPr>
        <w:spacing w:after="0" w:line="240" w:lineRule="auto"/>
        <w:jc w:val="both"/>
        <w:textAlignment w:val="center"/>
        <w:rPr>
          <w:rFonts w:ascii="Arial" w:hAnsi="Arial"/>
          <w:bCs/>
          <w:color w:val="FF0000"/>
          <w:sz w:val="24"/>
          <w:szCs w:val="24"/>
          <w:lang w:val="es-ES_tradnl"/>
        </w:rPr>
      </w:pPr>
    </w:p>
    <w:p w:rsidR="00F702BF" w:rsidRDefault="00F0380A">
      <w:pPr>
        <w:spacing w:after="0" w:line="240" w:lineRule="auto"/>
        <w:jc w:val="both"/>
        <w:textAlignment w:val="center"/>
      </w:pPr>
      <w:r>
        <w:rPr>
          <w:rFonts w:ascii="Arial" w:hAnsi="Arial"/>
          <w:bCs/>
          <w:color w:val="FF0000"/>
          <w:sz w:val="24"/>
          <w:szCs w:val="24"/>
          <w:lang w:val="es-ES_tradnl"/>
        </w:rPr>
        <w:t>El país se debe preparar para el futuro fortaleci</w:t>
      </w:r>
      <w:r>
        <w:rPr>
          <w:rFonts w:ascii="Arial" w:hAnsi="Arial"/>
          <w:bCs/>
          <w:color w:val="FF0000"/>
          <w:sz w:val="24"/>
          <w:szCs w:val="24"/>
          <w:lang w:val="es-ES_tradnl"/>
        </w:rPr>
        <w:t xml:space="preserve">endo la infraestructura de generación del país para afrontar los grandes retos que le aguardan en el futuro, entre ellas mitigar los riesgos del </w:t>
      </w:r>
      <w:r>
        <w:rPr>
          <w:rFonts w:ascii="Arial" w:hAnsi="Arial"/>
          <w:b/>
          <w:bCs/>
          <w:color w:val="FF0000"/>
          <w:sz w:val="24"/>
          <w:szCs w:val="24"/>
          <w:lang w:val="es-ES_tradnl"/>
        </w:rPr>
        <w:t>fenómeno del niño</w:t>
      </w:r>
      <w:r>
        <w:rPr>
          <w:rFonts w:ascii="Arial" w:hAnsi="Arial"/>
          <w:bCs/>
          <w:color w:val="FF0000"/>
          <w:sz w:val="24"/>
          <w:szCs w:val="24"/>
          <w:lang w:val="es-ES_tradnl"/>
        </w:rPr>
        <w:t xml:space="preserve"> y atender la gran demanda de energía que se tiene prevista por parte de los grandes proyectos</w:t>
      </w:r>
      <w:r>
        <w:rPr>
          <w:rFonts w:ascii="Arial" w:hAnsi="Arial"/>
          <w:bCs/>
          <w:color w:val="FF0000"/>
          <w:sz w:val="24"/>
          <w:szCs w:val="24"/>
          <w:lang w:val="es-ES_tradnl"/>
        </w:rPr>
        <w:t xml:space="preserve"> entre ellos: Sector petrolero, sector minero, sector portuario, </w:t>
      </w:r>
      <w:r>
        <w:rPr>
          <w:rFonts w:ascii="Arial" w:hAnsi="Arial"/>
          <w:b/>
          <w:bCs/>
          <w:color w:val="FF0000"/>
          <w:sz w:val="24"/>
          <w:szCs w:val="24"/>
          <w:lang w:val="es-ES_tradnl"/>
        </w:rPr>
        <w:t>Metro de Bogotá D.C y vehículos eléctricos</w:t>
      </w:r>
      <w:r>
        <w:rPr>
          <w:rFonts w:ascii="Arial" w:hAnsi="Arial"/>
          <w:bCs/>
          <w:color w:val="FF0000"/>
          <w:sz w:val="24"/>
          <w:szCs w:val="24"/>
          <w:lang w:val="es-ES_tradnl"/>
        </w:rPr>
        <w:t xml:space="preserve">. </w:t>
      </w:r>
    </w:p>
    <w:p w:rsidR="00F702BF" w:rsidRDefault="00F702BF">
      <w:pPr>
        <w:spacing w:after="0" w:line="240" w:lineRule="auto"/>
        <w:jc w:val="both"/>
        <w:textAlignment w:val="center"/>
        <w:rPr>
          <w:rFonts w:ascii="Arial" w:hAnsi="Arial"/>
          <w:bCs/>
          <w:color w:val="FF0000"/>
          <w:sz w:val="24"/>
          <w:szCs w:val="24"/>
          <w:lang w:val="es-ES_tradnl"/>
        </w:rPr>
      </w:pPr>
    </w:p>
    <w:p w:rsidR="00F702BF" w:rsidRDefault="00F0380A">
      <w:pPr>
        <w:spacing w:after="0" w:line="240" w:lineRule="auto"/>
        <w:jc w:val="both"/>
        <w:textAlignment w:val="center"/>
        <w:rPr>
          <w:rFonts w:ascii="Arial" w:hAnsi="Arial"/>
          <w:bCs/>
          <w:color w:val="FF0000"/>
          <w:sz w:val="24"/>
          <w:szCs w:val="24"/>
          <w:lang w:val="es-ES_tradnl"/>
        </w:rPr>
      </w:pPr>
      <w:r>
        <w:rPr>
          <w:rFonts w:ascii="Arial" w:hAnsi="Arial"/>
          <w:bCs/>
          <w:color w:val="FF0000"/>
          <w:sz w:val="24"/>
          <w:szCs w:val="24"/>
          <w:lang w:val="es-ES_tradnl"/>
        </w:rPr>
        <w:t>Lo relacionado con la proyección de la demanda de potencia máxima anual de los Grandes Consumidores Especiales (GCE) – MW, se puede apreciar en l</w:t>
      </w:r>
      <w:r>
        <w:rPr>
          <w:rFonts w:ascii="Arial" w:hAnsi="Arial"/>
          <w:bCs/>
          <w:color w:val="FF0000"/>
          <w:sz w:val="24"/>
          <w:szCs w:val="24"/>
          <w:lang w:val="es-ES_tradnl"/>
        </w:rPr>
        <w:t>a Figura No.7:</w:t>
      </w:r>
    </w:p>
    <w:p w:rsidR="00F702BF" w:rsidRDefault="00F702BF">
      <w:pPr>
        <w:spacing w:after="0" w:line="240" w:lineRule="auto"/>
        <w:jc w:val="both"/>
        <w:textAlignment w:val="center"/>
        <w:rPr>
          <w:rFonts w:ascii="Arial" w:hAnsi="Arial"/>
          <w:bCs/>
          <w:sz w:val="24"/>
          <w:szCs w:val="24"/>
          <w:lang w:val="es-ES_tradnl"/>
        </w:rPr>
      </w:pPr>
    </w:p>
    <w:p w:rsidR="00F702BF" w:rsidRDefault="00F702BF">
      <w:pPr>
        <w:spacing w:after="0" w:line="240" w:lineRule="auto"/>
        <w:jc w:val="both"/>
        <w:textAlignment w:val="center"/>
        <w:rPr>
          <w:rFonts w:ascii="Arial" w:hAnsi="Arial"/>
          <w:bCs/>
          <w:sz w:val="24"/>
          <w:szCs w:val="24"/>
          <w:lang w:val="es-ES_tradnl"/>
        </w:rPr>
      </w:pPr>
    </w:p>
    <w:p w:rsidR="00F702BF" w:rsidRDefault="00F0380A">
      <w:pPr>
        <w:spacing w:after="0" w:line="240" w:lineRule="auto"/>
        <w:jc w:val="both"/>
        <w:textAlignment w:val="center"/>
      </w:pPr>
      <w:r>
        <w:rPr>
          <w:rFonts w:ascii="Arial" w:hAnsi="Arial"/>
          <w:bCs/>
          <w:sz w:val="24"/>
          <w:szCs w:val="24"/>
          <w:lang w:val="es-ES_tradnl"/>
        </w:rPr>
        <w:t xml:space="preserve"> </w:t>
      </w:r>
      <w:r>
        <w:rPr>
          <w:rFonts w:ascii="Arial" w:hAnsi="Arial"/>
          <w:bCs/>
          <w:noProof/>
          <w:sz w:val="24"/>
          <w:szCs w:val="24"/>
          <w:lang w:eastAsia="es-CO"/>
        </w:rPr>
        <w:drawing>
          <wp:inline distT="0" distB="0" distL="0" distR="0">
            <wp:extent cx="5612129" cy="2439674"/>
            <wp:effectExtent l="19050" t="19050" r="26671" b="17776"/>
            <wp:docPr id="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29" cy="2439674"/>
                    </a:xfrm>
                    <a:prstGeom prst="rect">
                      <a:avLst/>
                    </a:prstGeom>
                    <a:noFill/>
                    <a:ln w="9528">
                      <a:solidFill>
                        <a:srgbClr val="5B9BD5"/>
                      </a:solidFill>
                      <a:prstDash val="solid"/>
                    </a:ln>
                  </pic:spPr>
                </pic:pic>
              </a:graphicData>
            </a:graphic>
          </wp:inline>
        </w:drawing>
      </w:r>
    </w:p>
    <w:p w:rsidR="00F702BF" w:rsidRDefault="00F702BF">
      <w:pPr>
        <w:spacing w:after="0" w:line="240" w:lineRule="auto"/>
        <w:jc w:val="both"/>
        <w:textAlignment w:val="center"/>
        <w:rPr>
          <w:rFonts w:ascii="Arial" w:hAnsi="Arial"/>
          <w:bCs/>
          <w:sz w:val="24"/>
          <w:szCs w:val="24"/>
          <w:lang w:val="es-ES_tradnl"/>
        </w:rPr>
      </w:pPr>
    </w:p>
    <w:p w:rsidR="00F702BF" w:rsidRDefault="00F0380A">
      <w:pPr>
        <w:pStyle w:val="Textonotapie"/>
        <w:jc w:val="center"/>
        <w:rPr>
          <w:rFonts w:ascii="Arial" w:eastAsia="Times New Roman" w:hAnsi="Arial"/>
          <w:sz w:val="24"/>
          <w:szCs w:val="24"/>
          <w:lang w:eastAsia="es-CO"/>
        </w:rPr>
      </w:pPr>
      <w:r>
        <w:rPr>
          <w:rFonts w:ascii="Arial" w:eastAsia="Times New Roman" w:hAnsi="Arial"/>
          <w:sz w:val="24"/>
          <w:szCs w:val="24"/>
          <w:lang w:eastAsia="es-CO"/>
        </w:rPr>
        <w:t>Figura 7. Demanda de potencia máxima anual de los Grandes Consumidores Especiales (GCE) – MW. Fuente: Subdirección de Demanda UPME. 2017.</w:t>
      </w:r>
    </w:p>
    <w:p w:rsidR="00F702BF" w:rsidRDefault="00F702BF">
      <w:pPr>
        <w:pStyle w:val="Textonotapie"/>
        <w:jc w:val="center"/>
        <w:rPr>
          <w:rFonts w:ascii="Arial" w:eastAsia="Times New Roman" w:hAnsi="Arial"/>
          <w:sz w:val="24"/>
          <w:szCs w:val="24"/>
          <w:lang w:eastAsia="es-CO"/>
        </w:rPr>
      </w:pPr>
    </w:p>
    <w:p w:rsidR="00F702BF" w:rsidRDefault="00F0380A">
      <w:pPr>
        <w:pStyle w:val="Textonotapie"/>
        <w:jc w:val="both"/>
        <w:rPr>
          <w:rFonts w:ascii="Arial" w:eastAsia="Times New Roman" w:hAnsi="Arial"/>
          <w:color w:val="FF0000"/>
          <w:sz w:val="24"/>
          <w:szCs w:val="24"/>
          <w:lang w:eastAsia="es-CO"/>
        </w:rPr>
      </w:pPr>
      <w:r>
        <w:rPr>
          <w:rFonts w:ascii="Arial" w:eastAsia="Times New Roman" w:hAnsi="Arial"/>
          <w:color w:val="FF0000"/>
          <w:sz w:val="24"/>
          <w:szCs w:val="24"/>
          <w:lang w:eastAsia="es-CO"/>
        </w:rPr>
        <w:lastRenderedPageBreak/>
        <w:t xml:space="preserve">Por otra parte en Departamentos como Arauca y de la Orinoquia, los empresarios del sector </w:t>
      </w:r>
      <w:r>
        <w:rPr>
          <w:rFonts w:ascii="Arial" w:eastAsia="Times New Roman" w:hAnsi="Arial"/>
          <w:color w:val="FF0000"/>
          <w:sz w:val="24"/>
          <w:szCs w:val="24"/>
          <w:lang w:eastAsia="es-CO"/>
        </w:rPr>
        <w:t>lechero manifiestan quejas permanentes por los elevados costos de la energía y manifiestan: “No hay negocio que dé para pagar la luz”, entonces es importante ver como estos recursos pueden financiar proyectos que permitan que este tipo de empresas se vuelv</w:t>
      </w:r>
      <w:r>
        <w:rPr>
          <w:rFonts w:ascii="Arial" w:eastAsia="Times New Roman" w:hAnsi="Arial"/>
          <w:color w:val="FF0000"/>
          <w:sz w:val="24"/>
          <w:szCs w:val="24"/>
          <w:lang w:eastAsia="es-CO"/>
        </w:rPr>
        <w:t>an viables financiera y económicamente. Que el costo de la energía no impacte la calidad ni el precio final de los productos, permite que las empresas en esta región sean más competitivas.</w:t>
      </w:r>
    </w:p>
    <w:p w:rsidR="00F702BF" w:rsidRDefault="00F702BF">
      <w:pPr>
        <w:pStyle w:val="Textonotapie"/>
        <w:jc w:val="both"/>
        <w:rPr>
          <w:rFonts w:ascii="Arial" w:eastAsia="Times New Roman" w:hAnsi="Arial"/>
          <w:color w:val="FF0000"/>
          <w:sz w:val="24"/>
          <w:szCs w:val="24"/>
          <w:lang w:eastAsia="es-CO"/>
        </w:rPr>
      </w:pPr>
    </w:p>
    <w:p w:rsidR="00F702BF" w:rsidRDefault="00F0380A">
      <w:pPr>
        <w:pStyle w:val="Textonotapie"/>
        <w:jc w:val="both"/>
        <w:rPr>
          <w:rFonts w:ascii="Arial" w:eastAsia="Times New Roman" w:hAnsi="Arial"/>
          <w:color w:val="FF0000"/>
          <w:sz w:val="24"/>
          <w:szCs w:val="24"/>
          <w:lang w:eastAsia="es-CO"/>
        </w:rPr>
      </w:pPr>
      <w:r>
        <w:rPr>
          <w:rFonts w:ascii="Arial" w:eastAsia="Times New Roman" w:hAnsi="Arial"/>
          <w:color w:val="FF0000"/>
          <w:sz w:val="24"/>
          <w:szCs w:val="24"/>
          <w:lang w:eastAsia="es-CO"/>
        </w:rPr>
        <w:t>La queja anterior por los elevados costos de la energía en el Depa</w:t>
      </w:r>
      <w:r>
        <w:rPr>
          <w:rFonts w:ascii="Arial" w:eastAsia="Times New Roman" w:hAnsi="Arial"/>
          <w:color w:val="FF0000"/>
          <w:sz w:val="24"/>
          <w:szCs w:val="24"/>
          <w:lang w:eastAsia="es-CO"/>
        </w:rPr>
        <w:t>rtamento de Arauca, se extiende a todos los sectores productivos. Por lo anterior la importancia de este proyecto de Ley, que impactará directamente sobre el sector productivo con el fin de reducir costos de producción, innovarlo y mejorar la competitivida</w:t>
      </w:r>
      <w:r>
        <w:rPr>
          <w:rFonts w:ascii="Arial" w:eastAsia="Times New Roman" w:hAnsi="Arial"/>
          <w:color w:val="FF0000"/>
          <w:sz w:val="24"/>
          <w:szCs w:val="24"/>
          <w:lang w:eastAsia="es-CO"/>
        </w:rPr>
        <w:t>d generando desarrollo para las regiones.</w:t>
      </w:r>
    </w:p>
    <w:p w:rsidR="00F702BF" w:rsidRDefault="00F702BF">
      <w:pPr>
        <w:pStyle w:val="Textonotapie"/>
        <w:jc w:val="both"/>
        <w:rPr>
          <w:rFonts w:ascii="Arial" w:eastAsia="Times New Roman" w:hAnsi="Arial"/>
          <w:color w:val="FF0000"/>
          <w:sz w:val="24"/>
          <w:szCs w:val="24"/>
          <w:lang w:eastAsia="es-CO"/>
        </w:rPr>
      </w:pPr>
    </w:p>
    <w:p w:rsidR="00F702BF" w:rsidRDefault="00F702BF">
      <w:pPr>
        <w:pStyle w:val="Textonotapie"/>
        <w:jc w:val="both"/>
        <w:rPr>
          <w:rFonts w:ascii="Arial" w:eastAsia="Times New Roman" w:hAnsi="Arial"/>
          <w:color w:val="FF0000"/>
          <w:sz w:val="24"/>
          <w:szCs w:val="24"/>
          <w:lang w:eastAsia="es-CO"/>
        </w:rPr>
      </w:pPr>
    </w:p>
    <w:p w:rsidR="00F702BF" w:rsidRDefault="00F0380A">
      <w:pPr>
        <w:spacing w:after="0" w:line="240" w:lineRule="auto"/>
        <w:jc w:val="both"/>
        <w:textAlignment w:val="center"/>
        <w:rPr>
          <w:rFonts w:ascii="Arial" w:hAnsi="Arial"/>
          <w:b/>
          <w:bCs/>
          <w:sz w:val="24"/>
          <w:szCs w:val="24"/>
          <w:lang w:val="es-ES_tradnl"/>
        </w:rPr>
      </w:pPr>
      <w:r>
        <w:rPr>
          <w:rFonts w:ascii="Arial" w:hAnsi="Arial"/>
          <w:b/>
          <w:bCs/>
          <w:sz w:val="24"/>
          <w:szCs w:val="24"/>
          <w:lang w:val="es-ES_tradnl"/>
        </w:rPr>
        <w:t>IV. CONSIDERACIONES DEL PONENTE</w:t>
      </w:r>
    </w:p>
    <w:p w:rsidR="00F702BF" w:rsidRDefault="00F702BF">
      <w:pPr>
        <w:spacing w:after="0" w:line="240" w:lineRule="auto"/>
        <w:jc w:val="both"/>
        <w:textAlignment w:val="center"/>
        <w:rPr>
          <w:rFonts w:ascii="Arial" w:hAnsi="Arial"/>
          <w:b/>
          <w:bCs/>
          <w:sz w:val="24"/>
          <w:szCs w:val="24"/>
          <w:lang w:val="es-ES_tradnl"/>
        </w:rPr>
      </w:pPr>
    </w:p>
    <w:p w:rsidR="00F702BF" w:rsidRDefault="00F0380A">
      <w:pPr>
        <w:spacing w:after="0" w:line="240" w:lineRule="auto"/>
        <w:jc w:val="both"/>
        <w:textAlignment w:val="center"/>
      </w:pPr>
      <w:r>
        <w:rPr>
          <w:rFonts w:ascii="Arial" w:hAnsi="Arial"/>
          <w:sz w:val="24"/>
          <w:szCs w:val="24"/>
          <w:lang w:val="es-ES_tradnl"/>
        </w:rPr>
        <w:t xml:space="preserve">El </w:t>
      </w:r>
      <w:r>
        <w:rPr>
          <w:rFonts w:ascii="Arial" w:hAnsi="Arial"/>
          <w:bCs/>
          <w:i/>
          <w:sz w:val="24"/>
          <w:szCs w:val="24"/>
          <w:lang w:val="es-ES_tradnl"/>
        </w:rPr>
        <w:t xml:space="preserve">Proyecto </w:t>
      </w:r>
      <w:r>
        <w:rPr>
          <w:rFonts w:ascii="Arial" w:hAnsi="Arial"/>
          <w:bCs/>
          <w:i/>
          <w:sz w:val="24"/>
          <w:szCs w:val="24"/>
          <w:lang w:val="es-ES"/>
        </w:rPr>
        <w:t xml:space="preserve">de acto legislativo No. 155 de 2017 cámara “Por medio del cual se modifica el </w:t>
      </w:r>
      <w:r>
        <w:rPr>
          <w:rFonts w:ascii="Arial" w:hAnsi="Arial"/>
          <w:bCs/>
          <w:i/>
          <w:sz w:val="24"/>
          <w:szCs w:val="24"/>
        </w:rPr>
        <w:t xml:space="preserve">parágrafo 2° del artículo 2° del </w:t>
      </w:r>
      <w:r>
        <w:rPr>
          <w:rFonts w:ascii="Arial" w:hAnsi="Arial"/>
          <w:bCs/>
          <w:i/>
          <w:sz w:val="24"/>
          <w:szCs w:val="24"/>
          <w:lang w:val="es-ES"/>
        </w:rPr>
        <w:t>Acto Legislativo 005 de 2011”</w:t>
      </w:r>
      <w:r>
        <w:rPr>
          <w:rFonts w:ascii="Arial" w:hAnsi="Arial"/>
          <w:bCs/>
          <w:sz w:val="24"/>
          <w:szCs w:val="24"/>
          <w:lang w:val="es-ES"/>
        </w:rPr>
        <w:t xml:space="preserve">, </w:t>
      </w:r>
      <w:r>
        <w:rPr>
          <w:rFonts w:ascii="Arial" w:hAnsi="Arial"/>
          <w:sz w:val="24"/>
          <w:szCs w:val="24"/>
          <w:lang w:val="es-ES_tradnl"/>
        </w:rPr>
        <w:t xml:space="preserve">no es contrario a los </w:t>
      </w:r>
      <w:r>
        <w:rPr>
          <w:rFonts w:ascii="Arial" w:hAnsi="Arial"/>
          <w:sz w:val="24"/>
          <w:szCs w:val="24"/>
          <w:lang w:val="es-ES_tradnl"/>
        </w:rPr>
        <w:t>preceptos constitucionales que son aplicables para la materia de la que se ocupa dicho e proyecto. Está ajustado en materia legal por cuanto respeta el marco previsto para el manejo de las regalías. No introduce cambios en las reglas de juego, pero sí trat</w:t>
      </w:r>
      <w:r>
        <w:rPr>
          <w:rFonts w:ascii="Arial" w:hAnsi="Arial"/>
          <w:sz w:val="24"/>
          <w:szCs w:val="24"/>
          <w:lang w:val="es-ES_tradnl"/>
        </w:rPr>
        <w:t xml:space="preserve">a de darle mayor eficiencia al manejo de esos recursos proponiendo una modificación al parágrafo 2° del artículo 2° del Acto Legislativo 005 de 2011. </w:t>
      </w: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textAlignment w:val="center"/>
      </w:pPr>
      <w:r>
        <w:rPr>
          <w:rFonts w:ascii="Arial" w:hAnsi="Arial"/>
          <w:sz w:val="24"/>
          <w:szCs w:val="24"/>
          <w:lang w:val="es-ES_tradnl"/>
        </w:rPr>
        <w:t xml:space="preserve">De otro lado, el proyecto se inscribe con toda claridad en la necesidad que tiene el país de articular </w:t>
      </w:r>
      <w:r>
        <w:rPr>
          <w:rFonts w:ascii="Arial" w:eastAsia="Times New Roman" w:hAnsi="Arial"/>
          <w:bCs/>
          <w:sz w:val="24"/>
          <w:szCs w:val="24"/>
          <w:lang w:eastAsia="es-CO"/>
        </w:rPr>
        <w:t>l</w:t>
      </w:r>
      <w:r>
        <w:rPr>
          <w:rFonts w:ascii="Arial" w:eastAsia="Times New Roman" w:hAnsi="Arial"/>
          <w:bCs/>
          <w:sz w:val="24"/>
          <w:szCs w:val="24"/>
          <w:lang w:eastAsia="es-CO"/>
        </w:rPr>
        <w:t>as energías renovables no convencionales al Sistema Energético Nacional previsto en</w:t>
      </w:r>
      <w:r>
        <w:rPr>
          <w:rFonts w:ascii="Arial" w:eastAsia="Times New Roman" w:hAnsi="Arial"/>
          <w:sz w:val="24"/>
          <w:szCs w:val="24"/>
          <w:lang w:eastAsia="es-CO"/>
        </w:rPr>
        <w:t xml:space="preserve"> la </w:t>
      </w:r>
      <w:r>
        <w:rPr>
          <w:rFonts w:ascii="Arial" w:eastAsia="Times New Roman" w:hAnsi="Arial"/>
          <w:bCs/>
          <w:sz w:val="24"/>
          <w:szCs w:val="24"/>
          <w:lang w:eastAsia="es-CO"/>
        </w:rPr>
        <w:t xml:space="preserve">ley 1715 de 2014, teniendo en cuenta factores como la apuesta del país a los compromisos sobre el cambio climático y las carencias de suministro de energía en las zonas </w:t>
      </w:r>
      <w:r>
        <w:rPr>
          <w:rFonts w:ascii="Arial" w:eastAsia="Times New Roman" w:hAnsi="Arial"/>
          <w:bCs/>
          <w:sz w:val="24"/>
          <w:szCs w:val="24"/>
          <w:lang w:eastAsia="es-CO"/>
        </w:rPr>
        <w:t>no interconectadas.</w:t>
      </w:r>
    </w:p>
    <w:p w:rsidR="00F702BF" w:rsidRDefault="00F702BF">
      <w:pPr>
        <w:spacing w:after="0" w:line="240" w:lineRule="auto"/>
        <w:jc w:val="both"/>
        <w:textAlignment w:val="center"/>
        <w:rPr>
          <w:rFonts w:ascii="Arial" w:hAnsi="Arial"/>
          <w:b/>
          <w:bCs/>
          <w:sz w:val="24"/>
          <w:szCs w:val="24"/>
          <w:lang w:val="es-ES_tradnl"/>
        </w:rPr>
      </w:pPr>
    </w:p>
    <w:p w:rsidR="00F702BF" w:rsidRDefault="00F0380A">
      <w:pPr>
        <w:spacing w:after="0" w:line="240" w:lineRule="auto"/>
        <w:jc w:val="both"/>
        <w:textAlignment w:val="center"/>
      </w:pPr>
      <w:r>
        <w:rPr>
          <w:rFonts w:ascii="Arial" w:hAnsi="Arial"/>
          <w:bCs/>
          <w:sz w:val="24"/>
          <w:szCs w:val="24"/>
          <w:lang w:val="es-ES_tradnl"/>
        </w:rPr>
        <w:t xml:space="preserve">De ese modo el proyecto es un aporte fundamental a </w:t>
      </w:r>
      <w:r>
        <w:rPr>
          <w:rFonts w:ascii="Arial" w:hAnsi="Arial"/>
          <w:sz w:val="24"/>
          <w:szCs w:val="24"/>
          <w:lang w:val="es-ES_tradnl"/>
        </w:rPr>
        <w:t xml:space="preserve">las entidades territoriales para que concentren sus esfuerzos en solucionar una de las problemáticas más acuciantes que tiene tienen el país y las regiones, como es superar el déficit </w:t>
      </w:r>
      <w:r>
        <w:rPr>
          <w:rFonts w:ascii="Arial" w:hAnsi="Arial"/>
          <w:sz w:val="24"/>
          <w:szCs w:val="24"/>
          <w:lang w:val="es-ES_tradnl"/>
        </w:rPr>
        <w:t>energético implementando tecnologías limpias y de bajo costo.</w:t>
      </w: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Así, el articulado propone dos modificaciones muy concretas, a saber:</w:t>
      </w: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-El cincuenta por ciento (50%) de los recursos de que trata este inciso, para financiar los programas y/o proyectos en cie</w:t>
      </w:r>
      <w:r>
        <w:rPr>
          <w:rFonts w:ascii="Arial" w:hAnsi="Arial"/>
          <w:sz w:val="24"/>
          <w:szCs w:val="24"/>
          <w:lang w:val="es-ES_tradnl"/>
        </w:rPr>
        <w:t>ncia, tecnología e innovación de los departamentos, municipios y distritos, serán destinados al desarrollo y la utilización de las Fuentes No Convencionales de Energía Renovable (FNCER), El órgano colegiado de administración y decisión de que trata el pres</w:t>
      </w:r>
      <w:r>
        <w:rPr>
          <w:rFonts w:ascii="Arial" w:hAnsi="Arial"/>
          <w:sz w:val="24"/>
          <w:szCs w:val="24"/>
          <w:lang w:val="es-ES_tradnl"/>
        </w:rPr>
        <w:t xml:space="preserve">ente inciso, cuando defina </w:t>
      </w:r>
      <w:r>
        <w:rPr>
          <w:rFonts w:ascii="Arial" w:hAnsi="Arial"/>
          <w:sz w:val="24"/>
          <w:szCs w:val="24"/>
          <w:lang w:val="es-ES_tradnl"/>
        </w:rPr>
        <w:lastRenderedPageBreak/>
        <w:t>un programa y/o proyecto relacionado con las FNCER incluirá a un (1) representante del Organismo Nacional encargado del manejo de la política pública del sector de las FNCER.</w:t>
      </w:r>
    </w:p>
    <w:p w:rsidR="00F702BF" w:rsidRDefault="00F702BF">
      <w:pPr>
        <w:spacing w:after="0" w:line="240" w:lineRule="auto"/>
        <w:jc w:val="both"/>
        <w:textAlignment w:val="center"/>
        <w:rPr>
          <w:rFonts w:ascii="Arial" w:hAnsi="Arial"/>
          <w:sz w:val="24"/>
          <w:szCs w:val="24"/>
          <w:lang w:val="es-ES_tradnl"/>
        </w:rPr>
      </w:pP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textAlignment w:val="center"/>
      </w:pPr>
      <w:r>
        <w:rPr>
          <w:rFonts w:ascii="Arial" w:hAnsi="Arial"/>
          <w:sz w:val="24"/>
          <w:szCs w:val="24"/>
          <w:lang w:val="es-ES_tradnl"/>
        </w:rPr>
        <w:t>-Los proyectos relacionados con el desarrollo y la u</w:t>
      </w:r>
      <w:r>
        <w:rPr>
          <w:rFonts w:ascii="Arial" w:hAnsi="Arial"/>
          <w:sz w:val="24"/>
          <w:szCs w:val="24"/>
          <w:lang w:val="es-ES_tradnl"/>
        </w:rPr>
        <w:t xml:space="preserve">tilización de las Fuentes No Convencionales de Energía Renovable (FNCER) que sean financiados con los recursos del Fondo de Ciencia, Tecnología e Innovación deberán estar enmarcados en la política nacional del sector de las FNCER </w:t>
      </w:r>
      <w:r>
        <w:rPr>
          <w:rFonts w:ascii="Arial" w:hAnsi="Arial"/>
          <w:color w:val="FF0000"/>
          <w:sz w:val="24"/>
          <w:szCs w:val="24"/>
          <w:lang w:val="es-ES_tradnl"/>
        </w:rPr>
        <w:t xml:space="preserve">y </w:t>
      </w:r>
      <w:r>
        <w:rPr>
          <w:rFonts w:ascii="Arial" w:hAnsi="Arial"/>
          <w:b/>
          <w:color w:val="FF0000"/>
          <w:sz w:val="24"/>
          <w:szCs w:val="24"/>
          <w:lang w:val="es-ES_tradnl"/>
        </w:rPr>
        <w:t xml:space="preserve">se deberá dar prioridad </w:t>
      </w:r>
      <w:r>
        <w:rPr>
          <w:rFonts w:ascii="Arial" w:hAnsi="Arial"/>
          <w:b/>
          <w:color w:val="FF0000"/>
          <w:sz w:val="24"/>
          <w:szCs w:val="24"/>
          <w:lang w:val="es-ES_tradnl"/>
        </w:rPr>
        <w:t>a los proyectos que se adelanten en las actualmente denominadas Zonas No Interconectadas conocidas como ZNI entre ellas las que se encuentren en los Departamentos de Arauca,  Casanare, Chocó, Vichada, Vaupés, Guainía, Guajira, Guaviare, Meta, Caqueta, Putu</w:t>
      </w:r>
      <w:r>
        <w:rPr>
          <w:rFonts w:ascii="Arial" w:hAnsi="Arial"/>
          <w:b/>
          <w:color w:val="FF0000"/>
          <w:sz w:val="24"/>
          <w:szCs w:val="24"/>
          <w:lang w:val="es-ES_tradnl"/>
        </w:rPr>
        <w:t xml:space="preserve">mayo, San Andrés Islas y a los Municipios que pertenezcan a las 16 Circunscripciones Transitorias Especiales de Paz.  </w:t>
      </w:r>
    </w:p>
    <w:p w:rsidR="00F702BF" w:rsidRDefault="00F702BF">
      <w:pPr>
        <w:spacing w:after="0" w:line="240" w:lineRule="auto"/>
        <w:jc w:val="both"/>
        <w:textAlignment w:val="center"/>
        <w:rPr>
          <w:rFonts w:ascii="Arial" w:hAnsi="Arial"/>
          <w:b/>
          <w:color w:val="FF0000"/>
          <w:sz w:val="24"/>
          <w:szCs w:val="24"/>
          <w:lang w:val="es-ES_tradnl"/>
        </w:rPr>
      </w:pPr>
    </w:p>
    <w:p w:rsidR="00F702BF" w:rsidRDefault="00F0380A">
      <w:pPr>
        <w:spacing w:after="0" w:line="240" w:lineRule="auto"/>
        <w:jc w:val="both"/>
        <w:textAlignment w:val="center"/>
        <w:rPr>
          <w:rFonts w:ascii="Arial" w:hAnsi="Arial"/>
          <w:b/>
          <w:color w:val="FF0000"/>
          <w:sz w:val="24"/>
          <w:szCs w:val="24"/>
          <w:lang w:val="es-ES_tradnl"/>
        </w:rPr>
      </w:pPr>
      <w:r>
        <w:rPr>
          <w:rFonts w:ascii="Arial" w:hAnsi="Arial"/>
          <w:b/>
          <w:color w:val="FF0000"/>
          <w:sz w:val="24"/>
          <w:szCs w:val="24"/>
          <w:lang w:val="es-ES_tradnl"/>
        </w:rPr>
        <w:t xml:space="preserve">Especial atención se debe dar a los proyectos agroindustriales en las regiones mencionadas que se relacionen con generar energía para </w:t>
      </w:r>
      <w:r>
        <w:rPr>
          <w:rFonts w:ascii="Arial" w:hAnsi="Arial"/>
          <w:b/>
          <w:color w:val="FF0000"/>
          <w:sz w:val="24"/>
          <w:szCs w:val="24"/>
          <w:lang w:val="es-ES_tradnl"/>
        </w:rPr>
        <w:t>atender proyectos en el sector lechero, agrícola, pecuario y cadenas de frio para conservación de alimentos, así como puestos de salud, instituciones educativas, sistemas de comunicaciones para mejorar el acceso a internet y centros poblados de difícil int</w:t>
      </w:r>
      <w:r>
        <w:rPr>
          <w:rFonts w:ascii="Arial" w:hAnsi="Arial"/>
          <w:b/>
          <w:color w:val="FF0000"/>
          <w:sz w:val="24"/>
          <w:szCs w:val="24"/>
          <w:lang w:val="es-ES_tradnl"/>
        </w:rPr>
        <w:t xml:space="preserve">erconexión. </w:t>
      </w:r>
    </w:p>
    <w:p w:rsidR="00F702BF" w:rsidRDefault="00F702BF">
      <w:pPr>
        <w:spacing w:after="0" w:line="240" w:lineRule="auto"/>
        <w:jc w:val="both"/>
        <w:textAlignment w:val="center"/>
        <w:rPr>
          <w:rFonts w:ascii="Arial" w:hAnsi="Arial"/>
          <w:bCs/>
          <w:sz w:val="24"/>
          <w:szCs w:val="24"/>
          <w:lang w:val="es-ES_tradnl"/>
        </w:rPr>
      </w:pPr>
    </w:p>
    <w:p w:rsidR="00F702BF" w:rsidRDefault="00F0380A">
      <w:pPr>
        <w:spacing w:after="0" w:line="240" w:lineRule="auto"/>
        <w:jc w:val="both"/>
        <w:textAlignment w:val="center"/>
        <w:rPr>
          <w:rFonts w:ascii="Arial" w:hAnsi="Arial"/>
          <w:bCs/>
          <w:sz w:val="24"/>
          <w:szCs w:val="24"/>
          <w:lang w:val="es-ES_tradnl"/>
        </w:rPr>
      </w:pPr>
      <w:r>
        <w:rPr>
          <w:rFonts w:ascii="Arial" w:hAnsi="Arial"/>
          <w:bCs/>
          <w:sz w:val="24"/>
          <w:szCs w:val="24"/>
          <w:lang w:val="es-ES_tradnl"/>
        </w:rPr>
        <w:t xml:space="preserve">Con estas modificaciones se propone una focalización de los recursos de regalías en una materia de alta prioridad regional. </w:t>
      </w:r>
    </w:p>
    <w:p w:rsidR="00F702BF" w:rsidRDefault="00F702BF">
      <w:pPr>
        <w:spacing w:after="0" w:line="240" w:lineRule="auto"/>
        <w:jc w:val="both"/>
        <w:textAlignment w:val="center"/>
        <w:rPr>
          <w:rFonts w:ascii="Arial" w:hAnsi="Arial"/>
          <w:b/>
          <w:bCs/>
          <w:sz w:val="24"/>
          <w:szCs w:val="24"/>
          <w:lang w:val="es-ES_tradnl"/>
        </w:rPr>
      </w:pPr>
    </w:p>
    <w:p w:rsidR="00F702BF" w:rsidRDefault="00F0380A">
      <w:pPr>
        <w:spacing w:after="0" w:line="240" w:lineRule="auto"/>
        <w:jc w:val="both"/>
        <w:textAlignment w:val="center"/>
        <w:rPr>
          <w:rFonts w:ascii="Arial" w:hAnsi="Arial"/>
          <w:b/>
          <w:bCs/>
          <w:sz w:val="24"/>
          <w:szCs w:val="24"/>
          <w:lang w:val="es-ES_tradnl"/>
        </w:rPr>
      </w:pPr>
      <w:r>
        <w:rPr>
          <w:rFonts w:ascii="Arial" w:hAnsi="Arial"/>
          <w:b/>
          <w:bCs/>
          <w:sz w:val="24"/>
          <w:szCs w:val="24"/>
          <w:lang w:val="es-ES_tradnl"/>
        </w:rPr>
        <w:t>V. PROPOSICIÓN</w:t>
      </w: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pPr>
      <w:r>
        <w:rPr>
          <w:rFonts w:ascii="Arial" w:hAnsi="Arial"/>
          <w:sz w:val="24"/>
          <w:szCs w:val="24"/>
          <w:lang w:val="es-ES_tradnl"/>
        </w:rPr>
        <w:t xml:space="preserve">Por las razones y consideraciones expuestas, proponemos y solicitamos a los miembros de la Comisión </w:t>
      </w:r>
      <w:r>
        <w:rPr>
          <w:rFonts w:ascii="Arial" w:hAnsi="Arial"/>
          <w:sz w:val="24"/>
          <w:szCs w:val="24"/>
          <w:lang w:val="es-ES_tradnl"/>
        </w:rPr>
        <w:t xml:space="preserve">Primera Constitucional Permanente de la honorable Cámara de Representantes, </w:t>
      </w:r>
      <w:r>
        <w:rPr>
          <w:rFonts w:ascii="Arial" w:hAnsi="Arial"/>
          <w:b/>
          <w:bCs/>
          <w:sz w:val="24"/>
          <w:szCs w:val="24"/>
          <w:lang w:val="es-ES_tradnl"/>
        </w:rPr>
        <w:t xml:space="preserve">aprobar el informe de ponencia para Primer debate de Cámara, </w:t>
      </w:r>
      <w:r>
        <w:rPr>
          <w:rFonts w:ascii="Arial" w:hAnsi="Arial"/>
          <w:bCs/>
          <w:sz w:val="24"/>
          <w:szCs w:val="24"/>
          <w:lang w:val="es-ES_tradnl"/>
        </w:rPr>
        <w:t xml:space="preserve">Proyecto </w:t>
      </w:r>
      <w:r>
        <w:rPr>
          <w:rFonts w:ascii="Arial" w:hAnsi="Arial"/>
          <w:bCs/>
          <w:sz w:val="24"/>
          <w:szCs w:val="24"/>
          <w:lang w:val="es-ES"/>
        </w:rPr>
        <w:t xml:space="preserve">de acto legislativo No. 155 de 2017 Cámara </w:t>
      </w:r>
      <w:r>
        <w:rPr>
          <w:rFonts w:ascii="Arial" w:hAnsi="Arial"/>
          <w:bCs/>
          <w:i/>
          <w:sz w:val="24"/>
          <w:szCs w:val="24"/>
          <w:lang w:val="es-ES"/>
        </w:rPr>
        <w:t xml:space="preserve">“Por medio del cual se modifica el </w:t>
      </w:r>
      <w:r>
        <w:rPr>
          <w:rFonts w:ascii="Arial" w:hAnsi="Arial"/>
          <w:bCs/>
          <w:i/>
          <w:sz w:val="24"/>
          <w:szCs w:val="24"/>
        </w:rPr>
        <w:t>parágrafo 2° del artículo 2° del</w:t>
      </w:r>
      <w:r>
        <w:rPr>
          <w:rFonts w:ascii="Arial" w:hAnsi="Arial"/>
          <w:bCs/>
          <w:i/>
          <w:sz w:val="24"/>
          <w:szCs w:val="24"/>
        </w:rPr>
        <w:t xml:space="preserve"> </w:t>
      </w:r>
      <w:r>
        <w:rPr>
          <w:rFonts w:ascii="Arial" w:hAnsi="Arial"/>
          <w:bCs/>
          <w:i/>
          <w:sz w:val="24"/>
          <w:szCs w:val="24"/>
          <w:lang w:val="es-ES"/>
        </w:rPr>
        <w:t>Acto Legislativo 005 de 2011”</w:t>
      </w:r>
      <w:r>
        <w:rPr>
          <w:rFonts w:ascii="Arial" w:hAnsi="Arial"/>
          <w:sz w:val="24"/>
          <w:szCs w:val="24"/>
          <w:lang w:val="es-ES_tradnl"/>
        </w:rPr>
        <w:t>.</w:t>
      </w: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Cordialmente,</w:t>
      </w:r>
    </w:p>
    <w:p w:rsidR="00F702BF" w:rsidRDefault="00F702BF">
      <w:pPr>
        <w:spacing w:after="0" w:line="240" w:lineRule="auto"/>
        <w:jc w:val="both"/>
        <w:textAlignment w:val="center"/>
        <w:rPr>
          <w:rFonts w:ascii="Arial" w:hAnsi="Arial"/>
          <w:sz w:val="24"/>
          <w:szCs w:val="24"/>
          <w:lang w:val="es-ES_tradnl"/>
        </w:rPr>
      </w:pPr>
    </w:p>
    <w:p w:rsidR="00F702BF" w:rsidRDefault="00F702BF">
      <w:pPr>
        <w:spacing w:after="0" w:line="240" w:lineRule="auto"/>
        <w:jc w:val="both"/>
        <w:textAlignment w:val="center"/>
        <w:rPr>
          <w:rFonts w:ascii="Arial" w:hAnsi="Arial"/>
          <w:b/>
          <w:sz w:val="24"/>
          <w:szCs w:val="24"/>
          <w:lang w:val="es-ES_tradnl"/>
        </w:rPr>
      </w:pPr>
    </w:p>
    <w:p w:rsidR="00F702BF" w:rsidRDefault="00F702BF">
      <w:pPr>
        <w:spacing w:after="0" w:line="240" w:lineRule="auto"/>
        <w:jc w:val="center"/>
        <w:textAlignment w:val="center"/>
        <w:rPr>
          <w:rFonts w:ascii="Arial" w:hAnsi="Arial"/>
          <w:b/>
          <w:sz w:val="24"/>
          <w:szCs w:val="24"/>
          <w:lang w:val="es-ES_tradnl"/>
        </w:rPr>
      </w:pPr>
    </w:p>
    <w:p w:rsidR="00F702BF" w:rsidRDefault="00F702BF">
      <w:pPr>
        <w:spacing w:after="0" w:line="240" w:lineRule="auto"/>
        <w:jc w:val="center"/>
        <w:textAlignment w:val="center"/>
        <w:rPr>
          <w:rFonts w:ascii="Arial" w:hAnsi="Arial"/>
          <w:b/>
          <w:sz w:val="24"/>
          <w:szCs w:val="24"/>
          <w:lang w:val="es-ES_tradnl"/>
        </w:rPr>
      </w:pPr>
    </w:p>
    <w:p w:rsidR="00F702BF" w:rsidRDefault="00F0380A">
      <w:pPr>
        <w:spacing w:after="0" w:line="240" w:lineRule="auto"/>
        <w:jc w:val="center"/>
        <w:textAlignment w:val="center"/>
        <w:rPr>
          <w:rFonts w:ascii="Arial" w:hAnsi="Arial"/>
          <w:b/>
          <w:sz w:val="24"/>
          <w:szCs w:val="24"/>
          <w:lang w:val="es-ES_tradnl"/>
        </w:rPr>
      </w:pPr>
      <w:r>
        <w:rPr>
          <w:rFonts w:ascii="Arial" w:hAnsi="Arial"/>
          <w:b/>
          <w:sz w:val="24"/>
          <w:szCs w:val="24"/>
          <w:lang w:val="es-ES_tradnl"/>
        </w:rPr>
        <w:t>ALBEIRO VANEGAS OSORIO</w:t>
      </w:r>
    </w:p>
    <w:p w:rsidR="00F702BF" w:rsidRDefault="00F0380A">
      <w:pPr>
        <w:spacing w:after="0" w:line="240" w:lineRule="auto"/>
        <w:jc w:val="center"/>
        <w:textAlignment w:val="center"/>
        <w:rPr>
          <w:rFonts w:ascii="Arial" w:hAnsi="Arial"/>
          <w:sz w:val="24"/>
          <w:szCs w:val="24"/>
          <w:lang w:val="es-ES_tradnl"/>
        </w:rPr>
      </w:pPr>
      <w:r>
        <w:rPr>
          <w:rFonts w:ascii="Arial" w:hAnsi="Arial"/>
          <w:sz w:val="24"/>
          <w:szCs w:val="24"/>
          <w:lang w:val="es-ES_tradnl"/>
        </w:rPr>
        <w:t>Representante a la Cámara</w:t>
      </w:r>
    </w:p>
    <w:p w:rsidR="00F702BF" w:rsidRDefault="00F0380A">
      <w:pPr>
        <w:spacing w:after="0" w:line="240" w:lineRule="auto"/>
        <w:jc w:val="center"/>
        <w:textAlignment w:val="center"/>
        <w:rPr>
          <w:rFonts w:ascii="Arial" w:hAnsi="Arial"/>
          <w:sz w:val="24"/>
          <w:szCs w:val="24"/>
          <w:lang w:val="es-ES_tradnl"/>
        </w:rPr>
      </w:pPr>
      <w:r>
        <w:rPr>
          <w:rFonts w:ascii="Arial" w:hAnsi="Arial"/>
          <w:sz w:val="24"/>
          <w:szCs w:val="24"/>
          <w:lang w:val="es-ES_tradnl"/>
        </w:rPr>
        <w:t>Departamento de Arauca</w:t>
      </w:r>
    </w:p>
    <w:p w:rsidR="00F702BF" w:rsidRDefault="00F702BF">
      <w:pPr>
        <w:spacing w:after="0" w:line="240" w:lineRule="auto"/>
        <w:jc w:val="center"/>
        <w:rPr>
          <w:rFonts w:ascii="Arial" w:hAnsi="Arial"/>
          <w:b/>
          <w:sz w:val="24"/>
          <w:szCs w:val="24"/>
          <w:lang w:val="es-ES"/>
        </w:rPr>
      </w:pPr>
    </w:p>
    <w:p w:rsidR="00F702BF" w:rsidRDefault="00F702BF">
      <w:pPr>
        <w:spacing w:after="0" w:line="240" w:lineRule="auto"/>
        <w:ind w:firstLine="283"/>
        <w:jc w:val="both"/>
        <w:textAlignment w:val="center"/>
        <w:rPr>
          <w:rFonts w:ascii="Arial" w:hAnsi="Arial"/>
          <w:b/>
          <w:bCs/>
          <w:sz w:val="24"/>
          <w:szCs w:val="24"/>
          <w:lang w:val="es-ES_tradnl"/>
        </w:rPr>
      </w:pPr>
    </w:p>
    <w:p w:rsidR="00F702BF" w:rsidRDefault="00F702BF">
      <w:pPr>
        <w:spacing w:after="0" w:line="240" w:lineRule="auto"/>
        <w:ind w:firstLine="283"/>
        <w:jc w:val="both"/>
        <w:textAlignment w:val="center"/>
        <w:rPr>
          <w:rFonts w:ascii="Arial" w:hAnsi="Arial"/>
          <w:b/>
          <w:bCs/>
          <w:sz w:val="24"/>
          <w:szCs w:val="24"/>
          <w:lang w:val="es-ES_tradnl"/>
        </w:rPr>
      </w:pPr>
    </w:p>
    <w:p w:rsidR="00F702BF" w:rsidRDefault="00F702BF">
      <w:pPr>
        <w:spacing w:after="0" w:line="240" w:lineRule="auto"/>
        <w:ind w:firstLine="283"/>
        <w:jc w:val="both"/>
        <w:textAlignment w:val="center"/>
        <w:rPr>
          <w:rFonts w:ascii="Arial" w:hAnsi="Arial"/>
          <w:b/>
          <w:bCs/>
          <w:sz w:val="24"/>
          <w:szCs w:val="24"/>
          <w:lang w:val="es-ES_tradnl"/>
        </w:rPr>
      </w:pPr>
    </w:p>
    <w:p w:rsidR="00F702BF" w:rsidRDefault="00F0380A">
      <w:pPr>
        <w:widowControl w:val="0"/>
        <w:autoSpaceDE w:val="0"/>
        <w:spacing w:after="0" w:line="240" w:lineRule="auto"/>
        <w:jc w:val="center"/>
      </w:pPr>
      <w:r>
        <w:rPr>
          <w:rFonts w:ascii="Arial" w:hAnsi="Arial"/>
          <w:b/>
          <w:bCs/>
          <w:sz w:val="24"/>
          <w:szCs w:val="24"/>
          <w:lang w:val="es-ES_tradnl"/>
        </w:rPr>
        <w:t xml:space="preserve">VI. TEXTO PROPUESTO PARA PRIMER DEBATE </w:t>
      </w:r>
      <w:r>
        <w:rPr>
          <w:rFonts w:ascii="Arial" w:hAnsi="Arial"/>
          <w:b/>
          <w:sz w:val="24"/>
          <w:szCs w:val="24"/>
          <w:lang w:val="es-ES"/>
        </w:rPr>
        <w:t xml:space="preserve">AL PROYECTO </w:t>
      </w:r>
      <w:r>
        <w:rPr>
          <w:rFonts w:ascii="Arial" w:eastAsia="MS Mincho" w:hAnsi="Arial"/>
          <w:b/>
          <w:bCs/>
          <w:sz w:val="24"/>
          <w:szCs w:val="24"/>
          <w:lang w:val="es-ES" w:eastAsia="es-ES"/>
        </w:rPr>
        <w:t>DE ACTO LEGISLATIVO No. 155 DE 2017 CÁMARA</w:t>
      </w:r>
      <w:r>
        <w:rPr>
          <w:rFonts w:ascii="Arial" w:hAnsi="Arial"/>
          <w:b/>
          <w:sz w:val="24"/>
          <w:szCs w:val="24"/>
          <w:lang w:val="es-ES"/>
        </w:rPr>
        <w:t xml:space="preserve"> </w:t>
      </w:r>
      <w:r>
        <w:rPr>
          <w:rFonts w:ascii="Arial" w:eastAsia="MS Mincho" w:hAnsi="Arial"/>
          <w:b/>
          <w:i/>
          <w:sz w:val="24"/>
          <w:szCs w:val="24"/>
          <w:lang w:val="es-ES" w:eastAsia="es-ES"/>
        </w:rPr>
        <w:t xml:space="preserve">“POR MEDIO DEL CUAL SE MODIFICA EL </w:t>
      </w:r>
      <w:r>
        <w:rPr>
          <w:rFonts w:ascii="Arial" w:hAnsi="Arial"/>
          <w:b/>
          <w:i/>
          <w:sz w:val="24"/>
          <w:szCs w:val="24"/>
        </w:rPr>
        <w:t xml:space="preserve">PARÁGRAFO </w:t>
      </w:r>
      <w:r>
        <w:rPr>
          <w:rFonts w:ascii="Arial" w:eastAsia="Times New Roman" w:hAnsi="Arial"/>
          <w:b/>
          <w:bCs/>
          <w:i/>
          <w:sz w:val="24"/>
          <w:szCs w:val="24"/>
          <w:lang w:eastAsia="es-CO"/>
        </w:rPr>
        <w:t xml:space="preserve">2° DEL ARTÍCULO 2° DEL </w:t>
      </w:r>
      <w:r>
        <w:rPr>
          <w:rFonts w:ascii="Arial" w:eastAsia="MS Mincho" w:hAnsi="Arial"/>
          <w:b/>
          <w:i/>
          <w:sz w:val="24"/>
          <w:szCs w:val="24"/>
          <w:lang w:val="es-ES" w:eastAsia="es-ES"/>
        </w:rPr>
        <w:t>ACTO LEGISLATIVO 005 DE 2011”</w:t>
      </w:r>
    </w:p>
    <w:p w:rsidR="00F702BF" w:rsidRDefault="00F702BF">
      <w:pPr>
        <w:spacing w:after="0" w:line="240" w:lineRule="auto"/>
        <w:ind w:firstLine="283"/>
        <w:jc w:val="both"/>
        <w:textAlignment w:val="center"/>
        <w:rPr>
          <w:rFonts w:ascii="Arial" w:hAnsi="Arial"/>
          <w:sz w:val="24"/>
          <w:szCs w:val="24"/>
          <w:lang w:val="es-ES_tradnl"/>
        </w:rPr>
      </w:pPr>
    </w:p>
    <w:p w:rsidR="00F702BF" w:rsidRDefault="00F702BF">
      <w:pPr>
        <w:widowControl w:val="0"/>
        <w:autoSpaceDE w:val="0"/>
        <w:spacing w:after="0" w:line="240" w:lineRule="auto"/>
        <w:jc w:val="center"/>
        <w:rPr>
          <w:rFonts w:ascii="Arial" w:eastAsia="MS Mincho" w:hAnsi="Arial"/>
          <w:sz w:val="24"/>
          <w:szCs w:val="24"/>
          <w:lang w:val="es-ES" w:eastAsia="es-ES"/>
        </w:rPr>
      </w:pPr>
    </w:p>
    <w:p w:rsidR="00F702BF" w:rsidRDefault="00F0380A">
      <w:pPr>
        <w:widowControl w:val="0"/>
        <w:autoSpaceDE w:val="0"/>
        <w:spacing w:after="0" w:line="240" w:lineRule="auto"/>
        <w:jc w:val="center"/>
        <w:rPr>
          <w:rFonts w:ascii="Arial" w:eastAsia="MS Mincho" w:hAnsi="Arial"/>
          <w:b/>
          <w:iCs/>
          <w:sz w:val="24"/>
          <w:szCs w:val="24"/>
          <w:lang w:val="es-ES" w:eastAsia="es-ES"/>
        </w:rPr>
      </w:pPr>
      <w:r>
        <w:rPr>
          <w:rFonts w:ascii="Arial" w:eastAsia="MS Mincho" w:hAnsi="Arial"/>
          <w:b/>
          <w:iCs/>
          <w:sz w:val="24"/>
          <w:szCs w:val="24"/>
          <w:lang w:val="es-ES" w:eastAsia="es-ES"/>
        </w:rPr>
        <w:t>EL CONGRESO DE COLOMBIA</w:t>
      </w:r>
    </w:p>
    <w:p w:rsidR="00F702BF" w:rsidRDefault="00F702BF">
      <w:pPr>
        <w:widowControl w:val="0"/>
        <w:autoSpaceDE w:val="0"/>
        <w:spacing w:after="0" w:line="240" w:lineRule="auto"/>
        <w:jc w:val="center"/>
        <w:rPr>
          <w:rFonts w:ascii="Arial" w:eastAsia="MS Mincho" w:hAnsi="Arial"/>
          <w:b/>
          <w:iCs/>
          <w:sz w:val="24"/>
          <w:szCs w:val="24"/>
          <w:lang w:val="es-ES" w:eastAsia="es-ES"/>
        </w:rPr>
      </w:pPr>
    </w:p>
    <w:p w:rsidR="00F702BF" w:rsidRDefault="00F0380A">
      <w:pPr>
        <w:widowControl w:val="0"/>
        <w:autoSpaceDE w:val="0"/>
        <w:spacing w:after="0" w:line="240" w:lineRule="auto"/>
        <w:jc w:val="center"/>
        <w:rPr>
          <w:rFonts w:ascii="Arial" w:hAnsi="Arial"/>
          <w:b/>
          <w:sz w:val="24"/>
          <w:szCs w:val="24"/>
        </w:rPr>
      </w:pPr>
      <w:r>
        <w:rPr>
          <w:rFonts w:ascii="Arial" w:hAnsi="Arial"/>
          <w:b/>
          <w:sz w:val="24"/>
          <w:szCs w:val="24"/>
        </w:rPr>
        <w:t>DECRETA:</w:t>
      </w:r>
    </w:p>
    <w:p w:rsidR="00F702BF" w:rsidRDefault="00F702BF">
      <w:pPr>
        <w:spacing w:after="0" w:line="240" w:lineRule="auto"/>
        <w:jc w:val="center"/>
        <w:rPr>
          <w:rFonts w:ascii="Arial" w:hAnsi="Arial"/>
          <w:b/>
          <w:sz w:val="24"/>
          <w:szCs w:val="24"/>
        </w:rPr>
      </w:pPr>
    </w:p>
    <w:p w:rsidR="00F702BF" w:rsidRDefault="00F0380A">
      <w:pPr>
        <w:widowControl w:val="0"/>
        <w:autoSpaceDE w:val="0"/>
        <w:spacing w:after="0" w:line="240" w:lineRule="auto"/>
        <w:jc w:val="both"/>
      </w:pPr>
      <w:r>
        <w:rPr>
          <w:rFonts w:ascii="Arial" w:hAnsi="Arial"/>
          <w:b/>
          <w:sz w:val="24"/>
          <w:szCs w:val="24"/>
        </w:rPr>
        <w:t xml:space="preserve">Artículo 1°. </w:t>
      </w:r>
      <w:r>
        <w:rPr>
          <w:rFonts w:ascii="Arial" w:hAnsi="Arial"/>
          <w:sz w:val="24"/>
          <w:szCs w:val="24"/>
        </w:rPr>
        <w:t xml:space="preserve">El parágrafo </w:t>
      </w:r>
      <w:r>
        <w:rPr>
          <w:rFonts w:ascii="Arial" w:eastAsia="Times New Roman" w:hAnsi="Arial"/>
          <w:bCs/>
          <w:sz w:val="24"/>
          <w:szCs w:val="24"/>
          <w:lang w:eastAsia="es-CO"/>
        </w:rPr>
        <w:t>2° del artículo 2° del Acto Legislativo 005 de 2011 quedará así:</w:t>
      </w:r>
    </w:p>
    <w:p w:rsidR="00F702BF" w:rsidRDefault="00F702BF">
      <w:pPr>
        <w:spacing w:after="0" w:line="240" w:lineRule="auto"/>
        <w:jc w:val="both"/>
        <w:rPr>
          <w:rFonts w:ascii="Arial" w:eastAsia="Times New Roman" w:hAnsi="Arial"/>
          <w:b/>
          <w:bCs/>
          <w:sz w:val="24"/>
          <w:szCs w:val="24"/>
          <w:lang w:eastAsia="es-CO"/>
        </w:rPr>
      </w:pPr>
    </w:p>
    <w:p w:rsidR="00F702BF" w:rsidRDefault="00F0380A">
      <w:pPr>
        <w:spacing w:after="0" w:line="240" w:lineRule="auto"/>
        <w:jc w:val="both"/>
      </w:pPr>
      <w:r>
        <w:rPr>
          <w:rFonts w:ascii="Arial" w:eastAsia="Times New Roman" w:hAnsi="Arial"/>
          <w:b/>
          <w:bCs/>
          <w:sz w:val="24"/>
          <w:szCs w:val="24"/>
          <w:lang w:eastAsia="es-CO"/>
        </w:rPr>
        <w:t>Parágrafo 2°. </w:t>
      </w:r>
      <w:r>
        <w:rPr>
          <w:rFonts w:ascii="Arial" w:eastAsia="Times New Roman" w:hAnsi="Arial"/>
          <w:sz w:val="24"/>
          <w:szCs w:val="24"/>
          <w:lang w:eastAsia="es-CO"/>
        </w:rPr>
        <w:t xml:space="preserve">La ejecución de los recursos correspondientes a </w:t>
      </w:r>
      <w:r>
        <w:rPr>
          <w:rFonts w:ascii="Arial" w:eastAsia="Times New Roman" w:hAnsi="Arial"/>
          <w:sz w:val="24"/>
          <w:szCs w:val="24"/>
          <w:lang w:eastAsia="es-CO"/>
        </w:rPr>
        <w:t>las asignaciones directas de que trata el inciso 2° del presente artículo, así como de los recursos de los Fondos de Ciencia, Tecnología e Innovación; de Desarrollo Regional, y de Compensación Regional, se hará en concordancia con el Plan Nacional de Desar</w:t>
      </w:r>
      <w:r>
        <w:rPr>
          <w:rFonts w:ascii="Arial" w:eastAsia="Times New Roman" w:hAnsi="Arial"/>
          <w:sz w:val="24"/>
          <w:szCs w:val="24"/>
          <w:lang w:eastAsia="es-CO"/>
        </w:rPr>
        <w:t xml:space="preserve">rollo y los planes de desarrollo de las entidades territoriales. </w:t>
      </w:r>
      <w:r>
        <w:rPr>
          <w:rFonts w:ascii="Arial" w:eastAsia="Times New Roman" w:hAnsi="Arial"/>
          <w:sz w:val="24"/>
          <w:szCs w:val="24"/>
          <w:u w:val="single"/>
          <w:lang w:eastAsia="es-CO"/>
        </w:rPr>
        <w:t xml:space="preserve">Adicionalmente, los proyectos relacionados con el desarrollo y la utilización de las Fuentes No Convencionales de Energía Renovable (FNCER) que sean financiados con los recursos del Fondo de </w:t>
      </w:r>
      <w:r>
        <w:rPr>
          <w:rFonts w:ascii="Arial" w:eastAsia="Times New Roman" w:hAnsi="Arial"/>
          <w:sz w:val="24"/>
          <w:szCs w:val="24"/>
          <w:u w:val="single"/>
          <w:lang w:eastAsia="es-CO"/>
        </w:rPr>
        <w:t xml:space="preserve">Ciencia, Tecnología e Innovación deberán estar enmarcados en la política nacional del sector de las FNCER.  </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 xml:space="preserve">Los proyectos prioritarios que se financiarán con estos recursos, serán definidos por órganos colegiados de administración y decisión, de </w:t>
      </w:r>
      <w:r>
        <w:rPr>
          <w:rFonts w:ascii="Arial" w:eastAsia="Times New Roman" w:hAnsi="Arial"/>
          <w:sz w:val="24"/>
          <w:szCs w:val="24"/>
          <w:lang w:eastAsia="es-CO"/>
        </w:rPr>
        <w:t>conformidad con lo establecido en la ley que regule el Sistema General de Regalías. Para el caso de los departamentos a los que se refiere el inciso 2° del presente artículo, los órganos colegiados de administración y decisión estarán integrados por dos (2</w:t>
      </w:r>
      <w:r>
        <w:rPr>
          <w:rFonts w:ascii="Arial" w:eastAsia="Times New Roman" w:hAnsi="Arial"/>
          <w:sz w:val="24"/>
          <w:szCs w:val="24"/>
          <w:lang w:eastAsia="es-CO"/>
        </w:rPr>
        <w:t>) Ministros o sus delegados, el gobernador respectivo o su delegado, y un número representativo de alcaldes. La ley que regule el Sistema General de Regalías podrá crear comités de carácter consultivo para los órganos colegiados de administración y decisió</w:t>
      </w:r>
      <w:r>
        <w:rPr>
          <w:rFonts w:ascii="Arial" w:eastAsia="Times New Roman" w:hAnsi="Arial"/>
          <w:sz w:val="24"/>
          <w:szCs w:val="24"/>
          <w:lang w:eastAsia="es-CO"/>
        </w:rPr>
        <w:t>n, con participación de la sociedad civil. En cuanto a los municipios y/o distritos a los que se refiere el inciso 2° del presente artículo, los órganos colegiados de administración y decisión estarán conformados por un delegado del Gobierno Nacional, el g</w:t>
      </w:r>
      <w:r>
        <w:rPr>
          <w:rFonts w:ascii="Arial" w:eastAsia="Times New Roman" w:hAnsi="Arial"/>
          <w:sz w:val="24"/>
          <w:szCs w:val="24"/>
          <w:lang w:eastAsia="es-CO"/>
        </w:rPr>
        <w:t>obernador o su delegado y el alcalde.</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pPr>
      <w:r>
        <w:rPr>
          <w:rFonts w:ascii="Arial" w:eastAsia="Times New Roman" w:hAnsi="Arial"/>
          <w:sz w:val="24"/>
          <w:szCs w:val="24"/>
          <w:lang w:eastAsia="es-CO"/>
        </w:rPr>
        <w:t>Los programas y/o proyectos en ciencia tecnología e innovación de los departamentos, municipios y distritos que se financiarán con los recursos del Fondo de Ciencia, Tecnología e Innovación, se definirán por un órgano</w:t>
      </w:r>
      <w:r>
        <w:rPr>
          <w:rFonts w:ascii="Arial" w:eastAsia="Times New Roman" w:hAnsi="Arial"/>
          <w:sz w:val="24"/>
          <w:szCs w:val="24"/>
          <w:lang w:eastAsia="es-CO"/>
        </w:rPr>
        <w:t xml:space="preserve"> colegiado de administración y decisión, en el cual tendrán asiento el Gobierno Nacional, representado por tres (3) Ministros o sus delegados, un (1) representante del Organismo Nacional de Planeación y un (1) representante del Organismo Nacional </w:t>
      </w:r>
      <w:r>
        <w:rPr>
          <w:rFonts w:ascii="Arial" w:eastAsia="Times New Roman" w:hAnsi="Arial"/>
          <w:sz w:val="24"/>
          <w:szCs w:val="24"/>
          <w:lang w:eastAsia="es-CO"/>
        </w:rPr>
        <w:lastRenderedPageBreak/>
        <w:t>encargado</w:t>
      </w:r>
      <w:r>
        <w:rPr>
          <w:rFonts w:ascii="Arial" w:eastAsia="Times New Roman" w:hAnsi="Arial"/>
          <w:sz w:val="24"/>
          <w:szCs w:val="24"/>
          <w:lang w:eastAsia="es-CO"/>
        </w:rPr>
        <w:t xml:space="preserve"> del manejo de la política pública de ciencia y tecnología e innovación, quien además ejercerá la Secretaría Técnica, un (1) Gobernador por cada una de las instancias de planeación regional a que se refiere el inciso siguiente del presente artículo; cuatro</w:t>
      </w:r>
      <w:r>
        <w:rPr>
          <w:rFonts w:ascii="Arial" w:eastAsia="Times New Roman" w:hAnsi="Arial"/>
          <w:sz w:val="24"/>
          <w:szCs w:val="24"/>
          <w:lang w:eastAsia="es-CO"/>
        </w:rPr>
        <w:t xml:space="preserve"> (4) representantes de las universidades públicas y dos (2) representantes de universidades privadas. Así mismo, los recursos de este Fondo de Ciencia, Tecnología e Innovación, se distribuirán en la misma proporción en que se distribuyan a los departamento</w:t>
      </w:r>
      <w:r>
        <w:rPr>
          <w:rFonts w:ascii="Arial" w:eastAsia="Times New Roman" w:hAnsi="Arial"/>
          <w:sz w:val="24"/>
          <w:szCs w:val="24"/>
          <w:lang w:eastAsia="es-CO"/>
        </w:rPr>
        <w:t xml:space="preserve">s, los recursos de los Fondos de Compensación Regional y de Desarrollo Regional. En ningún caso los recursos de este fondo podrán financiar gasto corriente. </w:t>
      </w:r>
      <w:r>
        <w:rPr>
          <w:rFonts w:ascii="Arial" w:eastAsia="Times New Roman" w:hAnsi="Arial"/>
          <w:sz w:val="24"/>
          <w:szCs w:val="24"/>
          <w:u w:val="single"/>
          <w:lang w:eastAsia="es-CO"/>
        </w:rPr>
        <w:t>El cincuenta por ciento (50%) de los recursos de que trata este inciso, para financiar los programa</w:t>
      </w:r>
      <w:r>
        <w:rPr>
          <w:rFonts w:ascii="Arial" w:eastAsia="Times New Roman" w:hAnsi="Arial"/>
          <w:sz w:val="24"/>
          <w:szCs w:val="24"/>
          <w:u w:val="single"/>
          <w:lang w:eastAsia="es-CO"/>
        </w:rPr>
        <w:t>s y/o proyectos en ciencia, tecnología e innovación de los departamentos, municipios y distritos, serán destinados al desarrollo y la utilización de las Fuentes No Convencionales de Energía Renovable (FNCER), El órgano colegiado de administración y decisió</w:t>
      </w:r>
      <w:r>
        <w:rPr>
          <w:rFonts w:ascii="Arial" w:eastAsia="Times New Roman" w:hAnsi="Arial"/>
          <w:sz w:val="24"/>
          <w:szCs w:val="24"/>
          <w:u w:val="single"/>
          <w:lang w:eastAsia="es-CO"/>
        </w:rPr>
        <w:t xml:space="preserve">n de que trata el presente inciso, cuando defina un programa y/o proyecto relacionado con las FNCER incluirá a un (1) representante del Organismo Nacional encargado del manejo de la política pública del sector de las FNCER. </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Los proyectos de impacto regio</w:t>
      </w:r>
      <w:r>
        <w:rPr>
          <w:rFonts w:ascii="Arial" w:eastAsia="Times New Roman" w:hAnsi="Arial"/>
          <w:sz w:val="24"/>
          <w:szCs w:val="24"/>
          <w:lang w:eastAsia="es-CO"/>
        </w:rPr>
        <w:t>nal de los departamentos, municipios y distritos que se financiarán con los recursos de los Fondos de Desarrollo y Compensación Regional se definirán a través de ejercicios de planeación regional por órganos colegiados de administración y decisión donde te</w:t>
      </w:r>
      <w:r>
        <w:rPr>
          <w:rFonts w:ascii="Arial" w:eastAsia="Times New Roman" w:hAnsi="Arial"/>
          <w:sz w:val="24"/>
          <w:szCs w:val="24"/>
          <w:lang w:eastAsia="es-CO"/>
        </w:rPr>
        <w:t>ngan asiento cuatro (4) Ministros o sus delegados y un (1) representante del Organismo Nacional de Planeación, los gobernadores respectivos o sus delegados y un número representativo de alcaldes.</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La ley que regule el Sistema General de Regalías, podrá cre</w:t>
      </w:r>
      <w:r>
        <w:rPr>
          <w:rFonts w:ascii="Arial" w:eastAsia="Times New Roman" w:hAnsi="Arial"/>
          <w:sz w:val="24"/>
          <w:szCs w:val="24"/>
          <w:lang w:eastAsia="es-CO"/>
        </w:rPr>
        <w:t>ar comités de carácter consultivo para los órganos colegiados de administración y decisión con participación de la sociedad civil.</w:t>
      </w:r>
    </w:p>
    <w:p w:rsidR="00F702BF" w:rsidRDefault="00F702BF">
      <w:pPr>
        <w:spacing w:after="0" w:line="240" w:lineRule="auto"/>
        <w:jc w:val="both"/>
        <w:rPr>
          <w:rFonts w:ascii="Arial" w:eastAsia="Times New Roman" w:hAnsi="Arial"/>
          <w:sz w:val="24"/>
          <w:szCs w:val="24"/>
          <w:lang w:eastAsia="es-CO"/>
        </w:rPr>
      </w:pPr>
    </w:p>
    <w:p w:rsidR="00F702BF" w:rsidRDefault="00F0380A">
      <w:pPr>
        <w:spacing w:after="0" w:line="240" w:lineRule="auto"/>
        <w:jc w:val="both"/>
        <w:rPr>
          <w:rFonts w:ascii="Arial" w:eastAsia="Times New Roman" w:hAnsi="Arial"/>
          <w:sz w:val="24"/>
          <w:szCs w:val="24"/>
          <w:lang w:eastAsia="es-CO"/>
        </w:rPr>
      </w:pPr>
      <w:r>
        <w:rPr>
          <w:rFonts w:ascii="Arial" w:eastAsia="Times New Roman" w:hAnsi="Arial"/>
          <w:sz w:val="24"/>
          <w:szCs w:val="24"/>
          <w:lang w:eastAsia="es-CO"/>
        </w:rPr>
        <w:t>En todo caso, la representación de las entidades territoriales en los órganos colegiados será mayoritaria, en relación con l</w:t>
      </w:r>
      <w:r>
        <w:rPr>
          <w:rFonts w:ascii="Arial" w:eastAsia="Times New Roman" w:hAnsi="Arial"/>
          <w:sz w:val="24"/>
          <w:szCs w:val="24"/>
          <w:lang w:eastAsia="es-CO"/>
        </w:rPr>
        <w:t>a del Gobierno Nacional.</w:t>
      </w:r>
    </w:p>
    <w:p w:rsidR="00F702BF" w:rsidRDefault="00F702BF">
      <w:pPr>
        <w:widowControl w:val="0"/>
        <w:autoSpaceDE w:val="0"/>
        <w:spacing w:after="0" w:line="240" w:lineRule="auto"/>
        <w:jc w:val="both"/>
        <w:rPr>
          <w:rFonts w:ascii="Arial" w:hAnsi="Arial"/>
          <w:sz w:val="24"/>
          <w:szCs w:val="24"/>
        </w:rPr>
      </w:pPr>
    </w:p>
    <w:p w:rsidR="00F702BF" w:rsidRDefault="00F0380A">
      <w:pPr>
        <w:pStyle w:val="NormalWeb"/>
        <w:spacing w:before="0" w:after="0"/>
        <w:jc w:val="both"/>
      </w:pPr>
      <w:r>
        <w:rPr>
          <w:rFonts w:ascii="Arial" w:hAnsi="Arial" w:cs="Arial"/>
          <w:b/>
        </w:rPr>
        <w:t xml:space="preserve">Artículo 2°. </w:t>
      </w:r>
      <w:r>
        <w:rPr>
          <w:rFonts w:ascii="Arial" w:hAnsi="Arial" w:cs="Arial"/>
        </w:rPr>
        <w:t xml:space="preserve">El presente acto legislativo rige a partir de su promulgación. </w:t>
      </w:r>
    </w:p>
    <w:p w:rsidR="00F702BF" w:rsidRDefault="00F702BF">
      <w:pPr>
        <w:spacing w:after="0" w:line="240" w:lineRule="auto"/>
        <w:jc w:val="both"/>
        <w:textAlignment w:val="center"/>
        <w:rPr>
          <w:rFonts w:ascii="Arial" w:hAnsi="Arial"/>
          <w:sz w:val="24"/>
          <w:szCs w:val="24"/>
          <w:lang w:val="es-ES_tradnl"/>
        </w:rPr>
      </w:pPr>
    </w:p>
    <w:p w:rsidR="00F702BF" w:rsidRDefault="00F702BF">
      <w:pPr>
        <w:spacing w:after="0" w:line="240" w:lineRule="auto"/>
        <w:jc w:val="both"/>
        <w:textAlignment w:val="center"/>
        <w:rPr>
          <w:rFonts w:ascii="Arial" w:hAnsi="Arial"/>
          <w:sz w:val="24"/>
          <w:szCs w:val="24"/>
          <w:lang w:val="es-ES_tradnl"/>
        </w:rPr>
      </w:pP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both"/>
        <w:textAlignment w:val="center"/>
        <w:rPr>
          <w:rFonts w:ascii="Arial" w:hAnsi="Arial"/>
          <w:sz w:val="24"/>
          <w:szCs w:val="24"/>
          <w:lang w:val="es-ES_tradnl"/>
        </w:rPr>
      </w:pPr>
      <w:r>
        <w:rPr>
          <w:rFonts w:ascii="Arial" w:hAnsi="Arial"/>
          <w:sz w:val="24"/>
          <w:szCs w:val="24"/>
          <w:lang w:val="es-ES_tradnl"/>
        </w:rPr>
        <w:t>Cordialmente,</w:t>
      </w:r>
    </w:p>
    <w:p w:rsidR="00F702BF" w:rsidRDefault="00F702BF">
      <w:pPr>
        <w:spacing w:after="0" w:line="240" w:lineRule="auto"/>
        <w:jc w:val="both"/>
        <w:textAlignment w:val="center"/>
        <w:rPr>
          <w:rFonts w:ascii="Arial" w:hAnsi="Arial"/>
          <w:sz w:val="24"/>
          <w:szCs w:val="24"/>
          <w:lang w:val="es-ES_tradnl"/>
        </w:rPr>
      </w:pPr>
    </w:p>
    <w:p w:rsidR="00F702BF" w:rsidRDefault="00F702BF">
      <w:pPr>
        <w:spacing w:after="0" w:line="240" w:lineRule="auto"/>
        <w:jc w:val="both"/>
        <w:textAlignment w:val="center"/>
        <w:rPr>
          <w:rFonts w:ascii="Arial" w:hAnsi="Arial"/>
          <w:sz w:val="24"/>
          <w:szCs w:val="24"/>
          <w:lang w:val="es-ES_tradnl"/>
        </w:rPr>
      </w:pPr>
    </w:p>
    <w:p w:rsidR="00F702BF" w:rsidRDefault="00F702BF">
      <w:pPr>
        <w:spacing w:after="0" w:line="240" w:lineRule="auto"/>
        <w:jc w:val="both"/>
        <w:textAlignment w:val="center"/>
        <w:rPr>
          <w:rFonts w:ascii="Arial" w:hAnsi="Arial"/>
          <w:sz w:val="24"/>
          <w:szCs w:val="24"/>
          <w:lang w:val="es-ES_tradnl"/>
        </w:rPr>
      </w:pPr>
    </w:p>
    <w:p w:rsidR="00F702BF" w:rsidRDefault="00F0380A">
      <w:pPr>
        <w:spacing w:after="0" w:line="240" w:lineRule="auto"/>
        <w:jc w:val="center"/>
        <w:textAlignment w:val="center"/>
        <w:rPr>
          <w:rFonts w:ascii="Arial" w:hAnsi="Arial"/>
          <w:b/>
          <w:sz w:val="24"/>
          <w:szCs w:val="24"/>
          <w:lang w:val="es-ES_tradnl"/>
        </w:rPr>
      </w:pPr>
      <w:r>
        <w:rPr>
          <w:rFonts w:ascii="Arial" w:hAnsi="Arial"/>
          <w:b/>
          <w:sz w:val="24"/>
          <w:szCs w:val="24"/>
          <w:lang w:val="es-ES_tradnl"/>
        </w:rPr>
        <w:t>ALBEIRO VANEGAS OSORIO</w:t>
      </w:r>
    </w:p>
    <w:p w:rsidR="00F702BF" w:rsidRDefault="00F0380A">
      <w:pPr>
        <w:spacing w:after="0" w:line="240" w:lineRule="auto"/>
        <w:jc w:val="center"/>
        <w:textAlignment w:val="center"/>
        <w:rPr>
          <w:rFonts w:ascii="Arial" w:hAnsi="Arial"/>
          <w:sz w:val="24"/>
          <w:szCs w:val="24"/>
          <w:lang w:val="es-ES_tradnl"/>
        </w:rPr>
      </w:pPr>
      <w:r>
        <w:rPr>
          <w:rFonts w:ascii="Arial" w:hAnsi="Arial"/>
          <w:sz w:val="24"/>
          <w:szCs w:val="24"/>
          <w:lang w:val="es-ES_tradnl"/>
        </w:rPr>
        <w:t>Representante a la Cámara</w:t>
      </w:r>
    </w:p>
    <w:p w:rsidR="00F702BF" w:rsidRDefault="00F0380A">
      <w:pPr>
        <w:spacing w:after="0" w:line="240" w:lineRule="auto"/>
        <w:jc w:val="center"/>
        <w:textAlignment w:val="center"/>
        <w:rPr>
          <w:rFonts w:ascii="Arial" w:hAnsi="Arial"/>
          <w:sz w:val="24"/>
          <w:szCs w:val="24"/>
          <w:lang w:val="es-ES_tradnl"/>
        </w:rPr>
      </w:pPr>
      <w:r>
        <w:rPr>
          <w:rFonts w:ascii="Arial" w:hAnsi="Arial"/>
          <w:sz w:val="24"/>
          <w:szCs w:val="24"/>
          <w:lang w:val="es-ES_tradnl"/>
        </w:rPr>
        <w:t>Departamento de Arauca</w:t>
      </w:r>
    </w:p>
    <w:p w:rsidR="00F702BF" w:rsidRDefault="00F702BF">
      <w:pPr>
        <w:spacing w:after="0" w:line="240" w:lineRule="auto"/>
        <w:jc w:val="center"/>
        <w:rPr>
          <w:rFonts w:ascii="Arial" w:hAnsi="Arial"/>
          <w:b/>
          <w:sz w:val="24"/>
          <w:szCs w:val="24"/>
          <w:lang w:val="es-ES"/>
        </w:rPr>
      </w:pPr>
    </w:p>
    <w:p w:rsidR="00F702BF" w:rsidRDefault="00F702BF">
      <w:pPr>
        <w:spacing w:after="0" w:line="240" w:lineRule="auto"/>
        <w:jc w:val="both"/>
        <w:textAlignment w:val="center"/>
        <w:rPr>
          <w:rFonts w:ascii="Arial" w:hAnsi="Arial"/>
          <w:sz w:val="24"/>
          <w:szCs w:val="24"/>
          <w:lang w:val="es-ES_tradnl"/>
        </w:rPr>
      </w:pPr>
    </w:p>
    <w:sectPr w:rsidR="00F702BF">
      <w:headerReference w:type="default" r:id="rId18"/>
      <w:footerReference w:type="default" r:id="rId19"/>
      <w:pgSz w:w="12240" w:h="15840"/>
      <w:pgMar w:top="2268" w:right="1701"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80A" w:rsidRDefault="00F0380A">
      <w:pPr>
        <w:spacing w:after="0" w:line="240" w:lineRule="auto"/>
      </w:pPr>
      <w:r>
        <w:separator/>
      </w:r>
    </w:p>
  </w:endnote>
  <w:endnote w:type="continuationSeparator" w:id="0">
    <w:p w:rsidR="00F0380A" w:rsidRDefault="00F0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7A6" w:rsidRDefault="00F0380A">
    <w:pPr>
      <w:pStyle w:val="Piedepgina"/>
      <w:jc w:val="right"/>
    </w:pPr>
    <w:r>
      <w:rPr>
        <w:rFonts w:ascii="Arial" w:hAnsi="Arial"/>
        <w:b/>
        <w:sz w:val="20"/>
        <w:szCs w:val="20"/>
      </w:rPr>
      <w:t xml:space="preserve">Página </w:t>
    </w:r>
    <w:r>
      <w:rPr>
        <w:rFonts w:ascii="Arial" w:hAnsi="Arial"/>
        <w:b/>
        <w:sz w:val="20"/>
        <w:szCs w:val="20"/>
      </w:rPr>
      <w:fldChar w:fldCharType="begin"/>
    </w:r>
    <w:r>
      <w:rPr>
        <w:rFonts w:ascii="Arial" w:hAnsi="Arial"/>
        <w:b/>
        <w:sz w:val="20"/>
        <w:szCs w:val="20"/>
      </w:rPr>
      <w:instrText xml:space="preserve"> PAGE </w:instrText>
    </w:r>
    <w:r>
      <w:rPr>
        <w:rFonts w:ascii="Arial" w:hAnsi="Arial"/>
        <w:b/>
        <w:sz w:val="20"/>
        <w:szCs w:val="20"/>
      </w:rPr>
      <w:fldChar w:fldCharType="separate"/>
    </w:r>
    <w:r w:rsidR="006461D5">
      <w:rPr>
        <w:rFonts w:ascii="Arial" w:hAnsi="Arial"/>
        <w:b/>
        <w:noProof/>
        <w:sz w:val="20"/>
        <w:szCs w:val="20"/>
      </w:rPr>
      <w:t>2</w:t>
    </w:r>
    <w:r>
      <w:rPr>
        <w:rFonts w:ascii="Arial" w:hAnsi="Arial"/>
        <w:b/>
        <w:sz w:val="20"/>
        <w:szCs w:val="20"/>
      </w:rPr>
      <w:fldChar w:fldCharType="end"/>
    </w:r>
    <w:r>
      <w:rPr>
        <w:rFonts w:ascii="Arial" w:hAnsi="Arial"/>
        <w:b/>
        <w:sz w:val="20"/>
        <w:szCs w:val="20"/>
      </w:rPr>
      <w:t xml:space="preserve"> de </w:t>
    </w:r>
    <w:r>
      <w:rPr>
        <w:rFonts w:ascii="Arial" w:hAnsi="Arial"/>
        <w:b/>
        <w:sz w:val="20"/>
        <w:szCs w:val="20"/>
      </w:rPr>
      <w:fldChar w:fldCharType="begin"/>
    </w:r>
    <w:r>
      <w:rPr>
        <w:rFonts w:ascii="Arial" w:hAnsi="Arial"/>
        <w:b/>
        <w:sz w:val="20"/>
        <w:szCs w:val="20"/>
      </w:rPr>
      <w:instrText xml:space="preserve"> NUMPAGES </w:instrText>
    </w:r>
    <w:r>
      <w:rPr>
        <w:rFonts w:ascii="Arial" w:hAnsi="Arial"/>
        <w:b/>
        <w:sz w:val="20"/>
        <w:szCs w:val="20"/>
      </w:rPr>
      <w:fldChar w:fldCharType="separate"/>
    </w:r>
    <w:r w:rsidR="006461D5">
      <w:rPr>
        <w:rFonts w:ascii="Arial" w:hAnsi="Arial"/>
        <w:b/>
        <w:noProof/>
        <w:sz w:val="20"/>
        <w:szCs w:val="20"/>
      </w:rPr>
      <w:t>27</w:t>
    </w:r>
    <w:r>
      <w:rPr>
        <w:rFonts w:ascii="Arial" w:hAnsi="Arial"/>
        <w:b/>
        <w:sz w:val="20"/>
        <w:szCs w:val="20"/>
      </w:rPr>
      <w:fldChar w:fldCharType="end"/>
    </w:r>
  </w:p>
  <w:p w:rsidR="00CB47A6" w:rsidRDefault="00F038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80A" w:rsidRDefault="00F0380A">
      <w:pPr>
        <w:spacing w:after="0" w:line="240" w:lineRule="auto"/>
      </w:pPr>
      <w:r>
        <w:rPr>
          <w:color w:val="000000"/>
        </w:rPr>
        <w:separator/>
      </w:r>
    </w:p>
  </w:footnote>
  <w:footnote w:type="continuationSeparator" w:id="0">
    <w:p w:rsidR="00F0380A" w:rsidRDefault="00F0380A">
      <w:pPr>
        <w:spacing w:after="0" w:line="240" w:lineRule="auto"/>
      </w:pPr>
      <w:r>
        <w:continuationSeparator/>
      </w:r>
    </w:p>
  </w:footnote>
  <w:footnote w:id="1">
    <w:p w:rsidR="00F702BF" w:rsidRDefault="00F0380A">
      <w:pPr>
        <w:pStyle w:val="Textonotapie"/>
        <w:jc w:val="both"/>
      </w:pPr>
      <w:r>
        <w:rPr>
          <w:rStyle w:val="Refdenotaalpie"/>
        </w:rPr>
        <w:footnoteRef/>
      </w:r>
      <w:r>
        <w:rPr>
          <w:rFonts w:ascii="Arial" w:hAnsi="Arial"/>
        </w:rPr>
        <w:t xml:space="preserve"> JORGE VALENCIA Director Unidad de Planeación Minero Energética UPME. HOJA DE RUTA PARA LA INCORPORACION DE ENERGIAS RENOVABLES EN COLOMBIA. I Encuentro</w:t>
      </w:r>
      <w:r>
        <w:rPr>
          <w:rFonts w:ascii="Arial" w:hAnsi="Arial"/>
        </w:rPr>
        <w:t xml:space="preserve"> Internacional de Energías Renovables Riohacha, 29-30 de Marzo de 2017</w:t>
      </w:r>
    </w:p>
    <w:p w:rsidR="00F702BF" w:rsidRDefault="00F702BF">
      <w:pPr>
        <w:pStyle w:val="Textonotapie"/>
        <w:jc w:val="both"/>
        <w:rPr>
          <w:rFonts w:ascii="Arial" w:hAnsi="Arial"/>
        </w:rPr>
      </w:pPr>
    </w:p>
  </w:footnote>
  <w:footnote w:id="2">
    <w:p w:rsidR="00F702BF" w:rsidRDefault="00F0380A">
      <w:pPr>
        <w:pStyle w:val="Textonotapie"/>
        <w:jc w:val="both"/>
      </w:pPr>
      <w:r>
        <w:rPr>
          <w:rStyle w:val="Refdenotaalpie"/>
        </w:rPr>
        <w:footnoteRef/>
      </w:r>
      <w:r>
        <w:rPr>
          <w:rFonts w:ascii="Arial" w:hAnsi="Arial"/>
        </w:rPr>
        <w:t xml:space="preserve"> Bases del Plan Nacional de Desarrollo 2014 - 2018</w:t>
      </w:r>
    </w:p>
  </w:footnote>
  <w:footnote w:id="3">
    <w:p w:rsidR="00F702BF" w:rsidRDefault="00F0380A">
      <w:pPr>
        <w:pStyle w:val="Textonotapie"/>
      </w:pPr>
      <w:r>
        <w:rPr>
          <w:rStyle w:val="Refdenotaalpie"/>
        </w:rPr>
        <w:footnoteRef/>
      </w:r>
      <w:r>
        <w:rPr>
          <w:rFonts w:ascii="Arial" w:hAnsi="Arial"/>
        </w:rPr>
        <w:t xml:space="preserve"> </w:t>
      </w:r>
      <w:r>
        <w:rPr>
          <w:rFonts w:ascii="Arial" w:eastAsia="Times New Roman" w:hAnsi="Arial"/>
          <w:b/>
          <w:lang w:eastAsia="es-CO"/>
        </w:rPr>
        <w:t xml:space="preserve">Colombia le apuesta fuerte a las energías renovables. </w:t>
      </w:r>
      <w:r>
        <w:rPr>
          <w:rFonts w:ascii="Arial" w:eastAsia="Times New Roman" w:hAnsi="Arial"/>
          <w:lang w:eastAsia="es-CO"/>
        </w:rPr>
        <w:t>La recientemente sancionada Ley 1715</w:t>
      </w:r>
      <w:r>
        <w:rPr>
          <w:rFonts w:ascii="Arial" w:eastAsia="Times New Roman" w:hAnsi="Arial"/>
          <w:lang w:eastAsia="es-CO"/>
        </w:rPr>
        <w:t xml:space="preserve"> de 2014 es el marco desde el cual el país se encamina al uso e implementación de estas fuentes no convencionales. Portafolio. Ago. 26/ 2014. En: Http://www.portafolio.co/economia/finanzas/colombia-le-apuesta-fuerte-energias-renovables-52158</w:t>
      </w:r>
    </w:p>
  </w:footnote>
  <w:footnote w:id="4">
    <w:p w:rsidR="00F702BF" w:rsidRDefault="00F0380A">
      <w:pPr>
        <w:pStyle w:val="Textonotapie"/>
        <w:jc w:val="both"/>
      </w:pPr>
      <w:r>
        <w:rPr>
          <w:rStyle w:val="Refdenotaalpie"/>
        </w:rPr>
        <w:footnoteRef/>
      </w:r>
      <w:r>
        <w:rPr>
          <w:rFonts w:ascii="Arial" w:hAnsi="Arial"/>
        </w:rPr>
        <w:t xml:space="preserve"> RUTTY PAOLA ORTIZ Viceministra de Energía, Ministerio de Minas y Energía. LAS ENERGÍAS RENOVABLES EN LA MATRIZ ENERGÉTICA DE COLOMBIA. I Encuentro Internacional de Energías Renovables Riohacha, 29-30 de Marzo de 2017</w:t>
      </w:r>
    </w:p>
    <w:p w:rsidR="00F702BF" w:rsidRDefault="00F702BF">
      <w:pPr>
        <w:pStyle w:val="Textonotapie"/>
      </w:pPr>
    </w:p>
  </w:footnote>
  <w:footnote w:id="5">
    <w:p w:rsidR="00F702BF" w:rsidRDefault="00F0380A">
      <w:pPr>
        <w:pStyle w:val="Textonotapie"/>
      </w:pPr>
      <w:r>
        <w:rPr>
          <w:rStyle w:val="Refdenotaalpie"/>
        </w:rPr>
        <w:footnoteRef/>
      </w:r>
      <w:r>
        <w:rPr>
          <w:rFonts w:ascii="Arial" w:hAnsi="Arial"/>
        </w:rPr>
        <w:t xml:space="preserve"> José Antonio Vargas </w:t>
      </w:r>
      <w:r>
        <w:rPr>
          <w:rFonts w:ascii="Arial" w:hAnsi="Arial"/>
        </w:rPr>
        <w:t>Presidente Consejo Mundial de Energía Colombia. Perspectiva mundial de las energías renovables. I Encuentro Internacional de Energías Renovables Riohacha, 29-30 de Marzo de 2017</w:t>
      </w:r>
    </w:p>
  </w:footnote>
  <w:footnote w:id="6">
    <w:p w:rsidR="00F702BF" w:rsidRDefault="00F0380A">
      <w:pPr>
        <w:pStyle w:val="Textonotapie"/>
      </w:pPr>
      <w:r>
        <w:rPr>
          <w:rStyle w:val="Refdenotaalpie"/>
        </w:rPr>
        <w:footnoteRef/>
      </w:r>
      <w:r>
        <w:t xml:space="preserve"> </w:t>
      </w:r>
      <w:r>
        <w:rPr>
          <w:rFonts w:ascii="Arial" w:hAnsi="Arial"/>
        </w:rPr>
        <w:t>Bases del Plan Nacional de Desarrollo 2014 - 2018</w:t>
      </w:r>
    </w:p>
  </w:footnote>
  <w:footnote w:id="7">
    <w:p w:rsidR="00F702BF" w:rsidRDefault="00F0380A">
      <w:pPr>
        <w:pStyle w:val="Textonotapie"/>
        <w:jc w:val="both"/>
      </w:pPr>
      <w:r>
        <w:rPr>
          <w:rStyle w:val="Refdenotaalpie"/>
        </w:rPr>
        <w:footnoteRef/>
      </w:r>
      <w:r>
        <w:rPr>
          <w:rFonts w:ascii="Arial" w:hAnsi="Arial"/>
        </w:rPr>
        <w:t xml:space="preserve"> García Arbeláez, C</w:t>
      </w:r>
      <w:r>
        <w:rPr>
          <w:rFonts w:ascii="Arial" w:hAnsi="Arial"/>
        </w:rPr>
        <w:t xml:space="preserve"> .; Barrera, X .; Gómez, R . y R . Suárez Castaño . 2015 . El ABC de los compromisos de Colombia para la COP21 . 2 ed . WWF-Colombia . 31 pp .</w:t>
      </w:r>
    </w:p>
  </w:footnote>
  <w:footnote w:id="8">
    <w:p w:rsidR="00F702BF" w:rsidRDefault="00F0380A">
      <w:pPr>
        <w:pStyle w:val="Textonotapie"/>
      </w:pPr>
      <w:r>
        <w:rPr>
          <w:rStyle w:val="Refdenotaalpie"/>
        </w:rPr>
        <w:footnoteRef/>
      </w:r>
      <w:r>
        <w:rPr>
          <w:rFonts w:ascii="Arial" w:hAnsi="Arial"/>
        </w:rPr>
        <w:t xml:space="preserve"> Luis Gilberto Murillo. MinAmbiente La paz está en nuestra Naturaleza. I Encuentro Internacional de Energías Renovables Riohacha, 29-30 de Marzo de 2017</w:t>
      </w:r>
    </w:p>
    <w:p w:rsidR="00F702BF" w:rsidRDefault="00F702BF">
      <w:pPr>
        <w:pStyle w:val="Textonotapie"/>
        <w:rPr>
          <w:rFonts w:ascii="Arial" w:hAnsi="Arial"/>
        </w:rPr>
      </w:pPr>
    </w:p>
  </w:footnote>
  <w:footnote w:id="9">
    <w:p w:rsidR="00F702BF" w:rsidRDefault="00F0380A">
      <w:pPr>
        <w:pStyle w:val="Textonotapie"/>
        <w:jc w:val="both"/>
      </w:pPr>
      <w:r>
        <w:rPr>
          <w:rStyle w:val="Refdenotaalpie"/>
        </w:rPr>
        <w:footnoteRef/>
      </w:r>
      <w:r>
        <w:rPr>
          <w:rFonts w:ascii="Arial" w:hAnsi="Arial"/>
        </w:rPr>
        <w:t xml:space="preserve"> Unidad de Planeación Minero Energética - UPME. PLAN DE EXPANSIÓN DE REFERENCIA GENERACIÓN – TRANSMISIÓN 2016 – 2030. En:  http://www.upme.gov.co/Docs/Plan_Expansion/2016/Plan_GT_2016_2</w:t>
      </w:r>
      <w:r>
        <w:rPr>
          <w:rFonts w:ascii="Arial" w:hAnsi="Arial"/>
        </w:rPr>
        <w:t>030/Plan_GT_2016_2030_Final_V1_12-12-2016.pdf</w:t>
      </w:r>
    </w:p>
  </w:footnote>
  <w:footnote w:id="10">
    <w:p w:rsidR="00F702BF" w:rsidRDefault="00F0380A">
      <w:pPr>
        <w:spacing w:after="0" w:line="240" w:lineRule="auto"/>
        <w:jc w:val="both"/>
      </w:pPr>
      <w:r>
        <w:rPr>
          <w:rStyle w:val="Refdenotaalpie"/>
        </w:rPr>
        <w:footnoteRef/>
      </w:r>
      <w:r>
        <w:rPr>
          <w:rFonts w:ascii="Arial" w:hAnsi="Arial"/>
          <w:sz w:val="20"/>
          <w:szCs w:val="20"/>
        </w:rPr>
        <w:t xml:space="preserve"> </w:t>
      </w:r>
      <w:r>
        <w:rPr>
          <w:rFonts w:ascii="Arial" w:eastAsia="Times New Roman" w:hAnsi="Arial"/>
          <w:b/>
          <w:sz w:val="20"/>
          <w:szCs w:val="20"/>
          <w:lang w:eastAsia="es-CO"/>
        </w:rPr>
        <w:t xml:space="preserve">Colombia le apuesta fuerte a las energías renovables. </w:t>
      </w:r>
      <w:r>
        <w:rPr>
          <w:rFonts w:ascii="Arial" w:eastAsia="Times New Roman" w:hAnsi="Arial"/>
          <w:sz w:val="20"/>
          <w:szCs w:val="20"/>
          <w:lang w:eastAsia="es-CO"/>
        </w:rPr>
        <w:t>La recientemente sancionada Ley 1715 de 2014 es el marco desde el cual el país se encamina al uso e implementación de estas fuentes no c</w:t>
      </w:r>
      <w:r>
        <w:rPr>
          <w:rFonts w:ascii="Arial" w:eastAsia="Times New Roman" w:hAnsi="Arial"/>
          <w:sz w:val="20"/>
          <w:szCs w:val="20"/>
          <w:lang w:eastAsia="es-CO"/>
        </w:rPr>
        <w:t>onvencionales. Portafolio. Ago. 26/ 2014. En: Http://www.portafolio.co/economia/finanzas/colombia-le-apuesta-fuerte-energias-renovables-52158</w:t>
      </w:r>
    </w:p>
    <w:p w:rsidR="00F702BF" w:rsidRDefault="00F702BF">
      <w:pPr>
        <w:pStyle w:val="Textonotapie"/>
      </w:pPr>
    </w:p>
  </w:footnote>
  <w:footnote w:id="11">
    <w:p w:rsidR="00F702BF" w:rsidRDefault="00F0380A">
      <w:pPr>
        <w:spacing w:after="0" w:line="240" w:lineRule="auto"/>
        <w:jc w:val="both"/>
      </w:pPr>
      <w:r>
        <w:rPr>
          <w:rStyle w:val="Refdenotaalpie"/>
        </w:rPr>
        <w:footnoteRef/>
      </w:r>
      <w:r>
        <w:rPr>
          <w:rFonts w:ascii="Arial" w:hAnsi="Arial"/>
          <w:sz w:val="20"/>
          <w:szCs w:val="20"/>
        </w:rPr>
        <w:t xml:space="preserve"> </w:t>
      </w:r>
      <w:r>
        <w:rPr>
          <w:rFonts w:ascii="Arial" w:eastAsia="Times New Roman" w:hAnsi="Arial"/>
          <w:spacing w:val="4"/>
          <w:sz w:val="20"/>
          <w:szCs w:val="20"/>
          <w:lang w:eastAsia="es-CO"/>
        </w:rPr>
        <w:t xml:space="preserve">MARÍA CAMILA GONZÁLEZ. </w:t>
      </w:r>
      <w:r>
        <w:rPr>
          <w:rFonts w:ascii="Arial" w:eastAsia="Times New Roman" w:hAnsi="Arial"/>
          <w:b/>
          <w:kern w:val="3"/>
          <w:sz w:val="20"/>
          <w:szCs w:val="20"/>
          <w:lang w:eastAsia="es-CO"/>
        </w:rPr>
        <w:t>El país empieza a pensar en las energías alternativas.</w:t>
      </w:r>
      <w:r>
        <w:rPr>
          <w:rFonts w:ascii="Arial" w:eastAsia="Times New Roman" w:hAnsi="Arial"/>
          <w:sz w:val="20"/>
          <w:szCs w:val="20"/>
          <w:lang w:eastAsia="es-CO"/>
        </w:rPr>
        <w:t xml:space="preserve"> El Tiempo. 9 de mayo de 2016. En: El Gobierno reglamentó parte de una ley que incentiva autogeneración y venta de </w:t>
      </w:r>
      <w:r>
        <w:rPr>
          <w:rFonts w:ascii="Arial" w:eastAsia="Times New Roman" w:hAnsi="Arial"/>
          <w:sz w:val="20"/>
          <w:szCs w:val="20"/>
          <w:lang w:eastAsia="es-CO"/>
        </w:rPr>
        <w:t>excedentes a la red.http://www.eltiempo.com/archivo/documento/CMS-16586596</w:t>
      </w:r>
    </w:p>
    <w:p w:rsidR="00F702BF" w:rsidRDefault="00F702BF">
      <w:pPr>
        <w:pStyle w:val="Textonotapie"/>
        <w:jc w:val="both"/>
        <w:rPr>
          <w:rFonts w:ascii="Arial" w:hAnsi="Arial"/>
        </w:rPr>
      </w:pPr>
    </w:p>
  </w:footnote>
  <w:footnote w:id="12">
    <w:p w:rsidR="00F702BF" w:rsidRDefault="00F0380A">
      <w:pPr>
        <w:spacing w:after="0" w:line="240" w:lineRule="auto"/>
        <w:jc w:val="both"/>
      </w:pPr>
      <w:r>
        <w:rPr>
          <w:rStyle w:val="Refdenotaalpie"/>
        </w:rPr>
        <w:footnoteRef/>
      </w:r>
      <w:r>
        <w:rPr>
          <w:rFonts w:ascii="Arial" w:hAnsi="Arial"/>
          <w:sz w:val="20"/>
          <w:szCs w:val="20"/>
        </w:rPr>
        <w:t xml:space="preserve">  'La Guajira podría generar toda la energía de Colombia'. Así lo señaló el ministro de Ambiente y Desarrollo Sostenible, </w:t>
      </w:r>
      <w:r>
        <w:rPr>
          <w:rFonts w:ascii="Arial" w:hAnsi="Arial"/>
          <w:sz w:val="20"/>
          <w:szCs w:val="20"/>
        </w:rPr>
        <w:t>Luis Gilberto Murillo. En Suramérica, La Guajira es de las áreas con mayor potencial, según lo señaló el ministro de Ambiente y Desarrollo Sostenible, Luis Gilberto Murillo.</w:t>
      </w:r>
    </w:p>
    <w:p w:rsidR="00F702BF" w:rsidRDefault="00F0380A">
      <w:pPr>
        <w:spacing w:after="0" w:line="240" w:lineRule="auto"/>
        <w:jc w:val="both"/>
        <w:rPr>
          <w:rFonts w:ascii="Arial" w:hAnsi="Arial"/>
          <w:sz w:val="20"/>
          <w:szCs w:val="20"/>
        </w:rPr>
      </w:pPr>
      <w:r>
        <w:rPr>
          <w:rFonts w:ascii="Arial" w:hAnsi="Arial"/>
          <w:sz w:val="20"/>
          <w:szCs w:val="20"/>
        </w:rPr>
        <w:t>Por: El Tiempo Riohacha. 30 de marzo 2017. En: http://m.eltiempo.com/colombia/otra</w:t>
      </w:r>
      <w:r>
        <w:rPr>
          <w:rFonts w:ascii="Arial" w:hAnsi="Arial"/>
          <w:sz w:val="20"/>
          <w:szCs w:val="20"/>
        </w:rPr>
        <w:t>s-ciudades/la-guajira-es-el-lugar-de-suramerica-con-mayor-potencial-de-energias-renovables-73238?hootPostID=ecbbe8dbdf6c100275b9101fe32516de</w:t>
      </w:r>
    </w:p>
    <w:p w:rsidR="00F702BF" w:rsidRDefault="00F702BF">
      <w:pPr>
        <w:pStyle w:val="Textonotapie"/>
        <w:jc w:val="both"/>
        <w:rPr>
          <w:rFonts w:ascii="Arial" w:hAnsi="Arial"/>
        </w:rPr>
      </w:pPr>
    </w:p>
  </w:footnote>
  <w:footnote w:id="13">
    <w:p w:rsidR="00F702BF" w:rsidRDefault="00F0380A">
      <w:pPr>
        <w:pStyle w:val="Textonotapie"/>
      </w:pPr>
      <w:r>
        <w:rPr>
          <w:rStyle w:val="Refdenotaalpie"/>
        </w:rPr>
        <w:footnoteRef/>
      </w:r>
      <w:r>
        <w:rPr>
          <w:rFonts w:ascii="Arial" w:hAnsi="Arial"/>
        </w:rPr>
        <w:t xml:space="preserve"> JORGE VALENCIA Director Unidad de Planeación Minero Energética UPME. HOJA DE RUTA PARA LA INCORPO</w:t>
      </w:r>
      <w:r>
        <w:rPr>
          <w:rFonts w:ascii="Arial" w:hAnsi="Arial"/>
        </w:rPr>
        <w:t>RACION DE ENERGIAS RENOVABLES EN COLOMBIA. I Encuentro Internacional de Energías Renovables Riohacha, 29-30 de Marzo de 2017</w:t>
      </w:r>
    </w:p>
    <w:p w:rsidR="00F702BF" w:rsidRDefault="00F702BF">
      <w:pPr>
        <w:pStyle w:val="Textonotapie"/>
      </w:pPr>
    </w:p>
  </w:footnote>
  <w:footnote w:id="14">
    <w:p w:rsidR="00F702BF" w:rsidRDefault="00F0380A">
      <w:pPr>
        <w:pStyle w:val="Textonotapie"/>
      </w:pPr>
      <w:r>
        <w:rPr>
          <w:rStyle w:val="Refdenotaalpie"/>
        </w:rPr>
        <w:footnoteRef/>
      </w:r>
      <w:r>
        <w:t xml:space="preserve"> </w:t>
      </w:r>
      <w:r>
        <w:rPr>
          <w:rFonts w:ascii="Arial" w:hAnsi="Arial"/>
        </w:rPr>
        <w:t>Guillermo Perry. Energía, economía y ambiente. En: El Tiempo, 16.04.2017 pág. 7</w:t>
      </w:r>
    </w:p>
  </w:footnote>
  <w:footnote w:id="15">
    <w:p w:rsidR="00F702BF" w:rsidRDefault="00F0380A">
      <w:pPr>
        <w:spacing w:after="0" w:line="240" w:lineRule="auto"/>
        <w:jc w:val="both"/>
      </w:pPr>
      <w:r>
        <w:rPr>
          <w:rStyle w:val="Refdenotaalpie"/>
        </w:rPr>
        <w:footnoteRef/>
      </w:r>
      <w:r>
        <w:rPr>
          <w:rFonts w:ascii="Arial" w:hAnsi="Arial"/>
          <w:sz w:val="20"/>
          <w:szCs w:val="20"/>
        </w:rPr>
        <w:t xml:space="preserve"> CGR. COMUNICADO DE PRENSA No. 37. Bogotá, 21 de marzo de 2017. </w:t>
      </w:r>
      <w:r>
        <w:rPr>
          <w:rFonts w:ascii="Arial" w:eastAsia="Times New Roman" w:hAnsi="Arial"/>
          <w:bCs/>
          <w:sz w:val="20"/>
          <w:szCs w:val="20"/>
          <w:lang w:eastAsia="es-CO"/>
        </w:rPr>
        <w:t>El Contralor Edgardo Maya Villazón urge correctivos: Evaluación de des</w:t>
      </w:r>
      <w:r>
        <w:rPr>
          <w:rFonts w:ascii="Arial" w:eastAsia="Times New Roman" w:hAnsi="Arial"/>
          <w:bCs/>
          <w:sz w:val="20"/>
          <w:szCs w:val="20"/>
          <w:lang w:eastAsia="es-CO"/>
        </w:rPr>
        <w:t>empeño al Fondo de Ciencia, Tecnología e Innovación revela riesgos, inversiones poco pertinentes y problemas de eficiencia. En: http://www.contraloriagen.gov.co/web/guest/contraloria/sala-de-prensa/boletines-de-prensa/-/asset_publisher/Jl4Sa8JTmjbW/content</w:t>
      </w:r>
      <w:r>
        <w:rPr>
          <w:rFonts w:ascii="Arial" w:eastAsia="Times New Roman" w:hAnsi="Arial"/>
          <w:bCs/>
          <w:sz w:val="20"/>
          <w:szCs w:val="20"/>
          <w:lang w:eastAsia="es-CO"/>
        </w:rPr>
        <w:t>/el-contralor-edgardo-maya-villazon-urge-correctivos-evaluacion-de-desempeno-al-fondo-de-ciencia-tecnologia-e-innovacion-revela-riesgos-inversiones-poc</w:t>
      </w:r>
    </w:p>
    <w:p w:rsidR="00F702BF" w:rsidRDefault="00F702BF">
      <w:pPr>
        <w:pStyle w:val="Textonotapie"/>
        <w:rPr>
          <w:b/>
        </w:rPr>
      </w:pPr>
    </w:p>
  </w:footnote>
  <w:footnote w:id="16">
    <w:p w:rsidR="00F702BF" w:rsidRDefault="00F0380A">
      <w:pPr>
        <w:spacing w:after="0" w:line="240" w:lineRule="auto"/>
        <w:jc w:val="both"/>
      </w:pPr>
      <w:r>
        <w:rPr>
          <w:rStyle w:val="Refdenotaalpie"/>
        </w:rPr>
        <w:footnoteRef/>
      </w:r>
      <w:r>
        <w:rPr>
          <w:rFonts w:ascii="Arial" w:hAnsi="Arial"/>
          <w:sz w:val="20"/>
          <w:szCs w:val="20"/>
        </w:rPr>
        <w:t xml:space="preserve"> William Orlando Escobar Caicedo y David Quitian Reyes. IMPACTOS DE LA REGLAMENTACIÓN DE LA LEY 1715 DE ENERGÍAS RENOVABLES NO CONVENCIONALES. Universidad Nacional de Colombia Sede Bogotá - Facultad d</w:t>
      </w:r>
      <w:r>
        <w:rPr>
          <w:rFonts w:ascii="Arial" w:hAnsi="Arial"/>
          <w:sz w:val="20"/>
          <w:szCs w:val="20"/>
        </w:rPr>
        <w:t>e Ciencias Económicas. 2015</w:t>
      </w:r>
    </w:p>
    <w:p w:rsidR="00F702BF" w:rsidRDefault="00F702BF">
      <w:pPr>
        <w:pStyle w:val="Textonotapie"/>
      </w:pPr>
    </w:p>
  </w:footnote>
  <w:footnote w:id="17">
    <w:p w:rsidR="00F702BF" w:rsidRDefault="00F0380A">
      <w:pPr>
        <w:spacing w:after="0" w:line="240" w:lineRule="auto"/>
        <w:jc w:val="both"/>
      </w:pPr>
      <w:r>
        <w:rPr>
          <w:rStyle w:val="Refdenotaalpie"/>
        </w:rPr>
        <w:footnoteRef/>
      </w:r>
      <w:r>
        <w:rPr>
          <w:rFonts w:ascii="Arial" w:hAnsi="Arial"/>
          <w:sz w:val="20"/>
          <w:szCs w:val="20"/>
        </w:rPr>
        <w:t xml:space="preserve"> </w:t>
      </w:r>
      <w:r>
        <w:rPr>
          <w:rFonts w:ascii="Arial" w:eastAsia="Times New Roman" w:hAnsi="Arial"/>
          <w:spacing w:val="4"/>
          <w:sz w:val="20"/>
          <w:szCs w:val="20"/>
          <w:lang w:eastAsia="es-CO"/>
        </w:rPr>
        <w:t xml:space="preserve">MARÍA CAMILA GONZÁLEZ. </w:t>
      </w:r>
      <w:r>
        <w:rPr>
          <w:rFonts w:ascii="Arial" w:eastAsia="Times New Roman" w:hAnsi="Arial"/>
          <w:b/>
          <w:kern w:val="3"/>
          <w:sz w:val="20"/>
          <w:szCs w:val="20"/>
          <w:lang w:eastAsia="es-CO"/>
        </w:rPr>
        <w:t>Op. Cit</w:t>
      </w:r>
    </w:p>
    <w:p w:rsidR="00F702BF" w:rsidRDefault="00F702BF">
      <w:pPr>
        <w:pStyle w:val="Textonotapie"/>
        <w:jc w:val="both"/>
        <w:rPr>
          <w:rFonts w:ascii="Arial" w:hAnsi="Arial"/>
        </w:rPr>
      </w:pPr>
    </w:p>
  </w:footnote>
  <w:footnote w:id="18">
    <w:p w:rsidR="00F702BF" w:rsidRDefault="00F0380A">
      <w:pPr>
        <w:pStyle w:val="Textonotapie"/>
        <w:jc w:val="both"/>
      </w:pPr>
      <w:r>
        <w:rPr>
          <w:rStyle w:val="Refdenotaalpie"/>
        </w:rPr>
        <w:footnoteRef/>
      </w:r>
      <w:r>
        <w:rPr>
          <w:rFonts w:ascii="Arial" w:hAnsi="Arial"/>
        </w:rPr>
        <w:t xml:space="preserve"> </w:t>
      </w:r>
      <w:r>
        <w:rPr>
          <w:rStyle w:val="Textoennegrita"/>
          <w:rFonts w:ascii="Arial" w:hAnsi="Arial"/>
          <w:b w:val="0"/>
          <w:bCs w:val="0"/>
        </w:rPr>
        <w:t xml:space="preserve">Nohora </w:t>
      </w:r>
      <w:r>
        <w:rPr>
          <w:rStyle w:val="Textoennegrita"/>
          <w:rFonts w:ascii="Arial" w:hAnsi="Arial"/>
          <w:b w:val="0"/>
          <w:bCs w:val="0"/>
        </w:rPr>
        <w:t xml:space="preserve">Celedón. Invertir en energías renovables generará US$775 millones. Portafolio, </w:t>
      </w:r>
      <w:r>
        <w:rPr>
          <w:rFonts w:ascii="Arial" w:hAnsi="Arial"/>
        </w:rPr>
        <w:t>septiembre 18 de 2015</w:t>
      </w:r>
    </w:p>
  </w:footnote>
  <w:footnote w:id="19">
    <w:p w:rsidR="00F702BF" w:rsidRDefault="00F0380A">
      <w:pPr>
        <w:spacing w:after="0" w:line="240" w:lineRule="auto"/>
        <w:jc w:val="both"/>
      </w:pPr>
      <w:r>
        <w:rPr>
          <w:rStyle w:val="Refdenotaalpie"/>
        </w:rPr>
        <w:footnoteRef/>
      </w:r>
      <w:r>
        <w:rPr>
          <w:rFonts w:ascii="Arial" w:hAnsi="Arial"/>
          <w:sz w:val="20"/>
          <w:szCs w:val="20"/>
        </w:rPr>
        <w:t xml:space="preserve"> </w:t>
      </w:r>
      <w:r>
        <w:rPr>
          <w:rFonts w:ascii="Arial" w:eastAsia="Times New Roman" w:hAnsi="Arial"/>
          <w:sz w:val="20"/>
          <w:szCs w:val="20"/>
          <w:lang w:eastAsia="es-CO"/>
        </w:rPr>
        <w:t>Heinz-Peter Bader. Colombia invertirá 69 millones de dólares en energía renovable. Esto ratificaría al país como una superpotenc</w:t>
      </w:r>
      <w:r>
        <w:rPr>
          <w:rFonts w:ascii="Arial" w:eastAsia="Times New Roman" w:hAnsi="Arial"/>
          <w:sz w:val="20"/>
          <w:szCs w:val="20"/>
          <w:lang w:eastAsia="es-CO"/>
        </w:rPr>
        <w:t>ia mundial en generación de energías renovables. Reuters. 17 de septiembre 2017. http://m.eltiempo.com/vida/medio-ambiente/gobierno-de-colombia-invertira-69-millones-de-dolares-en-energia-renovable-131590</w:t>
      </w:r>
    </w:p>
    <w:p w:rsidR="00F702BF" w:rsidRDefault="00F702BF">
      <w:pPr>
        <w:spacing w:after="0" w:line="240" w:lineRule="auto"/>
        <w:jc w:val="both"/>
        <w:rPr>
          <w:rFonts w:ascii="Arial" w:eastAsia="Times New Roman" w:hAnsi="Arial"/>
          <w:sz w:val="24"/>
          <w:szCs w:val="24"/>
          <w:lang w:eastAsia="es-CO"/>
        </w:rPr>
      </w:pPr>
    </w:p>
    <w:p w:rsidR="00F702BF" w:rsidRDefault="00F702BF">
      <w:pPr>
        <w:spacing w:after="0" w:line="240" w:lineRule="auto"/>
        <w:jc w:val="both"/>
        <w:rPr>
          <w:rFonts w:ascii="Arial" w:eastAsia="Times New Roman" w:hAnsi="Arial"/>
          <w:sz w:val="24"/>
          <w:szCs w:val="24"/>
          <w:lang w:eastAsia="es-CO"/>
        </w:rPr>
      </w:pPr>
    </w:p>
    <w:p w:rsidR="00F702BF" w:rsidRDefault="00F702B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7A6" w:rsidRDefault="00F0380A">
    <w:pPr>
      <w:pStyle w:val="Encabezado"/>
      <w:jc w:val="center"/>
    </w:pPr>
    <w:r>
      <w:rPr>
        <w:noProof/>
        <w:lang w:eastAsia="es-CO"/>
      </w:rPr>
      <w:drawing>
        <wp:inline distT="0" distB="0" distL="0" distR="0">
          <wp:extent cx="2079702" cy="939518"/>
          <wp:effectExtent l="0" t="0" r="0" b="0"/>
          <wp:docPr id="1" name="Imagen 8" descr="FONDO ACT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079702" cy="939518"/>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FF26D4"/>
    <w:multiLevelType w:val="multilevel"/>
    <w:tmpl w:val="7E2CE164"/>
    <w:lvl w:ilvl="0">
      <w:numFmt w:val="bullet"/>
      <w:lvlText w:val=""/>
      <w:lvlJc w:val="left"/>
      <w:pPr>
        <w:ind w:left="660" w:hanging="360"/>
      </w:pPr>
      <w:rPr>
        <w:rFonts w:ascii="Wingdings" w:hAnsi="Wingdings"/>
      </w:rPr>
    </w:lvl>
    <w:lvl w:ilvl="1">
      <w:numFmt w:val="bullet"/>
      <w:lvlText w:val="o"/>
      <w:lvlJc w:val="left"/>
      <w:pPr>
        <w:ind w:left="1380" w:hanging="360"/>
      </w:pPr>
      <w:rPr>
        <w:rFonts w:ascii="Courier New" w:hAnsi="Courier New" w:cs="Courier New"/>
      </w:rPr>
    </w:lvl>
    <w:lvl w:ilvl="2">
      <w:numFmt w:val="bullet"/>
      <w:lvlText w:val=""/>
      <w:lvlJc w:val="left"/>
      <w:pPr>
        <w:ind w:left="2100" w:hanging="360"/>
      </w:pPr>
      <w:rPr>
        <w:rFonts w:ascii="Wingdings" w:hAnsi="Wingdings"/>
      </w:rPr>
    </w:lvl>
    <w:lvl w:ilvl="3">
      <w:numFmt w:val="bullet"/>
      <w:lvlText w:val=""/>
      <w:lvlJc w:val="left"/>
      <w:pPr>
        <w:ind w:left="2820" w:hanging="360"/>
      </w:pPr>
      <w:rPr>
        <w:rFonts w:ascii="Symbol" w:hAnsi="Symbol"/>
      </w:rPr>
    </w:lvl>
    <w:lvl w:ilvl="4">
      <w:numFmt w:val="bullet"/>
      <w:lvlText w:val="o"/>
      <w:lvlJc w:val="left"/>
      <w:pPr>
        <w:ind w:left="3540" w:hanging="360"/>
      </w:pPr>
      <w:rPr>
        <w:rFonts w:ascii="Courier New" w:hAnsi="Courier New" w:cs="Courier New"/>
      </w:rPr>
    </w:lvl>
    <w:lvl w:ilvl="5">
      <w:numFmt w:val="bullet"/>
      <w:lvlText w:val=""/>
      <w:lvlJc w:val="left"/>
      <w:pPr>
        <w:ind w:left="4260" w:hanging="360"/>
      </w:pPr>
      <w:rPr>
        <w:rFonts w:ascii="Wingdings" w:hAnsi="Wingdings"/>
      </w:rPr>
    </w:lvl>
    <w:lvl w:ilvl="6">
      <w:numFmt w:val="bullet"/>
      <w:lvlText w:val=""/>
      <w:lvlJc w:val="left"/>
      <w:pPr>
        <w:ind w:left="4980" w:hanging="360"/>
      </w:pPr>
      <w:rPr>
        <w:rFonts w:ascii="Symbol" w:hAnsi="Symbol"/>
      </w:rPr>
    </w:lvl>
    <w:lvl w:ilvl="7">
      <w:numFmt w:val="bullet"/>
      <w:lvlText w:val="o"/>
      <w:lvlJc w:val="left"/>
      <w:pPr>
        <w:ind w:left="5700" w:hanging="360"/>
      </w:pPr>
      <w:rPr>
        <w:rFonts w:ascii="Courier New" w:hAnsi="Courier New" w:cs="Courier New"/>
      </w:rPr>
    </w:lvl>
    <w:lvl w:ilvl="8">
      <w:numFmt w:val="bullet"/>
      <w:lvlText w:val=""/>
      <w:lvlJc w:val="left"/>
      <w:pPr>
        <w:ind w:left="6420" w:hanging="360"/>
      </w:pPr>
      <w:rPr>
        <w:rFonts w:ascii="Wingdings" w:hAnsi="Wingdings"/>
      </w:rPr>
    </w:lvl>
  </w:abstractNum>
  <w:abstractNum w:abstractNumId="1">
    <w:nsid w:val="66127FD2"/>
    <w:multiLevelType w:val="multilevel"/>
    <w:tmpl w:val="FA06540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F702BF"/>
    <w:rsid w:val="006461D5"/>
    <w:rsid w:val="00F0380A"/>
    <w:rsid w:val="00F702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93F092-B77E-42D6-8EE3-8AD450AE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CO"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s-CO"/>
    </w:rPr>
  </w:style>
  <w:style w:type="paragraph" w:styleId="Prrafodelista">
    <w:name w:val="List Paragraph"/>
    <w:basedOn w:val="Normal"/>
    <w:pPr>
      <w:ind w:left="720"/>
    </w:pPr>
  </w:style>
  <w:style w:type="paragraph" w:styleId="Textonotapie">
    <w:name w:val="footnote text"/>
    <w:basedOn w:val="Normal"/>
    <w:pPr>
      <w:spacing w:after="0" w:line="240" w:lineRule="auto"/>
    </w:pPr>
    <w:rPr>
      <w:sz w:val="20"/>
      <w:szCs w:val="20"/>
    </w:rPr>
  </w:style>
  <w:style w:type="character" w:customStyle="1" w:styleId="TextonotapieCar">
    <w:name w:val="Texto nota pie Car"/>
    <w:basedOn w:val="Fuentedeprrafopredeter"/>
    <w:rPr>
      <w:sz w:val="20"/>
      <w:szCs w:val="20"/>
    </w:rPr>
  </w:style>
  <w:style w:type="character" w:styleId="Refdenotaalpie">
    <w:name w:val="footnote reference"/>
    <w:basedOn w:val="Fuentedeprrafopredeter"/>
    <w:rPr>
      <w:position w:val="0"/>
      <w:vertAlign w:val="superscript"/>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character" w:styleId="Textoennegrita">
    <w:name w:val="Strong"/>
    <w:basedOn w:val="Fuentedeprrafopredeter"/>
    <w:rPr>
      <w:b/>
      <w:bCs/>
    </w:rPr>
  </w:style>
  <w:style w:type="paragraph" w:customStyle="1" w:styleId="CarCarCarCarCarCarCar">
    <w:name w:val="Car Car Car Car Car Car Car"/>
    <w:basedOn w:val="Normal"/>
    <w:pPr>
      <w:suppressAutoHyphens w:val="0"/>
      <w:spacing w:line="240" w:lineRule="exact"/>
      <w:textAlignment w:val="auto"/>
    </w:pPr>
    <w:rPr>
      <w:rFonts w:ascii="Verdana" w:eastAsia="Times New Roman" w:hAnsi="Verdana"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ltiempo.com/noticias/gobierno-colombian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eltiempo.com/noticias/energi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witter.com/g1arce"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ltiempo.com/noticias/ministerio-de-minas-y-energ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8747</Words>
  <Characters>48111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eduardodiaz</dc:creator>
  <dc:description/>
  <cp:lastModifiedBy>Javier Eduardo Figueroa Pulido</cp:lastModifiedBy>
  <cp:revision>2</cp:revision>
  <cp:lastPrinted>2017-11-01T19:02:00Z</cp:lastPrinted>
  <dcterms:created xsi:type="dcterms:W3CDTF">2017-11-02T16:23:00Z</dcterms:created>
  <dcterms:modified xsi:type="dcterms:W3CDTF">2017-11-02T16:23:00Z</dcterms:modified>
</cp:coreProperties>
</file>