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B1" w:rsidRDefault="008303B1" w:rsidP="008303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91970"/>
          <w:sz w:val="24"/>
          <w:szCs w:val="24"/>
          <w:lang w:eastAsia="es-CO"/>
        </w:rPr>
      </w:pPr>
    </w:p>
    <w:p w:rsidR="008303B1" w:rsidRDefault="008303B1" w:rsidP="008303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91970"/>
          <w:sz w:val="24"/>
          <w:szCs w:val="24"/>
          <w:lang w:eastAsia="es-CO"/>
        </w:rPr>
      </w:pPr>
    </w:p>
    <w:p w:rsidR="00725E48" w:rsidRPr="00E57564" w:rsidRDefault="00725E48" w:rsidP="008303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E57564">
        <w:rPr>
          <w:rFonts w:ascii="Arial" w:eastAsia="Times New Roman" w:hAnsi="Arial" w:cs="Arial"/>
          <w:b/>
          <w:bCs/>
          <w:color w:val="191970"/>
          <w:sz w:val="24"/>
          <w:szCs w:val="24"/>
          <w:lang w:eastAsia="es-CO"/>
        </w:rPr>
        <w:t xml:space="preserve"> </w:t>
      </w:r>
      <w:r w:rsidR="00354065"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TEXTO APROBADO</w:t>
      </w:r>
      <w:r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r w:rsidR="00354065"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EN PRIMER DEBATE SEGUNDA VUELTA POR LA COMISION PRIMERA DE LA HONORABLE CAMARA DE REPRESENTANTES</w:t>
      </w:r>
      <w:r w:rsidR="00522EF2"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DEL</w:t>
      </w:r>
      <w:r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PROYECTO DE ACTO LEGISLATIVO 265</w:t>
      </w:r>
      <w:r w:rsidR="00FF7F6D"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/</w:t>
      </w:r>
      <w:r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2017</w:t>
      </w:r>
      <w:r w:rsidR="00FF7F6D"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C </w:t>
      </w:r>
      <w:r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-</w:t>
      </w:r>
      <w:r w:rsidR="00FF7F6D"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r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013</w:t>
      </w:r>
      <w:r w:rsidR="00FF7F6D"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/</w:t>
      </w:r>
      <w:r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2017</w:t>
      </w:r>
      <w:r w:rsidR="00522EF2" w:rsidRPr="008303B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S </w:t>
      </w:r>
      <w:r w:rsidR="00522EF2" w:rsidRPr="00E57564">
        <w:rPr>
          <w:rFonts w:ascii="Arial" w:eastAsia="Times New Roman" w:hAnsi="Arial" w:cs="Arial"/>
          <w:sz w:val="24"/>
          <w:szCs w:val="24"/>
          <w:lang w:eastAsia="es-CO"/>
        </w:rPr>
        <w:t>“</w:t>
      </w:r>
      <w:r w:rsidR="00350368" w:rsidRPr="00E57564">
        <w:rPr>
          <w:rFonts w:ascii="Arial" w:eastAsia="Times New Roman" w:hAnsi="Arial" w:cs="Arial"/>
          <w:sz w:val="24"/>
          <w:szCs w:val="24"/>
          <w:lang w:eastAsia="es-CO"/>
        </w:rPr>
        <w:t>P</w:t>
      </w:r>
      <w:r w:rsidRPr="00E57564">
        <w:rPr>
          <w:rFonts w:ascii="Arial" w:eastAsia="Times New Roman" w:hAnsi="Arial" w:cs="Arial"/>
          <w:sz w:val="24"/>
          <w:szCs w:val="24"/>
          <w:lang w:eastAsia="es-CO"/>
        </w:rPr>
        <w:t>or medio del cual se modifican los artículos 186</w:t>
      </w:r>
      <w:r w:rsidR="00877787" w:rsidRPr="00E57564">
        <w:rPr>
          <w:rFonts w:ascii="Arial" w:eastAsia="Times New Roman" w:hAnsi="Arial" w:cs="Arial"/>
          <w:sz w:val="24"/>
          <w:szCs w:val="24"/>
          <w:lang w:eastAsia="es-CO"/>
        </w:rPr>
        <w:t>, 234</w:t>
      </w:r>
      <w:r w:rsidRPr="00E57564">
        <w:rPr>
          <w:rFonts w:ascii="Arial" w:eastAsia="Times New Roman" w:hAnsi="Arial" w:cs="Arial"/>
          <w:sz w:val="24"/>
          <w:szCs w:val="24"/>
          <w:lang w:eastAsia="es-CO"/>
        </w:rPr>
        <w:t xml:space="preserve"> y 235 de la Constitución Política y se implementan el derecho a la doble instancia y a impugnar la primera sentencia condenatoria</w:t>
      </w:r>
      <w:r w:rsidR="00FF7F6D" w:rsidRPr="00E57564">
        <w:rPr>
          <w:rFonts w:ascii="Arial" w:eastAsia="Times New Roman" w:hAnsi="Arial" w:cs="Arial"/>
          <w:sz w:val="24"/>
          <w:szCs w:val="24"/>
          <w:lang w:eastAsia="es-CO"/>
        </w:rPr>
        <w:t>”</w:t>
      </w:r>
      <w:r w:rsidRPr="00E57564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:rsidR="00354065" w:rsidRDefault="00354065" w:rsidP="008303B1">
      <w:pPr>
        <w:adjustRightInd w:val="0"/>
        <w:spacing w:after="0" w:line="240" w:lineRule="auto"/>
        <w:ind w:firstLine="283"/>
        <w:jc w:val="center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ind w:firstLine="283"/>
        <w:jc w:val="center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ind w:firstLine="283"/>
        <w:jc w:val="center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725E48" w:rsidRPr="00C8644D" w:rsidRDefault="00725E48" w:rsidP="008303B1">
      <w:pPr>
        <w:adjustRightInd w:val="0"/>
        <w:spacing w:after="0" w:line="240" w:lineRule="auto"/>
        <w:ind w:firstLine="283"/>
        <w:jc w:val="center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El Congreso de Colombia,</w:t>
      </w:r>
    </w:p>
    <w:p w:rsidR="00725E48" w:rsidRPr="00C8644D" w:rsidRDefault="00725E48" w:rsidP="008303B1">
      <w:pPr>
        <w:adjustRightInd w:val="0"/>
        <w:spacing w:after="0" w:line="240" w:lineRule="auto"/>
        <w:ind w:firstLine="283"/>
        <w:jc w:val="center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DECRETA:</w:t>
      </w:r>
    </w:p>
    <w:p w:rsidR="00A1314F" w:rsidRDefault="00A1314F" w:rsidP="008303B1">
      <w:pPr>
        <w:adjustRightInd w:val="0"/>
        <w:spacing w:after="0" w:line="240" w:lineRule="auto"/>
        <w:ind w:firstLine="283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8303B1" w:rsidRDefault="008303B1" w:rsidP="008303B1">
      <w:pPr>
        <w:adjustRightInd w:val="0"/>
        <w:spacing w:after="0" w:line="240" w:lineRule="auto"/>
        <w:ind w:firstLine="283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8303B1" w:rsidRPr="00C8644D" w:rsidRDefault="008303B1" w:rsidP="008303B1">
      <w:pPr>
        <w:adjustRightInd w:val="0"/>
        <w:spacing w:after="0" w:line="240" w:lineRule="auto"/>
        <w:ind w:firstLine="283"/>
        <w:jc w:val="center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725E48" w:rsidRDefault="00725E48" w:rsidP="008303B1">
      <w:pPr>
        <w:adjustRightInd w:val="0"/>
        <w:spacing w:after="0" w:line="240" w:lineRule="auto"/>
        <w:ind w:firstLine="283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Artículo 1°.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Adicionar el artículo 186 de la Constitución Política</w:t>
      </w:r>
      <w:r w:rsidR="004C76EF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,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el cual quedará así: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725E48" w:rsidRPr="00C8644D" w:rsidRDefault="00725E48" w:rsidP="008303B1">
      <w:pPr>
        <w:adjustRightInd w:val="0"/>
        <w:spacing w:after="0" w:line="240" w:lineRule="auto"/>
        <w:ind w:firstLine="283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C8644D">
        <w:rPr>
          <w:rFonts w:ascii="Arial" w:eastAsia="Calibri" w:hAnsi="Arial" w:cs="Arial"/>
          <w:b/>
          <w:bCs/>
          <w:color w:val="000000"/>
          <w:sz w:val="24"/>
          <w:szCs w:val="24"/>
          <w:lang w:val="es-ES_tradnl"/>
        </w:rPr>
        <w:t>Artículo 186.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De los delitos que cometan los congresistas, conocerá en forma privativa la Corte Suprema de Justicia, única autoridad que podrá ordenar su detención. En caso de flagrante delito deberán ser aprehendidos y puestos inmediatamente a disposición de la misma corporación.</w:t>
      </w:r>
    </w:p>
    <w:p w:rsidR="00725E48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Corresponderá a la</w:t>
      </w:r>
      <w:r w:rsidR="004C76EF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Sala Especial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de Instrucción de la</w:t>
      </w:r>
      <w:r w:rsidR="004C76EF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Sala Penal de la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Corte Suprema de Justicia investigar y acusar ante la </w:t>
      </w:r>
      <w:r w:rsidR="004C76EF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Sala Especial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de Primera Instancia de la misma </w:t>
      </w:r>
      <w:r w:rsidR="004C76EF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Sala Penal 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a los miembros del Congreso por los delitos cometidos.</w:t>
      </w:r>
    </w:p>
    <w:p w:rsidR="00725E48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Contra las sentencias que profiera la </w:t>
      </w:r>
      <w:r w:rsidR="004C76EF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S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ala</w:t>
      </w:r>
      <w:r w:rsidR="004C76EF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Especial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de Primera Instancia de la Sala Penal de la Corte Suprema de Justicia procederá el recurso de apelación. Su conocimiento corresponderá a la Sala</w:t>
      </w:r>
      <w:r w:rsidR="004C76EF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de Casación Penal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de la Corte Suprema de Justicia.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725E48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La primera condena podrá ser impugnada.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B546A1" w:rsidRDefault="004C76EF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Artículo 2º.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</w:t>
      </w:r>
      <w:r w:rsidR="00B546A1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Adicionar el artículo 234 de la Constitución Política, el cual quedará así: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B546A1" w:rsidRPr="00C8644D" w:rsidRDefault="00B546A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 xml:space="preserve">Artículo 234. 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La Corte Suprema de Justicia es el máximo Tribunal de la Jurisdicción Ordinaria y se compondrá del número impar de Magistrados que determine la ley.  Esta dividirá la Corte en Salas y Salas Especiales, señalará a cada una de ellas los asuntos que deba conocer separadamente y determinará aquellos en que deba intervenir la Corte en pleno.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B546A1" w:rsidRPr="00C8644D" w:rsidRDefault="00B546A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En el caso de los aforados constitucionales, la Sala de Casación Penal y las Salas Especiales garantizarán la separación de la instrucción y el juzgamiento, la doble instancia de la sentencia y el derecho a la impugnación de la primera condena.</w:t>
      </w:r>
    </w:p>
    <w:p w:rsidR="00C3194A" w:rsidRPr="00C8644D" w:rsidRDefault="00B546A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La Sala Especial de Instrucción estará integrada por seis (6) Magistrados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y la Sala Especial de Primera Instancia por tres (3) Magistrados.</w:t>
      </w:r>
    </w:p>
    <w:p w:rsidR="00C3194A" w:rsidRDefault="00C3194A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Los miembros de estas Salas Especiales deberán cumplir los requisitos para ser Magistrados de la Corte Suprema de Justicia.  Se le aplicará el mismo régimen para su elección y periodo.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725E48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Los 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M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agistrados de las 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S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alas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Especiales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s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ó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lo tendrán competencia para conocer de manera exclusiva de los asuntos de instrucción y juzgamiento en primera instancia en las condiciones que lo establezca la ley.</w:t>
      </w:r>
    </w:p>
    <w:p w:rsidR="00725E48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El reglamento de la Corte Suprema de Justicia no podrá asignar a las 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Salas Especiales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el conocimiento y la decisión de los asuntos que correspondan a la Sala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de Casación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Penal.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725E48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Los magistrados de las 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Salas Especiales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no podrán conocer de asuntos administrativos, </w:t>
      </w:r>
      <w:r w:rsidRPr="00C8644D">
        <w:rPr>
          <w:rFonts w:ascii="Arial" w:eastAsia="Calibri" w:hAnsi="Arial" w:cs="Arial"/>
          <w:bCs/>
          <w:color w:val="000000"/>
          <w:sz w:val="24"/>
          <w:szCs w:val="24"/>
          <w:lang w:val="es-ES_tradnl"/>
        </w:rPr>
        <w:t>ni electorales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de la Corte Suprema de Justicia ni harán parte de la Sala Plena.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725E48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b/>
          <w:bCs/>
          <w:color w:val="000000"/>
          <w:sz w:val="24"/>
          <w:szCs w:val="24"/>
          <w:lang w:val="es-ES_tradnl"/>
        </w:rPr>
        <w:t>Parágrafo.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Los aforados constitucionales del artículo 174 de la Constitución Política tienen derecho de impugnación y doble instancia conforme lo señale la ley.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725E48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 xml:space="preserve">Artículo </w:t>
      </w:r>
      <w:r w:rsidR="00C3194A" w:rsidRPr="00C8644D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3</w:t>
      </w:r>
      <w:r w:rsidRPr="00C8644D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°.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Modificar el artículo 235 de la Constitución Política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,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el cual quedará así: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725E48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b/>
          <w:bCs/>
          <w:color w:val="000000"/>
          <w:sz w:val="24"/>
          <w:szCs w:val="24"/>
          <w:lang w:val="es-ES_tradnl"/>
        </w:rPr>
        <w:t>Artículo 235.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 Son atribuciones de la Corte Suprema de Justicia: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725E48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1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. Actuar como tribunal de casación.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725E48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2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. Conocer del derecho de impugnación y del recurso de apelación en materia penal, conforme lo determine la ley.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725E48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3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. Juzgar al Presidente de la República</w:t>
      </w:r>
      <w:r w:rsidR="00C3194A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,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</w:t>
      </w:r>
      <w:r w:rsidR="00BD1445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o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a quien haga sus veces y a los altos funcionarios de que trata el </w:t>
      </w:r>
      <w:r w:rsidR="00522EF2" w:rsidRPr="00354065">
        <w:rPr>
          <w:rFonts w:ascii="Arial" w:eastAsia="Calibri" w:hAnsi="Arial" w:cs="Arial"/>
          <w:color w:val="000000"/>
          <w:sz w:val="24"/>
          <w:szCs w:val="24"/>
          <w:lang w:val="es-ES_tradnl"/>
        </w:rPr>
        <w:t>artículo </w:t>
      </w:r>
      <w:r w:rsidR="00522EF2" w:rsidRPr="00354065">
        <w:rPr>
          <w:rFonts w:ascii="Arial" w:eastAsia="Calibri" w:hAnsi="Arial" w:cs="Arial"/>
          <w:bCs/>
          <w:color w:val="000000"/>
          <w:sz w:val="24"/>
          <w:szCs w:val="24"/>
          <w:lang w:val="es-ES_tradnl"/>
        </w:rPr>
        <w:t>174</w:t>
      </w:r>
      <w:r w:rsidRPr="00354065">
        <w:rPr>
          <w:rFonts w:ascii="Arial" w:eastAsia="Calibri" w:hAnsi="Arial" w:cs="Arial"/>
          <w:color w:val="000000"/>
          <w:sz w:val="24"/>
          <w:szCs w:val="24"/>
          <w:lang w:val="es-ES_tradnl"/>
        </w:rPr>
        <w:t>,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previo el procedimiento </w:t>
      </w:r>
      <w:r w:rsidR="00522EF2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establecido [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en</w:t>
      </w:r>
      <w:r w:rsidR="00BF248E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los numerales 2 y 3 del] artículo 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175 de la Constitución Política, por cualquier conducta punible que se les impute. Para estos juicios la Sala Penal de la Corte Suprema de Justicia estará conformada</w:t>
      </w:r>
      <w:r w:rsidR="00BF248E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</w:t>
      </w:r>
      <w:r w:rsidR="00BF248E" w:rsidRPr="00354065">
        <w:rPr>
          <w:rFonts w:ascii="Arial" w:eastAsia="Calibri" w:hAnsi="Arial" w:cs="Arial"/>
          <w:color w:val="000000"/>
          <w:sz w:val="24"/>
          <w:szCs w:val="24"/>
          <w:lang w:val="es-ES_tradnl"/>
        </w:rPr>
        <w:t>además por Salas Especiales</w:t>
      </w:r>
      <w:r w:rsidRPr="0004475A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</w:t>
      </w:r>
      <w:r w:rsidR="00BF248E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que garanticen el derecho de impugnación y la doble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instancia.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BD1445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4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. Investigar y juzgar a los miembros del Congreso</w:t>
      </w:r>
      <w:r w:rsidR="00BD1445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.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725E48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5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. Juzgar, a través de la</w:t>
      </w:r>
      <w:r w:rsidRPr="0004475A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 xml:space="preserve"> </w:t>
      </w:r>
      <w:r w:rsidR="00BD1445" w:rsidRPr="00354065">
        <w:rPr>
          <w:rFonts w:ascii="Arial" w:eastAsia="Calibri" w:hAnsi="Arial" w:cs="Arial"/>
          <w:color w:val="000000"/>
          <w:sz w:val="24"/>
          <w:szCs w:val="24"/>
          <w:lang w:val="es-ES_tradnl"/>
        </w:rPr>
        <w:t>Sala Especial</w:t>
      </w:r>
      <w:r w:rsidR="00BD1445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de Primera Instancia,</w:t>
      </w:r>
      <w:r w:rsidRPr="0004475A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 xml:space="preserve"> </w:t>
      </w:r>
      <w:r w:rsidR="00BD1445" w:rsidRPr="00354065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de la Sala Penal de la Corte Suprema de Justicia, 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previa acusación del Fiscal General de la Nación, del </w:t>
      </w:r>
      <w:proofErr w:type="spellStart"/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Vicefiscal</w:t>
      </w:r>
      <w:proofErr w:type="spellEnd"/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General de la Nación</w:t>
      </w:r>
      <w:r w:rsidR="00BD1445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,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o de sus delegados de la unidad de fiscalías ante la Corte Suprema de Justicia, al Vicepresidente de la República, a los Ministros del Despacho, al Procurador General, al Defensor del Pueblo, a los Agentes del Ministerio Público ante la Corte, ante el Consejo de Estado y ante los Tribunales</w:t>
      </w:r>
      <w:r w:rsidR="00BD1445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, Directores de los Departamentos Administrativos, Al Contralor General de la República, 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a los Embajadores y jefe de misión diplomática o consular, a los Gobernadores, a los Magistrados de Tribunales y a los Generales y Almirantes de la Fuerza Pública, por los hechos punibles que se les imputen.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B56E94" w:rsidRPr="0004475A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6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. Resolver</w:t>
      </w:r>
      <w:r w:rsidR="00BD1445"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, </w:t>
      </w:r>
      <w:r w:rsidR="00BD1445" w:rsidRPr="00354065">
        <w:rPr>
          <w:rFonts w:ascii="Arial" w:eastAsia="Calibri" w:hAnsi="Arial" w:cs="Arial"/>
          <w:color w:val="000000"/>
          <w:sz w:val="24"/>
          <w:szCs w:val="24"/>
          <w:lang w:val="es-ES_tradnl"/>
        </w:rPr>
        <w:t>a través de la Sala de Casación Penal de la Corte Suprema de Justicia, los</w:t>
      </w:r>
      <w:r w:rsidR="00BD1445" w:rsidRPr="0004475A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</w:t>
      </w:r>
      <w:r w:rsidRPr="0004475A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 recursos de apelación que se interpongan contra las decisiones proferidas por la </w:t>
      </w:r>
      <w:r w:rsidR="00BD1445" w:rsidRPr="00354065">
        <w:rPr>
          <w:rFonts w:ascii="Arial" w:eastAsia="Calibri" w:hAnsi="Arial" w:cs="Arial"/>
          <w:color w:val="000000"/>
          <w:sz w:val="24"/>
          <w:szCs w:val="24"/>
          <w:lang w:val="es-ES_tradnl"/>
        </w:rPr>
        <w:t>Sala Especial</w:t>
      </w:r>
      <w:r w:rsidRPr="0004475A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de Primera Instancia de la Sala Penal de la Corte Suprema de Justicia</w:t>
      </w:r>
      <w:r w:rsidR="00B56E94" w:rsidRPr="0004475A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. 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B56E94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7</w:t>
      </w:r>
      <w:r w:rsidRPr="0004475A">
        <w:rPr>
          <w:rFonts w:ascii="Arial" w:eastAsia="Calibri" w:hAnsi="Arial" w:cs="Arial"/>
          <w:color w:val="000000"/>
          <w:sz w:val="24"/>
          <w:szCs w:val="24"/>
          <w:lang w:val="es-ES_tradnl"/>
        </w:rPr>
        <w:t>. Resolver</w:t>
      </w:r>
      <w:r w:rsidR="00B56E94" w:rsidRPr="0004475A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, </w:t>
      </w:r>
      <w:r w:rsidR="00B56E94" w:rsidRPr="00354065">
        <w:rPr>
          <w:rFonts w:ascii="Arial" w:eastAsia="Calibri" w:hAnsi="Arial" w:cs="Arial"/>
          <w:color w:val="000000"/>
          <w:sz w:val="24"/>
          <w:szCs w:val="24"/>
          <w:lang w:val="es-ES_tradnl"/>
        </w:rPr>
        <w:t>a través de una Sala integrada por tres Magistrados de la Sala de Casación Penal de la Corte Suprema de Justicia y que no hayan participado en la decisión,</w:t>
      </w:r>
      <w:r w:rsidR="00B56E94" w:rsidRPr="0004475A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conforme lo determine la ley, la solicitud de doble conformidad judicial de la primera condena de  la sentencia proferida por los restantes Magistrados de dicha Sala en los asuntos a que se refieren los numerales 1, 3, 4, 5 y 6 del presente artículo </w:t>
      </w:r>
      <w:r w:rsidR="00B56E94" w:rsidRPr="00354065">
        <w:rPr>
          <w:rFonts w:ascii="Arial" w:eastAsia="Calibri" w:hAnsi="Arial" w:cs="Arial"/>
          <w:color w:val="000000"/>
          <w:sz w:val="24"/>
          <w:szCs w:val="24"/>
          <w:lang w:val="es-ES_tradnl"/>
        </w:rPr>
        <w:t>o de los fallos que en esas condiciones profieran los Tribunales Superiores y Militares.</w:t>
      </w:r>
    </w:p>
    <w:p w:rsidR="008303B1" w:rsidRPr="00354065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725E48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8</w:t>
      </w:r>
      <w:r w:rsidRPr="0004475A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. Conocer 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de todos los negocios contenciosos de los agentes diplomáticos acreditados ante el Gobierno de la nación, en los casos previstos por el Derecho Internacional.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725E48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9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. Darse su propio reglamento.</w:t>
      </w:r>
    </w:p>
    <w:p w:rsidR="008303B1" w:rsidRPr="00C8644D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</w:p>
    <w:p w:rsidR="00725E48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10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. Las demás atribuciones que señale la ley.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s-ES_tradnl"/>
        </w:rPr>
      </w:pPr>
    </w:p>
    <w:p w:rsidR="00725E48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b/>
          <w:bCs/>
          <w:color w:val="000000"/>
          <w:sz w:val="24"/>
          <w:szCs w:val="24"/>
          <w:lang w:val="es-ES_tradnl"/>
        </w:rPr>
        <w:t>Parágrafo.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Cuando los funcionarios antes enunciados hubieren cesado en el ejercicio de su cargo, el fuero solo se mantendrá para las conductas punibles que tengan relación con las funciones desempeñadas.</w:t>
      </w: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8303B1" w:rsidRPr="00C8644D" w:rsidRDefault="00725E48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 w:rsidRPr="00C8644D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 xml:space="preserve">Artículo </w:t>
      </w:r>
      <w:r w:rsidR="00B56E94" w:rsidRPr="00C8644D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4</w:t>
      </w:r>
      <w:r w:rsidRPr="00C8644D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°.</w:t>
      </w:r>
      <w:r w:rsidRPr="00C8644D">
        <w:rPr>
          <w:rFonts w:ascii="Arial" w:eastAsia="Calibri" w:hAnsi="Arial" w:cs="Arial"/>
          <w:b/>
          <w:bCs/>
          <w:color w:val="000000"/>
          <w:sz w:val="24"/>
          <w:szCs w:val="24"/>
          <w:lang w:val="es-ES_tradnl"/>
        </w:rPr>
        <w:t xml:space="preserve"> </w:t>
      </w:r>
      <w:r w:rsidRPr="00C8644D">
        <w:rPr>
          <w:rFonts w:ascii="Arial" w:eastAsia="Calibri" w:hAnsi="Arial" w:cs="Arial"/>
          <w:color w:val="000000"/>
          <w:sz w:val="24"/>
          <w:szCs w:val="24"/>
          <w:lang w:val="es-ES_tradnl"/>
        </w:rPr>
        <w:t>El presente acto legislativo rige a partir de la fecha de su promulgación y deroga todas las disposiciones que le sean contrarias.</w:t>
      </w:r>
    </w:p>
    <w:p w:rsidR="00354065" w:rsidRDefault="00354065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354065" w:rsidRDefault="00354065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r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En lo anteriores términos fue aprobado el presente Proyecto de Acto Legislativo en Primer Debate, Segunda Vuelta sin modificaciones el día 4 de diciembre de 2017; según consta en el acta No.15 de esa misma fecha; </w:t>
      </w:r>
      <w:r w:rsidR="008303B1">
        <w:rPr>
          <w:rFonts w:ascii="Arial" w:eastAsia="Calibri" w:hAnsi="Arial" w:cs="Arial"/>
          <w:color w:val="000000"/>
          <w:sz w:val="24"/>
          <w:szCs w:val="24"/>
          <w:lang w:val="es-ES_tradnl"/>
        </w:rPr>
        <w:t>así</w:t>
      </w:r>
      <w:r>
        <w:rPr>
          <w:rFonts w:ascii="Arial" w:eastAsia="Calibri" w:hAnsi="Arial" w:cs="Arial"/>
          <w:color w:val="000000"/>
          <w:sz w:val="24"/>
          <w:szCs w:val="24"/>
          <w:lang w:val="es-ES_tradnl"/>
        </w:rPr>
        <w:t xml:space="preserve">  mismo fue anunciado para discusión y votación el día 29 de noviembre de 2017, según consta en el acta No. 14 de esa fecha. </w:t>
      </w:r>
    </w:p>
    <w:p w:rsidR="00354065" w:rsidRDefault="00354065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  <w:bookmarkStart w:id="0" w:name="_GoBack"/>
      <w:bookmarkEnd w:id="0"/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354065" w:rsidRDefault="00354065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lang w:val="es-ES_tradnl"/>
        </w:rPr>
      </w:pPr>
    </w:p>
    <w:p w:rsidR="00354065" w:rsidRPr="008303B1" w:rsidRDefault="00354065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CARLOS ARTURO CORREA MOJICA</w:t>
      </w: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ab/>
      </w: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ab/>
        <w:t>MIGUEL ANGEL PINTO H.</w:t>
      </w:r>
    </w:p>
    <w:p w:rsidR="00354065" w:rsidRPr="008303B1" w:rsidRDefault="00354065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 xml:space="preserve">Presidente </w:t>
      </w: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ab/>
      </w: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ab/>
      </w: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ab/>
      </w: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ab/>
      </w: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ab/>
      </w: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ab/>
        <w:t xml:space="preserve">Ponente </w:t>
      </w:r>
    </w:p>
    <w:p w:rsidR="00354065" w:rsidRPr="008303B1" w:rsidRDefault="00354065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354065" w:rsidRPr="008303B1" w:rsidRDefault="00354065" w:rsidP="008303B1">
      <w:pPr>
        <w:tabs>
          <w:tab w:val="left" w:pos="8647"/>
        </w:tabs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354065" w:rsidRDefault="00354065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8303B1" w:rsidRPr="008303B1" w:rsidRDefault="008303B1" w:rsidP="008303B1">
      <w:pPr>
        <w:adjustRightInd w:val="0"/>
        <w:spacing w:after="0" w:line="240" w:lineRule="auto"/>
        <w:jc w:val="both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</w:p>
    <w:p w:rsidR="00354065" w:rsidRPr="008303B1" w:rsidRDefault="00354065" w:rsidP="008303B1">
      <w:pPr>
        <w:adjustRightInd w:val="0"/>
        <w:spacing w:after="0" w:line="240" w:lineRule="auto"/>
        <w:jc w:val="center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AMPARO YANETH CALDERON PERDOMO</w:t>
      </w:r>
    </w:p>
    <w:p w:rsidR="00354065" w:rsidRPr="008303B1" w:rsidRDefault="00354065" w:rsidP="008303B1">
      <w:pPr>
        <w:adjustRightInd w:val="0"/>
        <w:spacing w:after="0" w:line="240" w:lineRule="auto"/>
        <w:jc w:val="center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</w:pPr>
      <w:r w:rsidRPr="008303B1">
        <w:rPr>
          <w:rFonts w:ascii="Arial" w:eastAsia="Calibri" w:hAnsi="Arial" w:cs="Arial"/>
          <w:b/>
          <w:color w:val="000000"/>
          <w:sz w:val="24"/>
          <w:szCs w:val="24"/>
          <w:lang w:val="es-ES_tradnl"/>
        </w:rPr>
        <w:t>Secretaria</w:t>
      </w:r>
    </w:p>
    <w:sectPr w:rsidR="00354065" w:rsidRPr="008303B1" w:rsidSect="0035406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42" w:rsidRDefault="00D55942" w:rsidP="00725E48">
      <w:pPr>
        <w:spacing w:after="0" w:line="240" w:lineRule="auto"/>
      </w:pPr>
      <w:r>
        <w:separator/>
      </w:r>
    </w:p>
  </w:endnote>
  <w:endnote w:type="continuationSeparator" w:id="0">
    <w:p w:rsidR="00D55942" w:rsidRDefault="00D55942" w:rsidP="0072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44" w:rsidRPr="00A15844" w:rsidRDefault="00A15844">
    <w:pPr>
      <w:pStyle w:val="Piedepgina"/>
      <w:rPr>
        <w:rFonts w:ascii="Arial" w:hAnsi="Arial" w:cs="Arial"/>
        <w:sz w:val="24"/>
        <w:szCs w:val="24"/>
      </w:rPr>
    </w:pPr>
    <w:r w:rsidRPr="00A15844">
      <w:rPr>
        <w:rFonts w:ascii="Arial" w:eastAsiaTheme="minorEastAsia" w:hAnsi="Arial" w:cs="Arial"/>
        <w:sz w:val="24"/>
        <w:szCs w:val="24"/>
      </w:rPr>
      <w:fldChar w:fldCharType="begin"/>
    </w:r>
    <w:r w:rsidRPr="00A15844">
      <w:rPr>
        <w:rFonts w:ascii="Arial" w:hAnsi="Arial" w:cs="Arial"/>
        <w:sz w:val="24"/>
        <w:szCs w:val="24"/>
      </w:rPr>
      <w:instrText>PAGE    \* MERGEFORMAT</w:instrText>
    </w:r>
    <w:r w:rsidRPr="00A15844">
      <w:rPr>
        <w:rFonts w:ascii="Arial" w:eastAsiaTheme="minorEastAsia" w:hAnsi="Arial" w:cs="Arial"/>
        <w:sz w:val="24"/>
        <w:szCs w:val="24"/>
      </w:rPr>
      <w:fldChar w:fldCharType="separate"/>
    </w:r>
    <w:r w:rsidR="008303B1" w:rsidRPr="008303B1">
      <w:rPr>
        <w:rFonts w:ascii="Arial" w:eastAsiaTheme="majorEastAsia" w:hAnsi="Arial" w:cs="Arial"/>
        <w:noProof/>
        <w:sz w:val="24"/>
        <w:szCs w:val="24"/>
        <w:lang w:val="es-ES"/>
      </w:rPr>
      <w:t>3</w:t>
    </w:r>
    <w:r w:rsidRPr="00A15844">
      <w:rPr>
        <w:rFonts w:ascii="Arial" w:eastAsiaTheme="majorEastAsia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42" w:rsidRDefault="00D55942" w:rsidP="00725E48">
      <w:pPr>
        <w:spacing w:after="0" w:line="240" w:lineRule="auto"/>
      </w:pPr>
      <w:r>
        <w:separator/>
      </w:r>
    </w:p>
  </w:footnote>
  <w:footnote w:type="continuationSeparator" w:id="0">
    <w:p w:rsidR="00D55942" w:rsidRDefault="00D55942" w:rsidP="0072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B1" w:rsidRDefault="008303B1" w:rsidP="004309C4">
    <w:pPr>
      <w:pStyle w:val="Encabezado"/>
      <w:jc w:val="center"/>
    </w:pPr>
  </w:p>
  <w:p w:rsidR="008303B1" w:rsidRDefault="008303B1" w:rsidP="004309C4">
    <w:pPr>
      <w:pStyle w:val="Encabezado"/>
      <w:jc w:val="center"/>
    </w:pPr>
  </w:p>
  <w:p w:rsidR="008303B1" w:rsidRDefault="008303B1" w:rsidP="004309C4">
    <w:pPr>
      <w:pStyle w:val="Encabezado"/>
      <w:jc w:val="center"/>
    </w:pPr>
  </w:p>
  <w:p w:rsidR="004309C4" w:rsidRDefault="00354065" w:rsidP="004309C4">
    <w:pPr>
      <w:pStyle w:val="Encabezado"/>
      <w:jc w:val="center"/>
    </w:pPr>
    <w:r w:rsidRPr="00A15844">
      <w:rPr>
        <w:rFonts w:ascii="Arial" w:hAnsi="Arial" w:cs="Arial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4F1403" wp14:editId="61BF96EC">
              <wp:simplePos x="0" y="0"/>
              <wp:positionH relativeFrom="margin">
                <wp:posOffset>-889635</wp:posOffset>
              </wp:positionH>
              <wp:positionV relativeFrom="margin">
                <wp:posOffset>-661670</wp:posOffset>
              </wp:positionV>
              <wp:extent cx="7353300" cy="9538335"/>
              <wp:effectExtent l="0" t="0" r="0" b="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3300" cy="953833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0BE54" id="Rectángulo 452" o:spid="_x0000_s1026" style="position:absolute;margin-left:-70.05pt;margin-top:-52.1pt;width:579pt;height:751.05pt;z-index:251661312;visibility:visible;mso-wrap-style:square;mso-width-percent:9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" filled="f" stroked="f" strokeweight="1.25pt">
              <w10:wrap anchorx="margin" anchory="margin"/>
            </v:rect>
          </w:pict>
        </mc:Fallback>
      </mc:AlternateContent>
    </w:r>
    <w:r w:rsidR="001D4DAD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E0DC1CA" wp14:editId="40D024FF">
          <wp:simplePos x="0" y="0"/>
          <wp:positionH relativeFrom="column">
            <wp:posOffset>1244600</wp:posOffset>
          </wp:positionH>
          <wp:positionV relativeFrom="paragraph">
            <wp:posOffset>-387985</wp:posOffset>
          </wp:positionV>
          <wp:extent cx="2695575" cy="7905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09C4" w:rsidRDefault="004309C4" w:rsidP="004309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E59"/>
    <w:multiLevelType w:val="hybridMultilevel"/>
    <w:tmpl w:val="18B8D216"/>
    <w:lvl w:ilvl="0" w:tplc="E0DACEA4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9BA58E7"/>
    <w:multiLevelType w:val="hybridMultilevel"/>
    <w:tmpl w:val="5F5008F8"/>
    <w:lvl w:ilvl="0" w:tplc="8E7CC462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5B14E21"/>
    <w:multiLevelType w:val="hybridMultilevel"/>
    <w:tmpl w:val="921838AE"/>
    <w:lvl w:ilvl="0" w:tplc="37088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48"/>
    <w:rsid w:val="00022364"/>
    <w:rsid w:val="0004475A"/>
    <w:rsid w:val="00063600"/>
    <w:rsid w:val="000A210F"/>
    <w:rsid w:val="001D4DAD"/>
    <w:rsid w:val="002E3325"/>
    <w:rsid w:val="00350368"/>
    <w:rsid w:val="00354065"/>
    <w:rsid w:val="003603F1"/>
    <w:rsid w:val="00366BCD"/>
    <w:rsid w:val="004309C4"/>
    <w:rsid w:val="00434DB3"/>
    <w:rsid w:val="004724CA"/>
    <w:rsid w:val="004C76EF"/>
    <w:rsid w:val="00522EF2"/>
    <w:rsid w:val="006175BE"/>
    <w:rsid w:val="006178E2"/>
    <w:rsid w:val="006658C8"/>
    <w:rsid w:val="00697038"/>
    <w:rsid w:val="006F6B5B"/>
    <w:rsid w:val="006F7138"/>
    <w:rsid w:val="00725E48"/>
    <w:rsid w:val="00786C33"/>
    <w:rsid w:val="007D4E30"/>
    <w:rsid w:val="008303B1"/>
    <w:rsid w:val="00845C0F"/>
    <w:rsid w:val="00877787"/>
    <w:rsid w:val="00884ADB"/>
    <w:rsid w:val="0089325A"/>
    <w:rsid w:val="00905A3B"/>
    <w:rsid w:val="009B6CE4"/>
    <w:rsid w:val="00A1314F"/>
    <w:rsid w:val="00A15844"/>
    <w:rsid w:val="00AA7472"/>
    <w:rsid w:val="00AF6C47"/>
    <w:rsid w:val="00B546A1"/>
    <w:rsid w:val="00B56E94"/>
    <w:rsid w:val="00BD1445"/>
    <w:rsid w:val="00BE7C07"/>
    <w:rsid w:val="00BF248E"/>
    <w:rsid w:val="00C3194A"/>
    <w:rsid w:val="00C53702"/>
    <w:rsid w:val="00C5740E"/>
    <w:rsid w:val="00C61963"/>
    <w:rsid w:val="00C8644D"/>
    <w:rsid w:val="00D55942"/>
    <w:rsid w:val="00DE35FC"/>
    <w:rsid w:val="00E57564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96DB5F-CAE8-448A-8596-D3F06488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25E48"/>
    <w:rPr>
      <w:b/>
      <w:bCs/>
    </w:rPr>
  </w:style>
  <w:style w:type="paragraph" w:customStyle="1" w:styleId="msonorm">
    <w:name w:val="msonorm"/>
    <w:basedOn w:val="Normal"/>
    <w:rsid w:val="0072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2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25E48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E48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3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9C4"/>
  </w:style>
  <w:style w:type="paragraph" w:styleId="Piedepgina">
    <w:name w:val="footer"/>
    <w:basedOn w:val="Normal"/>
    <w:link w:val="PiedepginaCar"/>
    <w:uiPriority w:val="99"/>
    <w:unhideWhenUsed/>
    <w:rsid w:val="0043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C4"/>
  </w:style>
  <w:style w:type="paragraph" w:styleId="Prrafodelista">
    <w:name w:val="List Paragraph"/>
    <w:basedOn w:val="Normal"/>
    <w:uiPriority w:val="34"/>
    <w:qFormat/>
    <w:rsid w:val="0036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2ED3C-B77C-4560-A5F6-3F310E14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997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comision uno</dc:creator>
  <cp:keywords/>
  <dc:description/>
  <cp:lastModifiedBy>soniacortes</cp:lastModifiedBy>
  <cp:revision>3</cp:revision>
  <cp:lastPrinted>2017-12-06T00:13:00Z</cp:lastPrinted>
  <dcterms:created xsi:type="dcterms:W3CDTF">2017-12-06T00:06:00Z</dcterms:created>
  <dcterms:modified xsi:type="dcterms:W3CDTF">2017-12-06T00:14:00Z</dcterms:modified>
</cp:coreProperties>
</file>