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3701B" w14:textId="77777777" w:rsidR="00084633" w:rsidRPr="00D54DD2" w:rsidRDefault="00084633" w:rsidP="00084633">
      <w:pPr>
        <w:jc w:val="center"/>
        <w:rPr>
          <w:rFonts w:ascii="Calibri" w:hAnsi="Calibri" w:cstheme="majorHAnsi"/>
        </w:rPr>
      </w:pPr>
      <w:bookmarkStart w:id="0" w:name="_GoBack"/>
      <w:bookmarkEnd w:id="0"/>
    </w:p>
    <w:p w14:paraId="75223990" w14:textId="6FCF76E9" w:rsidR="00B15DAC" w:rsidRPr="00D54DD2" w:rsidRDefault="00084633" w:rsidP="00D54DD2">
      <w:pPr>
        <w:jc w:val="center"/>
        <w:rPr>
          <w:rFonts w:ascii="Calibri" w:eastAsiaTheme="minorEastAsia" w:hAnsi="Calibri" w:cs="Arial"/>
          <w:color w:val="3A3939"/>
          <w:lang w:val="es-ES" w:eastAsia="es-ES"/>
        </w:rPr>
      </w:pPr>
      <w:r w:rsidRPr="00D54DD2">
        <w:rPr>
          <w:rFonts w:ascii="Calibri" w:hAnsi="Calibri" w:cstheme="majorHAnsi"/>
          <w:b/>
        </w:rPr>
        <w:t xml:space="preserve">TEXTO APROBADO EN LA COMISION PRIMERA DE LA H. CAMARA DE REPRESENTANTES DEL </w:t>
      </w:r>
      <w:r w:rsidRPr="00D54DD2">
        <w:rPr>
          <w:rFonts w:ascii="Calibri" w:hAnsi="Calibri"/>
          <w:b/>
          <w:bCs/>
        </w:rPr>
        <w:t xml:space="preserve">PROYECTO </w:t>
      </w:r>
      <w:r w:rsidR="00B15DAC" w:rsidRPr="00D54DD2">
        <w:rPr>
          <w:rFonts w:ascii="Calibri" w:eastAsiaTheme="minorEastAsia" w:hAnsi="Calibri" w:cs="Arial"/>
          <w:b/>
          <w:bCs/>
          <w:color w:val="3A3939"/>
          <w:lang w:val="es-ES" w:eastAsia="es-ES"/>
        </w:rPr>
        <w:t xml:space="preserve">DE ACTO LEGISLATIVO </w:t>
      </w:r>
      <w:r w:rsidR="00EA0FA1" w:rsidRPr="00D54DD2">
        <w:rPr>
          <w:rFonts w:ascii="Calibri" w:eastAsiaTheme="minorEastAsia" w:hAnsi="Calibri" w:cs="Arial"/>
          <w:b/>
          <w:bCs/>
          <w:color w:val="3A3939"/>
          <w:lang w:val="es-ES" w:eastAsia="es-ES"/>
        </w:rPr>
        <w:t>005</w:t>
      </w:r>
      <w:r w:rsidR="00B15DAC" w:rsidRPr="00D54DD2">
        <w:rPr>
          <w:rFonts w:ascii="Calibri" w:eastAsiaTheme="minorEastAsia" w:hAnsi="Calibri" w:cs="Arial"/>
          <w:b/>
          <w:bCs/>
          <w:color w:val="3A3939"/>
          <w:lang w:val="es-ES" w:eastAsia="es-ES"/>
        </w:rPr>
        <w:t xml:space="preserve"> DE 201</w:t>
      </w:r>
      <w:r w:rsidR="00FD28D6" w:rsidRPr="00D54DD2">
        <w:rPr>
          <w:rFonts w:ascii="Calibri" w:eastAsiaTheme="minorEastAsia" w:hAnsi="Calibri" w:cs="Arial"/>
          <w:b/>
          <w:bCs/>
          <w:color w:val="3A3939"/>
          <w:lang w:val="es-ES" w:eastAsia="es-ES"/>
        </w:rPr>
        <w:t>7</w:t>
      </w:r>
    </w:p>
    <w:p w14:paraId="57F308DC" w14:textId="687BE09B" w:rsidR="00B15DAC" w:rsidRPr="00EA0FA1" w:rsidRDefault="00B15DAC" w:rsidP="00B15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color w:val="3A3939"/>
          <w:lang w:val="es-ES" w:eastAsia="es-ES"/>
        </w:rPr>
      </w:pPr>
      <w:r w:rsidRPr="00EA0FA1">
        <w:rPr>
          <w:rFonts w:eastAsiaTheme="minorEastAsia" w:cs="Arial"/>
          <w:color w:val="3A3939"/>
          <w:lang w:val="es-ES" w:eastAsia="es-ES"/>
        </w:rPr>
        <w:t>“Por medio del cual se regula el componente de reincorporación política del Acuerdo Final para la Terminación del Conflicto y la Construcción de una Paz Estable y Duradera”.</w:t>
      </w:r>
    </w:p>
    <w:p w14:paraId="21A7C108" w14:textId="77777777" w:rsidR="00B15DAC" w:rsidRPr="00EA0FA1" w:rsidRDefault="00B15DAC" w:rsidP="00B15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color w:val="3A3939"/>
          <w:lang w:val="es-ES" w:eastAsia="es-ES"/>
        </w:rPr>
      </w:pPr>
    </w:p>
    <w:p w14:paraId="3BA512F8" w14:textId="77777777" w:rsidR="00B15DAC" w:rsidRPr="00EA0FA1" w:rsidRDefault="00B15DAC" w:rsidP="00B15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</w:p>
    <w:p w14:paraId="46D57D60" w14:textId="77777777" w:rsidR="00B15DAC" w:rsidRPr="00EA0FA1" w:rsidRDefault="00B15DAC" w:rsidP="00B15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Helvetica"/>
          <w:b/>
          <w:iCs/>
          <w:lang w:val="es-ES" w:eastAsia="es-ES"/>
        </w:rPr>
      </w:pPr>
      <w:r w:rsidRPr="00EA0FA1">
        <w:rPr>
          <w:rFonts w:eastAsiaTheme="minorEastAsia" w:cs="Helvetica"/>
          <w:b/>
          <w:iCs/>
          <w:lang w:val="es-ES" w:eastAsia="es-ES"/>
        </w:rPr>
        <w:t>EL CONGRESO DE COLOMBIA</w:t>
      </w:r>
    </w:p>
    <w:p w14:paraId="07379815" w14:textId="77777777" w:rsidR="00B15DAC" w:rsidRPr="00EA0FA1" w:rsidRDefault="00B15DAC" w:rsidP="00B15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Helvetica"/>
          <w:iCs/>
          <w:lang w:val="es-ES" w:eastAsia="es-ES"/>
        </w:rPr>
      </w:pPr>
      <w:r w:rsidRPr="00EA0FA1">
        <w:rPr>
          <w:rFonts w:eastAsiaTheme="minorEastAsia" w:cs="Helvetica"/>
          <w:iCs/>
          <w:lang w:val="es-ES" w:eastAsia="es-ES"/>
        </w:rPr>
        <w:t>En virtud del Procedimiento Legislativo Especial para la Paz,</w:t>
      </w:r>
    </w:p>
    <w:p w14:paraId="7AD206B0" w14:textId="77777777" w:rsidR="00B15DAC" w:rsidRPr="00EA0FA1" w:rsidRDefault="00B15DAC" w:rsidP="00B15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"/>
          <w:lang w:val="es-ES" w:eastAsia="es-ES"/>
        </w:rPr>
      </w:pPr>
    </w:p>
    <w:p w14:paraId="66577C74" w14:textId="77777777" w:rsidR="00B15DAC" w:rsidRPr="00EA0FA1" w:rsidRDefault="00B15DAC" w:rsidP="00B15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  <w:r w:rsidRPr="00EA0FA1">
        <w:rPr>
          <w:rFonts w:cs="Arial"/>
          <w:b/>
        </w:rPr>
        <w:t>DECRETA:</w:t>
      </w:r>
    </w:p>
    <w:p w14:paraId="454E6B59" w14:textId="77777777" w:rsidR="00B15DAC" w:rsidRPr="00EA0FA1" w:rsidRDefault="00B15DAC" w:rsidP="00B15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</w:p>
    <w:p w14:paraId="6C78FCD0" w14:textId="77777777" w:rsidR="00A9514A" w:rsidRPr="00EA0FA1" w:rsidRDefault="00A9514A" w:rsidP="00A9514A">
      <w:pPr>
        <w:spacing w:after="0" w:line="240" w:lineRule="auto"/>
        <w:jc w:val="center"/>
        <w:rPr>
          <w:rFonts w:cs="Arial"/>
          <w:b/>
        </w:rPr>
      </w:pPr>
    </w:p>
    <w:p w14:paraId="78879C57" w14:textId="77777777" w:rsidR="00A9514A" w:rsidRPr="00D14613" w:rsidRDefault="00A9514A" w:rsidP="00A95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lang w:val="es-ES"/>
        </w:rPr>
      </w:pPr>
      <w:r w:rsidRPr="00D14613">
        <w:rPr>
          <w:rFonts w:cs="Arial"/>
          <w:b/>
        </w:rPr>
        <w:t xml:space="preserve">Artículo 1°. </w:t>
      </w:r>
      <w:r w:rsidRPr="00D14613">
        <w:rPr>
          <w:rFonts w:cs="Arial"/>
        </w:rPr>
        <w:t>La Constitución Política tendrá los siguientes nuevos artículos transitorios</w:t>
      </w:r>
      <w:r w:rsidRPr="00D14613">
        <w:rPr>
          <w:rFonts w:cs="Arial"/>
          <w:bCs/>
          <w:lang w:val="es-ES"/>
        </w:rPr>
        <w:t>:</w:t>
      </w:r>
    </w:p>
    <w:p w14:paraId="05859B49" w14:textId="77777777" w:rsidR="00A9514A" w:rsidRPr="00D14613" w:rsidRDefault="00A9514A" w:rsidP="00A95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1A305BA" w14:textId="77777777" w:rsidR="00A9514A" w:rsidRPr="00D14613" w:rsidRDefault="00A9514A" w:rsidP="00A9514A">
      <w:pPr>
        <w:widowControl w:val="0"/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cs="Arial"/>
        </w:rPr>
      </w:pPr>
      <w:r w:rsidRPr="00D14613">
        <w:rPr>
          <w:rFonts w:cs="Arial"/>
          <w:b/>
        </w:rPr>
        <w:t xml:space="preserve">Artículo Transitorio 1. </w:t>
      </w:r>
      <w:r w:rsidRPr="00D14613">
        <w:rPr>
          <w:rFonts w:cs="Arial"/>
        </w:rPr>
        <w:t xml:space="preserve"> Una vez finalizado el proceso de dejación de las armas</w:t>
      </w:r>
      <w:r w:rsidRPr="00D14613">
        <w:rPr>
          <w:rFonts w:cs="Arial"/>
          <w:lang w:val="es-MX"/>
        </w:rPr>
        <w:t xml:space="preserve"> por parte de las FARC –EP, en los términos d</w:t>
      </w:r>
      <w:r w:rsidRPr="00D14613">
        <w:rPr>
          <w:rFonts w:cs="Arial"/>
          <w:lang w:val="es-ES"/>
        </w:rPr>
        <w:t>el “Acuerdo Final para la Terminación del Conflicto y la Construcción de una Paz Estable y Duradera”</w:t>
      </w:r>
      <w:r w:rsidRPr="00D14613">
        <w:rPr>
          <w:rFonts w:cs="Arial"/>
        </w:rPr>
        <w:t>, suscrito el 24 de noviembre de 2016, se reconocerá de pleno derecho personería jurídica al partido o movimiento político que surja del tránsito de las FARC-EP a la actividad política legal.</w:t>
      </w:r>
    </w:p>
    <w:p w14:paraId="161F91FB" w14:textId="77777777" w:rsidR="00A9514A" w:rsidRPr="00D14613" w:rsidRDefault="00A9514A" w:rsidP="00A9514A">
      <w:pPr>
        <w:widowControl w:val="0"/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cs="Arial"/>
        </w:rPr>
      </w:pPr>
    </w:p>
    <w:p w14:paraId="543002C1" w14:textId="77777777" w:rsidR="00A9514A" w:rsidRPr="00D14613" w:rsidRDefault="00A9514A" w:rsidP="00A951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eastAsia="Calibri" w:cs="Arial"/>
          <w:lang w:val="es-ES"/>
        </w:rPr>
      </w:pPr>
      <w:r w:rsidRPr="00D14613">
        <w:rPr>
          <w:rFonts w:eastAsia="Calibri" w:cs="Arial"/>
          <w:lang w:val="es-ES"/>
        </w:rPr>
        <w:t xml:space="preserve">Para esos efectos, finalizado el proceso de dejación de las armas, los delegados de las FARC-EP en la Comisión de Seguimiento, Impulso y Verificación de la Implementación del Acuerdo Final, manifestarán y registrarán formalmente ante el Consejo Nacional Electoral o quien haga sus veces la decisión de su transformación en partido o movimiento político, el acta de constitución, sus estatutos, el código de ética, la plataforma ideológica y la designación de sus directivos. En virtud de este acto formal, el partido o movimiento político, con la denominación que adopte, será inscrito para todos los efectos y en igualdad de condiciones como un partido o movimiento político con personería jurídica. </w:t>
      </w:r>
    </w:p>
    <w:p w14:paraId="50E68546" w14:textId="77777777" w:rsidR="00A9514A" w:rsidRPr="00D14613" w:rsidRDefault="00A9514A" w:rsidP="00A9514A">
      <w:pPr>
        <w:pStyle w:val="NormalWeb"/>
        <w:spacing w:before="0" w:beforeAutospacing="0" w:after="0" w:afterAutospacing="0"/>
        <w:ind w:left="567" w:right="333"/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14:paraId="36939C22" w14:textId="77777777" w:rsidR="00A9514A" w:rsidRPr="00D14613" w:rsidRDefault="00A9514A" w:rsidP="00A9514A">
      <w:pPr>
        <w:pStyle w:val="NormalWeb"/>
        <w:spacing w:before="0" w:beforeAutospacing="0" w:after="0" w:afterAutospacing="0"/>
        <w:ind w:left="567" w:right="333"/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00D14613">
        <w:rPr>
          <w:rFonts w:asciiTheme="minorHAnsi" w:hAnsiTheme="minorHAnsi" w:cs="Arial"/>
          <w:sz w:val="22"/>
          <w:szCs w:val="22"/>
        </w:rPr>
        <w:t xml:space="preserve">El partido o movimiento político reconocido deberá́ cumplir los requisitos de conservación de la personería jurídica, y estará sujeto a las causales de pérdida de la misma previstas para los demás partidos y movimientos políticos de conformidad con la Constitución y la ley, salvo la acreditación de un determinado número de afiliados, la presentación a certámenes electorales y la obtención de un umbral de votación, durante el tiempo comprendido entre la fecha de su inscripción en el registro único de partidos y movimientos políticos y el 19 de julio de 2026. Después de esta fecha se le aplicarán las reglas establecidas para todos los partidos o movimientos políticos. </w:t>
      </w:r>
    </w:p>
    <w:p w14:paraId="57D985B0" w14:textId="77777777" w:rsidR="00A9514A" w:rsidRPr="00D14613" w:rsidRDefault="00A9514A" w:rsidP="00A9514A">
      <w:pPr>
        <w:pStyle w:val="NormalWeb"/>
        <w:spacing w:before="0" w:beforeAutospacing="0" w:after="0" w:afterAutospacing="0"/>
        <w:ind w:left="567" w:right="333"/>
        <w:jc w:val="both"/>
        <w:rPr>
          <w:rFonts w:asciiTheme="minorHAnsi" w:hAnsiTheme="minorHAnsi" w:cs="Arial"/>
          <w:sz w:val="22"/>
          <w:szCs w:val="22"/>
        </w:rPr>
      </w:pPr>
    </w:p>
    <w:p w14:paraId="4EEA99C3" w14:textId="77777777" w:rsidR="00A9514A" w:rsidRPr="00D14613" w:rsidRDefault="00A9514A" w:rsidP="00A9514A">
      <w:pPr>
        <w:pStyle w:val="NormalWeb"/>
        <w:spacing w:before="0" w:beforeAutospacing="0" w:after="0" w:afterAutospacing="0"/>
        <w:ind w:left="567" w:right="333"/>
        <w:jc w:val="both"/>
        <w:rPr>
          <w:rFonts w:asciiTheme="minorHAnsi" w:hAnsiTheme="minorHAnsi" w:cs="Arial"/>
          <w:sz w:val="22"/>
          <w:szCs w:val="22"/>
        </w:rPr>
      </w:pPr>
      <w:r w:rsidRPr="00D14613">
        <w:rPr>
          <w:rFonts w:asciiTheme="minorHAnsi" w:hAnsiTheme="minorHAnsi" w:cs="Arial"/>
          <w:sz w:val="22"/>
          <w:szCs w:val="22"/>
        </w:rPr>
        <w:t>El reconocimiento de la personería jurídica atribuirá al nuevo partido o movimiento político</w:t>
      </w:r>
      <w:r w:rsidRPr="00D14613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D14613">
        <w:rPr>
          <w:rFonts w:asciiTheme="minorHAnsi" w:hAnsiTheme="minorHAnsi" w:cs="Arial"/>
          <w:sz w:val="22"/>
          <w:szCs w:val="22"/>
        </w:rPr>
        <w:t xml:space="preserve">los mismos derechos de los demás partidos o movimientos políticos con </w:t>
      </w:r>
      <w:r w:rsidRPr="00D14613">
        <w:rPr>
          <w:rFonts w:asciiTheme="minorHAnsi" w:hAnsiTheme="minorHAnsi" w:cs="Arial"/>
          <w:sz w:val="22"/>
          <w:szCs w:val="22"/>
        </w:rPr>
        <w:lastRenderedPageBreak/>
        <w:t>personería jurídica. Su financiación se regirá transitoriamente por las siguientes reglas especiales:</w:t>
      </w:r>
    </w:p>
    <w:p w14:paraId="1919AC1A" w14:textId="77777777" w:rsidR="00A9514A" w:rsidRPr="00D14613" w:rsidRDefault="00A9514A" w:rsidP="00A9514A">
      <w:pPr>
        <w:pStyle w:val="NormalWeb"/>
        <w:spacing w:before="0" w:beforeAutospacing="0" w:after="0" w:afterAutospacing="0"/>
        <w:ind w:left="567" w:right="333"/>
        <w:jc w:val="both"/>
        <w:rPr>
          <w:rFonts w:asciiTheme="minorHAnsi" w:hAnsiTheme="minorHAnsi" w:cs="Arial"/>
          <w:sz w:val="22"/>
          <w:szCs w:val="22"/>
        </w:rPr>
      </w:pPr>
    </w:p>
    <w:p w14:paraId="08EC2842" w14:textId="77777777" w:rsidR="00A9514A" w:rsidRPr="00D14613" w:rsidRDefault="00A9514A" w:rsidP="00A9514A">
      <w:pPr>
        <w:pStyle w:val="NormalWeb"/>
        <w:numPr>
          <w:ilvl w:val="0"/>
          <w:numId w:val="4"/>
        </w:numPr>
        <w:spacing w:before="0" w:beforeAutospacing="0" w:after="0" w:afterAutospacing="0"/>
        <w:ind w:left="567" w:right="333" w:firstLine="0"/>
        <w:jc w:val="both"/>
        <w:rPr>
          <w:rFonts w:asciiTheme="minorHAnsi" w:hAnsiTheme="minorHAnsi" w:cs="Arial"/>
          <w:sz w:val="22"/>
          <w:szCs w:val="22"/>
        </w:rPr>
      </w:pPr>
      <w:r w:rsidRPr="00D14613">
        <w:rPr>
          <w:rFonts w:asciiTheme="minorHAnsi" w:hAnsiTheme="minorHAnsi" w:cs="Arial"/>
          <w:sz w:val="22"/>
          <w:szCs w:val="22"/>
        </w:rPr>
        <w:t>Recibir anualmente para su funcionamiento, entre la fecha de su inscripción en el registro único de partidos y movimientos políticos ante el Consejo Nacional Electoral o quien haga sus veces y el 19 de julio de 2026, una suma equivalente al promedio de lo que reciben durante cada año los partidos o movimientos políticos con personería jurídica para su funcionamiento. El uso de estos recursos se hará acorde con las reglas que aplican a todos los partidos y movimientos políticos.</w:t>
      </w:r>
    </w:p>
    <w:p w14:paraId="66D1120A" w14:textId="77777777" w:rsidR="00A9514A" w:rsidRPr="00D14613" w:rsidRDefault="00A9514A" w:rsidP="00A9514A">
      <w:pPr>
        <w:pStyle w:val="NormalWeb"/>
        <w:spacing w:before="0" w:beforeAutospacing="0" w:after="0" w:afterAutospacing="0"/>
        <w:ind w:left="567" w:right="333"/>
        <w:jc w:val="both"/>
        <w:rPr>
          <w:rFonts w:asciiTheme="minorHAnsi" w:hAnsiTheme="minorHAnsi" w:cs="Arial"/>
          <w:sz w:val="22"/>
          <w:szCs w:val="22"/>
        </w:rPr>
      </w:pPr>
    </w:p>
    <w:p w14:paraId="7DADEDF5" w14:textId="77777777" w:rsidR="00A9514A" w:rsidRPr="00D14613" w:rsidRDefault="00A9514A" w:rsidP="00A9514A">
      <w:pPr>
        <w:pStyle w:val="NormalWeb"/>
        <w:numPr>
          <w:ilvl w:val="0"/>
          <w:numId w:val="4"/>
        </w:numPr>
        <w:spacing w:before="0" w:beforeAutospacing="0" w:after="0" w:afterAutospacing="0"/>
        <w:ind w:left="567" w:right="333" w:firstLine="0"/>
        <w:jc w:val="both"/>
        <w:rPr>
          <w:rFonts w:asciiTheme="minorHAnsi" w:hAnsiTheme="minorHAnsi" w:cs="Arial"/>
          <w:sz w:val="22"/>
          <w:szCs w:val="22"/>
        </w:rPr>
      </w:pPr>
      <w:r w:rsidRPr="00D14613">
        <w:rPr>
          <w:rFonts w:asciiTheme="minorHAnsi" w:hAnsiTheme="minorHAnsi" w:cs="Arial"/>
          <w:sz w:val="22"/>
          <w:szCs w:val="22"/>
        </w:rPr>
        <w:t>Para contribuir a la financiación del Centro de pensamiento y formación política del partido, así como para la difusión y divulgación de su plataforma ideológica y programática, recibirá anualmente entre la fecha de su inscripción en el registro único de partidos y movimientos políticos y el 19 de julio de 2022, una suma equivalente al 7% anual de la apropiación presupuestal para el funcionamiento de los partidos y movimientos políticos.</w:t>
      </w:r>
    </w:p>
    <w:p w14:paraId="148ED887" w14:textId="77777777" w:rsidR="00A9514A" w:rsidRPr="00D14613" w:rsidRDefault="00A9514A" w:rsidP="00A9514A">
      <w:pPr>
        <w:pStyle w:val="NormalWeb"/>
        <w:spacing w:before="0" w:beforeAutospacing="0" w:after="0" w:afterAutospacing="0"/>
        <w:ind w:left="567" w:right="333"/>
        <w:jc w:val="both"/>
        <w:rPr>
          <w:rFonts w:asciiTheme="minorHAnsi" w:hAnsiTheme="minorHAnsi" w:cs="Arial"/>
          <w:sz w:val="22"/>
          <w:szCs w:val="22"/>
        </w:rPr>
      </w:pPr>
    </w:p>
    <w:p w14:paraId="471564B8" w14:textId="6AA4D2EC" w:rsidR="00A9514A" w:rsidRPr="00D14613" w:rsidRDefault="00A9514A" w:rsidP="00A9514A">
      <w:pPr>
        <w:pStyle w:val="NormalWeb"/>
        <w:numPr>
          <w:ilvl w:val="0"/>
          <w:numId w:val="4"/>
        </w:numPr>
        <w:spacing w:before="0" w:beforeAutospacing="0" w:after="0" w:afterAutospacing="0"/>
        <w:ind w:left="567" w:right="333" w:firstLine="0"/>
        <w:jc w:val="both"/>
        <w:rPr>
          <w:rFonts w:asciiTheme="minorHAnsi" w:hAnsiTheme="minorHAnsi" w:cs="Arial"/>
          <w:sz w:val="22"/>
          <w:szCs w:val="22"/>
        </w:rPr>
      </w:pPr>
      <w:r w:rsidRPr="00D14613">
        <w:rPr>
          <w:rFonts w:asciiTheme="minorHAnsi" w:hAnsiTheme="minorHAnsi" w:cs="Arial"/>
          <w:sz w:val="22"/>
          <w:szCs w:val="22"/>
        </w:rPr>
        <w:t xml:space="preserve">Recibir financiación preponderantemente estatal para las campañas de sus candidatos a la Presidencia de la República y al Senado de la República en las elecciones de 2018 y 2022, de conformidad con las siguientes reglas: i) En el caso de las campañas presidenciales se les reconocerá́ la financiación estatal que corresponda a los candidatos que reúnan los requisitos de ley, de conformidad con las disposiciones aplicables a dichas campañas; ii) En el caso de las campañas al Senado, recibirán financiación estatal anticipada equivalente al 10% del límite de gastos fijados por la autoridad electoral, </w:t>
      </w:r>
      <w:r w:rsidRPr="00D14613">
        <w:rPr>
          <w:rFonts w:asciiTheme="minorHAnsi" w:hAnsiTheme="minorHAnsi" w:cs="Arial"/>
          <w:sz w:val="22"/>
          <w:szCs w:val="22"/>
          <w:shd w:val="clear" w:color="auto" w:fill="FFFFFF"/>
        </w:rPr>
        <w:t>sin perjuicio de la aplicación de las normas vigentes sobre anticipos previstas para los demás partidos políticos reconocidos</w:t>
      </w:r>
      <w:r w:rsidR="005145C9">
        <w:rPr>
          <w:rFonts w:asciiTheme="minorHAnsi" w:hAnsiTheme="minorHAnsi" w:cs="Arial"/>
          <w:sz w:val="22"/>
          <w:szCs w:val="22"/>
        </w:rPr>
        <w:t>; iii) L</w:t>
      </w:r>
      <w:r w:rsidRPr="00D14613">
        <w:rPr>
          <w:rFonts w:asciiTheme="minorHAnsi" w:hAnsiTheme="minorHAnsi" w:cs="Arial"/>
          <w:sz w:val="22"/>
          <w:szCs w:val="22"/>
        </w:rPr>
        <w:t xml:space="preserve">a financiación estatal previa no estará́ sujeta a devolución, siempre y cuando los recursos asignados hayan sido destinados a las finalidades establecidas en la ley. </w:t>
      </w:r>
    </w:p>
    <w:p w14:paraId="1AC5D118" w14:textId="77777777" w:rsidR="00A9514A" w:rsidRPr="00D14613" w:rsidRDefault="00A9514A" w:rsidP="00A9514A">
      <w:pPr>
        <w:pStyle w:val="NormalWeb"/>
        <w:spacing w:before="0" w:beforeAutospacing="0" w:after="0" w:afterAutospacing="0"/>
        <w:ind w:left="567" w:right="333"/>
        <w:jc w:val="both"/>
        <w:rPr>
          <w:rFonts w:asciiTheme="minorHAnsi" w:hAnsiTheme="minorHAnsi" w:cs="Arial"/>
          <w:sz w:val="22"/>
          <w:szCs w:val="22"/>
        </w:rPr>
      </w:pPr>
    </w:p>
    <w:p w14:paraId="31F34EED" w14:textId="77777777" w:rsidR="00A9514A" w:rsidRPr="00D14613" w:rsidRDefault="00A9514A" w:rsidP="00A9514A">
      <w:pPr>
        <w:pStyle w:val="NormalWeb"/>
        <w:numPr>
          <w:ilvl w:val="0"/>
          <w:numId w:val="4"/>
        </w:numPr>
        <w:spacing w:before="0" w:beforeAutospacing="0" w:after="0" w:afterAutospacing="0"/>
        <w:ind w:left="567" w:right="333" w:firstLine="0"/>
        <w:jc w:val="both"/>
        <w:rPr>
          <w:rFonts w:asciiTheme="minorHAnsi" w:hAnsiTheme="minorHAnsi" w:cs="Arial"/>
          <w:sz w:val="22"/>
          <w:szCs w:val="22"/>
        </w:rPr>
      </w:pPr>
      <w:r w:rsidRPr="00D14613">
        <w:rPr>
          <w:rFonts w:asciiTheme="minorHAnsi" w:hAnsiTheme="minorHAnsi" w:cs="Arial"/>
          <w:sz w:val="22"/>
          <w:szCs w:val="22"/>
        </w:rPr>
        <w:t>Acceder a espacios en los medios de comunicación social en las mismas condiciones de los demás partidos y movimientos políticos con personería jurídica, de acuerdo con la aplicación de las normas vigentes.</w:t>
      </w:r>
    </w:p>
    <w:p w14:paraId="5E279F54" w14:textId="77777777" w:rsidR="00A9514A" w:rsidRPr="00D14613" w:rsidRDefault="00A9514A" w:rsidP="00A9514A">
      <w:pPr>
        <w:pStyle w:val="NormalWeb"/>
        <w:spacing w:before="0" w:beforeAutospacing="0" w:after="0" w:afterAutospacing="0"/>
        <w:ind w:left="567" w:right="333"/>
        <w:jc w:val="both"/>
        <w:rPr>
          <w:rFonts w:asciiTheme="minorHAnsi" w:hAnsiTheme="minorHAnsi" w:cs="Arial"/>
          <w:sz w:val="22"/>
          <w:szCs w:val="22"/>
        </w:rPr>
      </w:pPr>
    </w:p>
    <w:p w14:paraId="3118536D" w14:textId="77777777" w:rsidR="00A9514A" w:rsidRPr="00D14613" w:rsidRDefault="00A9514A" w:rsidP="00A9514A">
      <w:pPr>
        <w:pStyle w:val="NormalWeb"/>
        <w:numPr>
          <w:ilvl w:val="0"/>
          <w:numId w:val="4"/>
        </w:numPr>
        <w:spacing w:before="0" w:beforeAutospacing="0" w:after="0" w:afterAutospacing="0"/>
        <w:ind w:left="567" w:right="333" w:firstLine="0"/>
        <w:jc w:val="both"/>
        <w:rPr>
          <w:rFonts w:asciiTheme="minorHAnsi" w:hAnsiTheme="minorHAnsi" w:cs="Arial"/>
          <w:sz w:val="22"/>
          <w:szCs w:val="22"/>
        </w:rPr>
      </w:pPr>
      <w:r w:rsidRPr="00D14613">
        <w:rPr>
          <w:rFonts w:asciiTheme="minorHAnsi" w:hAnsiTheme="minorHAnsi" w:cs="Arial"/>
          <w:sz w:val="22"/>
          <w:szCs w:val="22"/>
        </w:rPr>
        <w:t>Inscribir candidatos y listas a cargos y corporaciones de elección popular en las mismas condiciones que se exigen a los demás partidos y movimientos políticos.</w:t>
      </w:r>
    </w:p>
    <w:p w14:paraId="0D454462" w14:textId="77777777" w:rsidR="00A9514A" w:rsidRPr="00D14613" w:rsidRDefault="00A9514A" w:rsidP="00A9514A">
      <w:pPr>
        <w:pStyle w:val="NormalWeb"/>
        <w:spacing w:before="0" w:beforeAutospacing="0" w:after="0" w:afterAutospacing="0"/>
        <w:ind w:left="567" w:right="333"/>
        <w:jc w:val="both"/>
        <w:rPr>
          <w:rFonts w:asciiTheme="minorHAnsi" w:hAnsiTheme="minorHAnsi" w:cs="Arial"/>
          <w:sz w:val="22"/>
          <w:szCs w:val="22"/>
        </w:rPr>
      </w:pPr>
    </w:p>
    <w:p w14:paraId="355D1787" w14:textId="77777777" w:rsidR="00A9514A" w:rsidRPr="00D14613" w:rsidRDefault="00A9514A" w:rsidP="00A9514A">
      <w:pPr>
        <w:pStyle w:val="NormalWeb"/>
        <w:numPr>
          <w:ilvl w:val="0"/>
          <w:numId w:val="4"/>
        </w:numPr>
        <w:spacing w:before="0" w:beforeAutospacing="0" w:after="0" w:afterAutospacing="0"/>
        <w:ind w:left="567" w:right="333" w:firstLine="0"/>
        <w:jc w:val="both"/>
        <w:rPr>
          <w:rFonts w:asciiTheme="minorHAnsi" w:hAnsiTheme="minorHAnsi" w:cs="Arial"/>
          <w:sz w:val="22"/>
          <w:szCs w:val="22"/>
        </w:rPr>
      </w:pPr>
      <w:r w:rsidRPr="00D14613">
        <w:rPr>
          <w:rFonts w:asciiTheme="minorHAnsi" w:hAnsiTheme="minorHAnsi" w:cs="Arial"/>
          <w:sz w:val="22"/>
          <w:szCs w:val="22"/>
        </w:rPr>
        <w:t>Designar, de manera transitoria, un delegado ante el Consejo Nacional Electoral o quien haga sus veces, quien tendrá́ voz pero no voto, y podrá́ participar en las deliberaciones de esa corporación.</w:t>
      </w:r>
    </w:p>
    <w:p w14:paraId="4F5C6B29" w14:textId="77777777" w:rsidR="00A9514A" w:rsidRPr="00D14613" w:rsidRDefault="00A9514A" w:rsidP="00A9514A">
      <w:pPr>
        <w:pStyle w:val="NormalWeb"/>
        <w:spacing w:before="0" w:beforeAutospacing="0" w:after="0" w:afterAutospacing="0"/>
        <w:ind w:left="567" w:right="333"/>
        <w:jc w:val="both"/>
        <w:rPr>
          <w:rFonts w:asciiTheme="minorHAnsi" w:hAnsiTheme="minorHAnsi" w:cs="Arial"/>
          <w:sz w:val="22"/>
          <w:szCs w:val="22"/>
        </w:rPr>
      </w:pPr>
    </w:p>
    <w:p w14:paraId="2787EAEC" w14:textId="77777777" w:rsidR="00A9514A" w:rsidRPr="00D14613" w:rsidRDefault="00A9514A" w:rsidP="00A9514A">
      <w:pPr>
        <w:pStyle w:val="NormalWeb"/>
        <w:spacing w:before="0" w:beforeAutospacing="0" w:after="0" w:afterAutospacing="0"/>
        <w:ind w:left="567" w:right="333"/>
        <w:jc w:val="both"/>
        <w:rPr>
          <w:rFonts w:asciiTheme="minorHAnsi" w:hAnsiTheme="minorHAnsi" w:cs="Arial"/>
          <w:sz w:val="22"/>
          <w:szCs w:val="22"/>
        </w:rPr>
      </w:pPr>
      <w:r w:rsidRPr="00D14613">
        <w:rPr>
          <w:rFonts w:asciiTheme="minorHAnsi" w:hAnsiTheme="minorHAnsi" w:cs="Arial"/>
          <w:sz w:val="22"/>
          <w:szCs w:val="22"/>
        </w:rPr>
        <w:t>Las sumas a que se refieren los numerales 1 y 2 no afectarán el monto a distribuir por parte del Fondo para los demás partidos y movimientos políticos con personería jurídica.</w:t>
      </w:r>
    </w:p>
    <w:p w14:paraId="244C3036" w14:textId="77777777" w:rsidR="00A9514A" w:rsidRPr="00D14613" w:rsidRDefault="00A9514A" w:rsidP="00A9514A">
      <w:pPr>
        <w:pStyle w:val="NormalWeb"/>
        <w:spacing w:before="0" w:beforeAutospacing="0" w:after="0" w:afterAutospacing="0"/>
        <w:ind w:left="567" w:right="333"/>
        <w:jc w:val="both"/>
        <w:rPr>
          <w:rFonts w:asciiTheme="minorHAnsi" w:hAnsiTheme="minorHAnsi" w:cs="Arial"/>
          <w:sz w:val="22"/>
          <w:szCs w:val="22"/>
        </w:rPr>
      </w:pPr>
    </w:p>
    <w:p w14:paraId="19E23E3E" w14:textId="77777777" w:rsidR="00A9514A" w:rsidRPr="00D14613" w:rsidRDefault="00A9514A" w:rsidP="00A9514A">
      <w:pPr>
        <w:pStyle w:val="NormalWeb"/>
        <w:spacing w:before="0" w:beforeAutospacing="0" w:after="0" w:afterAutospacing="0"/>
        <w:ind w:left="567" w:right="333"/>
        <w:jc w:val="both"/>
        <w:rPr>
          <w:rFonts w:asciiTheme="minorHAnsi" w:hAnsiTheme="minorHAnsi" w:cs="Arial"/>
          <w:sz w:val="22"/>
          <w:szCs w:val="22"/>
        </w:rPr>
      </w:pPr>
    </w:p>
    <w:p w14:paraId="177A93F6" w14:textId="77777777" w:rsidR="00A9514A" w:rsidRPr="00D14613" w:rsidRDefault="00A9514A" w:rsidP="00A9514A">
      <w:pPr>
        <w:pStyle w:val="NormalWeb"/>
        <w:spacing w:before="0" w:beforeAutospacing="0" w:after="0" w:afterAutospacing="0"/>
        <w:ind w:left="567" w:right="333"/>
        <w:jc w:val="both"/>
        <w:rPr>
          <w:rFonts w:asciiTheme="minorHAnsi" w:hAnsiTheme="minorHAnsi" w:cs="Arial"/>
          <w:sz w:val="22"/>
          <w:szCs w:val="22"/>
        </w:rPr>
      </w:pPr>
      <w:r w:rsidRPr="00D14613">
        <w:rPr>
          <w:rFonts w:asciiTheme="minorHAnsi" w:hAnsiTheme="minorHAnsi" w:cs="Arial"/>
          <w:b/>
          <w:sz w:val="22"/>
          <w:szCs w:val="22"/>
        </w:rPr>
        <w:t xml:space="preserve">Artículo Transitorio 2. </w:t>
      </w:r>
      <w:r w:rsidRPr="00D14613">
        <w:rPr>
          <w:rFonts w:asciiTheme="minorHAnsi" w:hAnsiTheme="minorHAnsi" w:cs="Arial"/>
          <w:sz w:val="22"/>
          <w:szCs w:val="22"/>
        </w:rPr>
        <w:t xml:space="preserve"> El Senado de la República estará integrado durante los períodos 2018–2022 y 2022-2026, hasta por cinco (5) Senadores adicionales a los que señala el artículo 171 de la Constitución Política, elegidos </w:t>
      </w:r>
      <w:r w:rsidRPr="00D14613">
        <w:rPr>
          <w:rFonts w:asciiTheme="minorHAnsi" w:hAnsiTheme="minorHAnsi" w:cs="Arial"/>
          <w:sz w:val="22"/>
          <w:szCs w:val="22"/>
          <w:lang w:val="es-ES"/>
        </w:rPr>
        <w:t>en circunscripción nacional ordinaria de conformidad con las siguientes reglas especiales:</w:t>
      </w:r>
    </w:p>
    <w:p w14:paraId="548B0A20" w14:textId="77777777" w:rsidR="00A9514A" w:rsidRPr="00D14613" w:rsidRDefault="00A9514A" w:rsidP="00A9514A">
      <w:pPr>
        <w:pStyle w:val="NormalWeb"/>
        <w:spacing w:before="0" w:beforeAutospacing="0" w:after="0" w:afterAutospacing="0"/>
        <w:ind w:left="567" w:right="333"/>
        <w:jc w:val="both"/>
        <w:rPr>
          <w:rFonts w:asciiTheme="minorHAnsi" w:hAnsiTheme="minorHAnsi" w:cs="Arial"/>
          <w:sz w:val="22"/>
          <w:szCs w:val="22"/>
        </w:rPr>
      </w:pPr>
    </w:p>
    <w:p w14:paraId="75104B95" w14:textId="77777777" w:rsidR="00A9514A" w:rsidRPr="00D14613" w:rsidRDefault="00A9514A" w:rsidP="00A9514A">
      <w:pPr>
        <w:pStyle w:val="NormalWeb"/>
        <w:numPr>
          <w:ilvl w:val="0"/>
          <w:numId w:val="8"/>
        </w:numPr>
        <w:spacing w:before="0" w:beforeAutospacing="0" w:after="0" w:afterAutospacing="0"/>
        <w:ind w:left="567" w:right="333" w:firstLine="0"/>
        <w:jc w:val="both"/>
        <w:rPr>
          <w:rFonts w:asciiTheme="minorHAnsi" w:hAnsiTheme="minorHAnsi" w:cs="Arial"/>
          <w:sz w:val="22"/>
          <w:szCs w:val="22"/>
        </w:rPr>
      </w:pPr>
      <w:r w:rsidRPr="00D14613">
        <w:rPr>
          <w:rFonts w:asciiTheme="minorHAnsi" w:hAnsiTheme="minorHAnsi" w:cs="Arial"/>
          <w:sz w:val="22"/>
          <w:szCs w:val="22"/>
        </w:rPr>
        <w:t>El partido o movimiento político que surja del tránsito de las FARC – EP a la vida política legal con personería jurídica</w:t>
      </w:r>
      <w:r w:rsidRPr="00D14613">
        <w:rPr>
          <w:rFonts w:asciiTheme="minorHAnsi" w:hAnsiTheme="minorHAnsi" w:cs="Arial"/>
          <w:b/>
          <w:sz w:val="22"/>
          <w:szCs w:val="22"/>
        </w:rPr>
        <w:t>,</w:t>
      </w:r>
      <w:r w:rsidRPr="00D14613">
        <w:rPr>
          <w:rFonts w:asciiTheme="minorHAnsi" w:hAnsiTheme="minorHAnsi" w:cs="Arial"/>
          <w:sz w:val="22"/>
          <w:szCs w:val="22"/>
        </w:rPr>
        <w:t xml:space="preserve"> podrá inscribir para las elecciones de 2018 y 2022 listas únicas de candidatos propios o en coalición con otros partidos y/o movimientos políticos con personería jurídica, para la circunscripción ordinaria del Senado de la República.</w:t>
      </w:r>
    </w:p>
    <w:p w14:paraId="0D308ACB" w14:textId="77777777" w:rsidR="00A9514A" w:rsidRPr="00D14613" w:rsidRDefault="00A9514A" w:rsidP="00A9514A">
      <w:pPr>
        <w:pStyle w:val="NormalWeb"/>
        <w:spacing w:before="0" w:beforeAutospacing="0" w:after="0" w:afterAutospacing="0"/>
        <w:ind w:left="567" w:right="333"/>
        <w:jc w:val="both"/>
        <w:rPr>
          <w:rFonts w:asciiTheme="minorHAnsi" w:hAnsiTheme="minorHAnsi" w:cs="Arial"/>
          <w:sz w:val="22"/>
          <w:szCs w:val="22"/>
        </w:rPr>
      </w:pPr>
    </w:p>
    <w:p w14:paraId="1A49445F" w14:textId="77777777" w:rsidR="00A9514A" w:rsidRPr="00D14613" w:rsidRDefault="00A9514A" w:rsidP="00A9514A">
      <w:pPr>
        <w:pStyle w:val="NormalWeb"/>
        <w:numPr>
          <w:ilvl w:val="0"/>
          <w:numId w:val="8"/>
        </w:numPr>
        <w:spacing w:before="0" w:beforeAutospacing="0" w:after="0" w:afterAutospacing="0"/>
        <w:ind w:left="567" w:right="333" w:firstLine="0"/>
        <w:jc w:val="both"/>
        <w:rPr>
          <w:rFonts w:asciiTheme="minorHAnsi" w:hAnsiTheme="minorHAnsi" w:cs="Arial"/>
          <w:sz w:val="22"/>
          <w:szCs w:val="22"/>
        </w:rPr>
      </w:pPr>
      <w:r w:rsidRPr="00D14613">
        <w:rPr>
          <w:rFonts w:asciiTheme="minorHAnsi" w:hAnsiTheme="minorHAnsi" w:cs="Arial"/>
          <w:sz w:val="22"/>
          <w:szCs w:val="22"/>
        </w:rPr>
        <w:t>Estas listas competirán en igualdad de condiciones de conformidad con las reglas ordinarias por la totalidad de las curules que se eligen en dicha circunscripción.</w:t>
      </w:r>
    </w:p>
    <w:p w14:paraId="07D0B3F3" w14:textId="77777777" w:rsidR="00A9514A" w:rsidRPr="00D14613" w:rsidRDefault="00A9514A" w:rsidP="00A9514A">
      <w:pPr>
        <w:pStyle w:val="NormalWeb"/>
        <w:spacing w:before="0" w:beforeAutospacing="0" w:after="0" w:afterAutospacing="0"/>
        <w:ind w:left="567" w:right="333"/>
        <w:jc w:val="both"/>
        <w:rPr>
          <w:rFonts w:asciiTheme="minorHAnsi" w:hAnsiTheme="minorHAnsi" w:cs="Arial"/>
          <w:sz w:val="22"/>
          <w:szCs w:val="22"/>
        </w:rPr>
      </w:pPr>
    </w:p>
    <w:p w14:paraId="6C943708" w14:textId="654D3089" w:rsidR="00A9514A" w:rsidRPr="00D14613" w:rsidRDefault="00A9514A" w:rsidP="00A9514A">
      <w:pPr>
        <w:pStyle w:val="NormalWeb"/>
        <w:numPr>
          <w:ilvl w:val="0"/>
          <w:numId w:val="8"/>
        </w:numPr>
        <w:spacing w:before="0" w:beforeAutospacing="0" w:after="0" w:afterAutospacing="0"/>
        <w:ind w:left="567" w:right="333" w:firstLine="0"/>
        <w:jc w:val="both"/>
        <w:rPr>
          <w:rFonts w:asciiTheme="minorHAnsi" w:hAnsiTheme="minorHAnsi" w:cs="Arial"/>
          <w:sz w:val="22"/>
          <w:szCs w:val="22"/>
        </w:rPr>
      </w:pPr>
      <w:r w:rsidRPr="00D14613">
        <w:rPr>
          <w:rFonts w:asciiTheme="minorHAnsi" w:hAnsiTheme="minorHAnsi" w:cs="Arial"/>
          <w:sz w:val="22"/>
          <w:szCs w:val="22"/>
        </w:rPr>
        <w:t>Finalizada la asignación de las cien (100) curules de la circunscripción ordinaria en el Senado, el Consejo Nacional Electoral o quien haga sus veces asignará a  la lista propia o en coalición que presente el nuevo partido o movimiento político en el que se transformen las FARC-EP  las que le hiciera falta para co</w:t>
      </w:r>
      <w:r w:rsidR="004B407F">
        <w:rPr>
          <w:rFonts w:asciiTheme="minorHAnsi" w:hAnsiTheme="minorHAnsi" w:cs="Arial"/>
          <w:sz w:val="22"/>
          <w:szCs w:val="22"/>
        </w:rPr>
        <w:t>mpletar un mínimo de 5 miembros.</w:t>
      </w:r>
    </w:p>
    <w:p w14:paraId="0D10323C" w14:textId="77777777" w:rsidR="00A9514A" w:rsidRPr="00D14613" w:rsidRDefault="00A9514A" w:rsidP="00A9514A">
      <w:pPr>
        <w:pStyle w:val="NormalWeb"/>
        <w:spacing w:before="0" w:beforeAutospacing="0" w:after="0" w:afterAutospacing="0"/>
        <w:ind w:left="567" w:right="333"/>
        <w:jc w:val="both"/>
        <w:rPr>
          <w:rFonts w:asciiTheme="minorHAnsi" w:hAnsiTheme="minorHAnsi" w:cs="Arial"/>
          <w:sz w:val="22"/>
          <w:szCs w:val="22"/>
        </w:rPr>
      </w:pPr>
    </w:p>
    <w:p w14:paraId="4163D2E2" w14:textId="77777777" w:rsidR="00A9514A" w:rsidRPr="00D14613" w:rsidRDefault="00A9514A" w:rsidP="00A9514A">
      <w:pPr>
        <w:pStyle w:val="NormalWeb"/>
        <w:spacing w:before="0" w:beforeAutospacing="0" w:after="0" w:afterAutospacing="0"/>
        <w:ind w:left="567" w:right="333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D14613">
        <w:rPr>
          <w:rFonts w:asciiTheme="minorHAnsi" w:hAnsiTheme="minorHAnsi" w:cs="Arial"/>
          <w:b/>
          <w:sz w:val="22"/>
          <w:szCs w:val="22"/>
        </w:rPr>
        <w:t>Artículo Transitorio</w:t>
      </w:r>
      <w:r>
        <w:rPr>
          <w:rFonts w:asciiTheme="minorHAnsi" w:hAnsiTheme="minorHAnsi" w:cs="Arial"/>
          <w:b/>
          <w:sz w:val="22"/>
          <w:szCs w:val="22"/>
        </w:rPr>
        <w:t xml:space="preserve"> 3</w:t>
      </w:r>
      <w:r w:rsidRPr="00D14613">
        <w:rPr>
          <w:rFonts w:asciiTheme="minorHAnsi" w:hAnsiTheme="minorHAnsi" w:cs="Arial"/>
          <w:b/>
          <w:sz w:val="22"/>
          <w:szCs w:val="22"/>
        </w:rPr>
        <w:t>.</w:t>
      </w:r>
      <w:r w:rsidRPr="00D14613">
        <w:rPr>
          <w:rFonts w:asciiTheme="minorHAnsi" w:hAnsiTheme="minorHAnsi" w:cs="Arial"/>
          <w:sz w:val="22"/>
          <w:szCs w:val="22"/>
        </w:rPr>
        <w:t xml:space="preserve"> La Cámara de Representantes estará integrada durante los períodos 2018–2022 y 2022-2026, hasta por cinco (5) Representantes adicionales a los que se determinan en el artículo 176 de la Constitución Política, elegidos </w:t>
      </w:r>
      <w:r w:rsidRPr="00D14613">
        <w:rPr>
          <w:rFonts w:asciiTheme="minorHAnsi" w:hAnsiTheme="minorHAnsi" w:cs="Arial"/>
          <w:sz w:val="22"/>
          <w:szCs w:val="22"/>
          <w:lang w:val="es-ES"/>
        </w:rPr>
        <w:t>de conformidad con las siguientes reglas especiales:</w:t>
      </w:r>
    </w:p>
    <w:p w14:paraId="2D9DEC96" w14:textId="77777777" w:rsidR="00A9514A" w:rsidRPr="00D14613" w:rsidRDefault="00A9514A" w:rsidP="00A9514A">
      <w:pPr>
        <w:pStyle w:val="NormalWeb"/>
        <w:spacing w:before="0" w:beforeAutospacing="0" w:after="0" w:afterAutospacing="0"/>
        <w:ind w:left="567" w:right="333"/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14:paraId="1E8A1115" w14:textId="77777777" w:rsidR="00A9514A" w:rsidRPr="00D14613" w:rsidRDefault="00A9514A" w:rsidP="00A9514A">
      <w:pPr>
        <w:pStyle w:val="NormalWeb"/>
        <w:numPr>
          <w:ilvl w:val="0"/>
          <w:numId w:val="9"/>
        </w:numPr>
        <w:spacing w:before="0" w:beforeAutospacing="0" w:after="0" w:afterAutospacing="0"/>
        <w:ind w:left="567" w:right="333" w:firstLine="0"/>
        <w:jc w:val="both"/>
        <w:rPr>
          <w:rFonts w:asciiTheme="minorHAnsi" w:hAnsiTheme="minorHAnsi" w:cs="Arial"/>
          <w:sz w:val="22"/>
          <w:szCs w:val="22"/>
        </w:rPr>
      </w:pPr>
      <w:r w:rsidRPr="00D14613">
        <w:rPr>
          <w:rFonts w:asciiTheme="minorHAnsi" w:hAnsiTheme="minorHAnsi" w:cs="Arial"/>
          <w:sz w:val="22"/>
          <w:szCs w:val="22"/>
        </w:rPr>
        <w:t>El partido o movimiento político que surja del tránsito de las FARC – EP a la vida política legal con personería jurídica, podrá inscribir para las elecciones de 2018 y 2022 listas propias o en coalición con otros partidos y/o movimientos políticos con personería jurídica, para las circunscripciones territoriales en que se elige la Cámara de Representantes.</w:t>
      </w:r>
    </w:p>
    <w:p w14:paraId="31BE1D42" w14:textId="77777777" w:rsidR="00A9514A" w:rsidRPr="00D14613" w:rsidRDefault="00A9514A" w:rsidP="00A9514A">
      <w:pPr>
        <w:pStyle w:val="NormalWeb"/>
        <w:spacing w:before="0" w:beforeAutospacing="0" w:after="0" w:afterAutospacing="0"/>
        <w:ind w:left="567" w:right="333"/>
        <w:jc w:val="both"/>
        <w:rPr>
          <w:rFonts w:asciiTheme="minorHAnsi" w:hAnsiTheme="minorHAnsi" w:cs="Arial"/>
          <w:sz w:val="22"/>
          <w:szCs w:val="22"/>
        </w:rPr>
      </w:pPr>
    </w:p>
    <w:p w14:paraId="65754384" w14:textId="24422BAC" w:rsidR="00A9514A" w:rsidRPr="00D14613" w:rsidRDefault="00A9514A" w:rsidP="00A9514A">
      <w:pPr>
        <w:pStyle w:val="NormalWeb"/>
        <w:numPr>
          <w:ilvl w:val="0"/>
          <w:numId w:val="9"/>
        </w:numPr>
        <w:spacing w:before="0" w:beforeAutospacing="0" w:after="0" w:afterAutospacing="0"/>
        <w:ind w:left="567" w:right="333" w:firstLine="0"/>
        <w:jc w:val="both"/>
        <w:rPr>
          <w:rFonts w:asciiTheme="minorHAnsi" w:hAnsiTheme="minorHAnsi" w:cs="Arial"/>
          <w:sz w:val="22"/>
          <w:szCs w:val="22"/>
        </w:rPr>
      </w:pPr>
      <w:r w:rsidRPr="00D14613">
        <w:rPr>
          <w:rFonts w:asciiTheme="minorHAnsi" w:hAnsiTheme="minorHAnsi" w:cs="Arial"/>
          <w:sz w:val="22"/>
          <w:szCs w:val="22"/>
        </w:rPr>
        <w:t>Estas listas competirán en igualdad de condiciones de conformidad con las reglas ordinarias por la totalidad de las curules que se eligen en dicha</w:t>
      </w:r>
      <w:r w:rsidR="00591AEE">
        <w:rPr>
          <w:rFonts w:asciiTheme="minorHAnsi" w:hAnsiTheme="minorHAnsi" w:cs="Arial"/>
          <w:sz w:val="22"/>
          <w:szCs w:val="22"/>
        </w:rPr>
        <w:t>s</w:t>
      </w:r>
      <w:r w:rsidRPr="00D14613">
        <w:rPr>
          <w:rFonts w:asciiTheme="minorHAnsi" w:hAnsiTheme="minorHAnsi" w:cs="Arial"/>
          <w:sz w:val="22"/>
          <w:szCs w:val="22"/>
        </w:rPr>
        <w:t xml:space="preserve"> circunscripci</w:t>
      </w:r>
      <w:r w:rsidR="00591AEE">
        <w:rPr>
          <w:rFonts w:asciiTheme="minorHAnsi" w:hAnsiTheme="minorHAnsi" w:cs="Arial"/>
          <w:sz w:val="22"/>
          <w:szCs w:val="22"/>
        </w:rPr>
        <w:t>o</w:t>
      </w:r>
      <w:r w:rsidRPr="00D14613">
        <w:rPr>
          <w:rFonts w:asciiTheme="minorHAnsi" w:hAnsiTheme="minorHAnsi" w:cs="Arial"/>
          <w:sz w:val="22"/>
          <w:szCs w:val="22"/>
        </w:rPr>
        <w:t>n</w:t>
      </w:r>
      <w:r w:rsidR="00591AEE">
        <w:rPr>
          <w:rFonts w:asciiTheme="minorHAnsi" w:hAnsiTheme="minorHAnsi" w:cs="Arial"/>
          <w:sz w:val="22"/>
          <w:szCs w:val="22"/>
        </w:rPr>
        <w:t>es</w:t>
      </w:r>
      <w:r w:rsidRPr="00D14613">
        <w:rPr>
          <w:rFonts w:asciiTheme="minorHAnsi" w:hAnsiTheme="minorHAnsi" w:cs="Arial"/>
          <w:sz w:val="22"/>
          <w:szCs w:val="22"/>
        </w:rPr>
        <w:t>.</w:t>
      </w:r>
    </w:p>
    <w:p w14:paraId="5EAC1749" w14:textId="77777777" w:rsidR="00A9514A" w:rsidRPr="00D14613" w:rsidRDefault="00A9514A" w:rsidP="00A9514A">
      <w:pPr>
        <w:pStyle w:val="NormalWeb"/>
        <w:spacing w:before="0" w:beforeAutospacing="0" w:after="0" w:afterAutospacing="0"/>
        <w:ind w:left="567" w:right="333"/>
        <w:jc w:val="both"/>
        <w:rPr>
          <w:rFonts w:asciiTheme="minorHAnsi" w:hAnsiTheme="minorHAnsi" w:cs="Arial"/>
          <w:sz w:val="22"/>
          <w:szCs w:val="22"/>
        </w:rPr>
      </w:pPr>
    </w:p>
    <w:p w14:paraId="0B0640C9" w14:textId="77777777" w:rsidR="00A9514A" w:rsidRPr="00D14613" w:rsidRDefault="00A9514A" w:rsidP="00A9514A">
      <w:pPr>
        <w:pStyle w:val="NormalWeb"/>
        <w:numPr>
          <w:ilvl w:val="0"/>
          <w:numId w:val="9"/>
        </w:numPr>
        <w:spacing w:before="0" w:beforeAutospacing="0" w:after="0" w:afterAutospacing="0"/>
        <w:ind w:left="567" w:right="333" w:firstLine="0"/>
        <w:jc w:val="both"/>
        <w:rPr>
          <w:rFonts w:asciiTheme="minorHAnsi" w:hAnsiTheme="minorHAnsi" w:cs="Arial"/>
          <w:sz w:val="22"/>
          <w:szCs w:val="22"/>
        </w:rPr>
      </w:pPr>
      <w:r w:rsidRPr="00D14613">
        <w:rPr>
          <w:rFonts w:asciiTheme="minorHAnsi" w:hAnsiTheme="minorHAnsi" w:cs="Arial"/>
          <w:sz w:val="22"/>
          <w:szCs w:val="22"/>
        </w:rPr>
        <w:t xml:space="preserve">Finalizada la asignación de las curules en cada circunscripción territorial, el Consejo Nacional Electoral o quien haga sus veces asignará al partido o movimiento político que surja del tránsito de las FARC – EP a la vida política legal las que le hicieren falta para completar un mínimo de 5 miembros electos. Para este efecto, el Consejo Nacional Electoral o quien haga sus veces ordenará en orden descendente las 5 listas inscritas para la Cámara de Representantes por dicho partido o movimiento político, en listas propias o en coalición, que hubieren alcanzado las mayores votaciones y le asignará </w:t>
      </w:r>
      <w:r w:rsidRPr="00D14613">
        <w:rPr>
          <w:rFonts w:asciiTheme="minorHAnsi" w:hAnsiTheme="minorHAnsi" w:cs="Arial"/>
          <w:sz w:val="22"/>
          <w:szCs w:val="22"/>
        </w:rPr>
        <w:lastRenderedPageBreak/>
        <w:t>una curul a las listas que no la hubieren obtenido de conformidad con las reglas ordinarias de asignación de tales curules.</w:t>
      </w:r>
    </w:p>
    <w:p w14:paraId="09F01CC4" w14:textId="77777777" w:rsidR="00A9514A" w:rsidRPr="00D14613" w:rsidRDefault="00A9514A" w:rsidP="00A9514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5B8C3217" w14:textId="77777777" w:rsidR="00A9514A" w:rsidRPr="00D14613" w:rsidRDefault="00A9514A" w:rsidP="00A9514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2C6A809C" w14:textId="77777777" w:rsidR="00A9514A" w:rsidRPr="00D14613" w:rsidRDefault="00A9514A" w:rsidP="00A9514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D14613">
        <w:rPr>
          <w:rFonts w:asciiTheme="minorHAnsi" w:hAnsiTheme="minorHAnsi" w:cs="Arial"/>
          <w:b/>
          <w:sz w:val="22"/>
          <w:szCs w:val="22"/>
        </w:rPr>
        <w:t xml:space="preserve">Artículo 2°. </w:t>
      </w:r>
      <w:r w:rsidRPr="00D14613">
        <w:rPr>
          <w:rFonts w:asciiTheme="minorHAnsi" w:hAnsiTheme="minorHAnsi" w:cs="Arial"/>
          <w:sz w:val="22"/>
          <w:szCs w:val="22"/>
        </w:rPr>
        <w:t xml:space="preserve">El presente acto legislativo rige a partir de su promulgación. </w:t>
      </w:r>
    </w:p>
    <w:p w14:paraId="4B6DC48D" w14:textId="77777777" w:rsidR="00D54DD2" w:rsidRDefault="00D54DD2" w:rsidP="00D54DD2">
      <w:pPr>
        <w:jc w:val="both"/>
        <w:rPr>
          <w:rFonts w:asciiTheme="majorHAnsi" w:eastAsia="Times New Roman" w:hAnsiTheme="majorHAnsi"/>
          <w:color w:val="000000"/>
          <w:lang w:eastAsia="es-CO"/>
        </w:rPr>
      </w:pPr>
    </w:p>
    <w:p w14:paraId="36F18C2E" w14:textId="0D75AD58" w:rsidR="00D54DD2" w:rsidRPr="00D54DD2" w:rsidRDefault="00D54DD2" w:rsidP="00D54DD2">
      <w:pPr>
        <w:jc w:val="both"/>
        <w:rPr>
          <w:rFonts w:eastAsia="Times New Roman"/>
          <w:lang w:val="es-ES" w:eastAsia="es-CO"/>
        </w:rPr>
      </w:pPr>
      <w:r w:rsidRPr="00D54DD2">
        <w:rPr>
          <w:rFonts w:eastAsia="Times New Roman"/>
          <w:color w:val="000000"/>
          <w:lang w:eastAsia="es-CO"/>
        </w:rPr>
        <w:t xml:space="preserve">En los anteriores términos fue aprobado </w:t>
      </w:r>
      <w:r>
        <w:rPr>
          <w:rFonts w:eastAsia="Times New Roman"/>
          <w:color w:val="000000"/>
          <w:lang w:eastAsia="es-CO"/>
        </w:rPr>
        <w:t xml:space="preserve">sin </w:t>
      </w:r>
      <w:r w:rsidRPr="00D54DD2">
        <w:rPr>
          <w:rFonts w:eastAsia="Times New Roman"/>
          <w:color w:val="000000"/>
          <w:lang w:eastAsia="es-CO"/>
        </w:rPr>
        <w:t>modificaciones el presente Proyecto de Acto Legislativo según consta en Acta No. 0</w:t>
      </w:r>
      <w:r>
        <w:rPr>
          <w:rFonts w:eastAsia="Times New Roman"/>
          <w:color w:val="000000"/>
          <w:lang w:eastAsia="es-CO"/>
        </w:rPr>
        <w:t>4</w:t>
      </w:r>
      <w:r w:rsidRPr="00D54DD2">
        <w:rPr>
          <w:rFonts w:eastAsia="Times New Roman"/>
          <w:color w:val="000000"/>
          <w:lang w:eastAsia="es-CO"/>
        </w:rPr>
        <w:t xml:space="preserve"> de </w:t>
      </w:r>
      <w:r>
        <w:rPr>
          <w:rFonts w:eastAsia="Times New Roman"/>
          <w:color w:val="000000"/>
          <w:lang w:eastAsia="es-CO"/>
        </w:rPr>
        <w:t xml:space="preserve">febrero 15 </w:t>
      </w:r>
      <w:r w:rsidRPr="00D54DD2">
        <w:rPr>
          <w:rFonts w:eastAsia="Times New Roman"/>
          <w:color w:val="000000"/>
          <w:lang w:eastAsia="es-CO"/>
        </w:rPr>
        <w:t xml:space="preserve">de 2017. </w:t>
      </w:r>
      <w:r w:rsidRPr="00D54DD2">
        <w:rPr>
          <w:rFonts w:eastAsia="Times New Roman"/>
          <w:color w:val="000000"/>
          <w:lang w:val="es-ES" w:eastAsia="es-CO"/>
        </w:rPr>
        <w:t>Anunciado el 1</w:t>
      </w:r>
      <w:r>
        <w:rPr>
          <w:rFonts w:eastAsia="Times New Roman"/>
          <w:color w:val="000000"/>
          <w:lang w:val="es-ES" w:eastAsia="es-CO"/>
        </w:rPr>
        <w:t xml:space="preserve">4 de febrero </w:t>
      </w:r>
      <w:r w:rsidRPr="00D54DD2">
        <w:rPr>
          <w:rFonts w:eastAsia="Times New Roman"/>
          <w:color w:val="000000"/>
          <w:lang w:val="es-ES" w:eastAsia="es-CO"/>
        </w:rPr>
        <w:t>de 2017 según consta en el Acta No. 0</w:t>
      </w:r>
      <w:r>
        <w:rPr>
          <w:rFonts w:eastAsia="Times New Roman"/>
          <w:color w:val="000000"/>
          <w:lang w:val="es-ES" w:eastAsia="es-CO"/>
        </w:rPr>
        <w:t>3</w:t>
      </w:r>
      <w:r w:rsidRPr="00D54DD2">
        <w:rPr>
          <w:rFonts w:eastAsia="Times New Roman"/>
          <w:color w:val="000000"/>
          <w:lang w:val="es-ES" w:eastAsia="es-CO"/>
        </w:rPr>
        <w:t xml:space="preserve"> de esa misma fecha.  </w:t>
      </w:r>
    </w:p>
    <w:p w14:paraId="6B9B856B" w14:textId="77777777" w:rsidR="00D54DD2" w:rsidRPr="00D54DD2" w:rsidRDefault="00D54DD2" w:rsidP="00D54DD2">
      <w:pPr>
        <w:jc w:val="both"/>
        <w:rPr>
          <w:rFonts w:eastAsia="Times New Roman"/>
          <w:color w:val="000000"/>
          <w:lang w:eastAsia="es-CO"/>
        </w:rPr>
      </w:pPr>
    </w:p>
    <w:p w14:paraId="4ABD596A" w14:textId="77777777" w:rsidR="00D54DD2" w:rsidRPr="00D54DD2" w:rsidRDefault="00D54DD2" w:rsidP="00D54DD2">
      <w:pPr>
        <w:spacing w:after="0" w:line="240" w:lineRule="auto"/>
        <w:rPr>
          <w:rFonts w:cstheme="majorHAnsi"/>
        </w:rPr>
      </w:pPr>
    </w:p>
    <w:p w14:paraId="5A19E1EC" w14:textId="77777777" w:rsidR="00D54DD2" w:rsidRPr="00D54DD2" w:rsidRDefault="00D54DD2" w:rsidP="00D54DD2">
      <w:pPr>
        <w:spacing w:after="0" w:line="240" w:lineRule="auto"/>
        <w:jc w:val="both"/>
        <w:rPr>
          <w:rFonts w:cstheme="majorHAnsi"/>
        </w:rPr>
      </w:pPr>
    </w:p>
    <w:p w14:paraId="2DFD0476" w14:textId="77777777" w:rsidR="00D54DD2" w:rsidRPr="00D54DD2" w:rsidRDefault="00D54DD2" w:rsidP="00D54DD2">
      <w:pPr>
        <w:spacing w:after="0" w:line="240" w:lineRule="auto"/>
        <w:jc w:val="both"/>
        <w:rPr>
          <w:rFonts w:cstheme="majorHAnsi"/>
          <w:b/>
        </w:rPr>
      </w:pPr>
    </w:p>
    <w:p w14:paraId="5EA0E1A8" w14:textId="6EB902D5" w:rsidR="00D54DD2" w:rsidRPr="00D54DD2" w:rsidRDefault="00D54DD2" w:rsidP="00D54DD2">
      <w:pPr>
        <w:spacing w:after="0" w:line="240" w:lineRule="auto"/>
        <w:jc w:val="both"/>
        <w:rPr>
          <w:rFonts w:cstheme="majorHAnsi"/>
          <w:b/>
        </w:rPr>
      </w:pPr>
      <w:r>
        <w:rPr>
          <w:rFonts w:cstheme="majorHAnsi"/>
          <w:b/>
        </w:rPr>
        <w:t xml:space="preserve">ELBERT DIAZ LOZANO        </w:t>
      </w:r>
      <w:r w:rsidRPr="00D54DD2">
        <w:rPr>
          <w:rFonts w:cstheme="majorHAnsi"/>
          <w:b/>
        </w:rPr>
        <w:t xml:space="preserve">                                         TELÉSFORO PEDRAZA ORTEGA</w:t>
      </w:r>
    </w:p>
    <w:p w14:paraId="5CFDCC1C" w14:textId="77777777" w:rsidR="00D54DD2" w:rsidRPr="00D54DD2" w:rsidRDefault="00D54DD2" w:rsidP="00D54DD2">
      <w:pPr>
        <w:spacing w:after="0" w:line="240" w:lineRule="auto"/>
        <w:jc w:val="both"/>
        <w:rPr>
          <w:rFonts w:cstheme="majorHAnsi"/>
        </w:rPr>
      </w:pPr>
      <w:r w:rsidRPr="00D54DD2">
        <w:rPr>
          <w:rFonts w:cstheme="majorHAnsi"/>
        </w:rPr>
        <w:t>Coordinador Ponente                                                   Presidente</w:t>
      </w:r>
    </w:p>
    <w:p w14:paraId="0F8C4576" w14:textId="77777777" w:rsidR="00D54DD2" w:rsidRDefault="00D54DD2" w:rsidP="00D54DD2">
      <w:pPr>
        <w:spacing w:after="0" w:line="240" w:lineRule="auto"/>
        <w:jc w:val="both"/>
        <w:rPr>
          <w:rFonts w:cstheme="majorHAnsi"/>
        </w:rPr>
      </w:pPr>
    </w:p>
    <w:p w14:paraId="4AAEA582" w14:textId="77777777" w:rsidR="00D54DD2" w:rsidRDefault="00D54DD2" w:rsidP="00D54DD2">
      <w:pPr>
        <w:spacing w:after="0" w:line="240" w:lineRule="auto"/>
        <w:jc w:val="both"/>
        <w:rPr>
          <w:rFonts w:cstheme="majorHAnsi"/>
        </w:rPr>
      </w:pPr>
    </w:p>
    <w:p w14:paraId="29103715" w14:textId="77777777" w:rsidR="00D54DD2" w:rsidRPr="00D54DD2" w:rsidRDefault="00D54DD2" w:rsidP="00D54DD2">
      <w:pPr>
        <w:spacing w:after="0" w:line="240" w:lineRule="auto"/>
        <w:jc w:val="both"/>
        <w:rPr>
          <w:rFonts w:cstheme="majorHAnsi"/>
        </w:rPr>
      </w:pPr>
    </w:p>
    <w:p w14:paraId="135179F1" w14:textId="77777777" w:rsidR="00D54DD2" w:rsidRPr="00D54DD2" w:rsidRDefault="00D54DD2" w:rsidP="00D54DD2">
      <w:pPr>
        <w:spacing w:after="0" w:line="240" w:lineRule="auto"/>
        <w:jc w:val="both"/>
        <w:rPr>
          <w:rFonts w:cstheme="majorHAnsi"/>
        </w:rPr>
      </w:pPr>
    </w:p>
    <w:p w14:paraId="37BFBD43" w14:textId="77777777" w:rsidR="00D54DD2" w:rsidRPr="00D54DD2" w:rsidRDefault="00D54DD2" w:rsidP="00D54DD2">
      <w:pPr>
        <w:spacing w:after="0" w:line="240" w:lineRule="auto"/>
        <w:jc w:val="both"/>
        <w:rPr>
          <w:rFonts w:cstheme="majorHAnsi"/>
          <w:b/>
        </w:rPr>
      </w:pPr>
      <w:r w:rsidRPr="00D54DD2">
        <w:rPr>
          <w:rFonts w:cstheme="majorHAnsi"/>
        </w:rPr>
        <w:t xml:space="preserve">                                       </w:t>
      </w:r>
      <w:r w:rsidRPr="00D54DD2">
        <w:rPr>
          <w:rFonts w:cstheme="majorHAnsi"/>
          <w:b/>
        </w:rPr>
        <w:t xml:space="preserve"> AMPARO YANETH CALDERÓN PERDOMO</w:t>
      </w:r>
      <w:r w:rsidRPr="00D54DD2">
        <w:rPr>
          <w:rFonts w:cstheme="majorHAnsi"/>
        </w:rPr>
        <w:t xml:space="preserve">                                                    </w:t>
      </w:r>
    </w:p>
    <w:p w14:paraId="51CC7B58" w14:textId="77777777" w:rsidR="00D54DD2" w:rsidRPr="00D54DD2" w:rsidRDefault="00D54DD2" w:rsidP="00D54DD2">
      <w:pPr>
        <w:spacing w:after="0" w:line="240" w:lineRule="auto"/>
        <w:jc w:val="both"/>
        <w:rPr>
          <w:rFonts w:cstheme="majorHAnsi"/>
        </w:rPr>
      </w:pPr>
      <w:r w:rsidRPr="00D54DD2">
        <w:rPr>
          <w:rFonts w:cstheme="majorHAnsi"/>
        </w:rPr>
        <w:t xml:space="preserve">                                                               Secretaria</w:t>
      </w:r>
    </w:p>
    <w:p w14:paraId="0CD4BBDD" w14:textId="77777777" w:rsidR="00B15DAC" w:rsidRPr="00D54DD2" w:rsidRDefault="00B15DAC" w:rsidP="00D54DD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sectPr w:rsidR="00B15DAC" w:rsidRPr="00D54DD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C1E40" w14:textId="77777777" w:rsidR="006A41A6" w:rsidRDefault="006A41A6" w:rsidP="001B5477">
      <w:pPr>
        <w:spacing w:after="0" w:line="240" w:lineRule="auto"/>
      </w:pPr>
      <w:r>
        <w:separator/>
      </w:r>
    </w:p>
  </w:endnote>
  <w:endnote w:type="continuationSeparator" w:id="0">
    <w:p w14:paraId="5078A0C8" w14:textId="77777777" w:rsidR="006A41A6" w:rsidRDefault="006A41A6" w:rsidP="001B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0442512"/>
      <w:docPartObj>
        <w:docPartGallery w:val="Page Numbers (Bottom of Page)"/>
        <w:docPartUnique/>
      </w:docPartObj>
    </w:sdtPr>
    <w:sdtEndPr/>
    <w:sdtContent>
      <w:p w14:paraId="629375E8" w14:textId="1E388B90" w:rsidR="00B249A5" w:rsidRDefault="00B249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E94" w:rsidRPr="00111E94">
          <w:rPr>
            <w:noProof/>
            <w:lang w:val="es-ES"/>
          </w:rPr>
          <w:t>4</w:t>
        </w:r>
        <w:r>
          <w:fldChar w:fldCharType="end"/>
        </w:r>
      </w:p>
    </w:sdtContent>
  </w:sdt>
  <w:p w14:paraId="03D0938F" w14:textId="77777777" w:rsidR="00B249A5" w:rsidRDefault="00B249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AD8F0" w14:textId="77777777" w:rsidR="006A41A6" w:rsidRDefault="006A41A6" w:rsidP="001B5477">
      <w:pPr>
        <w:spacing w:after="0" w:line="240" w:lineRule="auto"/>
      </w:pPr>
      <w:r>
        <w:separator/>
      </w:r>
    </w:p>
  </w:footnote>
  <w:footnote w:type="continuationSeparator" w:id="0">
    <w:p w14:paraId="2B8FA36B" w14:textId="77777777" w:rsidR="006A41A6" w:rsidRDefault="006A41A6" w:rsidP="001B5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B9D81" w14:textId="77777777" w:rsidR="00B249A5" w:rsidRDefault="00B249A5" w:rsidP="00B249A5">
    <w:pPr>
      <w:jc w:val="center"/>
    </w:pPr>
    <w:r w:rsidRPr="00E775AA">
      <w:rPr>
        <w:b/>
      </w:rPr>
      <w:fldChar w:fldCharType="begin"/>
    </w:r>
    <w:r w:rsidRPr="00E775AA">
      <w:rPr>
        <w:b/>
      </w:rPr>
      <w:instrText xml:space="preserve"> INCLUDEPICTURE "http://entrecomillas.com.co/wp-content/uploads/2014/09/logo_20congreso_1.png" \* MERGEFORMATINET </w:instrText>
    </w:r>
    <w:r w:rsidRPr="00E775AA">
      <w:rPr>
        <w:b/>
      </w:rPr>
      <w:fldChar w:fldCharType="separate"/>
    </w:r>
    <w:r>
      <w:rPr>
        <w:b/>
      </w:rPr>
      <w:fldChar w:fldCharType="begin"/>
    </w:r>
    <w:r>
      <w:rPr>
        <w:b/>
      </w:rPr>
      <w:instrText xml:space="preserve"> INCLUDEPICTURE  "http://entrecomillas.com.co/wp-content/uploads/2014/09/logo_20congreso_1.png" \* MERGEFORMATINET </w:instrText>
    </w:r>
    <w:r>
      <w:rPr>
        <w:b/>
      </w:rPr>
      <w:fldChar w:fldCharType="separate"/>
    </w:r>
    <w:r w:rsidR="006A41A6">
      <w:rPr>
        <w:b/>
      </w:rPr>
      <w:fldChar w:fldCharType="begin"/>
    </w:r>
    <w:r w:rsidR="006A41A6">
      <w:rPr>
        <w:b/>
      </w:rPr>
      <w:instrText xml:space="preserve"> </w:instrText>
    </w:r>
    <w:r w:rsidR="006A41A6">
      <w:rPr>
        <w:b/>
      </w:rPr>
      <w:instrText>INCLUDEPICTURE  "http://en</w:instrText>
    </w:r>
    <w:r w:rsidR="006A41A6">
      <w:rPr>
        <w:b/>
      </w:rPr>
      <w:instrText>trecomillas.com.co/wp-content/uploads/2014/09/logo_20congreso_1.png" \* MERGEFORMATINET</w:instrText>
    </w:r>
    <w:r w:rsidR="006A41A6">
      <w:rPr>
        <w:b/>
      </w:rPr>
      <w:instrText xml:space="preserve"> </w:instrText>
    </w:r>
    <w:r w:rsidR="006A41A6">
      <w:rPr>
        <w:b/>
      </w:rPr>
      <w:fldChar w:fldCharType="separate"/>
    </w:r>
    <w:r w:rsidR="006A41A6">
      <w:rPr>
        <w:b/>
      </w:rPr>
      <w:pict w14:anchorId="12BD1C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rc_mi" o:spid="_x0000_i1025" type="#_x0000_t75" style="width:269.2pt;height:69.5pt">
          <v:imagedata r:id="rId1" r:href="rId2"/>
        </v:shape>
      </w:pict>
    </w:r>
    <w:r w:rsidR="006A41A6">
      <w:rPr>
        <w:b/>
      </w:rPr>
      <w:fldChar w:fldCharType="end"/>
    </w:r>
    <w:r>
      <w:rPr>
        <w:b/>
      </w:rPr>
      <w:fldChar w:fldCharType="end"/>
    </w:r>
    <w:r w:rsidRPr="00E775AA">
      <w:rPr>
        <w:b/>
      </w:rPr>
      <w:fldChar w:fldCharType="end"/>
    </w:r>
  </w:p>
  <w:p w14:paraId="70A8C5A8" w14:textId="77777777" w:rsidR="00B249A5" w:rsidRDefault="00B249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E5DFA"/>
    <w:multiLevelType w:val="hybridMultilevel"/>
    <w:tmpl w:val="8C24BB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A2844"/>
    <w:multiLevelType w:val="hybridMultilevel"/>
    <w:tmpl w:val="4DF898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655F5"/>
    <w:multiLevelType w:val="hybridMultilevel"/>
    <w:tmpl w:val="F5D446D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A81901"/>
    <w:multiLevelType w:val="hybridMultilevel"/>
    <w:tmpl w:val="3D32F22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0E38B1"/>
    <w:multiLevelType w:val="hybridMultilevel"/>
    <w:tmpl w:val="DD34B5E6"/>
    <w:lvl w:ilvl="0" w:tplc="3D2C4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A22F9"/>
    <w:multiLevelType w:val="hybridMultilevel"/>
    <w:tmpl w:val="E84C6B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847"/>
    <w:multiLevelType w:val="hybridMultilevel"/>
    <w:tmpl w:val="8C24BB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02591"/>
    <w:multiLevelType w:val="hybridMultilevel"/>
    <w:tmpl w:val="C870F6E2"/>
    <w:lvl w:ilvl="0" w:tplc="D56E743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A93023"/>
    <w:multiLevelType w:val="hybridMultilevel"/>
    <w:tmpl w:val="DD3E3246"/>
    <w:lvl w:ilvl="0" w:tplc="97AAD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0E"/>
    <w:rsid w:val="0004231D"/>
    <w:rsid w:val="00081CF6"/>
    <w:rsid w:val="00084633"/>
    <w:rsid w:val="000B710D"/>
    <w:rsid w:val="000D0DBA"/>
    <w:rsid w:val="000E6D15"/>
    <w:rsid w:val="00111E94"/>
    <w:rsid w:val="00133556"/>
    <w:rsid w:val="0014105F"/>
    <w:rsid w:val="00171905"/>
    <w:rsid w:val="001B5477"/>
    <w:rsid w:val="00233DE4"/>
    <w:rsid w:val="002C0D4F"/>
    <w:rsid w:val="00345F7E"/>
    <w:rsid w:val="003558DD"/>
    <w:rsid w:val="003A2A88"/>
    <w:rsid w:val="004B096B"/>
    <w:rsid w:val="004B1EEE"/>
    <w:rsid w:val="004B407F"/>
    <w:rsid w:val="004D268C"/>
    <w:rsid w:val="004E45B2"/>
    <w:rsid w:val="005145C9"/>
    <w:rsid w:val="00534467"/>
    <w:rsid w:val="0054024D"/>
    <w:rsid w:val="00572F43"/>
    <w:rsid w:val="00586084"/>
    <w:rsid w:val="00591AEE"/>
    <w:rsid w:val="005F279C"/>
    <w:rsid w:val="00633C78"/>
    <w:rsid w:val="006A41A6"/>
    <w:rsid w:val="006B534F"/>
    <w:rsid w:val="006E2BEA"/>
    <w:rsid w:val="0071023D"/>
    <w:rsid w:val="00750F46"/>
    <w:rsid w:val="00785D6A"/>
    <w:rsid w:val="008161D9"/>
    <w:rsid w:val="008326F1"/>
    <w:rsid w:val="00864243"/>
    <w:rsid w:val="0089000B"/>
    <w:rsid w:val="008A08D6"/>
    <w:rsid w:val="008A7167"/>
    <w:rsid w:val="008E405B"/>
    <w:rsid w:val="00900DA7"/>
    <w:rsid w:val="0092181B"/>
    <w:rsid w:val="00974D85"/>
    <w:rsid w:val="009A24AC"/>
    <w:rsid w:val="009B19E4"/>
    <w:rsid w:val="009C5DF2"/>
    <w:rsid w:val="009E04B3"/>
    <w:rsid w:val="009F31F3"/>
    <w:rsid w:val="00A07959"/>
    <w:rsid w:val="00A9514A"/>
    <w:rsid w:val="00B15DAC"/>
    <w:rsid w:val="00B249A5"/>
    <w:rsid w:val="00BA0E1D"/>
    <w:rsid w:val="00C0195D"/>
    <w:rsid w:val="00C22258"/>
    <w:rsid w:val="00C34140"/>
    <w:rsid w:val="00CD2F2B"/>
    <w:rsid w:val="00CE6609"/>
    <w:rsid w:val="00CF5DE3"/>
    <w:rsid w:val="00D01C79"/>
    <w:rsid w:val="00D13542"/>
    <w:rsid w:val="00D46D21"/>
    <w:rsid w:val="00D54DD2"/>
    <w:rsid w:val="00D80A8A"/>
    <w:rsid w:val="00D94557"/>
    <w:rsid w:val="00E33B9C"/>
    <w:rsid w:val="00E8170E"/>
    <w:rsid w:val="00E86A39"/>
    <w:rsid w:val="00EA0FA1"/>
    <w:rsid w:val="00F45E9E"/>
    <w:rsid w:val="00FD28D6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90F790"/>
  <w15:docId w15:val="{958943AA-D067-42F0-A765-0AD2AFD4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B547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B547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B5477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E86A39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A08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8D6"/>
  </w:style>
  <w:style w:type="paragraph" w:styleId="Piedepgina">
    <w:name w:val="footer"/>
    <w:basedOn w:val="Normal"/>
    <w:link w:val="PiedepginaCar"/>
    <w:uiPriority w:val="99"/>
    <w:unhideWhenUsed/>
    <w:rsid w:val="008A08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8D6"/>
  </w:style>
  <w:style w:type="paragraph" w:styleId="NormalWeb">
    <w:name w:val="Normal (Web)"/>
    <w:basedOn w:val="Normal"/>
    <w:uiPriority w:val="99"/>
    <w:unhideWhenUsed/>
    <w:rsid w:val="009A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92181B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locked/>
    <w:rsid w:val="0092181B"/>
  </w:style>
  <w:style w:type="paragraph" w:styleId="Textodeglobo">
    <w:name w:val="Balloon Text"/>
    <w:basedOn w:val="Normal"/>
    <w:link w:val="TextodegloboCar"/>
    <w:uiPriority w:val="99"/>
    <w:semiHidden/>
    <w:unhideWhenUsed/>
    <w:rsid w:val="00FD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ntrecomillas.com.co/wp-content/uploads/2014/09/logo_20congreso_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9125E-EF5C-4F6A-B4A6-5048A7B9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1317</Words>
  <Characters>7246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Cris3 GIRALDA</dc:creator>
  <cp:lastModifiedBy>admin</cp:lastModifiedBy>
  <cp:revision>2</cp:revision>
  <cp:lastPrinted>2017-02-09T13:24:00Z</cp:lastPrinted>
  <dcterms:created xsi:type="dcterms:W3CDTF">2017-02-16T19:18:00Z</dcterms:created>
  <dcterms:modified xsi:type="dcterms:W3CDTF">2017-02-16T19:18:00Z</dcterms:modified>
</cp:coreProperties>
</file>