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955" w:rsidRPr="00EA2E07" w:rsidRDefault="007E73D7" w:rsidP="009658BC">
      <w:pPr>
        <w:spacing w:after="0" w:line="240" w:lineRule="auto"/>
        <w:jc w:val="both"/>
        <w:rPr>
          <w:rFonts w:ascii="Arial" w:hAnsi="Arial" w:cs="Arial"/>
          <w:sz w:val="24"/>
          <w:szCs w:val="24"/>
          <w:lang w:val="es-ES_tradnl"/>
        </w:rPr>
      </w:pPr>
      <w:r w:rsidRPr="00EA2E07">
        <w:rPr>
          <w:rFonts w:ascii="Arial" w:hAnsi="Arial" w:cs="Arial"/>
          <w:sz w:val="24"/>
          <w:szCs w:val="24"/>
          <w:lang w:val="es-ES_tradnl"/>
        </w:rPr>
        <w:t>Bogotá D.C</w:t>
      </w:r>
      <w:r w:rsidR="005C75F1">
        <w:rPr>
          <w:rFonts w:ascii="Arial" w:hAnsi="Arial" w:cs="Arial"/>
          <w:sz w:val="24"/>
          <w:szCs w:val="24"/>
          <w:lang w:val="es-ES_tradnl"/>
        </w:rPr>
        <w:t xml:space="preserve">, </w:t>
      </w:r>
      <w:r w:rsidR="008309F3">
        <w:rPr>
          <w:rFonts w:ascii="Arial" w:hAnsi="Arial" w:cs="Arial"/>
          <w:sz w:val="24"/>
          <w:szCs w:val="24"/>
          <w:lang w:val="es-ES_tradnl"/>
        </w:rPr>
        <w:t>08 de Junio</w:t>
      </w:r>
      <w:r w:rsidR="009658BC" w:rsidRPr="00EA2E07">
        <w:rPr>
          <w:rFonts w:ascii="Arial" w:hAnsi="Arial" w:cs="Arial"/>
          <w:sz w:val="24"/>
          <w:szCs w:val="24"/>
          <w:lang w:val="es-ES_tradnl"/>
        </w:rPr>
        <w:t xml:space="preserve"> de 201</w:t>
      </w:r>
      <w:r w:rsidR="00C26F2E">
        <w:rPr>
          <w:rFonts w:ascii="Arial" w:hAnsi="Arial" w:cs="Arial"/>
          <w:sz w:val="24"/>
          <w:szCs w:val="24"/>
          <w:lang w:val="es-ES_tradnl"/>
        </w:rPr>
        <w:t>6</w:t>
      </w:r>
      <w:bookmarkStart w:id="0" w:name="_GoBack"/>
      <w:bookmarkEnd w:id="0"/>
    </w:p>
    <w:p w:rsidR="009658BC" w:rsidRPr="00EA2E07" w:rsidRDefault="009658BC" w:rsidP="009658BC">
      <w:pPr>
        <w:spacing w:after="0" w:line="240" w:lineRule="auto"/>
        <w:jc w:val="both"/>
        <w:rPr>
          <w:rFonts w:ascii="Arial" w:hAnsi="Arial" w:cs="Arial"/>
          <w:lang w:val="es-ES_tradnl"/>
        </w:rPr>
      </w:pPr>
    </w:p>
    <w:p w:rsidR="00553955" w:rsidRDefault="00553955" w:rsidP="005E61BF">
      <w:pPr>
        <w:pStyle w:val="Sinespaciado1"/>
        <w:jc w:val="both"/>
        <w:rPr>
          <w:rFonts w:ascii="Arial" w:hAnsi="Arial" w:cs="Arial"/>
          <w:lang w:val="es-ES_tradnl"/>
        </w:rPr>
      </w:pPr>
    </w:p>
    <w:p w:rsidR="005C75F1" w:rsidRPr="00EA2E07" w:rsidRDefault="005C75F1" w:rsidP="005E61BF">
      <w:pPr>
        <w:pStyle w:val="Sinespaciado1"/>
        <w:jc w:val="both"/>
        <w:rPr>
          <w:rFonts w:ascii="Arial" w:hAnsi="Arial" w:cs="Arial"/>
          <w:lang w:val="es-ES_tradnl"/>
        </w:rPr>
      </w:pPr>
    </w:p>
    <w:p w:rsidR="007E73D7" w:rsidRPr="00EA2E07" w:rsidRDefault="007E73D7" w:rsidP="005E61BF">
      <w:pPr>
        <w:pStyle w:val="Sinespaciado1"/>
        <w:jc w:val="both"/>
        <w:rPr>
          <w:rFonts w:ascii="Arial" w:hAnsi="Arial" w:cs="Arial"/>
          <w:lang w:val="es-ES_tradnl"/>
        </w:rPr>
      </w:pPr>
      <w:r w:rsidRPr="00EA2E07">
        <w:rPr>
          <w:rFonts w:ascii="Arial" w:hAnsi="Arial" w:cs="Arial"/>
          <w:lang w:val="es-ES_tradnl"/>
        </w:rPr>
        <w:t>Doctor</w:t>
      </w:r>
    </w:p>
    <w:p w:rsidR="007E73D7" w:rsidRPr="00EA2E07" w:rsidRDefault="00C26F2E" w:rsidP="005E61BF">
      <w:pPr>
        <w:pStyle w:val="Sinespaciado1"/>
        <w:jc w:val="both"/>
        <w:rPr>
          <w:rFonts w:ascii="Arial" w:hAnsi="Arial" w:cs="Arial"/>
          <w:lang w:val="es-ES_tradnl"/>
        </w:rPr>
      </w:pPr>
      <w:r>
        <w:rPr>
          <w:rFonts w:ascii="Arial" w:hAnsi="Arial" w:cs="Arial"/>
          <w:lang w:val="es-ES_tradnl"/>
        </w:rPr>
        <w:t>MIGUEL ANGEL PINTO</w:t>
      </w:r>
    </w:p>
    <w:p w:rsidR="007E73D7" w:rsidRPr="00EA2E07" w:rsidRDefault="007E73D7" w:rsidP="005E61BF">
      <w:pPr>
        <w:pStyle w:val="Sinespaciado1"/>
        <w:jc w:val="both"/>
        <w:rPr>
          <w:rFonts w:ascii="Arial" w:hAnsi="Arial" w:cs="Arial"/>
          <w:b/>
          <w:lang w:val="es-ES_tradnl"/>
        </w:rPr>
      </w:pPr>
      <w:r w:rsidRPr="00EA2E07">
        <w:rPr>
          <w:rFonts w:ascii="Arial" w:hAnsi="Arial" w:cs="Arial"/>
          <w:b/>
          <w:lang w:val="es-ES_tradnl"/>
        </w:rPr>
        <w:t>PRESIDENTE</w:t>
      </w:r>
    </w:p>
    <w:p w:rsidR="007E73D7" w:rsidRPr="00EA2E07" w:rsidRDefault="007E73D7" w:rsidP="005E61BF">
      <w:pPr>
        <w:pStyle w:val="Sinespaciado1"/>
        <w:jc w:val="both"/>
        <w:rPr>
          <w:rFonts w:ascii="Arial" w:hAnsi="Arial" w:cs="Arial"/>
          <w:lang w:val="es-ES_tradnl"/>
        </w:rPr>
      </w:pPr>
      <w:r w:rsidRPr="00EA2E07">
        <w:rPr>
          <w:rFonts w:ascii="Arial" w:hAnsi="Arial" w:cs="Arial"/>
          <w:lang w:val="es-ES_tradnl"/>
        </w:rPr>
        <w:t xml:space="preserve">Comisión Primera Constitucional Permanente </w:t>
      </w:r>
    </w:p>
    <w:p w:rsidR="007E73D7" w:rsidRDefault="00C26F2E" w:rsidP="005E61BF">
      <w:pPr>
        <w:pStyle w:val="Sinespaciado1"/>
        <w:jc w:val="both"/>
        <w:rPr>
          <w:rFonts w:ascii="Arial" w:hAnsi="Arial" w:cs="Arial"/>
          <w:lang w:val="es-ES_tradnl"/>
        </w:rPr>
      </w:pPr>
      <w:r>
        <w:rPr>
          <w:rFonts w:ascii="Arial" w:hAnsi="Arial" w:cs="Arial"/>
          <w:lang w:val="es-ES_tradnl"/>
        </w:rPr>
        <w:t>Cámara de Representantes</w:t>
      </w:r>
    </w:p>
    <w:p w:rsidR="00C26F2E" w:rsidRPr="00EA2E07" w:rsidRDefault="00C26F2E" w:rsidP="005E61BF">
      <w:pPr>
        <w:pStyle w:val="Sinespaciado1"/>
        <w:jc w:val="both"/>
        <w:rPr>
          <w:rFonts w:ascii="Arial" w:hAnsi="Arial" w:cs="Arial"/>
          <w:lang w:val="es-ES_tradnl"/>
        </w:rPr>
      </w:pPr>
      <w:r>
        <w:rPr>
          <w:rFonts w:ascii="Arial" w:hAnsi="Arial" w:cs="Arial"/>
          <w:lang w:val="es-ES_tradnl"/>
        </w:rPr>
        <w:t>Congreso de la República</w:t>
      </w:r>
    </w:p>
    <w:p w:rsidR="009E69CD" w:rsidRPr="00EA2E07" w:rsidRDefault="007E73D7" w:rsidP="005E61BF">
      <w:pPr>
        <w:pStyle w:val="Sinespaciado1"/>
        <w:jc w:val="both"/>
        <w:rPr>
          <w:rFonts w:ascii="Arial" w:hAnsi="Arial" w:cs="Arial"/>
          <w:lang w:val="es-ES_tradnl"/>
        </w:rPr>
      </w:pPr>
      <w:r w:rsidRPr="00EA2E07">
        <w:rPr>
          <w:rFonts w:ascii="Arial" w:hAnsi="Arial" w:cs="Arial"/>
          <w:lang w:val="es-ES_tradnl"/>
        </w:rPr>
        <w:t>Ciudad</w:t>
      </w:r>
      <w:r w:rsidR="009E69CD" w:rsidRPr="00EA2E07">
        <w:rPr>
          <w:rFonts w:ascii="Arial" w:hAnsi="Arial" w:cs="Arial"/>
          <w:lang w:val="es-ES_tradnl"/>
        </w:rPr>
        <w:t xml:space="preserve">, </w:t>
      </w:r>
    </w:p>
    <w:p w:rsidR="007E73D7" w:rsidRDefault="007E73D7" w:rsidP="005E61BF">
      <w:pPr>
        <w:pStyle w:val="Sinespaciado1"/>
        <w:jc w:val="both"/>
        <w:rPr>
          <w:rFonts w:ascii="Arial" w:hAnsi="Arial" w:cs="Arial"/>
          <w:lang w:val="es-ES_tradnl"/>
        </w:rPr>
      </w:pPr>
      <w:r w:rsidRPr="00EA2E07">
        <w:rPr>
          <w:rFonts w:ascii="Arial" w:hAnsi="Arial" w:cs="Arial"/>
          <w:lang w:val="es-ES_tradnl"/>
        </w:rPr>
        <w:t xml:space="preserve"> </w:t>
      </w:r>
    </w:p>
    <w:p w:rsidR="005C75F1" w:rsidRPr="00EA2E07" w:rsidRDefault="005C75F1" w:rsidP="005E61BF">
      <w:pPr>
        <w:pStyle w:val="Sinespaciado1"/>
        <w:jc w:val="both"/>
        <w:rPr>
          <w:rFonts w:ascii="Arial" w:hAnsi="Arial" w:cs="Arial"/>
          <w:lang w:val="es-ES_tradnl"/>
        </w:rPr>
      </w:pPr>
    </w:p>
    <w:p w:rsidR="00553955" w:rsidRPr="00EA2E07" w:rsidRDefault="00553955" w:rsidP="005E61BF">
      <w:pPr>
        <w:pStyle w:val="Sinespaciado1"/>
        <w:jc w:val="both"/>
        <w:rPr>
          <w:rFonts w:ascii="Arial" w:hAnsi="Arial" w:cs="Arial"/>
          <w:lang w:val="es-ES_tradnl"/>
        </w:rPr>
      </w:pPr>
    </w:p>
    <w:p w:rsidR="00553955" w:rsidRPr="00EA2E07" w:rsidRDefault="007E73D7" w:rsidP="005E61BF">
      <w:pPr>
        <w:spacing w:after="0" w:line="240" w:lineRule="auto"/>
        <w:ind w:left="708"/>
        <w:jc w:val="both"/>
        <w:rPr>
          <w:rFonts w:ascii="Arial" w:hAnsi="Arial" w:cs="Arial"/>
          <w:sz w:val="24"/>
          <w:szCs w:val="24"/>
          <w:lang w:val="es-ES_tradnl"/>
        </w:rPr>
      </w:pPr>
      <w:r w:rsidRPr="00EA2E07">
        <w:rPr>
          <w:rFonts w:ascii="Arial" w:hAnsi="Arial" w:cs="Arial"/>
          <w:sz w:val="24"/>
          <w:szCs w:val="24"/>
          <w:lang w:val="es-ES_tradnl"/>
        </w:rPr>
        <w:t xml:space="preserve">REF: Informe de Ponencia para </w:t>
      </w:r>
      <w:r w:rsidR="00A21D77">
        <w:rPr>
          <w:rFonts w:ascii="Arial" w:hAnsi="Arial" w:cs="Arial"/>
          <w:sz w:val="24"/>
          <w:szCs w:val="24"/>
          <w:lang w:val="es-ES_tradnl"/>
        </w:rPr>
        <w:t>primer</w:t>
      </w:r>
      <w:r w:rsidRPr="00EA2E07">
        <w:rPr>
          <w:rFonts w:ascii="Arial" w:hAnsi="Arial" w:cs="Arial"/>
          <w:sz w:val="24"/>
          <w:szCs w:val="24"/>
          <w:lang w:val="es-ES_tradnl"/>
        </w:rPr>
        <w:t xml:space="preserve"> debate Proyecto de Ley No. </w:t>
      </w:r>
      <w:r w:rsidR="007D5C33" w:rsidRPr="00EA2E07">
        <w:rPr>
          <w:rFonts w:ascii="Arial" w:hAnsi="Arial" w:cs="Arial"/>
          <w:sz w:val="24"/>
          <w:szCs w:val="24"/>
          <w:lang w:val="es-ES_tradnl"/>
        </w:rPr>
        <w:t>048 de 2015</w:t>
      </w:r>
      <w:r w:rsidR="00C26F2E">
        <w:rPr>
          <w:rFonts w:ascii="Arial" w:hAnsi="Arial" w:cs="Arial"/>
          <w:sz w:val="24"/>
          <w:szCs w:val="24"/>
          <w:lang w:val="es-ES_tradnl"/>
        </w:rPr>
        <w:t xml:space="preserve"> Senado 171 de 2015 Cámara</w:t>
      </w:r>
      <w:r w:rsidR="007D5C33" w:rsidRPr="00EA2E07">
        <w:rPr>
          <w:rFonts w:ascii="Arial" w:hAnsi="Arial" w:cs="Arial"/>
          <w:sz w:val="24"/>
          <w:szCs w:val="24"/>
          <w:lang w:val="es-ES_tradnl"/>
        </w:rPr>
        <w:t xml:space="preserve"> </w:t>
      </w:r>
      <w:r w:rsidR="009155FB" w:rsidRPr="00EA2E07">
        <w:rPr>
          <w:rFonts w:ascii="Arial" w:hAnsi="Arial" w:cs="Arial"/>
          <w:sz w:val="24"/>
          <w:szCs w:val="24"/>
          <w:lang w:val="es-ES_tradnl"/>
        </w:rPr>
        <w:t>“</w:t>
      </w:r>
      <w:r w:rsidR="009155FB" w:rsidRPr="00EA2E07">
        <w:rPr>
          <w:rFonts w:ascii="Arial" w:hAnsi="Arial" w:cs="Arial"/>
          <w:i/>
          <w:sz w:val="24"/>
          <w:szCs w:val="24"/>
          <w:lang w:val="es-ES_tradnl"/>
        </w:rPr>
        <w:t>Por medio de la cual se definen las contravenciones penales, se establece un procedimiento especial abreviado para ellas y se regula la figura del acusador privado</w:t>
      </w:r>
      <w:r w:rsidR="009155FB" w:rsidRPr="00EA2E07">
        <w:rPr>
          <w:rFonts w:ascii="Arial" w:hAnsi="Arial" w:cs="Arial"/>
          <w:sz w:val="24"/>
          <w:szCs w:val="24"/>
          <w:lang w:val="es-ES_tradnl"/>
        </w:rPr>
        <w:t>”.</w:t>
      </w:r>
      <w:r w:rsidR="009155FB" w:rsidRPr="00EA2E07">
        <w:rPr>
          <w:rFonts w:ascii="Arial" w:hAnsi="Arial" w:cs="Arial"/>
          <w:sz w:val="24"/>
          <w:szCs w:val="24"/>
          <w:lang w:val="es-ES_tradnl"/>
        </w:rPr>
        <w:cr/>
      </w:r>
    </w:p>
    <w:p w:rsidR="007E73D7" w:rsidRPr="00EA2E07" w:rsidRDefault="00553955" w:rsidP="005E61BF">
      <w:pPr>
        <w:pStyle w:val="Listavistosa-nfasis11"/>
        <w:pBdr>
          <w:top w:val="single" w:sz="4" w:space="1" w:color="auto"/>
          <w:left w:val="single" w:sz="4" w:space="5" w:color="auto"/>
          <w:bottom w:val="single" w:sz="4" w:space="1" w:color="auto"/>
          <w:right w:val="single" w:sz="4" w:space="4" w:color="auto"/>
        </w:pBdr>
        <w:spacing w:after="0" w:line="240" w:lineRule="auto"/>
        <w:jc w:val="center"/>
        <w:rPr>
          <w:rFonts w:ascii="Arial" w:hAnsi="Arial" w:cs="Arial"/>
          <w:b/>
          <w:lang w:val="es-ES_tradnl"/>
        </w:rPr>
      </w:pPr>
      <w:r w:rsidRPr="00EA2E07">
        <w:rPr>
          <w:rFonts w:ascii="Arial" w:hAnsi="Arial" w:cs="Arial"/>
          <w:b/>
          <w:lang w:val="es-ES_tradnl"/>
        </w:rPr>
        <w:t>SÍ</w:t>
      </w:r>
      <w:r w:rsidR="007E73D7" w:rsidRPr="00EA2E07">
        <w:rPr>
          <w:rFonts w:ascii="Arial" w:hAnsi="Arial" w:cs="Arial"/>
          <w:b/>
          <w:lang w:val="es-ES_tradnl"/>
        </w:rPr>
        <w:t xml:space="preserve">NTESIS DEL PROYECTO                                          </w:t>
      </w:r>
    </w:p>
    <w:p w:rsidR="009E69CD" w:rsidRPr="00EA2E07" w:rsidRDefault="009E69CD" w:rsidP="005E61BF">
      <w:pPr>
        <w:spacing w:after="0" w:line="240" w:lineRule="auto"/>
        <w:ind w:left="708"/>
        <w:jc w:val="both"/>
        <w:rPr>
          <w:rFonts w:ascii="Arial" w:hAnsi="Arial" w:cs="Arial"/>
          <w:sz w:val="24"/>
          <w:szCs w:val="24"/>
        </w:rPr>
      </w:pPr>
    </w:p>
    <w:p w:rsidR="007D5C33" w:rsidRPr="00EA2E07" w:rsidRDefault="002C4D49" w:rsidP="007D5C33">
      <w:pPr>
        <w:spacing w:after="0" w:line="240" w:lineRule="auto"/>
        <w:ind w:left="708"/>
        <w:jc w:val="both"/>
        <w:rPr>
          <w:rFonts w:ascii="Arial" w:hAnsi="Arial" w:cs="Arial"/>
          <w:sz w:val="24"/>
          <w:szCs w:val="24"/>
        </w:rPr>
      </w:pPr>
      <w:r w:rsidRPr="00EA2E07">
        <w:rPr>
          <w:rFonts w:ascii="Arial" w:hAnsi="Arial" w:cs="Arial"/>
          <w:sz w:val="24"/>
          <w:szCs w:val="24"/>
        </w:rPr>
        <w:t>A tr</w:t>
      </w:r>
      <w:r w:rsidR="008F321B" w:rsidRPr="00EA2E07">
        <w:rPr>
          <w:rFonts w:ascii="Arial" w:hAnsi="Arial" w:cs="Arial"/>
          <w:sz w:val="24"/>
          <w:szCs w:val="24"/>
        </w:rPr>
        <w:t>avés de e</w:t>
      </w:r>
      <w:r w:rsidR="007D5C33" w:rsidRPr="00EA2E07">
        <w:rPr>
          <w:rFonts w:ascii="Arial" w:hAnsi="Arial" w:cs="Arial"/>
          <w:sz w:val="24"/>
          <w:szCs w:val="24"/>
        </w:rPr>
        <w:t xml:space="preserve">ste Proyecto de Ley: </w:t>
      </w:r>
    </w:p>
    <w:p w:rsidR="007D5C33" w:rsidRPr="00EA2E07" w:rsidRDefault="007D5C33" w:rsidP="007D5C33">
      <w:pPr>
        <w:spacing w:after="0" w:line="240" w:lineRule="auto"/>
        <w:ind w:left="708"/>
        <w:jc w:val="both"/>
        <w:rPr>
          <w:rFonts w:ascii="Arial" w:hAnsi="Arial" w:cs="Arial"/>
          <w:sz w:val="24"/>
          <w:szCs w:val="24"/>
        </w:rPr>
      </w:pPr>
    </w:p>
    <w:p w:rsidR="007D5C33" w:rsidRPr="00EA2E07" w:rsidRDefault="007D5C33" w:rsidP="00F82A53">
      <w:pPr>
        <w:spacing w:after="0" w:line="240" w:lineRule="auto"/>
        <w:ind w:left="1416"/>
        <w:jc w:val="both"/>
        <w:rPr>
          <w:rFonts w:ascii="Arial" w:hAnsi="Arial" w:cs="Arial"/>
          <w:sz w:val="24"/>
          <w:szCs w:val="24"/>
        </w:rPr>
      </w:pPr>
      <w:r w:rsidRPr="00EA2E07">
        <w:rPr>
          <w:rFonts w:ascii="Arial" w:hAnsi="Arial" w:cs="Arial"/>
          <w:sz w:val="24"/>
          <w:szCs w:val="24"/>
        </w:rPr>
        <w:t xml:space="preserve">1. </w:t>
      </w:r>
      <w:r w:rsidR="00F82A53" w:rsidRPr="00EA2E07">
        <w:rPr>
          <w:rFonts w:ascii="Arial" w:hAnsi="Arial" w:cs="Arial"/>
          <w:sz w:val="24"/>
          <w:szCs w:val="24"/>
        </w:rPr>
        <w:t>Se desarrolla la categoría de contravenciones como conduc</w:t>
      </w:r>
      <w:r w:rsidR="008F321B" w:rsidRPr="00EA2E07">
        <w:rPr>
          <w:rFonts w:ascii="Arial" w:hAnsi="Arial" w:cs="Arial"/>
          <w:sz w:val="24"/>
          <w:szCs w:val="24"/>
        </w:rPr>
        <w:t>tas punibles de menor lesividad y se incluyen dentro de ella</w:t>
      </w:r>
      <w:r w:rsidR="00F82A53" w:rsidRPr="00EA2E07">
        <w:rPr>
          <w:rFonts w:ascii="Arial" w:hAnsi="Arial" w:cs="Arial"/>
          <w:sz w:val="24"/>
          <w:szCs w:val="24"/>
        </w:rPr>
        <w:t xml:space="preserve"> </w:t>
      </w:r>
      <w:r w:rsidR="008F321B" w:rsidRPr="00EA2E07">
        <w:rPr>
          <w:rFonts w:ascii="Arial" w:hAnsi="Arial" w:cs="Arial"/>
          <w:sz w:val="24"/>
          <w:szCs w:val="24"/>
        </w:rPr>
        <w:t>el conjunto de conductas que actualmente requieren querella para el inicio de la acción penal</w:t>
      </w:r>
      <w:r w:rsidR="00F82A53" w:rsidRPr="00EA2E07">
        <w:rPr>
          <w:rFonts w:ascii="Arial" w:hAnsi="Arial" w:cs="Arial"/>
          <w:sz w:val="24"/>
          <w:szCs w:val="24"/>
        </w:rPr>
        <w:t>.</w:t>
      </w:r>
    </w:p>
    <w:p w:rsidR="00F82A53" w:rsidRPr="00EA2E07" w:rsidRDefault="007D5C33" w:rsidP="007D5C33">
      <w:pPr>
        <w:spacing w:after="0" w:line="240" w:lineRule="auto"/>
        <w:ind w:left="1416"/>
        <w:jc w:val="both"/>
        <w:rPr>
          <w:rFonts w:ascii="Arial" w:hAnsi="Arial" w:cs="Arial"/>
          <w:sz w:val="24"/>
          <w:szCs w:val="24"/>
        </w:rPr>
      </w:pPr>
      <w:r w:rsidRPr="00EA2E07">
        <w:rPr>
          <w:rFonts w:ascii="Arial" w:hAnsi="Arial" w:cs="Arial"/>
          <w:sz w:val="24"/>
          <w:szCs w:val="24"/>
        </w:rPr>
        <w:t xml:space="preserve">2. Se define </w:t>
      </w:r>
      <w:r w:rsidR="00F82A53" w:rsidRPr="00EA2E07">
        <w:rPr>
          <w:rFonts w:ascii="Arial" w:hAnsi="Arial" w:cs="Arial"/>
          <w:sz w:val="24"/>
          <w:szCs w:val="24"/>
        </w:rPr>
        <w:t>un procedimiento especial abreviado para las contravenciones</w:t>
      </w:r>
      <w:r w:rsidR="00C26F2E">
        <w:rPr>
          <w:rFonts w:ascii="Arial" w:hAnsi="Arial" w:cs="Arial"/>
          <w:sz w:val="24"/>
          <w:szCs w:val="24"/>
        </w:rPr>
        <w:t xml:space="preserve"> y algunos delitos</w:t>
      </w:r>
      <w:r w:rsidR="00F82A53" w:rsidRPr="00EA2E07">
        <w:rPr>
          <w:rFonts w:ascii="Arial" w:hAnsi="Arial" w:cs="Arial"/>
          <w:sz w:val="24"/>
          <w:szCs w:val="24"/>
        </w:rPr>
        <w:t xml:space="preserve"> que consta de dos audiencias principales.</w:t>
      </w:r>
    </w:p>
    <w:p w:rsidR="007E73D7" w:rsidRPr="00EA2E07" w:rsidRDefault="007D5C33" w:rsidP="007D5C33">
      <w:pPr>
        <w:spacing w:after="0" w:line="240" w:lineRule="auto"/>
        <w:ind w:left="1416"/>
        <w:jc w:val="both"/>
        <w:rPr>
          <w:rFonts w:ascii="Arial" w:hAnsi="Arial" w:cs="Arial"/>
          <w:sz w:val="24"/>
          <w:szCs w:val="24"/>
        </w:rPr>
      </w:pPr>
      <w:r w:rsidRPr="00EA2E07">
        <w:rPr>
          <w:rFonts w:ascii="Arial" w:hAnsi="Arial" w:cs="Arial"/>
          <w:sz w:val="24"/>
          <w:szCs w:val="24"/>
        </w:rPr>
        <w:t>3. Se desarrolla la</w:t>
      </w:r>
      <w:r w:rsidR="00F82A53" w:rsidRPr="00EA2E07">
        <w:rPr>
          <w:rFonts w:ascii="Arial" w:hAnsi="Arial" w:cs="Arial"/>
          <w:sz w:val="24"/>
          <w:szCs w:val="24"/>
        </w:rPr>
        <w:t xml:space="preserve"> figura de la Acusación Privada, a través de la cual se desmonopoliza la acción penal en cabeza del Estado y se ofrece a las víctimas la posibilidad de ejercer la acusación directamente. </w:t>
      </w:r>
      <w:r w:rsidRPr="00EA2E07">
        <w:rPr>
          <w:rFonts w:ascii="Arial" w:hAnsi="Arial" w:cs="Arial"/>
          <w:sz w:val="24"/>
          <w:szCs w:val="24"/>
        </w:rPr>
        <w:t>La Fiscalía mantiene el poder preferente</w:t>
      </w:r>
      <w:r w:rsidR="00F82A53" w:rsidRPr="00EA2E07">
        <w:rPr>
          <w:rFonts w:ascii="Arial" w:hAnsi="Arial" w:cs="Arial"/>
          <w:sz w:val="24"/>
          <w:szCs w:val="24"/>
        </w:rPr>
        <w:t xml:space="preserve"> respecto de la acción penal</w:t>
      </w:r>
      <w:r w:rsidR="00553955" w:rsidRPr="00EA2E07">
        <w:rPr>
          <w:rFonts w:ascii="Arial" w:hAnsi="Arial" w:cs="Arial"/>
          <w:sz w:val="24"/>
          <w:szCs w:val="24"/>
        </w:rPr>
        <w:t xml:space="preserve"> y l</w:t>
      </w:r>
      <w:r w:rsidRPr="00EA2E07">
        <w:rPr>
          <w:rFonts w:ascii="Arial" w:hAnsi="Arial" w:cs="Arial"/>
          <w:sz w:val="24"/>
          <w:szCs w:val="24"/>
        </w:rPr>
        <w:t>a víctima</w:t>
      </w:r>
      <w:r w:rsidR="00553955" w:rsidRPr="00EA2E07">
        <w:rPr>
          <w:rFonts w:ascii="Arial" w:hAnsi="Arial" w:cs="Arial"/>
          <w:sz w:val="24"/>
          <w:szCs w:val="24"/>
        </w:rPr>
        <w:t>,</w:t>
      </w:r>
      <w:r w:rsidRPr="00EA2E07">
        <w:rPr>
          <w:rFonts w:ascii="Arial" w:hAnsi="Arial" w:cs="Arial"/>
          <w:sz w:val="24"/>
          <w:szCs w:val="24"/>
        </w:rPr>
        <w:t xml:space="preserve"> como </w:t>
      </w:r>
      <w:r w:rsidR="00F82A53" w:rsidRPr="00EA2E07">
        <w:rPr>
          <w:rFonts w:ascii="Arial" w:hAnsi="Arial" w:cs="Arial"/>
          <w:sz w:val="24"/>
          <w:szCs w:val="24"/>
        </w:rPr>
        <w:t>acusador</w:t>
      </w:r>
      <w:r w:rsidRPr="00EA2E07">
        <w:rPr>
          <w:rFonts w:ascii="Arial" w:hAnsi="Arial" w:cs="Arial"/>
          <w:sz w:val="24"/>
          <w:szCs w:val="24"/>
        </w:rPr>
        <w:t xml:space="preserve"> privado, no está facultada para realizar actos complejos de investigación que afecten gravemente derechos fundamentales - interceptaciones de comunicaciones, inspecciones corporales</w:t>
      </w:r>
      <w:r w:rsidR="00881C8F" w:rsidRPr="00EA2E07">
        <w:rPr>
          <w:rFonts w:ascii="Arial" w:hAnsi="Arial" w:cs="Arial"/>
          <w:sz w:val="24"/>
          <w:szCs w:val="24"/>
        </w:rPr>
        <w:t xml:space="preserve">, </w:t>
      </w:r>
      <w:r w:rsidR="0041393E" w:rsidRPr="00EA2E07">
        <w:rPr>
          <w:rFonts w:ascii="Arial" w:eastAsia="Calibri" w:hAnsi="Arial" w:cs="Arial"/>
          <w:sz w:val="24"/>
          <w:szCs w:val="24"/>
        </w:rPr>
        <w:t>registros y allanamientos, entradas vigiladas, diligencias de agente encubierto, etc</w:t>
      </w:r>
      <w:r w:rsidR="00143D3A" w:rsidRPr="00EA2E07">
        <w:rPr>
          <w:rFonts w:ascii="Arial" w:eastAsia="Calibri" w:hAnsi="Arial" w:cs="Arial"/>
          <w:sz w:val="24"/>
          <w:szCs w:val="24"/>
        </w:rPr>
        <w:t>.</w:t>
      </w:r>
    </w:p>
    <w:p w:rsidR="004B4C67" w:rsidRPr="00EA2E07" w:rsidRDefault="004B4C67" w:rsidP="005E61BF">
      <w:pPr>
        <w:spacing w:after="0" w:line="240" w:lineRule="auto"/>
        <w:ind w:left="708"/>
        <w:jc w:val="both"/>
        <w:rPr>
          <w:rFonts w:ascii="Arial" w:hAnsi="Arial" w:cs="Arial"/>
          <w:sz w:val="24"/>
          <w:szCs w:val="24"/>
        </w:rPr>
      </w:pPr>
    </w:p>
    <w:p w:rsidR="007E73D7" w:rsidRPr="00EA2E07" w:rsidRDefault="007E73D7" w:rsidP="005E61BF">
      <w:pPr>
        <w:pStyle w:val="Listavistosa-nfasis11"/>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lang w:val="es-ES_tradnl"/>
        </w:rPr>
      </w:pPr>
      <w:r w:rsidRPr="00EA2E07">
        <w:rPr>
          <w:rFonts w:ascii="Arial" w:hAnsi="Arial" w:cs="Arial"/>
          <w:b/>
          <w:lang w:val="es-ES_tradnl"/>
        </w:rPr>
        <w:t>TRÁMITE DEL PROYECTO</w:t>
      </w:r>
    </w:p>
    <w:p w:rsidR="009E69CD" w:rsidRPr="00EA2E07" w:rsidRDefault="009E69CD" w:rsidP="005E61BF">
      <w:pPr>
        <w:spacing w:after="0" w:line="240" w:lineRule="auto"/>
        <w:ind w:firstLine="708"/>
        <w:jc w:val="both"/>
        <w:rPr>
          <w:rFonts w:ascii="Arial" w:hAnsi="Arial" w:cs="Arial"/>
          <w:b/>
          <w:sz w:val="24"/>
          <w:szCs w:val="24"/>
          <w:lang w:val="es-ES_tradnl"/>
        </w:rPr>
      </w:pPr>
    </w:p>
    <w:p w:rsidR="007E73D7" w:rsidRPr="00EA2E07" w:rsidRDefault="007E73D7" w:rsidP="005E61BF">
      <w:pPr>
        <w:spacing w:after="0" w:line="240" w:lineRule="auto"/>
        <w:ind w:firstLine="708"/>
        <w:jc w:val="both"/>
        <w:rPr>
          <w:rFonts w:ascii="Arial" w:hAnsi="Arial" w:cs="Arial"/>
          <w:b/>
          <w:sz w:val="24"/>
          <w:szCs w:val="24"/>
          <w:lang w:val="es-ES_tradnl"/>
        </w:rPr>
      </w:pPr>
      <w:r w:rsidRPr="00EA2E07">
        <w:rPr>
          <w:rFonts w:ascii="Arial" w:hAnsi="Arial" w:cs="Arial"/>
          <w:b/>
          <w:sz w:val="24"/>
          <w:szCs w:val="24"/>
          <w:lang w:val="es-ES_tradnl"/>
        </w:rPr>
        <w:t>Origen:</w:t>
      </w:r>
      <w:r w:rsidR="007D5C33" w:rsidRPr="00EA2E07">
        <w:rPr>
          <w:rFonts w:ascii="Arial" w:hAnsi="Arial" w:cs="Arial"/>
          <w:b/>
          <w:sz w:val="24"/>
          <w:szCs w:val="24"/>
          <w:lang w:val="es-ES_tradnl"/>
        </w:rPr>
        <w:t xml:space="preserve"> </w:t>
      </w:r>
      <w:r w:rsidR="007D5C33" w:rsidRPr="00EA2E07">
        <w:rPr>
          <w:rFonts w:ascii="Arial" w:hAnsi="Arial" w:cs="Arial"/>
          <w:sz w:val="24"/>
          <w:szCs w:val="24"/>
          <w:lang w:val="es-ES_tradnl"/>
        </w:rPr>
        <w:t>Gubernamental y</w:t>
      </w:r>
      <w:r w:rsidR="007D5C33" w:rsidRPr="00EA2E07">
        <w:rPr>
          <w:rFonts w:ascii="Arial" w:hAnsi="Arial" w:cs="Arial"/>
          <w:b/>
          <w:sz w:val="24"/>
          <w:szCs w:val="24"/>
          <w:lang w:val="es-ES_tradnl"/>
        </w:rPr>
        <w:t xml:space="preserve"> </w:t>
      </w:r>
      <w:r w:rsidRPr="00EA2E07">
        <w:rPr>
          <w:rFonts w:ascii="Arial" w:hAnsi="Arial" w:cs="Arial"/>
          <w:sz w:val="24"/>
          <w:szCs w:val="24"/>
          <w:lang w:val="es-ES_tradnl"/>
        </w:rPr>
        <w:t>Congresional</w:t>
      </w:r>
      <w:r w:rsidRPr="00EA2E07">
        <w:rPr>
          <w:rFonts w:ascii="Arial" w:hAnsi="Arial" w:cs="Arial"/>
          <w:b/>
          <w:sz w:val="24"/>
          <w:szCs w:val="24"/>
          <w:lang w:val="es-ES_tradnl"/>
        </w:rPr>
        <w:t>.</w:t>
      </w:r>
    </w:p>
    <w:p w:rsidR="009658BC" w:rsidRPr="00EA2E07" w:rsidRDefault="009658BC" w:rsidP="005E61BF">
      <w:pPr>
        <w:spacing w:after="0" w:line="240" w:lineRule="auto"/>
        <w:ind w:firstLine="708"/>
        <w:jc w:val="both"/>
        <w:rPr>
          <w:rFonts w:ascii="Arial" w:hAnsi="Arial" w:cs="Arial"/>
          <w:b/>
          <w:sz w:val="24"/>
          <w:szCs w:val="24"/>
          <w:lang w:val="es-ES_tradnl"/>
        </w:rPr>
      </w:pPr>
    </w:p>
    <w:p w:rsidR="007E73D7" w:rsidRPr="00EA2E07" w:rsidRDefault="007E73D7" w:rsidP="007D5C33">
      <w:pPr>
        <w:spacing w:after="0" w:line="240" w:lineRule="auto"/>
        <w:ind w:left="708"/>
        <w:jc w:val="both"/>
        <w:rPr>
          <w:rFonts w:ascii="Arial" w:hAnsi="Arial" w:cs="Arial"/>
          <w:sz w:val="24"/>
          <w:szCs w:val="24"/>
          <w:lang w:val="es-CO"/>
        </w:rPr>
      </w:pPr>
      <w:r w:rsidRPr="00EA2E07">
        <w:rPr>
          <w:rFonts w:ascii="Arial" w:hAnsi="Arial" w:cs="Arial"/>
          <w:b/>
          <w:sz w:val="24"/>
          <w:szCs w:val="24"/>
          <w:lang w:val="es-ES_tradnl"/>
        </w:rPr>
        <w:t xml:space="preserve">Autor: </w:t>
      </w:r>
      <w:r w:rsidR="007D5C33" w:rsidRPr="00EA2E07">
        <w:rPr>
          <w:rFonts w:ascii="Arial" w:hAnsi="Arial" w:cs="Arial"/>
          <w:sz w:val="24"/>
          <w:szCs w:val="24"/>
          <w:lang w:val="es-ES_tradnl"/>
        </w:rPr>
        <w:t>Mini</w:t>
      </w:r>
      <w:r w:rsidR="009658BC" w:rsidRPr="00EA2E07">
        <w:rPr>
          <w:rFonts w:ascii="Arial" w:hAnsi="Arial" w:cs="Arial"/>
          <w:sz w:val="24"/>
          <w:szCs w:val="24"/>
          <w:lang w:val="es-ES_tradnl"/>
        </w:rPr>
        <w:t xml:space="preserve">stro de Justicia y del Derecho, </w:t>
      </w:r>
      <w:r w:rsidR="009155FB" w:rsidRPr="00EA2E07">
        <w:rPr>
          <w:rFonts w:ascii="Arial" w:hAnsi="Arial" w:cs="Arial"/>
          <w:sz w:val="24"/>
          <w:szCs w:val="24"/>
          <w:lang w:val="es-ES_tradnl"/>
        </w:rPr>
        <w:t>Senadores</w:t>
      </w:r>
      <w:r w:rsidR="009658BC" w:rsidRPr="00EA2E07">
        <w:rPr>
          <w:rFonts w:ascii="Arial" w:hAnsi="Arial" w:cs="Arial"/>
          <w:sz w:val="24"/>
          <w:szCs w:val="24"/>
          <w:lang w:val="es-ES_tradnl"/>
        </w:rPr>
        <w:t xml:space="preserve"> Roy Barreras</w:t>
      </w:r>
      <w:r w:rsidR="0041393E" w:rsidRPr="00EA2E07">
        <w:rPr>
          <w:rFonts w:ascii="Arial" w:hAnsi="Arial" w:cs="Arial"/>
          <w:sz w:val="24"/>
          <w:szCs w:val="24"/>
          <w:lang w:val="es-ES_tradnl"/>
        </w:rPr>
        <w:t xml:space="preserve">, Mauricio Lizcano, Armando Benedetti, Jimmy Chamorro, Roosvelt Rodríguez, Angel Custodio Cabrera, Andrés García Zucardi, </w:t>
      </w:r>
      <w:r w:rsidR="009155FB" w:rsidRPr="00EA2E07">
        <w:rPr>
          <w:rFonts w:ascii="Arial" w:hAnsi="Arial" w:cs="Arial"/>
          <w:sz w:val="24"/>
          <w:szCs w:val="24"/>
          <w:lang w:val="es-ES_tradnl"/>
        </w:rPr>
        <w:t xml:space="preserve">Luis Fernando Velasco, Roberto </w:t>
      </w:r>
      <w:r w:rsidR="009155FB" w:rsidRPr="00EA2E07">
        <w:rPr>
          <w:rFonts w:ascii="Arial" w:hAnsi="Arial" w:cs="Arial"/>
          <w:sz w:val="24"/>
          <w:szCs w:val="24"/>
          <w:lang w:val="es-ES_tradnl"/>
        </w:rPr>
        <w:lastRenderedPageBreak/>
        <w:t>Gerlein, Carlos Ferna</w:t>
      </w:r>
      <w:r w:rsidR="00881C8F" w:rsidRPr="00EA2E07">
        <w:rPr>
          <w:rFonts w:ascii="Arial" w:hAnsi="Arial" w:cs="Arial"/>
          <w:sz w:val="24"/>
          <w:szCs w:val="24"/>
          <w:lang w:val="es-ES_tradnl"/>
        </w:rPr>
        <w:t>n</w:t>
      </w:r>
      <w:r w:rsidR="009155FB" w:rsidRPr="00EA2E07">
        <w:rPr>
          <w:rFonts w:ascii="Arial" w:hAnsi="Arial" w:cs="Arial"/>
          <w:sz w:val="24"/>
          <w:szCs w:val="24"/>
          <w:lang w:val="es-ES_tradnl"/>
        </w:rPr>
        <w:t xml:space="preserve">do Motoa, </w:t>
      </w:r>
      <w:r w:rsidR="0041393E" w:rsidRPr="00EA2E07">
        <w:rPr>
          <w:rFonts w:ascii="Arial" w:hAnsi="Arial" w:cs="Arial"/>
          <w:sz w:val="24"/>
          <w:szCs w:val="24"/>
          <w:lang w:val="es-ES_tradnl"/>
        </w:rPr>
        <w:t xml:space="preserve">, </w:t>
      </w:r>
      <w:r w:rsidR="00A11BBF" w:rsidRPr="00EA2E07">
        <w:rPr>
          <w:rFonts w:ascii="Arial" w:hAnsi="Arial" w:cs="Arial"/>
          <w:sz w:val="24"/>
          <w:szCs w:val="24"/>
          <w:lang w:val="es-ES_tradnl"/>
        </w:rPr>
        <w:t xml:space="preserve">Juan Diego Gómez. </w:t>
      </w:r>
      <w:r w:rsidR="0041393E" w:rsidRPr="00EA2E07">
        <w:rPr>
          <w:rFonts w:ascii="Arial" w:hAnsi="Arial" w:cs="Arial"/>
          <w:sz w:val="24"/>
          <w:szCs w:val="24"/>
          <w:lang w:val="es-ES_tradnl"/>
        </w:rPr>
        <w:t xml:space="preserve">Representantes: Alfredo Deluque, </w:t>
      </w:r>
      <w:r w:rsidR="009658BC" w:rsidRPr="00EA2E07">
        <w:rPr>
          <w:rFonts w:ascii="Arial" w:hAnsi="Arial" w:cs="Arial"/>
          <w:sz w:val="24"/>
          <w:szCs w:val="24"/>
          <w:lang w:val="es-ES_tradnl"/>
        </w:rPr>
        <w:t xml:space="preserve">Berner Zambrano, </w:t>
      </w:r>
      <w:r w:rsidR="0041393E" w:rsidRPr="00EA2E07">
        <w:rPr>
          <w:rFonts w:ascii="Arial" w:hAnsi="Arial" w:cs="Arial"/>
          <w:sz w:val="24"/>
          <w:szCs w:val="24"/>
          <w:lang w:val="es-ES_tradnl"/>
        </w:rPr>
        <w:t xml:space="preserve">Juan Felipe Lemos, León Darío Ramírez, Martha Patricia Villaba, Carlos Arturo Correa, Efraín Antonio Torres, Jairo Enrique Casiblanco, Luz Adriana Moreno, John Jairo Cárdenas, Christian José Moreno, José Bernardo Florez, Eduardo José Tous, Raymundo Elías Méndez, José Edilberto Caicedo, Alexander García, Ana María Rincón, Wilmer Carrillo, Carlos Edwar Osorio, Elbert Díaz, Jorge Eliécer Tamayo, Rafael Eduardo Palau, </w:t>
      </w:r>
      <w:r w:rsidR="00A11BBF" w:rsidRPr="00EA2E07">
        <w:rPr>
          <w:rFonts w:ascii="Arial" w:hAnsi="Arial" w:cs="Arial"/>
          <w:sz w:val="24"/>
          <w:szCs w:val="24"/>
          <w:lang w:val="es-ES_tradnl"/>
        </w:rPr>
        <w:t>John Eduardo Molina y Luis Fernando Duque</w:t>
      </w:r>
      <w:r w:rsidR="00A11BBF" w:rsidRPr="00EA2E07">
        <w:rPr>
          <w:rFonts w:ascii="Arial" w:hAnsi="Arial" w:cs="Arial"/>
          <w:sz w:val="24"/>
          <w:szCs w:val="24"/>
          <w:lang w:val="es-CO"/>
        </w:rPr>
        <w:t>.</w:t>
      </w:r>
    </w:p>
    <w:p w:rsidR="00143D3A" w:rsidRDefault="00143D3A" w:rsidP="007D5C33">
      <w:pPr>
        <w:spacing w:after="0" w:line="240" w:lineRule="auto"/>
        <w:ind w:left="708"/>
        <w:jc w:val="both"/>
        <w:rPr>
          <w:rFonts w:ascii="Arial" w:hAnsi="Arial" w:cs="Arial"/>
          <w:sz w:val="24"/>
          <w:szCs w:val="24"/>
          <w:lang w:val="es-ES_tradnl"/>
        </w:rPr>
      </w:pPr>
    </w:p>
    <w:p w:rsidR="005D1B80" w:rsidRDefault="005D1B80" w:rsidP="005D1B80">
      <w:pPr>
        <w:spacing w:after="0" w:line="240" w:lineRule="auto"/>
        <w:ind w:left="708"/>
        <w:jc w:val="both"/>
        <w:rPr>
          <w:rFonts w:ascii="Arial" w:hAnsi="Arial" w:cs="Arial"/>
          <w:sz w:val="24"/>
          <w:szCs w:val="24"/>
          <w:lang w:val="es-ES_tradnl"/>
        </w:rPr>
      </w:pPr>
      <w:r>
        <w:rPr>
          <w:rFonts w:ascii="Arial" w:hAnsi="Arial" w:cs="Arial"/>
          <w:b/>
          <w:sz w:val="24"/>
          <w:szCs w:val="24"/>
          <w:lang w:val="es-ES_tradnl"/>
        </w:rPr>
        <w:t>Ponentes</w:t>
      </w:r>
      <w:r w:rsidR="00F53751">
        <w:rPr>
          <w:rFonts w:ascii="Arial" w:hAnsi="Arial" w:cs="Arial"/>
          <w:b/>
          <w:sz w:val="24"/>
          <w:szCs w:val="24"/>
          <w:lang w:val="es-ES_tradnl"/>
        </w:rPr>
        <w:t xml:space="preserve"> en Senado</w:t>
      </w:r>
      <w:r>
        <w:rPr>
          <w:rFonts w:ascii="Arial" w:hAnsi="Arial" w:cs="Arial"/>
          <w:b/>
          <w:sz w:val="24"/>
          <w:szCs w:val="24"/>
          <w:lang w:val="es-ES_tradnl"/>
        </w:rPr>
        <w:t xml:space="preserve">: </w:t>
      </w:r>
      <w:r w:rsidRPr="005D1B80">
        <w:rPr>
          <w:rFonts w:ascii="Arial" w:hAnsi="Arial" w:cs="Arial"/>
          <w:sz w:val="24"/>
          <w:szCs w:val="24"/>
          <w:lang w:val="es-ES_tradnl"/>
        </w:rPr>
        <w:t>Roy Barreras Montealegre (Coordinador), Viviane Morales Hoyos, Paloma</w:t>
      </w:r>
      <w:r>
        <w:rPr>
          <w:rFonts w:ascii="Arial" w:hAnsi="Arial" w:cs="Arial"/>
          <w:sz w:val="24"/>
          <w:szCs w:val="24"/>
          <w:lang w:val="es-ES_tradnl"/>
        </w:rPr>
        <w:t xml:space="preserve"> </w:t>
      </w:r>
      <w:r w:rsidRPr="005D1B80">
        <w:rPr>
          <w:rFonts w:ascii="Arial" w:hAnsi="Arial" w:cs="Arial"/>
          <w:sz w:val="24"/>
          <w:szCs w:val="24"/>
          <w:lang w:val="es-ES_tradnl"/>
        </w:rPr>
        <w:t>Valencia Laserna, Hernán Andrade Serrano, Germán Varón Cotrino, Doris Clemencia Vega, Claudia</w:t>
      </w:r>
      <w:r>
        <w:rPr>
          <w:rFonts w:ascii="Arial" w:hAnsi="Arial" w:cs="Arial"/>
          <w:sz w:val="24"/>
          <w:szCs w:val="24"/>
          <w:lang w:val="es-ES_tradnl"/>
        </w:rPr>
        <w:t xml:space="preserve"> </w:t>
      </w:r>
      <w:r w:rsidRPr="005D1B80">
        <w:rPr>
          <w:rFonts w:ascii="Arial" w:hAnsi="Arial" w:cs="Arial"/>
          <w:sz w:val="24"/>
          <w:szCs w:val="24"/>
          <w:lang w:val="es-ES_tradnl"/>
        </w:rPr>
        <w:t>López Hernández, Alexander López Maya.</w:t>
      </w:r>
    </w:p>
    <w:p w:rsidR="00F53751" w:rsidRDefault="00F53751" w:rsidP="005D1B80">
      <w:pPr>
        <w:spacing w:after="0" w:line="240" w:lineRule="auto"/>
        <w:ind w:left="708"/>
        <w:jc w:val="both"/>
        <w:rPr>
          <w:rFonts w:ascii="Arial" w:hAnsi="Arial" w:cs="Arial"/>
          <w:sz w:val="24"/>
          <w:szCs w:val="24"/>
          <w:lang w:val="es-ES_tradnl"/>
        </w:rPr>
      </w:pPr>
    </w:p>
    <w:p w:rsidR="00F53751" w:rsidRPr="004C22C2" w:rsidRDefault="00F53751" w:rsidP="005D1B80">
      <w:pPr>
        <w:spacing w:after="0" w:line="240" w:lineRule="auto"/>
        <w:ind w:left="708"/>
        <w:jc w:val="both"/>
        <w:rPr>
          <w:rFonts w:ascii="Arial" w:hAnsi="Arial" w:cs="Arial"/>
          <w:sz w:val="24"/>
          <w:szCs w:val="24"/>
          <w:lang w:val="es-ES_tradnl"/>
        </w:rPr>
      </w:pPr>
      <w:r w:rsidRPr="004C22C2">
        <w:rPr>
          <w:rFonts w:ascii="Arial" w:hAnsi="Arial" w:cs="Arial"/>
          <w:b/>
          <w:sz w:val="24"/>
          <w:szCs w:val="24"/>
          <w:lang w:val="es-ES_tradnl"/>
        </w:rPr>
        <w:t>Ponentes en Cámara:</w:t>
      </w:r>
      <w:r>
        <w:rPr>
          <w:rFonts w:ascii="Arial" w:hAnsi="Arial" w:cs="Arial"/>
          <w:b/>
          <w:sz w:val="24"/>
          <w:szCs w:val="24"/>
          <w:lang w:val="es-ES_tradnl"/>
        </w:rPr>
        <w:t xml:space="preserve"> </w:t>
      </w:r>
      <w:r w:rsidR="004C22C2">
        <w:rPr>
          <w:rFonts w:ascii="Arial" w:hAnsi="Arial" w:cs="Arial"/>
          <w:sz w:val="24"/>
          <w:szCs w:val="24"/>
          <w:lang w:val="es-ES_tradnl"/>
        </w:rPr>
        <w:t>Hernán Penagos Giraldo (Coordinador), Oscar Hernán Sánchez León, Pedrito Tomas Pereira Caballero, Edward David Rodríguez Rodríguez, Rodrigo Lara Restrepo, Angélica Lisbeth Lozano Correa, Carlos German Navas Talero, Fernando de la peña Márquez,</w:t>
      </w:r>
    </w:p>
    <w:p w:rsidR="004C22C2" w:rsidRPr="00F53751" w:rsidRDefault="004C22C2" w:rsidP="005D1B80">
      <w:pPr>
        <w:spacing w:after="0" w:line="240" w:lineRule="auto"/>
        <w:ind w:left="708"/>
        <w:jc w:val="both"/>
        <w:rPr>
          <w:rFonts w:ascii="Arial" w:hAnsi="Arial" w:cs="Arial"/>
          <w:b/>
          <w:sz w:val="24"/>
          <w:szCs w:val="24"/>
          <w:lang w:val="es-ES_tradnl"/>
        </w:rPr>
      </w:pPr>
    </w:p>
    <w:p w:rsidR="005D1B80" w:rsidRPr="005D1B80" w:rsidRDefault="005D1B80" w:rsidP="007D5C33">
      <w:pPr>
        <w:spacing w:after="0" w:line="240" w:lineRule="auto"/>
        <w:ind w:left="708"/>
        <w:jc w:val="both"/>
        <w:rPr>
          <w:rFonts w:ascii="Arial" w:hAnsi="Arial" w:cs="Arial"/>
          <w:b/>
          <w:sz w:val="24"/>
          <w:szCs w:val="24"/>
          <w:lang w:val="es-ES_tradnl"/>
        </w:rPr>
      </w:pPr>
    </w:p>
    <w:p w:rsidR="007E73D7" w:rsidRPr="00C26F2E" w:rsidRDefault="007E73D7" w:rsidP="005E61BF">
      <w:pPr>
        <w:pStyle w:val="Listavistosa-nfasis11"/>
        <w:spacing w:after="0" w:line="240" w:lineRule="auto"/>
        <w:jc w:val="both"/>
        <w:rPr>
          <w:rFonts w:ascii="Arial" w:hAnsi="Arial" w:cs="Arial"/>
          <w:bCs/>
          <w:spacing w:val="-3"/>
        </w:rPr>
      </w:pPr>
      <w:r w:rsidRPr="00C26F2E">
        <w:rPr>
          <w:rFonts w:ascii="Arial" w:hAnsi="Arial" w:cs="Arial"/>
          <w:b/>
          <w:lang w:val="es-ES_tradnl"/>
        </w:rPr>
        <w:t xml:space="preserve">Proyecto Publicado: </w:t>
      </w:r>
      <w:r w:rsidRPr="00C26F2E">
        <w:rPr>
          <w:rFonts w:ascii="Arial" w:hAnsi="Arial" w:cs="Arial"/>
          <w:lang w:val="es-ES_tradnl"/>
        </w:rPr>
        <w:t>Gaceta No</w:t>
      </w:r>
      <w:r w:rsidRPr="00C26F2E">
        <w:rPr>
          <w:rFonts w:ascii="Arial" w:hAnsi="Arial" w:cs="Arial"/>
          <w:bCs/>
          <w:spacing w:val="-3"/>
        </w:rPr>
        <w:t xml:space="preserve">. </w:t>
      </w:r>
      <w:r w:rsidR="009155FB" w:rsidRPr="00C26F2E">
        <w:rPr>
          <w:rFonts w:ascii="Arial" w:hAnsi="Arial" w:cs="Arial"/>
          <w:bCs/>
          <w:spacing w:val="-3"/>
        </w:rPr>
        <w:t>591/15</w:t>
      </w:r>
    </w:p>
    <w:p w:rsidR="009658BC" w:rsidRPr="00C26F2E" w:rsidRDefault="009658BC" w:rsidP="005E61BF">
      <w:pPr>
        <w:pStyle w:val="Listavistosa-nfasis11"/>
        <w:spacing w:after="0" w:line="240" w:lineRule="auto"/>
        <w:jc w:val="both"/>
        <w:rPr>
          <w:rFonts w:ascii="Arial" w:hAnsi="Arial" w:cs="Arial"/>
          <w:bCs/>
          <w:spacing w:val="-3"/>
        </w:rPr>
      </w:pPr>
    </w:p>
    <w:p w:rsidR="009658BC" w:rsidRDefault="009658BC" w:rsidP="005E61BF">
      <w:pPr>
        <w:pStyle w:val="Listavistosa-nfasis11"/>
        <w:spacing w:after="0" w:line="240" w:lineRule="auto"/>
        <w:jc w:val="both"/>
        <w:rPr>
          <w:rFonts w:ascii="Arial" w:hAnsi="Arial" w:cs="Arial"/>
          <w:bCs/>
          <w:spacing w:val="-3"/>
        </w:rPr>
      </w:pPr>
      <w:r w:rsidRPr="00C26F2E">
        <w:rPr>
          <w:rFonts w:ascii="Arial" w:hAnsi="Arial" w:cs="Arial"/>
          <w:b/>
          <w:bCs/>
          <w:spacing w:val="-3"/>
        </w:rPr>
        <w:t>Ponencia primer debate</w:t>
      </w:r>
      <w:r w:rsidRPr="00C26F2E">
        <w:rPr>
          <w:rFonts w:ascii="Arial" w:hAnsi="Arial" w:cs="Arial"/>
          <w:bCs/>
          <w:spacing w:val="-3"/>
        </w:rPr>
        <w:t>: Gaceta No.624/15</w:t>
      </w:r>
    </w:p>
    <w:p w:rsidR="00C26F2E" w:rsidRDefault="00C26F2E" w:rsidP="005E61BF">
      <w:pPr>
        <w:pStyle w:val="Listavistosa-nfasis11"/>
        <w:spacing w:after="0" w:line="240" w:lineRule="auto"/>
        <w:jc w:val="both"/>
        <w:rPr>
          <w:rFonts w:ascii="Arial" w:hAnsi="Arial" w:cs="Arial"/>
          <w:bCs/>
          <w:spacing w:val="-3"/>
        </w:rPr>
      </w:pPr>
    </w:p>
    <w:p w:rsidR="00C26F2E" w:rsidRDefault="00C26F2E" w:rsidP="005E61BF">
      <w:pPr>
        <w:pStyle w:val="Listavistosa-nfasis11"/>
        <w:spacing w:after="0" w:line="240" w:lineRule="auto"/>
        <w:jc w:val="both"/>
        <w:rPr>
          <w:rFonts w:ascii="Arial" w:hAnsi="Arial" w:cs="Arial"/>
          <w:bCs/>
          <w:spacing w:val="-3"/>
        </w:rPr>
      </w:pPr>
      <w:r w:rsidRPr="00C26F2E">
        <w:rPr>
          <w:rFonts w:ascii="Arial" w:hAnsi="Arial" w:cs="Arial"/>
          <w:b/>
          <w:bCs/>
          <w:spacing w:val="-3"/>
        </w:rPr>
        <w:t>Ponencia para segundo debate:</w:t>
      </w:r>
      <w:r>
        <w:rPr>
          <w:rFonts w:ascii="Arial" w:hAnsi="Arial" w:cs="Arial"/>
          <w:bCs/>
          <w:spacing w:val="-3"/>
        </w:rPr>
        <w:t xml:space="preserve"> Gaceta No. 775/15</w:t>
      </w:r>
    </w:p>
    <w:p w:rsidR="00C26F2E" w:rsidRDefault="00C26F2E" w:rsidP="005E61BF">
      <w:pPr>
        <w:pStyle w:val="Listavistosa-nfasis11"/>
        <w:spacing w:after="0" w:line="240" w:lineRule="auto"/>
        <w:jc w:val="both"/>
        <w:rPr>
          <w:rFonts w:ascii="Arial" w:hAnsi="Arial" w:cs="Arial"/>
          <w:bCs/>
          <w:spacing w:val="-3"/>
        </w:rPr>
      </w:pPr>
    </w:p>
    <w:p w:rsidR="00C26F2E" w:rsidRPr="00EA2E07" w:rsidRDefault="00C26F2E" w:rsidP="005E61BF">
      <w:pPr>
        <w:pStyle w:val="Listavistosa-nfasis11"/>
        <w:spacing w:after="0" w:line="240" w:lineRule="auto"/>
        <w:jc w:val="both"/>
        <w:rPr>
          <w:rFonts w:ascii="Arial" w:hAnsi="Arial" w:cs="Arial"/>
          <w:bCs/>
          <w:spacing w:val="-3"/>
        </w:rPr>
      </w:pPr>
      <w:r w:rsidRPr="00C26F2E">
        <w:rPr>
          <w:rFonts w:ascii="Arial" w:hAnsi="Arial" w:cs="Arial"/>
          <w:b/>
          <w:bCs/>
          <w:spacing w:val="-3"/>
        </w:rPr>
        <w:t xml:space="preserve">Texto aprobado en plenaria de senado: </w:t>
      </w:r>
      <w:r>
        <w:rPr>
          <w:rFonts w:ascii="Arial" w:hAnsi="Arial" w:cs="Arial"/>
          <w:bCs/>
          <w:spacing w:val="-3"/>
        </w:rPr>
        <w:t>Gaceta No. 1016/15</w:t>
      </w:r>
    </w:p>
    <w:p w:rsidR="009155FB" w:rsidRPr="00EA2E07" w:rsidRDefault="009155FB" w:rsidP="005E61BF">
      <w:pPr>
        <w:pStyle w:val="Listavistosa-nfasis11"/>
        <w:spacing w:after="0" w:line="240" w:lineRule="auto"/>
        <w:jc w:val="both"/>
        <w:rPr>
          <w:rFonts w:ascii="Arial" w:hAnsi="Arial" w:cs="Arial"/>
          <w:bCs/>
          <w:spacing w:val="-3"/>
        </w:rPr>
      </w:pPr>
    </w:p>
    <w:p w:rsidR="009E69CD" w:rsidRPr="00EA2E07" w:rsidRDefault="009E69CD" w:rsidP="005E61BF">
      <w:pPr>
        <w:pStyle w:val="Listavistosa-nfasis11"/>
        <w:spacing w:after="0" w:line="240" w:lineRule="auto"/>
        <w:jc w:val="both"/>
        <w:rPr>
          <w:rFonts w:ascii="Arial" w:hAnsi="Arial" w:cs="Arial"/>
          <w:bCs/>
          <w:spacing w:val="-3"/>
        </w:rPr>
      </w:pPr>
    </w:p>
    <w:p w:rsidR="007E73D7" w:rsidRPr="004C22C2" w:rsidRDefault="007E73D7" w:rsidP="005E61BF">
      <w:pPr>
        <w:pStyle w:val="Listavistosa-nfasis11"/>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lang w:val="es-ES_tradnl"/>
        </w:rPr>
      </w:pPr>
      <w:r w:rsidRPr="004C22C2">
        <w:rPr>
          <w:rFonts w:ascii="Arial" w:hAnsi="Arial" w:cs="Arial"/>
          <w:b/>
          <w:lang w:val="es-ES_tradnl"/>
        </w:rPr>
        <w:t>COMPETENCIA Y ASIGNACIÓN DE PONENCIA</w:t>
      </w:r>
    </w:p>
    <w:p w:rsidR="007E73D7" w:rsidRPr="004C22C2" w:rsidRDefault="007E73D7" w:rsidP="005E61BF">
      <w:pPr>
        <w:pStyle w:val="Listavistosa-nfasis11"/>
        <w:spacing w:after="0" w:line="240" w:lineRule="auto"/>
        <w:jc w:val="both"/>
        <w:rPr>
          <w:rFonts w:ascii="Arial" w:hAnsi="Arial" w:cs="Arial"/>
          <w:b/>
          <w:lang w:val="es-ES_tradnl"/>
        </w:rPr>
      </w:pPr>
    </w:p>
    <w:p w:rsidR="00553955" w:rsidRPr="00EA2E07" w:rsidRDefault="007E73D7" w:rsidP="009155FB">
      <w:pPr>
        <w:pStyle w:val="Listavistosa-nfasis11"/>
        <w:spacing w:after="0" w:line="240" w:lineRule="auto"/>
        <w:jc w:val="both"/>
        <w:rPr>
          <w:rFonts w:ascii="Arial" w:hAnsi="Arial" w:cs="Arial"/>
          <w:lang w:val="es-ES_tradnl"/>
        </w:rPr>
      </w:pPr>
      <w:r w:rsidRPr="004C22C2">
        <w:rPr>
          <w:rFonts w:ascii="Arial" w:hAnsi="Arial" w:cs="Arial"/>
          <w:lang w:val="es-ES_tradnl"/>
        </w:rPr>
        <w:t xml:space="preserve">Mediante comunicación </w:t>
      </w:r>
      <w:r w:rsidRPr="004C22C2">
        <w:rPr>
          <w:rFonts w:ascii="Arial" w:hAnsi="Arial" w:cs="Arial"/>
        </w:rPr>
        <w:t>de</w:t>
      </w:r>
      <w:r w:rsidR="00881C8F" w:rsidRPr="004C22C2">
        <w:rPr>
          <w:rFonts w:ascii="Arial" w:hAnsi="Arial" w:cs="Arial"/>
        </w:rPr>
        <w:t>l</w:t>
      </w:r>
      <w:r w:rsidRPr="004C22C2">
        <w:rPr>
          <w:rFonts w:ascii="Arial" w:hAnsi="Arial" w:cs="Arial"/>
        </w:rPr>
        <w:t xml:space="preserve"> </w:t>
      </w:r>
      <w:r w:rsidR="009658BC" w:rsidRPr="004C22C2">
        <w:rPr>
          <w:rFonts w:ascii="Arial" w:hAnsi="Arial" w:cs="Arial"/>
        </w:rPr>
        <w:t>1</w:t>
      </w:r>
      <w:r w:rsidR="004C22C2" w:rsidRPr="004C22C2">
        <w:rPr>
          <w:rFonts w:ascii="Arial" w:hAnsi="Arial" w:cs="Arial"/>
        </w:rPr>
        <w:t>8</w:t>
      </w:r>
      <w:r w:rsidR="009658BC" w:rsidRPr="004C22C2">
        <w:rPr>
          <w:rFonts w:ascii="Arial" w:hAnsi="Arial" w:cs="Arial"/>
        </w:rPr>
        <w:t xml:space="preserve"> de </w:t>
      </w:r>
      <w:r w:rsidR="004C22C2" w:rsidRPr="004C22C2">
        <w:rPr>
          <w:rFonts w:ascii="Arial" w:hAnsi="Arial" w:cs="Arial"/>
        </w:rPr>
        <w:t>marzo</w:t>
      </w:r>
      <w:r w:rsidR="009658BC" w:rsidRPr="004C22C2">
        <w:rPr>
          <w:rFonts w:ascii="Arial" w:hAnsi="Arial" w:cs="Arial"/>
        </w:rPr>
        <w:t xml:space="preserve"> </w:t>
      </w:r>
      <w:r w:rsidR="004C22C2" w:rsidRPr="004C22C2">
        <w:rPr>
          <w:rFonts w:ascii="Arial" w:hAnsi="Arial" w:cs="Arial"/>
        </w:rPr>
        <w:t>de 2016</w:t>
      </w:r>
      <w:r w:rsidR="00553955" w:rsidRPr="004C22C2">
        <w:rPr>
          <w:rFonts w:ascii="Arial" w:hAnsi="Arial" w:cs="Arial"/>
        </w:rPr>
        <w:t xml:space="preserve">, </w:t>
      </w:r>
      <w:r w:rsidRPr="004C22C2">
        <w:rPr>
          <w:rFonts w:ascii="Arial" w:hAnsi="Arial" w:cs="Arial"/>
        </w:rPr>
        <w:t xml:space="preserve">notificada el mismo día, conforme a lo expresado en el artículo 150 de la Ley 5ª de 1992, </w:t>
      </w:r>
      <w:r w:rsidRPr="004C22C2">
        <w:rPr>
          <w:rFonts w:ascii="Arial" w:hAnsi="Arial" w:cs="Arial"/>
          <w:lang w:val="es-ES_tradnl"/>
        </w:rPr>
        <w:t>fui</w:t>
      </w:r>
      <w:r w:rsidR="009658BC" w:rsidRPr="004C22C2">
        <w:rPr>
          <w:rFonts w:ascii="Arial" w:hAnsi="Arial" w:cs="Arial"/>
          <w:lang w:val="es-ES_tradnl"/>
        </w:rPr>
        <w:t>mos</w:t>
      </w:r>
      <w:r w:rsidRPr="004C22C2">
        <w:rPr>
          <w:rFonts w:ascii="Arial" w:hAnsi="Arial" w:cs="Arial"/>
          <w:lang w:val="es-ES_tradnl"/>
        </w:rPr>
        <w:t xml:space="preserve"> designado</w:t>
      </w:r>
      <w:r w:rsidR="009658BC" w:rsidRPr="004C22C2">
        <w:rPr>
          <w:rFonts w:ascii="Arial" w:hAnsi="Arial" w:cs="Arial"/>
          <w:lang w:val="es-ES_tradnl"/>
        </w:rPr>
        <w:t>s</w:t>
      </w:r>
      <w:r w:rsidRPr="004C22C2">
        <w:rPr>
          <w:rFonts w:ascii="Arial" w:hAnsi="Arial" w:cs="Arial"/>
          <w:lang w:val="es-ES_tradnl"/>
        </w:rPr>
        <w:t xml:space="preserve"> ponente</w:t>
      </w:r>
      <w:r w:rsidR="009658BC" w:rsidRPr="004C22C2">
        <w:rPr>
          <w:rFonts w:ascii="Arial" w:hAnsi="Arial" w:cs="Arial"/>
          <w:lang w:val="es-ES_tradnl"/>
        </w:rPr>
        <w:t>s en segundo debate</w:t>
      </w:r>
      <w:r w:rsidR="004C22C2">
        <w:rPr>
          <w:rFonts w:ascii="Arial" w:hAnsi="Arial" w:cs="Arial"/>
          <w:lang w:val="es-ES_tradnl"/>
        </w:rPr>
        <w:t xml:space="preserve"> del </w:t>
      </w:r>
      <w:r w:rsidR="009155FB" w:rsidRPr="004C22C2">
        <w:rPr>
          <w:rFonts w:ascii="Arial" w:hAnsi="Arial" w:cs="Arial"/>
          <w:lang w:val="es-ES_tradnl"/>
        </w:rPr>
        <w:t>Proyecto de Ley No. 48 de 2015 Senado</w:t>
      </w:r>
      <w:r w:rsidR="005D1B80" w:rsidRPr="004C22C2">
        <w:rPr>
          <w:rFonts w:ascii="Arial" w:hAnsi="Arial" w:cs="Arial"/>
          <w:lang w:val="es-ES_tradnl"/>
        </w:rPr>
        <w:t>,</w:t>
      </w:r>
      <w:r w:rsidR="004C22C2">
        <w:rPr>
          <w:rFonts w:ascii="Arial" w:hAnsi="Arial" w:cs="Arial"/>
          <w:lang w:val="es-ES_tradnl"/>
        </w:rPr>
        <w:t xml:space="preserve"> 171 de 2015 Cámara</w:t>
      </w:r>
      <w:r w:rsidR="009155FB" w:rsidRPr="004C22C2">
        <w:rPr>
          <w:rFonts w:ascii="Arial" w:hAnsi="Arial" w:cs="Arial"/>
          <w:lang w:val="es-ES_tradnl"/>
        </w:rPr>
        <w:t xml:space="preserve"> “Por medio de la cual se definen las contravenciones penales, se establece un procedimiento especial abreviado para ellas y se regula la figura del acusador privado”.</w:t>
      </w:r>
      <w:r w:rsidR="009155FB" w:rsidRPr="00EA2E07">
        <w:rPr>
          <w:rFonts w:ascii="Arial" w:hAnsi="Arial" w:cs="Arial"/>
          <w:lang w:val="es-ES_tradnl"/>
        </w:rPr>
        <w:cr/>
      </w:r>
    </w:p>
    <w:p w:rsidR="007E73D7" w:rsidRPr="00EA2E07" w:rsidRDefault="007E73D7" w:rsidP="00553955">
      <w:pPr>
        <w:pStyle w:val="Listavistosa-nfasis11"/>
        <w:pBdr>
          <w:top w:val="single" w:sz="4" w:space="1" w:color="auto"/>
          <w:left w:val="single" w:sz="4" w:space="5" w:color="auto"/>
          <w:bottom w:val="single" w:sz="4" w:space="1" w:color="auto"/>
          <w:right w:val="single" w:sz="4" w:space="4" w:color="auto"/>
        </w:pBdr>
        <w:spacing w:after="0" w:line="240" w:lineRule="auto"/>
        <w:jc w:val="center"/>
        <w:rPr>
          <w:rFonts w:ascii="Arial" w:hAnsi="Arial" w:cs="Arial"/>
          <w:b/>
          <w:lang w:val="es-ES_tradnl"/>
        </w:rPr>
      </w:pPr>
      <w:r w:rsidRPr="00EA2E07">
        <w:rPr>
          <w:rFonts w:ascii="Arial" w:hAnsi="Arial" w:cs="Arial"/>
          <w:b/>
          <w:lang w:val="es-ES_tradnl"/>
        </w:rPr>
        <w:t>ESTRUCTURA DEL PROYECTO</w:t>
      </w:r>
    </w:p>
    <w:p w:rsidR="007E73D7" w:rsidRPr="00EA2E07" w:rsidRDefault="007E73D7" w:rsidP="005E61BF">
      <w:pPr>
        <w:pStyle w:val="Listavistosa-nfasis11"/>
        <w:spacing w:after="0" w:line="240" w:lineRule="auto"/>
        <w:jc w:val="both"/>
        <w:rPr>
          <w:rFonts w:ascii="Arial" w:hAnsi="Arial" w:cs="Arial"/>
          <w:b/>
          <w:lang w:val="es-ES_tradnl"/>
        </w:rPr>
      </w:pPr>
    </w:p>
    <w:p w:rsidR="007E73D7" w:rsidRPr="00EA2E07" w:rsidRDefault="007E73D7" w:rsidP="005E61BF">
      <w:pPr>
        <w:pStyle w:val="Listavistosa-nfasis11"/>
        <w:spacing w:after="0" w:line="240" w:lineRule="auto"/>
        <w:jc w:val="both"/>
        <w:rPr>
          <w:rFonts w:ascii="Arial" w:hAnsi="Arial" w:cs="Arial"/>
          <w:lang w:val="es-ES_tradnl"/>
        </w:rPr>
      </w:pPr>
      <w:r w:rsidRPr="00EA2E07">
        <w:rPr>
          <w:rFonts w:ascii="Arial" w:hAnsi="Arial" w:cs="Arial"/>
          <w:lang w:val="es-ES_tradnl"/>
        </w:rPr>
        <w:t xml:space="preserve">El Proyecto de Ley está </w:t>
      </w:r>
      <w:r w:rsidR="00082CB4" w:rsidRPr="00EA2E07">
        <w:rPr>
          <w:rFonts w:ascii="Arial" w:hAnsi="Arial" w:cs="Arial"/>
          <w:lang w:val="es-ES_tradnl"/>
        </w:rPr>
        <w:t xml:space="preserve">integrado </w:t>
      </w:r>
      <w:r w:rsidR="00082CB4" w:rsidRPr="00D009DB">
        <w:rPr>
          <w:rFonts w:ascii="Arial" w:hAnsi="Arial" w:cs="Arial"/>
          <w:lang w:val="es-ES_tradnl"/>
        </w:rPr>
        <w:t xml:space="preserve">por </w:t>
      </w:r>
      <w:r w:rsidR="00D009DB" w:rsidRPr="00D009DB">
        <w:rPr>
          <w:rFonts w:ascii="Arial" w:hAnsi="Arial" w:cs="Arial"/>
          <w:lang w:val="es-ES_tradnl"/>
        </w:rPr>
        <w:t>149</w:t>
      </w:r>
      <w:r w:rsidR="00082CB4" w:rsidRPr="00EA2E07">
        <w:rPr>
          <w:rFonts w:ascii="Arial" w:hAnsi="Arial" w:cs="Arial"/>
          <w:lang w:val="es-ES_tradnl"/>
        </w:rPr>
        <w:t xml:space="preserve"> artículos que modifican</w:t>
      </w:r>
      <w:r w:rsidR="00F82A53" w:rsidRPr="00EA2E07">
        <w:rPr>
          <w:rFonts w:ascii="Arial" w:hAnsi="Arial" w:cs="Arial"/>
          <w:lang w:val="es-ES_tradnl"/>
        </w:rPr>
        <w:t xml:space="preserve"> y adicionan</w:t>
      </w:r>
      <w:r w:rsidR="00082CB4" w:rsidRPr="00EA2E07">
        <w:rPr>
          <w:rFonts w:ascii="Arial" w:hAnsi="Arial" w:cs="Arial"/>
          <w:lang w:val="es-ES_tradnl"/>
        </w:rPr>
        <w:t xml:space="preserve"> la parte especial del Código Penal</w:t>
      </w:r>
      <w:r w:rsidR="00F82A53" w:rsidRPr="00EA2E07">
        <w:rPr>
          <w:rFonts w:ascii="Arial" w:hAnsi="Arial" w:cs="Arial"/>
          <w:lang w:val="es-ES_tradnl"/>
        </w:rPr>
        <w:t>, Ley 599 de 2000, y</w:t>
      </w:r>
      <w:r w:rsidR="00082CB4" w:rsidRPr="00EA2E07">
        <w:rPr>
          <w:rFonts w:ascii="Arial" w:hAnsi="Arial" w:cs="Arial"/>
          <w:lang w:val="es-ES_tradnl"/>
        </w:rPr>
        <w:t xml:space="preserve"> el</w:t>
      </w:r>
      <w:r w:rsidR="00F82A53" w:rsidRPr="00EA2E07">
        <w:rPr>
          <w:rFonts w:ascii="Arial" w:hAnsi="Arial" w:cs="Arial"/>
          <w:lang w:val="es-ES_tradnl"/>
        </w:rPr>
        <w:t xml:space="preserve"> Código de Procedimiento Penal, Ley 906 de 2004.</w:t>
      </w:r>
    </w:p>
    <w:p w:rsidR="007E73D7" w:rsidRPr="00EA2E07" w:rsidRDefault="007E73D7" w:rsidP="005E61BF">
      <w:pPr>
        <w:pStyle w:val="Listavistosa-nfasis11"/>
        <w:spacing w:after="0" w:line="240" w:lineRule="auto"/>
        <w:jc w:val="both"/>
        <w:rPr>
          <w:rFonts w:ascii="Arial" w:hAnsi="Arial" w:cs="Arial"/>
          <w:lang w:val="es-ES_tradnl"/>
        </w:rPr>
      </w:pPr>
    </w:p>
    <w:p w:rsidR="005D1B80" w:rsidRPr="004C22C2" w:rsidRDefault="005D1B80" w:rsidP="005D1B80">
      <w:pPr>
        <w:pStyle w:val="Listavistosa-nfasis11"/>
        <w:pBdr>
          <w:top w:val="single" w:sz="4" w:space="1" w:color="auto"/>
          <w:left w:val="single" w:sz="4" w:space="5" w:color="auto"/>
          <w:bottom w:val="single" w:sz="4" w:space="1" w:color="auto"/>
          <w:right w:val="single" w:sz="4" w:space="4" w:color="auto"/>
        </w:pBdr>
        <w:spacing w:after="0" w:line="240" w:lineRule="auto"/>
        <w:jc w:val="center"/>
        <w:rPr>
          <w:rFonts w:ascii="Arial" w:hAnsi="Arial" w:cs="Arial"/>
          <w:b/>
          <w:lang w:val="es-ES_tradnl"/>
        </w:rPr>
      </w:pPr>
      <w:r w:rsidRPr="004C22C2">
        <w:rPr>
          <w:rFonts w:ascii="Arial" w:hAnsi="Arial" w:cs="Arial"/>
          <w:b/>
          <w:lang w:val="es-ES_tradnl"/>
        </w:rPr>
        <w:lastRenderedPageBreak/>
        <w:t>COMENTARIOS DE LOS PONENTES</w:t>
      </w:r>
    </w:p>
    <w:p w:rsidR="00082CB4" w:rsidRPr="00031C39" w:rsidRDefault="00082CB4" w:rsidP="00031C39">
      <w:pPr>
        <w:spacing w:after="0" w:line="240" w:lineRule="auto"/>
        <w:jc w:val="both"/>
        <w:rPr>
          <w:rFonts w:ascii="Arial" w:hAnsi="Arial" w:cs="Arial"/>
          <w:sz w:val="24"/>
          <w:szCs w:val="24"/>
        </w:rPr>
      </w:pPr>
    </w:p>
    <w:p w:rsidR="00031C39" w:rsidRPr="00031C39" w:rsidRDefault="00031C39" w:rsidP="005D1B80">
      <w:pPr>
        <w:spacing w:after="0" w:line="240" w:lineRule="auto"/>
        <w:ind w:left="708"/>
        <w:jc w:val="both"/>
        <w:rPr>
          <w:rFonts w:ascii="Arial" w:hAnsi="Arial" w:cs="Arial"/>
          <w:sz w:val="24"/>
          <w:szCs w:val="24"/>
        </w:rPr>
      </w:pPr>
    </w:p>
    <w:p w:rsidR="00031C39" w:rsidRPr="00031C39" w:rsidRDefault="00031C39" w:rsidP="00031C39">
      <w:pPr>
        <w:spacing w:after="0" w:line="240" w:lineRule="auto"/>
        <w:ind w:left="708"/>
        <w:jc w:val="both"/>
        <w:rPr>
          <w:rFonts w:ascii="Arial" w:hAnsi="Arial" w:cs="Arial"/>
          <w:sz w:val="24"/>
          <w:szCs w:val="24"/>
        </w:rPr>
      </w:pPr>
      <w:r w:rsidRPr="00031C39">
        <w:rPr>
          <w:rFonts w:ascii="Arial" w:hAnsi="Arial" w:cs="Arial"/>
          <w:sz w:val="24"/>
          <w:szCs w:val="24"/>
        </w:rPr>
        <w:t>Desde el año 2000 cuando se expidió la Ley 599, Código Penal, se estableció que las conductas punibles se clasifican en Delitos y Contravenciones, sin embargo a ninguna de las conductas desarrolladas en el Código Penal se le dio la denominación de contravención.</w:t>
      </w:r>
    </w:p>
    <w:p w:rsidR="00031C39" w:rsidRPr="00031C39" w:rsidRDefault="00031C39" w:rsidP="00031C39">
      <w:pPr>
        <w:spacing w:after="0" w:line="240" w:lineRule="auto"/>
        <w:ind w:left="1068"/>
        <w:jc w:val="both"/>
        <w:rPr>
          <w:rFonts w:ascii="Arial" w:hAnsi="Arial" w:cs="Arial"/>
          <w:sz w:val="24"/>
          <w:szCs w:val="24"/>
        </w:rPr>
      </w:pPr>
    </w:p>
    <w:p w:rsidR="00031C39" w:rsidRPr="00031C39" w:rsidRDefault="00031C39" w:rsidP="00031C39">
      <w:pPr>
        <w:spacing w:after="0" w:line="240" w:lineRule="auto"/>
        <w:ind w:left="708"/>
        <w:jc w:val="both"/>
        <w:rPr>
          <w:rFonts w:ascii="Arial" w:hAnsi="Arial" w:cs="Arial"/>
          <w:sz w:val="24"/>
          <w:szCs w:val="24"/>
        </w:rPr>
      </w:pPr>
      <w:r w:rsidRPr="00031C39">
        <w:rPr>
          <w:rFonts w:ascii="Arial" w:hAnsi="Arial" w:cs="Arial"/>
          <w:sz w:val="24"/>
          <w:szCs w:val="24"/>
        </w:rPr>
        <w:t>En el año 2007, se expidió la Ley 1153 “</w:t>
      </w:r>
      <w:r w:rsidRPr="00031C39">
        <w:rPr>
          <w:rFonts w:ascii="Arial" w:hAnsi="Arial" w:cs="Arial"/>
          <w:i/>
          <w:sz w:val="24"/>
          <w:szCs w:val="24"/>
        </w:rPr>
        <w:t>por medio de la cual se establece el tratamiento de las pequeñas causas en materia penal</w:t>
      </w:r>
      <w:r w:rsidRPr="00031C39">
        <w:rPr>
          <w:rFonts w:ascii="Arial" w:hAnsi="Arial" w:cs="Arial"/>
          <w:sz w:val="24"/>
          <w:szCs w:val="24"/>
        </w:rPr>
        <w:t>”, excluyendo a la Fiscalía para la investigación de delitos considerados como de menor entidad, esta ley fue declarada inexequible por la Corte Constitucional</w:t>
      </w:r>
      <w:r w:rsidRPr="00031C39">
        <w:rPr>
          <w:rStyle w:val="Refdenotaalpie"/>
          <w:rFonts w:ascii="Arial" w:hAnsi="Arial" w:cs="Arial"/>
          <w:sz w:val="24"/>
          <w:szCs w:val="24"/>
        </w:rPr>
        <w:footnoteReference w:id="1"/>
      </w:r>
      <w:r w:rsidRPr="00031C39">
        <w:rPr>
          <w:rFonts w:ascii="Arial" w:hAnsi="Arial" w:cs="Arial"/>
          <w:sz w:val="24"/>
          <w:szCs w:val="24"/>
        </w:rPr>
        <w:t>, por desconocer el artículo 250 de la Constitución que para la época establecía en cabeza de la Fiscalía el monopolio de la acción penal.</w:t>
      </w:r>
    </w:p>
    <w:p w:rsidR="00031C39" w:rsidRPr="00031C39" w:rsidRDefault="00031C39" w:rsidP="00031C39">
      <w:pPr>
        <w:spacing w:after="0" w:line="240" w:lineRule="auto"/>
        <w:ind w:left="1068"/>
        <w:jc w:val="both"/>
        <w:rPr>
          <w:rFonts w:ascii="Arial" w:hAnsi="Arial" w:cs="Arial"/>
          <w:sz w:val="24"/>
          <w:szCs w:val="24"/>
        </w:rPr>
      </w:pPr>
    </w:p>
    <w:p w:rsidR="00031C39" w:rsidRPr="00031C39" w:rsidRDefault="00031C39" w:rsidP="00031C39">
      <w:pPr>
        <w:spacing w:after="0" w:line="240" w:lineRule="auto"/>
        <w:ind w:left="708"/>
        <w:jc w:val="both"/>
        <w:rPr>
          <w:rFonts w:ascii="Arial" w:hAnsi="Arial" w:cs="Arial"/>
          <w:sz w:val="24"/>
          <w:szCs w:val="24"/>
        </w:rPr>
      </w:pPr>
      <w:r w:rsidRPr="00031C39">
        <w:rPr>
          <w:rFonts w:ascii="Arial" w:hAnsi="Arial" w:cs="Arial"/>
          <w:sz w:val="24"/>
          <w:szCs w:val="24"/>
        </w:rPr>
        <w:t>En el año 2011 se expidió el Acto Legislativo 06 y en su artículo 2º se estableció que:</w:t>
      </w:r>
    </w:p>
    <w:p w:rsidR="00031C39" w:rsidRPr="00031C39" w:rsidRDefault="00031C39" w:rsidP="00031C39">
      <w:pPr>
        <w:spacing w:after="0" w:line="240" w:lineRule="auto"/>
        <w:ind w:left="708"/>
        <w:jc w:val="both"/>
        <w:rPr>
          <w:rFonts w:ascii="Arial" w:hAnsi="Arial" w:cs="Arial"/>
          <w:sz w:val="24"/>
          <w:szCs w:val="24"/>
        </w:rPr>
      </w:pPr>
    </w:p>
    <w:p w:rsidR="00031C39" w:rsidRPr="00031C39" w:rsidRDefault="00031C39" w:rsidP="00031C39">
      <w:pPr>
        <w:spacing w:after="0" w:line="240" w:lineRule="auto"/>
        <w:ind w:left="1416"/>
        <w:jc w:val="both"/>
        <w:rPr>
          <w:rFonts w:ascii="Arial" w:hAnsi="Arial" w:cs="Arial"/>
          <w:i/>
          <w:sz w:val="24"/>
          <w:szCs w:val="24"/>
        </w:rPr>
      </w:pPr>
      <w:r w:rsidRPr="00031C39">
        <w:rPr>
          <w:rFonts w:ascii="Arial" w:hAnsi="Arial" w:cs="Arial"/>
          <w:i/>
          <w:sz w:val="24"/>
          <w:szCs w:val="24"/>
        </w:rPr>
        <w:t xml:space="preserve"> " Atendiendo la naturaleza del bien jurídico y la menor lesividad de la conducta punible, </w:t>
      </w:r>
      <w:r w:rsidRPr="00031C39">
        <w:rPr>
          <w:rFonts w:ascii="Arial" w:hAnsi="Arial" w:cs="Arial"/>
          <w:b/>
          <w:i/>
          <w:sz w:val="24"/>
          <w:szCs w:val="24"/>
          <w:u w:val="single"/>
        </w:rPr>
        <w:t>el legislador podrá asignarle el ejercicio de la acción penal a la víctima o a otras autoridades distintas a la Fiscalía General de la Nación</w:t>
      </w:r>
      <w:r w:rsidRPr="00031C39">
        <w:rPr>
          <w:rFonts w:ascii="Arial" w:hAnsi="Arial" w:cs="Arial"/>
          <w:i/>
          <w:sz w:val="24"/>
          <w:szCs w:val="24"/>
        </w:rPr>
        <w:t xml:space="preserve">”. (Negrillas y subrayado fuera del texto original). </w:t>
      </w:r>
    </w:p>
    <w:p w:rsidR="00082CB4" w:rsidRPr="00031C39" w:rsidRDefault="00082CB4" w:rsidP="005D1B80">
      <w:pPr>
        <w:spacing w:after="0" w:line="240" w:lineRule="auto"/>
        <w:ind w:left="708"/>
        <w:jc w:val="both"/>
        <w:rPr>
          <w:rFonts w:ascii="Arial" w:hAnsi="Arial" w:cs="Arial"/>
          <w:sz w:val="24"/>
          <w:szCs w:val="24"/>
        </w:rPr>
      </w:pPr>
      <w:r w:rsidRPr="00031C39">
        <w:rPr>
          <w:rFonts w:ascii="Arial" w:hAnsi="Arial" w:cs="Arial"/>
          <w:sz w:val="24"/>
          <w:szCs w:val="24"/>
        </w:rPr>
        <w:t xml:space="preserve"> </w:t>
      </w:r>
    </w:p>
    <w:p w:rsidR="00031C39" w:rsidRPr="00031C39" w:rsidRDefault="00031C39" w:rsidP="005D1B80">
      <w:pPr>
        <w:spacing w:after="0" w:line="240" w:lineRule="auto"/>
        <w:ind w:left="708"/>
        <w:jc w:val="both"/>
        <w:rPr>
          <w:rFonts w:ascii="Arial" w:hAnsi="Arial" w:cs="Arial"/>
          <w:sz w:val="24"/>
          <w:szCs w:val="24"/>
        </w:rPr>
      </w:pPr>
    </w:p>
    <w:p w:rsidR="00031C39" w:rsidRPr="008309F3" w:rsidRDefault="00031C39" w:rsidP="00031C39">
      <w:pPr>
        <w:ind w:left="708"/>
        <w:jc w:val="both"/>
        <w:rPr>
          <w:rFonts w:ascii="Arial" w:hAnsi="Arial" w:cs="Arial"/>
          <w:sz w:val="24"/>
          <w:szCs w:val="24"/>
        </w:rPr>
      </w:pPr>
      <w:r w:rsidRPr="008309F3">
        <w:rPr>
          <w:rFonts w:ascii="Arial" w:hAnsi="Arial" w:cs="Arial"/>
          <w:sz w:val="24"/>
          <w:szCs w:val="24"/>
        </w:rPr>
        <w:t xml:space="preserve">Dados los altos índices de congestión e impunidad que se presentan en el sistema penal colombiano, tal como lo evidencia, entre otros, el estudio del funcionamiento de los diez años del Sistema Penal Acusatorio (SPA), realizado por USAID, acerca del funcionamiento del aparato judicial a nivel penal, es de extrema urgencia aplicar mecanismos que fomenten y colaboren con la descongestión del sistema. Para lograr dichos fines es necesario tomar todas las herramientas que nos presta el Estado, así una de las instituciones jurídicas que estaban olvidadas, pero legítimadas en nuestro derecho, son las contravenciones. Estas, se refieren a las conductas típica, contrarias a derecho, pero con una grado de lesividad mucho menor respecto del bien jurídico afectado. En otras palabras, se podría decir que son delitos de menor gravedad.  Debido a su menor grado de lesividad, es importante determinar qué conductas punibles, bien sean delitos existentes o nuevas conductas, son contravenciones. De ahí que se de el primer paso para crear mecanismos más expeditos respecto del juzgamiento de estas conductas punibles. Para que sea posible contribuir con la descongestión del aparato judicial. Adicional a esto, esta ley nos abre un abanico de posibilidades respectos del futuro </w:t>
      </w:r>
      <w:r w:rsidRPr="008309F3">
        <w:rPr>
          <w:rFonts w:ascii="Arial" w:hAnsi="Arial" w:cs="Arial"/>
          <w:sz w:val="24"/>
          <w:szCs w:val="24"/>
        </w:rPr>
        <w:lastRenderedPageBreak/>
        <w:t>del proceso penal en Colombia. Esta ley, más allá de introducir y determinar la existencia de las contravenciones penales en Colombia, también tiene un impacto grande a nivel penal procesal. Lo que se deriva de la introducción de un proceso abreviado y la privatización de la acción penal.</w:t>
      </w:r>
    </w:p>
    <w:p w:rsidR="00031C39" w:rsidRPr="008309F3" w:rsidRDefault="006A4B6B" w:rsidP="00031C39">
      <w:pPr>
        <w:jc w:val="both"/>
        <w:rPr>
          <w:rFonts w:ascii="Arial" w:hAnsi="Arial" w:cs="Arial"/>
          <w:b/>
          <w:sz w:val="24"/>
          <w:szCs w:val="24"/>
        </w:rPr>
      </w:pPr>
      <w:r w:rsidRPr="008309F3">
        <w:rPr>
          <w:rFonts w:ascii="Arial" w:hAnsi="Arial" w:cs="Arial"/>
          <w:sz w:val="24"/>
          <w:szCs w:val="24"/>
        </w:rPr>
        <w:tab/>
      </w:r>
      <w:r w:rsidRPr="008309F3">
        <w:rPr>
          <w:rFonts w:ascii="Arial" w:hAnsi="Arial" w:cs="Arial"/>
          <w:b/>
          <w:sz w:val="24"/>
          <w:szCs w:val="24"/>
        </w:rPr>
        <w:t xml:space="preserve">Sin duda bien vale la pena citar al profesor Larry Laudan cuando vaticina: </w:t>
      </w:r>
      <w:r w:rsidRPr="008309F3">
        <w:rPr>
          <w:rFonts w:ascii="Arial" w:hAnsi="Arial" w:cs="Arial"/>
          <w:b/>
          <w:i/>
          <w:sz w:val="24"/>
          <w:szCs w:val="24"/>
        </w:rPr>
        <w:t>“La enseñanza parece clara: El aumento del índice de condenas reduce el índice de delitos, tal y como lo predijo Beccaria. De modo contrario, la reducción del índice de condenas genera más delitos. Esto no significa que la única manera de reducir el delito sea condenar más culpables”.</w:t>
      </w:r>
      <w:r w:rsidRPr="008309F3">
        <w:rPr>
          <w:rFonts w:ascii="Arial" w:hAnsi="Arial" w:cs="Arial"/>
          <w:b/>
          <w:sz w:val="24"/>
          <w:szCs w:val="24"/>
        </w:rPr>
        <w:t xml:space="preserve"> Pero bien vale reafirmar lo siguiente </w:t>
      </w:r>
      <w:r w:rsidRPr="008309F3">
        <w:rPr>
          <w:rFonts w:ascii="Arial" w:hAnsi="Arial" w:cs="Arial"/>
          <w:b/>
          <w:i/>
          <w:sz w:val="24"/>
          <w:szCs w:val="24"/>
        </w:rPr>
        <w:t xml:space="preserve">”El delito se previene de manera más efectiva a través de la certeza del castigo que de su severidad” </w:t>
      </w:r>
      <w:r w:rsidRPr="008309F3">
        <w:rPr>
          <w:rFonts w:ascii="Arial" w:hAnsi="Arial" w:cs="Arial"/>
          <w:b/>
          <w:sz w:val="24"/>
          <w:szCs w:val="24"/>
        </w:rPr>
        <w:t>(Larry Laudan – El estándar de pruebas y las garantías en el proceso penal. Editorial Hammurabi</w:t>
      </w:r>
      <w:r w:rsidR="00585497" w:rsidRPr="008309F3">
        <w:rPr>
          <w:rFonts w:ascii="Arial" w:hAnsi="Arial" w:cs="Arial"/>
          <w:b/>
          <w:sz w:val="24"/>
          <w:szCs w:val="24"/>
        </w:rPr>
        <w:t xml:space="preserve"> – 2.015. </w:t>
      </w:r>
      <w:r w:rsidRPr="008309F3">
        <w:rPr>
          <w:rFonts w:ascii="Arial" w:hAnsi="Arial" w:cs="Arial"/>
          <w:b/>
          <w:sz w:val="24"/>
          <w:szCs w:val="24"/>
        </w:rPr>
        <w:t>Pág. 222</w:t>
      </w:r>
      <w:r w:rsidR="00585497" w:rsidRPr="008309F3">
        <w:rPr>
          <w:rFonts w:ascii="Arial" w:hAnsi="Arial" w:cs="Arial"/>
          <w:b/>
          <w:sz w:val="24"/>
          <w:szCs w:val="24"/>
        </w:rPr>
        <w:t>)</w:t>
      </w:r>
      <w:r w:rsidRPr="008309F3">
        <w:rPr>
          <w:rFonts w:ascii="Arial" w:hAnsi="Arial" w:cs="Arial"/>
          <w:b/>
          <w:i/>
          <w:sz w:val="24"/>
          <w:szCs w:val="24"/>
        </w:rPr>
        <w:t xml:space="preserve"> </w:t>
      </w:r>
      <w:r w:rsidRPr="008309F3">
        <w:rPr>
          <w:rFonts w:ascii="Arial" w:hAnsi="Arial" w:cs="Arial"/>
          <w:b/>
          <w:sz w:val="24"/>
          <w:szCs w:val="24"/>
        </w:rPr>
        <w:t>La clave de todo está entonces en un modelo eficiente de justicia, esta legislación, apuesta en el camino correcto, por la eficiencia!!</w:t>
      </w:r>
    </w:p>
    <w:p w:rsidR="00031C39" w:rsidRPr="008309F3" w:rsidRDefault="00031C39" w:rsidP="00031C39">
      <w:pPr>
        <w:ind w:left="708"/>
        <w:jc w:val="both"/>
        <w:rPr>
          <w:rFonts w:ascii="Arial" w:hAnsi="Arial" w:cs="Arial"/>
          <w:sz w:val="24"/>
          <w:szCs w:val="24"/>
        </w:rPr>
      </w:pPr>
      <w:r w:rsidRPr="008309F3">
        <w:rPr>
          <w:rFonts w:ascii="Arial" w:hAnsi="Arial" w:cs="Arial"/>
          <w:sz w:val="24"/>
          <w:szCs w:val="24"/>
        </w:rPr>
        <w:t>Ambas instituciones procesales resultan de gran aporte para el futuro del derecho penal procesal del país. Lo anterior, porque a través del juzgamiento de contravenciones dentro de un proceso penal abreviado de dos audiencias, la ley, en términos prácticos, resulta ideal para analizar la eficacia de este nuevo sistema y contemplar la posibilidad de aplicar dicho procedimiento abreviado al juzgamiento de delitos en caso que este resulte eficaz. Por el otro lado, la labor del Fiscal, seguramente se verá beneficiada con la privatización de la acción penal. Esto, en tanto la carga de casos a cargo de un solo Fiscal tiene que disminuir y además, le da una participación más activa a la víctima dentro del proceso. Así, se supone que si es la misma víctima la que ejerza la acción penal, esto implica un mayor compromiso de la misma, pues es la mayor interesada. Por consiguiente, las investigaciones dentro de la indagación, se realizaran de manera más rápida, lo cual deriva en la agilización del proceso penal.</w:t>
      </w:r>
    </w:p>
    <w:p w:rsidR="00031C39" w:rsidRPr="008309F3" w:rsidRDefault="00031C39" w:rsidP="00031C39">
      <w:pPr>
        <w:jc w:val="both"/>
        <w:rPr>
          <w:rFonts w:ascii="Arial" w:hAnsi="Arial" w:cs="Arial"/>
          <w:sz w:val="24"/>
          <w:szCs w:val="24"/>
        </w:rPr>
      </w:pPr>
    </w:p>
    <w:p w:rsidR="00031C39" w:rsidRPr="008309F3" w:rsidRDefault="00031C39" w:rsidP="00031C39">
      <w:pPr>
        <w:ind w:left="708"/>
        <w:jc w:val="both"/>
        <w:rPr>
          <w:rFonts w:ascii="Arial" w:hAnsi="Arial" w:cs="Arial"/>
          <w:sz w:val="24"/>
          <w:szCs w:val="24"/>
        </w:rPr>
      </w:pPr>
      <w:r w:rsidRPr="008309F3">
        <w:rPr>
          <w:rFonts w:ascii="Arial" w:hAnsi="Arial" w:cs="Arial"/>
          <w:sz w:val="24"/>
          <w:szCs w:val="24"/>
        </w:rPr>
        <w:t xml:space="preserve">Finalmente, este proyecto de ley también resulta ser la oportunidad idónea para que se fomente la oralidad dentro del sistema judicial. Lo anterior, se ve reflejado en la forma de notificar del escrito de acusación al investigado, en tanto todo el proceso respecto de este punto se realiza en el despacho del fiscal. De ahí, que ya no sea necesario solicitar audiencia ante el juez, esperar la fijación de la fecha, etc. Estas prácticas como se puede ver, liberan de formalidad al sistema que se traduce en procedimientos más expeditos. El hecho de poder disponer de la </w:t>
      </w:r>
      <w:r w:rsidRPr="008309F3">
        <w:rPr>
          <w:rFonts w:ascii="Arial" w:hAnsi="Arial" w:cs="Arial"/>
          <w:sz w:val="24"/>
          <w:szCs w:val="24"/>
        </w:rPr>
        <w:lastRenderedPageBreak/>
        <w:t>presencia del juez para un acto que termina siendo meramente informativo</w:t>
      </w:r>
      <w:r w:rsidRPr="008309F3">
        <w:rPr>
          <w:rStyle w:val="Refdenotaalpie"/>
          <w:rFonts w:ascii="Arial" w:hAnsi="Arial" w:cs="Arial"/>
          <w:sz w:val="24"/>
          <w:szCs w:val="24"/>
        </w:rPr>
        <w:footnoteReference w:id="2"/>
      </w:r>
      <w:r w:rsidRPr="008309F3">
        <w:rPr>
          <w:rFonts w:ascii="Arial" w:hAnsi="Arial" w:cs="Arial"/>
          <w:sz w:val="24"/>
          <w:szCs w:val="24"/>
        </w:rPr>
        <w:t xml:space="preserve"> es un claro avance en la preocupación del Estado para mejorar la respuesta del órgano judicial. </w:t>
      </w:r>
    </w:p>
    <w:p w:rsidR="00031C39" w:rsidRPr="008309F3" w:rsidRDefault="00031C39" w:rsidP="00031C39">
      <w:pPr>
        <w:jc w:val="both"/>
        <w:rPr>
          <w:rFonts w:ascii="Arial" w:hAnsi="Arial" w:cs="Arial"/>
          <w:sz w:val="24"/>
          <w:szCs w:val="24"/>
        </w:rPr>
      </w:pPr>
    </w:p>
    <w:p w:rsidR="00031C39" w:rsidRPr="008309F3" w:rsidRDefault="00031C39" w:rsidP="00A4173F">
      <w:pPr>
        <w:ind w:firstLine="708"/>
        <w:jc w:val="both"/>
        <w:rPr>
          <w:rFonts w:ascii="Arial" w:hAnsi="Arial" w:cs="Arial"/>
          <w:b/>
          <w:sz w:val="24"/>
          <w:szCs w:val="24"/>
        </w:rPr>
      </w:pPr>
      <w:r w:rsidRPr="008309F3">
        <w:rPr>
          <w:rFonts w:ascii="Arial" w:hAnsi="Arial" w:cs="Arial"/>
          <w:b/>
          <w:sz w:val="24"/>
          <w:szCs w:val="24"/>
        </w:rPr>
        <w:t>Contravenciones</w:t>
      </w:r>
    </w:p>
    <w:p w:rsidR="00031C39" w:rsidRPr="00031C39" w:rsidRDefault="00031C39" w:rsidP="00031C39">
      <w:pPr>
        <w:ind w:left="708"/>
        <w:jc w:val="both"/>
        <w:rPr>
          <w:rFonts w:ascii="Arial" w:hAnsi="Arial" w:cs="Arial"/>
          <w:sz w:val="24"/>
          <w:szCs w:val="24"/>
        </w:rPr>
      </w:pPr>
      <w:r w:rsidRPr="008309F3">
        <w:rPr>
          <w:rFonts w:ascii="Arial" w:hAnsi="Arial" w:cs="Arial"/>
          <w:sz w:val="24"/>
          <w:szCs w:val="24"/>
        </w:rPr>
        <w:t xml:space="preserve">Claus Roxin, ha entendido que una de las funciones de los bienes jurídicos es precisamente la de esclarecer los problemas del límite del </w:t>
      </w:r>
      <w:r w:rsidRPr="008309F3">
        <w:rPr>
          <w:rFonts w:ascii="Arial" w:hAnsi="Arial" w:cs="Arial"/>
          <w:i/>
          <w:sz w:val="24"/>
          <w:szCs w:val="24"/>
        </w:rPr>
        <w:t>ius puniendi</w:t>
      </w:r>
      <w:r w:rsidRPr="008309F3">
        <w:rPr>
          <w:rFonts w:ascii="Arial" w:hAnsi="Arial" w:cs="Arial"/>
          <w:sz w:val="24"/>
          <w:szCs w:val="24"/>
        </w:rPr>
        <w:t xml:space="preserve"> estatal</w:t>
      </w:r>
      <w:r w:rsidRPr="008309F3">
        <w:rPr>
          <w:rStyle w:val="Refdenotaalpie"/>
          <w:rFonts w:ascii="Arial" w:hAnsi="Arial" w:cs="Arial"/>
          <w:sz w:val="24"/>
          <w:szCs w:val="24"/>
        </w:rPr>
        <w:footnoteReference w:id="3"/>
      </w:r>
      <w:r w:rsidRPr="008309F3">
        <w:rPr>
          <w:rFonts w:ascii="Arial" w:hAnsi="Arial" w:cs="Arial"/>
          <w:sz w:val="24"/>
          <w:szCs w:val="24"/>
        </w:rPr>
        <w:t>. En este sentido,  el entendimiento de dichos límites permite dar soluciones racionales a los problemas derivados de la protección a los bienes jurídicos. De ahí que a través  de criterios como el principio de insignificancia o de la proporcionalidad, entre otros, podamos hoy en día entender que no todos los bienes jurídicos tienen la misma importancia. Y de allí que puedan haber penas mayores o menores respecto del mismo delito. Del mismo modo, los desvalores que se ven evidenciados en la realización de determinada conducta encaminada a la realización de un tipo penal también resultan cruciales para tasar la gravedad de la pena. En otras palabras, no todas las conductas constan de la misma gravedad. Así por ejemplo, no representa lo mismo cometer un homicidio que unas declaraciones injuriosas, en tanto el daño realizado a la sociedad es distinto. Por ende, hay conductas que, si bien, son graves y es necesario que el  poder punitivo del Estado entre en acción, el desvalor de la misma no resulta siendo tan gravoso. Por ello es totalmente válido que existan delitos, entendidos como las conductas más reprochables dentro de la sociedad, y por otro lado, también existan las contravenciones, entendidas como el incumplimiento de la ley de conductas punibles menos gravosas.</w:t>
      </w:r>
      <w:r w:rsidRPr="00031C39">
        <w:rPr>
          <w:rFonts w:ascii="Arial" w:hAnsi="Arial" w:cs="Arial"/>
          <w:sz w:val="24"/>
          <w:szCs w:val="24"/>
        </w:rPr>
        <w:t xml:space="preserve"> </w:t>
      </w:r>
    </w:p>
    <w:p w:rsidR="00031C39" w:rsidRPr="00031C39" w:rsidRDefault="00031C39" w:rsidP="00031C39">
      <w:pPr>
        <w:spacing w:after="0" w:line="240" w:lineRule="auto"/>
        <w:ind w:left="708"/>
        <w:jc w:val="both"/>
        <w:rPr>
          <w:rFonts w:ascii="Arial" w:hAnsi="Arial" w:cs="Arial"/>
          <w:sz w:val="24"/>
          <w:szCs w:val="24"/>
        </w:rPr>
      </w:pPr>
      <w:r w:rsidRPr="00031C39">
        <w:rPr>
          <w:rFonts w:ascii="Arial" w:hAnsi="Arial" w:cs="Arial"/>
          <w:sz w:val="24"/>
          <w:szCs w:val="24"/>
        </w:rPr>
        <w:t xml:space="preserve">De acuerdo con lo anterior, la normatividad relacionada anteriormente y luego de superado el límite constitucional, se trae a consideración del Congreso de la República un Proyecto de Ley, mediante el cual se desarrollan las contravenciones, como conductas punibles de menor lesividad. </w:t>
      </w:r>
    </w:p>
    <w:p w:rsidR="00031C39" w:rsidRPr="00031C39" w:rsidRDefault="00031C39" w:rsidP="00031C39">
      <w:pPr>
        <w:spacing w:after="0" w:line="240" w:lineRule="auto"/>
        <w:ind w:left="708"/>
        <w:jc w:val="both"/>
        <w:rPr>
          <w:rFonts w:ascii="Arial" w:hAnsi="Arial" w:cs="Arial"/>
          <w:sz w:val="24"/>
          <w:szCs w:val="24"/>
        </w:rPr>
      </w:pPr>
    </w:p>
    <w:p w:rsidR="00031C39" w:rsidRPr="00031C39" w:rsidRDefault="00031C39" w:rsidP="00031C39">
      <w:pPr>
        <w:spacing w:after="0" w:line="240" w:lineRule="auto"/>
        <w:ind w:left="708"/>
        <w:jc w:val="both"/>
        <w:rPr>
          <w:rFonts w:ascii="Arial" w:hAnsi="Arial" w:cs="Arial"/>
          <w:sz w:val="24"/>
          <w:szCs w:val="24"/>
        </w:rPr>
      </w:pPr>
      <w:r w:rsidRPr="00031C39">
        <w:rPr>
          <w:rFonts w:ascii="Arial" w:hAnsi="Arial" w:cs="Arial"/>
          <w:sz w:val="24"/>
          <w:szCs w:val="24"/>
        </w:rPr>
        <w:t xml:space="preserve">Para determinar de manera objetiva qué conductas revisten estas características, se definieron como contravenciones los delitos definidos en el Código Penal y Código de Procedimiento Penal como querellables, es decir aquellos que no se </w:t>
      </w:r>
      <w:r w:rsidRPr="00031C39">
        <w:rPr>
          <w:rFonts w:ascii="Arial" w:hAnsi="Arial" w:cs="Arial"/>
          <w:sz w:val="24"/>
          <w:szCs w:val="24"/>
        </w:rPr>
        <w:lastRenderedPageBreak/>
        <w:t xml:space="preserve">investigan de oficio sino solo a petición de parte y antes del inicio del proceso se trata de conciliar previamente entre el querellante y el presunto autor de la conducta punible. </w:t>
      </w:r>
    </w:p>
    <w:p w:rsidR="00031C39" w:rsidRPr="00031C39" w:rsidRDefault="00031C39" w:rsidP="00031C39">
      <w:pPr>
        <w:spacing w:after="0" w:line="240" w:lineRule="auto"/>
        <w:ind w:left="708"/>
        <w:jc w:val="both"/>
        <w:rPr>
          <w:rFonts w:ascii="Arial" w:hAnsi="Arial" w:cs="Arial"/>
          <w:sz w:val="24"/>
          <w:szCs w:val="24"/>
        </w:rPr>
      </w:pPr>
    </w:p>
    <w:p w:rsidR="00031C39" w:rsidRPr="00031C39" w:rsidRDefault="00031C39" w:rsidP="00031C39">
      <w:pPr>
        <w:ind w:left="708"/>
        <w:jc w:val="both"/>
        <w:rPr>
          <w:rFonts w:ascii="Arial" w:hAnsi="Arial" w:cs="Arial"/>
          <w:sz w:val="24"/>
          <w:szCs w:val="24"/>
        </w:rPr>
      </w:pPr>
      <w:r w:rsidRPr="00031C39">
        <w:rPr>
          <w:rFonts w:ascii="Arial" w:hAnsi="Arial" w:cs="Arial"/>
          <w:sz w:val="24"/>
          <w:szCs w:val="24"/>
        </w:rPr>
        <w:t>Estas contravenciones penales, nada tienen que ver con los contravenciones del Código de Policía, en el que se regulan las conductas sociales menos graves, para procurar la convivencia pacífica entre las personas, por su parte las contravenciones penales buscan resolver judicialmente los actos ya realizados con los cuales se ha causado daño a un bien jurídico tutelado que protege determinados derechos.</w:t>
      </w:r>
    </w:p>
    <w:p w:rsidR="00031C39" w:rsidRPr="00031C39" w:rsidRDefault="00031C39" w:rsidP="00031C39">
      <w:pPr>
        <w:jc w:val="both"/>
        <w:rPr>
          <w:rFonts w:ascii="Arial" w:hAnsi="Arial" w:cs="Arial"/>
          <w:sz w:val="24"/>
          <w:szCs w:val="24"/>
        </w:rPr>
      </w:pPr>
    </w:p>
    <w:p w:rsidR="00031C39" w:rsidRPr="008309F3" w:rsidRDefault="00031C39" w:rsidP="00031C39">
      <w:pPr>
        <w:ind w:left="708"/>
        <w:jc w:val="both"/>
        <w:rPr>
          <w:rFonts w:ascii="Arial" w:hAnsi="Arial" w:cs="Arial"/>
          <w:sz w:val="24"/>
          <w:szCs w:val="24"/>
        </w:rPr>
      </w:pPr>
      <w:r w:rsidRPr="008309F3">
        <w:rPr>
          <w:rFonts w:ascii="Arial" w:hAnsi="Arial" w:cs="Arial"/>
          <w:sz w:val="24"/>
          <w:szCs w:val="24"/>
        </w:rPr>
        <w:t>De ahí que sea totalmente válido dar un trato diferenciado, por ejemplo, la aplicación de procesos distintos a delitos y contravenciones, fundamentado esto en el artículo 13 de la Constitución. Sin embargo, lo que sí debe tener en cuenta el presente proceso de ley es que dicho tratamiento no puede ser arbitrario. Al respecto, la Corte Constitucional a dicho en sentencia C1112 de 2000 que</w:t>
      </w:r>
    </w:p>
    <w:p w:rsidR="00031C39" w:rsidRPr="008309F3" w:rsidRDefault="00031C39" w:rsidP="00031C39">
      <w:pPr>
        <w:jc w:val="both"/>
        <w:rPr>
          <w:rFonts w:ascii="Arial" w:hAnsi="Arial" w:cs="Arial"/>
          <w:sz w:val="24"/>
          <w:szCs w:val="24"/>
        </w:rPr>
      </w:pPr>
    </w:p>
    <w:p w:rsidR="00031C39" w:rsidRPr="008309F3" w:rsidRDefault="00031C39" w:rsidP="00031C39">
      <w:pPr>
        <w:pStyle w:val="NormalWeb"/>
        <w:ind w:left="708"/>
        <w:jc w:val="both"/>
        <w:rPr>
          <w:rFonts w:ascii="Arial" w:hAnsi="Arial" w:cs="Arial"/>
          <w:i/>
          <w:iCs/>
          <w:color w:val="000000"/>
          <w:shd w:val="clear" w:color="auto" w:fill="FFFFFF"/>
        </w:rPr>
      </w:pPr>
      <w:r w:rsidRPr="008309F3">
        <w:rPr>
          <w:rFonts w:ascii="Arial" w:hAnsi="Arial" w:cs="Arial"/>
        </w:rPr>
        <w:t>“</w:t>
      </w:r>
      <w:r w:rsidRPr="008309F3">
        <w:rPr>
          <w:rFonts w:ascii="Arial" w:hAnsi="Arial" w:cs="Arial"/>
          <w:i/>
          <w:iCs/>
          <w:color w:val="000000"/>
          <w:shd w:val="clear" w:color="auto" w:fill="FFFFFF"/>
        </w:rPr>
        <w:t>La aplicación de un régimen procesal correspondiente a las contravenciones y otro a los delitos ha de ser el resultado de la ponderación de todos los derechos en juego; y si bien, en varias ocasiones, la Corte ha autorizado un trato diferenciado entre personas que han sido vinculadas al proceso penal, pues ha considerado que las distinciones hechas por el legislador en el juzgamiento o en el tratamiento penitenciario de delitos y contravenciones son posibles en la medida en que unos y otros se fundamentan en criterios de razonabilidad y proporcionalidad, tal circunstancia no puede convertirse en una forma de menoscabar las garantías del procesado, haciendo, por ejemplo, más gravosa la situación del contraventor, o impidiendo al delincuente el ejercicio pleno de sus derechos.”</w:t>
      </w:r>
    </w:p>
    <w:p w:rsidR="00031C39" w:rsidRPr="00031C39" w:rsidRDefault="00031C39" w:rsidP="00031C39">
      <w:pPr>
        <w:ind w:left="708"/>
        <w:jc w:val="both"/>
        <w:rPr>
          <w:rFonts w:ascii="Arial" w:hAnsi="Arial" w:cs="Arial"/>
          <w:sz w:val="24"/>
          <w:szCs w:val="24"/>
        </w:rPr>
      </w:pPr>
      <w:r w:rsidRPr="008309F3">
        <w:rPr>
          <w:rFonts w:ascii="Arial" w:hAnsi="Arial" w:cs="Arial"/>
          <w:sz w:val="24"/>
          <w:szCs w:val="24"/>
        </w:rPr>
        <w:t xml:space="preserve">Por otro lado, este proyecto de ley es el mecanismo perfecto para poder fortalecer el talante oral de nuestro sistema penal. Esto en el sentido que al estar ante conductas punibles de menor gravedad, se pueden aplicar procesos que impulsen la oralidad del sistema. Lo anterior, con el fin de que por un lado se ayude con la descongestión del sistema y por el otro lado, con vistas al futuro de todo el sistema penal. En tanto, si se demuestra la efectividad de los procesos que se pretenden introducir en el ordenamiento con esta ley, si demuestran que pueden ser expeditos y que hacen un buen uso de los medios de tecnología, entonces pueden </w:t>
      </w:r>
      <w:r w:rsidRPr="008309F3">
        <w:rPr>
          <w:rFonts w:ascii="Arial" w:hAnsi="Arial" w:cs="Arial"/>
          <w:sz w:val="24"/>
          <w:szCs w:val="24"/>
        </w:rPr>
        <w:lastRenderedPageBreak/>
        <w:t>sentar la base para futuras reformas a los procedimientos de delitos, para que estos funcionen de forma mas eficiente.</w:t>
      </w:r>
    </w:p>
    <w:p w:rsidR="00031C39" w:rsidRPr="00031C39" w:rsidRDefault="00031C39" w:rsidP="00031C39">
      <w:pPr>
        <w:jc w:val="both"/>
        <w:rPr>
          <w:rFonts w:ascii="Arial" w:hAnsi="Arial" w:cs="Arial"/>
          <w:sz w:val="24"/>
          <w:szCs w:val="24"/>
        </w:rPr>
      </w:pPr>
    </w:p>
    <w:p w:rsidR="00031C39" w:rsidRPr="00031C39" w:rsidRDefault="00031C39" w:rsidP="00031C39">
      <w:pPr>
        <w:ind w:left="708"/>
        <w:jc w:val="both"/>
        <w:rPr>
          <w:rFonts w:ascii="Arial" w:hAnsi="Arial" w:cs="Arial"/>
          <w:b/>
          <w:sz w:val="24"/>
          <w:szCs w:val="24"/>
        </w:rPr>
      </w:pPr>
      <w:r w:rsidRPr="00031C39">
        <w:rPr>
          <w:rFonts w:ascii="Arial" w:hAnsi="Arial" w:cs="Arial"/>
          <w:b/>
          <w:sz w:val="24"/>
          <w:szCs w:val="24"/>
        </w:rPr>
        <w:t>Del proceso abreviado</w:t>
      </w:r>
    </w:p>
    <w:p w:rsidR="00031C39" w:rsidRPr="00031C39" w:rsidRDefault="00031C39" w:rsidP="00031C39">
      <w:pPr>
        <w:spacing w:after="0" w:line="240" w:lineRule="auto"/>
        <w:ind w:left="708"/>
        <w:jc w:val="both"/>
        <w:rPr>
          <w:rFonts w:ascii="Arial" w:hAnsi="Arial" w:cs="Arial"/>
          <w:sz w:val="24"/>
          <w:szCs w:val="24"/>
        </w:rPr>
      </w:pPr>
      <w:r w:rsidRPr="00031C39">
        <w:rPr>
          <w:rFonts w:ascii="Arial" w:hAnsi="Arial" w:cs="Arial"/>
          <w:sz w:val="24"/>
          <w:szCs w:val="24"/>
        </w:rPr>
        <w:t>Adicional a esto, se consagra un procedimiento especial abreviado para el trámite de las contravenciones, a través de una audiencia concentrada en la que se reúne la etapa de conciliación, la posibilidad de que el procesado se allane a los cargos, se presente el material probatorio que hay en contra del procesado y con esto, se reúnen en una sola, la audiencia de acusación y la audiencia preparatoria que se realizan en el procedimiento penal ordinario.</w:t>
      </w:r>
    </w:p>
    <w:p w:rsidR="00031C39" w:rsidRPr="00031C39" w:rsidRDefault="00031C39" w:rsidP="00031C39">
      <w:pPr>
        <w:spacing w:after="0" w:line="240" w:lineRule="auto"/>
        <w:ind w:left="708"/>
        <w:jc w:val="both"/>
        <w:rPr>
          <w:rFonts w:ascii="Arial" w:hAnsi="Arial" w:cs="Arial"/>
          <w:sz w:val="24"/>
          <w:szCs w:val="24"/>
        </w:rPr>
      </w:pPr>
    </w:p>
    <w:p w:rsidR="00031C39" w:rsidRPr="00031C39" w:rsidRDefault="00031C39" w:rsidP="00031C39">
      <w:pPr>
        <w:spacing w:after="0" w:line="240" w:lineRule="auto"/>
        <w:ind w:left="708"/>
        <w:jc w:val="both"/>
        <w:rPr>
          <w:rFonts w:ascii="Arial" w:hAnsi="Arial" w:cs="Arial"/>
          <w:sz w:val="24"/>
          <w:szCs w:val="24"/>
        </w:rPr>
      </w:pPr>
      <w:r w:rsidRPr="00031C39">
        <w:rPr>
          <w:rFonts w:ascii="Arial" w:hAnsi="Arial" w:cs="Arial"/>
          <w:sz w:val="24"/>
          <w:szCs w:val="24"/>
        </w:rPr>
        <w:t>Posterior a la audiencia concentrada se realiza la audiencia de juicio oral y, en lugar de la audiencia de lectura de fallo, este se comunica en forma escrita a las partes.</w:t>
      </w:r>
    </w:p>
    <w:p w:rsidR="00031C39" w:rsidRPr="00031C39" w:rsidRDefault="00031C39" w:rsidP="00031C39">
      <w:pPr>
        <w:spacing w:after="0" w:line="240" w:lineRule="auto"/>
        <w:ind w:left="708"/>
        <w:jc w:val="both"/>
        <w:rPr>
          <w:rFonts w:ascii="Arial" w:hAnsi="Arial" w:cs="Arial"/>
          <w:sz w:val="24"/>
          <w:szCs w:val="24"/>
        </w:rPr>
      </w:pPr>
    </w:p>
    <w:p w:rsidR="00031C39" w:rsidRPr="008309F3" w:rsidRDefault="00031C39" w:rsidP="00031C39">
      <w:pPr>
        <w:spacing w:after="0" w:line="240" w:lineRule="auto"/>
        <w:ind w:left="708"/>
        <w:jc w:val="both"/>
        <w:rPr>
          <w:rFonts w:ascii="Arial" w:hAnsi="Arial" w:cs="Arial"/>
          <w:sz w:val="24"/>
          <w:szCs w:val="24"/>
        </w:rPr>
      </w:pPr>
      <w:r w:rsidRPr="008309F3">
        <w:rPr>
          <w:rFonts w:ascii="Arial" w:hAnsi="Arial" w:cs="Arial"/>
          <w:sz w:val="24"/>
          <w:szCs w:val="24"/>
        </w:rPr>
        <w:t xml:space="preserve">Con este procedimiento se reúnen en dos audiencias las cinco audiencias del proceso penal ordinario – Audiencia de Formulación de Imputación, Audiencia de Formulación de Acusación, Audiencia Preparatoria, Audiencia de Juicio Oral y Audiencia de Lectura de Fallo-. Es de tener en cuenta que el procedimiento norteamericano funciona precisamente de esta manera, con tan solo dos audiencias (acusación y juicio).  Así, es importante hacer hincapié en una de las motivaciones del primer debate, en la cual se menciona que </w:t>
      </w:r>
    </w:p>
    <w:p w:rsidR="00031C39" w:rsidRPr="008309F3" w:rsidRDefault="00031C39" w:rsidP="00031C39">
      <w:pPr>
        <w:jc w:val="both"/>
        <w:rPr>
          <w:rFonts w:ascii="Arial" w:hAnsi="Arial" w:cs="Arial"/>
          <w:sz w:val="24"/>
          <w:szCs w:val="24"/>
        </w:rPr>
      </w:pPr>
    </w:p>
    <w:p w:rsidR="00031C39" w:rsidRPr="008309F3" w:rsidRDefault="00031C39" w:rsidP="00031C39">
      <w:pPr>
        <w:ind w:left="708"/>
        <w:jc w:val="both"/>
        <w:rPr>
          <w:rFonts w:ascii="Arial" w:hAnsi="Arial" w:cs="Arial"/>
          <w:sz w:val="24"/>
          <w:szCs w:val="24"/>
        </w:rPr>
      </w:pPr>
      <w:r w:rsidRPr="008309F3">
        <w:rPr>
          <w:rFonts w:ascii="Arial" w:hAnsi="Arial" w:cs="Arial"/>
          <w:sz w:val="24"/>
          <w:szCs w:val="24"/>
        </w:rPr>
        <w:t>“éste proyecto está encaminado a  dotar de mayor agilidad los procedimientos que se consideran de menor entidad, no porque su impacto sea menor, sino porque reviste de mayor importancia para la víctima que para el mismo Estado.”</w:t>
      </w:r>
    </w:p>
    <w:p w:rsidR="00031C39" w:rsidRPr="008309F3" w:rsidRDefault="00031C39" w:rsidP="00031C39">
      <w:pPr>
        <w:jc w:val="both"/>
        <w:rPr>
          <w:rFonts w:ascii="Arial" w:hAnsi="Arial" w:cs="Arial"/>
          <w:sz w:val="24"/>
          <w:szCs w:val="24"/>
        </w:rPr>
      </w:pPr>
    </w:p>
    <w:p w:rsidR="00031C39" w:rsidRPr="008309F3" w:rsidRDefault="00031C39" w:rsidP="00031C39">
      <w:pPr>
        <w:ind w:left="708"/>
        <w:jc w:val="both"/>
        <w:rPr>
          <w:rFonts w:ascii="Arial" w:hAnsi="Arial" w:cs="Arial"/>
          <w:b/>
          <w:sz w:val="24"/>
          <w:szCs w:val="24"/>
        </w:rPr>
      </w:pPr>
      <w:r w:rsidRPr="008309F3">
        <w:rPr>
          <w:rFonts w:ascii="Arial" w:hAnsi="Arial" w:cs="Arial"/>
          <w:sz w:val="24"/>
          <w:szCs w:val="24"/>
        </w:rPr>
        <w:t>Si bien puede ser cierto que para la víctima revista mayor importancia para el Estado en términos patrimoniales o de resarcimiento, para el Estado en realidad reviste una mayor importancia en términos de descongestión al sistema judicial. Esta ley, por ende, debe verse no solo como una forma de agilizar procesos que revisten menor peligro para los bienes jurídicos, sino como una especie de prototipo para el futuro del sistema penal acusatorio. Si el procedimiento abreviado propuesto resultan siendo  efectivo, el mismo se podría aplicar al juzgamiento de delitos, descongestionando en gran medida el sistema penal.</w:t>
      </w:r>
    </w:p>
    <w:p w:rsidR="00031C39" w:rsidRPr="008309F3" w:rsidRDefault="00031C39" w:rsidP="00031C39">
      <w:pPr>
        <w:ind w:left="708"/>
        <w:jc w:val="both"/>
        <w:rPr>
          <w:rFonts w:ascii="Arial" w:hAnsi="Arial" w:cs="Arial"/>
          <w:sz w:val="24"/>
          <w:szCs w:val="24"/>
        </w:rPr>
      </w:pPr>
      <w:r w:rsidRPr="008309F3">
        <w:rPr>
          <w:rFonts w:ascii="Arial" w:hAnsi="Arial" w:cs="Arial"/>
          <w:sz w:val="24"/>
          <w:szCs w:val="24"/>
        </w:rPr>
        <w:t xml:space="preserve">Una de las razones para que en el proceso ordinario la fiscalía enuncie pruebas en la audiencia acusatoria y posteriormente la defensa enuncie y solicite pruebas </w:t>
      </w:r>
      <w:r w:rsidRPr="008309F3">
        <w:rPr>
          <w:rFonts w:ascii="Arial" w:hAnsi="Arial" w:cs="Arial"/>
          <w:sz w:val="24"/>
          <w:szCs w:val="24"/>
        </w:rPr>
        <w:lastRenderedPageBreak/>
        <w:t xml:space="preserve">en la audiencia preparatoria junto a la fiscalía, es para darle tiempo a las partes para prepararse y poder tomar las estrategias jurídicas necesarias para desvirtuar las pruebas de la contra parte en el juicio oral y así salir una parte victoriosa y la otra derrotada.  Por esta razón, lo realmente importante es que exista tiempo suficiente para poder preparar el juicio una vez se conocen las pruebas que se harán valer. En este sentido, sería conveniente que en caso de que hubiese un concurso entre una contravención y un delito, se siguiera con el procedimiento abreviado, en tanto no se vulnera ningún derecho de las partes siguiendo este procedimiento. En la medida que igualmente pueden ejercitar su derecho a la defensa, y además tendrán un tiempo prudencia para preparar la audiencia de juicio. Así, el artículo 534 del proyecto debería expandir el ámbito de aplicación del procedimiento abreviado al concurso de una contravención con un delito,  y en caso de que el concurso se presente con dos o más delitos, si seguir el procedimiento ordinario. Lo anterior con el fin de determinar la eficacia del procedimiento no solo ante contravenciones, si no también ante delitos. Esto además, porque dentro del mismo artículo se menciona que habrán ciertos delitos que se juzgaran por medio de este procedimiento. Por ende, no se encuentra razón para no permitir al menos la realización del proceso abreviado cuando el concurso de una contravención se de con un delito. Lo anterior, resultaría muy provechoso, porque por un lado ayudaría aun más con la descongestión del sistema y por el otro, permitiría observar la idoneidad del procedimiento respecto de delitos. </w:t>
      </w:r>
    </w:p>
    <w:p w:rsidR="00031C39" w:rsidRPr="008309F3" w:rsidRDefault="00031C39" w:rsidP="00031C39">
      <w:pPr>
        <w:jc w:val="both"/>
        <w:rPr>
          <w:rFonts w:ascii="Arial" w:hAnsi="Arial" w:cs="Arial"/>
          <w:sz w:val="24"/>
          <w:szCs w:val="24"/>
        </w:rPr>
      </w:pPr>
    </w:p>
    <w:p w:rsidR="00031C39" w:rsidRPr="00031C39" w:rsidRDefault="00031C39" w:rsidP="00031C39">
      <w:pPr>
        <w:ind w:left="708"/>
        <w:jc w:val="both"/>
        <w:rPr>
          <w:rFonts w:ascii="Arial" w:hAnsi="Arial" w:cs="Arial"/>
          <w:sz w:val="24"/>
          <w:szCs w:val="24"/>
        </w:rPr>
      </w:pPr>
      <w:r w:rsidRPr="008309F3">
        <w:rPr>
          <w:rFonts w:ascii="Arial" w:hAnsi="Arial" w:cs="Arial"/>
          <w:sz w:val="24"/>
          <w:szCs w:val="24"/>
        </w:rPr>
        <w:t>Por otro lado, una ley con normas procesales en pleno siglo XXI, se queda corta respecto del aprovechamiento de medios tecnológicos para facilitar la realización de audiencias y agilidad del proceso. En efecto, uno de los grandes problemas que tiene la ley 906 de 2004, es la falta de aprovechamiento de recursos tecnológicos. Por lo que sería de gran utilidad poder hacer uso de la tecnología. Un claro ejemplo de esto, es el Código General del Proceso, que permite al juez realizar la práctica de la prueba vía videoconferencia en caso que no pueda asistir personalmente a la audiencia (artículo 37, CGP). De este modo, si dentro del proceso penal también se empieza a utilizar la implementación de medios tecnológicos, puede ser un paso para que se disminuyan los índices de aplazamiento de audiencias.</w:t>
      </w:r>
      <w:r w:rsidRPr="00031C39">
        <w:rPr>
          <w:rFonts w:ascii="Arial" w:hAnsi="Arial" w:cs="Arial"/>
          <w:sz w:val="24"/>
          <w:szCs w:val="24"/>
        </w:rPr>
        <w:t xml:space="preserve"> </w:t>
      </w:r>
    </w:p>
    <w:p w:rsidR="00031C39" w:rsidRPr="00031C39" w:rsidRDefault="00031C39" w:rsidP="00A4173F">
      <w:pPr>
        <w:ind w:firstLine="708"/>
        <w:jc w:val="both"/>
        <w:rPr>
          <w:rFonts w:ascii="Arial" w:hAnsi="Arial" w:cs="Arial"/>
          <w:b/>
          <w:sz w:val="24"/>
          <w:szCs w:val="24"/>
        </w:rPr>
      </w:pPr>
      <w:r w:rsidRPr="00031C39">
        <w:rPr>
          <w:rFonts w:ascii="Arial" w:hAnsi="Arial" w:cs="Arial"/>
          <w:b/>
          <w:sz w:val="24"/>
          <w:szCs w:val="24"/>
        </w:rPr>
        <w:t>Acción penal privada</w:t>
      </w:r>
    </w:p>
    <w:p w:rsidR="00031C39" w:rsidRPr="00031C39" w:rsidRDefault="00031C39" w:rsidP="00031C39">
      <w:pPr>
        <w:spacing w:after="0" w:line="240" w:lineRule="auto"/>
        <w:ind w:left="708"/>
        <w:jc w:val="both"/>
        <w:rPr>
          <w:rFonts w:ascii="Arial" w:hAnsi="Arial" w:cs="Arial"/>
          <w:sz w:val="24"/>
          <w:szCs w:val="24"/>
        </w:rPr>
      </w:pPr>
      <w:r w:rsidRPr="00031C39">
        <w:rPr>
          <w:rFonts w:ascii="Arial" w:hAnsi="Arial" w:cs="Arial"/>
          <w:sz w:val="24"/>
          <w:szCs w:val="24"/>
        </w:rPr>
        <w:t xml:space="preserve">Como uno de los aspectos más importantes de la iniciativa, se regula lo establecido en el artículo 2º del Acto Legislativo 06 de 2011, permitiendo que la víctima asuma la condición de investigador privado, en el caso de las contravenciones penales  y así lo solicite al Fiscal del caso para que en el término de un mes, verifique si es </w:t>
      </w:r>
      <w:r w:rsidRPr="00031C39">
        <w:rPr>
          <w:rFonts w:ascii="Arial" w:hAnsi="Arial" w:cs="Arial"/>
          <w:sz w:val="24"/>
          <w:szCs w:val="24"/>
        </w:rPr>
        <w:lastRenderedPageBreak/>
        <w:t>procedente o no la conversión de la acción penal, manteniendo la Fiscalía General de la Nación el poder preferente, estableciendo además la posibilidad de revertir la acción privada en cualquiera de las etapas procesales cuando sobrevenga alguna situación que así lo amerite.</w:t>
      </w:r>
    </w:p>
    <w:p w:rsidR="00031C39" w:rsidRPr="00031C39" w:rsidRDefault="00031C39" w:rsidP="00031C39">
      <w:pPr>
        <w:jc w:val="both"/>
        <w:rPr>
          <w:rFonts w:ascii="Arial" w:hAnsi="Arial" w:cs="Arial"/>
          <w:b/>
          <w:sz w:val="24"/>
          <w:szCs w:val="24"/>
        </w:rPr>
      </w:pPr>
    </w:p>
    <w:p w:rsidR="00031C39" w:rsidRPr="008309F3" w:rsidRDefault="00031C39" w:rsidP="00031C39">
      <w:pPr>
        <w:ind w:left="708"/>
        <w:jc w:val="both"/>
        <w:rPr>
          <w:rFonts w:ascii="Arial" w:hAnsi="Arial" w:cs="Arial"/>
          <w:sz w:val="24"/>
          <w:szCs w:val="24"/>
        </w:rPr>
      </w:pPr>
      <w:r w:rsidRPr="008309F3">
        <w:rPr>
          <w:rFonts w:ascii="Arial" w:hAnsi="Arial" w:cs="Arial"/>
          <w:sz w:val="24"/>
          <w:szCs w:val="24"/>
        </w:rPr>
        <w:t>Así, las facultades del investigador privado, enmarcadas en el artículo 555 de proyecto de ley, cabe mencionar que no hay claridad respecto de los actos complejos de investigación. Lo anterior en la medida que si bien es claro que el investigador privado no podrá realizar dichos actos, surge la duda si estamos ante una omisión legislativa parcial. Por que, no se menciona nada acerca de la posibilidad de que el investigador privado, en caso de que necesite de la realización de un acto complejo para probar un hecho, pueda acudir ante la Fiscalía. Es decir, el proyecto de ley debería ser más claro frente a este punto, y determinar si una vez se adquiere la calidad de investigador privado y se necesita la realización de un acto complejo, este puede ser solicitado a la fiscalía para que este lo realice, o si por el contrario, se pierde la facultad de poder realizar un acto complejo dentro del proceso.</w:t>
      </w:r>
    </w:p>
    <w:p w:rsidR="00031C39" w:rsidRPr="008309F3" w:rsidRDefault="00031C39" w:rsidP="00031C39">
      <w:pPr>
        <w:jc w:val="both"/>
        <w:rPr>
          <w:rFonts w:ascii="Arial" w:hAnsi="Arial" w:cs="Arial"/>
          <w:sz w:val="24"/>
          <w:szCs w:val="24"/>
        </w:rPr>
      </w:pPr>
    </w:p>
    <w:p w:rsidR="00031C39" w:rsidRPr="00031C39" w:rsidRDefault="00031C39" w:rsidP="00031C39">
      <w:pPr>
        <w:ind w:left="708"/>
        <w:jc w:val="both"/>
        <w:rPr>
          <w:rFonts w:ascii="Arial" w:hAnsi="Arial" w:cs="Arial"/>
          <w:sz w:val="24"/>
          <w:szCs w:val="24"/>
        </w:rPr>
      </w:pPr>
      <w:r w:rsidRPr="008309F3">
        <w:rPr>
          <w:rFonts w:ascii="Arial" w:hAnsi="Arial" w:cs="Arial"/>
          <w:sz w:val="24"/>
          <w:szCs w:val="24"/>
        </w:rPr>
        <w:t>En caso que el investigador privado no pueda realizar actos complejos por su cuenta o a través de la Fiscalía, esto podría resultar en un desincentivo para la víctima, en tomar el papel de fiscal dentro del caso. Lo anterior, porque parte de una desventaja respecto de la labor investigativa que podría realizar la Fiscalía. En este sentido, si lo que se pretende es entregarle la facultad a personas naturales de ejercer la acción penal, deben dársele todas las garantías para que la pueda ejecutar como si fuera el mismo Estado quien ejerciera la acción. En este orden de ideas, las posibles soluciones vendrían siendo facultar al investigador privado a que realice actos complejos, o que en caso de que se necesite la realización de uno de estos actos, se pueda realizar a través de la Fiscalía General de la Nación.</w:t>
      </w:r>
      <w:r w:rsidRPr="00031C39">
        <w:rPr>
          <w:rFonts w:ascii="Arial" w:hAnsi="Arial" w:cs="Arial"/>
          <w:sz w:val="24"/>
          <w:szCs w:val="24"/>
        </w:rPr>
        <w:t xml:space="preserve"> </w:t>
      </w:r>
    </w:p>
    <w:p w:rsidR="00031C39" w:rsidRPr="00031C39" w:rsidRDefault="00031C39" w:rsidP="00031C39">
      <w:pPr>
        <w:jc w:val="both"/>
        <w:rPr>
          <w:rFonts w:ascii="Arial" w:hAnsi="Arial" w:cs="Arial"/>
          <w:sz w:val="24"/>
          <w:szCs w:val="24"/>
        </w:rPr>
      </w:pPr>
    </w:p>
    <w:p w:rsidR="00031C39" w:rsidRPr="00031C39" w:rsidRDefault="00031C39" w:rsidP="00031C39">
      <w:pPr>
        <w:ind w:left="708"/>
        <w:jc w:val="both"/>
        <w:rPr>
          <w:rFonts w:ascii="Arial" w:hAnsi="Arial" w:cs="Arial"/>
          <w:b/>
          <w:sz w:val="24"/>
          <w:szCs w:val="24"/>
        </w:rPr>
      </w:pPr>
      <w:r w:rsidRPr="00031C39">
        <w:rPr>
          <w:rFonts w:ascii="Arial" w:hAnsi="Arial" w:cs="Arial"/>
          <w:b/>
          <w:sz w:val="24"/>
          <w:szCs w:val="24"/>
        </w:rPr>
        <w:t>De los delitos y las contravenciones en materia de dosificación</w:t>
      </w:r>
    </w:p>
    <w:p w:rsidR="00031C39" w:rsidRPr="00031C39" w:rsidRDefault="00031C39" w:rsidP="00031C39">
      <w:pPr>
        <w:jc w:val="both"/>
        <w:rPr>
          <w:rFonts w:ascii="Arial" w:hAnsi="Arial" w:cs="Arial"/>
          <w:b/>
          <w:sz w:val="24"/>
          <w:szCs w:val="24"/>
        </w:rPr>
      </w:pPr>
    </w:p>
    <w:p w:rsidR="00031C39" w:rsidRPr="00031C39" w:rsidRDefault="00031C39" w:rsidP="00031C39">
      <w:pPr>
        <w:ind w:left="708"/>
        <w:jc w:val="both"/>
        <w:rPr>
          <w:rFonts w:ascii="Arial" w:hAnsi="Arial" w:cs="Arial"/>
          <w:sz w:val="24"/>
          <w:szCs w:val="24"/>
        </w:rPr>
      </w:pPr>
      <w:r w:rsidRPr="008309F3">
        <w:rPr>
          <w:rFonts w:ascii="Arial" w:hAnsi="Arial" w:cs="Arial"/>
          <w:sz w:val="24"/>
          <w:szCs w:val="24"/>
        </w:rPr>
        <w:t xml:space="preserve">La gran diferencia entre los delitos y las contravenciones es que los primeros son las conductas mas gravosas del ordenamiento jurídico  y las contravenciones son conducta punible de menor gravedad. En este sentido, la dosificación de la pena </w:t>
      </w:r>
      <w:r w:rsidRPr="008309F3">
        <w:rPr>
          <w:rFonts w:ascii="Arial" w:hAnsi="Arial" w:cs="Arial"/>
          <w:sz w:val="24"/>
          <w:szCs w:val="24"/>
        </w:rPr>
        <w:lastRenderedPageBreak/>
        <w:t>de los mismos se debe ver reflejada en esta realidad; es decir, las penas de los delitos, siendo estas conductas mas lesivas deben tener penas más altas y las contravenciones penas más bajas. No obstante, en el presente proyecto de ley hay contravenciones con penas más altas que ciertos delitos y esto debería ser objeto de estudio. Lo anterior, en razón que podría darse el supuesto de enfrentarse a demandas de inconstitucionalidad por las penas. Por ejemplo, el artículo 477 del proyecto de ley, referente a la ayuda o inducción al suicidio tiene una pena más alta que ciertos delitos, aun cuando se entiende que estamos ante una contravención. Sin embargo, un posible argumento para subsanar esta pena, es el de tomar una postura en donde la contravención dependa del bien jurídico. Es decir, la contravención puede entenderse como una conducta de menor lesividad respecto del bien jurídico, pero, bajo el entendimiento que hay bienes jurídicos más o menos importantes, entonces las contravenciones de bienes jurídicos superiores, podrán incluso tener más pena que delitos de bienes jurídicos de menor valía.</w:t>
      </w:r>
      <w:r w:rsidRPr="00031C39">
        <w:rPr>
          <w:rFonts w:ascii="Arial" w:hAnsi="Arial" w:cs="Arial"/>
          <w:sz w:val="24"/>
          <w:szCs w:val="24"/>
        </w:rPr>
        <w:t xml:space="preserve"> </w:t>
      </w:r>
    </w:p>
    <w:p w:rsidR="00031C39" w:rsidRPr="00EA2E07" w:rsidRDefault="00031C39" w:rsidP="005D1B80">
      <w:pPr>
        <w:spacing w:after="0" w:line="240" w:lineRule="auto"/>
        <w:ind w:left="708"/>
        <w:jc w:val="both"/>
        <w:rPr>
          <w:rFonts w:ascii="Arial" w:hAnsi="Arial" w:cs="Arial"/>
          <w:sz w:val="24"/>
          <w:szCs w:val="24"/>
        </w:rPr>
      </w:pPr>
    </w:p>
    <w:p w:rsidR="00082CB4" w:rsidRPr="00EA2E07" w:rsidRDefault="00082CB4" w:rsidP="00082CB4">
      <w:pPr>
        <w:spacing w:after="0" w:line="240" w:lineRule="auto"/>
        <w:jc w:val="both"/>
        <w:rPr>
          <w:rFonts w:ascii="Arial" w:hAnsi="Arial" w:cs="Arial"/>
          <w:sz w:val="24"/>
          <w:szCs w:val="24"/>
        </w:rPr>
      </w:pPr>
    </w:p>
    <w:p w:rsidR="005D1B80" w:rsidRPr="00EA2E07" w:rsidRDefault="005D1B80" w:rsidP="005D1B80">
      <w:pPr>
        <w:pStyle w:val="Listavistosa-nfasis11"/>
        <w:pBdr>
          <w:top w:val="single" w:sz="4" w:space="1" w:color="auto"/>
          <w:left w:val="single" w:sz="4" w:space="5" w:color="auto"/>
          <w:bottom w:val="single" w:sz="4" w:space="1" w:color="auto"/>
          <w:right w:val="single" w:sz="4" w:space="4" w:color="auto"/>
        </w:pBdr>
        <w:spacing w:after="0" w:line="240" w:lineRule="auto"/>
        <w:jc w:val="center"/>
        <w:rPr>
          <w:rFonts w:ascii="Arial" w:hAnsi="Arial" w:cs="Arial"/>
          <w:b/>
          <w:lang w:val="es-ES_tradnl"/>
        </w:rPr>
      </w:pPr>
      <w:r>
        <w:rPr>
          <w:rFonts w:ascii="Arial" w:hAnsi="Arial" w:cs="Arial"/>
          <w:b/>
          <w:lang w:val="es-ES_tradnl"/>
        </w:rPr>
        <w:t>PRIMER DEBATE COMISIÓN PRIMERA</w:t>
      </w:r>
    </w:p>
    <w:p w:rsidR="005D1B80" w:rsidRDefault="005D1B80" w:rsidP="005E61BF">
      <w:pPr>
        <w:spacing w:after="0" w:line="240" w:lineRule="auto"/>
        <w:jc w:val="both"/>
        <w:rPr>
          <w:rFonts w:ascii="Arial" w:hAnsi="Arial" w:cs="Arial"/>
          <w:sz w:val="24"/>
          <w:szCs w:val="24"/>
        </w:rPr>
      </w:pPr>
    </w:p>
    <w:p w:rsidR="00211D97" w:rsidRPr="00EA2E07" w:rsidRDefault="009658BC" w:rsidP="005D1B80">
      <w:pPr>
        <w:spacing w:after="0" w:line="240" w:lineRule="auto"/>
        <w:ind w:left="708"/>
        <w:jc w:val="both"/>
        <w:rPr>
          <w:rFonts w:ascii="Arial" w:hAnsi="Arial" w:cs="Arial"/>
          <w:sz w:val="24"/>
          <w:szCs w:val="24"/>
        </w:rPr>
      </w:pPr>
      <w:r w:rsidRPr="00EA2E07">
        <w:rPr>
          <w:rFonts w:ascii="Arial" w:hAnsi="Arial" w:cs="Arial"/>
          <w:sz w:val="24"/>
          <w:szCs w:val="24"/>
        </w:rPr>
        <w:t xml:space="preserve">El pasado 08 de septiembre se dio la discusión, votación y aprobación por unanimidad, del Proyecto de Ley 048 de 2015, </w:t>
      </w:r>
      <w:r w:rsidR="00BB38C1" w:rsidRPr="00EA2E07">
        <w:rPr>
          <w:rFonts w:ascii="Arial" w:hAnsi="Arial" w:cs="Arial"/>
          <w:sz w:val="24"/>
          <w:szCs w:val="24"/>
        </w:rPr>
        <w:t xml:space="preserve">en la Comisión Primera del Senado de la República, </w:t>
      </w:r>
      <w:r w:rsidRPr="00EA2E07">
        <w:rPr>
          <w:rFonts w:ascii="Arial" w:hAnsi="Arial" w:cs="Arial"/>
          <w:sz w:val="24"/>
          <w:szCs w:val="24"/>
        </w:rPr>
        <w:t>durante el desarrollo del debate se hizo claridad en torno a la importancia de la iniciativa, aclarando que éste proyecto está encaminado a  dotar de mayor agilidad los procedimientos que se consideran de menor entidad, no porque su impacto sea menor, sino porque reviste de mayor importancia para la víctima que para el mismo Estado.</w:t>
      </w:r>
    </w:p>
    <w:p w:rsidR="009658BC" w:rsidRPr="00EA2E07" w:rsidRDefault="009658BC" w:rsidP="005D1B80">
      <w:pPr>
        <w:spacing w:after="0" w:line="240" w:lineRule="auto"/>
        <w:ind w:left="708"/>
        <w:jc w:val="both"/>
        <w:rPr>
          <w:rFonts w:ascii="Arial" w:hAnsi="Arial" w:cs="Arial"/>
          <w:sz w:val="24"/>
          <w:szCs w:val="24"/>
        </w:rPr>
      </w:pPr>
    </w:p>
    <w:p w:rsidR="009658BC" w:rsidRPr="00EA2E07" w:rsidRDefault="009658BC" w:rsidP="005D1B80">
      <w:pPr>
        <w:spacing w:after="0" w:line="240" w:lineRule="auto"/>
        <w:ind w:left="708"/>
        <w:jc w:val="both"/>
        <w:rPr>
          <w:rFonts w:ascii="Arial" w:hAnsi="Arial" w:cs="Arial"/>
          <w:sz w:val="24"/>
          <w:szCs w:val="24"/>
        </w:rPr>
      </w:pPr>
      <w:r w:rsidRPr="00EA2E07">
        <w:rPr>
          <w:rFonts w:ascii="Arial" w:hAnsi="Arial" w:cs="Arial"/>
          <w:sz w:val="24"/>
          <w:szCs w:val="24"/>
        </w:rPr>
        <w:t xml:space="preserve">La nueva denominación que se le da a determinadas conductas punibles de contravenciones y no de delitos, no tiene ningún impacto </w:t>
      </w:r>
      <w:r w:rsidR="00BB38C1" w:rsidRPr="00EA2E07">
        <w:rPr>
          <w:rFonts w:ascii="Arial" w:hAnsi="Arial" w:cs="Arial"/>
          <w:sz w:val="24"/>
          <w:szCs w:val="24"/>
        </w:rPr>
        <w:t>en la pena, y figuras como las medidas de aseguramiento y los subrogados penales se mantienen con los mismos requisitos de aplicabilidad.</w:t>
      </w:r>
    </w:p>
    <w:p w:rsidR="00BB38C1" w:rsidRPr="00EA2E07" w:rsidRDefault="00BB38C1" w:rsidP="005D1B80">
      <w:pPr>
        <w:spacing w:after="0" w:line="240" w:lineRule="auto"/>
        <w:ind w:left="708"/>
        <w:jc w:val="both"/>
        <w:rPr>
          <w:rFonts w:ascii="Arial" w:hAnsi="Arial" w:cs="Arial"/>
          <w:sz w:val="24"/>
          <w:szCs w:val="24"/>
        </w:rPr>
      </w:pPr>
    </w:p>
    <w:p w:rsidR="00BB38C1" w:rsidRPr="00EA2E07" w:rsidRDefault="00BB38C1" w:rsidP="005D1B80">
      <w:pPr>
        <w:spacing w:after="0" w:line="240" w:lineRule="auto"/>
        <w:ind w:left="708"/>
        <w:jc w:val="both"/>
        <w:rPr>
          <w:rFonts w:ascii="Arial" w:hAnsi="Arial" w:cs="Arial"/>
          <w:sz w:val="24"/>
          <w:szCs w:val="24"/>
        </w:rPr>
      </w:pPr>
      <w:r w:rsidRPr="00EA2E07">
        <w:rPr>
          <w:rFonts w:ascii="Arial" w:hAnsi="Arial" w:cs="Arial"/>
          <w:sz w:val="24"/>
          <w:szCs w:val="24"/>
        </w:rPr>
        <w:t>Durante el debate el Ponente dejó claro, que éste proyecto busca contribuir con la descongestión judicial en dos vías, la primera, disminuyendo el número de audiencias del procedimiento penal ordinario y la segunda desarrollando la figura del investigador privado consagrado en el Acto Legislativo 06 de 2011.</w:t>
      </w:r>
    </w:p>
    <w:p w:rsidR="00BB38C1" w:rsidRPr="00EA2E07" w:rsidRDefault="00BB38C1" w:rsidP="005D1B80">
      <w:pPr>
        <w:spacing w:after="0" w:line="240" w:lineRule="auto"/>
        <w:ind w:left="708"/>
        <w:jc w:val="both"/>
        <w:rPr>
          <w:rFonts w:ascii="Arial" w:hAnsi="Arial" w:cs="Arial"/>
          <w:sz w:val="24"/>
          <w:szCs w:val="24"/>
        </w:rPr>
      </w:pPr>
    </w:p>
    <w:p w:rsidR="00BB38C1" w:rsidRPr="00EA2E07" w:rsidRDefault="00BB38C1" w:rsidP="005D1B80">
      <w:pPr>
        <w:spacing w:after="0" w:line="240" w:lineRule="auto"/>
        <w:ind w:left="708"/>
        <w:jc w:val="both"/>
        <w:rPr>
          <w:rFonts w:ascii="Arial" w:hAnsi="Arial" w:cs="Arial"/>
          <w:sz w:val="24"/>
          <w:szCs w:val="24"/>
        </w:rPr>
      </w:pPr>
      <w:r w:rsidRPr="00EA2E07">
        <w:rPr>
          <w:rFonts w:ascii="Arial" w:hAnsi="Arial" w:cs="Arial"/>
          <w:sz w:val="24"/>
          <w:szCs w:val="24"/>
        </w:rPr>
        <w:t xml:space="preserve">Una de las principales inquietudes que se presentaron en el debate, es el acceso de las personas de menos recursos al investigador privado, frente a esto el ponente aclaró que la figura del investigador privado es optativa, quien tenga la posibilidad de acceder a esta lo puede hacer, quien no, puede acudir a la Fiscalía </w:t>
      </w:r>
      <w:r w:rsidRPr="00EA2E07">
        <w:rPr>
          <w:rFonts w:ascii="Arial" w:hAnsi="Arial" w:cs="Arial"/>
          <w:sz w:val="24"/>
          <w:szCs w:val="24"/>
        </w:rPr>
        <w:lastRenderedPageBreak/>
        <w:t>General de la Nación como en la actualidad, sin embargo una persona que no tenga los recursos para contratar un investigador privado y no quiera acudir a la Fiscalía, puede acudir a los Consultorios Jurídicos de las universidades, que podrán cumplir las mismas funciones que los apoderados para los efectos de la investigación privada.</w:t>
      </w:r>
    </w:p>
    <w:p w:rsidR="00BB38C1" w:rsidRPr="00EA2E07" w:rsidRDefault="00BB38C1" w:rsidP="005D1B80">
      <w:pPr>
        <w:spacing w:after="0" w:line="240" w:lineRule="auto"/>
        <w:ind w:left="708"/>
        <w:jc w:val="both"/>
        <w:rPr>
          <w:rFonts w:ascii="Arial" w:hAnsi="Arial" w:cs="Arial"/>
          <w:sz w:val="24"/>
          <w:szCs w:val="24"/>
        </w:rPr>
      </w:pPr>
    </w:p>
    <w:p w:rsidR="003923FC" w:rsidRPr="00EA2E07" w:rsidRDefault="0005235B" w:rsidP="005D1B80">
      <w:pPr>
        <w:spacing w:after="0" w:line="240" w:lineRule="auto"/>
        <w:ind w:left="708"/>
        <w:jc w:val="both"/>
        <w:rPr>
          <w:rFonts w:ascii="Arial" w:hAnsi="Arial" w:cs="Arial"/>
          <w:sz w:val="24"/>
          <w:szCs w:val="24"/>
        </w:rPr>
      </w:pPr>
      <w:r w:rsidRPr="00EA2E07">
        <w:rPr>
          <w:rFonts w:ascii="Arial" w:hAnsi="Arial" w:cs="Arial"/>
          <w:sz w:val="24"/>
          <w:szCs w:val="24"/>
        </w:rPr>
        <w:t xml:space="preserve">Finalmente, en el transcurso del debate </w:t>
      </w:r>
      <w:r w:rsidR="00F81845" w:rsidRPr="00EA2E07">
        <w:rPr>
          <w:rFonts w:ascii="Arial" w:hAnsi="Arial" w:cs="Arial"/>
          <w:sz w:val="24"/>
          <w:szCs w:val="24"/>
        </w:rPr>
        <w:t xml:space="preserve">se concertó entre los miembros de la Comisión, una proposición presentada por el Senador Germán Varón en torno a la procedencia de la medida de aseguramiento privativa de la libertad para los presuntos autores de contravenciones, cuando se trate de una conducta reincidente y se compruebe la </w:t>
      </w:r>
      <w:r w:rsidR="002C079A" w:rsidRPr="00EA2E07">
        <w:rPr>
          <w:rFonts w:ascii="Arial" w:hAnsi="Arial" w:cs="Arial"/>
          <w:sz w:val="24"/>
          <w:szCs w:val="24"/>
        </w:rPr>
        <w:t xml:space="preserve">falta de arraigo del procesado, esta proposición que modifica el artículo 117 del Proyecto de Ley, fue aprobada por unanimidad. </w:t>
      </w:r>
    </w:p>
    <w:p w:rsidR="004B4C67" w:rsidRPr="00EA2E07" w:rsidRDefault="004B4C67" w:rsidP="005E61BF">
      <w:pPr>
        <w:spacing w:after="0" w:line="240" w:lineRule="auto"/>
        <w:jc w:val="both"/>
        <w:rPr>
          <w:rFonts w:ascii="Arial" w:hAnsi="Arial" w:cs="Arial"/>
          <w:sz w:val="24"/>
          <w:szCs w:val="24"/>
        </w:rPr>
      </w:pPr>
    </w:p>
    <w:p w:rsidR="003923FC" w:rsidRDefault="003923FC" w:rsidP="005E61BF">
      <w:pPr>
        <w:spacing w:after="0" w:line="240" w:lineRule="auto"/>
        <w:jc w:val="both"/>
        <w:rPr>
          <w:rFonts w:ascii="Arial" w:hAnsi="Arial" w:cs="Arial"/>
          <w:sz w:val="24"/>
          <w:szCs w:val="24"/>
        </w:rPr>
      </w:pPr>
    </w:p>
    <w:p w:rsidR="00C26F2E" w:rsidRDefault="00C26F2E" w:rsidP="005E61BF">
      <w:pPr>
        <w:spacing w:after="0" w:line="240" w:lineRule="auto"/>
        <w:jc w:val="both"/>
        <w:rPr>
          <w:rFonts w:ascii="Arial" w:hAnsi="Arial" w:cs="Arial"/>
          <w:sz w:val="24"/>
          <w:szCs w:val="24"/>
        </w:rPr>
      </w:pPr>
    </w:p>
    <w:p w:rsidR="00C26F2E" w:rsidRPr="004C22C2" w:rsidRDefault="00C26F2E" w:rsidP="00C26F2E">
      <w:pPr>
        <w:pStyle w:val="Listavistosa-nfasis11"/>
        <w:pBdr>
          <w:top w:val="single" w:sz="4" w:space="1" w:color="auto"/>
          <w:left w:val="single" w:sz="4" w:space="5" w:color="auto"/>
          <w:bottom w:val="single" w:sz="4" w:space="1" w:color="auto"/>
          <w:right w:val="single" w:sz="4" w:space="4" w:color="auto"/>
        </w:pBdr>
        <w:spacing w:after="0" w:line="240" w:lineRule="auto"/>
        <w:jc w:val="center"/>
        <w:rPr>
          <w:rFonts w:ascii="Arial" w:hAnsi="Arial" w:cs="Arial"/>
          <w:b/>
          <w:lang w:val="es-ES_tradnl"/>
        </w:rPr>
      </w:pPr>
      <w:r w:rsidRPr="004C22C2">
        <w:rPr>
          <w:rFonts w:ascii="Arial" w:hAnsi="Arial" w:cs="Arial"/>
          <w:b/>
          <w:lang w:val="es-ES_tradnl"/>
        </w:rPr>
        <w:t>SEGUNDO DEBATE PLENARIA DEL SENADO</w:t>
      </w:r>
    </w:p>
    <w:p w:rsidR="00C26F2E" w:rsidRPr="004C22C2" w:rsidRDefault="00C26F2E" w:rsidP="005E61BF">
      <w:pPr>
        <w:spacing w:after="0" w:line="240" w:lineRule="auto"/>
        <w:jc w:val="both"/>
        <w:rPr>
          <w:rFonts w:ascii="Arial" w:hAnsi="Arial" w:cs="Arial"/>
          <w:sz w:val="24"/>
          <w:szCs w:val="24"/>
        </w:rPr>
      </w:pPr>
    </w:p>
    <w:p w:rsidR="00C26F2E" w:rsidRPr="004C22C2" w:rsidRDefault="00C26F2E" w:rsidP="005E61BF">
      <w:pPr>
        <w:spacing w:after="0" w:line="240" w:lineRule="auto"/>
        <w:jc w:val="both"/>
        <w:rPr>
          <w:rFonts w:ascii="Arial" w:hAnsi="Arial" w:cs="Arial"/>
          <w:sz w:val="24"/>
          <w:szCs w:val="24"/>
        </w:rPr>
      </w:pPr>
    </w:p>
    <w:p w:rsidR="00E04171" w:rsidRDefault="00203E53" w:rsidP="00F53751">
      <w:pPr>
        <w:spacing w:after="0" w:line="240" w:lineRule="auto"/>
        <w:ind w:left="708"/>
        <w:jc w:val="both"/>
        <w:rPr>
          <w:rFonts w:ascii="Arial" w:hAnsi="Arial" w:cs="Arial"/>
          <w:sz w:val="24"/>
          <w:szCs w:val="24"/>
        </w:rPr>
      </w:pPr>
      <w:r>
        <w:rPr>
          <w:rFonts w:ascii="Arial" w:hAnsi="Arial" w:cs="Arial"/>
          <w:sz w:val="24"/>
          <w:szCs w:val="24"/>
        </w:rPr>
        <w:t xml:space="preserve">La aprobación del </w:t>
      </w:r>
      <w:r w:rsidR="00E04171" w:rsidRPr="004C22C2">
        <w:rPr>
          <w:rFonts w:ascii="Arial" w:hAnsi="Arial" w:cs="Arial"/>
          <w:sz w:val="24"/>
          <w:szCs w:val="24"/>
        </w:rPr>
        <w:t xml:space="preserve">segundo debate </w:t>
      </w:r>
      <w:r w:rsidRPr="004C22C2">
        <w:rPr>
          <w:rFonts w:ascii="Arial" w:hAnsi="Arial" w:cs="Arial"/>
          <w:sz w:val="24"/>
          <w:szCs w:val="24"/>
        </w:rPr>
        <w:t>del Proyecto de Ley 48 de</w:t>
      </w:r>
      <w:r>
        <w:rPr>
          <w:rFonts w:ascii="Arial" w:hAnsi="Arial" w:cs="Arial"/>
          <w:sz w:val="24"/>
          <w:szCs w:val="24"/>
        </w:rPr>
        <w:t xml:space="preserve"> 2015 Senado </w:t>
      </w:r>
      <w:r w:rsidR="00E04171" w:rsidRPr="004C22C2">
        <w:rPr>
          <w:rFonts w:ascii="Arial" w:hAnsi="Arial" w:cs="Arial"/>
          <w:sz w:val="24"/>
          <w:szCs w:val="24"/>
        </w:rPr>
        <w:t xml:space="preserve">se llevó a cabo durante </w:t>
      </w:r>
      <w:r w:rsidRPr="004C22C2">
        <w:rPr>
          <w:rFonts w:ascii="Arial" w:hAnsi="Arial" w:cs="Arial"/>
          <w:sz w:val="24"/>
          <w:szCs w:val="24"/>
        </w:rPr>
        <w:t>la sesión</w:t>
      </w:r>
      <w:r w:rsidR="00E04171" w:rsidRPr="004C22C2">
        <w:rPr>
          <w:rFonts w:ascii="Arial" w:hAnsi="Arial" w:cs="Arial"/>
          <w:sz w:val="24"/>
          <w:szCs w:val="24"/>
        </w:rPr>
        <w:t xml:space="preserve"> de</w:t>
      </w:r>
      <w:r>
        <w:rPr>
          <w:rFonts w:ascii="Arial" w:hAnsi="Arial" w:cs="Arial"/>
          <w:sz w:val="24"/>
          <w:szCs w:val="24"/>
        </w:rPr>
        <w:t>l</w:t>
      </w:r>
      <w:r w:rsidR="00E04171" w:rsidRPr="004C22C2">
        <w:rPr>
          <w:rFonts w:ascii="Arial" w:hAnsi="Arial" w:cs="Arial"/>
          <w:sz w:val="24"/>
          <w:szCs w:val="24"/>
        </w:rPr>
        <w:t xml:space="preserve"> </w:t>
      </w:r>
      <w:r>
        <w:rPr>
          <w:rFonts w:ascii="Arial" w:hAnsi="Arial" w:cs="Arial"/>
          <w:sz w:val="24"/>
          <w:szCs w:val="24"/>
        </w:rPr>
        <w:t>25 de noviembre de 2015</w:t>
      </w:r>
      <w:r w:rsidR="00F53751" w:rsidRPr="004C22C2">
        <w:rPr>
          <w:rFonts w:ascii="Arial" w:hAnsi="Arial" w:cs="Arial"/>
          <w:sz w:val="24"/>
          <w:szCs w:val="24"/>
        </w:rPr>
        <w:t xml:space="preserve"> </w:t>
      </w:r>
    </w:p>
    <w:p w:rsidR="00E04171" w:rsidRDefault="00E04171" w:rsidP="00F53751">
      <w:pPr>
        <w:spacing w:after="0" w:line="240" w:lineRule="auto"/>
        <w:ind w:left="708"/>
        <w:jc w:val="both"/>
        <w:rPr>
          <w:rFonts w:ascii="Arial" w:hAnsi="Arial" w:cs="Arial"/>
          <w:sz w:val="24"/>
          <w:szCs w:val="24"/>
        </w:rPr>
      </w:pPr>
    </w:p>
    <w:p w:rsidR="00E04171" w:rsidRDefault="00E04171" w:rsidP="00F53751">
      <w:pPr>
        <w:spacing w:after="0" w:line="240" w:lineRule="auto"/>
        <w:ind w:left="708"/>
        <w:jc w:val="both"/>
        <w:rPr>
          <w:rFonts w:ascii="Arial" w:hAnsi="Arial" w:cs="Arial"/>
          <w:sz w:val="24"/>
          <w:szCs w:val="24"/>
        </w:rPr>
      </w:pPr>
      <w:r>
        <w:rPr>
          <w:rFonts w:ascii="Arial" w:hAnsi="Arial" w:cs="Arial"/>
          <w:sz w:val="24"/>
          <w:szCs w:val="24"/>
        </w:rPr>
        <w:t xml:space="preserve">En la sesión del día 19 de noviembre se dispuso aprobar todas las disposiciones del proyecto de ley que no tenían proposición alguna, al tiempo en que se dispuso la creación de un Subcomité para estudiar aquellos con proposiciones presentadas. </w:t>
      </w:r>
    </w:p>
    <w:p w:rsidR="00E04171" w:rsidRDefault="00E04171" w:rsidP="00F53751">
      <w:pPr>
        <w:spacing w:after="0" w:line="240" w:lineRule="auto"/>
        <w:ind w:left="708"/>
        <w:jc w:val="both"/>
        <w:rPr>
          <w:rFonts w:ascii="Arial" w:hAnsi="Arial" w:cs="Arial"/>
          <w:sz w:val="24"/>
          <w:szCs w:val="24"/>
        </w:rPr>
      </w:pPr>
    </w:p>
    <w:p w:rsidR="00E04171" w:rsidRDefault="00E04171" w:rsidP="00F53751">
      <w:pPr>
        <w:spacing w:after="0" w:line="240" w:lineRule="auto"/>
        <w:ind w:left="708"/>
        <w:jc w:val="both"/>
        <w:rPr>
          <w:rFonts w:ascii="Arial" w:hAnsi="Arial" w:cs="Arial"/>
          <w:sz w:val="24"/>
          <w:szCs w:val="24"/>
        </w:rPr>
      </w:pPr>
      <w:r>
        <w:rPr>
          <w:rFonts w:ascii="Arial" w:hAnsi="Arial" w:cs="Arial"/>
          <w:sz w:val="24"/>
          <w:szCs w:val="24"/>
        </w:rPr>
        <w:t xml:space="preserve">Dicho Subcomité estuvo integrado por los HH. SS. ROY BARRERAS, GERMÁN VARÓN, ALEXANDER LÓPEZ, HERNÁN ANDRADE, DORIS VEGA, PALOMA VALENCIA y MARÍA DEL ROSARIO GUERRA. </w:t>
      </w:r>
    </w:p>
    <w:p w:rsidR="00E04171" w:rsidRDefault="00E04171" w:rsidP="00F53751">
      <w:pPr>
        <w:spacing w:after="0" w:line="240" w:lineRule="auto"/>
        <w:ind w:left="708"/>
        <w:jc w:val="both"/>
        <w:rPr>
          <w:rFonts w:ascii="Arial" w:hAnsi="Arial" w:cs="Arial"/>
          <w:sz w:val="24"/>
          <w:szCs w:val="24"/>
        </w:rPr>
      </w:pPr>
    </w:p>
    <w:p w:rsidR="00F53751" w:rsidRDefault="00E04171" w:rsidP="00F53751">
      <w:pPr>
        <w:spacing w:after="0" w:line="240" w:lineRule="auto"/>
        <w:ind w:left="708"/>
        <w:jc w:val="both"/>
        <w:rPr>
          <w:rFonts w:ascii="Arial" w:hAnsi="Arial" w:cs="Arial"/>
          <w:sz w:val="24"/>
          <w:szCs w:val="24"/>
        </w:rPr>
      </w:pPr>
      <w:r>
        <w:rPr>
          <w:rFonts w:ascii="Arial" w:hAnsi="Arial" w:cs="Arial"/>
          <w:sz w:val="24"/>
          <w:szCs w:val="24"/>
        </w:rPr>
        <w:t>El informe de la subcomisión presentó en la ple</w:t>
      </w:r>
      <w:r w:rsidR="00F53751">
        <w:rPr>
          <w:rFonts w:ascii="Arial" w:hAnsi="Arial" w:cs="Arial"/>
          <w:sz w:val="24"/>
          <w:szCs w:val="24"/>
        </w:rPr>
        <w:t>naria del Senado un total de 12</w:t>
      </w:r>
      <w:r>
        <w:rPr>
          <w:rFonts w:ascii="Arial" w:hAnsi="Arial" w:cs="Arial"/>
          <w:sz w:val="24"/>
          <w:szCs w:val="24"/>
        </w:rPr>
        <w:t xml:space="preserve"> Proposiciones Modificativas al texto presentado en segunda ponencia</w:t>
      </w:r>
      <w:r w:rsidR="00F53751">
        <w:rPr>
          <w:rFonts w:ascii="Arial" w:hAnsi="Arial" w:cs="Arial"/>
          <w:sz w:val="24"/>
          <w:szCs w:val="24"/>
        </w:rPr>
        <w:t xml:space="preserve">, relativas a </w:t>
      </w:r>
      <w:r>
        <w:rPr>
          <w:rFonts w:ascii="Arial" w:hAnsi="Arial" w:cs="Arial"/>
          <w:sz w:val="24"/>
          <w:szCs w:val="24"/>
        </w:rPr>
        <w:t xml:space="preserve">los artículos 18, </w:t>
      </w:r>
      <w:r w:rsidRPr="00DD6CCF">
        <w:rPr>
          <w:rFonts w:ascii="Arial" w:hAnsi="Arial" w:cs="Arial"/>
          <w:sz w:val="24"/>
          <w:szCs w:val="24"/>
        </w:rPr>
        <w:t xml:space="preserve">44, 53, 63, 87, </w:t>
      </w:r>
      <w:r>
        <w:rPr>
          <w:rFonts w:ascii="Arial" w:hAnsi="Arial" w:cs="Arial"/>
          <w:sz w:val="24"/>
          <w:szCs w:val="24"/>
        </w:rPr>
        <w:t xml:space="preserve">88, </w:t>
      </w:r>
      <w:r w:rsidRPr="00DD6CCF">
        <w:rPr>
          <w:rFonts w:ascii="Arial" w:hAnsi="Arial" w:cs="Arial"/>
          <w:sz w:val="24"/>
          <w:szCs w:val="24"/>
        </w:rPr>
        <w:t>91, 97, 106, 115, 136, 144</w:t>
      </w:r>
      <w:r>
        <w:rPr>
          <w:rFonts w:ascii="Arial" w:hAnsi="Arial" w:cs="Arial"/>
          <w:sz w:val="24"/>
          <w:szCs w:val="24"/>
        </w:rPr>
        <w:t xml:space="preserve"> del Proyecto de Ley</w:t>
      </w:r>
      <w:r w:rsidR="00F53751">
        <w:rPr>
          <w:rFonts w:ascii="Arial" w:hAnsi="Arial" w:cs="Arial"/>
          <w:sz w:val="24"/>
          <w:szCs w:val="24"/>
        </w:rPr>
        <w:t xml:space="preserve">. Adicionalmente, el informe de Subcomisión presentó 4 proposiciones aditivas. </w:t>
      </w:r>
    </w:p>
    <w:p w:rsidR="00F53751" w:rsidRDefault="00F53751" w:rsidP="00F53751">
      <w:pPr>
        <w:spacing w:after="0" w:line="240" w:lineRule="auto"/>
        <w:ind w:left="708"/>
        <w:jc w:val="both"/>
        <w:rPr>
          <w:rFonts w:ascii="Arial" w:hAnsi="Arial" w:cs="Arial"/>
          <w:sz w:val="24"/>
          <w:szCs w:val="24"/>
        </w:rPr>
      </w:pPr>
    </w:p>
    <w:p w:rsidR="00E04171" w:rsidRDefault="00F53751" w:rsidP="00F53751">
      <w:pPr>
        <w:spacing w:after="0" w:line="240" w:lineRule="auto"/>
        <w:ind w:left="708"/>
        <w:jc w:val="both"/>
        <w:rPr>
          <w:rFonts w:ascii="Arial" w:hAnsi="Arial" w:cs="Arial"/>
          <w:sz w:val="24"/>
          <w:szCs w:val="24"/>
        </w:rPr>
      </w:pPr>
      <w:r>
        <w:rPr>
          <w:rFonts w:ascii="Arial" w:hAnsi="Arial" w:cs="Arial"/>
          <w:sz w:val="24"/>
          <w:szCs w:val="24"/>
        </w:rPr>
        <w:t xml:space="preserve">De otro lado, el informe de la subcomisión </w:t>
      </w:r>
      <w:r w:rsidR="00E04171">
        <w:rPr>
          <w:rFonts w:ascii="Arial" w:hAnsi="Arial" w:cs="Arial"/>
          <w:sz w:val="24"/>
          <w:szCs w:val="24"/>
        </w:rPr>
        <w:t xml:space="preserve">desechó </w:t>
      </w:r>
      <w:r>
        <w:rPr>
          <w:rFonts w:ascii="Arial" w:hAnsi="Arial" w:cs="Arial"/>
          <w:sz w:val="24"/>
          <w:szCs w:val="24"/>
        </w:rPr>
        <w:t>la proposición</w:t>
      </w:r>
      <w:r w:rsidR="00E04171">
        <w:rPr>
          <w:rFonts w:ascii="Arial" w:hAnsi="Arial" w:cs="Arial"/>
          <w:sz w:val="24"/>
          <w:szCs w:val="24"/>
        </w:rPr>
        <w:t xml:space="preserve"> que buscaba una </w:t>
      </w:r>
      <w:r w:rsidR="00203E53">
        <w:rPr>
          <w:rFonts w:ascii="Arial" w:hAnsi="Arial" w:cs="Arial"/>
          <w:sz w:val="24"/>
          <w:szCs w:val="24"/>
        </w:rPr>
        <w:t>remuneración</w:t>
      </w:r>
      <w:r w:rsidR="00E04171">
        <w:rPr>
          <w:rFonts w:ascii="Arial" w:hAnsi="Arial" w:cs="Arial"/>
          <w:sz w:val="24"/>
          <w:szCs w:val="24"/>
        </w:rPr>
        <w:t xml:space="preserve"> de sus artículos y otra presentada por el Senador Antonio Guerra por considerar que “busca tipificar una nueva conducta punible que actualmente no está contemplada por el Código Penal, lo cual no concuerda con lo pretendido mediante este proyecto”.</w:t>
      </w:r>
    </w:p>
    <w:p w:rsidR="00E04171" w:rsidRDefault="00E04171" w:rsidP="00F53751">
      <w:pPr>
        <w:spacing w:after="0" w:line="240" w:lineRule="auto"/>
        <w:ind w:left="708"/>
        <w:jc w:val="both"/>
        <w:rPr>
          <w:rFonts w:ascii="Arial" w:hAnsi="Arial" w:cs="Arial"/>
          <w:sz w:val="24"/>
          <w:szCs w:val="24"/>
        </w:rPr>
      </w:pPr>
    </w:p>
    <w:p w:rsidR="00E04171" w:rsidRDefault="00E04171" w:rsidP="00F53751">
      <w:pPr>
        <w:spacing w:after="0" w:line="240" w:lineRule="auto"/>
        <w:ind w:left="708"/>
        <w:jc w:val="both"/>
        <w:rPr>
          <w:rFonts w:ascii="Arial" w:hAnsi="Arial" w:cs="Arial"/>
          <w:sz w:val="24"/>
          <w:szCs w:val="24"/>
        </w:rPr>
      </w:pPr>
      <w:r>
        <w:rPr>
          <w:rFonts w:ascii="Arial" w:hAnsi="Arial" w:cs="Arial"/>
          <w:sz w:val="24"/>
          <w:szCs w:val="24"/>
        </w:rPr>
        <w:t xml:space="preserve">El informe fue presentado a la plenaria del Senado el </w:t>
      </w:r>
      <w:r w:rsidRPr="004C22C2">
        <w:rPr>
          <w:rFonts w:ascii="Arial" w:hAnsi="Arial" w:cs="Arial"/>
          <w:sz w:val="24"/>
          <w:szCs w:val="24"/>
        </w:rPr>
        <w:t xml:space="preserve">día </w:t>
      </w:r>
      <w:r w:rsidR="00203E53">
        <w:rPr>
          <w:rFonts w:ascii="Arial" w:hAnsi="Arial" w:cs="Arial"/>
          <w:sz w:val="24"/>
          <w:szCs w:val="24"/>
        </w:rPr>
        <w:t>25 de noviembre</w:t>
      </w:r>
      <w:r>
        <w:rPr>
          <w:rFonts w:ascii="Arial" w:hAnsi="Arial" w:cs="Arial"/>
          <w:sz w:val="24"/>
          <w:szCs w:val="24"/>
        </w:rPr>
        <w:t xml:space="preserve"> y aprobado en su integridad. </w:t>
      </w:r>
    </w:p>
    <w:p w:rsidR="00E04171" w:rsidRDefault="00E04171" w:rsidP="00F53751">
      <w:pPr>
        <w:spacing w:after="0" w:line="240" w:lineRule="auto"/>
        <w:ind w:left="708"/>
        <w:jc w:val="both"/>
        <w:rPr>
          <w:rFonts w:ascii="Arial" w:hAnsi="Arial" w:cs="Arial"/>
          <w:sz w:val="24"/>
          <w:szCs w:val="24"/>
        </w:rPr>
      </w:pPr>
    </w:p>
    <w:p w:rsidR="00E04171" w:rsidRDefault="00E04171" w:rsidP="00F53751">
      <w:pPr>
        <w:spacing w:after="0" w:line="240" w:lineRule="auto"/>
        <w:ind w:left="708"/>
        <w:jc w:val="both"/>
        <w:rPr>
          <w:rFonts w:ascii="Arial" w:hAnsi="Arial" w:cs="Arial"/>
          <w:sz w:val="24"/>
          <w:szCs w:val="24"/>
        </w:rPr>
      </w:pPr>
      <w:r>
        <w:rPr>
          <w:rFonts w:ascii="Arial" w:hAnsi="Arial" w:cs="Arial"/>
          <w:sz w:val="24"/>
          <w:szCs w:val="24"/>
        </w:rPr>
        <w:lastRenderedPageBreak/>
        <w:t xml:space="preserve">Adicional a las proposiciones presentadas por vía del informe de la Subcomisión, se aprobó aquella presentada por la Senadora María del Rosario Guerra en relación con el artículo 63 del texto presentado con ocasión de la ponencia para segundo debate del Proyecto de Ley. </w:t>
      </w:r>
    </w:p>
    <w:p w:rsidR="00E04171" w:rsidRDefault="00E04171" w:rsidP="00F53751">
      <w:pPr>
        <w:spacing w:after="0" w:line="240" w:lineRule="auto"/>
        <w:ind w:left="708"/>
        <w:jc w:val="both"/>
        <w:rPr>
          <w:rFonts w:ascii="Arial" w:hAnsi="Arial" w:cs="Arial"/>
          <w:sz w:val="24"/>
          <w:szCs w:val="24"/>
        </w:rPr>
      </w:pPr>
    </w:p>
    <w:p w:rsidR="00E04171" w:rsidRDefault="00E04171" w:rsidP="00F53751">
      <w:pPr>
        <w:spacing w:after="0" w:line="240" w:lineRule="auto"/>
        <w:ind w:left="708"/>
        <w:jc w:val="both"/>
        <w:rPr>
          <w:rFonts w:ascii="Arial" w:hAnsi="Arial" w:cs="Arial"/>
          <w:sz w:val="24"/>
          <w:szCs w:val="24"/>
        </w:rPr>
      </w:pPr>
    </w:p>
    <w:p w:rsidR="00E04171" w:rsidRDefault="00E04171" w:rsidP="005E61BF">
      <w:pPr>
        <w:spacing w:after="0" w:line="240" w:lineRule="auto"/>
        <w:jc w:val="both"/>
        <w:rPr>
          <w:rFonts w:ascii="Arial" w:hAnsi="Arial" w:cs="Arial"/>
          <w:sz w:val="24"/>
          <w:szCs w:val="24"/>
        </w:rPr>
      </w:pPr>
    </w:p>
    <w:p w:rsidR="00C26F2E" w:rsidRPr="00EA2E07" w:rsidRDefault="00C26F2E" w:rsidP="005E61BF">
      <w:pPr>
        <w:spacing w:after="0" w:line="240" w:lineRule="auto"/>
        <w:jc w:val="both"/>
        <w:rPr>
          <w:rFonts w:ascii="Arial" w:hAnsi="Arial" w:cs="Arial"/>
          <w:sz w:val="24"/>
          <w:szCs w:val="24"/>
        </w:rPr>
      </w:pPr>
    </w:p>
    <w:p w:rsidR="004D4078" w:rsidRPr="00EA2E07" w:rsidRDefault="004D4078" w:rsidP="005E61BF">
      <w:pPr>
        <w:pStyle w:val="Listavistosa-nfasis11"/>
        <w:pBdr>
          <w:top w:val="single" w:sz="8" w:space="1" w:color="auto"/>
          <w:left w:val="single" w:sz="8" w:space="31" w:color="auto"/>
          <w:bottom w:val="single" w:sz="8" w:space="0" w:color="auto"/>
          <w:right w:val="single" w:sz="8" w:space="0" w:color="auto"/>
        </w:pBdr>
        <w:spacing w:after="0" w:line="240" w:lineRule="auto"/>
        <w:jc w:val="center"/>
        <w:rPr>
          <w:rFonts w:ascii="Arial" w:hAnsi="Arial" w:cs="Arial"/>
          <w:b/>
          <w:lang w:val="es-ES_tradnl"/>
        </w:rPr>
      </w:pPr>
      <w:r w:rsidRPr="00EA2E07">
        <w:rPr>
          <w:rFonts w:ascii="Arial" w:hAnsi="Arial" w:cs="Arial"/>
          <w:b/>
          <w:lang w:val="es-ES_tradnl"/>
        </w:rPr>
        <w:t xml:space="preserve">PLIEGO DE MODIFICACIONES </w:t>
      </w:r>
    </w:p>
    <w:p w:rsidR="009E69CD" w:rsidRPr="00EA2E07" w:rsidRDefault="009E69CD" w:rsidP="005E61BF">
      <w:pPr>
        <w:spacing w:after="0" w:line="240" w:lineRule="auto"/>
        <w:jc w:val="both"/>
        <w:rPr>
          <w:rFonts w:ascii="Arial" w:hAnsi="Arial" w:cs="Arial"/>
          <w:b/>
          <w:sz w:val="24"/>
          <w:szCs w:val="24"/>
        </w:rPr>
      </w:pPr>
    </w:p>
    <w:p w:rsidR="00F82A53" w:rsidRPr="00EA2E07" w:rsidRDefault="00F82A53" w:rsidP="00B53650">
      <w:pPr>
        <w:spacing w:after="0" w:line="240" w:lineRule="auto"/>
        <w:jc w:val="both"/>
        <w:rPr>
          <w:rFonts w:ascii="Arial" w:hAnsi="Arial" w:cs="Arial"/>
          <w:sz w:val="24"/>
          <w:szCs w:val="24"/>
        </w:rPr>
      </w:pPr>
    </w:p>
    <w:tbl>
      <w:tblPr>
        <w:tblStyle w:val="Tablaconcuadrcula1"/>
        <w:tblW w:w="4699" w:type="pct"/>
        <w:tblLook w:val="04A0" w:firstRow="1" w:lastRow="0" w:firstColumn="1" w:lastColumn="0" w:noHBand="0" w:noVBand="1"/>
      </w:tblPr>
      <w:tblGrid>
        <w:gridCol w:w="3255"/>
        <w:gridCol w:w="3378"/>
        <w:gridCol w:w="2195"/>
      </w:tblGrid>
      <w:tr w:rsidR="00F2567A" w:rsidRPr="00F2567A" w:rsidTr="00F2567A">
        <w:tc>
          <w:tcPr>
            <w:tcW w:w="1844" w:type="pct"/>
          </w:tcPr>
          <w:p w:rsidR="00F2567A" w:rsidRPr="00F2567A" w:rsidRDefault="00F2567A" w:rsidP="00F2567A">
            <w:pPr>
              <w:jc w:val="center"/>
              <w:rPr>
                <w:rFonts w:ascii="Arial" w:eastAsia="Calibri" w:hAnsi="Arial" w:cs="Arial"/>
                <w:b/>
              </w:rPr>
            </w:pPr>
            <w:r w:rsidRPr="00F2567A">
              <w:rPr>
                <w:rFonts w:ascii="Arial" w:eastAsia="Calibri" w:hAnsi="Arial" w:cs="Arial"/>
                <w:b/>
              </w:rPr>
              <w:t>TEXTO APROBADO SEGUNDO DEBATE</w:t>
            </w:r>
          </w:p>
        </w:tc>
        <w:tc>
          <w:tcPr>
            <w:tcW w:w="1913" w:type="pct"/>
          </w:tcPr>
          <w:p w:rsidR="00F2567A" w:rsidRPr="00F2567A" w:rsidRDefault="00F2567A" w:rsidP="00F2567A">
            <w:pPr>
              <w:jc w:val="center"/>
              <w:rPr>
                <w:rFonts w:ascii="Arial" w:eastAsia="Calibri" w:hAnsi="Arial" w:cs="Arial"/>
                <w:b/>
              </w:rPr>
            </w:pPr>
            <w:r w:rsidRPr="00F2567A">
              <w:rPr>
                <w:rFonts w:ascii="Arial" w:eastAsia="Calibri" w:hAnsi="Arial" w:cs="Arial"/>
                <w:b/>
              </w:rPr>
              <w:t>MODIFICACIÓN</w:t>
            </w:r>
          </w:p>
        </w:tc>
        <w:tc>
          <w:tcPr>
            <w:tcW w:w="1243" w:type="pct"/>
          </w:tcPr>
          <w:p w:rsidR="00F2567A" w:rsidRPr="00F2567A" w:rsidRDefault="00F2567A" w:rsidP="00F2567A">
            <w:pPr>
              <w:jc w:val="center"/>
              <w:rPr>
                <w:rFonts w:ascii="Arial" w:eastAsia="Calibri" w:hAnsi="Arial" w:cs="Arial"/>
                <w:b/>
              </w:rPr>
            </w:pPr>
            <w:r w:rsidRPr="00F2567A">
              <w:rPr>
                <w:rFonts w:ascii="Arial" w:eastAsia="Calibri" w:hAnsi="Arial" w:cs="Arial"/>
                <w:b/>
              </w:rPr>
              <w:t>JUSTIFICACIÓN</w:t>
            </w:r>
          </w:p>
        </w:tc>
      </w:tr>
      <w:tr w:rsidR="00F2567A" w:rsidRPr="00F2567A" w:rsidTr="00F2567A">
        <w:tc>
          <w:tcPr>
            <w:tcW w:w="1844" w:type="pct"/>
          </w:tcPr>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Artículo 48. La Ley 599 de 2000 tendrá un nuevo artículo 573, así:</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bCs/>
                <w:sz w:val="20"/>
                <w:szCs w:val="20"/>
                <w:lang w:val="es-ES_tradnl"/>
              </w:rPr>
              <w:t>Artículo 573. </w:t>
            </w:r>
            <w:r w:rsidRPr="00F2567A">
              <w:rPr>
                <w:rFonts w:ascii="Arial" w:eastAsia="Calibri" w:hAnsi="Arial" w:cs="Arial"/>
                <w:bCs/>
                <w:i/>
                <w:iCs/>
                <w:sz w:val="20"/>
                <w:szCs w:val="20"/>
                <w:lang w:val="es-ES_tradnl"/>
              </w:rPr>
              <w:t>Injurias o calumnias recíprocas</w:t>
            </w:r>
            <w:r w:rsidRPr="00F2567A">
              <w:rPr>
                <w:rFonts w:ascii="Arial" w:eastAsia="Calibri" w:hAnsi="Arial" w:cs="Arial"/>
                <w:sz w:val="20"/>
                <w:szCs w:val="20"/>
                <w:lang w:val="es-ES_tradnl"/>
              </w:rPr>
              <w:t>. Si las imputaciones o agravios a que se refieren los artículos 565, 566 y 572 fueren recíprocas, se podrán declarar exentos de responsabilidad a los injuriantes o calumniantes o a cualquiera de ellos.</w:t>
            </w:r>
          </w:p>
          <w:p w:rsidR="00F2567A" w:rsidRPr="00F2567A" w:rsidRDefault="00F2567A" w:rsidP="00F2567A">
            <w:pPr>
              <w:rPr>
                <w:rFonts w:ascii="Arial" w:eastAsia="Calibri" w:hAnsi="Arial" w:cs="Arial"/>
                <w:b/>
                <w:sz w:val="20"/>
                <w:szCs w:val="20"/>
                <w:lang w:val="es-ES_tradnl"/>
              </w:rPr>
            </w:pPr>
          </w:p>
        </w:tc>
        <w:tc>
          <w:tcPr>
            <w:tcW w:w="1913" w:type="pct"/>
          </w:tcPr>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 xml:space="preserve">Artículo 48. La Ley 599 de 2000 tendrá un nuevo artículo </w:t>
            </w:r>
            <w:r w:rsidRPr="00F2567A">
              <w:rPr>
                <w:rFonts w:ascii="Arial" w:eastAsia="Calibri" w:hAnsi="Arial" w:cs="Arial"/>
                <w:strike/>
                <w:sz w:val="20"/>
                <w:szCs w:val="20"/>
                <w:lang w:val="es-ES_tradnl"/>
              </w:rPr>
              <w:t>573</w:t>
            </w:r>
            <w:r w:rsidRPr="00F2567A">
              <w:rPr>
                <w:rFonts w:ascii="Arial" w:eastAsia="Calibri" w:hAnsi="Arial" w:cs="Arial"/>
                <w:sz w:val="20"/>
                <w:szCs w:val="20"/>
                <w:lang w:val="es-ES_tradnl"/>
              </w:rPr>
              <w:t xml:space="preserve"> </w:t>
            </w:r>
            <w:r w:rsidRPr="00F2567A">
              <w:rPr>
                <w:rFonts w:ascii="Arial" w:eastAsia="Calibri" w:hAnsi="Arial" w:cs="Arial"/>
                <w:b/>
                <w:sz w:val="20"/>
                <w:szCs w:val="20"/>
                <w:lang w:val="es-ES_tradnl"/>
              </w:rPr>
              <w:t>572</w:t>
            </w:r>
            <w:r w:rsidRPr="00F2567A">
              <w:rPr>
                <w:rFonts w:ascii="Arial" w:eastAsia="Calibri" w:hAnsi="Arial" w:cs="Arial"/>
                <w:sz w:val="20"/>
                <w:szCs w:val="20"/>
                <w:lang w:val="es-ES_tradnl"/>
              </w:rPr>
              <w:t>, así:</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bCs/>
                <w:sz w:val="20"/>
                <w:szCs w:val="20"/>
                <w:lang w:val="es-ES_tradnl"/>
              </w:rPr>
              <w:t xml:space="preserve">Artículo </w:t>
            </w:r>
            <w:r w:rsidRPr="00F2567A">
              <w:rPr>
                <w:rFonts w:ascii="Arial" w:eastAsia="Calibri" w:hAnsi="Arial" w:cs="Arial"/>
                <w:bCs/>
                <w:strike/>
                <w:sz w:val="20"/>
                <w:szCs w:val="20"/>
                <w:lang w:val="es-ES_tradnl"/>
              </w:rPr>
              <w:t>573</w:t>
            </w:r>
            <w:r w:rsidRPr="00F2567A">
              <w:rPr>
                <w:rFonts w:ascii="Arial" w:eastAsia="Calibri" w:hAnsi="Arial" w:cs="Arial"/>
                <w:bCs/>
                <w:sz w:val="20"/>
                <w:szCs w:val="20"/>
                <w:lang w:val="es-ES_tradnl"/>
              </w:rPr>
              <w:t xml:space="preserve"> </w:t>
            </w:r>
            <w:r w:rsidRPr="00F2567A">
              <w:rPr>
                <w:rFonts w:ascii="Arial" w:eastAsia="Calibri" w:hAnsi="Arial" w:cs="Arial"/>
                <w:b/>
                <w:bCs/>
                <w:sz w:val="20"/>
                <w:szCs w:val="20"/>
                <w:lang w:val="es-ES_tradnl"/>
              </w:rPr>
              <w:t>572</w:t>
            </w:r>
            <w:r w:rsidRPr="00F2567A">
              <w:rPr>
                <w:rFonts w:ascii="Arial" w:eastAsia="Calibri" w:hAnsi="Arial" w:cs="Arial"/>
                <w:bCs/>
                <w:sz w:val="20"/>
                <w:szCs w:val="20"/>
                <w:lang w:val="es-ES_tradnl"/>
              </w:rPr>
              <w:t>. </w:t>
            </w:r>
            <w:r w:rsidRPr="00F2567A">
              <w:rPr>
                <w:rFonts w:ascii="Arial" w:eastAsia="Calibri" w:hAnsi="Arial" w:cs="Arial"/>
                <w:bCs/>
                <w:i/>
                <w:iCs/>
                <w:sz w:val="20"/>
                <w:szCs w:val="20"/>
                <w:lang w:val="es-ES_tradnl"/>
              </w:rPr>
              <w:t>Injurias o calumnias recíprocas</w:t>
            </w:r>
            <w:r w:rsidRPr="00F2567A">
              <w:rPr>
                <w:rFonts w:ascii="Arial" w:eastAsia="Calibri" w:hAnsi="Arial" w:cs="Arial"/>
                <w:sz w:val="20"/>
                <w:szCs w:val="20"/>
                <w:lang w:val="es-ES_tradnl"/>
              </w:rPr>
              <w:t xml:space="preserve">. Si las imputaciones o agravios a que se refieren los artículos 565, 566 y </w:t>
            </w:r>
            <w:r w:rsidRPr="00F2567A">
              <w:rPr>
                <w:rFonts w:ascii="Arial" w:eastAsia="Calibri" w:hAnsi="Arial" w:cs="Arial"/>
                <w:strike/>
                <w:sz w:val="20"/>
                <w:szCs w:val="20"/>
                <w:lang w:val="es-ES_tradnl"/>
              </w:rPr>
              <w:t xml:space="preserve">572 </w:t>
            </w:r>
            <w:r w:rsidRPr="00F2567A">
              <w:rPr>
                <w:rFonts w:ascii="Arial" w:eastAsia="Calibri" w:hAnsi="Arial" w:cs="Arial"/>
                <w:b/>
                <w:sz w:val="20"/>
                <w:szCs w:val="20"/>
                <w:lang w:val="es-ES_tradnl"/>
              </w:rPr>
              <w:t>571</w:t>
            </w:r>
            <w:r w:rsidRPr="00F2567A">
              <w:rPr>
                <w:rFonts w:ascii="Arial" w:eastAsia="Calibri" w:hAnsi="Arial" w:cs="Arial"/>
                <w:sz w:val="20"/>
                <w:szCs w:val="20"/>
                <w:lang w:val="es-ES_tradnl"/>
              </w:rPr>
              <w:t xml:space="preserve"> fueren recíprocas, se podrán declarar exentos de responsabilidad a los injuriantes o calumniantes o a cualquiera de ellos.</w:t>
            </w:r>
          </w:p>
        </w:tc>
        <w:tc>
          <w:tcPr>
            <w:tcW w:w="1243" w:type="pct"/>
          </w:tcPr>
          <w:p w:rsidR="00F2567A" w:rsidRPr="00F2567A" w:rsidRDefault="00F2567A" w:rsidP="00F2567A">
            <w:pPr>
              <w:rPr>
                <w:rFonts w:ascii="Arial" w:eastAsia="Calibri" w:hAnsi="Arial" w:cs="Arial"/>
                <w:b/>
                <w:sz w:val="20"/>
                <w:szCs w:val="20"/>
              </w:rPr>
            </w:pPr>
            <w:r w:rsidRPr="00F2567A">
              <w:rPr>
                <w:rFonts w:ascii="Arial" w:eastAsia="Calibri" w:hAnsi="Arial" w:cs="Arial"/>
                <w:sz w:val="20"/>
                <w:szCs w:val="20"/>
              </w:rPr>
              <w:t>Cambio de numeración del artículo creado en la Ley 599 de 2000, con el fin de mantener la secuencia.</w:t>
            </w:r>
          </w:p>
        </w:tc>
      </w:tr>
      <w:tr w:rsidR="00F2567A" w:rsidRPr="00F2567A" w:rsidTr="00F2567A">
        <w:tc>
          <w:tcPr>
            <w:tcW w:w="1844" w:type="pct"/>
          </w:tcPr>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Artículo 57. La Ley 599 de 2000 tendrá un nuevo artículo 579, así:</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bCs/>
                <w:sz w:val="20"/>
                <w:szCs w:val="20"/>
                <w:lang w:val="es-ES_tradnl"/>
              </w:rPr>
              <w:t>Artículo 579. </w:t>
            </w:r>
            <w:r w:rsidRPr="00F2567A">
              <w:rPr>
                <w:rFonts w:ascii="Arial" w:eastAsia="Calibri" w:hAnsi="Arial" w:cs="Arial"/>
                <w:bCs/>
                <w:i/>
                <w:iCs/>
                <w:sz w:val="20"/>
                <w:szCs w:val="20"/>
                <w:lang w:val="es-ES_tradnl"/>
              </w:rPr>
              <w:t>Circunstancias de atenuación punitiva</w:t>
            </w:r>
            <w:r w:rsidRPr="00F2567A">
              <w:rPr>
                <w:rFonts w:ascii="Arial" w:eastAsia="Calibri" w:hAnsi="Arial" w:cs="Arial"/>
                <w:i/>
                <w:iCs/>
                <w:sz w:val="20"/>
                <w:szCs w:val="20"/>
                <w:lang w:val="es-ES_tradnl"/>
              </w:rPr>
              <w:t>.</w:t>
            </w:r>
            <w:r w:rsidRPr="00F2567A">
              <w:rPr>
                <w:rFonts w:ascii="Arial" w:eastAsia="Calibri" w:hAnsi="Arial" w:cs="Arial"/>
                <w:sz w:val="20"/>
                <w:szCs w:val="20"/>
                <w:lang w:val="es-ES_tradnl"/>
              </w:rPr>
              <w:t> La pena de las conductas punibles previstas en los artículos 239 y 577 será de multa cuando:</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El apoderamiento se cometiere con el fin de hacer uso de la cosa y se restituyere en término no mayor de veinticuatro (24) horas.</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Cuando la cosa se restituyere con daño o deterioro grave, la pena solo se reducirá hasta en una tercera parte, sin que pueda ser inferior a uno punto tres (1.3) unidades multa.</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 xml:space="preserve">La conducta se cometiere por socio, copropietario, comunero o heredero, o sobre cosa común indivisible o común divisible, </w:t>
            </w:r>
            <w:r w:rsidRPr="00F2567A">
              <w:rPr>
                <w:rFonts w:ascii="Arial" w:eastAsia="Calibri" w:hAnsi="Arial" w:cs="Arial"/>
                <w:sz w:val="20"/>
                <w:szCs w:val="20"/>
                <w:lang w:val="es-ES_tradnl"/>
              </w:rPr>
              <w:lastRenderedPageBreak/>
              <w:t>excediendo su cuota parte. Este inciso no cobija los casos de conductas cometidas por socios de una sociedad legalmente constituida.</w:t>
            </w:r>
          </w:p>
          <w:p w:rsidR="00F2567A" w:rsidRPr="00F2567A" w:rsidRDefault="00F2567A" w:rsidP="00F2567A">
            <w:pPr>
              <w:rPr>
                <w:rFonts w:ascii="Arial" w:eastAsia="Calibri" w:hAnsi="Arial" w:cs="Arial"/>
                <w:b/>
                <w:sz w:val="20"/>
                <w:szCs w:val="20"/>
                <w:lang w:val="es-ES_tradnl"/>
              </w:rPr>
            </w:pPr>
          </w:p>
        </w:tc>
        <w:tc>
          <w:tcPr>
            <w:tcW w:w="1913" w:type="pct"/>
          </w:tcPr>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lastRenderedPageBreak/>
              <w:t xml:space="preserve">Artículo 57. La Ley 599 de 2000 tendrá un nuevo artículo </w:t>
            </w:r>
            <w:r w:rsidRPr="00F2567A">
              <w:rPr>
                <w:rFonts w:ascii="Arial" w:eastAsia="Calibri" w:hAnsi="Arial" w:cs="Arial"/>
                <w:strike/>
                <w:sz w:val="20"/>
                <w:szCs w:val="20"/>
                <w:lang w:val="es-ES_tradnl"/>
              </w:rPr>
              <w:t>579</w:t>
            </w:r>
            <w:r w:rsidRPr="00F2567A">
              <w:rPr>
                <w:rFonts w:ascii="Arial" w:eastAsia="Calibri" w:hAnsi="Arial" w:cs="Arial"/>
                <w:sz w:val="20"/>
                <w:szCs w:val="20"/>
                <w:lang w:val="es-ES_tradnl"/>
              </w:rPr>
              <w:t xml:space="preserve"> </w:t>
            </w:r>
            <w:r w:rsidRPr="00F2567A">
              <w:rPr>
                <w:rFonts w:ascii="Arial" w:eastAsia="Calibri" w:hAnsi="Arial" w:cs="Arial"/>
                <w:b/>
                <w:sz w:val="20"/>
                <w:szCs w:val="20"/>
                <w:lang w:val="es-ES_tradnl"/>
              </w:rPr>
              <w:t>578</w:t>
            </w:r>
            <w:r w:rsidRPr="00F2567A">
              <w:rPr>
                <w:rFonts w:ascii="Arial" w:eastAsia="Calibri" w:hAnsi="Arial" w:cs="Arial"/>
                <w:sz w:val="20"/>
                <w:szCs w:val="20"/>
                <w:lang w:val="es-ES_tradnl"/>
              </w:rPr>
              <w:t>, así:</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bCs/>
                <w:sz w:val="20"/>
                <w:szCs w:val="20"/>
                <w:lang w:val="es-ES_tradnl"/>
              </w:rPr>
              <w:t xml:space="preserve">Artículo </w:t>
            </w:r>
            <w:r w:rsidRPr="00F2567A">
              <w:rPr>
                <w:rFonts w:ascii="Arial" w:eastAsia="Calibri" w:hAnsi="Arial" w:cs="Arial"/>
                <w:bCs/>
                <w:strike/>
                <w:sz w:val="20"/>
                <w:szCs w:val="20"/>
                <w:lang w:val="es-ES_tradnl"/>
              </w:rPr>
              <w:t>579</w:t>
            </w:r>
            <w:r w:rsidRPr="00F2567A">
              <w:rPr>
                <w:rFonts w:ascii="Arial" w:eastAsia="Calibri" w:hAnsi="Arial" w:cs="Arial"/>
                <w:bCs/>
                <w:sz w:val="20"/>
                <w:szCs w:val="20"/>
                <w:lang w:val="es-ES_tradnl"/>
              </w:rPr>
              <w:t xml:space="preserve"> </w:t>
            </w:r>
            <w:r w:rsidRPr="00F2567A">
              <w:rPr>
                <w:rFonts w:ascii="Arial" w:eastAsia="Calibri" w:hAnsi="Arial" w:cs="Arial"/>
                <w:b/>
                <w:bCs/>
                <w:sz w:val="20"/>
                <w:szCs w:val="20"/>
                <w:lang w:val="es-ES_tradnl"/>
              </w:rPr>
              <w:t>578.</w:t>
            </w:r>
            <w:r w:rsidRPr="00F2567A">
              <w:rPr>
                <w:rFonts w:ascii="Arial" w:eastAsia="Calibri" w:hAnsi="Arial" w:cs="Arial"/>
                <w:bCs/>
                <w:sz w:val="20"/>
                <w:szCs w:val="20"/>
                <w:lang w:val="es-ES_tradnl"/>
              </w:rPr>
              <w:t> </w:t>
            </w:r>
            <w:r w:rsidRPr="00F2567A">
              <w:rPr>
                <w:rFonts w:ascii="Arial" w:eastAsia="Calibri" w:hAnsi="Arial" w:cs="Arial"/>
                <w:bCs/>
                <w:i/>
                <w:iCs/>
                <w:sz w:val="20"/>
                <w:szCs w:val="20"/>
                <w:lang w:val="es-ES_tradnl"/>
              </w:rPr>
              <w:t>Circunstancias de atenuación punitiva</w:t>
            </w:r>
            <w:r w:rsidRPr="00F2567A">
              <w:rPr>
                <w:rFonts w:ascii="Arial" w:eastAsia="Calibri" w:hAnsi="Arial" w:cs="Arial"/>
                <w:i/>
                <w:iCs/>
                <w:sz w:val="20"/>
                <w:szCs w:val="20"/>
                <w:lang w:val="es-ES_tradnl"/>
              </w:rPr>
              <w:t>.</w:t>
            </w:r>
            <w:r w:rsidRPr="00F2567A">
              <w:rPr>
                <w:rFonts w:ascii="Arial" w:eastAsia="Calibri" w:hAnsi="Arial" w:cs="Arial"/>
                <w:sz w:val="20"/>
                <w:szCs w:val="20"/>
                <w:lang w:val="es-ES_tradnl"/>
              </w:rPr>
              <w:t xml:space="preserve"> La pena de las conductas punibles previstas en los artículos 239 y </w:t>
            </w:r>
            <w:r w:rsidRPr="00F2567A">
              <w:rPr>
                <w:rFonts w:ascii="Arial" w:eastAsia="Calibri" w:hAnsi="Arial" w:cs="Arial"/>
                <w:strike/>
                <w:sz w:val="20"/>
                <w:szCs w:val="20"/>
                <w:lang w:val="es-ES_tradnl"/>
              </w:rPr>
              <w:t>577</w:t>
            </w:r>
            <w:r w:rsidRPr="00F2567A">
              <w:rPr>
                <w:rFonts w:ascii="Arial" w:eastAsia="Calibri" w:hAnsi="Arial" w:cs="Arial"/>
                <w:b/>
                <w:sz w:val="20"/>
                <w:szCs w:val="20"/>
                <w:lang w:val="es-ES_tradnl"/>
              </w:rPr>
              <w:t xml:space="preserve"> 576</w:t>
            </w:r>
            <w:r w:rsidRPr="00F2567A">
              <w:rPr>
                <w:rFonts w:ascii="Arial" w:eastAsia="Calibri" w:hAnsi="Arial" w:cs="Arial"/>
                <w:sz w:val="20"/>
                <w:szCs w:val="20"/>
                <w:lang w:val="es-ES_tradnl"/>
              </w:rPr>
              <w:t xml:space="preserve"> será de multa cuando:</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El apoderamiento se cometiere con el fin de hacer uso de la cosa y se restituyere en término no mayor de veinticuatro (24) horas.</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Cuando la cosa se restituyere con daño o deterioro grave, la pena solo se reducirá hasta en una tercera parte, sin que pueda ser inferior a uno punto tres (1.3) unidades multa.</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 xml:space="preserve">La conducta se cometiere por socio, copropietario, comunero o heredero, o sobre cosa común indivisible o común divisible, </w:t>
            </w:r>
            <w:r w:rsidRPr="00F2567A">
              <w:rPr>
                <w:rFonts w:ascii="Arial" w:eastAsia="Calibri" w:hAnsi="Arial" w:cs="Arial"/>
                <w:sz w:val="20"/>
                <w:szCs w:val="20"/>
                <w:lang w:val="es-ES_tradnl"/>
              </w:rPr>
              <w:lastRenderedPageBreak/>
              <w:t>excediendo su cuota parte. Este inciso no cobija los casos de conductas cometidas por socios de una sociedad legalmente constituida.</w:t>
            </w:r>
          </w:p>
        </w:tc>
        <w:tc>
          <w:tcPr>
            <w:tcW w:w="1243" w:type="pct"/>
          </w:tcPr>
          <w:p w:rsidR="00F2567A" w:rsidRPr="00F2567A" w:rsidRDefault="00F2567A" w:rsidP="00F2567A">
            <w:pPr>
              <w:rPr>
                <w:rFonts w:ascii="Arial" w:eastAsia="Calibri" w:hAnsi="Arial" w:cs="Arial"/>
                <w:b/>
                <w:sz w:val="20"/>
                <w:szCs w:val="20"/>
              </w:rPr>
            </w:pPr>
            <w:r w:rsidRPr="00F2567A">
              <w:rPr>
                <w:rFonts w:ascii="Arial" w:eastAsia="Calibri" w:hAnsi="Arial" w:cs="Arial"/>
                <w:sz w:val="20"/>
                <w:szCs w:val="20"/>
              </w:rPr>
              <w:lastRenderedPageBreak/>
              <w:t>Cambio de numeración del artículo creado en la Ley 599 de 2000, con el fin de mantener la secuencia.</w:t>
            </w:r>
          </w:p>
        </w:tc>
      </w:tr>
      <w:tr w:rsidR="00F2567A" w:rsidRPr="00F2567A" w:rsidTr="00F2567A">
        <w:tc>
          <w:tcPr>
            <w:tcW w:w="1844" w:type="pct"/>
          </w:tcPr>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lastRenderedPageBreak/>
              <w:t>Artículo 91. La Ley 599 de 2000 tendrá un nuevo artículo 609, así:</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bCs/>
                <w:sz w:val="20"/>
                <w:szCs w:val="20"/>
                <w:lang w:val="es-ES_tradnl"/>
              </w:rPr>
              <w:t>Artículo 609. </w:t>
            </w:r>
            <w:r w:rsidRPr="00F2567A">
              <w:rPr>
                <w:rFonts w:ascii="Arial" w:eastAsia="Calibri" w:hAnsi="Arial" w:cs="Arial"/>
                <w:bCs/>
                <w:i/>
                <w:iCs/>
                <w:sz w:val="20"/>
                <w:szCs w:val="20"/>
                <w:lang w:val="es-ES_tradnl"/>
              </w:rPr>
              <w:t>Abuso contravencional de autoridad por omisión de denuncia</w:t>
            </w:r>
            <w:r w:rsidRPr="00F2567A">
              <w:rPr>
                <w:rFonts w:ascii="Arial" w:eastAsia="Calibri" w:hAnsi="Arial" w:cs="Arial"/>
                <w:sz w:val="20"/>
                <w:szCs w:val="20"/>
                <w:lang w:val="es-ES_tradnl"/>
              </w:rPr>
              <w:t>. El servidor público que teniendo conocimiento de la comisión de una conducta punible cuya averiguación deba adelantarse de oficio, no dé cuenta a la autoridad, incurrirá en multa y pérdida del empleo o cargo público.</w:t>
            </w:r>
          </w:p>
          <w:p w:rsidR="00F2567A" w:rsidRPr="00F2567A" w:rsidRDefault="00F2567A" w:rsidP="00F2567A">
            <w:pPr>
              <w:rPr>
                <w:rFonts w:ascii="Arial" w:eastAsia="Calibri" w:hAnsi="Arial" w:cs="Arial"/>
                <w:b/>
                <w:sz w:val="20"/>
                <w:szCs w:val="20"/>
                <w:lang w:val="es-ES_tradnl"/>
              </w:rPr>
            </w:pPr>
          </w:p>
        </w:tc>
        <w:tc>
          <w:tcPr>
            <w:tcW w:w="1913" w:type="pct"/>
          </w:tcPr>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 xml:space="preserve">Artículo 91. La Ley 599 de 2000 tendrá un nuevo artículo </w:t>
            </w:r>
            <w:r w:rsidRPr="00F2567A">
              <w:rPr>
                <w:rFonts w:ascii="Arial" w:eastAsia="Calibri" w:hAnsi="Arial" w:cs="Arial"/>
                <w:strike/>
                <w:sz w:val="20"/>
                <w:szCs w:val="20"/>
                <w:lang w:val="es-ES_tradnl"/>
              </w:rPr>
              <w:t>609</w:t>
            </w:r>
            <w:r w:rsidRPr="00F2567A">
              <w:rPr>
                <w:rFonts w:ascii="Arial" w:eastAsia="Calibri" w:hAnsi="Arial" w:cs="Arial"/>
                <w:sz w:val="20"/>
                <w:szCs w:val="20"/>
                <w:lang w:val="es-ES_tradnl"/>
              </w:rPr>
              <w:t xml:space="preserve"> </w:t>
            </w:r>
            <w:r w:rsidRPr="00F2567A">
              <w:rPr>
                <w:rFonts w:ascii="Arial" w:eastAsia="Calibri" w:hAnsi="Arial" w:cs="Arial"/>
                <w:b/>
                <w:sz w:val="20"/>
                <w:szCs w:val="20"/>
                <w:lang w:val="es-ES_tradnl"/>
              </w:rPr>
              <w:t>608</w:t>
            </w:r>
            <w:r w:rsidRPr="00F2567A">
              <w:rPr>
                <w:rFonts w:ascii="Arial" w:eastAsia="Calibri" w:hAnsi="Arial" w:cs="Arial"/>
                <w:sz w:val="20"/>
                <w:szCs w:val="20"/>
                <w:lang w:val="es-ES_tradnl"/>
              </w:rPr>
              <w:t>, así:</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bCs/>
                <w:sz w:val="20"/>
                <w:szCs w:val="20"/>
                <w:lang w:val="es-ES_tradnl"/>
              </w:rPr>
              <w:t xml:space="preserve">Artículo </w:t>
            </w:r>
            <w:r w:rsidRPr="00F2567A">
              <w:rPr>
                <w:rFonts w:ascii="Arial" w:eastAsia="Calibri" w:hAnsi="Arial" w:cs="Arial"/>
                <w:bCs/>
                <w:strike/>
                <w:sz w:val="20"/>
                <w:szCs w:val="20"/>
                <w:lang w:val="es-ES_tradnl"/>
              </w:rPr>
              <w:t>609</w:t>
            </w:r>
            <w:r w:rsidRPr="00F2567A">
              <w:rPr>
                <w:rFonts w:ascii="Arial" w:eastAsia="Calibri" w:hAnsi="Arial" w:cs="Arial"/>
                <w:bCs/>
                <w:sz w:val="20"/>
                <w:szCs w:val="20"/>
                <w:lang w:val="es-ES_tradnl"/>
              </w:rPr>
              <w:t xml:space="preserve"> </w:t>
            </w:r>
            <w:r w:rsidRPr="00F2567A">
              <w:rPr>
                <w:rFonts w:ascii="Arial" w:eastAsia="Calibri" w:hAnsi="Arial" w:cs="Arial"/>
                <w:b/>
                <w:bCs/>
                <w:sz w:val="20"/>
                <w:szCs w:val="20"/>
                <w:lang w:val="es-ES_tradnl"/>
              </w:rPr>
              <w:t>608.</w:t>
            </w:r>
            <w:r w:rsidRPr="00F2567A">
              <w:rPr>
                <w:rFonts w:ascii="Arial" w:eastAsia="Calibri" w:hAnsi="Arial" w:cs="Arial"/>
                <w:bCs/>
                <w:sz w:val="20"/>
                <w:szCs w:val="20"/>
                <w:lang w:val="es-ES_tradnl"/>
              </w:rPr>
              <w:t> </w:t>
            </w:r>
            <w:r w:rsidRPr="00F2567A">
              <w:rPr>
                <w:rFonts w:ascii="Arial" w:eastAsia="Calibri" w:hAnsi="Arial" w:cs="Arial"/>
                <w:bCs/>
                <w:i/>
                <w:iCs/>
                <w:sz w:val="20"/>
                <w:szCs w:val="20"/>
                <w:lang w:val="es-ES_tradnl"/>
              </w:rPr>
              <w:t>Abuso contravencional de autoridad por omisión de denuncia</w:t>
            </w:r>
            <w:r w:rsidRPr="00F2567A">
              <w:rPr>
                <w:rFonts w:ascii="Arial" w:eastAsia="Calibri" w:hAnsi="Arial" w:cs="Arial"/>
                <w:sz w:val="20"/>
                <w:szCs w:val="20"/>
                <w:lang w:val="es-ES_tradnl"/>
              </w:rPr>
              <w:t>. El servidor público que teniendo conocimiento de la comisión de una conducta punible cuya averiguación deba adelantarse de oficio, no dé cuenta a la autoridad, incurrirá en multa y pérdida del empleo o cargo público.</w:t>
            </w:r>
          </w:p>
          <w:p w:rsidR="00F2567A" w:rsidRPr="00F2567A" w:rsidRDefault="00F2567A" w:rsidP="00F2567A">
            <w:pPr>
              <w:rPr>
                <w:rFonts w:ascii="Arial" w:eastAsia="Calibri" w:hAnsi="Arial" w:cs="Arial"/>
                <w:b/>
                <w:sz w:val="20"/>
                <w:szCs w:val="20"/>
                <w:lang w:val="es-ES_tradnl"/>
              </w:rPr>
            </w:pPr>
          </w:p>
        </w:tc>
        <w:tc>
          <w:tcPr>
            <w:tcW w:w="1243" w:type="pct"/>
          </w:tcPr>
          <w:p w:rsidR="00F2567A" w:rsidRPr="00F2567A" w:rsidRDefault="00F2567A" w:rsidP="00F2567A">
            <w:pPr>
              <w:rPr>
                <w:rFonts w:ascii="Arial" w:eastAsia="Calibri" w:hAnsi="Arial" w:cs="Arial"/>
                <w:b/>
                <w:sz w:val="20"/>
                <w:szCs w:val="20"/>
              </w:rPr>
            </w:pPr>
            <w:r w:rsidRPr="00F2567A">
              <w:rPr>
                <w:rFonts w:ascii="Arial" w:eastAsia="Calibri" w:hAnsi="Arial" w:cs="Arial"/>
                <w:sz w:val="20"/>
                <w:szCs w:val="20"/>
              </w:rPr>
              <w:t>Cambio de numeración del artículo creado en la Ley 599 de 2000, con el fin de mantener la secuencia.</w:t>
            </w:r>
          </w:p>
        </w:tc>
      </w:tr>
      <w:tr w:rsidR="00F2567A" w:rsidRPr="00F2567A" w:rsidTr="00F2567A">
        <w:tc>
          <w:tcPr>
            <w:tcW w:w="1844" w:type="pct"/>
          </w:tcPr>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Artículo 92. La Ley 599 de 2000 tendrá un nuevo artículo 610, así:</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bCs/>
                <w:sz w:val="20"/>
                <w:szCs w:val="20"/>
                <w:lang w:val="es-ES_tradnl"/>
              </w:rPr>
              <w:t>Artículo 610. </w:t>
            </w:r>
            <w:r w:rsidRPr="00F2567A">
              <w:rPr>
                <w:rFonts w:ascii="Arial" w:eastAsia="Calibri" w:hAnsi="Arial" w:cs="Arial"/>
                <w:bCs/>
                <w:i/>
                <w:iCs/>
                <w:sz w:val="20"/>
                <w:szCs w:val="20"/>
                <w:lang w:val="es-ES_tradnl"/>
              </w:rPr>
              <w:t>Revelación contravencional de secreto</w:t>
            </w:r>
            <w:r w:rsidRPr="00F2567A">
              <w:rPr>
                <w:rFonts w:ascii="Arial" w:eastAsia="Calibri" w:hAnsi="Arial" w:cs="Arial"/>
                <w:i/>
                <w:iCs/>
                <w:sz w:val="20"/>
                <w:szCs w:val="20"/>
                <w:lang w:val="es-ES_tradnl"/>
              </w:rPr>
              <w:t>.</w:t>
            </w:r>
            <w:r w:rsidRPr="00F2567A">
              <w:rPr>
                <w:rFonts w:ascii="Arial" w:eastAsia="Calibri" w:hAnsi="Arial" w:cs="Arial"/>
                <w:sz w:val="20"/>
                <w:szCs w:val="20"/>
                <w:lang w:val="es-ES_tradnl"/>
              </w:rPr>
              <w:t> El servidor público que indebidamente dé a conocer documento o noticia que deba mantener en secreto o reserva, incurrirá en multa y pérdida del empleo o cargo público.</w:t>
            </w:r>
          </w:p>
          <w:p w:rsidR="00F2567A" w:rsidRPr="00F2567A" w:rsidRDefault="00F2567A" w:rsidP="00F2567A">
            <w:pPr>
              <w:rPr>
                <w:rFonts w:ascii="Arial" w:eastAsia="Calibri" w:hAnsi="Arial" w:cs="Arial"/>
                <w:b/>
                <w:sz w:val="20"/>
                <w:szCs w:val="20"/>
                <w:lang w:val="es-ES_tradnl"/>
              </w:rPr>
            </w:pPr>
          </w:p>
        </w:tc>
        <w:tc>
          <w:tcPr>
            <w:tcW w:w="1913" w:type="pct"/>
          </w:tcPr>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 xml:space="preserve">Artículo 92. La Ley 599 de 2000 tendrá un nuevo artículo </w:t>
            </w:r>
            <w:r w:rsidRPr="00F2567A">
              <w:rPr>
                <w:rFonts w:ascii="Arial" w:eastAsia="Calibri" w:hAnsi="Arial" w:cs="Arial"/>
                <w:strike/>
                <w:sz w:val="20"/>
                <w:szCs w:val="20"/>
                <w:lang w:val="es-ES_tradnl"/>
              </w:rPr>
              <w:t>610</w:t>
            </w:r>
            <w:r w:rsidRPr="00F2567A">
              <w:rPr>
                <w:rFonts w:ascii="Arial" w:eastAsia="Calibri" w:hAnsi="Arial" w:cs="Arial"/>
                <w:sz w:val="20"/>
                <w:szCs w:val="20"/>
                <w:lang w:val="es-ES_tradnl"/>
              </w:rPr>
              <w:t xml:space="preserve"> </w:t>
            </w:r>
            <w:r w:rsidRPr="00F2567A">
              <w:rPr>
                <w:rFonts w:ascii="Arial" w:eastAsia="Calibri" w:hAnsi="Arial" w:cs="Arial"/>
                <w:b/>
                <w:sz w:val="20"/>
                <w:szCs w:val="20"/>
                <w:lang w:val="es-ES_tradnl"/>
              </w:rPr>
              <w:t>609</w:t>
            </w:r>
            <w:r w:rsidRPr="00F2567A">
              <w:rPr>
                <w:rFonts w:ascii="Arial" w:eastAsia="Calibri" w:hAnsi="Arial" w:cs="Arial"/>
                <w:sz w:val="20"/>
                <w:szCs w:val="20"/>
                <w:lang w:val="es-ES_tradnl"/>
              </w:rPr>
              <w:t>, así:</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bCs/>
                <w:sz w:val="20"/>
                <w:szCs w:val="20"/>
                <w:lang w:val="es-ES_tradnl"/>
              </w:rPr>
              <w:t xml:space="preserve">Artículo </w:t>
            </w:r>
            <w:r w:rsidRPr="00F2567A">
              <w:rPr>
                <w:rFonts w:ascii="Arial" w:eastAsia="Calibri" w:hAnsi="Arial" w:cs="Arial"/>
                <w:bCs/>
                <w:strike/>
                <w:sz w:val="20"/>
                <w:szCs w:val="20"/>
                <w:lang w:val="es-ES_tradnl"/>
              </w:rPr>
              <w:t>610</w:t>
            </w:r>
            <w:r w:rsidRPr="00F2567A">
              <w:rPr>
                <w:rFonts w:ascii="Arial" w:eastAsia="Calibri" w:hAnsi="Arial" w:cs="Arial"/>
                <w:bCs/>
                <w:sz w:val="20"/>
                <w:szCs w:val="20"/>
                <w:lang w:val="es-ES_tradnl"/>
              </w:rPr>
              <w:t xml:space="preserve"> </w:t>
            </w:r>
            <w:r w:rsidRPr="00F2567A">
              <w:rPr>
                <w:rFonts w:ascii="Arial" w:eastAsia="Calibri" w:hAnsi="Arial" w:cs="Arial"/>
                <w:b/>
                <w:bCs/>
                <w:sz w:val="20"/>
                <w:szCs w:val="20"/>
                <w:lang w:val="es-ES_tradnl"/>
              </w:rPr>
              <w:t>609.</w:t>
            </w:r>
            <w:r w:rsidRPr="00F2567A">
              <w:rPr>
                <w:rFonts w:ascii="Arial" w:eastAsia="Calibri" w:hAnsi="Arial" w:cs="Arial"/>
                <w:bCs/>
                <w:sz w:val="20"/>
                <w:szCs w:val="20"/>
                <w:lang w:val="es-ES_tradnl"/>
              </w:rPr>
              <w:t> </w:t>
            </w:r>
            <w:r w:rsidRPr="00F2567A">
              <w:rPr>
                <w:rFonts w:ascii="Arial" w:eastAsia="Calibri" w:hAnsi="Arial" w:cs="Arial"/>
                <w:bCs/>
                <w:i/>
                <w:iCs/>
                <w:sz w:val="20"/>
                <w:szCs w:val="20"/>
                <w:lang w:val="es-ES_tradnl"/>
              </w:rPr>
              <w:t>Revelación contravencional de secreto</w:t>
            </w:r>
            <w:r w:rsidRPr="00F2567A">
              <w:rPr>
                <w:rFonts w:ascii="Arial" w:eastAsia="Calibri" w:hAnsi="Arial" w:cs="Arial"/>
                <w:i/>
                <w:iCs/>
                <w:sz w:val="20"/>
                <w:szCs w:val="20"/>
                <w:lang w:val="es-ES_tradnl"/>
              </w:rPr>
              <w:t>.</w:t>
            </w:r>
            <w:r w:rsidRPr="00F2567A">
              <w:rPr>
                <w:rFonts w:ascii="Arial" w:eastAsia="Calibri" w:hAnsi="Arial" w:cs="Arial"/>
                <w:sz w:val="20"/>
                <w:szCs w:val="20"/>
                <w:lang w:val="es-ES_tradnl"/>
              </w:rPr>
              <w:t> El servidor público que indebidamente dé a conocer documento o noticia que deba mantener en secreto o reserva, incurrirá en multa y pérdida del empleo o cargo público.</w:t>
            </w:r>
          </w:p>
          <w:p w:rsidR="00F2567A" w:rsidRPr="00F2567A" w:rsidRDefault="00F2567A" w:rsidP="00F2567A">
            <w:pPr>
              <w:rPr>
                <w:rFonts w:ascii="Arial" w:eastAsia="Calibri" w:hAnsi="Arial" w:cs="Arial"/>
                <w:b/>
                <w:sz w:val="20"/>
                <w:szCs w:val="20"/>
                <w:lang w:val="es-ES_tradnl"/>
              </w:rPr>
            </w:pPr>
          </w:p>
        </w:tc>
        <w:tc>
          <w:tcPr>
            <w:tcW w:w="1243" w:type="pct"/>
          </w:tcPr>
          <w:p w:rsidR="00F2567A" w:rsidRPr="00F2567A" w:rsidRDefault="00F2567A" w:rsidP="00F2567A">
            <w:pPr>
              <w:rPr>
                <w:rFonts w:ascii="Arial" w:eastAsia="Calibri" w:hAnsi="Arial" w:cs="Arial"/>
                <w:b/>
                <w:sz w:val="20"/>
                <w:szCs w:val="20"/>
              </w:rPr>
            </w:pPr>
            <w:r w:rsidRPr="00F2567A">
              <w:rPr>
                <w:rFonts w:ascii="Arial" w:eastAsia="Calibri" w:hAnsi="Arial" w:cs="Arial"/>
                <w:sz w:val="20"/>
                <w:szCs w:val="20"/>
              </w:rPr>
              <w:t>Cambio de numeración del artículo creado en la Ley 599 de 2000, con el fin de mantener la secuencia.</w:t>
            </w:r>
          </w:p>
        </w:tc>
      </w:tr>
      <w:tr w:rsidR="00F2567A" w:rsidRPr="00F2567A" w:rsidTr="00F2567A">
        <w:tc>
          <w:tcPr>
            <w:tcW w:w="1844" w:type="pct"/>
          </w:tcPr>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Artículo 95. La Ley 599 de 2000 tendrá un nuevo artículo 613, así:</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bCs/>
                <w:sz w:val="20"/>
                <w:szCs w:val="20"/>
                <w:lang w:val="es-ES_tradnl"/>
              </w:rPr>
              <w:t>Artículo 613. </w:t>
            </w:r>
            <w:r w:rsidRPr="00F2567A">
              <w:rPr>
                <w:rFonts w:ascii="Arial" w:eastAsia="Calibri" w:hAnsi="Arial" w:cs="Arial"/>
                <w:bCs/>
                <w:i/>
                <w:iCs/>
                <w:sz w:val="20"/>
                <w:szCs w:val="20"/>
                <w:lang w:val="es-ES_tradnl"/>
              </w:rPr>
              <w:t>Asesoramiento contravencional y otras actuaciones ilegales</w:t>
            </w:r>
            <w:r w:rsidRPr="00F2567A">
              <w:rPr>
                <w:rFonts w:ascii="Arial" w:eastAsia="Calibri" w:hAnsi="Arial" w:cs="Arial"/>
                <w:sz w:val="20"/>
                <w:szCs w:val="20"/>
                <w:lang w:val="es-ES_tradnl"/>
              </w:rPr>
              <w:t>. El servidor público que ilegalmente represente, litigue, gestione o asesore en asunto judicial, administrativo o policivo, incurrirá en multa y pérdida del empleo o cargo público.</w:t>
            </w:r>
          </w:p>
          <w:p w:rsidR="00F2567A" w:rsidRPr="00F2567A" w:rsidRDefault="00F2567A" w:rsidP="00F2567A">
            <w:pPr>
              <w:rPr>
                <w:rFonts w:ascii="Arial" w:eastAsia="Calibri" w:hAnsi="Arial" w:cs="Arial"/>
                <w:b/>
                <w:sz w:val="20"/>
                <w:szCs w:val="20"/>
                <w:lang w:val="es-ES_tradnl"/>
              </w:rPr>
            </w:pPr>
          </w:p>
        </w:tc>
        <w:tc>
          <w:tcPr>
            <w:tcW w:w="1913" w:type="pct"/>
          </w:tcPr>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 xml:space="preserve">Artículo 95. La Ley 599 de 2000 tendrá un nuevo artículo </w:t>
            </w:r>
            <w:r w:rsidRPr="00F2567A">
              <w:rPr>
                <w:rFonts w:ascii="Arial" w:eastAsia="Calibri" w:hAnsi="Arial" w:cs="Arial"/>
                <w:strike/>
                <w:sz w:val="20"/>
                <w:szCs w:val="20"/>
                <w:lang w:val="es-ES_tradnl"/>
              </w:rPr>
              <w:t>613</w:t>
            </w:r>
            <w:r w:rsidRPr="00F2567A">
              <w:rPr>
                <w:rFonts w:ascii="Arial" w:eastAsia="Calibri" w:hAnsi="Arial" w:cs="Arial"/>
                <w:sz w:val="20"/>
                <w:szCs w:val="20"/>
                <w:lang w:val="es-ES_tradnl"/>
              </w:rPr>
              <w:t xml:space="preserve"> </w:t>
            </w:r>
            <w:r w:rsidRPr="00F2567A">
              <w:rPr>
                <w:rFonts w:ascii="Arial" w:eastAsia="Calibri" w:hAnsi="Arial" w:cs="Arial"/>
                <w:b/>
                <w:sz w:val="20"/>
                <w:szCs w:val="20"/>
                <w:lang w:val="es-ES_tradnl"/>
              </w:rPr>
              <w:t>612</w:t>
            </w:r>
            <w:r w:rsidRPr="00F2567A">
              <w:rPr>
                <w:rFonts w:ascii="Arial" w:eastAsia="Calibri" w:hAnsi="Arial" w:cs="Arial"/>
                <w:sz w:val="20"/>
                <w:szCs w:val="20"/>
                <w:lang w:val="es-ES_tradnl"/>
              </w:rPr>
              <w:t>, así:</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bCs/>
                <w:sz w:val="20"/>
                <w:szCs w:val="20"/>
                <w:lang w:val="es-ES_tradnl"/>
              </w:rPr>
              <w:t xml:space="preserve">Artículo </w:t>
            </w:r>
            <w:r w:rsidRPr="00F2567A">
              <w:rPr>
                <w:rFonts w:ascii="Arial" w:eastAsia="Calibri" w:hAnsi="Arial" w:cs="Arial"/>
                <w:strike/>
                <w:sz w:val="20"/>
                <w:szCs w:val="20"/>
                <w:lang w:val="es-ES_tradnl"/>
              </w:rPr>
              <w:t>613</w:t>
            </w:r>
            <w:r w:rsidRPr="00F2567A">
              <w:rPr>
                <w:rFonts w:ascii="Arial" w:eastAsia="Calibri" w:hAnsi="Arial" w:cs="Arial"/>
                <w:sz w:val="20"/>
                <w:szCs w:val="20"/>
                <w:lang w:val="es-ES_tradnl"/>
              </w:rPr>
              <w:t xml:space="preserve"> </w:t>
            </w:r>
            <w:r w:rsidRPr="00F2567A">
              <w:rPr>
                <w:rFonts w:ascii="Arial" w:eastAsia="Calibri" w:hAnsi="Arial" w:cs="Arial"/>
                <w:b/>
                <w:sz w:val="20"/>
                <w:szCs w:val="20"/>
                <w:lang w:val="es-ES_tradnl"/>
              </w:rPr>
              <w:t>612</w:t>
            </w:r>
            <w:r w:rsidRPr="00F2567A">
              <w:rPr>
                <w:rFonts w:ascii="Arial" w:eastAsia="Calibri" w:hAnsi="Arial" w:cs="Arial"/>
                <w:bCs/>
                <w:sz w:val="20"/>
                <w:szCs w:val="20"/>
                <w:lang w:val="es-ES_tradnl"/>
              </w:rPr>
              <w:t>. </w:t>
            </w:r>
            <w:r w:rsidRPr="00F2567A">
              <w:rPr>
                <w:rFonts w:ascii="Arial" w:eastAsia="Calibri" w:hAnsi="Arial" w:cs="Arial"/>
                <w:bCs/>
                <w:i/>
                <w:iCs/>
                <w:sz w:val="20"/>
                <w:szCs w:val="20"/>
                <w:lang w:val="es-ES_tradnl"/>
              </w:rPr>
              <w:t>Asesoramiento contravencional y otras actuaciones ilegales</w:t>
            </w:r>
            <w:r w:rsidRPr="00F2567A">
              <w:rPr>
                <w:rFonts w:ascii="Arial" w:eastAsia="Calibri" w:hAnsi="Arial" w:cs="Arial"/>
                <w:sz w:val="20"/>
                <w:szCs w:val="20"/>
                <w:lang w:val="es-ES_tradnl"/>
              </w:rPr>
              <w:t>. El servidor público que ilegalmente represente, litigue, gestione o asesore en asunto judicial, administrativo o policivo, incurrirá en multa y pérdida del empleo o cargo público.</w:t>
            </w:r>
          </w:p>
          <w:p w:rsidR="00F2567A" w:rsidRPr="00F2567A" w:rsidRDefault="00F2567A" w:rsidP="00F2567A">
            <w:pPr>
              <w:rPr>
                <w:rFonts w:ascii="Arial" w:eastAsia="Calibri" w:hAnsi="Arial" w:cs="Arial"/>
                <w:b/>
                <w:sz w:val="20"/>
                <w:szCs w:val="20"/>
                <w:lang w:val="es-ES_tradnl"/>
              </w:rPr>
            </w:pPr>
          </w:p>
        </w:tc>
        <w:tc>
          <w:tcPr>
            <w:tcW w:w="1243" w:type="pct"/>
          </w:tcPr>
          <w:p w:rsidR="00F2567A" w:rsidRPr="00F2567A" w:rsidRDefault="00F2567A" w:rsidP="00F2567A">
            <w:pPr>
              <w:rPr>
                <w:rFonts w:ascii="Arial" w:eastAsia="Calibri" w:hAnsi="Arial" w:cs="Arial"/>
                <w:b/>
                <w:sz w:val="20"/>
                <w:szCs w:val="20"/>
              </w:rPr>
            </w:pPr>
            <w:r w:rsidRPr="00F2567A">
              <w:rPr>
                <w:rFonts w:ascii="Arial" w:eastAsia="Calibri" w:hAnsi="Arial" w:cs="Arial"/>
                <w:sz w:val="20"/>
                <w:szCs w:val="20"/>
              </w:rPr>
              <w:t>Cambio de numeración del artículo creado en la Ley 599 de 2000, con el fin de mantener la secuencia.</w:t>
            </w:r>
          </w:p>
        </w:tc>
      </w:tr>
      <w:tr w:rsidR="00F2567A" w:rsidRPr="00F2567A" w:rsidTr="00F2567A">
        <w:tc>
          <w:tcPr>
            <w:tcW w:w="1844" w:type="pct"/>
          </w:tcPr>
          <w:p w:rsidR="00F2567A" w:rsidRPr="00F2567A" w:rsidRDefault="00F2567A" w:rsidP="00F2567A">
            <w:pPr>
              <w:rPr>
                <w:rFonts w:ascii="Arial" w:eastAsia="Calibri" w:hAnsi="Arial" w:cs="Arial"/>
                <w:sz w:val="20"/>
                <w:szCs w:val="20"/>
              </w:rPr>
            </w:pPr>
            <w:r w:rsidRPr="00F2567A">
              <w:rPr>
                <w:rFonts w:ascii="Arial" w:eastAsia="Calibri" w:hAnsi="Arial" w:cs="Arial"/>
                <w:bCs/>
                <w:sz w:val="20"/>
                <w:szCs w:val="20"/>
                <w:lang w:val="es-ES_tradnl"/>
              </w:rPr>
              <w:t>Artículo 101.</w:t>
            </w:r>
            <w:r w:rsidRPr="00F2567A">
              <w:rPr>
                <w:rFonts w:ascii="Arial" w:eastAsia="Calibri" w:hAnsi="Arial" w:cs="Arial"/>
                <w:sz w:val="20"/>
                <w:szCs w:val="20"/>
                <w:lang w:val="es-ES_tradnl"/>
              </w:rPr>
              <w:t> La Ley 599 de 2000 tendrá un nuevo artículo 618, así:</w:t>
            </w:r>
          </w:p>
          <w:p w:rsidR="00F2567A" w:rsidRPr="00F2567A" w:rsidRDefault="00F2567A" w:rsidP="00F2567A">
            <w:pPr>
              <w:rPr>
                <w:rFonts w:ascii="Arial" w:eastAsia="Calibri" w:hAnsi="Arial" w:cs="Arial"/>
                <w:b/>
                <w:bCs/>
                <w:sz w:val="20"/>
                <w:szCs w:val="20"/>
                <w:lang w:val="es-ES_tradnl"/>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bCs/>
                <w:sz w:val="20"/>
                <w:szCs w:val="20"/>
                <w:lang w:val="es-ES_tradnl"/>
              </w:rPr>
              <w:t>Artículo 618. Reducción cualitativa de pena en caso de contravención no penal</w:t>
            </w:r>
            <w:r w:rsidRPr="00F2567A">
              <w:rPr>
                <w:rFonts w:ascii="Arial" w:eastAsia="Calibri" w:hAnsi="Arial" w:cs="Arial"/>
                <w:sz w:val="20"/>
                <w:szCs w:val="20"/>
                <w:lang w:val="es-ES_tradnl"/>
              </w:rPr>
              <w:t xml:space="preserve">. Si se tratara de una contravención no penal, la pena señalada en los artículos 435, 436 </w:t>
            </w:r>
            <w:r w:rsidRPr="00F2567A">
              <w:rPr>
                <w:rFonts w:ascii="Arial" w:eastAsia="Calibri" w:hAnsi="Arial" w:cs="Arial"/>
                <w:sz w:val="20"/>
                <w:szCs w:val="20"/>
                <w:lang w:val="es-ES_tradnl"/>
              </w:rPr>
              <w:lastRenderedPageBreak/>
              <w:t>y 617 de este código será de multa, que ningún caso podrá ser inferior a una unidad.</w:t>
            </w:r>
          </w:p>
          <w:p w:rsidR="00F2567A" w:rsidRPr="00F2567A" w:rsidRDefault="00F2567A" w:rsidP="00F2567A">
            <w:pPr>
              <w:rPr>
                <w:rFonts w:ascii="Arial" w:eastAsia="Calibri" w:hAnsi="Arial" w:cs="Arial"/>
                <w:b/>
                <w:sz w:val="20"/>
                <w:szCs w:val="20"/>
                <w:lang w:val="es-ES_tradnl"/>
              </w:rPr>
            </w:pPr>
          </w:p>
        </w:tc>
        <w:tc>
          <w:tcPr>
            <w:tcW w:w="1913" w:type="pct"/>
          </w:tcPr>
          <w:p w:rsidR="00F2567A" w:rsidRPr="00F2567A" w:rsidRDefault="00F2567A" w:rsidP="00F2567A">
            <w:pPr>
              <w:rPr>
                <w:rFonts w:ascii="Arial" w:eastAsia="Calibri" w:hAnsi="Arial" w:cs="Arial"/>
                <w:sz w:val="20"/>
                <w:szCs w:val="20"/>
              </w:rPr>
            </w:pPr>
            <w:r w:rsidRPr="00F2567A">
              <w:rPr>
                <w:rFonts w:ascii="Arial" w:eastAsia="Calibri" w:hAnsi="Arial" w:cs="Arial"/>
                <w:bCs/>
                <w:sz w:val="20"/>
                <w:szCs w:val="20"/>
                <w:lang w:val="es-ES_tradnl"/>
              </w:rPr>
              <w:lastRenderedPageBreak/>
              <w:t>Artículo 101.</w:t>
            </w:r>
            <w:r w:rsidRPr="00F2567A">
              <w:rPr>
                <w:rFonts w:ascii="Arial" w:eastAsia="Calibri" w:hAnsi="Arial" w:cs="Arial"/>
                <w:sz w:val="20"/>
                <w:szCs w:val="20"/>
                <w:lang w:val="es-ES_tradnl"/>
              </w:rPr>
              <w:t xml:space="preserve"> La Ley 599 de 2000 tendrá un nuevo artículo </w:t>
            </w:r>
            <w:r w:rsidRPr="00F2567A">
              <w:rPr>
                <w:rFonts w:ascii="Arial" w:eastAsia="Calibri" w:hAnsi="Arial" w:cs="Arial"/>
                <w:strike/>
                <w:sz w:val="20"/>
                <w:szCs w:val="20"/>
                <w:lang w:val="es-ES_tradnl"/>
              </w:rPr>
              <w:t>618</w:t>
            </w:r>
            <w:r w:rsidRPr="00F2567A">
              <w:rPr>
                <w:rFonts w:ascii="Arial" w:eastAsia="Calibri" w:hAnsi="Arial" w:cs="Arial"/>
                <w:sz w:val="20"/>
                <w:szCs w:val="20"/>
                <w:lang w:val="es-ES_tradnl"/>
              </w:rPr>
              <w:t xml:space="preserve"> </w:t>
            </w:r>
            <w:r w:rsidRPr="00F2567A">
              <w:rPr>
                <w:rFonts w:ascii="Arial" w:eastAsia="Calibri" w:hAnsi="Arial" w:cs="Arial"/>
                <w:b/>
                <w:sz w:val="20"/>
                <w:szCs w:val="20"/>
                <w:lang w:val="es-ES_tradnl"/>
              </w:rPr>
              <w:t>617</w:t>
            </w:r>
            <w:r w:rsidRPr="00F2567A">
              <w:rPr>
                <w:rFonts w:ascii="Arial" w:eastAsia="Calibri" w:hAnsi="Arial" w:cs="Arial"/>
                <w:sz w:val="20"/>
                <w:szCs w:val="20"/>
                <w:lang w:val="es-ES_tradnl"/>
              </w:rPr>
              <w:t>, así:</w:t>
            </w:r>
          </w:p>
          <w:p w:rsidR="00F2567A" w:rsidRPr="00F2567A" w:rsidRDefault="00F2567A" w:rsidP="00F2567A">
            <w:pPr>
              <w:rPr>
                <w:rFonts w:ascii="Arial" w:eastAsia="Calibri" w:hAnsi="Arial" w:cs="Arial"/>
                <w:b/>
                <w:bCs/>
                <w:sz w:val="20"/>
                <w:szCs w:val="20"/>
                <w:lang w:val="es-ES_tradnl"/>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bCs/>
                <w:sz w:val="20"/>
                <w:szCs w:val="20"/>
                <w:lang w:val="es-ES_tradnl"/>
              </w:rPr>
              <w:t xml:space="preserve">Artículo </w:t>
            </w:r>
            <w:r w:rsidRPr="00F2567A">
              <w:rPr>
                <w:rFonts w:ascii="Arial" w:eastAsia="Calibri" w:hAnsi="Arial" w:cs="Arial"/>
                <w:strike/>
                <w:sz w:val="20"/>
                <w:szCs w:val="20"/>
                <w:lang w:val="es-ES_tradnl"/>
              </w:rPr>
              <w:t>618</w:t>
            </w:r>
            <w:r w:rsidRPr="00F2567A">
              <w:rPr>
                <w:rFonts w:ascii="Arial" w:eastAsia="Calibri" w:hAnsi="Arial" w:cs="Arial"/>
                <w:sz w:val="20"/>
                <w:szCs w:val="20"/>
                <w:lang w:val="es-ES_tradnl"/>
              </w:rPr>
              <w:t xml:space="preserve"> </w:t>
            </w:r>
            <w:r w:rsidRPr="00F2567A">
              <w:rPr>
                <w:rFonts w:ascii="Arial" w:eastAsia="Calibri" w:hAnsi="Arial" w:cs="Arial"/>
                <w:b/>
                <w:sz w:val="20"/>
                <w:szCs w:val="20"/>
                <w:lang w:val="es-ES_tradnl"/>
              </w:rPr>
              <w:t>617</w:t>
            </w:r>
            <w:r w:rsidRPr="00F2567A">
              <w:rPr>
                <w:rFonts w:ascii="Arial" w:eastAsia="Calibri" w:hAnsi="Arial" w:cs="Arial"/>
                <w:bCs/>
                <w:sz w:val="20"/>
                <w:szCs w:val="20"/>
                <w:lang w:val="es-ES_tradnl"/>
              </w:rPr>
              <w:t>. Reducción cualitativa de pena en caso de contravención no penal</w:t>
            </w:r>
            <w:r w:rsidRPr="00F2567A">
              <w:rPr>
                <w:rFonts w:ascii="Arial" w:eastAsia="Calibri" w:hAnsi="Arial" w:cs="Arial"/>
                <w:sz w:val="20"/>
                <w:szCs w:val="20"/>
                <w:lang w:val="es-ES_tradnl"/>
              </w:rPr>
              <w:t xml:space="preserve">. Si se tratara de una contravención no </w:t>
            </w:r>
            <w:r w:rsidRPr="00F2567A">
              <w:rPr>
                <w:rFonts w:ascii="Arial" w:eastAsia="Calibri" w:hAnsi="Arial" w:cs="Arial"/>
                <w:sz w:val="20"/>
                <w:szCs w:val="20"/>
                <w:lang w:val="es-ES_tradnl"/>
              </w:rPr>
              <w:lastRenderedPageBreak/>
              <w:t xml:space="preserve">penal, la pena señalada en los artículos 435, 436 y </w:t>
            </w:r>
            <w:r w:rsidRPr="00F2567A">
              <w:rPr>
                <w:rFonts w:ascii="Arial" w:eastAsia="Calibri" w:hAnsi="Arial" w:cs="Arial"/>
                <w:strike/>
                <w:sz w:val="20"/>
                <w:szCs w:val="20"/>
                <w:lang w:val="es-ES_tradnl"/>
              </w:rPr>
              <w:t>617</w:t>
            </w:r>
            <w:r w:rsidRPr="00F2567A">
              <w:rPr>
                <w:rFonts w:ascii="Arial" w:eastAsia="Calibri" w:hAnsi="Arial" w:cs="Arial"/>
                <w:sz w:val="20"/>
                <w:szCs w:val="20"/>
                <w:lang w:val="es-ES_tradnl"/>
              </w:rPr>
              <w:t xml:space="preserve"> </w:t>
            </w:r>
            <w:r w:rsidRPr="00F2567A">
              <w:rPr>
                <w:rFonts w:ascii="Arial" w:eastAsia="Calibri" w:hAnsi="Arial" w:cs="Arial"/>
                <w:b/>
                <w:sz w:val="20"/>
                <w:szCs w:val="20"/>
                <w:lang w:val="es-ES_tradnl"/>
              </w:rPr>
              <w:t>616</w:t>
            </w:r>
            <w:r w:rsidRPr="00F2567A">
              <w:rPr>
                <w:rFonts w:ascii="Arial" w:eastAsia="Calibri" w:hAnsi="Arial" w:cs="Arial"/>
                <w:sz w:val="20"/>
                <w:szCs w:val="20"/>
                <w:lang w:val="es-ES_tradnl"/>
              </w:rPr>
              <w:t xml:space="preserve"> de este código será de multa, que ningún caso podrá ser inferior a una unidad.</w:t>
            </w:r>
          </w:p>
          <w:p w:rsidR="00F2567A" w:rsidRPr="00F2567A" w:rsidRDefault="00F2567A" w:rsidP="00F2567A">
            <w:pPr>
              <w:rPr>
                <w:rFonts w:ascii="Arial" w:eastAsia="Calibri" w:hAnsi="Arial" w:cs="Arial"/>
                <w:b/>
                <w:sz w:val="20"/>
                <w:szCs w:val="20"/>
                <w:lang w:val="es-ES_tradnl"/>
              </w:rPr>
            </w:pPr>
          </w:p>
        </w:tc>
        <w:tc>
          <w:tcPr>
            <w:tcW w:w="1243" w:type="pct"/>
          </w:tcPr>
          <w:p w:rsidR="00F2567A" w:rsidRPr="00F2567A" w:rsidRDefault="00F2567A" w:rsidP="00F2567A">
            <w:pPr>
              <w:rPr>
                <w:rFonts w:ascii="Arial" w:eastAsia="Calibri" w:hAnsi="Arial" w:cs="Arial"/>
                <w:b/>
                <w:sz w:val="20"/>
                <w:szCs w:val="20"/>
              </w:rPr>
            </w:pPr>
            <w:r w:rsidRPr="00F2567A">
              <w:rPr>
                <w:rFonts w:ascii="Arial" w:eastAsia="Calibri" w:hAnsi="Arial" w:cs="Arial"/>
                <w:sz w:val="20"/>
                <w:szCs w:val="20"/>
              </w:rPr>
              <w:lastRenderedPageBreak/>
              <w:t>Cambio de numeración del artículo creado en la Ley 599 de 2000, con el fin de mantener la secuencia.</w:t>
            </w:r>
          </w:p>
        </w:tc>
      </w:tr>
      <w:tr w:rsidR="00F2567A" w:rsidRPr="00F2567A" w:rsidTr="00F2567A">
        <w:tc>
          <w:tcPr>
            <w:tcW w:w="1844" w:type="pct"/>
          </w:tcPr>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lastRenderedPageBreak/>
              <w:t>Artículo 33. La Ley 599 de 2000 tendrá un nuevo artículo 560, así:</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bCs/>
                <w:sz w:val="20"/>
                <w:szCs w:val="20"/>
                <w:lang w:val="es-ES_tradnl"/>
              </w:rPr>
              <w:t>Artículo 560. </w:t>
            </w:r>
            <w:r w:rsidRPr="00F2567A">
              <w:rPr>
                <w:rFonts w:ascii="Arial" w:eastAsia="Calibri" w:hAnsi="Arial" w:cs="Arial"/>
                <w:bCs/>
                <w:i/>
                <w:iCs/>
                <w:sz w:val="20"/>
                <w:szCs w:val="20"/>
                <w:lang w:val="es-ES_tradnl"/>
              </w:rPr>
              <w:t>Violación de los derechos de reunión y asociación.</w:t>
            </w:r>
            <w:r w:rsidRPr="00F2567A">
              <w:rPr>
                <w:rFonts w:ascii="Arial" w:eastAsia="Calibri" w:hAnsi="Arial" w:cs="Arial"/>
                <w:b/>
                <w:bCs/>
                <w:sz w:val="20"/>
                <w:szCs w:val="20"/>
                <w:lang w:val="es-ES_tradnl"/>
              </w:rPr>
              <w:t> </w:t>
            </w:r>
            <w:r w:rsidRPr="00F2567A">
              <w:rPr>
                <w:rFonts w:ascii="Arial" w:eastAsia="Calibri" w:hAnsi="Arial" w:cs="Arial"/>
                <w:sz w:val="20"/>
                <w:szCs w:val="20"/>
                <w:lang w:val="es-ES_tradnl"/>
              </w:rPr>
              <w:t>El que impida o perturbe una reunión lícita o ejercicio de los derechos que conceden las leyes laborales o tome represalias con motivo de huelga, reunión o asociación legítimas, incurrirá en pena de prisión de uno (1) a dos (2) años y multa de cien (100) a trescientos (300) salarios mínimos legales mensuales vigentes.</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rPr>
            </w:pPr>
            <w:r w:rsidRPr="00F2567A">
              <w:rPr>
                <w:rFonts w:ascii="Arial" w:eastAsia="Calibri" w:hAnsi="Arial" w:cs="Arial"/>
                <w:sz w:val="20"/>
                <w:szCs w:val="20"/>
                <w:lang w:val="es-ES_tradnl"/>
              </w:rPr>
              <w:t>En la misma pena incurrirá el que celebre pactos colectivos en los que, en su conjunto, se otorguen mejores condiciones a los trabajadores no sindicalizados, respecto de aquellas condiciones convenidas en convenciones colectivas con los trabajadores sindicalizados de una misma empresa.</w:t>
            </w: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La pena de prisión será de tres (3) a cinco (5) años y multa de trescientos (300) a quinientos (500) salarios mínimos legales mensuales vigentes si la conducta descrita en el inciso primero se cometiere:</w:t>
            </w:r>
          </w:p>
          <w:p w:rsidR="00F2567A" w:rsidRPr="00F2567A" w:rsidRDefault="00F2567A" w:rsidP="00F2567A">
            <w:pPr>
              <w:rPr>
                <w:rFonts w:ascii="Arial" w:eastAsia="Calibri" w:hAnsi="Arial" w:cs="Arial"/>
                <w:sz w:val="20"/>
                <w:szCs w:val="20"/>
              </w:rPr>
            </w:pPr>
          </w:p>
          <w:p w:rsidR="00F2567A" w:rsidRPr="00F2567A" w:rsidRDefault="00F2567A" w:rsidP="00F2567A">
            <w:pPr>
              <w:numPr>
                <w:ilvl w:val="0"/>
                <w:numId w:val="30"/>
              </w:numPr>
              <w:contextualSpacing/>
              <w:rPr>
                <w:rFonts w:ascii="Arial" w:eastAsia="Calibri" w:hAnsi="Arial" w:cs="Arial"/>
                <w:sz w:val="20"/>
                <w:szCs w:val="20"/>
                <w:lang w:val="es-ES_tradnl"/>
              </w:rPr>
            </w:pPr>
            <w:r w:rsidRPr="00F2567A">
              <w:rPr>
                <w:rFonts w:ascii="Arial" w:eastAsia="Calibri" w:hAnsi="Arial" w:cs="Arial"/>
                <w:sz w:val="20"/>
                <w:szCs w:val="20"/>
                <w:lang w:val="es-ES_tradnl"/>
              </w:rPr>
              <w:t>Colocando al empleado en situación de indefensión o que ponga en peligro su integridad personal.</w:t>
            </w:r>
          </w:p>
          <w:p w:rsidR="00F2567A" w:rsidRPr="00F2567A" w:rsidRDefault="00F2567A" w:rsidP="00F2567A">
            <w:pPr>
              <w:ind w:left="720"/>
              <w:contextualSpacing/>
              <w:rPr>
                <w:rFonts w:ascii="Arial" w:eastAsia="Calibri" w:hAnsi="Arial" w:cs="Arial"/>
                <w:sz w:val="20"/>
                <w:szCs w:val="20"/>
              </w:rPr>
            </w:pPr>
          </w:p>
          <w:p w:rsidR="00F2567A" w:rsidRPr="00F2567A" w:rsidRDefault="00F2567A" w:rsidP="00F2567A">
            <w:pPr>
              <w:numPr>
                <w:ilvl w:val="0"/>
                <w:numId w:val="30"/>
              </w:numPr>
              <w:contextualSpacing/>
              <w:rPr>
                <w:rFonts w:ascii="Arial" w:eastAsia="Calibri" w:hAnsi="Arial" w:cs="Arial"/>
                <w:sz w:val="20"/>
                <w:szCs w:val="20"/>
                <w:lang w:val="es-ES_tradnl"/>
              </w:rPr>
            </w:pPr>
            <w:r w:rsidRPr="00F2567A">
              <w:rPr>
                <w:rFonts w:ascii="Arial" w:eastAsia="Calibri" w:hAnsi="Arial" w:cs="Arial"/>
                <w:sz w:val="20"/>
                <w:szCs w:val="20"/>
                <w:lang w:val="es-ES_tradnl"/>
              </w:rPr>
              <w:t>La conducta se cometa en persona discapacitada, que padezca enfermedad grave o sobre mujer embarazada.</w:t>
            </w:r>
          </w:p>
          <w:p w:rsidR="00F2567A" w:rsidRPr="00F2567A" w:rsidRDefault="00F2567A" w:rsidP="00F2567A">
            <w:pPr>
              <w:rPr>
                <w:rFonts w:ascii="Arial" w:eastAsia="Calibri" w:hAnsi="Arial" w:cs="Arial"/>
                <w:sz w:val="20"/>
                <w:szCs w:val="20"/>
              </w:rPr>
            </w:pPr>
          </w:p>
          <w:p w:rsidR="00F2567A" w:rsidRPr="00F2567A" w:rsidRDefault="00F2567A" w:rsidP="00F2567A">
            <w:pPr>
              <w:numPr>
                <w:ilvl w:val="0"/>
                <w:numId w:val="30"/>
              </w:numPr>
              <w:contextualSpacing/>
              <w:rPr>
                <w:rFonts w:ascii="Arial" w:eastAsia="Calibri" w:hAnsi="Arial" w:cs="Arial"/>
                <w:sz w:val="20"/>
                <w:szCs w:val="20"/>
                <w:lang w:val="es-ES_tradnl"/>
              </w:rPr>
            </w:pPr>
            <w:r w:rsidRPr="00F2567A">
              <w:rPr>
                <w:rFonts w:ascii="Arial" w:eastAsia="Calibri" w:hAnsi="Arial" w:cs="Arial"/>
                <w:sz w:val="20"/>
                <w:szCs w:val="20"/>
                <w:lang w:val="es-ES_tradnl"/>
              </w:rPr>
              <w:lastRenderedPageBreak/>
              <w:t>Mediante la amenaza de causar la muerte, lesiones personales, daño en bien ajeno o al trabajador o a sus ascendientes, descendientes, cónyuge, compañero o compañera permanente, hermano, adoptante o adoptivo o pariente hasta el segundo grado de afinidad.</w:t>
            </w:r>
          </w:p>
          <w:p w:rsidR="00F2567A" w:rsidRPr="00F2567A" w:rsidRDefault="00F2567A" w:rsidP="00F2567A">
            <w:pPr>
              <w:rPr>
                <w:rFonts w:ascii="Arial" w:eastAsia="Calibri" w:hAnsi="Arial" w:cs="Arial"/>
                <w:sz w:val="20"/>
                <w:szCs w:val="20"/>
              </w:rPr>
            </w:pPr>
          </w:p>
          <w:p w:rsidR="00F2567A" w:rsidRPr="00F2567A" w:rsidRDefault="00F2567A" w:rsidP="00F2567A">
            <w:pPr>
              <w:numPr>
                <w:ilvl w:val="0"/>
                <w:numId w:val="30"/>
              </w:numPr>
              <w:contextualSpacing/>
              <w:rPr>
                <w:rFonts w:ascii="Arial" w:eastAsia="Calibri" w:hAnsi="Arial" w:cs="Arial"/>
                <w:sz w:val="20"/>
                <w:szCs w:val="20"/>
                <w:lang w:val="es-ES_tradnl"/>
              </w:rPr>
            </w:pPr>
            <w:r w:rsidRPr="00F2567A">
              <w:rPr>
                <w:rFonts w:ascii="Arial" w:eastAsia="Calibri" w:hAnsi="Arial" w:cs="Arial"/>
                <w:sz w:val="20"/>
                <w:szCs w:val="20"/>
                <w:lang w:val="es-ES_tradnl"/>
              </w:rPr>
              <w:t>Mediante engaño sobre el trabajador.</w:t>
            </w:r>
          </w:p>
        </w:tc>
        <w:tc>
          <w:tcPr>
            <w:tcW w:w="1913" w:type="pct"/>
          </w:tcPr>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lastRenderedPageBreak/>
              <w:t xml:space="preserve">Artículo 33. La Ley 599 de 2000 tendrá un nuevo artículo </w:t>
            </w:r>
            <w:r w:rsidRPr="00F2567A">
              <w:rPr>
                <w:rFonts w:ascii="Arial" w:eastAsia="Calibri" w:hAnsi="Arial" w:cs="Arial"/>
                <w:strike/>
                <w:sz w:val="20"/>
                <w:szCs w:val="20"/>
                <w:lang w:val="es-ES_tradnl"/>
              </w:rPr>
              <w:t>560</w:t>
            </w:r>
            <w:r w:rsidRPr="00F2567A">
              <w:rPr>
                <w:rFonts w:ascii="Arial" w:eastAsia="Calibri" w:hAnsi="Arial" w:cs="Arial"/>
                <w:sz w:val="20"/>
                <w:szCs w:val="20"/>
                <w:lang w:val="es-ES_tradnl"/>
              </w:rPr>
              <w:t xml:space="preserve"> </w:t>
            </w:r>
            <w:r w:rsidRPr="00F2567A">
              <w:rPr>
                <w:rFonts w:ascii="Arial" w:eastAsia="Calibri" w:hAnsi="Arial" w:cs="Arial"/>
                <w:b/>
                <w:sz w:val="20"/>
                <w:szCs w:val="20"/>
                <w:lang w:val="es-ES_tradnl"/>
              </w:rPr>
              <w:t>559-A</w:t>
            </w:r>
            <w:r w:rsidRPr="00F2567A">
              <w:rPr>
                <w:rFonts w:ascii="Arial" w:eastAsia="Calibri" w:hAnsi="Arial" w:cs="Arial"/>
                <w:sz w:val="20"/>
                <w:szCs w:val="20"/>
                <w:lang w:val="es-ES_tradnl"/>
              </w:rPr>
              <w:t>, así:</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bCs/>
                <w:sz w:val="20"/>
                <w:szCs w:val="20"/>
                <w:lang w:val="es-ES_tradnl"/>
              </w:rPr>
              <w:t xml:space="preserve">Artículo </w:t>
            </w:r>
            <w:r w:rsidRPr="00F2567A">
              <w:rPr>
                <w:rFonts w:ascii="Arial" w:eastAsia="Calibri" w:hAnsi="Arial" w:cs="Arial"/>
                <w:bCs/>
                <w:strike/>
                <w:sz w:val="20"/>
                <w:szCs w:val="20"/>
                <w:lang w:val="es-ES_tradnl"/>
              </w:rPr>
              <w:t>560</w:t>
            </w:r>
            <w:r w:rsidRPr="00F2567A">
              <w:rPr>
                <w:rFonts w:ascii="Arial" w:eastAsia="Calibri" w:hAnsi="Arial" w:cs="Arial"/>
                <w:bCs/>
                <w:sz w:val="20"/>
                <w:szCs w:val="20"/>
                <w:lang w:val="es-ES_tradnl"/>
              </w:rPr>
              <w:t xml:space="preserve"> </w:t>
            </w:r>
            <w:r w:rsidRPr="00F2567A">
              <w:rPr>
                <w:rFonts w:ascii="Arial" w:eastAsia="Calibri" w:hAnsi="Arial" w:cs="Arial"/>
                <w:b/>
                <w:bCs/>
                <w:sz w:val="20"/>
                <w:szCs w:val="20"/>
                <w:lang w:val="es-ES_tradnl"/>
              </w:rPr>
              <w:t>559-A.</w:t>
            </w:r>
            <w:r w:rsidRPr="00F2567A">
              <w:rPr>
                <w:rFonts w:ascii="Arial" w:eastAsia="Calibri" w:hAnsi="Arial" w:cs="Arial"/>
                <w:bCs/>
                <w:sz w:val="20"/>
                <w:szCs w:val="20"/>
                <w:lang w:val="es-ES_tradnl"/>
              </w:rPr>
              <w:t> </w:t>
            </w:r>
            <w:r w:rsidRPr="00F2567A">
              <w:rPr>
                <w:rFonts w:ascii="Arial" w:eastAsia="Calibri" w:hAnsi="Arial" w:cs="Arial"/>
                <w:bCs/>
                <w:i/>
                <w:iCs/>
                <w:sz w:val="20"/>
                <w:szCs w:val="20"/>
                <w:lang w:val="es-ES_tradnl"/>
              </w:rPr>
              <w:t>Violación de los derechos de reunión y asociación.</w:t>
            </w:r>
            <w:r w:rsidRPr="00F2567A">
              <w:rPr>
                <w:rFonts w:ascii="Arial" w:eastAsia="Calibri" w:hAnsi="Arial" w:cs="Arial"/>
                <w:b/>
                <w:bCs/>
                <w:sz w:val="20"/>
                <w:szCs w:val="20"/>
                <w:lang w:val="es-ES_tradnl"/>
              </w:rPr>
              <w:t> </w:t>
            </w:r>
            <w:r w:rsidRPr="00F2567A">
              <w:rPr>
                <w:rFonts w:ascii="Arial" w:eastAsia="Calibri" w:hAnsi="Arial" w:cs="Arial"/>
                <w:sz w:val="20"/>
                <w:szCs w:val="20"/>
                <w:lang w:val="es-ES_tradnl"/>
              </w:rPr>
              <w:t>El que impida o perturbe una reunión lícita o ejercicio de los derechos que conceden las leyes laborales o tome represalias con motivo de huelga, reunión o asociación legítimas, incurrirá en pena de prisión de uno (1) a dos (2) años y multa de cien (100) a trescientos (300) salarios mínimos legales mensuales vigentes.</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rPr>
            </w:pPr>
            <w:r w:rsidRPr="00F2567A">
              <w:rPr>
                <w:rFonts w:ascii="Arial" w:eastAsia="Calibri" w:hAnsi="Arial" w:cs="Arial"/>
                <w:sz w:val="20"/>
                <w:szCs w:val="20"/>
                <w:lang w:val="es-ES_tradnl"/>
              </w:rPr>
              <w:t>En la misma pena incurrirá el que celebre pactos colectivos en los que, en su conjunto, se otorguen mejores condiciones a los trabajadores no sindicalizados, respecto de aquellas condiciones convenidas en convenciones colectivas con los trabajadores sindicalizados de una misma empresa.</w:t>
            </w: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La pena de prisión será de tres (3) a cinco (5) años y multa de trescientos (300) a quinientos (500) salarios mínimos legales mensuales vigentes si la conducta descrita en el inciso primero se cometiere:</w:t>
            </w:r>
          </w:p>
          <w:p w:rsidR="00F2567A" w:rsidRPr="00F2567A" w:rsidRDefault="00F2567A" w:rsidP="00F2567A">
            <w:pPr>
              <w:rPr>
                <w:rFonts w:ascii="Arial" w:eastAsia="Calibri" w:hAnsi="Arial" w:cs="Arial"/>
                <w:sz w:val="20"/>
                <w:szCs w:val="20"/>
              </w:rPr>
            </w:pPr>
          </w:p>
          <w:p w:rsidR="00F2567A" w:rsidRPr="00F2567A" w:rsidRDefault="00F2567A" w:rsidP="00F2567A">
            <w:pPr>
              <w:numPr>
                <w:ilvl w:val="0"/>
                <w:numId w:val="39"/>
              </w:numPr>
              <w:contextualSpacing/>
              <w:rPr>
                <w:rFonts w:ascii="Arial" w:eastAsia="Calibri" w:hAnsi="Arial" w:cs="Arial"/>
                <w:sz w:val="20"/>
                <w:szCs w:val="20"/>
                <w:lang w:val="es-ES_tradnl"/>
              </w:rPr>
            </w:pPr>
            <w:r w:rsidRPr="00F2567A">
              <w:rPr>
                <w:rFonts w:ascii="Arial" w:eastAsia="Calibri" w:hAnsi="Arial" w:cs="Arial"/>
                <w:sz w:val="20"/>
                <w:szCs w:val="20"/>
                <w:lang w:val="es-ES_tradnl"/>
              </w:rPr>
              <w:t>Colocando al empleado en situación de indefensión o que ponga en peligro su integridad personal.</w:t>
            </w:r>
          </w:p>
          <w:p w:rsidR="00F2567A" w:rsidRPr="00F2567A" w:rsidRDefault="00F2567A" w:rsidP="00F2567A">
            <w:pPr>
              <w:ind w:left="720"/>
              <w:contextualSpacing/>
              <w:rPr>
                <w:rFonts w:ascii="Arial" w:eastAsia="Calibri" w:hAnsi="Arial" w:cs="Arial"/>
                <w:sz w:val="20"/>
                <w:szCs w:val="20"/>
              </w:rPr>
            </w:pPr>
          </w:p>
          <w:p w:rsidR="00F2567A" w:rsidRPr="00F2567A" w:rsidRDefault="00F2567A" w:rsidP="00F2567A">
            <w:pPr>
              <w:numPr>
                <w:ilvl w:val="0"/>
                <w:numId w:val="39"/>
              </w:numPr>
              <w:contextualSpacing/>
              <w:rPr>
                <w:rFonts w:ascii="Arial" w:eastAsia="Calibri" w:hAnsi="Arial" w:cs="Arial"/>
                <w:sz w:val="20"/>
                <w:szCs w:val="20"/>
                <w:lang w:val="es-ES_tradnl"/>
              </w:rPr>
            </w:pPr>
            <w:r w:rsidRPr="00F2567A">
              <w:rPr>
                <w:rFonts w:ascii="Arial" w:eastAsia="Calibri" w:hAnsi="Arial" w:cs="Arial"/>
                <w:sz w:val="20"/>
                <w:szCs w:val="20"/>
                <w:lang w:val="es-ES_tradnl"/>
              </w:rPr>
              <w:t>La conducta se cometa en persona discapacitada, que padezca enfermedad grave o sobre mujer embarazada.</w:t>
            </w:r>
          </w:p>
          <w:p w:rsidR="00F2567A" w:rsidRPr="00F2567A" w:rsidRDefault="00F2567A" w:rsidP="00F2567A">
            <w:pPr>
              <w:rPr>
                <w:rFonts w:ascii="Arial" w:eastAsia="Calibri" w:hAnsi="Arial" w:cs="Arial"/>
                <w:sz w:val="20"/>
                <w:szCs w:val="20"/>
              </w:rPr>
            </w:pPr>
          </w:p>
          <w:p w:rsidR="00F2567A" w:rsidRPr="00F2567A" w:rsidRDefault="00F2567A" w:rsidP="00F2567A">
            <w:pPr>
              <w:numPr>
                <w:ilvl w:val="0"/>
                <w:numId w:val="39"/>
              </w:numPr>
              <w:contextualSpacing/>
              <w:rPr>
                <w:rFonts w:ascii="Arial" w:eastAsia="Calibri" w:hAnsi="Arial" w:cs="Arial"/>
                <w:sz w:val="20"/>
                <w:szCs w:val="20"/>
                <w:lang w:val="es-ES_tradnl"/>
              </w:rPr>
            </w:pPr>
            <w:r w:rsidRPr="00F2567A">
              <w:rPr>
                <w:rFonts w:ascii="Arial" w:eastAsia="Calibri" w:hAnsi="Arial" w:cs="Arial"/>
                <w:sz w:val="20"/>
                <w:szCs w:val="20"/>
                <w:lang w:val="es-ES_tradnl"/>
              </w:rPr>
              <w:lastRenderedPageBreak/>
              <w:t>Mediante la amenaza de causar la muerte, lesiones personales, daño en bien ajeno o al trabajador o a sus ascendientes, descendientes, cónyuge, compañero o compañera permanente, hermano, adoptante o adoptivo o pariente hasta el segundo grado de afinidad.</w:t>
            </w:r>
          </w:p>
          <w:p w:rsidR="00F2567A" w:rsidRPr="00F2567A" w:rsidRDefault="00F2567A" w:rsidP="00F2567A">
            <w:pPr>
              <w:rPr>
                <w:rFonts w:ascii="Arial" w:eastAsia="Calibri" w:hAnsi="Arial" w:cs="Arial"/>
                <w:sz w:val="20"/>
                <w:szCs w:val="20"/>
              </w:rPr>
            </w:pPr>
          </w:p>
          <w:p w:rsidR="00F2567A" w:rsidRPr="00F2567A" w:rsidRDefault="00F2567A" w:rsidP="00F2567A">
            <w:pPr>
              <w:numPr>
                <w:ilvl w:val="0"/>
                <w:numId w:val="39"/>
              </w:numPr>
              <w:contextualSpacing/>
              <w:rPr>
                <w:rFonts w:ascii="Arial" w:eastAsia="Calibri" w:hAnsi="Arial" w:cs="Arial"/>
                <w:sz w:val="20"/>
                <w:szCs w:val="20"/>
                <w:lang w:val="es-ES_tradnl"/>
              </w:rPr>
            </w:pPr>
            <w:r w:rsidRPr="00F2567A">
              <w:rPr>
                <w:rFonts w:ascii="Arial" w:eastAsia="Calibri" w:hAnsi="Arial" w:cs="Arial"/>
                <w:sz w:val="20"/>
                <w:szCs w:val="20"/>
                <w:lang w:val="es-ES_tradnl"/>
              </w:rPr>
              <w:t>Mediante engaño sobre el trabajador.</w:t>
            </w:r>
          </w:p>
        </w:tc>
        <w:tc>
          <w:tcPr>
            <w:tcW w:w="1243" w:type="pct"/>
          </w:tcPr>
          <w:p w:rsidR="00F2567A" w:rsidRPr="00F2567A" w:rsidRDefault="00F2567A" w:rsidP="00F2567A">
            <w:pPr>
              <w:rPr>
                <w:rFonts w:ascii="Arial" w:eastAsia="Calibri" w:hAnsi="Arial" w:cs="Arial"/>
                <w:sz w:val="20"/>
                <w:szCs w:val="20"/>
              </w:rPr>
            </w:pPr>
            <w:r w:rsidRPr="00F2567A">
              <w:rPr>
                <w:rFonts w:ascii="Arial" w:eastAsia="Calibri" w:hAnsi="Arial" w:cs="Arial"/>
                <w:sz w:val="20"/>
                <w:szCs w:val="20"/>
              </w:rPr>
              <w:lastRenderedPageBreak/>
              <w:t>Cambio de numeración del artículo creado en la Ley 599 de 2000, con el fin de mantener la secuencia.</w:t>
            </w:r>
          </w:p>
        </w:tc>
      </w:tr>
      <w:tr w:rsidR="00F2567A" w:rsidRPr="00F2567A" w:rsidTr="00F2567A">
        <w:tc>
          <w:tcPr>
            <w:tcW w:w="1844" w:type="pct"/>
          </w:tcPr>
          <w:p w:rsidR="00F2567A" w:rsidRPr="00F2567A" w:rsidRDefault="00F2567A" w:rsidP="00F2567A">
            <w:pPr>
              <w:rPr>
                <w:rFonts w:ascii="Arial" w:eastAsia="Calibri" w:hAnsi="Arial" w:cs="Arial"/>
                <w:sz w:val="20"/>
                <w:szCs w:val="20"/>
              </w:rPr>
            </w:pPr>
            <w:r w:rsidRPr="00F2567A">
              <w:rPr>
                <w:rFonts w:ascii="Arial" w:eastAsia="Calibri" w:hAnsi="Arial" w:cs="Arial"/>
                <w:sz w:val="20"/>
                <w:szCs w:val="20"/>
              </w:rPr>
              <w:lastRenderedPageBreak/>
              <w:t>Artículo 67. La Ley 906 de 2004 tendrá un nuevo artículo 589, así:</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rPr>
            </w:pPr>
            <w:r w:rsidRPr="00F2567A">
              <w:rPr>
                <w:rFonts w:ascii="Arial" w:eastAsia="Calibri" w:hAnsi="Arial" w:cs="Arial"/>
                <w:sz w:val="20"/>
                <w:szCs w:val="20"/>
              </w:rPr>
              <w:t xml:space="preserve">“Artículo 589. </w:t>
            </w:r>
            <w:r w:rsidRPr="00F2567A">
              <w:rPr>
                <w:rFonts w:ascii="Arial" w:eastAsia="Calibri" w:hAnsi="Arial" w:cs="Arial"/>
                <w:i/>
                <w:sz w:val="20"/>
                <w:szCs w:val="20"/>
              </w:rPr>
              <w:t xml:space="preserve">De la prestación, acceso o uso ilegales de los servicios de telecomunicaciones. </w:t>
            </w:r>
            <w:r w:rsidRPr="00F2567A">
              <w:rPr>
                <w:rFonts w:ascii="Arial" w:eastAsia="Calibri" w:hAnsi="Arial" w:cs="Arial"/>
                <w:sz w:val="20"/>
                <w:szCs w:val="20"/>
              </w:rPr>
              <w:t>El que, sin la correspondiente autorización de la autoridad competente, preste, acceda o use servicio de telefonía móvil, con ánimo de lucro, mediante copia o reproducción de señales de identificación de equipos terminales de estos servicios, o sus derivaciones, incurrirá en prisión de cuatro (4) a diez (10) años y en multa de quinientos (500) a mil (1.000) salarios mínimos legales mensuales vigentes.</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rPr>
            </w:pPr>
            <w:r w:rsidRPr="00F2567A">
              <w:rPr>
                <w:rFonts w:ascii="Arial" w:eastAsia="Calibri" w:hAnsi="Arial" w:cs="Arial"/>
                <w:sz w:val="20"/>
                <w:szCs w:val="20"/>
              </w:rPr>
              <w:t>En las mismas penas incurrirá el que, sin la correspondiente autorización, preste, comercialice, acceda o use el servicio de telefonía pública básica local, local extendida, o de larga distancia, con ánimo de lucro.</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rPr>
            </w:pPr>
            <w:r w:rsidRPr="00F2567A">
              <w:rPr>
                <w:rFonts w:ascii="Arial" w:eastAsia="Calibri" w:hAnsi="Arial" w:cs="Arial"/>
                <w:sz w:val="20"/>
                <w:szCs w:val="20"/>
              </w:rPr>
              <w:t>Iguales penas se impondrán a quien, sin la correspondiente autorización, acceda, preste, comercialice, acceda o use red, o cualquiera de los servicios de telecomunicaciones definidos en las normas vigentes.</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rPr>
            </w:pPr>
            <w:r w:rsidRPr="00F2567A">
              <w:rPr>
                <w:rFonts w:ascii="Arial" w:eastAsia="Calibri" w:hAnsi="Arial" w:cs="Arial"/>
                <w:sz w:val="20"/>
                <w:szCs w:val="20"/>
              </w:rPr>
              <w:t xml:space="preserve">Parágrafo 1°. No incurrirán en las conductas tipificadas en el </w:t>
            </w:r>
            <w:r w:rsidRPr="00F2567A">
              <w:rPr>
                <w:rFonts w:ascii="Arial" w:eastAsia="Calibri" w:hAnsi="Arial" w:cs="Arial"/>
                <w:sz w:val="20"/>
                <w:szCs w:val="20"/>
              </w:rPr>
              <w:lastRenderedPageBreak/>
              <w:t>presente artículo quienes en virtud de un contrato con un operador autorizado comercialicen servicios de telecomunicaciones.</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rPr>
            </w:pPr>
            <w:r w:rsidRPr="00F2567A">
              <w:rPr>
                <w:rFonts w:ascii="Arial" w:eastAsia="Calibri" w:hAnsi="Arial" w:cs="Arial"/>
                <w:sz w:val="20"/>
                <w:szCs w:val="20"/>
              </w:rPr>
              <w:t>Parágrafo 2°. No será punible a efectos del presente artículo la transferencia transitoria, con o sin ánimo de lucro que el titular haga de equipos terminales de servicios de telecomunicaciones, cuyo fin sea el de permitir a un tercero el uso individual del servicio respectivo.</w:t>
            </w:r>
          </w:p>
        </w:tc>
        <w:tc>
          <w:tcPr>
            <w:tcW w:w="1913" w:type="pct"/>
          </w:tcPr>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lastRenderedPageBreak/>
              <w:t xml:space="preserve">Artículo 67. La </w:t>
            </w:r>
            <w:r w:rsidRPr="00F2567A">
              <w:rPr>
                <w:rFonts w:ascii="Arial" w:eastAsia="Calibri" w:hAnsi="Arial" w:cs="Arial"/>
                <w:strike/>
                <w:sz w:val="20"/>
                <w:szCs w:val="20"/>
                <w:lang w:val="es-ES_tradnl"/>
              </w:rPr>
              <w:t>Ley 906 de 2004</w:t>
            </w:r>
            <w:r w:rsidRPr="00F2567A">
              <w:rPr>
                <w:rFonts w:ascii="Arial" w:eastAsia="Calibri" w:hAnsi="Arial" w:cs="Arial"/>
                <w:sz w:val="20"/>
                <w:szCs w:val="20"/>
                <w:lang w:val="es-ES_tradnl"/>
              </w:rPr>
              <w:t xml:space="preserve"> </w:t>
            </w:r>
            <w:r w:rsidRPr="00F2567A">
              <w:rPr>
                <w:rFonts w:ascii="Arial" w:eastAsia="Calibri" w:hAnsi="Arial" w:cs="Arial"/>
                <w:b/>
                <w:sz w:val="20"/>
                <w:szCs w:val="20"/>
                <w:lang w:val="es-ES_tradnl"/>
              </w:rPr>
              <w:t>Ley 599 de 2000</w:t>
            </w:r>
            <w:r w:rsidRPr="00F2567A">
              <w:rPr>
                <w:rFonts w:ascii="Arial" w:eastAsia="Calibri" w:hAnsi="Arial" w:cs="Arial"/>
                <w:sz w:val="20"/>
                <w:szCs w:val="20"/>
                <w:lang w:val="es-ES_tradnl"/>
              </w:rPr>
              <w:t xml:space="preserve"> tendrá un nuevo artículo </w:t>
            </w:r>
            <w:r w:rsidRPr="00F2567A">
              <w:rPr>
                <w:rFonts w:ascii="Arial" w:eastAsia="Calibri" w:hAnsi="Arial" w:cs="Arial"/>
                <w:strike/>
                <w:sz w:val="20"/>
                <w:szCs w:val="20"/>
                <w:lang w:val="es-ES_tradnl"/>
              </w:rPr>
              <w:t>589</w:t>
            </w:r>
            <w:r w:rsidRPr="00F2567A">
              <w:rPr>
                <w:rFonts w:ascii="Arial" w:eastAsia="Calibri" w:hAnsi="Arial" w:cs="Arial"/>
                <w:sz w:val="20"/>
                <w:szCs w:val="20"/>
                <w:lang w:val="es-ES_tradnl"/>
              </w:rPr>
              <w:t xml:space="preserve"> </w:t>
            </w:r>
            <w:r w:rsidRPr="00F2567A">
              <w:rPr>
                <w:rFonts w:ascii="Arial" w:eastAsia="Calibri" w:hAnsi="Arial" w:cs="Arial"/>
                <w:b/>
                <w:sz w:val="20"/>
                <w:szCs w:val="20"/>
                <w:lang w:val="es-ES_tradnl"/>
              </w:rPr>
              <w:t>588</w:t>
            </w:r>
            <w:r w:rsidRPr="00F2567A">
              <w:rPr>
                <w:rFonts w:ascii="Arial" w:eastAsia="Calibri" w:hAnsi="Arial" w:cs="Arial"/>
                <w:sz w:val="20"/>
                <w:szCs w:val="20"/>
                <w:lang w:val="es-ES_tradnl"/>
              </w:rPr>
              <w:t>, así:</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bCs/>
                <w:sz w:val="20"/>
                <w:szCs w:val="20"/>
                <w:lang w:val="es-ES_tradnl"/>
              </w:rPr>
              <w:t xml:space="preserve">Artículo </w:t>
            </w:r>
            <w:r w:rsidRPr="00F2567A">
              <w:rPr>
                <w:rFonts w:ascii="Arial" w:eastAsia="Calibri" w:hAnsi="Arial" w:cs="Arial"/>
                <w:bCs/>
                <w:strike/>
                <w:sz w:val="20"/>
                <w:szCs w:val="20"/>
                <w:lang w:val="es-ES_tradnl"/>
              </w:rPr>
              <w:t>589</w:t>
            </w:r>
            <w:r w:rsidRPr="00F2567A">
              <w:rPr>
                <w:rFonts w:ascii="Arial" w:eastAsia="Calibri" w:hAnsi="Arial" w:cs="Arial"/>
                <w:bCs/>
                <w:sz w:val="20"/>
                <w:szCs w:val="20"/>
                <w:lang w:val="es-ES_tradnl"/>
              </w:rPr>
              <w:t xml:space="preserve"> </w:t>
            </w:r>
            <w:r w:rsidRPr="00F2567A">
              <w:rPr>
                <w:rFonts w:ascii="Arial" w:eastAsia="Calibri" w:hAnsi="Arial" w:cs="Arial"/>
                <w:b/>
                <w:bCs/>
                <w:sz w:val="20"/>
                <w:szCs w:val="20"/>
                <w:lang w:val="es-ES_tradnl"/>
              </w:rPr>
              <w:t>588</w:t>
            </w:r>
            <w:r w:rsidRPr="00F2567A">
              <w:rPr>
                <w:rFonts w:ascii="Arial" w:eastAsia="Calibri" w:hAnsi="Arial" w:cs="Arial"/>
                <w:bCs/>
                <w:sz w:val="20"/>
                <w:szCs w:val="20"/>
                <w:lang w:val="es-ES_tradnl"/>
              </w:rPr>
              <w:t>. </w:t>
            </w:r>
            <w:r w:rsidRPr="00F2567A">
              <w:rPr>
                <w:rFonts w:ascii="Arial" w:eastAsia="Calibri" w:hAnsi="Arial" w:cs="Arial"/>
                <w:bCs/>
                <w:i/>
                <w:iCs/>
                <w:sz w:val="20"/>
                <w:szCs w:val="20"/>
                <w:lang w:val="es-ES_tradnl"/>
              </w:rPr>
              <w:t>De la prestación, acceso o uso ilegales de los servicios de telecomunicaciones</w:t>
            </w:r>
            <w:r w:rsidRPr="00F2567A">
              <w:rPr>
                <w:rFonts w:ascii="Arial" w:eastAsia="Calibri" w:hAnsi="Arial" w:cs="Arial"/>
                <w:i/>
                <w:iCs/>
                <w:sz w:val="20"/>
                <w:szCs w:val="20"/>
                <w:lang w:val="es-ES_tradnl"/>
              </w:rPr>
              <w:t>.</w:t>
            </w:r>
            <w:r w:rsidRPr="00F2567A">
              <w:rPr>
                <w:rFonts w:ascii="Arial" w:eastAsia="Calibri" w:hAnsi="Arial" w:cs="Arial"/>
                <w:sz w:val="20"/>
                <w:szCs w:val="20"/>
                <w:lang w:val="es-ES_tradnl"/>
              </w:rPr>
              <w:t> El que, sin la correspondiente autorización de la autoridad competente, preste, acceda o use servicio de telefonía móvil, con ánimo de lucro, mediante copia o reproducción de señales de identificación de equipos terminales de estos servicios, o sus derivaciones, incurrirá en prisión de cuatro (4) a diez (10) años y en multa de quinientos (500) a mil (1.000) salarios mínimos legales mensuales vigentes.</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En las mismas penas incurrirá el que, sin la correspondiente autorización, preste, comercialice, acceda o use el servicio de telefonía pública básica local, local extendida, o de larga distancia, con ánimo de lucro.</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 xml:space="preserve">Iguales penas se impondrán a quien, sin la correspondiente autorización, acceda, preste, comercialice, </w:t>
            </w:r>
            <w:r w:rsidRPr="00F2567A">
              <w:rPr>
                <w:rFonts w:ascii="Arial" w:eastAsia="Calibri" w:hAnsi="Arial" w:cs="Arial"/>
                <w:strike/>
                <w:sz w:val="20"/>
                <w:szCs w:val="20"/>
                <w:lang w:val="es-ES_tradnl"/>
              </w:rPr>
              <w:t>acceda</w:t>
            </w:r>
            <w:r w:rsidRPr="00F2567A">
              <w:rPr>
                <w:rFonts w:ascii="Arial" w:eastAsia="Calibri" w:hAnsi="Arial" w:cs="Arial"/>
                <w:sz w:val="20"/>
                <w:szCs w:val="20"/>
                <w:lang w:val="es-ES_tradnl"/>
              </w:rPr>
              <w:t xml:space="preserve"> o use red, o cualquiera de los servicios de telecomunicaciones definidos en las normas vigentes.</w:t>
            </w:r>
          </w:p>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lang w:val="es-ES_tradnl"/>
              </w:rPr>
            </w:pPr>
            <w:r w:rsidRPr="00F2567A">
              <w:rPr>
                <w:rFonts w:ascii="Arial" w:eastAsia="Calibri" w:hAnsi="Arial" w:cs="Arial"/>
                <w:sz w:val="20"/>
                <w:szCs w:val="20"/>
                <w:lang w:val="es-ES_tradnl"/>
              </w:rPr>
              <w:t xml:space="preserve">Parágrafo 1°. No incurrirán en las conductas tipificadas en el presente </w:t>
            </w:r>
            <w:r w:rsidRPr="00F2567A">
              <w:rPr>
                <w:rFonts w:ascii="Arial" w:eastAsia="Calibri" w:hAnsi="Arial" w:cs="Arial"/>
                <w:sz w:val="20"/>
                <w:szCs w:val="20"/>
                <w:lang w:val="es-ES_tradnl"/>
              </w:rPr>
              <w:lastRenderedPageBreak/>
              <w:t>artículo quienes en virtud de un contrato con un operador autorizado comercialicen servicios de telecomunicaciones.</w:t>
            </w:r>
          </w:p>
          <w:p w:rsidR="00F2567A" w:rsidRPr="00F2567A" w:rsidRDefault="00F2567A" w:rsidP="00F2567A">
            <w:pPr>
              <w:rPr>
                <w:rFonts w:ascii="Arial" w:eastAsia="Calibri" w:hAnsi="Arial" w:cs="Arial"/>
                <w:sz w:val="20"/>
                <w:szCs w:val="20"/>
                <w:lang w:val="es-ES_tradnl"/>
              </w:rPr>
            </w:pPr>
          </w:p>
          <w:p w:rsidR="00F2567A" w:rsidRPr="00F2567A" w:rsidRDefault="00F2567A" w:rsidP="00F2567A">
            <w:pPr>
              <w:rPr>
                <w:rFonts w:ascii="Arial" w:eastAsia="Calibri" w:hAnsi="Arial" w:cs="Arial"/>
                <w:b/>
                <w:sz w:val="20"/>
                <w:szCs w:val="20"/>
              </w:rPr>
            </w:pPr>
            <w:r w:rsidRPr="00F2567A">
              <w:rPr>
                <w:rFonts w:ascii="Arial" w:eastAsia="Calibri" w:hAnsi="Arial" w:cs="Arial"/>
                <w:sz w:val="20"/>
                <w:szCs w:val="20"/>
              </w:rPr>
              <w:t xml:space="preserve">Parágrafo 2°. No será punible a efectos del presente artículo la transferencia transitoria, con o sin ánimo de lucro que el titular haga de equipos terminales </w:t>
            </w:r>
            <w:r w:rsidRPr="00F2567A">
              <w:rPr>
                <w:rFonts w:ascii="Arial" w:eastAsia="Calibri" w:hAnsi="Arial" w:cs="Arial"/>
                <w:b/>
                <w:sz w:val="20"/>
                <w:szCs w:val="20"/>
              </w:rPr>
              <w:t>móviles</w:t>
            </w:r>
            <w:r w:rsidRPr="00F2567A">
              <w:rPr>
                <w:rFonts w:ascii="Arial" w:eastAsia="Calibri" w:hAnsi="Arial" w:cs="Arial"/>
                <w:sz w:val="20"/>
                <w:szCs w:val="20"/>
              </w:rPr>
              <w:t xml:space="preserve"> </w:t>
            </w:r>
            <w:r w:rsidRPr="00F2567A">
              <w:rPr>
                <w:rFonts w:ascii="Arial" w:eastAsia="Calibri" w:hAnsi="Arial" w:cs="Arial"/>
                <w:strike/>
                <w:sz w:val="20"/>
                <w:szCs w:val="20"/>
              </w:rPr>
              <w:t>de servicios de telecomunicaciones</w:t>
            </w:r>
            <w:r w:rsidRPr="00F2567A">
              <w:rPr>
                <w:rFonts w:ascii="Arial" w:eastAsia="Calibri" w:hAnsi="Arial" w:cs="Arial"/>
                <w:sz w:val="20"/>
                <w:szCs w:val="20"/>
              </w:rPr>
              <w:t>, cuyo fin sea el de permitir a un tercero el uso individual del servicio respectivo.</w:t>
            </w:r>
          </w:p>
        </w:tc>
        <w:tc>
          <w:tcPr>
            <w:tcW w:w="1243" w:type="pct"/>
          </w:tcPr>
          <w:p w:rsidR="00F2567A" w:rsidRPr="00F2567A" w:rsidRDefault="00F2567A" w:rsidP="00F2567A">
            <w:pPr>
              <w:rPr>
                <w:rFonts w:ascii="Arial" w:eastAsia="Calibri" w:hAnsi="Arial" w:cs="Arial"/>
                <w:sz w:val="20"/>
                <w:szCs w:val="20"/>
              </w:rPr>
            </w:pPr>
          </w:p>
          <w:p w:rsidR="00F2567A" w:rsidRPr="00F2567A" w:rsidRDefault="00F2567A" w:rsidP="00F2567A">
            <w:pPr>
              <w:rPr>
                <w:rFonts w:ascii="Arial" w:eastAsia="Calibri" w:hAnsi="Arial" w:cs="Arial"/>
                <w:sz w:val="20"/>
                <w:szCs w:val="20"/>
              </w:rPr>
            </w:pPr>
            <w:r w:rsidRPr="00F2567A">
              <w:rPr>
                <w:rFonts w:ascii="Arial" w:eastAsia="Calibri" w:hAnsi="Arial" w:cs="Arial"/>
                <w:sz w:val="20"/>
                <w:szCs w:val="20"/>
              </w:rPr>
              <w:t>Cambio de numeración del artículo creado en la Ley 599 de 2000, con el fin de mantener la secuencia.</w:t>
            </w:r>
          </w:p>
          <w:p w:rsidR="00F2567A" w:rsidRPr="00F2567A" w:rsidRDefault="00F2567A" w:rsidP="00F2567A">
            <w:pPr>
              <w:rPr>
                <w:rFonts w:eastAsia="Calibri" w:cs="Times New Roman"/>
              </w:rPr>
            </w:pPr>
          </w:p>
          <w:p w:rsidR="00F2567A" w:rsidRPr="00F2567A" w:rsidRDefault="00F2567A" w:rsidP="00F2567A">
            <w:pPr>
              <w:rPr>
                <w:rFonts w:ascii="Arial" w:eastAsia="Calibri" w:hAnsi="Arial" w:cs="Arial"/>
                <w:sz w:val="20"/>
                <w:szCs w:val="20"/>
              </w:rPr>
            </w:pPr>
            <w:r w:rsidRPr="00F2567A">
              <w:rPr>
                <w:rFonts w:ascii="Arial" w:eastAsia="Calibri" w:hAnsi="Arial" w:cs="Arial"/>
                <w:sz w:val="20"/>
                <w:szCs w:val="20"/>
              </w:rPr>
              <w:t>Adicionalmente, esta modificación busca reemplazar en el parágrafo segundo del art. 589 a crearse en la Ley 906 de 2004, la expresión “</w:t>
            </w:r>
            <w:r w:rsidRPr="00F2567A">
              <w:rPr>
                <w:rFonts w:ascii="Arial" w:eastAsia="Calibri" w:hAnsi="Arial" w:cs="Arial"/>
                <w:i/>
                <w:sz w:val="20"/>
                <w:szCs w:val="20"/>
              </w:rPr>
              <w:t>equipos terminales de servicios de telecomunicaciones</w:t>
            </w:r>
            <w:r w:rsidRPr="00F2567A">
              <w:rPr>
                <w:rFonts w:ascii="Arial" w:eastAsia="Calibri" w:hAnsi="Arial" w:cs="Arial"/>
                <w:sz w:val="20"/>
                <w:szCs w:val="20"/>
              </w:rPr>
              <w:t>” por “</w:t>
            </w:r>
            <w:r w:rsidRPr="00F2567A">
              <w:rPr>
                <w:rFonts w:ascii="Arial" w:eastAsia="Calibri" w:hAnsi="Arial" w:cs="Arial"/>
                <w:i/>
                <w:sz w:val="20"/>
                <w:szCs w:val="20"/>
              </w:rPr>
              <w:t>equipos terminales móviles</w:t>
            </w:r>
            <w:r w:rsidRPr="00F2567A">
              <w:rPr>
                <w:rFonts w:ascii="Arial" w:eastAsia="Calibri" w:hAnsi="Arial" w:cs="Arial"/>
                <w:sz w:val="20"/>
                <w:szCs w:val="20"/>
              </w:rPr>
              <w:t xml:space="preserve">” por corresponder esta al término técnico que describe con mayor nitidez y claridad los equipos objeto de la conducta descrita. </w:t>
            </w:r>
          </w:p>
        </w:tc>
      </w:tr>
    </w:tbl>
    <w:p w:rsidR="004B4C67" w:rsidRDefault="004B4C67" w:rsidP="00B53650">
      <w:pPr>
        <w:spacing w:after="0" w:line="240" w:lineRule="auto"/>
        <w:jc w:val="both"/>
        <w:rPr>
          <w:rFonts w:ascii="Arial" w:hAnsi="Arial" w:cs="Arial"/>
          <w:sz w:val="24"/>
          <w:szCs w:val="24"/>
        </w:rPr>
      </w:pPr>
    </w:p>
    <w:p w:rsidR="005F4214" w:rsidRDefault="005F4214" w:rsidP="00B53650">
      <w:pPr>
        <w:spacing w:after="0" w:line="240" w:lineRule="auto"/>
        <w:jc w:val="both"/>
        <w:rPr>
          <w:rFonts w:ascii="Arial" w:hAnsi="Arial" w:cs="Arial"/>
          <w:sz w:val="24"/>
          <w:szCs w:val="24"/>
        </w:rPr>
      </w:pPr>
    </w:p>
    <w:p w:rsidR="005F4214" w:rsidRDefault="005F4214"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Default="00662223" w:rsidP="00B53650">
      <w:pPr>
        <w:spacing w:after="0" w:line="240" w:lineRule="auto"/>
        <w:jc w:val="both"/>
        <w:rPr>
          <w:rFonts w:ascii="Arial" w:hAnsi="Arial" w:cs="Arial"/>
          <w:sz w:val="24"/>
          <w:szCs w:val="24"/>
        </w:rPr>
      </w:pPr>
    </w:p>
    <w:p w:rsidR="00662223" w:rsidRPr="00EA2E07" w:rsidRDefault="00662223" w:rsidP="00B53650">
      <w:pPr>
        <w:spacing w:after="0" w:line="240" w:lineRule="auto"/>
        <w:jc w:val="both"/>
        <w:rPr>
          <w:rFonts w:ascii="Arial" w:hAnsi="Arial" w:cs="Arial"/>
          <w:sz w:val="24"/>
          <w:szCs w:val="24"/>
        </w:rPr>
      </w:pPr>
    </w:p>
    <w:p w:rsidR="009E69CD" w:rsidRPr="00EA2E07" w:rsidRDefault="009E69CD" w:rsidP="005E61BF">
      <w:pPr>
        <w:spacing w:after="0" w:line="240" w:lineRule="auto"/>
        <w:jc w:val="both"/>
        <w:rPr>
          <w:rFonts w:ascii="Arial" w:hAnsi="Arial" w:cs="Arial"/>
          <w:sz w:val="24"/>
          <w:szCs w:val="24"/>
        </w:rPr>
      </w:pPr>
    </w:p>
    <w:p w:rsidR="009E69CD" w:rsidRPr="00EA2E07" w:rsidRDefault="009E69CD" w:rsidP="005E61BF">
      <w:pPr>
        <w:pStyle w:val="Listavistosa-nfasis11"/>
        <w:pBdr>
          <w:top w:val="single" w:sz="8" w:space="1" w:color="auto"/>
          <w:left w:val="single" w:sz="8" w:space="31" w:color="auto"/>
          <w:bottom w:val="single" w:sz="8" w:space="0" w:color="auto"/>
          <w:right w:val="single" w:sz="8" w:space="0" w:color="auto"/>
        </w:pBdr>
        <w:spacing w:after="0" w:line="240" w:lineRule="auto"/>
        <w:jc w:val="center"/>
        <w:rPr>
          <w:rFonts w:ascii="Arial" w:hAnsi="Arial" w:cs="Arial"/>
          <w:b/>
          <w:lang w:val="es-ES_tradnl"/>
        </w:rPr>
      </w:pPr>
      <w:r w:rsidRPr="00EA2E07">
        <w:rPr>
          <w:rFonts w:ascii="Arial" w:hAnsi="Arial" w:cs="Arial"/>
          <w:b/>
          <w:lang w:val="es-ES_tradnl"/>
        </w:rPr>
        <w:lastRenderedPageBreak/>
        <w:t>PROPOSICIÓN</w:t>
      </w:r>
    </w:p>
    <w:p w:rsidR="009E69CD" w:rsidRDefault="009E69CD" w:rsidP="005E61BF">
      <w:pPr>
        <w:spacing w:after="0" w:line="240" w:lineRule="auto"/>
        <w:ind w:left="720"/>
        <w:jc w:val="both"/>
        <w:rPr>
          <w:rFonts w:ascii="Arial" w:hAnsi="Arial" w:cs="Arial"/>
          <w:sz w:val="24"/>
          <w:szCs w:val="24"/>
        </w:rPr>
      </w:pPr>
    </w:p>
    <w:p w:rsidR="005F4214" w:rsidRDefault="005F4214" w:rsidP="005E61BF">
      <w:pPr>
        <w:spacing w:after="0" w:line="240" w:lineRule="auto"/>
        <w:ind w:left="720"/>
        <w:jc w:val="both"/>
        <w:rPr>
          <w:rFonts w:ascii="Arial" w:hAnsi="Arial" w:cs="Arial"/>
          <w:sz w:val="24"/>
          <w:szCs w:val="24"/>
        </w:rPr>
      </w:pPr>
    </w:p>
    <w:p w:rsidR="00583213" w:rsidRPr="00EA2E07" w:rsidRDefault="009E69CD" w:rsidP="005E61BF">
      <w:pPr>
        <w:pStyle w:val="Listavistosa-nfasis11"/>
        <w:spacing w:after="0" w:line="240" w:lineRule="auto"/>
        <w:ind w:left="0"/>
        <w:jc w:val="both"/>
        <w:rPr>
          <w:rFonts w:ascii="Arial" w:hAnsi="Arial" w:cs="Arial"/>
          <w:lang w:val="es-ES_tradnl"/>
        </w:rPr>
      </w:pPr>
      <w:r w:rsidRPr="00EA2E07">
        <w:rPr>
          <w:rFonts w:ascii="Arial" w:hAnsi="Arial" w:cs="Arial"/>
        </w:rPr>
        <w:t xml:space="preserve">Por las anteriores consideraciones, </w:t>
      </w:r>
      <w:r w:rsidR="00EA2E07">
        <w:rPr>
          <w:rFonts w:ascii="Arial" w:hAnsi="Arial" w:cs="Arial"/>
        </w:rPr>
        <w:t>nos</w:t>
      </w:r>
      <w:r w:rsidRPr="00EA2E07">
        <w:rPr>
          <w:rFonts w:ascii="Arial" w:hAnsi="Arial" w:cs="Arial"/>
        </w:rPr>
        <w:t xml:space="preserve"> pe</w:t>
      </w:r>
      <w:r w:rsidR="00EA2E07">
        <w:rPr>
          <w:rFonts w:ascii="Arial" w:hAnsi="Arial" w:cs="Arial"/>
        </w:rPr>
        <w:t>rmitimos</w:t>
      </w:r>
      <w:r w:rsidR="003330E3" w:rsidRPr="00EA2E07">
        <w:rPr>
          <w:rFonts w:ascii="Arial" w:hAnsi="Arial" w:cs="Arial"/>
        </w:rPr>
        <w:t xml:space="preserve"> solicitar a los miembros </w:t>
      </w:r>
      <w:r w:rsidRPr="00EA2E07">
        <w:rPr>
          <w:rFonts w:ascii="Arial" w:hAnsi="Arial" w:cs="Arial"/>
        </w:rPr>
        <w:t xml:space="preserve">de la </w:t>
      </w:r>
      <w:r w:rsidR="00F64DD8">
        <w:rPr>
          <w:rFonts w:ascii="Arial" w:hAnsi="Arial" w:cs="Arial"/>
        </w:rPr>
        <w:t>Comisión Primera de la Cámara de Representantes del Congreso de la República, dar</w:t>
      </w:r>
      <w:r w:rsidRPr="00EA2E07">
        <w:rPr>
          <w:rFonts w:ascii="Arial" w:hAnsi="Arial" w:cs="Arial"/>
        </w:rPr>
        <w:t xml:space="preserve"> </w:t>
      </w:r>
      <w:r w:rsidR="00A21D77">
        <w:rPr>
          <w:rFonts w:ascii="Arial" w:hAnsi="Arial" w:cs="Arial"/>
        </w:rPr>
        <w:t>primer</w:t>
      </w:r>
      <w:r w:rsidR="00EA2E07">
        <w:rPr>
          <w:rFonts w:ascii="Arial" w:hAnsi="Arial" w:cs="Arial"/>
        </w:rPr>
        <w:t xml:space="preserve"> debate a</w:t>
      </w:r>
      <w:r w:rsidRPr="00EA2E07">
        <w:rPr>
          <w:rFonts w:ascii="Arial" w:hAnsi="Arial" w:cs="Arial"/>
        </w:rPr>
        <w:t>l Proyecto de ley No.</w:t>
      </w:r>
      <w:r w:rsidR="00082CB4" w:rsidRPr="00EA2E07">
        <w:rPr>
          <w:rFonts w:ascii="Arial" w:hAnsi="Arial" w:cs="Arial"/>
        </w:rPr>
        <w:t xml:space="preserve"> </w:t>
      </w:r>
      <w:r w:rsidR="00082CB4" w:rsidRPr="00EA2E07">
        <w:rPr>
          <w:rFonts w:ascii="Arial" w:hAnsi="Arial" w:cs="Arial"/>
          <w:lang w:val="es-ES_tradnl"/>
        </w:rPr>
        <w:t>048 de 2015</w:t>
      </w:r>
      <w:r w:rsidR="00F64DD8">
        <w:rPr>
          <w:rFonts w:ascii="Arial" w:hAnsi="Arial" w:cs="Arial"/>
          <w:lang w:val="es-ES_tradnl"/>
        </w:rPr>
        <w:t xml:space="preserve"> Senado</w:t>
      </w:r>
      <w:r w:rsidR="00082CB4" w:rsidRPr="00EA2E07">
        <w:rPr>
          <w:rFonts w:ascii="Arial" w:hAnsi="Arial" w:cs="Arial"/>
          <w:lang w:val="es-ES_tradnl"/>
        </w:rPr>
        <w:t xml:space="preserve"> </w:t>
      </w:r>
      <w:r w:rsidR="00F64DD8">
        <w:rPr>
          <w:rFonts w:ascii="Arial" w:hAnsi="Arial" w:cs="Arial"/>
          <w:lang w:val="es-ES_tradnl"/>
        </w:rPr>
        <w:t xml:space="preserve">171 de 2015 Cámara </w:t>
      </w:r>
      <w:r w:rsidR="00082CB4" w:rsidRPr="00EA2E07">
        <w:rPr>
          <w:rFonts w:ascii="Arial" w:hAnsi="Arial" w:cs="Arial"/>
          <w:lang w:val="es-ES_tradnl"/>
        </w:rPr>
        <w:t>“</w:t>
      </w:r>
      <w:r w:rsidR="00082CB4" w:rsidRPr="00F64DD8">
        <w:rPr>
          <w:rFonts w:ascii="Arial" w:hAnsi="Arial" w:cs="Arial"/>
          <w:i/>
          <w:lang w:val="es-ES_tradnl"/>
        </w:rPr>
        <w:t>Por medio de la cual se definen las contravenciones penales, se establece un procedimiento especial abreviado para ellas y se regula la figura del acusador privado</w:t>
      </w:r>
      <w:r w:rsidR="00082CB4" w:rsidRPr="00EA2E07">
        <w:rPr>
          <w:rFonts w:ascii="Arial" w:hAnsi="Arial" w:cs="Arial"/>
          <w:lang w:val="es-ES_tradnl"/>
        </w:rPr>
        <w:t>”,</w:t>
      </w:r>
      <w:r w:rsidR="00583213" w:rsidRPr="00EA2E07">
        <w:rPr>
          <w:rFonts w:ascii="Arial" w:hAnsi="Arial" w:cs="Arial"/>
          <w:lang w:val="es-ES_tradnl"/>
        </w:rPr>
        <w:t xml:space="preserve"> con el pliego de modificaciones propuesto. </w:t>
      </w:r>
    </w:p>
    <w:p w:rsidR="00583213" w:rsidRPr="00EA2E07" w:rsidRDefault="00583213" w:rsidP="005E61BF">
      <w:pPr>
        <w:pStyle w:val="Listavistosa-nfasis11"/>
        <w:spacing w:after="0" w:line="240" w:lineRule="auto"/>
        <w:jc w:val="both"/>
        <w:rPr>
          <w:rFonts w:ascii="Arial" w:hAnsi="Arial" w:cs="Arial"/>
          <w:lang w:val="es-ES_tradnl"/>
        </w:rPr>
      </w:pPr>
    </w:p>
    <w:p w:rsidR="005F4214" w:rsidRDefault="005F4214" w:rsidP="005E61BF">
      <w:pPr>
        <w:spacing w:after="0" w:line="240" w:lineRule="auto"/>
        <w:jc w:val="both"/>
        <w:rPr>
          <w:rFonts w:ascii="Arial" w:hAnsi="Arial" w:cs="Arial"/>
          <w:sz w:val="24"/>
          <w:szCs w:val="24"/>
          <w:lang w:val="es-ES_tradnl"/>
        </w:rPr>
      </w:pPr>
    </w:p>
    <w:p w:rsidR="009E69CD" w:rsidRPr="00EA2E07" w:rsidRDefault="009E69CD" w:rsidP="005E61BF">
      <w:pPr>
        <w:spacing w:after="0" w:line="240" w:lineRule="auto"/>
        <w:ind w:left="720"/>
        <w:jc w:val="both"/>
        <w:rPr>
          <w:rFonts w:ascii="Arial" w:hAnsi="Arial" w:cs="Arial"/>
          <w:sz w:val="24"/>
          <w:szCs w:val="24"/>
        </w:rPr>
      </w:pPr>
    </w:p>
    <w:p w:rsidR="00F13870" w:rsidRPr="00EA2E07" w:rsidRDefault="00F13870" w:rsidP="005E61BF">
      <w:pPr>
        <w:pStyle w:val="NormalWeb"/>
        <w:shd w:val="clear" w:color="auto" w:fill="FFFFFF"/>
        <w:spacing w:before="0" w:beforeAutospacing="0" w:after="0" w:afterAutospacing="0"/>
        <w:jc w:val="both"/>
        <w:rPr>
          <w:rFonts w:ascii="Arial" w:hAnsi="Arial" w:cs="Arial"/>
          <w:b/>
          <w:color w:val="000000"/>
        </w:rPr>
      </w:pPr>
      <w:r w:rsidRPr="00EA2E07">
        <w:rPr>
          <w:rFonts w:ascii="Arial" w:hAnsi="Arial" w:cs="Arial"/>
          <w:b/>
          <w:color w:val="000000"/>
        </w:rPr>
        <w:t xml:space="preserve">Cordialmente, </w:t>
      </w:r>
    </w:p>
    <w:p w:rsidR="00F13870" w:rsidRPr="00EA2E07" w:rsidRDefault="00F13870" w:rsidP="005E61BF">
      <w:pPr>
        <w:pStyle w:val="NormalWeb"/>
        <w:shd w:val="clear" w:color="auto" w:fill="FFFFFF"/>
        <w:spacing w:before="0" w:beforeAutospacing="0" w:after="0" w:afterAutospacing="0"/>
        <w:jc w:val="both"/>
        <w:rPr>
          <w:rFonts w:ascii="Arial" w:hAnsi="Arial" w:cs="Arial"/>
          <w:b/>
          <w:color w:val="000000"/>
        </w:rPr>
      </w:pPr>
    </w:p>
    <w:p w:rsidR="00F13870" w:rsidRPr="00EA2E07" w:rsidRDefault="00F13870" w:rsidP="005E61BF">
      <w:pPr>
        <w:pStyle w:val="NormalWeb"/>
        <w:shd w:val="clear" w:color="auto" w:fill="FFFFFF"/>
        <w:spacing w:before="0" w:beforeAutospacing="0" w:after="0" w:afterAutospacing="0"/>
        <w:jc w:val="both"/>
        <w:rPr>
          <w:rFonts w:ascii="Arial" w:hAnsi="Arial" w:cs="Arial"/>
          <w:b/>
          <w:color w:val="000000"/>
        </w:rPr>
      </w:pPr>
    </w:p>
    <w:p w:rsidR="005844D4" w:rsidRDefault="005844D4" w:rsidP="005E61BF">
      <w:pPr>
        <w:pStyle w:val="NormalWeb"/>
        <w:shd w:val="clear" w:color="auto" w:fill="FFFFFF"/>
        <w:spacing w:before="0" w:beforeAutospacing="0" w:after="0" w:afterAutospacing="0"/>
        <w:jc w:val="both"/>
        <w:rPr>
          <w:rFonts w:ascii="Arial" w:hAnsi="Arial" w:cs="Arial"/>
          <w:b/>
          <w:color w:val="000000"/>
        </w:rPr>
      </w:pPr>
    </w:p>
    <w:p w:rsidR="005844D4" w:rsidRPr="00EA2E07" w:rsidRDefault="005844D4" w:rsidP="005E61BF">
      <w:pPr>
        <w:pStyle w:val="NormalWeb"/>
        <w:shd w:val="clear" w:color="auto" w:fill="FFFFFF"/>
        <w:spacing w:before="0" w:beforeAutospacing="0" w:after="0" w:afterAutospacing="0"/>
        <w:jc w:val="both"/>
        <w:rPr>
          <w:rFonts w:ascii="Arial" w:hAnsi="Arial" w:cs="Arial"/>
          <w:b/>
          <w:color w:val="000000"/>
        </w:rPr>
      </w:pPr>
    </w:p>
    <w:p w:rsidR="00F13870" w:rsidRPr="00EA2E07" w:rsidRDefault="00F13870" w:rsidP="005E61BF">
      <w:pPr>
        <w:pStyle w:val="NormalWeb"/>
        <w:shd w:val="clear" w:color="auto" w:fill="FFFFFF"/>
        <w:spacing w:before="0" w:beforeAutospacing="0" w:after="0" w:afterAutospacing="0"/>
        <w:jc w:val="both"/>
        <w:rPr>
          <w:rFonts w:ascii="Arial" w:hAnsi="Arial" w:cs="Arial"/>
          <w:b/>
          <w:color w:val="000000"/>
        </w:rPr>
      </w:pPr>
    </w:p>
    <w:p w:rsidR="00F13870" w:rsidRPr="004C22C2" w:rsidRDefault="004C22C2" w:rsidP="005E61BF">
      <w:pPr>
        <w:pStyle w:val="NormalWeb"/>
        <w:shd w:val="clear" w:color="auto" w:fill="FFFFFF"/>
        <w:spacing w:before="0" w:beforeAutospacing="0" w:after="0" w:afterAutospacing="0"/>
        <w:jc w:val="both"/>
        <w:rPr>
          <w:rFonts w:ascii="Arial" w:hAnsi="Arial" w:cs="Arial"/>
          <w:b/>
          <w:color w:val="000000"/>
        </w:rPr>
      </w:pPr>
      <w:r>
        <w:rPr>
          <w:rFonts w:ascii="Arial" w:hAnsi="Arial" w:cs="Arial"/>
          <w:b/>
          <w:color w:val="000000"/>
        </w:rPr>
        <w:t>HERNAN PENAGOS GIRALDO</w:t>
      </w:r>
      <w:r w:rsidR="00F13870" w:rsidRPr="004C22C2">
        <w:rPr>
          <w:rFonts w:ascii="Arial" w:hAnsi="Arial" w:cs="Arial"/>
          <w:b/>
          <w:color w:val="000000"/>
        </w:rPr>
        <w:t xml:space="preserve"> </w:t>
      </w:r>
      <w:r>
        <w:rPr>
          <w:rFonts w:ascii="Arial" w:hAnsi="Arial" w:cs="Arial"/>
          <w:b/>
          <w:color w:val="000000"/>
        </w:rPr>
        <w:tab/>
        <w:t xml:space="preserve">                     OSCAR HERNAN SANCHEZ</w:t>
      </w:r>
      <w:r w:rsidR="00512341" w:rsidRPr="004C22C2">
        <w:rPr>
          <w:rFonts w:ascii="Arial" w:hAnsi="Arial" w:cs="Arial"/>
          <w:b/>
          <w:color w:val="000000"/>
        </w:rPr>
        <w:tab/>
      </w:r>
    </w:p>
    <w:p w:rsidR="009E69CD" w:rsidRPr="004C22C2" w:rsidRDefault="00EA2E07" w:rsidP="00EA2E07">
      <w:pPr>
        <w:spacing w:after="0" w:line="240" w:lineRule="auto"/>
        <w:jc w:val="both"/>
        <w:rPr>
          <w:rFonts w:ascii="Arial" w:hAnsi="Arial" w:cs="Arial"/>
          <w:b/>
          <w:sz w:val="24"/>
          <w:szCs w:val="24"/>
          <w:lang w:val="es-ES_tradnl"/>
        </w:rPr>
      </w:pPr>
      <w:r w:rsidRPr="004C22C2">
        <w:rPr>
          <w:rFonts w:ascii="Arial" w:hAnsi="Arial" w:cs="Arial"/>
          <w:b/>
          <w:sz w:val="24"/>
          <w:szCs w:val="24"/>
          <w:lang w:val="es-ES_tradnl"/>
        </w:rPr>
        <w:t xml:space="preserve">Coordinador Ponente </w:t>
      </w:r>
      <w:r w:rsidR="00512341" w:rsidRPr="004C22C2">
        <w:rPr>
          <w:rFonts w:ascii="Arial" w:hAnsi="Arial" w:cs="Arial"/>
          <w:b/>
          <w:sz w:val="24"/>
          <w:szCs w:val="24"/>
          <w:lang w:val="es-ES_tradnl"/>
        </w:rPr>
        <w:tab/>
      </w:r>
      <w:r w:rsidR="00512341" w:rsidRPr="004C22C2">
        <w:rPr>
          <w:rFonts w:ascii="Arial" w:hAnsi="Arial" w:cs="Arial"/>
          <w:b/>
          <w:sz w:val="24"/>
          <w:szCs w:val="24"/>
          <w:lang w:val="es-ES_tradnl"/>
        </w:rPr>
        <w:tab/>
      </w:r>
      <w:r w:rsidR="00512341" w:rsidRPr="004C22C2">
        <w:rPr>
          <w:rFonts w:ascii="Arial" w:hAnsi="Arial" w:cs="Arial"/>
          <w:b/>
          <w:sz w:val="24"/>
          <w:szCs w:val="24"/>
          <w:lang w:val="es-ES_tradnl"/>
        </w:rPr>
        <w:tab/>
      </w:r>
      <w:r w:rsidR="00512341" w:rsidRPr="004C22C2">
        <w:rPr>
          <w:rFonts w:ascii="Arial" w:hAnsi="Arial" w:cs="Arial"/>
          <w:b/>
          <w:sz w:val="24"/>
          <w:szCs w:val="24"/>
          <w:lang w:val="es-ES_tradnl"/>
        </w:rPr>
        <w:tab/>
        <w:t>Ponente</w:t>
      </w:r>
    </w:p>
    <w:p w:rsidR="00512341" w:rsidRPr="004C22C2" w:rsidRDefault="00512341" w:rsidP="00EA2E07">
      <w:pPr>
        <w:spacing w:after="0" w:line="240" w:lineRule="auto"/>
        <w:jc w:val="both"/>
        <w:rPr>
          <w:rFonts w:ascii="Arial" w:hAnsi="Arial" w:cs="Arial"/>
          <w:b/>
          <w:sz w:val="24"/>
          <w:szCs w:val="24"/>
          <w:lang w:val="es-ES_tradnl"/>
        </w:rPr>
      </w:pPr>
    </w:p>
    <w:p w:rsidR="00512341" w:rsidRPr="004C22C2" w:rsidRDefault="00512341" w:rsidP="00EA2E07">
      <w:pPr>
        <w:spacing w:after="0" w:line="240" w:lineRule="auto"/>
        <w:jc w:val="both"/>
        <w:rPr>
          <w:rFonts w:ascii="Arial" w:hAnsi="Arial" w:cs="Arial"/>
          <w:b/>
          <w:sz w:val="24"/>
          <w:szCs w:val="24"/>
          <w:lang w:val="es-ES_tradnl"/>
        </w:rPr>
      </w:pPr>
    </w:p>
    <w:p w:rsidR="00512341" w:rsidRPr="004C22C2" w:rsidRDefault="00512341" w:rsidP="00EA2E07">
      <w:pPr>
        <w:spacing w:after="0" w:line="240" w:lineRule="auto"/>
        <w:jc w:val="both"/>
        <w:rPr>
          <w:rFonts w:ascii="Arial" w:hAnsi="Arial" w:cs="Arial"/>
          <w:b/>
          <w:sz w:val="24"/>
          <w:szCs w:val="24"/>
          <w:lang w:val="es-ES_tradnl"/>
        </w:rPr>
      </w:pPr>
    </w:p>
    <w:p w:rsidR="005C75F1" w:rsidRPr="004C22C2" w:rsidRDefault="005C75F1" w:rsidP="00EA2E07">
      <w:pPr>
        <w:spacing w:after="0" w:line="240" w:lineRule="auto"/>
        <w:jc w:val="both"/>
        <w:rPr>
          <w:rFonts w:ascii="Arial" w:hAnsi="Arial" w:cs="Arial"/>
          <w:b/>
          <w:sz w:val="24"/>
          <w:szCs w:val="24"/>
          <w:lang w:val="es-ES_tradnl"/>
        </w:rPr>
      </w:pPr>
    </w:p>
    <w:p w:rsidR="005C75F1" w:rsidRPr="004C22C2" w:rsidRDefault="005C75F1" w:rsidP="00EA2E07">
      <w:pPr>
        <w:spacing w:after="0" w:line="240" w:lineRule="auto"/>
        <w:jc w:val="both"/>
        <w:rPr>
          <w:rFonts w:ascii="Arial" w:hAnsi="Arial" w:cs="Arial"/>
          <w:b/>
          <w:sz w:val="24"/>
          <w:szCs w:val="24"/>
          <w:lang w:val="es-ES_tradnl"/>
        </w:rPr>
      </w:pPr>
    </w:p>
    <w:p w:rsidR="005C75F1" w:rsidRPr="004C22C2" w:rsidRDefault="005C75F1" w:rsidP="00EA2E07">
      <w:pPr>
        <w:spacing w:after="0" w:line="240" w:lineRule="auto"/>
        <w:jc w:val="both"/>
        <w:rPr>
          <w:rFonts w:ascii="Arial" w:hAnsi="Arial" w:cs="Arial"/>
          <w:b/>
          <w:sz w:val="24"/>
          <w:szCs w:val="24"/>
          <w:lang w:val="es-ES_tradnl"/>
        </w:rPr>
      </w:pPr>
    </w:p>
    <w:p w:rsidR="00512341" w:rsidRPr="004C22C2" w:rsidRDefault="004C22C2" w:rsidP="00EA2E07">
      <w:pPr>
        <w:spacing w:after="0" w:line="240" w:lineRule="auto"/>
        <w:jc w:val="both"/>
        <w:rPr>
          <w:rFonts w:ascii="Arial" w:hAnsi="Arial" w:cs="Arial"/>
          <w:b/>
          <w:sz w:val="24"/>
          <w:szCs w:val="24"/>
          <w:lang w:val="es-ES_tradnl"/>
        </w:rPr>
      </w:pPr>
      <w:r>
        <w:rPr>
          <w:rFonts w:ascii="Arial" w:hAnsi="Arial" w:cs="Arial"/>
          <w:b/>
          <w:sz w:val="24"/>
          <w:szCs w:val="24"/>
          <w:lang w:val="es-ES_tradnl"/>
        </w:rPr>
        <w:t>PEDRITO TOMAS PEREIRA</w:t>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t>EDWARD DAVID RODRIGUEZ</w:t>
      </w:r>
    </w:p>
    <w:p w:rsidR="00512341" w:rsidRPr="004C22C2" w:rsidRDefault="00512341" w:rsidP="00EA2E07">
      <w:pPr>
        <w:spacing w:after="0" w:line="240" w:lineRule="auto"/>
        <w:jc w:val="both"/>
        <w:rPr>
          <w:rFonts w:ascii="Arial" w:hAnsi="Arial" w:cs="Arial"/>
          <w:b/>
          <w:sz w:val="24"/>
          <w:szCs w:val="24"/>
          <w:lang w:val="es-ES_tradnl"/>
        </w:rPr>
      </w:pPr>
      <w:r w:rsidRPr="004C22C2">
        <w:rPr>
          <w:rFonts w:ascii="Arial" w:hAnsi="Arial" w:cs="Arial"/>
          <w:b/>
          <w:sz w:val="24"/>
          <w:szCs w:val="24"/>
          <w:lang w:val="es-ES_tradnl"/>
        </w:rPr>
        <w:t xml:space="preserve">Ponente </w:t>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t>Ponente</w:t>
      </w:r>
    </w:p>
    <w:p w:rsidR="00512341" w:rsidRPr="004C22C2" w:rsidRDefault="00512341" w:rsidP="00EA2E07">
      <w:pPr>
        <w:spacing w:after="0" w:line="240" w:lineRule="auto"/>
        <w:jc w:val="both"/>
        <w:rPr>
          <w:rFonts w:ascii="Arial" w:hAnsi="Arial" w:cs="Arial"/>
          <w:b/>
          <w:sz w:val="24"/>
          <w:szCs w:val="24"/>
          <w:lang w:val="es-ES_tradnl"/>
        </w:rPr>
      </w:pPr>
    </w:p>
    <w:p w:rsidR="005844D4" w:rsidRPr="004C22C2" w:rsidRDefault="005844D4" w:rsidP="00EA2E07">
      <w:pPr>
        <w:spacing w:after="0" w:line="240" w:lineRule="auto"/>
        <w:jc w:val="both"/>
        <w:rPr>
          <w:rFonts w:ascii="Arial" w:hAnsi="Arial" w:cs="Arial"/>
          <w:b/>
          <w:sz w:val="24"/>
          <w:szCs w:val="24"/>
          <w:lang w:val="es-ES_tradnl"/>
        </w:rPr>
      </w:pPr>
    </w:p>
    <w:p w:rsidR="005844D4" w:rsidRPr="004C22C2" w:rsidRDefault="005844D4" w:rsidP="00EA2E07">
      <w:pPr>
        <w:spacing w:after="0" w:line="240" w:lineRule="auto"/>
        <w:jc w:val="both"/>
        <w:rPr>
          <w:rFonts w:ascii="Arial" w:hAnsi="Arial" w:cs="Arial"/>
          <w:b/>
          <w:sz w:val="24"/>
          <w:szCs w:val="24"/>
          <w:lang w:val="es-ES_tradnl"/>
        </w:rPr>
      </w:pPr>
    </w:p>
    <w:p w:rsidR="005844D4" w:rsidRPr="004C22C2" w:rsidRDefault="005844D4" w:rsidP="00EA2E07">
      <w:pPr>
        <w:spacing w:after="0" w:line="240" w:lineRule="auto"/>
        <w:jc w:val="both"/>
        <w:rPr>
          <w:rFonts w:ascii="Arial" w:hAnsi="Arial" w:cs="Arial"/>
          <w:b/>
          <w:sz w:val="24"/>
          <w:szCs w:val="24"/>
          <w:lang w:val="es-ES_tradnl"/>
        </w:rPr>
      </w:pPr>
    </w:p>
    <w:p w:rsidR="005844D4" w:rsidRPr="004C22C2" w:rsidRDefault="005844D4" w:rsidP="00EA2E07">
      <w:pPr>
        <w:spacing w:after="0" w:line="240" w:lineRule="auto"/>
        <w:jc w:val="both"/>
        <w:rPr>
          <w:rFonts w:ascii="Arial" w:hAnsi="Arial" w:cs="Arial"/>
          <w:b/>
          <w:sz w:val="24"/>
          <w:szCs w:val="24"/>
          <w:lang w:val="es-ES_tradnl"/>
        </w:rPr>
      </w:pPr>
    </w:p>
    <w:p w:rsidR="00512341" w:rsidRPr="004C22C2" w:rsidRDefault="004C22C2" w:rsidP="00EA2E07">
      <w:pPr>
        <w:spacing w:after="0" w:line="240" w:lineRule="auto"/>
        <w:jc w:val="both"/>
        <w:rPr>
          <w:rFonts w:ascii="Arial" w:hAnsi="Arial" w:cs="Arial"/>
          <w:b/>
          <w:sz w:val="24"/>
          <w:szCs w:val="24"/>
          <w:lang w:val="es-ES_tradnl"/>
        </w:rPr>
      </w:pPr>
      <w:r>
        <w:rPr>
          <w:rFonts w:ascii="Arial" w:hAnsi="Arial" w:cs="Arial"/>
          <w:b/>
          <w:sz w:val="24"/>
          <w:szCs w:val="24"/>
          <w:lang w:val="es-ES_tradnl"/>
        </w:rPr>
        <w:t>RODRIGO LARA RESTREPO</w:t>
      </w:r>
      <w:r w:rsidR="00512341" w:rsidRPr="004C22C2">
        <w:rPr>
          <w:rFonts w:ascii="Arial" w:hAnsi="Arial" w:cs="Arial"/>
          <w:b/>
          <w:sz w:val="24"/>
          <w:szCs w:val="24"/>
          <w:lang w:val="es-ES_tradnl"/>
        </w:rPr>
        <w:tab/>
        <w:t xml:space="preserve"> </w:t>
      </w:r>
      <w:r>
        <w:rPr>
          <w:rFonts w:ascii="Arial" w:hAnsi="Arial" w:cs="Arial"/>
          <w:b/>
          <w:sz w:val="24"/>
          <w:szCs w:val="24"/>
          <w:lang w:val="es-ES_tradnl"/>
        </w:rPr>
        <w:tab/>
      </w:r>
      <w:r>
        <w:rPr>
          <w:rFonts w:ascii="Arial" w:hAnsi="Arial" w:cs="Arial"/>
          <w:b/>
          <w:sz w:val="24"/>
          <w:szCs w:val="24"/>
          <w:lang w:val="es-ES_tradnl"/>
        </w:rPr>
        <w:tab/>
        <w:t>ANGELICA LISBETH LOZANO</w:t>
      </w:r>
    </w:p>
    <w:p w:rsidR="00512341" w:rsidRPr="004C22C2" w:rsidRDefault="00512341" w:rsidP="00512341">
      <w:pPr>
        <w:spacing w:after="0" w:line="240" w:lineRule="auto"/>
        <w:jc w:val="both"/>
        <w:rPr>
          <w:rFonts w:ascii="Arial" w:hAnsi="Arial" w:cs="Arial"/>
          <w:b/>
          <w:sz w:val="24"/>
          <w:szCs w:val="24"/>
          <w:lang w:val="es-ES_tradnl"/>
        </w:rPr>
      </w:pPr>
      <w:r w:rsidRPr="004C22C2">
        <w:rPr>
          <w:rFonts w:ascii="Arial" w:hAnsi="Arial" w:cs="Arial"/>
          <w:b/>
          <w:sz w:val="24"/>
          <w:szCs w:val="24"/>
          <w:lang w:val="es-ES_tradnl"/>
        </w:rPr>
        <w:t xml:space="preserve">Ponente </w:t>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004C22C2">
        <w:rPr>
          <w:rFonts w:ascii="Arial" w:hAnsi="Arial" w:cs="Arial"/>
          <w:b/>
          <w:sz w:val="24"/>
          <w:szCs w:val="24"/>
          <w:lang w:val="es-ES_tradnl"/>
        </w:rPr>
        <w:t>Ponente</w:t>
      </w:r>
    </w:p>
    <w:p w:rsidR="00512341" w:rsidRPr="004C22C2" w:rsidRDefault="00512341" w:rsidP="00EA2E07">
      <w:pPr>
        <w:spacing w:after="0" w:line="240" w:lineRule="auto"/>
        <w:jc w:val="both"/>
        <w:rPr>
          <w:rFonts w:ascii="Arial" w:hAnsi="Arial" w:cs="Arial"/>
          <w:b/>
          <w:sz w:val="24"/>
          <w:szCs w:val="24"/>
          <w:lang w:val="es-ES_tradnl"/>
        </w:rPr>
      </w:pPr>
    </w:p>
    <w:p w:rsidR="00512341" w:rsidRPr="004C22C2" w:rsidRDefault="00512341" w:rsidP="00EA2E07">
      <w:pPr>
        <w:spacing w:after="0" w:line="240" w:lineRule="auto"/>
        <w:jc w:val="both"/>
        <w:rPr>
          <w:rFonts w:ascii="Arial" w:hAnsi="Arial" w:cs="Arial"/>
          <w:b/>
          <w:sz w:val="24"/>
          <w:szCs w:val="24"/>
          <w:lang w:val="es-ES_tradnl"/>
        </w:rPr>
      </w:pPr>
    </w:p>
    <w:p w:rsidR="00512341" w:rsidRPr="004C22C2" w:rsidRDefault="00512341" w:rsidP="00EA2E07">
      <w:pPr>
        <w:spacing w:after="0" w:line="240" w:lineRule="auto"/>
        <w:jc w:val="both"/>
        <w:rPr>
          <w:rFonts w:ascii="Arial" w:hAnsi="Arial" w:cs="Arial"/>
          <w:b/>
          <w:sz w:val="24"/>
          <w:szCs w:val="24"/>
          <w:lang w:val="es-ES_tradnl"/>
        </w:rPr>
      </w:pPr>
    </w:p>
    <w:p w:rsidR="005844D4" w:rsidRPr="004C22C2" w:rsidRDefault="005844D4" w:rsidP="00EA2E07">
      <w:pPr>
        <w:spacing w:after="0" w:line="240" w:lineRule="auto"/>
        <w:jc w:val="both"/>
        <w:rPr>
          <w:rFonts w:ascii="Arial" w:hAnsi="Arial" w:cs="Arial"/>
          <w:b/>
          <w:sz w:val="24"/>
          <w:szCs w:val="24"/>
          <w:lang w:val="es-ES_tradnl"/>
        </w:rPr>
      </w:pPr>
    </w:p>
    <w:p w:rsidR="00512341" w:rsidRPr="004C22C2" w:rsidRDefault="00512341" w:rsidP="00EA2E07">
      <w:pPr>
        <w:spacing w:after="0" w:line="240" w:lineRule="auto"/>
        <w:jc w:val="both"/>
        <w:rPr>
          <w:rFonts w:ascii="Arial" w:hAnsi="Arial" w:cs="Arial"/>
          <w:b/>
          <w:sz w:val="24"/>
          <w:szCs w:val="24"/>
          <w:lang w:val="es-ES_tradnl"/>
        </w:rPr>
      </w:pPr>
    </w:p>
    <w:p w:rsidR="00512341" w:rsidRPr="004C22C2" w:rsidRDefault="004C22C2" w:rsidP="00EA2E07">
      <w:pPr>
        <w:spacing w:after="0" w:line="240" w:lineRule="auto"/>
        <w:jc w:val="both"/>
        <w:rPr>
          <w:rFonts w:ascii="Arial" w:hAnsi="Arial" w:cs="Arial"/>
          <w:b/>
          <w:sz w:val="24"/>
          <w:szCs w:val="24"/>
          <w:lang w:val="es-ES_tradnl"/>
        </w:rPr>
      </w:pPr>
      <w:r>
        <w:rPr>
          <w:rFonts w:ascii="Arial" w:hAnsi="Arial" w:cs="Arial"/>
          <w:b/>
          <w:sz w:val="24"/>
          <w:szCs w:val="24"/>
          <w:lang w:val="es-ES_tradnl"/>
        </w:rPr>
        <w:t>CARLOS GERMÁN NAVAS TALERO</w:t>
      </w:r>
      <w:r w:rsidR="00D137EB" w:rsidRPr="004C22C2">
        <w:rPr>
          <w:rFonts w:ascii="Arial" w:hAnsi="Arial" w:cs="Arial"/>
          <w:b/>
          <w:sz w:val="24"/>
          <w:szCs w:val="24"/>
          <w:lang w:val="es-ES_tradnl"/>
        </w:rPr>
        <w:tab/>
      </w:r>
      <w:r w:rsidR="00D137EB" w:rsidRPr="004C22C2">
        <w:rPr>
          <w:rFonts w:ascii="Arial" w:hAnsi="Arial" w:cs="Arial"/>
          <w:b/>
          <w:sz w:val="24"/>
          <w:szCs w:val="24"/>
          <w:lang w:val="es-ES_tradnl"/>
        </w:rPr>
        <w:tab/>
      </w:r>
      <w:r>
        <w:rPr>
          <w:rFonts w:ascii="Arial" w:hAnsi="Arial" w:cs="Arial"/>
          <w:b/>
          <w:sz w:val="24"/>
          <w:szCs w:val="24"/>
          <w:lang w:val="es-ES_tradnl"/>
        </w:rPr>
        <w:t>FERNANDO DE LA PEÑA MARQUEZ</w:t>
      </w:r>
      <w:r w:rsidR="00D137EB" w:rsidRPr="004C22C2">
        <w:rPr>
          <w:rFonts w:ascii="Arial" w:hAnsi="Arial" w:cs="Arial"/>
          <w:b/>
          <w:sz w:val="24"/>
          <w:szCs w:val="24"/>
          <w:lang w:val="es-ES_tradnl"/>
        </w:rPr>
        <w:t xml:space="preserve"> </w:t>
      </w:r>
    </w:p>
    <w:p w:rsidR="00D137EB" w:rsidRDefault="00D137EB" w:rsidP="00D137EB">
      <w:pPr>
        <w:spacing w:after="0" w:line="240" w:lineRule="auto"/>
        <w:jc w:val="both"/>
        <w:rPr>
          <w:rFonts w:ascii="Arial" w:hAnsi="Arial" w:cs="Arial"/>
          <w:b/>
          <w:sz w:val="24"/>
          <w:szCs w:val="24"/>
          <w:lang w:val="es-ES_tradnl"/>
        </w:rPr>
      </w:pPr>
      <w:r w:rsidRPr="004C22C2">
        <w:rPr>
          <w:rFonts w:ascii="Arial" w:hAnsi="Arial" w:cs="Arial"/>
          <w:b/>
          <w:sz w:val="24"/>
          <w:szCs w:val="24"/>
          <w:lang w:val="es-ES_tradnl"/>
        </w:rPr>
        <w:t xml:space="preserve">Ponente </w:t>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t>Ponente</w:t>
      </w:r>
    </w:p>
    <w:p w:rsidR="00512341" w:rsidRDefault="00512341" w:rsidP="00EA2E07">
      <w:pPr>
        <w:spacing w:after="0" w:line="240" w:lineRule="auto"/>
        <w:jc w:val="both"/>
        <w:rPr>
          <w:rFonts w:ascii="Arial" w:hAnsi="Arial" w:cs="Arial"/>
          <w:b/>
          <w:sz w:val="24"/>
          <w:szCs w:val="24"/>
          <w:lang w:val="es-ES_tradnl"/>
        </w:rPr>
      </w:pPr>
    </w:p>
    <w:p w:rsidR="00B13ED0" w:rsidRPr="00EA2E07" w:rsidRDefault="00B13ED0">
      <w:pPr>
        <w:rPr>
          <w:rFonts w:ascii="Arial" w:hAnsi="Arial" w:cs="Arial"/>
          <w:b/>
          <w:sz w:val="24"/>
          <w:szCs w:val="24"/>
        </w:rPr>
      </w:pPr>
    </w:p>
    <w:p w:rsidR="00163F10" w:rsidRPr="00EA2E07" w:rsidRDefault="009E2E20" w:rsidP="005E61BF">
      <w:pPr>
        <w:spacing w:after="0" w:line="240" w:lineRule="auto"/>
        <w:jc w:val="center"/>
        <w:rPr>
          <w:rFonts w:ascii="Arial" w:hAnsi="Arial" w:cs="Arial"/>
          <w:b/>
          <w:sz w:val="24"/>
          <w:szCs w:val="24"/>
        </w:rPr>
      </w:pPr>
      <w:r w:rsidRPr="00EA2E07">
        <w:rPr>
          <w:rFonts w:ascii="Arial" w:hAnsi="Arial" w:cs="Arial"/>
          <w:b/>
          <w:sz w:val="24"/>
          <w:szCs w:val="24"/>
        </w:rPr>
        <w:lastRenderedPageBreak/>
        <w:t xml:space="preserve">TEXTO PROPUESTO PARA </w:t>
      </w:r>
      <w:r w:rsidR="00E97F53">
        <w:rPr>
          <w:rFonts w:ascii="Arial" w:hAnsi="Arial" w:cs="Arial"/>
          <w:b/>
          <w:sz w:val="24"/>
          <w:szCs w:val="24"/>
        </w:rPr>
        <w:t>PRIMER</w:t>
      </w:r>
      <w:r w:rsidRPr="00EA2E07">
        <w:rPr>
          <w:rFonts w:ascii="Arial" w:hAnsi="Arial" w:cs="Arial"/>
          <w:b/>
          <w:sz w:val="24"/>
          <w:szCs w:val="24"/>
        </w:rPr>
        <w:t xml:space="preserve"> DEBATE</w:t>
      </w:r>
    </w:p>
    <w:p w:rsidR="00082CB4" w:rsidRPr="00EA2E07" w:rsidRDefault="009E2E20" w:rsidP="00082CB4">
      <w:pPr>
        <w:spacing w:after="0" w:line="240" w:lineRule="auto"/>
        <w:jc w:val="center"/>
        <w:rPr>
          <w:rFonts w:ascii="Arial" w:hAnsi="Arial" w:cs="Arial"/>
          <w:b/>
          <w:sz w:val="24"/>
          <w:szCs w:val="24"/>
        </w:rPr>
      </w:pPr>
      <w:r w:rsidRPr="00EA2E07">
        <w:rPr>
          <w:rFonts w:ascii="Arial" w:hAnsi="Arial" w:cs="Arial"/>
          <w:b/>
          <w:sz w:val="24"/>
          <w:szCs w:val="24"/>
        </w:rPr>
        <w:t xml:space="preserve"> PROYECTO DE LEY </w:t>
      </w:r>
      <w:r w:rsidR="00082CB4" w:rsidRPr="00EA2E07">
        <w:rPr>
          <w:rFonts w:ascii="Arial" w:hAnsi="Arial" w:cs="Arial"/>
          <w:b/>
          <w:sz w:val="24"/>
          <w:szCs w:val="24"/>
        </w:rPr>
        <w:t>48 DE 2015 SENADO</w:t>
      </w:r>
      <w:r w:rsidR="00F64DD8">
        <w:rPr>
          <w:rFonts w:ascii="Arial" w:hAnsi="Arial" w:cs="Arial"/>
          <w:b/>
          <w:sz w:val="24"/>
          <w:szCs w:val="24"/>
        </w:rPr>
        <w:t xml:space="preserve"> 171 DE 2015 CÁMARA</w:t>
      </w:r>
    </w:p>
    <w:p w:rsidR="00082CB4" w:rsidRPr="00EA2E07" w:rsidRDefault="00082CB4" w:rsidP="00082CB4">
      <w:pPr>
        <w:spacing w:after="0" w:line="240" w:lineRule="auto"/>
        <w:jc w:val="center"/>
        <w:rPr>
          <w:rFonts w:ascii="Arial" w:hAnsi="Arial" w:cs="Arial"/>
          <w:b/>
          <w:sz w:val="24"/>
          <w:szCs w:val="24"/>
        </w:rPr>
      </w:pPr>
    </w:p>
    <w:p w:rsidR="00B13ED0" w:rsidRPr="00EA2E07" w:rsidRDefault="00B13ED0" w:rsidP="00082CB4">
      <w:pPr>
        <w:spacing w:after="0" w:line="240" w:lineRule="auto"/>
        <w:jc w:val="center"/>
        <w:rPr>
          <w:rFonts w:ascii="Arial" w:hAnsi="Arial" w:cs="Arial"/>
          <w:b/>
          <w:sz w:val="24"/>
          <w:szCs w:val="24"/>
        </w:rPr>
      </w:pPr>
    </w:p>
    <w:p w:rsidR="00082CB4" w:rsidRPr="00EA2E07" w:rsidRDefault="00082CB4" w:rsidP="00082CB4">
      <w:pPr>
        <w:spacing w:after="0" w:line="240" w:lineRule="auto"/>
        <w:jc w:val="center"/>
        <w:rPr>
          <w:rFonts w:ascii="Arial" w:hAnsi="Arial" w:cs="Arial"/>
          <w:b/>
          <w:sz w:val="24"/>
          <w:szCs w:val="24"/>
        </w:rPr>
      </w:pPr>
      <w:r w:rsidRPr="00EA2E07">
        <w:rPr>
          <w:rFonts w:ascii="Arial" w:hAnsi="Arial" w:cs="Arial"/>
          <w:b/>
          <w:sz w:val="24"/>
          <w:szCs w:val="24"/>
        </w:rPr>
        <w:t>“Por medio de la cual se definen las contravenciones penales, se establece un procedimiento especial abreviado para ellas y se regula la figura del acusador privado”.</w:t>
      </w:r>
    </w:p>
    <w:p w:rsidR="00082CB4" w:rsidRPr="00EA2E07" w:rsidRDefault="00082CB4" w:rsidP="00082CB4">
      <w:pPr>
        <w:spacing w:after="0" w:line="240" w:lineRule="auto"/>
        <w:jc w:val="center"/>
        <w:rPr>
          <w:rFonts w:ascii="Arial" w:hAnsi="Arial" w:cs="Arial"/>
          <w:b/>
          <w:sz w:val="24"/>
          <w:szCs w:val="24"/>
        </w:rPr>
      </w:pPr>
    </w:p>
    <w:p w:rsidR="00B13ED0" w:rsidRPr="00EA2E07" w:rsidRDefault="00B13ED0" w:rsidP="00082CB4">
      <w:pPr>
        <w:spacing w:after="0" w:line="240" w:lineRule="auto"/>
        <w:jc w:val="center"/>
        <w:rPr>
          <w:rFonts w:ascii="Arial" w:hAnsi="Arial" w:cs="Arial"/>
          <w:b/>
          <w:sz w:val="24"/>
          <w:szCs w:val="24"/>
        </w:rPr>
      </w:pPr>
    </w:p>
    <w:p w:rsidR="00082CB4" w:rsidRPr="00EA2E07" w:rsidRDefault="00082CB4" w:rsidP="00082CB4">
      <w:pPr>
        <w:spacing w:after="0" w:line="240" w:lineRule="auto"/>
        <w:jc w:val="center"/>
        <w:rPr>
          <w:rFonts w:ascii="Arial" w:hAnsi="Arial" w:cs="Arial"/>
          <w:b/>
          <w:sz w:val="24"/>
          <w:szCs w:val="24"/>
        </w:rPr>
      </w:pPr>
      <w:r w:rsidRPr="00EA2E07">
        <w:rPr>
          <w:rFonts w:ascii="Arial" w:hAnsi="Arial" w:cs="Arial"/>
          <w:b/>
          <w:sz w:val="24"/>
          <w:szCs w:val="24"/>
        </w:rPr>
        <w:t>El Congreso de Colombia</w:t>
      </w:r>
    </w:p>
    <w:p w:rsidR="00B13ED0" w:rsidRPr="00EA2E07" w:rsidRDefault="00B13ED0" w:rsidP="00082CB4">
      <w:pPr>
        <w:spacing w:after="0" w:line="240" w:lineRule="auto"/>
        <w:jc w:val="center"/>
        <w:rPr>
          <w:rFonts w:ascii="Arial" w:hAnsi="Arial" w:cs="Arial"/>
          <w:b/>
          <w:sz w:val="24"/>
          <w:szCs w:val="24"/>
        </w:rPr>
      </w:pPr>
    </w:p>
    <w:p w:rsidR="00C7654E" w:rsidRPr="00EA2E07" w:rsidRDefault="00082CB4" w:rsidP="00082CB4">
      <w:pPr>
        <w:spacing w:after="0" w:line="240" w:lineRule="auto"/>
        <w:jc w:val="center"/>
        <w:rPr>
          <w:rFonts w:ascii="Arial" w:hAnsi="Arial" w:cs="Arial"/>
          <w:b/>
          <w:sz w:val="24"/>
          <w:szCs w:val="24"/>
        </w:rPr>
      </w:pPr>
      <w:r w:rsidRPr="00EA2E07">
        <w:rPr>
          <w:rFonts w:ascii="Arial" w:hAnsi="Arial" w:cs="Arial"/>
          <w:b/>
          <w:sz w:val="24"/>
          <w:szCs w:val="24"/>
        </w:rPr>
        <w:t>DECRETA:</w:t>
      </w:r>
    </w:p>
    <w:p w:rsidR="00082CB4" w:rsidRPr="00EA2E07" w:rsidRDefault="00082CB4" w:rsidP="00082CB4">
      <w:pPr>
        <w:spacing w:after="0" w:line="240" w:lineRule="auto"/>
        <w:jc w:val="center"/>
        <w:rPr>
          <w:rFonts w:ascii="Arial" w:hAnsi="Arial" w:cs="Arial"/>
          <w:b/>
          <w:color w:val="000000"/>
          <w:sz w:val="24"/>
          <w:szCs w:val="24"/>
          <w:u w:val="single"/>
        </w:rPr>
      </w:pPr>
    </w:p>
    <w:p w:rsidR="00163F10" w:rsidRPr="00414BF5" w:rsidRDefault="00163F10" w:rsidP="005E61BF">
      <w:pPr>
        <w:pStyle w:val="NormalWeb"/>
        <w:shd w:val="clear" w:color="auto" w:fill="FFFFFF"/>
        <w:spacing w:before="0" w:beforeAutospacing="0" w:after="0" w:afterAutospacing="0"/>
        <w:jc w:val="both"/>
        <w:rPr>
          <w:rFonts w:ascii="Arial" w:hAnsi="Arial" w:cs="Arial"/>
          <w:b/>
          <w:color w:val="000000"/>
          <w:u w:val="single"/>
        </w:rPr>
      </w:pPr>
    </w:p>
    <w:p w:rsidR="005E419B" w:rsidRPr="00414BF5" w:rsidRDefault="005E419B" w:rsidP="005E61BF">
      <w:pPr>
        <w:pStyle w:val="NormalWeb"/>
        <w:shd w:val="clear" w:color="auto" w:fill="FFFFFF"/>
        <w:spacing w:before="0" w:beforeAutospacing="0" w:after="0" w:afterAutospacing="0"/>
        <w:jc w:val="both"/>
        <w:rPr>
          <w:rFonts w:ascii="Arial" w:hAnsi="Arial" w:cs="Arial"/>
          <w:b/>
          <w:color w:val="000000"/>
          <w:u w:val="single"/>
        </w:rPr>
      </w:pPr>
    </w:p>
    <w:p w:rsidR="00F64DD8" w:rsidRPr="00414BF5" w:rsidRDefault="00F64DD8" w:rsidP="005E61BF">
      <w:pPr>
        <w:pStyle w:val="NormalWeb"/>
        <w:shd w:val="clear" w:color="auto" w:fill="FFFFFF"/>
        <w:spacing w:before="0" w:beforeAutospacing="0" w:after="0" w:afterAutospacing="0"/>
        <w:jc w:val="both"/>
        <w:rPr>
          <w:rFonts w:ascii="Arial" w:hAnsi="Arial" w:cs="Arial"/>
          <w:b/>
          <w:color w:val="000000"/>
          <w:u w:val="single"/>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 Modifíquese el artículo 112 de la Ley 599 de 2000, el cual quedará así:</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112. </w:t>
      </w:r>
      <w:r w:rsidRPr="00414BF5">
        <w:rPr>
          <w:rFonts w:ascii="Arial" w:eastAsia="Calibri" w:hAnsi="Arial" w:cs="Arial"/>
          <w:b/>
          <w:bCs/>
          <w:i/>
          <w:iCs/>
          <w:sz w:val="24"/>
          <w:szCs w:val="24"/>
          <w:lang w:val="es-ES_tradnl"/>
        </w:rPr>
        <w:t>Incapacidad para trabajar o enfermedad</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Si el daño consistiere en incapacidad para trabajar o en enfermedad que pasare de noventa (90) días, la pena será de treinta y dos (32) a noventa (90) meses de prisión y multa de trece punto treinta y tres (13.33) a treinta (30) salarios mínimos legales mensuales vigentes.</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2°. Modifíquese el artículo 113 de la Ley 599 de 2000, modificado por la Ley 1639 de 2013, el cual quedará así:</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113. </w:t>
      </w:r>
      <w:r w:rsidRPr="00414BF5">
        <w:rPr>
          <w:rFonts w:ascii="Arial" w:eastAsia="Calibri" w:hAnsi="Arial" w:cs="Arial"/>
          <w:b/>
          <w:bCs/>
          <w:i/>
          <w:iCs/>
          <w:sz w:val="24"/>
          <w:szCs w:val="24"/>
          <w:lang w:val="es-ES_tradnl"/>
        </w:rPr>
        <w:t>Deformidad permanente</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Si el daño consistiere en deformidad física permanente, la pena será de prisión de treinta y dos (32) a ciento veintiséis (126) meses y multa de treinta y cuatro punto sesenta y seis (34.66) a cincuenta y cuatro (54) salarios mínimos legales mensuales vigentes.</w:t>
      </w:r>
    </w:p>
    <w:p w:rsidR="00704C86" w:rsidRPr="00414BF5" w:rsidRDefault="00704C86" w:rsidP="001D163D">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el daño consistiere en deformidad física causada usando cualquier tipo de ácidos; álcalis; sustancias similares o corrosivas que generen daño o destrucción al entrar en contacto con el tejido humano, incurrirá en pena de prisión de setenta y dos (72) a ciento veintiséis (126) meses y multa de treinta y cuatro punto sesenta y seis (34.66) a cincuenta y cuatro (54) salarios mínimos legales mensuales vigentes.</w:t>
      </w:r>
    </w:p>
    <w:p w:rsidR="00704C86" w:rsidRPr="00414BF5" w:rsidRDefault="00704C86" w:rsidP="001D163D">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Si la deformidad afectare el rostro, la pena se aumentará desde una tercera parte hasta la mitad.</w:t>
      </w:r>
    </w:p>
    <w:p w:rsidR="00704C86" w:rsidRPr="00414BF5" w:rsidRDefault="00704C86" w:rsidP="00704C86">
      <w:pPr>
        <w:spacing w:after="0" w:line="240" w:lineRule="auto"/>
        <w:jc w:val="both"/>
        <w:rPr>
          <w:rFonts w:ascii="Arial" w:eastAsia="Calibri" w:hAnsi="Arial" w:cs="Arial"/>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3°. Modifíquese el artículo 114 de la Ley 599 de 2000, el cual quedará así:</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b/>
          <w:bCs/>
          <w:i/>
          <w:iCs/>
          <w:sz w:val="24"/>
          <w:szCs w:val="24"/>
          <w:lang w:val="es-ES_tradnl"/>
        </w:rPr>
        <w:lastRenderedPageBreak/>
        <w:t>Artículo 114. Perturbación funcional permanente</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Si el daño consistiere en perturbación funcional permanente, la pena será de cuarenta y ocho (48) a ciento cuarenta y cuatro (144) meses de prisión y multa de treinta y cuatro punto sesenta y seis (34.66) a cincuenta y cuatro (54) salarios mínimos legales mensuales vigentes.</w:t>
      </w:r>
    </w:p>
    <w:p w:rsidR="00704C86" w:rsidRPr="00414BF5" w:rsidRDefault="00704C86" w:rsidP="00704C86">
      <w:pPr>
        <w:spacing w:after="0" w:line="240" w:lineRule="auto"/>
        <w:ind w:left="708"/>
        <w:jc w:val="both"/>
        <w:rPr>
          <w:rFonts w:ascii="Arial" w:eastAsia="Calibri" w:hAnsi="Arial" w:cs="Arial"/>
          <w:sz w:val="24"/>
          <w:szCs w:val="24"/>
          <w:lang w:val="es-CO"/>
        </w:rPr>
      </w:pPr>
    </w:p>
    <w:p w:rsidR="00704C86" w:rsidRPr="00414BF5" w:rsidRDefault="00704C86" w:rsidP="00704C86">
      <w:pPr>
        <w:spacing w:after="0" w:line="240" w:lineRule="auto"/>
        <w:ind w:left="708"/>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4°. Elimínese el segundo inciso del artículo 239 de la Ley 599 de 2000, el artículo quedará así:</w:t>
      </w:r>
    </w:p>
    <w:p w:rsidR="001D163D" w:rsidRPr="00414BF5" w:rsidRDefault="001D163D" w:rsidP="00704C86">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b/>
          <w:bCs/>
          <w:i/>
          <w:iCs/>
          <w:sz w:val="24"/>
          <w:szCs w:val="24"/>
          <w:lang w:val="es-ES_tradnl"/>
        </w:rPr>
        <w:t>Artículo 239. Hurto</w:t>
      </w:r>
      <w:r w:rsidRPr="00414BF5">
        <w:rPr>
          <w:rFonts w:ascii="Arial" w:eastAsia="Calibri" w:hAnsi="Arial" w:cs="Arial"/>
          <w:sz w:val="24"/>
          <w:szCs w:val="24"/>
          <w:lang w:val="es-ES_tradnl"/>
        </w:rPr>
        <w:t>. El que se apodere de una cosa mueble ajena cuya cuantía sea o exceda de ciento cincuenta (150) salarios mínimos legales mensuales vigentes, con el propósito de obtener provecho para sí o para otro, incurrirá en prisión de treinta y dos (32) a ciento ocho (108) meses.</w:t>
      </w:r>
    </w:p>
    <w:p w:rsidR="00704C86" w:rsidRPr="00414BF5" w:rsidRDefault="00704C86" w:rsidP="00704C86">
      <w:pPr>
        <w:spacing w:after="0" w:line="240" w:lineRule="auto"/>
        <w:ind w:left="708"/>
        <w:jc w:val="both"/>
        <w:rPr>
          <w:rFonts w:ascii="Arial" w:eastAsia="Calibri" w:hAnsi="Arial" w:cs="Arial"/>
          <w:sz w:val="24"/>
          <w:szCs w:val="24"/>
          <w:lang w:val="es-CO"/>
        </w:rPr>
      </w:pPr>
    </w:p>
    <w:p w:rsidR="00704C86" w:rsidRPr="00414BF5" w:rsidRDefault="00704C86" w:rsidP="00704C86">
      <w:pPr>
        <w:spacing w:after="0" w:line="240" w:lineRule="auto"/>
        <w:ind w:left="708"/>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5°. Elimínese el tercer inciso del artículo 246 de la Ley 599 de 2000; el artículo quedará así:</w:t>
      </w:r>
    </w:p>
    <w:p w:rsidR="001D163D" w:rsidRPr="00414BF5" w:rsidRDefault="001D163D" w:rsidP="00704C86">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246. </w:t>
      </w:r>
      <w:r w:rsidRPr="00414BF5">
        <w:rPr>
          <w:rFonts w:ascii="Arial" w:eastAsia="Calibri" w:hAnsi="Arial" w:cs="Arial"/>
          <w:b/>
          <w:bCs/>
          <w:i/>
          <w:iCs/>
          <w:sz w:val="24"/>
          <w:szCs w:val="24"/>
          <w:lang w:val="es-ES_tradnl"/>
        </w:rPr>
        <w:t>Estafa</w:t>
      </w:r>
      <w:r w:rsidRPr="00414BF5">
        <w:rPr>
          <w:rFonts w:ascii="Arial" w:eastAsia="Calibri" w:hAnsi="Arial" w:cs="Arial"/>
          <w:sz w:val="24"/>
          <w:szCs w:val="24"/>
          <w:lang w:val="es-ES_tradnl"/>
        </w:rPr>
        <w:t>. El que obtenga provecho ilícito para sí o para un tercero, cuya cuantía sea o exceda de ciento cincuenta (150) salarios mínimos legales mensuales vigentes, con perjuicio ajeno, induciendo o manteniendo a otro en error por medio de artificios o engaños, incurrirá en prisión de treinta y dos (32) a ciento cuarenta y cuatro (144) meses y multa de sesenta y seis punto sesenta y seis (66.66) a mil quinientos (1.500) salarios mínimos legales mensuales vigentes.</w:t>
      </w:r>
    </w:p>
    <w:p w:rsidR="00704C86" w:rsidRPr="00414BF5" w:rsidRDefault="00704C86" w:rsidP="001D163D">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En la misma pena incurrirá el que en lotería, rifa o juego, obtenga provecho para sí o para otros, valiéndose de cualquier medio fraudulento para asegurar un determinado resultado.</w:t>
      </w:r>
    </w:p>
    <w:p w:rsidR="00704C86" w:rsidRPr="00414BF5" w:rsidRDefault="00704C86" w:rsidP="00704C86">
      <w:pPr>
        <w:spacing w:after="0" w:line="240" w:lineRule="auto"/>
        <w:ind w:left="708"/>
        <w:jc w:val="both"/>
        <w:rPr>
          <w:rFonts w:ascii="Arial" w:eastAsia="Calibri" w:hAnsi="Arial" w:cs="Arial"/>
          <w:sz w:val="24"/>
          <w:szCs w:val="24"/>
          <w:lang w:val="es-CO"/>
        </w:rPr>
      </w:pPr>
    </w:p>
    <w:p w:rsidR="001D163D" w:rsidRPr="00414BF5" w:rsidRDefault="001D163D" w:rsidP="00704C86">
      <w:pPr>
        <w:spacing w:after="0" w:line="240" w:lineRule="auto"/>
        <w:ind w:left="708"/>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6°. Modifíquese el artículo 250 de la Ley 599 de 2000, el cual quedará así:</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250. </w:t>
      </w:r>
      <w:r w:rsidRPr="00414BF5">
        <w:rPr>
          <w:rFonts w:ascii="Arial" w:eastAsia="Calibri" w:hAnsi="Arial" w:cs="Arial"/>
          <w:b/>
          <w:bCs/>
          <w:i/>
          <w:iCs/>
          <w:sz w:val="24"/>
          <w:szCs w:val="24"/>
          <w:lang w:val="es-ES_tradnl"/>
        </w:rPr>
        <w:t>Abuso de confianza calificado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se apropie en provecho suyo o de un tercero, de cosa mueble ajena, que se le haya confiado o entregado por un título no traslativo de dominio, incurrirá en prisión de cuarenta y ocho (48) a ciento ocho (108) meses, y multa de cuarenta (40) a setecientos cincuenta (750) salarios mínimos legales mensuales vigentes si la conducta se cometiere:</w:t>
      </w:r>
    </w:p>
    <w:p w:rsidR="00704C86" w:rsidRPr="00414BF5" w:rsidRDefault="00704C86" w:rsidP="001D163D">
      <w:pPr>
        <w:spacing w:after="0" w:line="240" w:lineRule="auto"/>
        <w:jc w:val="both"/>
        <w:rPr>
          <w:rFonts w:ascii="Arial" w:eastAsia="Calibri" w:hAnsi="Arial" w:cs="Arial"/>
          <w:sz w:val="24"/>
          <w:szCs w:val="24"/>
          <w:lang w:val="es-CO"/>
        </w:rPr>
      </w:pPr>
    </w:p>
    <w:p w:rsidR="00704C86" w:rsidRPr="00414BF5" w:rsidRDefault="00704C86" w:rsidP="001D163D">
      <w:pPr>
        <w:pStyle w:val="Prrafodelista"/>
        <w:numPr>
          <w:ilvl w:val="0"/>
          <w:numId w:val="28"/>
        </w:numPr>
        <w:spacing w:after="0" w:line="240" w:lineRule="auto"/>
        <w:ind w:left="360"/>
        <w:jc w:val="both"/>
        <w:rPr>
          <w:rFonts w:ascii="Arial" w:eastAsia="Calibri" w:hAnsi="Arial" w:cs="Arial"/>
          <w:sz w:val="24"/>
          <w:szCs w:val="24"/>
          <w:lang w:val="es-ES_tradnl"/>
        </w:rPr>
      </w:pPr>
      <w:r w:rsidRPr="00414BF5">
        <w:rPr>
          <w:rFonts w:ascii="Arial" w:eastAsia="Calibri" w:hAnsi="Arial" w:cs="Arial"/>
          <w:sz w:val="24"/>
          <w:szCs w:val="24"/>
          <w:lang w:val="es-ES_tradnl"/>
        </w:rPr>
        <w:t>Abusando de funciones discernidas, reconocidas o confiadas por autoridad pública.</w:t>
      </w:r>
    </w:p>
    <w:p w:rsidR="00704C86" w:rsidRPr="00414BF5" w:rsidRDefault="00704C86" w:rsidP="001D163D">
      <w:pPr>
        <w:pStyle w:val="Prrafodelista"/>
        <w:spacing w:after="0" w:line="240" w:lineRule="auto"/>
        <w:ind w:left="360"/>
        <w:jc w:val="both"/>
        <w:rPr>
          <w:rFonts w:ascii="Arial" w:eastAsia="Calibri" w:hAnsi="Arial" w:cs="Arial"/>
          <w:sz w:val="24"/>
          <w:szCs w:val="24"/>
          <w:lang w:val="es-CO"/>
        </w:rPr>
      </w:pPr>
    </w:p>
    <w:p w:rsidR="00704C86" w:rsidRPr="00414BF5" w:rsidRDefault="00704C86" w:rsidP="001D163D">
      <w:pPr>
        <w:pStyle w:val="Prrafodelista"/>
        <w:numPr>
          <w:ilvl w:val="0"/>
          <w:numId w:val="28"/>
        </w:numPr>
        <w:spacing w:after="0" w:line="240" w:lineRule="auto"/>
        <w:ind w:left="360"/>
        <w:jc w:val="both"/>
        <w:rPr>
          <w:rFonts w:ascii="Arial" w:eastAsia="Calibri" w:hAnsi="Arial" w:cs="Arial"/>
          <w:sz w:val="24"/>
          <w:szCs w:val="24"/>
          <w:lang w:val="es-ES_tradnl"/>
        </w:rPr>
      </w:pPr>
      <w:r w:rsidRPr="00414BF5">
        <w:rPr>
          <w:rFonts w:ascii="Arial" w:eastAsia="Calibri" w:hAnsi="Arial" w:cs="Arial"/>
          <w:sz w:val="24"/>
          <w:szCs w:val="24"/>
          <w:lang w:val="es-ES_tradnl"/>
        </w:rPr>
        <w:t>En caso de depósito necesario.</w:t>
      </w:r>
    </w:p>
    <w:p w:rsidR="00704C86" w:rsidRPr="00414BF5" w:rsidRDefault="00704C86" w:rsidP="001D163D">
      <w:pPr>
        <w:spacing w:after="0" w:line="240" w:lineRule="auto"/>
        <w:jc w:val="both"/>
        <w:rPr>
          <w:rFonts w:ascii="Arial" w:eastAsia="Calibri" w:hAnsi="Arial" w:cs="Arial"/>
          <w:sz w:val="24"/>
          <w:szCs w:val="24"/>
          <w:lang w:val="es-CO"/>
        </w:rPr>
      </w:pPr>
    </w:p>
    <w:p w:rsidR="00704C86" w:rsidRPr="00414BF5" w:rsidRDefault="00704C86" w:rsidP="001D163D">
      <w:pPr>
        <w:pStyle w:val="Prrafodelista"/>
        <w:numPr>
          <w:ilvl w:val="0"/>
          <w:numId w:val="28"/>
        </w:numPr>
        <w:spacing w:after="0" w:line="240" w:lineRule="auto"/>
        <w:ind w:left="360"/>
        <w:jc w:val="both"/>
        <w:rPr>
          <w:rFonts w:ascii="Arial" w:eastAsia="Calibri" w:hAnsi="Arial" w:cs="Arial"/>
          <w:sz w:val="24"/>
          <w:szCs w:val="24"/>
          <w:lang w:val="es-ES_tradnl"/>
        </w:rPr>
      </w:pPr>
      <w:r w:rsidRPr="00414BF5">
        <w:rPr>
          <w:rFonts w:ascii="Arial" w:eastAsia="Calibri" w:hAnsi="Arial" w:cs="Arial"/>
          <w:sz w:val="24"/>
          <w:szCs w:val="24"/>
          <w:lang w:val="es-ES_tradnl"/>
        </w:rPr>
        <w:t>Sobre bienes pertenecientes a empresas o instituciones en que el Estado tenga la totalidad o la mayor parte, o recibidos a cualquier título de este.</w:t>
      </w:r>
    </w:p>
    <w:p w:rsidR="00704C86" w:rsidRPr="00414BF5" w:rsidRDefault="00704C86" w:rsidP="001D163D">
      <w:pPr>
        <w:spacing w:after="0" w:line="240" w:lineRule="auto"/>
        <w:jc w:val="both"/>
        <w:rPr>
          <w:rFonts w:ascii="Arial" w:eastAsia="Calibri" w:hAnsi="Arial" w:cs="Arial"/>
          <w:sz w:val="24"/>
          <w:szCs w:val="24"/>
          <w:lang w:val="es-CO"/>
        </w:rPr>
      </w:pPr>
    </w:p>
    <w:p w:rsidR="00704C86" w:rsidRPr="00414BF5" w:rsidRDefault="00704C86" w:rsidP="001D163D">
      <w:pPr>
        <w:pStyle w:val="Prrafodelista"/>
        <w:numPr>
          <w:ilvl w:val="0"/>
          <w:numId w:val="28"/>
        </w:numPr>
        <w:spacing w:after="0" w:line="240" w:lineRule="auto"/>
        <w:ind w:left="360"/>
        <w:jc w:val="both"/>
        <w:rPr>
          <w:rFonts w:ascii="Arial" w:eastAsia="Calibri" w:hAnsi="Arial" w:cs="Arial"/>
          <w:sz w:val="24"/>
          <w:szCs w:val="24"/>
          <w:lang w:val="es-ES_tradnl"/>
        </w:rPr>
      </w:pPr>
      <w:r w:rsidRPr="00414BF5">
        <w:rPr>
          <w:rFonts w:ascii="Arial" w:eastAsia="Calibri" w:hAnsi="Arial" w:cs="Arial"/>
          <w:sz w:val="24"/>
          <w:szCs w:val="24"/>
          <w:lang w:val="es-ES_tradnl"/>
        </w:rPr>
        <w:lastRenderedPageBreak/>
        <w:t>Sobre bienes pertenecientes a asociaciones profesionales, cívicas, sindicales, comunitarias, juveniles, benéficas o de utilidad común no gubernamentales.</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7°. Modifíquese el artículo 265 de la Ley 599 de 2000, el cual quedará así:</w:t>
      </w:r>
    </w:p>
    <w:p w:rsidR="00704C86" w:rsidRPr="00414BF5" w:rsidRDefault="00704C86" w:rsidP="001D163D">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265. </w:t>
      </w:r>
      <w:r w:rsidRPr="00414BF5">
        <w:rPr>
          <w:rFonts w:ascii="Arial" w:eastAsia="Calibri" w:hAnsi="Arial" w:cs="Arial"/>
          <w:b/>
          <w:bCs/>
          <w:i/>
          <w:iCs/>
          <w:sz w:val="24"/>
          <w:szCs w:val="24"/>
          <w:lang w:val="es-ES_tradnl"/>
        </w:rPr>
        <w:t>Daño en bien ajeno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destruya, inutilice, haga desaparecer o de cualquier otro modo dañe bien ajeno, mueble o inmueble incurrirá en prisión de dieciséis (16) a ciento veinte (120) meses y multa de seis punto sesenta y seis (6.66) a cincuenta (50) salarios mínimos legales mensuales vigentes, si la conducta se cometiere:</w:t>
      </w:r>
    </w:p>
    <w:p w:rsidR="00704C86" w:rsidRPr="00414BF5" w:rsidRDefault="00704C86" w:rsidP="001D163D">
      <w:pPr>
        <w:spacing w:after="0" w:line="240" w:lineRule="auto"/>
        <w:jc w:val="both"/>
        <w:rPr>
          <w:rFonts w:ascii="Arial" w:eastAsia="Calibri" w:hAnsi="Arial" w:cs="Arial"/>
          <w:sz w:val="24"/>
          <w:szCs w:val="24"/>
          <w:lang w:val="es-CO"/>
        </w:rPr>
      </w:pPr>
    </w:p>
    <w:p w:rsidR="00704C86" w:rsidRPr="00414BF5" w:rsidRDefault="00704C86" w:rsidP="001D163D">
      <w:pPr>
        <w:pStyle w:val="Prrafodelista"/>
        <w:numPr>
          <w:ilvl w:val="0"/>
          <w:numId w:val="29"/>
        </w:numPr>
        <w:spacing w:after="0" w:line="240" w:lineRule="auto"/>
        <w:ind w:left="360"/>
        <w:jc w:val="both"/>
        <w:rPr>
          <w:rFonts w:ascii="Arial" w:eastAsia="Calibri" w:hAnsi="Arial" w:cs="Arial"/>
          <w:sz w:val="24"/>
          <w:szCs w:val="24"/>
          <w:lang w:val="es-ES_tradnl"/>
        </w:rPr>
      </w:pPr>
      <w:r w:rsidRPr="00414BF5">
        <w:rPr>
          <w:rFonts w:ascii="Arial" w:eastAsia="Calibri" w:hAnsi="Arial" w:cs="Arial"/>
          <w:sz w:val="24"/>
          <w:szCs w:val="24"/>
          <w:lang w:val="es-ES_tradnl"/>
        </w:rPr>
        <w:t>Produciendo infección o contagio en plantas o animales.</w:t>
      </w:r>
    </w:p>
    <w:p w:rsidR="00704C86" w:rsidRPr="00414BF5" w:rsidRDefault="00704C86" w:rsidP="001D163D">
      <w:pPr>
        <w:pStyle w:val="Prrafodelista"/>
        <w:spacing w:after="0" w:line="240" w:lineRule="auto"/>
        <w:ind w:left="360"/>
        <w:jc w:val="both"/>
        <w:rPr>
          <w:rFonts w:ascii="Arial" w:eastAsia="Calibri" w:hAnsi="Arial" w:cs="Arial"/>
          <w:sz w:val="24"/>
          <w:szCs w:val="24"/>
          <w:lang w:val="es-CO"/>
        </w:rPr>
      </w:pPr>
    </w:p>
    <w:p w:rsidR="00704C86" w:rsidRPr="00414BF5" w:rsidRDefault="00704C86" w:rsidP="001D163D">
      <w:pPr>
        <w:pStyle w:val="Prrafodelista"/>
        <w:numPr>
          <w:ilvl w:val="0"/>
          <w:numId w:val="29"/>
        </w:numPr>
        <w:spacing w:after="0" w:line="240" w:lineRule="auto"/>
        <w:ind w:left="360"/>
        <w:jc w:val="both"/>
        <w:rPr>
          <w:rFonts w:ascii="Arial" w:eastAsia="Calibri" w:hAnsi="Arial" w:cs="Arial"/>
          <w:sz w:val="24"/>
          <w:szCs w:val="24"/>
          <w:lang w:val="es-ES_tradnl"/>
        </w:rPr>
      </w:pPr>
      <w:r w:rsidRPr="00414BF5">
        <w:rPr>
          <w:rFonts w:ascii="Arial" w:eastAsia="Calibri" w:hAnsi="Arial" w:cs="Arial"/>
          <w:sz w:val="24"/>
          <w:szCs w:val="24"/>
          <w:lang w:val="es-ES_tradnl"/>
        </w:rPr>
        <w:t>Empleando sustancias venenosas o corrosivas.</w:t>
      </w:r>
    </w:p>
    <w:p w:rsidR="00704C86" w:rsidRPr="00414BF5" w:rsidRDefault="00704C86" w:rsidP="001D163D">
      <w:pPr>
        <w:spacing w:after="0" w:line="240" w:lineRule="auto"/>
        <w:jc w:val="both"/>
        <w:rPr>
          <w:rFonts w:ascii="Arial" w:eastAsia="Calibri" w:hAnsi="Arial" w:cs="Arial"/>
          <w:sz w:val="24"/>
          <w:szCs w:val="24"/>
          <w:lang w:val="es-CO"/>
        </w:rPr>
      </w:pPr>
    </w:p>
    <w:p w:rsidR="00704C86" w:rsidRPr="00414BF5" w:rsidRDefault="00704C86" w:rsidP="001D163D">
      <w:pPr>
        <w:pStyle w:val="Prrafodelista"/>
        <w:numPr>
          <w:ilvl w:val="0"/>
          <w:numId w:val="29"/>
        </w:numPr>
        <w:spacing w:after="0" w:line="240" w:lineRule="auto"/>
        <w:ind w:left="360"/>
        <w:jc w:val="both"/>
        <w:rPr>
          <w:rFonts w:ascii="Arial" w:eastAsia="Calibri" w:hAnsi="Arial" w:cs="Arial"/>
          <w:sz w:val="24"/>
          <w:szCs w:val="24"/>
          <w:lang w:val="es-ES_tradnl"/>
        </w:rPr>
      </w:pPr>
      <w:r w:rsidRPr="00414BF5">
        <w:rPr>
          <w:rFonts w:ascii="Arial" w:eastAsia="Calibri" w:hAnsi="Arial" w:cs="Arial"/>
          <w:sz w:val="24"/>
          <w:szCs w:val="24"/>
          <w:lang w:val="es-ES_tradnl"/>
        </w:rPr>
        <w:t>En despoblado o lugar solitario.</w:t>
      </w:r>
    </w:p>
    <w:p w:rsidR="00704C86" w:rsidRPr="00414BF5" w:rsidRDefault="00704C86" w:rsidP="001D163D">
      <w:pPr>
        <w:spacing w:after="0" w:line="240" w:lineRule="auto"/>
        <w:jc w:val="both"/>
        <w:rPr>
          <w:rFonts w:ascii="Arial" w:eastAsia="Calibri" w:hAnsi="Arial" w:cs="Arial"/>
          <w:sz w:val="24"/>
          <w:szCs w:val="24"/>
          <w:lang w:val="es-CO"/>
        </w:rPr>
      </w:pPr>
    </w:p>
    <w:p w:rsidR="00704C86" w:rsidRPr="00414BF5" w:rsidRDefault="00704C86" w:rsidP="001D163D">
      <w:pPr>
        <w:pStyle w:val="Prrafodelista"/>
        <w:numPr>
          <w:ilvl w:val="0"/>
          <w:numId w:val="29"/>
        </w:numPr>
        <w:spacing w:after="0" w:line="240" w:lineRule="auto"/>
        <w:ind w:left="360"/>
        <w:jc w:val="both"/>
        <w:rPr>
          <w:rFonts w:ascii="Arial" w:eastAsia="Calibri" w:hAnsi="Arial" w:cs="Arial"/>
          <w:sz w:val="24"/>
          <w:szCs w:val="24"/>
          <w:lang w:val="es-ES_tradnl"/>
        </w:rPr>
      </w:pPr>
      <w:r w:rsidRPr="00414BF5">
        <w:rPr>
          <w:rFonts w:ascii="Arial" w:eastAsia="Calibri" w:hAnsi="Arial" w:cs="Arial"/>
          <w:sz w:val="24"/>
          <w:szCs w:val="24"/>
          <w:lang w:val="es-ES_tradnl"/>
        </w:rPr>
        <w:t>Sobre objetos de interés científico, histórico, asistencial, educativo, cultural, artístico, sobre bien de uso público, de utilidad social, o sobre bienes que conforman el patrimonio cultural de la Nación.</w:t>
      </w:r>
    </w:p>
    <w:p w:rsidR="00704C86" w:rsidRPr="00414BF5" w:rsidRDefault="00704C86" w:rsidP="001D163D">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pena será de dieciséis (16) a treinta y seis (36) meses de prisión y multa hasta de quince (15) salarios mínimos legales mensuales vigentes, cuando el monto del daño no exceda de diez (10) salarios mínimos legales mensuales vigentes.</w:t>
      </w:r>
    </w:p>
    <w:p w:rsidR="00704C86" w:rsidRPr="00414BF5" w:rsidRDefault="00704C86" w:rsidP="001D163D">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se resarciere el daño ocasionado al ofendido o perjudicado antes de proferirse sentencia de primera o única instancia, habrá lugar al proferimiento de resolución inhibitoria, preclusión de la investigación o cesación de procedimiento.</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8°. Modifíquese el artículo 348 de la Ley 599 de 2000, el cual quedará así:</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348. </w:t>
      </w:r>
      <w:r w:rsidRPr="00414BF5">
        <w:rPr>
          <w:rFonts w:ascii="Arial" w:eastAsia="Calibri" w:hAnsi="Arial" w:cs="Arial"/>
          <w:b/>
          <w:bCs/>
          <w:i/>
          <w:iCs/>
          <w:sz w:val="24"/>
          <w:szCs w:val="24"/>
          <w:lang w:val="es-ES_tradnl"/>
        </w:rPr>
        <w:t>Instigación a delinquir.</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El que pública y directamente incite a otro u otros a la comisión de delitos de genocidio, desaparición forzada de personas, secuestro extorsivo, tortura, traslado forzoso de población u homicidio o con fines terroristas, incurrirá en prisión de ochenta (80) a ciento ochenta (180) meses de prisión y multa de seiscientos sesenta y seis punto sesenta y seis (666.66) a mil quinientos (1.500) salarios mínimos mensuales legales vigentes.</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9°. Elimínese el inciso final del artículo 359 de la Ley 599 de 2000, modificado por la Ley 1453 de 2011, el artículo quedará así:</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359.</w:t>
      </w:r>
      <w:r w:rsidRPr="00414BF5">
        <w:rPr>
          <w:rFonts w:ascii="Arial" w:eastAsia="Calibri" w:hAnsi="Arial" w:cs="Arial"/>
          <w:b/>
          <w:bCs/>
          <w:i/>
          <w:iCs/>
          <w:sz w:val="24"/>
          <w:szCs w:val="24"/>
          <w:lang w:val="es-ES_tradnl"/>
        </w:rPr>
        <w:t> Empleo o lanzamiento de sustancias u objetos peligrosos.</w:t>
      </w:r>
      <w:r w:rsidRPr="00414BF5">
        <w:rPr>
          <w:rFonts w:ascii="Arial" w:eastAsia="Calibri" w:hAnsi="Arial" w:cs="Arial"/>
          <w:sz w:val="24"/>
          <w:szCs w:val="24"/>
          <w:lang w:val="es-ES_tradnl"/>
        </w:rPr>
        <w:t xml:space="preserve"> El que emplee, envíe, remita o lance contra persona, edificio o medio de locomoción, o en lugar </w:t>
      </w:r>
      <w:r w:rsidRPr="00414BF5">
        <w:rPr>
          <w:rFonts w:ascii="Arial" w:eastAsia="Calibri" w:hAnsi="Arial" w:cs="Arial"/>
          <w:sz w:val="24"/>
          <w:szCs w:val="24"/>
          <w:lang w:val="es-ES_tradnl"/>
        </w:rPr>
        <w:lastRenderedPageBreak/>
        <w:t>público o abierto al público, sustancia u objeto de los mencionados en el artículo precedente, incurrirá en prisión de dieciséis (16) a noventa (90) meses, siempre que la conducta no constituya otro delito.</w:t>
      </w:r>
    </w:p>
    <w:p w:rsidR="00704C86" w:rsidRPr="00414BF5" w:rsidRDefault="00704C86" w:rsidP="001D163D">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la conducta se comete al interior de un escenario deportivo o cultural, además se incurrirá en multa de cinco (5) a diez (10) salarios mínimos legales mensuales vigentes y en prohibición de acudir al escenario cultural o deportivo por un periodo entre seis (6) meses, y tres (3) años.</w:t>
      </w:r>
    </w:p>
    <w:p w:rsidR="00704C86" w:rsidRPr="00414BF5" w:rsidRDefault="00704C86" w:rsidP="001D163D">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pena será de ochenta (80) a ciento ochenta (180) meses de prisión y multa de ciento treinta y cuatro (134) a setecientos cincuenta (750) salarios mínimos legales mensuales vigentes, cuando la conducta se realice con fines terroristas o en contra de miembros de la fuerza pública.</w:t>
      </w:r>
    </w:p>
    <w:p w:rsidR="00704C86" w:rsidRPr="00414BF5" w:rsidRDefault="00704C86" w:rsidP="001D163D">
      <w:pPr>
        <w:spacing w:after="0" w:line="240" w:lineRule="auto"/>
        <w:jc w:val="both"/>
        <w:rPr>
          <w:rFonts w:ascii="Arial" w:eastAsia="Calibri" w:hAnsi="Arial" w:cs="Arial"/>
          <w:sz w:val="24"/>
          <w:szCs w:val="24"/>
          <w:lang w:val="es-CO"/>
        </w:rPr>
      </w:pPr>
    </w:p>
    <w:p w:rsidR="00704C86" w:rsidRPr="00414BF5" w:rsidRDefault="00704C86" w:rsidP="001D163D">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pena se aumentará de una tercera parte a la mitad cuando el objeto lanzado corresponda a artefactos explosivos, elementos incendiarios, o sustancias químicas que pongan en riesgo la vida, la integridad personal o los bienes.</w:t>
      </w:r>
    </w:p>
    <w:p w:rsidR="00704C86" w:rsidRPr="00414BF5" w:rsidRDefault="00704C86" w:rsidP="00704C86">
      <w:pPr>
        <w:spacing w:after="0" w:line="240" w:lineRule="auto"/>
        <w:ind w:left="708"/>
        <w:jc w:val="both"/>
        <w:rPr>
          <w:rFonts w:ascii="Arial" w:eastAsia="Calibri" w:hAnsi="Arial" w:cs="Arial"/>
          <w:sz w:val="24"/>
          <w:szCs w:val="24"/>
          <w:lang w:val="es-ES_tradnl"/>
        </w:rPr>
      </w:pPr>
    </w:p>
    <w:p w:rsidR="00704C86" w:rsidRPr="00414BF5" w:rsidRDefault="00704C86" w:rsidP="00704C86">
      <w:pPr>
        <w:spacing w:after="0" w:line="240" w:lineRule="auto"/>
        <w:ind w:left="708"/>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10. Modifíquese el artículo 417 de la Ley 599 de 2000, el cual quedará así:</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417. </w:t>
      </w:r>
      <w:r w:rsidRPr="00414BF5">
        <w:rPr>
          <w:rFonts w:ascii="Arial" w:eastAsia="Calibri" w:hAnsi="Arial" w:cs="Arial"/>
          <w:b/>
          <w:bCs/>
          <w:i/>
          <w:iCs/>
          <w:sz w:val="24"/>
          <w:szCs w:val="24"/>
          <w:lang w:val="es-ES_tradnl"/>
        </w:rPr>
        <w:t>Abuso de autoridad por omisión de denuncia.</w:t>
      </w:r>
      <w:r w:rsidRPr="00414BF5">
        <w:rPr>
          <w:rFonts w:ascii="Arial" w:eastAsia="Calibri" w:hAnsi="Arial" w:cs="Arial"/>
          <w:b/>
          <w:bCs/>
          <w:sz w:val="24"/>
          <w:szCs w:val="24"/>
          <w:lang w:val="es-ES_tradnl"/>
        </w:rPr>
        <w:t> </w:t>
      </w:r>
      <w:r w:rsidRPr="00414BF5">
        <w:rPr>
          <w:rFonts w:ascii="Arial" w:eastAsia="Calibri" w:hAnsi="Arial" w:cs="Arial"/>
          <w:sz w:val="24"/>
          <w:szCs w:val="24"/>
          <w:lang w:val="es-ES_tradnl"/>
        </w:rPr>
        <w:t>El servidor público que teniendo conocimiento de la comisión de una de las conductas punibles contempladas en el delito de omisión de denuncia de particular, no dé cuenta a la autoridad, incurrirá en denuncia de particular, no dé cuenta la autoridad, incurrirá en prisión de treinta y dos (32) a setenta y dos (72) meses.</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11. Modifíquese el artículo 418 de la Ley 599 de 2000, el cual quedará así:</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418. </w:t>
      </w:r>
      <w:r w:rsidRPr="00414BF5">
        <w:rPr>
          <w:rFonts w:ascii="Arial" w:eastAsia="Calibri" w:hAnsi="Arial" w:cs="Arial"/>
          <w:b/>
          <w:bCs/>
          <w:i/>
          <w:iCs/>
          <w:sz w:val="24"/>
          <w:szCs w:val="24"/>
          <w:lang w:val="es-ES_tradnl"/>
        </w:rPr>
        <w:t>Revelación de Secreto</w:t>
      </w:r>
      <w:r w:rsidRPr="00414BF5">
        <w:rPr>
          <w:rFonts w:ascii="Arial" w:eastAsia="Calibri" w:hAnsi="Arial" w:cs="Arial"/>
          <w:b/>
          <w:bCs/>
          <w:sz w:val="24"/>
          <w:szCs w:val="24"/>
          <w:lang w:val="es-ES_tradnl"/>
        </w:rPr>
        <w:t>. </w:t>
      </w:r>
      <w:r w:rsidRPr="00414BF5">
        <w:rPr>
          <w:rFonts w:ascii="Arial" w:eastAsia="Calibri" w:hAnsi="Arial" w:cs="Arial"/>
          <w:sz w:val="24"/>
          <w:szCs w:val="24"/>
          <w:lang w:val="es-ES_tradnl"/>
        </w:rPr>
        <w:t>El servidor público que indebidamente dé a conocer documento o noticia que deba mantener en secreto o reserva, incurrirá en prisión de dieciséis (16) a cincuenta y cuatro (54) meses, multa de veinte (20) a noventa (90) salarios mínimos legales mensuales vigentes e inhabilitación para el ejercicio de derechos y funciones públicas por sesenta (60) meses, si de la conducta resultare perjuicio.</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12.</w:t>
      </w:r>
      <w:r w:rsidRPr="00414BF5">
        <w:rPr>
          <w:rFonts w:ascii="Arial" w:eastAsia="Calibri" w:hAnsi="Arial" w:cs="Arial"/>
          <w:b/>
          <w:bCs/>
          <w:sz w:val="24"/>
          <w:szCs w:val="24"/>
          <w:lang w:val="es-ES_tradnl"/>
        </w:rPr>
        <w:t> </w:t>
      </w:r>
      <w:r w:rsidRPr="00414BF5">
        <w:rPr>
          <w:rFonts w:ascii="Arial" w:eastAsia="Calibri" w:hAnsi="Arial" w:cs="Arial"/>
          <w:sz w:val="24"/>
          <w:szCs w:val="24"/>
          <w:lang w:val="es-ES_tradnl"/>
        </w:rPr>
        <w:t>Modifíquese el artículo 421 de la Ley 599 de 2000, el cual quedará así:</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421. </w:t>
      </w:r>
      <w:r w:rsidRPr="00414BF5">
        <w:rPr>
          <w:rFonts w:ascii="Arial" w:eastAsia="Calibri" w:hAnsi="Arial" w:cs="Arial"/>
          <w:b/>
          <w:bCs/>
          <w:i/>
          <w:iCs/>
          <w:sz w:val="24"/>
          <w:szCs w:val="24"/>
          <w:lang w:val="es-ES_tradnl"/>
        </w:rPr>
        <w:t>Asesoramiento y otras actuaciones ilegales.</w:t>
      </w:r>
      <w:r w:rsidRPr="00414BF5">
        <w:rPr>
          <w:rFonts w:ascii="Arial" w:eastAsia="Calibri" w:hAnsi="Arial" w:cs="Arial"/>
          <w:b/>
          <w:bCs/>
          <w:sz w:val="24"/>
          <w:szCs w:val="24"/>
          <w:lang w:val="es-ES_tradnl"/>
        </w:rPr>
        <w:t> </w:t>
      </w:r>
      <w:r w:rsidRPr="00414BF5">
        <w:rPr>
          <w:rFonts w:ascii="Arial" w:eastAsia="Calibri" w:hAnsi="Arial" w:cs="Arial"/>
          <w:sz w:val="24"/>
          <w:szCs w:val="24"/>
          <w:lang w:val="es-ES_tradnl"/>
        </w:rPr>
        <w:t>El servidor de la Rama Judicial o del Ministerio Público que ilegalmente represente, litigue, gestione o asesore en asunto judicial, administrativo o policivo, incurrirá en prisión de dieciséis (16) a cincuenta y cuatro (54) meses e inhabilitación para el ejercicio de derechos y funciones públicas por sesenta (60) meses.</w:t>
      </w:r>
    </w:p>
    <w:p w:rsidR="00704C86" w:rsidRPr="00414BF5" w:rsidRDefault="00704C86" w:rsidP="00704C86">
      <w:pPr>
        <w:spacing w:after="0" w:line="240" w:lineRule="auto"/>
        <w:jc w:val="both"/>
        <w:rPr>
          <w:rFonts w:ascii="Arial" w:eastAsia="Calibri" w:hAnsi="Arial" w:cs="Arial"/>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13. Modifíquese el artículo 446 de la Ley 599 de 2000, el cual quedará así:</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446. </w:t>
      </w:r>
      <w:r w:rsidRPr="00414BF5">
        <w:rPr>
          <w:rFonts w:ascii="Arial" w:eastAsia="Calibri" w:hAnsi="Arial" w:cs="Arial"/>
          <w:b/>
          <w:bCs/>
          <w:i/>
          <w:iCs/>
          <w:sz w:val="24"/>
          <w:szCs w:val="24"/>
          <w:lang w:val="es-ES_tradnl"/>
        </w:rPr>
        <w:t>Favorecimiento</w:t>
      </w:r>
      <w:r w:rsidRPr="00414BF5">
        <w:rPr>
          <w:rFonts w:ascii="Arial" w:eastAsia="Calibri" w:hAnsi="Arial" w:cs="Arial"/>
          <w:b/>
          <w:bCs/>
          <w:sz w:val="24"/>
          <w:szCs w:val="24"/>
          <w:lang w:val="es-ES_tradnl"/>
        </w:rPr>
        <w:t>.</w:t>
      </w:r>
      <w:r w:rsidRPr="00414BF5">
        <w:rPr>
          <w:rFonts w:ascii="Arial" w:eastAsia="Calibri" w:hAnsi="Arial" w:cs="Arial"/>
          <w:sz w:val="24"/>
          <w:szCs w:val="24"/>
          <w:lang w:val="es-ES_tradnl"/>
        </w:rPr>
        <w:t> El que tenga conocimiento de la comisión de la conducta punible, y sin concierto previo, ayudare a eludir la acción de la autoridad o a entorpecer la investigación correspondiente, incurrirá en prisión de dieciséis (16) a setenta y dos (72) meses.</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la conducta se realiza respecto de los delitos de genocidio, desaparición forzada, tortura, desplazamiento forzado, homicidio, extorsión, enriquecimiento ilícito, secuestro extorsivo, tráfico de drogas, estupefacientes o sustancias psicotrópicas, la pena será de sesenta y cuatro (64) a doscientos dieciséis (216) meses de prisión.</w:t>
      </w:r>
    </w:p>
    <w:p w:rsidR="00704C86" w:rsidRPr="00414BF5" w:rsidRDefault="00704C86" w:rsidP="00704C86">
      <w:pPr>
        <w:spacing w:after="0" w:line="240" w:lineRule="auto"/>
        <w:jc w:val="both"/>
        <w:rPr>
          <w:rFonts w:ascii="Arial" w:eastAsia="Calibri" w:hAnsi="Arial" w:cs="Arial"/>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14. Modifíquese el artículo 450 de la Ley 599 de 2000, el cual quedará así:</w:t>
      </w: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450. </w:t>
      </w:r>
      <w:r w:rsidRPr="00414BF5">
        <w:rPr>
          <w:rFonts w:ascii="Arial" w:eastAsia="Calibri" w:hAnsi="Arial" w:cs="Arial"/>
          <w:b/>
          <w:bCs/>
          <w:i/>
          <w:iCs/>
          <w:sz w:val="24"/>
          <w:szCs w:val="24"/>
          <w:lang w:val="es-ES_tradnl"/>
        </w:rPr>
        <w:t>Modalidad culposa</w:t>
      </w:r>
      <w:r w:rsidRPr="00414BF5">
        <w:rPr>
          <w:rFonts w:ascii="Arial" w:eastAsia="Calibri" w:hAnsi="Arial" w:cs="Arial"/>
          <w:sz w:val="24"/>
          <w:szCs w:val="24"/>
          <w:lang w:val="es-ES_tradnl"/>
        </w:rPr>
        <w:t>. El servidor público encargado de la vigilancia, custodia o conducción de un detenido o condenado por los delitos de genocidio, homicidio, desplazamiento forzado, tortura, desaparición forzada, secuestro, secuestro Extorsivo, extorsión, terrorismo, concierto para delinquir, narcotráfico, enriquecimiento ilícito, lavado de activos, o cualquiera de las conductas contempladas en el Título II de este Libro, que por culpa dé lugar a su fuga, incurrirá en prisión de treinta y dos (32) a setenta y dos (72) meses.</w:t>
      </w:r>
    </w:p>
    <w:p w:rsidR="00704C86" w:rsidRPr="00414BF5" w:rsidRDefault="00704C86" w:rsidP="00704C86">
      <w:pPr>
        <w:spacing w:after="0" w:line="240" w:lineRule="auto"/>
        <w:jc w:val="both"/>
        <w:rPr>
          <w:rFonts w:ascii="Arial" w:eastAsia="Calibri" w:hAnsi="Arial" w:cs="Arial"/>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15. La Ley 599 de 2000 tendrá un nuevo Libro Tercero, con el siguiente nombre:</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224F3A">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LIBRO TERCERO</w:t>
      </w:r>
    </w:p>
    <w:p w:rsidR="00704C86" w:rsidRPr="00414BF5" w:rsidRDefault="00704C86" w:rsidP="00224F3A">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PARTE ESPECIAL</w:t>
      </w:r>
    </w:p>
    <w:p w:rsidR="00704C86" w:rsidRPr="00414BF5" w:rsidRDefault="00704C86" w:rsidP="00224F3A">
      <w:pPr>
        <w:spacing w:after="0" w:line="240" w:lineRule="auto"/>
        <w:jc w:val="center"/>
        <w:rPr>
          <w:rFonts w:ascii="Arial" w:eastAsia="Calibri" w:hAnsi="Arial" w:cs="Arial"/>
          <w:b/>
          <w:bCs/>
          <w:sz w:val="24"/>
          <w:szCs w:val="24"/>
          <w:lang w:val="es-ES_tradnl"/>
        </w:rPr>
      </w:pPr>
      <w:r w:rsidRPr="00414BF5">
        <w:rPr>
          <w:rFonts w:ascii="Arial" w:eastAsia="Calibri" w:hAnsi="Arial" w:cs="Arial"/>
          <w:b/>
          <w:bCs/>
          <w:sz w:val="24"/>
          <w:szCs w:val="24"/>
          <w:lang w:val="es-ES_tradnl"/>
        </w:rPr>
        <w:t>De la</w:t>
      </w:r>
      <w:r w:rsidR="00224F3A" w:rsidRPr="00414BF5">
        <w:rPr>
          <w:rFonts w:ascii="Arial" w:eastAsia="Calibri" w:hAnsi="Arial" w:cs="Arial"/>
          <w:b/>
          <w:bCs/>
          <w:sz w:val="24"/>
          <w:szCs w:val="24"/>
          <w:lang w:val="es-ES_tradnl"/>
        </w:rPr>
        <w:t>s contravenciones en particular</w:t>
      </w:r>
    </w:p>
    <w:p w:rsidR="00224F3A" w:rsidRPr="00414BF5" w:rsidRDefault="00224F3A" w:rsidP="00704C86">
      <w:pPr>
        <w:spacing w:after="0" w:line="240" w:lineRule="auto"/>
        <w:jc w:val="both"/>
        <w:rPr>
          <w:rFonts w:ascii="Arial" w:eastAsia="Calibri" w:hAnsi="Arial" w:cs="Arial"/>
          <w:b/>
          <w:bCs/>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16. La Ley 599 de 2000 tendrá un nuevo Título I dentro de su Libro Tercero, con el siguiente nombre:</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224F3A">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I</w:t>
      </w:r>
    </w:p>
    <w:p w:rsidR="00704C86" w:rsidRPr="00414BF5" w:rsidRDefault="00704C86" w:rsidP="00224F3A">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CONTRAVENCIONES CONTR</w:t>
      </w:r>
      <w:r w:rsidR="00224F3A" w:rsidRPr="00414BF5">
        <w:rPr>
          <w:rFonts w:ascii="Arial" w:eastAsia="Calibri" w:hAnsi="Arial" w:cs="Arial"/>
          <w:sz w:val="24"/>
          <w:szCs w:val="24"/>
          <w:lang w:val="es-ES_tradnl"/>
        </w:rPr>
        <w:t>A LA VIDA E INTEGRIDAD PERSONAL</w:t>
      </w:r>
    </w:p>
    <w:p w:rsidR="00224F3A" w:rsidRPr="00414BF5" w:rsidRDefault="00224F3A" w:rsidP="00704C86">
      <w:pPr>
        <w:spacing w:after="0" w:line="240" w:lineRule="auto"/>
        <w:jc w:val="both"/>
        <w:rPr>
          <w:rFonts w:ascii="Arial" w:eastAsia="Calibri" w:hAnsi="Arial" w:cs="Arial"/>
          <w:sz w:val="24"/>
          <w:szCs w:val="24"/>
          <w:lang w:val="es-CO"/>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17. La Ley 599 de 2000 tendrá un nuevo artículo 477,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477. </w:t>
      </w:r>
      <w:r w:rsidRPr="00414BF5">
        <w:rPr>
          <w:rFonts w:ascii="Arial" w:eastAsia="Calibri" w:hAnsi="Arial" w:cs="Arial"/>
          <w:b/>
          <w:bCs/>
          <w:i/>
          <w:iCs/>
          <w:sz w:val="24"/>
          <w:szCs w:val="24"/>
          <w:lang w:val="es-ES_tradnl"/>
        </w:rPr>
        <w:t>Inducción o ayuda al suicidio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eficazmente induzca a otro al suicidio, o le preste una ayuda efectiva para su realización, incurrirá en prisión de treinta y dos (32) a ciento ocho (108) meses.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la inducción o ayuda esté dirigida a poner fin a intensos sufrimientos provenientes de lesión corporal o enfermedad grave e incurable, se incurrirá en prisión de dieciséis (</w:t>
      </w:r>
      <w:r w:rsidR="00224F3A" w:rsidRPr="00414BF5">
        <w:rPr>
          <w:rFonts w:ascii="Arial" w:eastAsia="Calibri" w:hAnsi="Arial" w:cs="Arial"/>
          <w:sz w:val="24"/>
          <w:szCs w:val="24"/>
          <w:lang w:val="es-ES_tradnl"/>
        </w:rPr>
        <w:t>16) a treinta y seis (36) meses</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18. La Ley 599 de 2000 tendrá un nuevo artículo 448,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448. </w:t>
      </w:r>
      <w:r w:rsidRPr="00414BF5">
        <w:rPr>
          <w:rFonts w:ascii="Arial" w:eastAsia="Calibri" w:hAnsi="Arial" w:cs="Arial"/>
          <w:b/>
          <w:bCs/>
          <w:i/>
          <w:iCs/>
          <w:sz w:val="24"/>
          <w:szCs w:val="24"/>
          <w:lang w:val="es-ES_tradnl"/>
        </w:rPr>
        <w:t>Lesiones personales contravencionales</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El que cause a otro daño en el cuerpo o en la salud que produjere incapacidad para trabajar o enfermedad que no pase de treinta (30) días, incurrirá en prisión de dieciséis (16) a treinta y seis (36) meses.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el daño consistiere en incapacidad para trabajar o enfermedad superior a treinta (30) días sin exceder de noventa (90), la pena será de dieciséis (16) a cincuenta y cuatro (54) meses de prisión y multa de seis punto sesenta y seis (6.66) a quince (15) salarios mínimos legales mensuales vigentes.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el daño consistiere en deformidad física transitoria, la pena será de prisión de dieciséis (16) a ciento ocho (108) meses y multa de veinte (20) a treinta y siete punto cinco (37.5) salarios mínimos legales mensuales vigentes. Si la deformidad afectare el rostro, la pena se aumentará desde una tercera parte hasta la mitad.</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el daño consistiere en perturbación funcional transitoria de un órgano o miembro, la pena será de prisión de treinta y dos (32) a ciento veintiséis (126) meses y multa de veinte (20) a treinta y siete punto cinco (37.5) salarios mínimos legales mensuales vigentes.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como consecuencia de la conducta se produjeren varios de los resultados previstos en los incisos anteriores, solo se aplicará la pena corre</w:t>
      </w:r>
      <w:r w:rsidR="00224F3A" w:rsidRPr="00414BF5">
        <w:rPr>
          <w:rFonts w:ascii="Arial" w:eastAsia="Calibri" w:hAnsi="Arial" w:cs="Arial"/>
          <w:sz w:val="24"/>
          <w:szCs w:val="24"/>
          <w:lang w:val="es-ES_tradnl"/>
        </w:rPr>
        <w:t>spondiente al de mayor gravedad</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19. La Ley 599 de 2000 tendrá un nuevo artículo 449,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449. Parto o aborto preterintencional.</w:t>
      </w:r>
      <w:r w:rsidRPr="00414BF5">
        <w:rPr>
          <w:rFonts w:ascii="Arial" w:eastAsia="Calibri" w:hAnsi="Arial" w:cs="Arial"/>
          <w:sz w:val="24"/>
          <w:szCs w:val="24"/>
          <w:lang w:val="es-ES_tradnl"/>
        </w:rPr>
        <w:t xml:space="preserve"> El que cause a una mujer una lesión como consecuencia de la cual le sobreviniere parto prematuro que tenga consecuencias nocivas para la salud de la agredida o de la criatura, o le sobreviniere el aborto, incurrirá en las penas señaladas para cada clase de lesión en los artículos 112, 113, 114, 115, 116 y 448 de este código, aumentadas </w:t>
      </w:r>
      <w:r w:rsidR="00224F3A" w:rsidRPr="00414BF5">
        <w:rPr>
          <w:rFonts w:ascii="Arial" w:eastAsia="Calibri" w:hAnsi="Arial" w:cs="Arial"/>
          <w:sz w:val="24"/>
          <w:szCs w:val="24"/>
          <w:lang w:val="es-ES_tradnl"/>
        </w:rPr>
        <w:t>de una tercera parte a la mitad</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20. La Ley 599 de 2000 tendrá un nuevo artículo 550,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550. </w:t>
      </w:r>
      <w:r w:rsidRPr="00414BF5">
        <w:rPr>
          <w:rFonts w:ascii="Arial" w:eastAsia="Calibri" w:hAnsi="Arial" w:cs="Arial"/>
          <w:b/>
          <w:bCs/>
          <w:i/>
          <w:iCs/>
          <w:sz w:val="24"/>
          <w:szCs w:val="24"/>
          <w:lang w:val="es-ES_tradnl"/>
        </w:rPr>
        <w:t>Circunstancias de agravación punitiva</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Cuando con las conductas descritas en los artículos anteriores, concurra alguna de las circunstancias señaladas en el artículo 104 de este código las respectivas penas se aumentarán de una tercera parte a la mitad.</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 xml:space="preserve">Cuando las conductas señaladas en los artículos anteriores se cometan en niños o niñas menores de catorce (14) años o en mujer por el hecho de ser mujer, las respectivas </w:t>
      </w:r>
      <w:r w:rsidR="00224F3A" w:rsidRPr="00414BF5">
        <w:rPr>
          <w:rFonts w:ascii="Arial" w:eastAsia="Calibri" w:hAnsi="Arial" w:cs="Arial"/>
          <w:sz w:val="24"/>
          <w:szCs w:val="24"/>
          <w:lang w:val="es-ES_tradnl"/>
        </w:rPr>
        <w:t>penas se aumentarán en el doble</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21. La Ley 599 de 2000 tendrá un nuevo artículo 551,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551. </w:t>
      </w:r>
      <w:r w:rsidRPr="00414BF5">
        <w:rPr>
          <w:rFonts w:ascii="Arial" w:eastAsia="Calibri" w:hAnsi="Arial" w:cs="Arial"/>
          <w:b/>
          <w:bCs/>
          <w:i/>
          <w:iCs/>
          <w:sz w:val="24"/>
          <w:szCs w:val="24"/>
          <w:lang w:val="es-ES_tradnl"/>
        </w:rPr>
        <w:t>Lesiones contravencionales culposas</w:t>
      </w:r>
      <w:r w:rsidRPr="00414BF5">
        <w:rPr>
          <w:rFonts w:ascii="Arial" w:eastAsia="Calibri" w:hAnsi="Arial" w:cs="Arial"/>
          <w:sz w:val="24"/>
          <w:szCs w:val="24"/>
          <w:lang w:val="es-ES_tradnl"/>
        </w:rPr>
        <w:t>. El que por culpa cause a otro alguna de las lesiones a que se refiere el Capítulo Tercero del Título I del Libro Segundo o el artículo 448 de este código, incurrirá en la respectiva pena disminuida de las cuatro quintas a las tres cuartas partes.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la conducta culposa sea cometida utilizando medios motorizados o arma de fuego se impondrá igualmente la pena de privación del derecho de conducir vehículos automotores y motocicletas y de privación del derecho a la tenencia y porte de arma, respectivamente, de dieciséis (16) a cincuenta y cuatro (54) meses.</w:t>
      </w:r>
    </w:p>
    <w:p w:rsidR="00224F3A" w:rsidRPr="00414BF5" w:rsidRDefault="00224F3A" w:rsidP="00704C86">
      <w:pPr>
        <w:spacing w:after="0" w:line="240" w:lineRule="auto"/>
        <w:jc w:val="both"/>
        <w:rPr>
          <w:rFonts w:ascii="Arial" w:eastAsia="Calibri" w:hAnsi="Arial" w:cs="Arial"/>
          <w:sz w:val="24"/>
          <w:szCs w:val="24"/>
          <w:lang w:val="es-CO"/>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22. La Ley 599 de 2000 tendrá un nuevo artículo 552,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552. </w:t>
      </w:r>
      <w:r w:rsidRPr="00414BF5">
        <w:rPr>
          <w:rFonts w:ascii="Arial" w:eastAsia="Calibri" w:hAnsi="Arial" w:cs="Arial"/>
          <w:b/>
          <w:bCs/>
          <w:i/>
          <w:iCs/>
          <w:sz w:val="24"/>
          <w:szCs w:val="24"/>
          <w:lang w:val="es-ES_tradnl"/>
        </w:rPr>
        <w:t>Circunstancias de agravación punitiva por lesiones contravencionales culposas</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Las circunstancias de agravación previstas en el artículo 110, lo serán también de las lesiones contravencionales culposas y las penas previstas para estas conductas se aumentarán en la prop</w:t>
      </w:r>
      <w:r w:rsidR="00224F3A" w:rsidRPr="00414BF5">
        <w:rPr>
          <w:rFonts w:ascii="Arial" w:eastAsia="Calibri" w:hAnsi="Arial" w:cs="Arial"/>
          <w:sz w:val="24"/>
          <w:szCs w:val="24"/>
          <w:lang w:val="es-ES_tradnl"/>
        </w:rPr>
        <w:t>orción indicada en ese artículo</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23. La Ley 599 de 2000 tendrá un nuevo artículo 553,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553. </w:t>
      </w:r>
      <w:r w:rsidRPr="00414BF5">
        <w:rPr>
          <w:rFonts w:ascii="Arial" w:eastAsia="Calibri" w:hAnsi="Arial" w:cs="Arial"/>
          <w:b/>
          <w:bCs/>
          <w:i/>
          <w:iCs/>
          <w:sz w:val="24"/>
          <w:szCs w:val="24"/>
          <w:lang w:val="es-ES_tradnl"/>
        </w:rPr>
        <w:t>Omisión de socorro</w:t>
      </w:r>
      <w:r w:rsidRPr="00414BF5">
        <w:rPr>
          <w:rFonts w:ascii="Arial" w:eastAsia="Calibri" w:hAnsi="Arial" w:cs="Arial"/>
          <w:sz w:val="24"/>
          <w:szCs w:val="24"/>
          <w:lang w:val="es-ES_tradnl"/>
        </w:rPr>
        <w:t xml:space="preserve">. El que omitiere, sin justa causa, auxiliar a una persona cuya vida o salud se encontrare en grave peligro, incurrirá en prisión de treinta y dos </w:t>
      </w:r>
      <w:r w:rsidR="00224F3A" w:rsidRPr="00414BF5">
        <w:rPr>
          <w:rFonts w:ascii="Arial" w:eastAsia="Calibri" w:hAnsi="Arial" w:cs="Arial"/>
          <w:sz w:val="24"/>
          <w:szCs w:val="24"/>
          <w:lang w:val="es-ES_tradnl"/>
        </w:rPr>
        <w:t>(32) a setenta y dos (72) meses</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24. La Ley 599 de 2000 tendrá un nuevo Título II dentro de su Libro Tercero, con el siguiente nombre:</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224F3A">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II</w:t>
      </w:r>
    </w:p>
    <w:p w:rsidR="00704C86" w:rsidRPr="00414BF5" w:rsidRDefault="00704C86" w:rsidP="00224F3A">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CONTRAVENCIONES CONTRA LA INVIOLABILIDAD D</w:t>
      </w:r>
      <w:r w:rsidR="00224F3A" w:rsidRPr="00414BF5">
        <w:rPr>
          <w:rFonts w:ascii="Arial" w:eastAsia="Calibri" w:hAnsi="Arial" w:cs="Arial"/>
          <w:sz w:val="24"/>
          <w:szCs w:val="24"/>
          <w:lang w:val="es-ES_tradnl"/>
        </w:rPr>
        <w:t>E HABITACIÓN O SITIO DE TRABAJO</w:t>
      </w:r>
    </w:p>
    <w:p w:rsidR="00224F3A" w:rsidRPr="00414BF5" w:rsidRDefault="00224F3A" w:rsidP="00224F3A">
      <w:pPr>
        <w:spacing w:after="0" w:line="240" w:lineRule="auto"/>
        <w:jc w:val="center"/>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25. La Ley 599 de 2000 tendrá un nuevo artículo 554,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554</w:t>
      </w:r>
      <w:r w:rsidRPr="00414BF5">
        <w:rPr>
          <w:rFonts w:ascii="Arial" w:eastAsia="Calibri" w:hAnsi="Arial" w:cs="Arial"/>
          <w:b/>
          <w:bCs/>
          <w:i/>
          <w:iCs/>
          <w:sz w:val="24"/>
          <w:szCs w:val="24"/>
          <w:lang w:val="es-ES_tradnl"/>
        </w:rPr>
        <w:t>. Violación de habitación ajena</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 xml:space="preserve">El que se introduzca arbitraria, engañosa o clandestinamente en habitación ajena o en sus dependencias inmediatas, o que por </w:t>
      </w:r>
      <w:r w:rsidRPr="00414BF5">
        <w:rPr>
          <w:rFonts w:ascii="Arial" w:eastAsia="Calibri" w:hAnsi="Arial" w:cs="Arial"/>
          <w:sz w:val="24"/>
          <w:szCs w:val="24"/>
          <w:lang w:val="es-ES_tradnl"/>
        </w:rPr>
        <w:lastRenderedPageBreak/>
        <w:t>cualquier medio indebido, escuche, observe, grabe, fotografíe o filme, aspectos de la vida domiciliaria de su</w:t>
      </w:r>
      <w:r w:rsidR="00224F3A" w:rsidRPr="00414BF5">
        <w:rPr>
          <w:rFonts w:ascii="Arial" w:eastAsia="Calibri" w:hAnsi="Arial" w:cs="Arial"/>
          <w:sz w:val="24"/>
          <w:szCs w:val="24"/>
          <w:lang w:val="es-ES_tradnl"/>
        </w:rPr>
        <w:t>s ocupantes, incurrirá en multa</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26. La Ley 599 de 2000 tendrá un nuevo artículo 555,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555. </w:t>
      </w:r>
      <w:r w:rsidRPr="00414BF5">
        <w:rPr>
          <w:rFonts w:ascii="Arial" w:eastAsia="Calibri" w:hAnsi="Arial" w:cs="Arial"/>
          <w:b/>
          <w:bCs/>
          <w:i/>
          <w:iCs/>
          <w:sz w:val="24"/>
          <w:szCs w:val="24"/>
          <w:lang w:val="es-ES_tradnl"/>
        </w:rPr>
        <w:t>Violación de habitación ajena por servidor público</w:t>
      </w:r>
      <w:r w:rsidRPr="00414BF5">
        <w:rPr>
          <w:rFonts w:ascii="Arial" w:eastAsia="Calibri" w:hAnsi="Arial" w:cs="Arial"/>
          <w:sz w:val="24"/>
          <w:szCs w:val="24"/>
          <w:lang w:val="es-ES_tradnl"/>
        </w:rPr>
        <w:t>. El servidor público que abusando de sus funciones se introduzca en habitación ajena, incurrirá en multa y pé</w:t>
      </w:r>
      <w:r w:rsidR="00224F3A" w:rsidRPr="00414BF5">
        <w:rPr>
          <w:rFonts w:ascii="Arial" w:eastAsia="Calibri" w:hAnsi="Arial" w:cs="Arial"/>
          <w:sz w:val="24"/>
          <w:szCs w:val="24"/>
          <w:lang w:val="es-ES_tradnl"/>
        </w:rPr>
        <w:t>rdida de empleo o cargo público</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27. La Ley 599 de 2000 tendrá un nuevo artículo 556, así:</w:t>
      </w:r>
    </w:p>
    <w:p w:rsidR="00224F3A" w:rsidRPr="00414BF5" w:rsidRDefault="00224F3A"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556. </w:t>
      </w:r>
      <w:r w:rsidRPr="00414BF5">
        <w:rPr>
          <w:rFonts w:ascii="Arial" w:eastAsia="Calibri" w:hAnsi="Arial" w:cs="Arial"/>
          <w:b/>
          <w:bCs/>
          <w:i/>
          <w:iCs/>
          <w:sz w:val="24"/>
          <w:szCs w:val="24"/>
          <w:lang w:val="es-ES_tradnl"/>
        </w:rPr>
        <w:t>Violación en lugar de trabajo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xml:space="preserve"> Cuando las conductas descritas en este capítulo se realizaren en un lugar de trabajo, las respectivas penas se disminuirán hasta en la mitad, sin que puedan </w:t>
      </w:r>
      <w:r w:rsidR="00224F3A" w:rsidRPr="00414BF5">
        <w:rPr>
          <w:rFonts w:ascii="Arial" w:eastAsia="Calibri" w:hAnsi="Arial" w:cs="Arial"/>
          <w:sz w:val="24"/>
          <w:szCs w:val="24"/>
          <w:lang w:val="es-ES_tradnl"/>
        </w:rPr>
        <w:t>ser inferior a una unidad multa</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28. La Ley 599 de 2000 tendrá un nuevo Título III dentro de su Libro Tercero, con el siguiente nombre:</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224F3A">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III</w:t>
      </w:r>
    </w:p>
    <w:p w:rsidR="00704C86" w:rsidRPr="00414BF5" w:rsidRDefault="00704C86" w:rsidP="00224F3A">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CONTRAVENCIONES CONTRA LA INTIMIDAD, RESERVA E INTERCEPTACIÓN DE COMUNICACIONES</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29. La Ley 599 de 2000 tendrá un nuevo artículo 557,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557.</w:t>
      </w:r>
      <w:r w:rsidRPr="00414BF5">
        <w:rPr>
          <w:rFonts w:ascii="Arial" w:eastAsia="Calibri" w:hAnsi="Arial" w:cs="Arial"/>
          <w:b/>
          <w:bCs/>
          <w:i/>
          <w:iCs/>
          <w:sz w:val="24"/>
          <w:szCs w:val="24"/>
          <w:lang w:val="es-ES_tradnl"/>
        </w:rPr>
        <w:t> Ofrecimiento, venta o compra de instrumento apto para interceptar la comunicación privada entre personas</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sin permiso de autoridad competente, ofrezca, venda o compre instrumentos aptos para interceptar la comunicación privada entre personas, incurrirá en multa, siempre que la conducta no constituya d</w:t>
      </w:r>
      <w:r w:rsidR="00224F3A" w:rsidRPr="00414BF5">
        <w:rPr>
          <w:rFonts w:ascii="Arial" w:eastAsia="Calibri" w:hAnsi="Arial" w:cs="Arial"/>
          <w:sz w:val="24"/>
          <w:szCs w:val="24"/>
          <w:lang w:val="es-ES_tradnl"/>
        </w:rPr>
        <w:t>elito sancionado con pena mayor</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30. La Ley 599 de 2000 tendrá un nuevo artículo 558,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558. Divulgación y empleo de documentos reservados</w:t>
      </w:r>
      <w:r w:rsidRPr="00414BF5">
        <w:rPr>
          <w:rFonts w:ascii="Arial" w:eastAsia="Calibri" w:hAnsi="Arial" w:cs="Arial"/>
          <w:sz w:val="24"/>
          <w:szCs w:val="24"/>
          <w:lang w:val="es-ES_tradnl"/>
        </w:rPr>
        <w:t>. El que en provecho propio o ajeno o con perjuicio de otro divulgue o emplee el contenido de un documento que deba permanecer en reserva, incurrirá en multa, siempre que la conducta no constituya d</w:t>
      </w:r>
      <w:r w:rsidR="00224F3A" w:rsidRPr="00414BF5">
        <w:rPr>
          <w:rFonts w:ascii="Arial" w:eastAsia="Calibri" w:hAnsi="Arial" w:cs="Arial"/>
          <w:sz w:val="24"/>
          <w:szCs w:val="24"/>
          <w:lang w:val="es-ES_tradnl"/>
        </w:rPr>
        <w:t>elito sancionado con pena mayor</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31. La Ley 599 de 2000 tendrá un nuevo Título IV dentro de su Libro Tercero, con el siguiente nombre:</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224F3A">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IV</w:t>
      </w:r>
    </w:p>
    <w:p w:rsidR="00704C86" w:rsidRPr="00414BF5" w:rsidRDefault="00704C86" w:rsidP="00224F3A">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CONTRAVENCIONES CONTRA LA LIBERTAD DE TRABAJO Y ASOCIACI</w:t>
      </w:r>
      <w:r w:rsidR="00224F3A" w:rsidRPr="00414BF5">
        <w:rPr>
          <w:rFonts w:ascii="Arial" w:eastAsia="Calibri" w:hAnsi="Arial" w:cs="Arial"/>
          <w:sz w:val="24"/>
          <w:szCs w:val="24"/>
          <w:lang w:val="es-ES_tradnl"/>
        </w:rPr>
        <w:t>ÓN</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32. La Ley 599 de 2000 tendrá un nuevo artículo 559,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b/>
          <w:bCs/>
          <w:sz w:val="24"/>
          <w:szCs w:val="24"/>
          <w:lang w:val="es-ES_tradnl"/>
        </w:rPr>
        <w:t>Artículo 559. </w:t>
      </w:r>
      <w:r w:rsidRPr="00414BF5">
        <w:rPr>
          <w:rFonts w:ascii="Arial" w:eastAsia="Calibri" w:hAnsi="Arial" w:cs="Arial"/>
          <w:b/>
          <w:bCs/>
          <w:i/>
          <w:iCs/>
          <w:sz w:val="24"/>
          <w:szCs w:val="24"/>
          <w:lang w:val="es-ES_tradnl"/>
        </w:rPr>
        <w:t>Violación de la libertad de trabajo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mediante violencia o maniobra engañosa logre el retiro de operarios o trabajadores de los establecimientos donde laboran, o por los mismos medios perturbe o impida el libre ejercicio de la actividad de cualquier persona, incurrirá en multa.</w:t>
      </w: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como consecuencia de la conducta descrita en el inciso anterior sobreviniere la suspensión o cesación colectiva del trabajo, la pena se aumentará hasta en una tercera parte, sin sobrepas</w:t>
      </w:r>
      <w:r w:rsidR="00224F3A" w:rsidRPr="00414BF5">
        <w:rPr>
          <w:rFonts w:ascii="Arial" w:eastAsia="Calibri" w:hAnsi="Arial" w:cs="Arial"/>
          <w:sz w:val="24"/>
          <w:szCs w:val="24"/>
          <w:lang w:val="es-ES_tradnl"/>
        </w:rPr>
        <w:t>ar las diez (10) unidades multa</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 xml:space="preserve">Artículo 33. La Ley 599 de 2000 tendrá un nuevo artículo </w:t>
      </w:r>
      <w:r w:rsidR="00F359D8" w:rsidRPr="004C22C2">
        <w:rPr>
          <w:rFonts w:ascii="Arial" w:eastAsia="Calibri" w:hAnsi="Arial" w:cs="Arial"/>
          <w:sz w:val="24"/>
          <w:szCs w:val="24"/>
          <w:lang w:val="es-ES_tradnl"/>
        </w:rPr>
        <w:t>559-A</w:t>
      </w:r>
      <w:r w:rsidRPr="004C22C2">
        <w:rPr>
          <w:rFonts w:ascii="Arial" w:eastAsia="Calibri" w:hAnsi="Arial" w:cs="Arial"/>
          <w:sz w:val="24"/>
          <w:szCs w:val="24"/>
          <w:lang w:val="es-ES_tradnl"/>
        </w:rPr>
        <w:t>, así:</w:t>
      </w:r>
    </w:p>
    <w:p w:rsidR="00224F3A" w:rsidRPr="004C22C2" w:rsidRDefault="00224F3A"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b/>
          <w:bCs/>
          <w:sz w:val="24"/>
          <w:szCs w:val="24"/>
          <w:lang w:val="es-ES_tradnl"/>
        </w:rPr>
        <w:t xml:space="preserve">Artículo </w:t>
      </w:r>
      <w:r w:rsidR="00F359D8" w:rsidRPr="004C22C2">
        <w:rPr>
          <w:rFonts w:ascii="Arial" w:eastAsia="Calibri" w:hAnsi="Arial" w:cs="Arial"/>
          <w:b/>
          <w:bCs/>
          <w:sz w:val="24"/>
          <w:szCs w:val="24"/>
          <w:lang w:val="es-ES_tradnl"/>
        </w:rPr>
        <w:t>559-A</w:t>
      </w:r>
      <w:r w:rsidRPr="004C22C2">
        <w:rPr>
          <w:rFonts w:ascii="Arial" w:eastAsia="Calibri" w:hAnsi="Arial" w:cs="Arial"/>
          <w:b/>
          <w:bCs/>
          <w:sz w:val="24"/>
          <w:szCs w:val="24"/>
          <w:lang w:val="es-ES_tradnl"/>
        </w:rPr>
        <w:t>. </w:t>
      </w:r>
      <w:r w:rsidRPr="004C22C2">
        <w:rPr>
          <w:rFonts w:ascii="Arial" w:eastAsia="Calibri" w:hAnsi="Arial" w:cs="Arial"/>
          <w:b/>
          <w:bCs/>
          <w:i/>
          <w:iCs/>
          <w:sz w:val="24"/>
          <w:szCs w:val="24"/>
          <w:lang w:val="es-ES_tradnl"/>
        </w:rPr>
        <w:t>Violación de los derechos de reunión y asociación.</w:t>
      </w:r>
      <w:r w:rsidRPr="004C22C2">
        <w:rPr>
          <w:rFonts w:ascii="Arial" w:eastAsia="Calibri" w:hAnsi="Arial" w:cs="Arial"/>
          <w:b/>
          <w:bCs/>
          <w:sz w:val="24"/>
          <w:szCs w:val="24"/>
          <w:lang w:val="es-ES_tradnl"/>
        </w:rPr>
        <w:t> </w:t>
      </w:r>
      <w:r w:rsidRPr="004C22C2">
        <w:rPr>
          <w:rFonts w:ascii="Arial" w:eastAsia="Calibri" w:hAnsi="Arial" w:cs="Arial"/>
          <w:sz w:val="24"/>
          <w:szCs w:val="24"/>
          <w:lang w:val="es-ES_tradnl"/>
        </w:rPr>
        <w:t>El que impida o perturbe una reunión lícita o ejercicio de los derechos que conceden las leyes laborales o tome represalias con motivo de huelga, reunión o asociación legítimas, incurrirá en pena de prisión de uno (1) a dos (2) años y multa de cien (100) a trescientos (300) salarios mínimos legales mensuales vigentes.</w:t>
      </w:r>
    </w:p>
    <w:p w:rsidR="00224F3A" w:rsidRPr="004C22C2" w:rsidRDefault="00224F3A"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CO"/>
        </w:rPr>
      </w:pPr>
      <w:r w:rsidRPr="004C22C2">
        <w:rPr>
          <w:rFonts w:ascii="Arial" w:eastAsia="Calibri" w:hAnsi="Arial" w:cs="Arial"/>
          <w:sz w:val="24"/>
          <w:szCs w:val="24"/>
          <w:lang w:val="es-ES_tradnl"/>
        </w:rPr>
        <w:t>En la misma pena incurrirá el que celebre pactos colectivos en los que, en su conjunto, se otorguen mejores condiciones a los trabajadores no sindicalizados, respecto de aquellas condiciones convenidas en convenciones colectivas con los trabajadores sindicalizados de una misma empresa.</w:t>
      </w: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La pena de prisión será de tres (3) a cinco (5) años y multa de trescientos (300) a quinientos (500) salarios mínimos legales mensuales vigentes si la conducta descrita en el inciso primero se cometiere:</w:t>
      </w:r>
    </w:p>
    <w:p w:rsidR="00224F3A" w:rsidRPr="004C22C2" w:rsidRDefault="00224F3A" w:rsidP="00704C86">
      <w:pPr>
        <w:spacing w:after="0" w:line="240" w:lineRule="auto"/>
        <w:jc w:val="both"/>
        <w:rPr>
          <w:rFonts w:ascii="Arial" w:eastAsia="Calibri" w:hAnsi="Arial" w:cs="Arial"/>
          <w:sz w:val="24"/>
          <w:szCs w:val="24"/>
          <w:lang w:val="es-CO"/>
        </w:rPr>
      </w:pPr>
    </w:p>
    <w:p w:rsidR="00704C86" w:rsidRPr="004C22C2" w:rsidRDefault="00704C86" w:rsidP="00224F3A">
      <w:pPr>
        <w:pStyle w:val="Prrafodelista"/>
        <w:numPr>
          <w:ilvl w:val="0"/>
          <w:numId w:val="30"/>
        </w:num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Colocando al empleado en situación de indefensión o que ponga en peligro su integridad personal.</w:t>
      </w:r>
    </w:p>
    <w:p w:rsidR="00224F3A" w:rsidRPr="004C22C2" w:rsidRDefault="00224F3A" w:rsidP="00224F3A">
      <w:pPr>
        <w:pStyle w:val="Prrafodelista"/>
        <w:spacing w:after="0" w:line="240" w:lineRule="auto"/>
        <w:jc w:val="both"/>
        <w:rPr>
          <w:rFonts w:ascii="Arial" w:eastAsia="Calibri" w:hAnsi="Arial" w:cs="Arial"/>
          <w:sz w:val="24"/>
          <w:szCs w:val="24"/>
          <w:lang w:val="es-CO"/>
        </w:rPr>
      </w:pPr>
    </w:p>
    <w:p w:rsidR="00704C86" w:rsidRPr="004C22C2" w:rsidRDefault="00704C86" w:rsidP="00224F3A">
      <w:pPr>
        <w:pStyle w:val="Prrafodelista"/>
        <w:numPr>
          <w:ilvl w:val="0"/>
          <w:numId w:val="30"/>
        </w:num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La conducta se cometa en persona discapacitada, que padezca enfermedad grave o sobre mujer embarazada.</w:t>
      </w:r>
    </w:p>
    <w:p w:rsidR="00224F3A" w:rsidRPr="004C22C2" w:rsidRDefault="00224F3A" w:rsidP="00224F3A">
      <w:pPr>
        <w:spacing w:after="0" w:line="240" w:lineRule="auto"/>
        <w:jc w:val="both"/>
        <w:rPr>
          <w:rFonts w:ascii="Arial" w:eastAsia="Calibri" w:hAnsi="Arial" w:cs="Arial"/>
          <w:sz w:val="24"/>
          <w:szCs w:val="24"/>
          <w:lang w:val="es-CO"/>
        </w:rPr>
      </w:pPr>
    </w:p>
    <w:p w:rsidR="00704C86" w:rsidRPr="004C22C2" w:rsidRDefault="00704C86" w:rsidP="00224F3A">
      <w:pPr>
        <w:pStyle w:val="Prrafodelista"/>
        <w:numPr>
          <w:ilvl w:val="0"/>
          <w:numId w:val="30"/>
        </w:num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Mediante la amenaza de causar la muerte, lesiones personales, daño en bien ajeno o al trabajador o a sus ascendientes, descendientes, cónyuge, compañero o compañera permanente, hermano, adoptante o adoptivo o pariente hasta el segundo grado de afinidad.</w:t>
      </w:r>
    </w:p>
    <w:p w:rsidR="00224F3A" w:rsidRPr="004C22C2" w:rsidRDefault="00224F3A" w:rsidP="00224F3A">
      <w:pPr>
        <w:spacing w:after="0" w:line="240" w:lineRule="auto"/>
        <w:jc w:val="both"/>
        <w:rPr>
          <w:rFonts w:ascii="Arial" w:eastAsia="Calibri" w:hAnsi="Arial" w:cs="Arial"/>
          <w:sz w:val="24"/>
          <w:szCs w:val="24"/>
          <w:lang w:val="es-CO"/>
        </w:rPr>
      </w:pPr>
    </w:p>
    <w:p w:rsidR="00704C86" w:rsidRPr="004C22C2" w:rsidRDefault="00704C86" w:rsidP="00224F3A">
      <w:pPr>
        <w:pStyle w:val="Prrafodelista"/>
        <w:numPr>
          <w:ilvl w:val="0"/>
          <w:numId w:val="30"/>
        </w:num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Mediante engaño sobre el trabajador.</w:t>
      </w:r>
    </w:p>
    <w:p w:rsidR="00224F3A" w:rsidRPr="00414BF5" w:rsidRDefault="00224F3A" w:rsidP="00224F3A">
      <w:pPr>
        <w:spacing w:after="0" w:line="240" w:lineRule="auto"/>
        <w:jc w:val="both"/>
        <w:rPr>
          <w:rFonts w:ascii="Arial" w:eastAsia="Calibri" w:hAnsi="Arial" w:cs="Arial"/>
          <w:sz w:val="24"/>
          <w:szCs w:val="24"/>
          <w:lang w:val="es-CO"/>
        </w:rPr>
      </w:pPr>
    </w:p>
    <w:p w:rsidR="00224F3A" w:rsidRPr="00414BF5" w:rsidRDefault="00224F3A" w:rsidP="00224F3A">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34. La Ley 599 de 2000 tendrá un nuevo Título V dentro de su Libro Tercero, con el siguiente nombre:</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224F3A">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V</w:t>
      </w:r>
    </w:p>
    <w:p w:rsidR="00704C86" w:rsidRPr="00414BF5" w:rsidRDefault="00704C86" w:rsidP="00224F3A">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CONTRAVENCIONES CONTRA EL SENTIMIENTO RELIGI</w:t>
      </w:r>
      <w:r w:rsidR="00224F3A" w:rsidRPr="00414BF5">
        <w:rPr>
          <w:rFonts w:ascii="Arial" w:eastAsia="Calibri" w:hAnsi="Arial" w:cs="Arial"/>
          <w:sz w:val="24"/>
          <w:szCs w:val="24"/>
          <w:lang w:val="es-ES_tradnl"/>
        </w:rPr>
        <w:t>OSO Y EL RESPETO A LOS DIFUNTOS</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35. La Ley 599 de 2000 tendrá un nuevo artículo 560, así:</w:t>
      </w:r>
    </w:p>
    <w:p w:rsidR="00224F3A" w:rsidRPr="00414BF5" w:rsidRDefault="00224F3A"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560. </w:t>
      </w:r>
      <w:r w:rsidRPr="00414BF5">
        <w:rPr>
          <w:rFonts w:ascii="Arial" w:eastAsia="Calibri" w:hAnsi="Arial" w:cs="Arial"/>
          <w:b/>
          <w:bCs/>
          <w:i/>
          <w:iCs/>
          <w:sz w:val="24"/>
          <w:szCs w:val="24"/>
          <w:lang w:val="es-ES_tradnl"/>
        </w:rPr>
        <w:t>Violación a la libertad religiosa</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El que por medio de violencia obligue a otro a cumplir acto religioso, o le impida participar en ceremonia de la misma índole, incurrirá en prisión de dieciséis (</w:t>
      </w:r>
      <w:r w:rsidR="00224F3A" w:rsidRPr="00414BF5">
        <w:rPr>
          <w:rFonts w:ascii="Arial" w:eastAsia="Calibri" w:hAnsi="Arial" w:cs="Arial"/>
          <w:sz w:val="24"/>
          <w:szCs w:val="24"/>
          <w:lang w:val="es-ES_tradnl"/>
        </w:rPr>
        <w:t>16) a treinta y seis (36) meses</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36. La Ley 599 de 2000 tendrá un nuevo artículo 561, así:</w:t>
      </w:r>
    </w:p>
    <w:p w:rsidR="00224F3A" w:rsidRPr="00414BF5" w:rsidRDefault="00224F3A"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561. </w:t>
      </w:r>
      <w:r w:rsidRPr="00414BF5">
        <w:rPr>
          <w:rFonts w:ascii="Arial" w:eastAsia="Calibri" w:hAnsi="Arial" w:cs="Arial"/>
          <w:b/>
          <w:bCs/>
          <w:i/>
          <w:iCs/>
          <w:sz w:val="24"/>
          <w:szCs w:val="24"/>
          <w:lang w:val="es-ES_tradnl"/>
        </w:rPr>
        <w:t>Impedimento y perturbación de ceremonia religiosa</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perturbe o impida la celebración de ceremonia o función religiosa de cualquier cult</w:t>
      </w:r>
      <w:r w:rsidR="00224F3A" w:rsidRPr="00414BF5">
        <w:rPr>
          <w:rFonts w:ascii="Arial" w:eastAsia="Calibri" w:hAnsi="Arial" w:cs="Arial"/>
          <w:sz w:val="24"/>
          <w:szCs w:val="24"/>
          <w:lang w:val="es-ES_tradnl"/>
        </w:rPr>
        <w:t>o permitido, incurrirá en multa</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37. La Ley 599 de 2000 tendrá un nuevo artículo 562, así:</w:t>
      </w:r>
    </w:p>
    <w:p w:rsidR="00224F3A" w:rsidRPr="00414BF5" w:rsidRDefault="00224F3A"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562. </w:t>
      </w:r>
      <w:r w:rsidRPr="00414BF5">
        <w:rPr>
          <w:rFonts w:ascii="Arial" w:eastAsia="Calibri" w:hAnsi="Arial" w:cs="Arial"/>
          <w:b/>
          <w:bCs/>
          <w:i/>
          <w:iCs/>
          <w:sz w:val="24"/>
          <w:szCs w:val="24"/>
          <w:lang w:val="es-ES_tradnl"/>
        </w:rPr>
        <w:t>Daños o agravios a personas o a cosas destinadas al culto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xml:space="preserve"> El que cause daño a los objetos destinados a un culto, o a los símbolos de cualquier religión legalmente permitida, o públicamente agravie a tales cultos o a sus miembros en razón de su </w:t>
      </w:r>
      <w:r w:rsidR="00224F3A" w:rsidRPr="00414BF5">
        <w:rPr>
          <w:rFonts w:ascii="Arial" w:eastAsia="Calibri" w:hAnsi="Arial" w:cs="Arial"/>
          <w:sz w:val="24"/>
          <w:szCs w:val="24"/>
          <w:lang w:val="es-ES_tradnl"/>
        </w:rPr>
        <w:t>investidura, incurrirá en multa</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38. La Ley 599 de 2000 tendrá un nuevo artículo 563, así:</w:t>
      </w:r>
    </w:p>
    <w:p w:rsidR="00224F3A" w:rsidRPr="00414BF5" w:rsidRDefault="00224F3A"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563. </w:t>
      </w:r>
      <w:r w:rsidRPr="00414BF5">
        <w:rPr>
          <w:rFonts w:ascii="Arial" w:eastAsia="Calibri" w:hAnsi="Arial" w:cs="Arial"/>
          <w:b/>
          <w:bCs/>
          <w:i/>
          <w:iCs/>
          <w:sz w:val="24"/>
          <w:szCs w:val="24"/>
          <w:lang w:val="es-ES_tradnl"/>
        </w:rPr>
        <w:t>Irrespeto a cadáveres</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sustraiga el cadáver de una persona o sus restos o ejecute sobre ellos acto de irrespeto, incurrirá en multa.</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el agente persigue finalidad de lucro, la pena se au</w:t>
      </w:r>
      <w:r w:rsidR="00224F3A" w:rsidRPr="00414BF5">
        <w:rPr>
          <w:rFonts w:ascii="Arial" w:eastAsia="Calibri" w:hAnsi="Arial" w:cs="Arial"/>
          <w:sz w:val="24"/>
          <w:szCs w:val="24"/>
          <w:lang w:val="es-ES_tradnl"/>
        </w:rPr>
        <w:t>mentará hasta en una tercera pa</w:t>
      </w:r>
      <w:r w:rsidRPr="00414BF5">
        <w:rPr>
          <w:rFonts w:ascii="Arial" w:eastAsia="Calibri" w:hAnsi="Arial" w:cs="Arial"/>
          <w:sz w:val="24"/>
          <w:szCs w:val="24"/>
          <w:lang w:val="es-ES_tradnl"/>
        </w:rPr>
        <w:t>rte, sin sobrepas</w:t>
      </w:r>
      <w:r w:rsidR="00224F3A" w:rsidRPr="00414BF5">
        <w:rPr>
          <w:rFonts w:ascii="Arial" w:eastAsia="Calibri" w:hAnsi="Arial" w:cs="Arial"/>
          <w:sz w:val="24"/>
          <w:szCs w:val="24"/>
          <w:lang w:val="es-ES_tradnl"/>
        </w:rPr>
        <w:t>ar las diez (10) unidades multa</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39. La Ley 599 de 2000 tendrá un nuevo artículo 564,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564. </w:t>
      </w:r>
      <w:r w:rsidRPr="00414BF5">
        <w:rPr>
          <w:rFonts w:ascii="Arial" w:eastAsia="Calibri" w:hAnsi="Arial" w:cs="Arial"/>
          <w:b/>
          <w:bCs/>
          <w:i/>
          <w:iCs/>
          <w:sz w:val="24"/>
          <w:szCs w:val="24"/>
          <w:lang w:val="es-ES_tradnl"/>
        </w:rPr>
        <w:t>Omisión de denuncia de explotación sexual infantil</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xml:space="preserve"> El que, por razón de su oficio, cargo o actividad, tuviere conocimiento de la utilización de menores para la realización de cualquiera de las conductas previstas en el Capítulo Cuarto del Título IV </w:t>
      </w:r>
      <w:r w:rsidRPr="00414BF5">
        <w:rPr>
          <w:rFonts w:ascii="Arial" w:eastAsia="Calibri" w:hAnsi="Arial" w:cs="Arial"/>
          <w:sz w:val="24"/>
          <w:szCs w:val="24"/>
          <w:lang w:val="es-ES_tradnl"/>
        </w:rPr>
        <w:lastRenderedPageBreak/>
        <w:t>del Libro Segundo de esta ley y omitiere informar a las autoridades administrativas o judiciales competentes sobre tales hechos, teniendo el deber legal de hacerlo, incurrirá en multa de trece punto treinta y tres (13.33) a setenta y cinco (75) salarios mínimos legales mensuales vigentes.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la conducta se realizare por servidor público, se impondrá,</w:t>
      </w:r>
      <w:r w:rsidR="00224F3A" w:rsidRPr="00414BF5">
        <w:rPr>
          <w:rFonts w:ascii="Arial" w:eastAsia="Calibri" w:hAnsi="Arial" w:cs="Arial"/>
          <w:sz w:val="24"/>
          <w:szCs w:val="24"/>
          <w:lang w:val="es-ES_tradnl"/>
        </w:rPr>
        <w:t xml:space="preserve"> además, la pérdida del empleo.</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40. La Ley 599 de 2000 tendrá un nuevo Título VI dentro de su Libro Tercero, con el siguiente nombre:</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224F3A">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VI</w:t>
      </w:r>
    </w:p>
    <w:p w:rsidR="00704C86" w:rsidRPr="00414BF5" w:rsidRDefault="00704C86" w:rsidP="00224F3A">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CONTRAVENCIO</w:t>
      </w:r>
      <w:r w:rsidR="00224F3A" w:rsidRPr="00414BF5">
        <w:rPr>
          <w:rFonts w:ascii="Arial" w:eastAsia="Calibri" w:hAnsi="Arial" w:cs="Arial"/>
          <w:sz w:val="24"/>
          <w:szCs w:val="24"/>
          <w:lang w:val="es-ES_tradnl"/>
        </w:rPr>
        <w:t>NES CONTRA </w:t>
      </w:r>
      <w:r w:rsidR="00224F3A" w:rsidRPr="00414BF5">
        <w:rPr>
          <w:rFonts w:ascii="Arial" w:eastAsia="Calibri" w:hAnsi="Arial" w:cs="Arial"/>
          <w:sz w:val="24"/>
          <w:szCs w:val="24"/>
          <w:lang w:val="es-ES_tradnl"/>
        </w:rPr>
        <w:br/>
        <w:t>LA INTEGRIDAD MORAL</w:t>
      </w:r>
    </w:p>
    <w:p w:rsidR="00224F3A" w:rsidRPr="00414BF5" w:rsidRDefault="00224F3A" w:rsidP="00224F3A">
      <w:pPr>
        <w:spacing w:after="0" w:line="240" w:lineRule="auto"/>
        <w:jc w:val="center"/>
        <w:rPr>
          <w:rFonts w:ascii="Arial" w:eastAsia="Calibri" w:hAnsi="Arial" w:cs="Arial"/>
          <w:sz w:val="24"/>
          <w:szCs w:val="24"/>
          <w:lang w:val="es-ES_tradnl"/>
        </w:rPr>
      </w:pPr>
    </w:p>
    <w:p w:rsidR="00224F3A" w:rsidRPr="00414BF5" w:rsidRDefault="00224F3A" w:rsidP="00224F3A">
      <w:pPr>
        <w:spacing w:after="0" w:line="240" w:lineRule="auto"/>
        <w:jc w:val="center"/>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41. La Ley 599 de 2000 tendrá un nuevo artículo 565, así:</w:t>
      </w:r>
    </w:p>
    <w:p w:rsidR="00224F3A" w:rsidRPr="00414BF5" w:rsidRDefault="00224F3A"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565. </w:t>
      </w:r>
      <w:r w:rsidRPr="00414BF5">
        <w:rPr>
          <w:rFonts w:ascii="Arial" w:eastAsia="Calibri" w:hAnsi="Arial" w:cs="Arial"/>
          <w:b/>
          <w:bCs/>
          <w:i/>
          <w:iCs/>
          <w:sz w:val="24"/>
          <w:szCs w:val="24"/>
          <w:lang w:val="es-ES_tradnl"/>
        </w:rPr>
        <w:t>Injuria</w:t>
      </w:r>
      <w:r w:rsidRPr="00414BF5">
        <w:rPr>
          <w:rFonts w:ascii="Arial" w:eastAsia="Calibri" w:hAnsi="Arial" w:cs="Arial"/>
          <w:sz w:val="24"/>
          <w:szCs w:val="24"/>
          <w:lang w:val="es-ES_tradnl"/>
        </w:rPr>
        <w:t>. El que haga a otra persona imputaciones deshonrosas, incurrirá en prisión de dieciséis (16) a cincuenta y cuatro (54) meses y multa de trece punto treinta y tres (13.33) a mil quinientos (1.500) salarios mín</w:t>
      </w:r>
      <w:r w:rsidR="00224F3A" w:rsidRPr="00414BF5">
        <w:rPr>
          <w:rFonts w:ascii="Arial" w:eastAsia="Calibri" w:hAnsi="Arial" w:cs="Arial"/>
          <w:sz w:val="24"/>
          <w:szCs w:val="24"/>
          <w:lang w:val="es-ES_tradnl"/>
        </w:rPr>
        <w:t>imos legales mensuales vigentes</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42. La Ley 599 de 2000 tendrá un nuevo artículo 566, así:</w:t>
      </w:r>
    </w:p>
    <w:p w:rsidR="00224F3A" w:rsidRPr="00414BF5" w:rsidRDefault="00224F3A"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566. </w:t>
      </w:r>
      <w:r w:rsidRPr="00414BF5">
        <w:rPr>
          <w:rFonts w:ascii="Arial" w:eastAsia="Calibri" w:hAnsi="Arial" w:cs="Arial"/>
          <w:b/>
          <w:bCs/>
          <w:i/>
          <w:iCs/>
          <w:sz w:val="24"/>
          <w:szCs w:val="24"/>
          <w:lang w:val="es-ES_tradnl"/>
        </w:rPr>
        <w:t>Calumnia</w:t>
      </w:r>
      <w:r w:rsidRPr="00414BF5">
        <w:rPr>
          <w:rFonts w:ascii="Arial" w:eastAsia="Calibri" w:hAnsi="Arial" w:cs="Arial"/>
          <w:sz w:val="24"/>
          <w:szCs w:val="24"/>
          <w:lang w:val="es-ES_tradnl"/>
        </w:rPr>
        <w:t>. El que impute falsamente a otro una conducta típica, incurrirá en prisión de dieciséis (16) a setenta y dos (72) meses y multa de trece punto treinta y tres (13.33) a mil quinientos (1.500) salarios mín</w:t>
      </w:r>
      <w:r w:rsidR="00224F3A" w:rsidRPr="00414BF5">
        <w:rPr>
          <w:rFonts w:ascii="Arial" w:eastAsia="Calibri" w:hAnsi="Arial" w:cs="Arial"/>
          <w:sz w:val="24"/>
          <w:szCs w:val="24"/>
          <w:lang w:val="es-ES_tradnl"/>
        </w:rPr>
        <w:t>imos legales mensuales vigentes</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43. La Ley 599 de 2000 tendrá un nuevo artículo 567, así:</w:t>
      </w:r>
    </w:p>
    <w:p w:rsidR="00224F3A" w:rsidRPr="00414BF5" w:rsidRDefault="00224F3A"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567</w:t>
      </w:r>
      <w:r w:rsidRPr="00414BF5">
        <w:rPr>
          <w:rFonts w:ascii="Arial" w:eastAsia="Calibri" w:hAnsi="Arial" w:cs="Arial"/>
          <w:b/>
          <w:bCs/>
          <w:i/>
          <w:iCs/>
          <w:sz w:val="24"/>
          <w:szCs w:val="24"/>
          <w:lang w:val="es-ES_tradnl"/>
        </w:rPr>
        <w:t>. Injuria y calumnia indirectas</w:t>
      </w:r>
      <w:r w:rsidRPr="00414BF5">
        <w:rPr>
          <w:rFonts w:ascii="Arial" w:eastAsia="Calibri" w:hAnsi="Arial" w:cs="Arial"/>
          <w:sz w:val="24"/>
          <w:szCs w:val="24"/>
          <w:lang w:val="es-ES_tradnl"/>
        </w:rPr>
        <w:t>. A las penas previstas en los artículos anteriores quedará sometido quien publicare, reprodujere, repitiere injuria o calumnia imputada por otro, o quien haga la imputación de modo impersonal o con las expresiones se di</w:t>
      </w:r>
      <w:r w:rsidR="00224F3A" w:rsidRPr="00414BF5">
        <w:rPr>
          <w:rFonts w:ascii="Arial" w:eastAsia="Calibri" w:hAnsi="Arial" w:cs="Arial"/>
          <w:sz w:val="24"/>
          <w:szCs w:val="24"/>
          <w:lang w:val="es-ES_tradnl"/>
        </w:rPr>
        <w:t>ce, se asegura u otra semejante</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44. La Ley 599 de 2000 tendrá un nuevo artículo 568, así:</w:t>
      </w:r>
    </w:p>
    <w:p w:rsidR="00224F3A" w:rsidRPr="00414BF5" w:rsidRDefault="00224F3A"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568. </w:t>
      </w:r>
      <w:r w:rsidRPr="00414BF5">
        <w:rPr>
          <w:rFonts w:ascii="Arial" w:eastAsia="Calibri" w:hAnsi="Arial" w:cs="Arial"/>
          <w:b/>
          <w:bCs/>
          <w:i/>
          <w:iCs/>
          <w:sz w:val="24"/>
          <w:szCs w:val="24"/>
          <w:lang w:val="es-ES_tradnl"/>
        </w:rPr>
        <w:t>Circunstancias especiales de graduación de la pe na</w:t>
      </w:r>
      <w:r w:rsidRPr="00414BF5">
        <w:rPr>
          <w:rFonts w:ascii="Arial" w:eastAsia="Calibri" w:hAnsi="Arial" w:cs="Arial"/>
          <w:sz w:val="24"/>
          <w:szCs w:val="24"/>
          <w:lang w:val="es-ES_tradnl"/>
        </w:rPr>
        <w:t>. Cuando alguna de las conductas previstas en este título se cometiere utilizando cualquier medio de comunicación social u otro de divulgación colectiva o en reunión pública, las penas respectivas se aumentarán de una sexta parte a la mitad.</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se cometiere por medio de escrito dirigido exclusivamente al ofendido o en su sola presencia, la pena imponibl</w:t>
      </w:r>
      <w:r w:rsidR="00224F3A" w:rsidRPr="00414BF5">
        <w:rPr>
          <w:rFonts w:ascii="Arial" w:eastAsia="Calibri" w:hAnsi="Arial" w:cs="Arial"/>
          <w:sz w:val="24"/>
          <w:szCs w:val="24"/>
          <w:lang w:val="es-ES_tradnl"/>
        </w:rPr>
        <w:t>e se reducirá hasta en la mitad</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45. La Ley 599 de 2000 tendrá un nuevo artículo 569,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569. </w:t>
      </w:r>
      <w:r w:rsidRPr="00414BF5">
        <w:rPr>
          <w:rFonts w:ascii="Arial" w:eastAsia="Calibri" w:hAnsi="Arial" w:cs="Arial"/>
          <w:b/>
          <w:bCs/>
          <w:i/>
          <w:iCs/>
          <w:sz w:val="24"/>
          <w:szCs w:val="24"/>
          <w:lang w:val="es-ES_tradnl"/>
        </w:rPr>
        <w:t>Eximente de responsabilidad</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No será responsable de las conductas descritas en los artículos anteriores quien probare la veracidad de las imputaciones.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Sin embargo, en ningún caso se admitirá prueba sobre la imputación de conductas que se refieran a la vida sexual, conyugal, marital o de familia, o al sujeto pasivo de un delito contra la libertad y</w:t>
      </w:r>
      <w:r w:rsidR="00224F3A" w:rsidRPr="00414BF5">
        <w:rPr>
          <w:rFonts w:ascii="Arial" w:eastAsia="Calibri" w:hAnsi="Arial" w:cs="Arial"/>
          <w:sz w:val="24"/>
          <w:szCs w:val="24"/>
          <w:lang w:val="es-ES_tradnl"/>
        </w:rPr>
        <w:t xml:space="preserve"> la formación sexuales</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46. La Ley 599 de 2000 tendrá un nuevo artículo 570,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570. </w:t>
      </w:r>
      <w:r w:rsidRPr="00414BF5">
        <w:rPr>
          <w:rFonts w:ascii="Arial" w:eastAsia="Calibri" w:hAnsi="Arial" w:cs="Arial"/>
          <w:b/>
          <w:bCs/>
          <w:i/>
          <w:iCs/>
          <w:sz w:val="24"/>
          <w:szCs w:val="24"/>
          <w:lang w:val="es-ES_tradnl"/>
        </w:rPr>
        <w:t>Retractación</w:t>
      </w:r>
      <w:r w:rsidRPr="00414BF5">
        <w:rPr>
          <w:rFonts w:ascii="Arial" w:eastAsia="Calibri" w:hAnsi="Arial" w:cs="Arial"/>
          <w:sz w:val="24"/>
          <w:szCs w:val="24"/>
          <w:lang w:val="es-ES_tradnl"/>
        </w:rPr>
        <w:t>. No habrá lugar a responsabilidad si el autor o partícipe de cualquiera de las conductas previstas en este título, se retractare voluntariamente antes de proferirse sentencia de primera o única instancia, siempre que la publicación de la retractación se haga a costa del responsable, se cumpla en el mismo medio y con las mismas características en que se difundió la imputación o en el que señale el funcionario judicial, en los demás casos.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No se podrá iniciar acción penal, si la retractación o rectificación se hace pública antes de que el ofendido</w:t>
      </w:r>
      <w:r w:rsidR="00224F3A" w:rsidRPr="00414BF5">
        <w:rPr>
          <w:rFonts w:ascii="Arial" w:eastAsia="Calibri" w:hAnsi="Arial" w:cs="Arial"/>
          <w:sz w:val="24"/>
          <w:szCs w:val="24"/>
          <w:lang w:val="es-ES_tradnl"/>
        </w:rPr>
        <w:t xml:space="preserve"> formule la respectiva querella</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47. La Ley 599 de 2000 tendrá un nuevo artículo 571,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571. </w:t>
      </w:r>
      <w:r w:rsidRPr="00414BF5">
        <w:rPr>
          <w:rFonts w:ascii="Arial" w:eastAsia="Calibri" w:hAnsi="Arial" w:cs="Arial"/>
          <w:b/>
          <w:bCs/>
          <w:i/>
          <w:iCs/>
          <w:sz w:val="24"/>
          <w:szCs w:val="24"/>
          <w:lang w:val="es-ES_tradnl"/>
        </w:rPr>
        <w:t>Injuria por vías de hecho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xml:space="preserve"> En la misma pena prevista en el artículo 565 incurrirá el que por vías </w:t>
      </w:r>
      <w:r w:rsidR="00224F3A" w:rsidRPr="00414BF5">
        <w:rPr>
          <w:rFonts w:ascii="Arial" w:eastAsia="Calibri" w:hAnsi="Arial" w:cs="Arial"/>
          <w:sz w:val="24"/>
          <w:szCs w:val="24"/>
          <w:lang w:val="es-ES_tradnl"/>
        </w:rPr>
        <w:t>de hecho agravie a otra persona</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Artículo 48. La Ley 599 de 2000 tendrá un nuevo artículo 57</w:t>
      </w:r>
      <w:r w:rsidR="00F359D8" w:rsidRPr="004C22C2">
        <w:rPr>
          <w:rFonts w:ascii="Arial" w:eastAsia="Calibri" w:hAnsi="Arial" w:cs="Arial"/>
          <w:sz w:val="24"/>
          <w:szCs w:val="24"/>
          <w:lang w:val="es-ES_tradnl"/>
        </w:rPr>
        <w:t>2</w:t>
      </w:r>
      <w:r w:rsidRPr="004C22C2">
        <w:rPr>
          <w:rFonts w:ascii="Arial" w:eastAsia="Calibri" w:hAnsi="Arial" w:cs="Arial"/>
          <w:sz w:val="24"/>
          <w:szCs w:val="24"/>
          <w:lang w:val="es-ES_tradnl"/>
        </w:rPr>
        <w:t>, así:</w:t>
      </w:r>
    </w:p>
    <w:p w:rsidR="00224F3A" w:rsidRPr="004C22C2"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b/>
          <w:bCs/>
          <w:sz w:val="24"/>
          <w:szCs w:val="24"/>
          <w:lang w:val="es-ES_tradnl"/>
        </w:rPr>
        <w:t>Artículo 57</w:t>
      </w:r>
      <w:r w:rsidR="00F359D8" w:rsidRPr="004C22C2">
        <w:rPr>
          <w:rFonts w:ascii="Arial" w:eastAsia="Calibri" w:hAnsi="Arial" w:cs="Arial"/>
          <w:b/>
          <w:bCs/>
          <w:sz w:val="24"/>
          <w:szCs w:val="24"/>
          <w:lang w:val="es-ES_tradnl"/>
        </w:rPr>
        <w:t>2</w:t>
      </w:r>
      <w:r w:rsidRPr="004C22C2">
        <w:rPr>
          <w:rFonts w:ascii="Arial" w:eastAsia="Calibri" w:hAnsi="Arial" w:cs="Arial"/>
          <w:b/>
          <w:bCs/>
          <w:sz w:val="24"/>
          <w:szCs w:val="24"/>
          <w:lang w:val="es-ES_tradnl"/>
        </w:rPr>
        <w:t>. </w:t>
      </w:r>
      <w:r w:rsidRPr="004C22C2">
        <w:rPr>
          <w:rFonts w:ascii="Arial" w:eastAsia="Calibri" w:hAnsi="Arial" w:cs="Arial"/>
          <w:b/>
          <w:bCs/>
          <w:i/>
          <w:iCs/>
          <w:sz w:val="24"/>
          <w:szCs w:val="24"/>
          <w:lang w:val="es-ES_tradnl"/>
        </w:rPr>
        <w:t>Injurias o calumnias recíprocas</w:t>
      </w:r>
      <w:r w:rsidRPr="004C22C2">
        <w:rPr>
          <w:rFonts w:ascii="Arial" w:eastAsia="Calibri" w:hAnsi="Arial" w:cs="Arial"/>
          <w:sz w:val="24"/>
          <w:szCs w:val="24"/>
          <w:lang w:val="es-ES_tradnl"/>
        </w:rPr>
        <w:t xml:space="preserve">. Si las imputaciones o agravios a que se refieren los artículos 565, 566 y </w:t>
      </w:r>
      <w:r w:rsidR="00F359D8" w:rsidRPr="004C22C2">
        <w:rPr>
          <w:rFonts w:ascii="Arial" w:eastAsia="Calibri" w:hAnsi="Arial" w:cs="Arial"/>
          <w:sz w:val="24"/>
          <w:szCs w:val="24"/>
          <w:lang w:val="es-ES_tradnl"/>
        </w:rPr>
        <w:t xml:space="preserve">571 </w:t>
      </w:r>
      <w:r w:rsidRPr="004C22C2">
        <w:rPr>
          <w:rFonts w:ascii="Arial" w:eastAsia="Calibri" w:hAnsi="Arial" w:cs="Arial"/>
          <w:sz w:val="24"/>
          <w:szCs w:val="24"/>
          <w:lang w:val="es-ES_tradnl"/>
        </w:rPr>
        <w:t>fueren recíprocas, se podrán declarar exentos de responsabilidad a los injuriantes o calumniantes o a cualquiera de ellos.</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49. La Ley 599 de 2000 tendrá un nuevo artículo 573,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573. </w:t>
      </w:r>
      <w:r w:rsidRPr="00414BF5">
        <w:rPr>
          <w:rFonts w:ascii="Arial" w:eastAsia="Calibri" w:hAnsi="Arial" w:cs="Arial"/>
          <w:b/>
          <w:bCs/>
          <w:i/>
          <w:iCs/>
          <w:sz w:val="24"/>
          <w:szCs w:val="24"/>
          <w:lang w:val="es-ES_tradnl"/>
        </w:rPr>
        <w:t>Imputaciones de litigantes</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xml:space="preserve"> Las injurias expresadas por los litigantes, apoderados o defensores en los escritos, discursos o informes producidos ante los </w:t>
      </w:r>
      <w:r w:rsidRPr="00414BF5">
        <w:rPr>
          <w:rFonts w:ascii="Arial" w:eastAsia="Calibri" w:hAnsi="Arial" w:cs="Arial"/>
          <w:sz w:val="24"/>
          <w:szCs w:val="24"/>
          <w:lang w:val="es-ES_tradnl"/>
        </w:rPr>
        <w:lastRenderedPageBreak/>
        <w:t>tribunales y no dados por sus autores a la publicidad, quedarán sujetas únicamente a las correcciones y acciones disciplinarias correspondientes.</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50. La Ley 599 de 2000 tendrá un nuevo Título VII dentro de su Libro Tercero, con el siguiente nombre:</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224F3A">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VII</w:t>
      </w:r>
    </w:p>
    <w:p w:rsidR="00704C86" w:rsidRPr="00414BF5" w:rsidRDefault="00704C86" w:rsidP="00224F3A">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CON</w:t>
      </w:r>
      <w:r w:rsidR="00224F3A" w:rsidRPr="00414BF5">
        <w:rPr>
          <w:rFonts w:ascii="Arial" w:eastAsia="Calibri" w:hAnsi="Arial" w:cs="Arial"/>
          <w:sz w:val="24"/>
          <w:szCs w:val="24"/>
          <w:lang w:val="es-ES_tradnl"/>
        </w:rPr>
        <w:t>TRAVENCIONES CONTRA LA</w:t>
      </w:r>
      <w:r w:rsidR="00224F3A" w:rsidRPr="00414BF5">
        <w:rPr>
          <w:rFonts w:ascii="Arial" w:eastAsia="Calibri" w:hAnsi="Arial" w:cs="Arial"/>
          <w:sz w:val="24"/>
          <w:szCs w:val="24"/>
          <w:lang w:val="es-ES_tradnl"/>
        </w:rPr>
        <w:br/>
        <w:t> FAMILIA</w:t>
      </w:r>
    </w:p>
    <w:p w:rsidR="00224F3A" w:rsidRPr="00414BF5" w:rsidRDefault="00224F3A" w:rsidP="00224F3A">
      <w:pPr>
        <w:spacing w:after="0" w:line="240" w:lineRule="auto"/>
        <w:jc w:val="center"/>
        <w:rPr>
          <w:rFonts w:ascii="Arial" w:eastAsia="Calibri" w:hAnsi="Arial" w:cs="Arial"/>
          <w:sz w:val="24"/>
          <w:szCs w:val="24"/>
          <w:lang w:val="es-ES_tradnl"/>
        </w:rPr>
      </w:pPr>
    </w:p>
    <w:p w:rsidR="00224F3A" w:rsidRPr="00414BF5" w:rsidRDefault="00224F3A" w:rsidP="00224F3A">
      <w:pPr>
        <w:spacing w:after="0" w:line="240" w:lineRule="auto"/>
        <w:jc w:val="center"/>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51. La Ley 599 de 2000 tendrá un nuevo artículo 574,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574. </w:t>
      </w:r>
      <w:r w:rsidRPr="00414BF5">
        <w:rPr>
          <w:rFonts w:ascii="Arial" w:eastAsia="Calibri" w:hAnsi="Arial" w:cs="Arial"/>
          <w:b/>
          <w:bCs/>
          <w:i/>
          <w:iCs/>
          <w:sz w:val="24"/>
          <w:szCs w:val="24"/>
          <w:lang w:val="es-ES_tradnl"/>
        </w:rPr>
        <w:t>Maltrato mediante restricción a la libertad física</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mediante fuerza restrinja la libertad de locomoción a otra persona mayor de edad perteneciente a su grupo familiar o en menor de edad sobre el cual no se ejerza patria potestad, incurrirá en prisión de uno dieciséis (16) a treinta y seis (36) meses y en multa de uno punto treinta y tres (1.33) a veinticuatro (24) salarios mínimos legales mensuales vigentes, siempre que la conducta no constituya conducta punible sancionada con pena mayor.</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Parágrafo. Para efectos de lo establecido en el presente artículo se entenderá que el grupo familiar comprende los cónyuges o compañeros permanentes; el padre y la madre de familia, aunque no convivan en un mismo lugar; los ascendientes o descendientes de los anteriores y los hijos adoptivos; todas las demás personas que de manera permanente se hallaren integradas a la unidad doméstica. La afinidad será derivada de cualquier forma de matrimonio, unión libre.</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52. La Ley 599 de 2000 tendrá un nuevo Título VIII dentro de su Libro Tercero, con el siguiente nombre:</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224F3A">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VIII</w:t>
      </w:r>
    </w:p>
    <w:p w:rsidR="00704C86" w:rsidRPr="00414BF5" w:rsidRDefault="00704C86" w:rsidP="00224F3A">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CONTRAVENCIONES CO</w:t>
      </w:r>
      <w:r w:rsidR="00224F3A" w:rsidRPr="00414BF5">
        <w:rPr>
          <w:rFonts w:ascii="Arial" w:eastAsia="Calibri" w:hAnsi="Arial" w:cs="Arial"/>
          <w:sz w:val="24"/>
          <w:szCs w:val="24"/>
          <w:lang w:val="es-ES_tradnl"/>
        </w:rPr>
        <w:t>NTRA </w:t>
      </w:r>
      <w:r w:rsidR="00224F3A" w:rsidRPr="00414BF5">
        <w:rPr>
          <w:rFonts w:ascii="Arial" w:eastAsia="Calibri" w:hAnsi="Arial" w:cs="Arial"/>
          <w:sz w:val="24"/>
          <w:szCs w:val="24"/>
          <w:lang w:val="es-ES_tradnl"/>
        </w:rPr>
        <w:br/>
        <w:t>LA ASISTENCIA ALIMENTARIA</w:t>
      </w:r>
    </w:p>
    <w:p w:rsidR="00224F3A" w:rsidRPr="00414BF5" w:rsidRDefault="00224F3A" w:rsidP="00224F3A">
      <w:pPr>
        <w:spacing w:after="0" w:line="240" w:lineRule="auto"/>
        <w:jc w:val="center"/>
        <w:rPr>
          <w:rFonts w:ascii="Arial" w:eastAsia="Calibri" w:hAnsi="Arial" w:cs="Arial"/>
          <w:sz w:val="24"/>
          <w:szCs w:val="24"/>
          <w:lang w:val="es-ES_tradnl"/>
        </w:rPr>
      </w:pPr>
    </w:p>
    <w:p w:rsidR="00224F3A" w:rsidRPr="00414BF5" w:rsidRDefault="00224F3A" w:rsidP="00224F3A">
      <w:pPr>
        <w:spacing w:after="0" w:line="240" w:lineRule="auto"/>
        <w:jc w:val="center"/>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53. La Ley 599 de 2000 tendrá un nuevo artículo 575,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575. Malversación y dilapidación de bienes de familiares</w:t>
      </w:r>
      <w:r w:rsidRPr="00414BF5">
        <w:rPr>
          <w:rFonts w:ascii="Arial" w:eastAsia="Calibri" w:hAnsi="Arial" w:cs="Arial"/>
          <w:sz w:val="24"/>
          <w:szCs w:val="24"/>
          <w:lang w:val="es-ES_tradnl"/>
        </w:rPr>
        <w:t>. El que malverse o dilapide los bienes que administre en ejercicio de la patria potestad, tutela o curatela en ascendiente, adoptante, cónyuge o compañero permanente, incurrirá en prisión de dieciséis (16) a treinta y seis (36) meses y multa de uno punto treinta y tres (1.33) a quince (15) salarios mínimos legales mensuales vigentes, siempre que la conducta no c</w:t>
      </w:r>
      <w:r w:rsidR="00224F3A" w:rsidRPr="00414BF5">
        <w:rPr>
          <w:rFonts w:ascii="Arial" w:eastAsia="Calibri" w:hAnsi="Arial" w:cs="Arial"/>
          <w:sz w:val="24"/>
          <w:szCs w:val="24"/>
          <w:lang w:val="es-ES_tradnl"/>
        </w:rPr>
        <w:t>onstituya otra conducta punible</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54. La Ley 599 de 2000 tendrá un nuevo Título XIX dentro de su Libro Tercero, con el siguiente nombre:</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224F3A">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IX</w:t>
      </w:r>
    </w:p>
    <w:p w:rsidR="00704C86" w:rsidRPr="00414BF5" w:rsidRDefault="00704C86" w:rsidP="00224F3A">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 xml:space="preserve">CONTRAVENCIONES </w:t>
      </w:r>
      <w:r w:rsidR="00224F3A" w:rsidRPr="00414BF5">
        <w:rPr>
          <w:rFonts w:ascii="Arial" w:eastAsia="Calibri" w:hAnsi="Arial" w:cs="Arial"/>
          <w:sz w:val="24"/>
          <w:szCs w:val="24"/>
          <w:lang w:val="es-ES_tradnl"/>
        </w:rPr>
        <w:t>CONTRA EL </w:t>
      </w:r>
      <w:r w:rsidR="00224F3A" w:rsidRPr="00414BF5">
        <w:rPr>
          <w:rFonts w:ascii="Arial" w:eastAsia="Calibri" w:hAnsi="Arial" w:cs="Arial"/>
          <w:sz w:val="24"/>
          <w:szCs w:val="24"/>
          <w:lang w:val="es-ES_tradnl"/>
        </w:rPr>
        <w:br/>
        <w:t>PATRIMONIO ECONÓMICO</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55. La Ley 599 de 2000 tendrá un nuevo artículo 576,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b/>
          <w:bCs/>
          <w:sz w:val="24"/>
          <w:szCs w:val="24"/>
          <w:lang w:val="es-ES_tradnl"/>
        </w:rPr>
        <w:t>Artículo 576. </w:t>
      </w:r>
      <w:r w:rsidRPr="00414BF5">
        <w:rPr>
          <w:rFonts w:ascii="Arial" w:eastAsia="Calibri" w:hAnsi="Arial" w:cs="Arial"/>
          <w:b/>
          <w:bCs/>
          <w:i/>
          <w:iCs/>
          <w:sz w:val="24"/>
          <w:szCs w:val="24"/>
          <w:lang w:val="es-ES_tradnl"/>
        </w:rPr>
        <w:t>Hurto contravencional</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se apodere de cosa mueble ajena cuya cuantía no exceda de ciento cincuenta (150) salarios mínimos legales mensuales vigentes, con el propósito de obtener provecho para sí o para otro, incurrirá en prisión de veinte (20) a ochenta (80) meses.</w:t>
      </w: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pena será de prisión de dieciséis (16) a treinta y seis (36) meses cuando la cuantía no exceda de diez (10) salarios mín</w:t>
      </w:r>
      <w:r w:rsidR="00224F3A" w:rsidRPr="00414BF5">
        <w:rPr>
          <w:rFonts w:ascii="Arial" w:eastAsia="Calibri" w:hAnsi="Arial" w:cs="Arial"/>
          <w:sz w:val="24"/>
          <w:szCs w:val="24"/>
          <w:lang w:val="es-ES_tradnl"/>
        </w:rPr>
        <w:t>imos legales mensuales vigentes</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56. La Ley 599 de 2000 tendrá un nuevo artículo 577,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577. </w:t>
      </w:r>
      <w:r w:rsidRPr="00414BF5">
        <w:rPr>
          <w:rFonts w:ascii="Arial" w:eastAsia="Calibri" w:hAnsi="Arial" w:cs="Arial"/>
          <w:b/>
          <w:bCs/>
          <w:i/>
          <w:iCs/>
          <w:sz w:val="24"/>
          <w:szCs w:val="24"/>
          <w:lang w:val="es-ES_tradnl"/>
        </w:rPr>
        <w:t>Circunstancias de agravación punitiva</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La pena imponible de acuerdo con el artículo anterior se aumentará de la mitad a las tres cuartas partes si la conducta se cometiere mediando alguna de las causales contempladas por</w:t>
      </w:r>
      <w:r w:rsidR="00224F3A" w:rsidRPr="00414BF5">
        <w:rPr>
          <w:rFonts w:ascii="Arial" w:eastAsia="Calibri" w:hAnsi="Arial" w:cs="Arial"/>
          <w:sz w:val="24"/>
          <w:szCs w:val="24"/>
          <w:lang w:val="es-ES_tradnl"/>
        </w:rPr>
        <w:t xml:space="preserve"> el artículo 241 de este código</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highlight w:val="yellow"/>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 xml:space="preserve">Artículo 57. La Ley 599 de 2000 tendrá un nuevo artículo </w:t>
      </w:r>
      <w:r w:rsidR="00F359D8" w:rsidRPr="004C22C2">
        <w:rPr>
          <w:rFonts w:ascii="Arial" w:eastAsia="Calibri" w:hAnsi="Arial" w:cs="Arial"/>
          <w:sz w:val="24"/>
          <w:szCs w:val="24"/>
          <w:lang w:val="es-ES_tradnl"/>
        </w:rPr>
        <w:t>578</w:t>
      </w:r>
      <w:r w:rsidRPr="004C22C2">
        <w:rPr>
          <w:rFonts w:ascii="Arial" w:eastAsia="Calibri" w:hAnsi="Arial" w:cs="Arial"/>
          <w:sz w:val="24"/>
          <w:szCs w:val="24"/>
          <w:lang w:val="es-ES_tradnl"/>
        </w:rPr>
        <w:t>, así:</w:t>
      </w:r>
    </w:p>
    <w:p w:rsidR="00224F3A" w:rsidRPr="004C22C2" w:rsidRDefault="00224F3A"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b/>
          <w:bCs/>
          <w:sz w:val="24"/>
          <w:szCs w:val="24"/>
          <w:lang w:val="es-ES_tradnl"/>
        </w:rPr>
        <w:t xml:space="preserve">Artículo </w:t>
      </w:r>
      <w:r w:rsidR="00F359D8" w:rsidRPr="004C22C2">
        <w:rPr>
          <w:rFonts w:ascii="Arial" w:eastAsia="Calibri" w:hAnsi="Arial" w:cs="Arial"/>
          <w:b/>
          <w:bCs/>
          <w:sz w:val="24"/>
          <w:szCs w:val="24"/>
          <w:lang w:val="es-ES_tradnl"/>
        </w:rPr>
        <w:t>578</w:t>
      </w:r>
      <w:r w:rsidRPr="004C22C2">
        <w:rPr>
          <w:rFonts w:ascii="Arial" w:eastAsia="Calibri" w:hAnsi="Arial" w:cs="Arial"/>
          <w:b/>
          <w:bCs/>
          <w:sz w:val="24"/>
          <w:szCs w:val="24"/>
          <w:lang w:val="es-ES_tradnl"/>
        </w:rPr>
        <w:t>. </w:t>
      </w:r>
      <w:r w:rsidRPr="004C22C2">
        <w:rPr>
          <w:rFonts w:ascii="Arial" w:eastAsia="Calibri" w:hAnsi="Arial" w:cs="Arial"/>
          <w:b/>
          <w:bCs/>
          <w:i/>
          <w:iCs/>
          <w:sz w:val="24"/>
          <w:szCs w:val="24"/>
          <w:lang w:val="es-ES_tradnl"/>
        </w:rPr>
        <w:t>Circunstancias de atenuación punitiva</w:t>
      </w:r>
      <w:r w:rsidRPr="004C22C2">
        <w:rPr>
          <w:rFonts w:ascii="Arial" w:eastAsia="Calibri" w:hAnsi="Arial" w:cs="Arial"/>
          <w:i/>
          <w:iCs/>
          <w:sz w:val="24"/>
          <w:szCs w:val="24"/>
          <w:lang w:val="es-ES_tradnl"/>
        </w:rPr>
        <w:t>.</w:t>
      </w:r>
      <w:r w:rsidRPr="004C22C2">
        <w:rPr>
          <w:rFonts w:ascii="Arial" w:eastAsia="Calibri" w:hAnsi="Arial" w:cs="Arial"/>
          <w:sz w:val="24"/>
          <w:szCs w:val="24"/>
          <w:lang w:val="es-ES_tradnl"/>
        </w:rPr>
        <w:t xml:space="preserve"> La pena de las conductas punibles previstas en los artículos 239 y </w:t>
      </w:r>
      <w:r w:rsidR="00F359D8" w:rsidRPr="004C22C2">
        <w:rPr>
          <w:rFonts w:ascii="Arial" w:eastAsia="Calibri" w:hAnsi="Arial" w:cs="Arial"/>
          <w:sz w:val="24"/>
          <w:szCs w:val="24"/>
          <w:lang w:val="es-ES_tradnl"/>
        </w:rPr>
        <w:t xml:space="preserve">576 </w:t>
      </w:r>
      <w:r w:rsidRPr="004C22C2">
        <w:rPr>
          <w:rFonts w:ascii="Arial" w:eastAsia="Calibri" w:hAnsi="Arial" w:cs="Arial"/>
          <w:sz w:val="24"/>
          <w:szCs w:val="24"/>
          <w:lang w:val="es-ES_tradnl"/>
        </w:rPr>
        <w:t>será de multa cuando:</w:t>
      </w:r>
    </w:p>
    <w:p w:rsidR="00224F3A" w:rsidRPr="004C22C2" w:rsidRDefault="00224F3A"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El apoderamiento se cometiere con el fin de hacer uso de la cosa y se restituyere en término no mayor de veinticuatro (24) horas.</w:t>
      </w:r>
    </w:p>
    <w:p w:rsidR="00224F3A" w:rsidRPr="004C22C2" w:rsidRDefault="00224F3A"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Cuando la cosa se restituyere con daño o deterioro grave, la pena solo se reducirá hasta en una tercera parte, sin que pueda ser inferior a uno punto tres (1.3) unidades multa.</w:t>
      </w:r>
    </w:p>
    <w:p w:rsidR="00224F3A" w:rsidRPr="004C22C2"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 xml:space="preserve">La conducta se cometiere por socio, copropietario, comunero o heredero, o sobre cosa común indivisible o común divisible, excediendo su cuota parte. Este inciso no cobija los casos de conductas cometidas por socios de una </w:t>
      </w:r>
      <w:r w:rsidR="00224F3A" w:rsidRPr="004C22C2">
        <w:rPr>
          <w:rFonts w:ascii="Arial" w:eastAsia="Calibri" w:hAnsi="Arial" w:cs="Arial"/>
          <w:sz w:val="24"/>
          <w:szCs w:val="24"/>
          <w:lang w:val="es-ES_tradnl"/>
        </w:rPr>
        <w:t>sociedad legalmente constituida</w:t>
      </w:r>
      <w:r w:rsidRPr="004C22C2">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58. La Ley 599 de 2000 tendrá un nuevo artículo 579,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579. </w:t>
      </w:r>
      <w:r w:rsidRPr="00414BF5">
        <w:rPr>
          <w:rFonts w:ascii="Arial" w:eastAsia="Calibri" w:hAnsi="Arial" w:cs="Arial"/>
          <w:b/>
          <w:bCs/>
          <w:i/>
          <w:iCs/>
          <w:sz w:val="24"/>
          <w:szCs w:val="24"/>
          <w:lang w:val="es-ES_tradnl"/>
        </w:rPr>
        <w:t>Alteración, desfiguración y suplantación de marcas de ganado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altere, desfigure o suplante marca de ganado ajeno, o marque el que no le pertenezca, incurrirá en prisión de dieciséis (16) a treinta y seis (36) meses y multa de trece punto treinta y tres (13.33) a treinta (30) salarios mínimos legales mensuales vigentes, siempre que la conducta no constituya otra conducta punible.</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59. La Ley 599 de 2000 tendrá un nuevo artículo 580,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580. </w:t>
      </w:r>
      <w:r w:rsidRPr="00414BF5">
        <w:rPr>
          <w:rFonts w:ascii="Arial" w:eastAsia="Calibri" w:hAnsi="Arial" w:cs="Arial"/>
          <w:b/>
          <w:bCs/>
          <w:i/>
          <w:iCs/>
          <w:sz w:val="24"/>
          <w:szCs w:val="24"/>
          <w:lang w:val="es-ES_tradnl"/>
        </w:rPr>
        <w:t>Estafa contravencional</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El que obtenga provecho ilícito para sí o para un tercero, cuya cuantía no exceda de ciento cincuenta (150) salarios mínimos legales mensual es vigentes, con perjuicio ajeno, induciendo o manteniendo a otro en error por medio de artificios o engaños, incurrirá en prisión de veinte (20) a cien (100) meses y multa de sesenta y seis punto sesenta y seis (66.66) a mil doscientos (1.200) salarios mínimos legales mensuales vigentes.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pena será de prisión de dieciséis (16) meses a treinta y seis (36) meses y multa hasta de quince (15) salarios mínimos legales mensuales vigentes, cuando la cuantía no exceda de diez (10) salarios mínimos legales mensuales vigentes.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pena de prisión será de cuarenta y cinco (45) a ciento veinte (120) meses cuando medie alguna de las circunstancias previstas en</w:t>
      </w:r>
      <w:r w:rsidR="00224F3A" w:rsidRPr="00414BF5">
        <w:rPr>
          <w:rFonts w:ascii="Arial" w:eastAsia="Calibri" w:hAnsi="Arial" w:cs="Arial"/>
          <w:sz w:val="24"/>
          <w:szCs w:val="24"/>
          <w:lang w:val="es-ES_tradnl"/>
        </w:rPr>
        <w:t xml:space="preserve"> el artículo 247 de este código</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60. La Ley 599 de 2000 tendrá un nuevo artículo 581, así:</w:t>
      </w:r>
    </w:p>
    <w:p w:rsidR="00224F3A" w:rsidRPr="00414BF5" w:rsidRDefault="00224F3A"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581. </w:t>
      </w:r>
      <w:r w:rsidRPr="00414BF5">
        <w:rPr>
          <w:rFonts w:ascii="Arial" w:eastAsia="Calibri" w:hAnsi="Arial" w:cs="Arial"/>
          <w:b/>
          <w:bCs/>
          <w:i/>
          <w:iCs/>
          <w:sz w:val="24"/>
          <w:szCs w:val="24"/>
          <w:lang w:val="es-ES_tradnl"/>
        </w:rPr>
        <w:t>Emisión y transferencia ilegal de cheque</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emita o transfiera cheques sin tener suficiente provisión de fondos, o quien luego de emitirlo diere orden injustificada de no pago, incurrirá en prisión de dieciséis (16) a cincuenta y cuatro (54) meses, siempre que la conducta no constituya conducta punible sancionada con pena mayor.</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acción penal cesará por pago del cheque antes de la sentencia de primera instancia.</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emisión o transferencia de cheque posdatado o entregado en garantía no da lugar a acción penal.</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No podrá iniciarse la acción penal proveniente del giro o transferencia del cheque, si hubieren transcurrido seis meses, contados a partir de la fecha de la creación del mismo, sin haber sido presentado para su pago.</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pena será de multa cuando la cuantía no exceda de diez (10) salarios mín</w:t>
      </w:r>
      <w:r w:rsidR="00224F3A" w:rsidRPr="00414BF5">
        <w:rPr>
          <w:rFonts w:ascii="Arial" w:eastAsia="Calibri" w:hAnsi="Arial" w:cs="Arial"/>
          <w:sz w:val="24"/>
          <w:szCs w:val="24"/>
          <w:lang w:val="es-ES_tradnl"/>
        </w:rPr>
        <w:t>imos legales mensuales vigentes</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61. La Ley 599 de 2000 tendrá un nuevo artículo 582,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582. </w:t>
      </w:r>
      <w:r w:rsidRPr="00414BF5">
        <w:rPr>
          <w:rFonts w:ascii="Arial" w:eastAsia="Calibri" w:hAnsi="Arial" w:cs="Arial"/>
          <w:b/>
          <w:bCs/>
          <w:i/>
          <w:iCs/>
          <w:sz w:val="24"/>
          <w:szCs w:val="24"/>
          <w:lang w:val="es-ES_tradnl"/>
        </w:rPr>
        <w:t>Abuso de confianza</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El que se apropie en provecho suyo o de un tercero, de cosa mueble ajena, que se le haya confiado o entregado por un título no traslativo de dominio, incurrirá en prisión de dieciséis (16) a setenta y dos (72) meses y multa de trece punto treinta y tres (13.33) a trescientos (300) salarios mínimos legales mensuales vigentes.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pena será de prisión de dieciséis (16) a treinta y seis (36) meses y multa hasta de quince (15) salarios mínimos legales mensuales vigentes, cuando la cuantía no exceda de diez (10) salarios mínimos legales mensuales vigentes.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no hubiere apropiación sino uso indebido de la cosa con perjuicio de tercero, la pena se reducirá en la mitad.</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62. La Ley 599 de 2000 tendrá un nuevo artículo 583,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583. </w:t>
      </w:r>
      <w:r w:rsidRPr="00414BF5">
        <w:rPr>
          <w:rFonts w:ascii="Arial" w:eastAsia="Calibri" w:hAnsi="Arial" w:cs="Arial"/>
          <w:b/>
          <w:bCs/>
          <w:i/>
          <w:iCs/>
          <w:sz w:val="24"/>
          <w:szCs w:val="24"/>
          <w:lang w:val="es-ES_tradnl"/>
        </w:rPr>
        <w:t>Aprovechamiento de error ajeno o caso fortuito</w:t>
      </w:r>
      <w:r w:rsidRPr="00414BF5">
        <w:rPr>
          <w:rFonts w:ascii="Arial" w:eastAsia="Calibri" w:hAnsi="Arial" w:cs="Arial"/>
          <w:sz w:val="24"/>
          <w:szCs w:val="24"/>
          <w:lang w:val="es-ES_tradnl"/>
        </w:rPr>
        <w:t>. El que se apropie de bien que pertenezca a otro y en cuya posesión hubiere entrado por error ajeno o caso fortuito, incurrirá en prisión de dieciséis (16) a cincuenta y cuatro (54) meses.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pena será de prisión de dieciséis (16) a treinta y seis (36) meses cuando la cuantía no exceda de diez (10) salarios mín</w:t>
      </w:r>
      <w:r w:rsidR="00224F3A" w:rsidRPr="00414BF5">
        <w:rPr>
          <w:rFonts w:ascii="Arial" w:eastAsia="Calibri" w:hAnsi="Arial" w:cs="Arial"/>
          <w:sz w:val="24"/>
          <w:szCs w:val="24"/>
          <w:lang w:val="es-ES_tradnl"/>
        </w:rPr>
        <w:t>imos legales mensuales vigentes</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63. La Ley 599 de 2000 tendrá un nuevo artículo 584,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584. </w:t>
      </w:r>
      <w:r w:rsidRPr="00414BF5">
        <w:rPr>
          <w:rFonts w:ascii="Arial" w:eastAsia="Calibri" w:hAnsi="Arial" w:cs="Arial"/>
          <w:b/>
          <w:bCs/>
          <w:i/>
          <w:iCs/>
          <w:sz w:val="24"/>
          <w:szCs w:val="24"/>
          <w:lang w:val="es-ES_tradnl"/>
        </w:rPr>
        <w:t>Alzamiento de bienes</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alzare con sus bienes o los ocultare o cometiere cualquier otro fraude para perjudicar a su acreedor, incurrirá en prisión de dieciséis (16) a cincuenta y cuatro (54) meses y multa de trece punto treinta y tres (13.33) a trescientos (300) salarios mín</w:t>
      </w:r>
      <w:r w:rsidR="00224F3A" w:rsidRPr="00414BF5">
        <w:rPr>
          <w:rFonts w:ascii="Arial" w:eastAsia="Calibri" w:hAnsi="Arial" w:cs="Arial"/>
          <w:sz w:val="24"/>
          <w:szCs w:val="24"/>
          <w:lang w:val="es-ES_tradnl"/>
        </w:rPr>
        <w:t>imos legales mensuales vigentes</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64. La Ley 599 de 2000 tendrá un nuevo artículo 585,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585. </w:t>
      </w:r>
      <w:r w:rsidRPr="00414BF5">
        <w:rPr>
          <w:rFonts w:ascii="Arial" w:eastAsia="Calibri" w:hAnsi="Arial" w:cs="Arial"/>
          <w:b/>
          <w:bCs/>
          <w:i/>
          <w:iCs/>
          <w:sz w:val="24"/>
          <w:szCs w:val="24"/>
          <w:lang w:val="es-ES_tradnl"/>
        </w:rPr>
        <w:t>Sustracción de bien propio</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El dueño de bien mueble que lo sustraiga de quien lo tenga legítimamente en su poder, con perjuicio de este o</w:t>
      </w:r>
      <w:r w:rsidR="00224F3A" w:rsidRPr="00414BF5">
        <w:rPr>
          <w:rFonts w:ascii="Arial" w:eastAsia="Calibri" w:hAnsi="Arial" w:cs="Arial"/>
          <w:sz w:val="24"/>
          <w:szCs w:val="24"/>
          <w:lang w:val="es-ES_tradnl"/>
        </w:rPr>
        <w:t xml:space="preserve"> de tercero, incurrirá en multa</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65. La Ley 599 de 2000 tendrá un nuevo artículo 586, así:</w:t>
      </w:r>
    </w:p>
    <w:p w:rsidR="00224F3A" w:rsidRPr="00414BF5" w:rsidRDefault="00224F3A"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lastRenderedPageBreak/>
        <w:t>Artículo 586. </w:t>
      </w:r>
      <w:r w:rsidRPr="00414BF5">
        <w:rPr>
          <w:rFonts w:ascii="Arial" w:eastAsia="Calibri" w:hAnsi="Arial" w:cs="Arial"/>
          <w:b/>
          <w:bCs/>
          <w:i/>
          <w:iCs/>
          <w:sz w:val="24"/>
          <w:szCs w:val="24"/>
          <w:lang w:val="es-ES_tradnl"/>
        </w:rPr>
        <w:t>Disposición de bien propio gravado con prenda</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El deudor que con perjuicio del acreedor, abandone, oculte, transforme, enajene o por cualquier otro medio disponga de bien que hubiere gravado con prenda y cuya tenencia conservare, incurrirá en prisión de dieciséis (16) a setenta y dos (72) meses y multa de trece punto treinta y tres (13.33) a ciento cincuenta (150) salarios mín</w:t>
      </w:r>
      <w:r w:rsidR="00224F3A" w:rsidRPr="00414BF5">
        <w:rPr>
          <w:rFonts w:ascii="Arial" w:eastAsia="Calibri" w:hAnsi="Arial" w:cs="Arial"/>
          <w:sz w:val="24"/>
          <w:szCs w:val="24"/>
          <w:lang w:val="es-ES_tradnl"/>
        </w:rPr>
        <w:t>imos legales mensuales vigentes</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66. La Ley 599 de 2000 tendrá un nuevo artículo 587, así:</w:t>
      </w:r>
    </w:p>
    <w:p w:rsidR="00224F3A" w:rsidRPr="00414BF5" w:rsidRDefault="00224F3A"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587.</w:t>
      </w:r>
      <w:r w:rsidRPr="00414BF5">
        <w:rPr>
          <w:rFonts w:ascii="Arial" w:eastAsia="Calibri" w:hAnsi="Arial" w:cs="Arial"/>
          <w:b/>
          <w:bCs/>
          <w:i/>
          <w:iCs/>
          <w:sz w:val="24"/>
          <w:szCs w:val="24"/>
          <w:lang w:val="es-ES_tradnl"/>
        </w:rPr>
        <w:t> Defraudación de fluidos</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El que mediante cualquier mecanismo clandestino o alterando los sistemas de control o aparatos contadores, se apropie de energía eléctrica, agua, gas natural, o señal de telecomunicaciones, en perjuicio ajeno, incurrirá en prisión de dieciséis (16) a setenta y dos (72) meses y en multa de uno punto treinta y tres (1.33) a ciento cincuenta (150) salarios mín</w:t>
      </w:r>
      <w:r w:rsidR="00224F3A" w:rsidRPr="00414BF5">
        <w:rPr>
          <w:rFonts w:ascii="Arial" w:eastAsia="Calibri" w:hAnsi="Arial" w:cs="Arial"/>
          <w:sz w:val="24"/>
          <w:szCs w:val="24"/>
          <w:lang w:val="es-ES_tradnl"/>
        </w:rPr>
        <w:t>imos legales mensuales vigentes</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 xml:space="preserve">Artículo 67. La </w:t>
      </w:r>
      <w:r w:rsidR="00F359D8" w:rsidRPr="004C22C2">
        <w:rPr>
          <w:rFonts w:ascii="Arial" w:eastAsia="Calibri" w:hAnsi="Arial" w:cs="Arial"/>
          <w:sz w:val="24"/>
          <w:szCs w:val="24"/>
          <w:lang w:val="es-ES_tradnl"/>
        </w:rPr>
        <w:t>Ley 599 de 2000</w:t>
      </w:r>
      <w:r w:rsidRPr="004C22C2">
        <w:rPr>
          <w:rFonts w:ascii="Arial" w:eastAsia="Calibri" w:hAnsi="Arial" w:cs="Arial"/>
          <w:sz w:val="24"/>
          <w:szCs w:val="24"/>
          <w:lang w:val="es-ES_tradnl"/>
        </w:rPr>
        <w:t xml:space="preserve"> tendrá un nuevo artículo </w:t>
      </w:r>
      <w:r w:rsidR="00F359D8" w:rsidRPr="004C22C2">
        <w:rPr>
          <w:rFonts w:ascii="Arial" w:eastAsia="Calibri" w:hAnsi="Arial" w:cs="Arial"/>
          <w:sz w:val="24"/>
          <w:szCs w:val="24"/>
          <w:lang w:val="es-ES_tradnl"/>
        </w:rPr>
        <w:t>588</w:t>
      </w:r>
      <w:r w:rsidRPr="004C22C2">
        <w:rPr>
          <w:rFonts w:ascii="Arial" w:eastAsia="Calibri" w:hAnsi="Arial" w:cs="Arial"/>
          <w:sz w:val="24"/>
          <w:szCs w:val="24"/>
          <w:lang w:val="es-ES_tradnl"/>
        </w:rPr>
        <w:t>, así:</w:t>
      </w:r>
    </w:p>
    <w:p w:rsidR="00224F3A" w:rsidRPr="004C22C2" w:rsidRDefault="00224F3A"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b/>
          <w:bCs/>
          <w:sz w:val="24"/>
          <w:szCs w:val="24"/>
          <w:lang w:val="es-ES_tradnl"/>
        </w:rPr>
        <w:t xml:space="preserve">Artículo </w:t>
      </w:r>
      <w:r w:rsidR="00F359D8" w:rsidRPr="004C22C2">
        <w:rPr>
          <w:rFonts w:ascii="Arial" w:eastAsia="Calibri" w:hAnsi="Arial" w:cs="Arial"/>
          <w:b/>
          <w:bCs/>
          <w:sz w:val="24"/>
          <w:szCs w:val="24"/>
          <w:lang w:val="es-ES_tradnl"/>
        </w:rPr>
        <w:t>588</w:t>
      </w:r>
      <w:r w:rsidRPr="004C22C2">
        <w:rPr>
          <w:rFonts w:ascii="Arial" w:eastAsia="Calibri" w:hAnsi="Arial" w:cs="Arial"/>
          <w:b/>
          <w:bCs/>
          <w:sz w:val="24"/>
          <w:szCs w:val="24"/>
          <w:lang w:val="es-ES_tradnl"/>
        </w:rPr>
        <w:t>. </w:t>
      </w:r>
      <w:r w:rsidRPr="004C22C2">
        <w:rPr>
          <w:rFonts w:ascii="Arial" w:eastAsia="Calibri" w:hAnsi="Arial" w:cs="Arial"/>
          <w:b/>
          <w:bCs/>
          <w:i/>
          <w:iCs/>
          <w:sz w:val="24"/>
          <w:szCs w:val="24"/>
          <w:lang w:val="es-ES_tradnl"/>
        </w:rPr>
        <w:t>De la prestación, acceso o uso ilegales de los servicios de telecomunicaciones</w:t>
      </w:r>
      <w:r w:rsidRPr="004C22C2">
        <w:rPr>
          <w:rFonts w:ascii="Arial" w:eastAsia="Calibri" w:hAnsi="Arial" w:cs="Arial"/>
          <w:i/>
          <w:iCs/>
          <w:sz w:val="24"/>
          <w:szCs w:val="24"/>
          <w:lang w:val="es-ES_tradnl"/>
        </w:rPr>
        <w:t>.</w:t>
      </w:r>
      <w:r w:rsidRPr="004C22C2">
        <w:rPr>
          <w:rFonts w:ascii="Arial" w:eastAsia="Calibri" w:hAnsi="Arial" w:cs="Arial"/>
          <w:sz w:val="24"/>
          <w:szCs w:val="24"/>
          <w:lang w:val="es-ES_tradnl"/>
        </w:rPr>
        <w:t> El que, sin la correspondiente autorización de la autoridad competente, preste, acceda o use servicio de telefonía móvil, con ánimo de lucro, mediante copia o reproducción de señales de identificación de equipos terminales de estos servicios, o sus derivaciones, incurrirá en prisión de cuatro (4) a diez (10) años y en multa de quinientos (500) a mil (1.000) salarios mínimos legales mensuales vigentes.</w:t>
      </w:r>
    </w:p>
    <w:p w:rsidR="00224F3A" w:rsidRPr="004C22C2" w:rsidRDefault="00224F3A"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En las mismas penas incurrirá el que, sin la correspondiente autorización, preste, comercialice, acceda o use el servicio de telefonía pública básica local, local extendida, o de larga distancia, con ánimo de lucro.</w:t>
      </w:r>
    </w:p>
    <w:p w:rsidR="00224F3A" w:rsidRPr="004C22C2" w:rsidRDefault="00224F3A"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Iguales penas se impondrán a quien, sin la correspondiente autorización, acceda, preste, comercialice, acceda o use red, o cualquiera de los servicios de telecomunicaciones definidos en las normas vigentes.</w:t>
      </w:r>
    </w:p>
    <w:p w:rsidR="00224F3A" w:rsidRPr="004C22C2" w:rsidRDefault="00224F3A"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Parágrafo 1°. No incurrirán en las conductas tipificadas en el presente artículo quienes en virtud de un contrato con un operador autorizado comercialicen servicios de telecomunicaciones.</w:t>
      </w:r>
    </w:p>
    <w:p w:rsidR="00224F3A" w:rsidRPr="004C22C2"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Parágrafo 2º. No será punible a efectos del presente artículo la transferencia transitoria, con o sin ánimo de lucro, que el titular haga de equipos terminales de servicios de telecomunicaciones cuyo fin sea el de permitir a un tercero el uso individual del servicio respectivo.</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68. La Ley 599 de 2000 tendrá un nuevo artículo 589,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lastRenderedPageBreak/>
        <w:t>Artículo 589. </w:t>
      </w:r>
      <w:r w:rsidRPr="00414BF5">
        <w:rPr>
          <w:rFonts w:ascii="Arial" w:eastAsia="Calibri" w:hAnsi="Arial" w:cs="Arial"/>
          <w:b/>
          <w:bCs/>
          <w:i/>
          <w:iCs/>
          <w:sz w:val="24"/>
          <w:szCs w:val="24"/>
          <w:lang w:val="es-ES_tradnl"/>
        </w:rPr>
        <w:t>Malversación y dilapidación de bienes</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malverse o dilapide los bienes que administre en ejercicio de tutela o curatela, incurrirá en prisión de dieciséis (16) a treinta y seis (36) meses, siempre que la conducta no c</w:t>
      </w:r>
      <w:r w:rsidR="00224F3A" w:rsidRPr="00414BF5">
        <w:rPr>
          <w:rFonts w:ascii="Arial" w:eastAsia="Calibri" w:hAnsi="Arial" w:cs="Arial"/>
          <w:sz w:val="24"/>
          <w:szCs w:val="24"/>
          <w:lang w:val="es-ES_tradnl"/>
        </w:rPr>
        <w:t>onstituya otra conducta punible</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69. La Ley 599 de 2000 tendrá un nuevo artículo 590,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590. </w:t>
      </w:r>
      <w:r w:rsidRPr="00414BF5">
        <w:rPr>
          <w:rFonts w:ascii="Arial" w:eastAsia="Calibri" w:hAnsi="Arial" w:cs="Arial"/>
          <w:b/>
          <w:bCs/>
          <w:i/>
          <w:iCs/>
          <w:sz w:val="24"/>
          <w:szCs w:val="24"/>
          <w:lang w:val="es-ES_tradnl"/>
        </w:rPr>
        <w:t>Usurpación fraudulenta de inmuebles</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para apropiarse en todo o en parte de bien inmueble, o para derivar provecho de él destruya, altere, o suprima los mojones o señales que fijan sus linderos, o los cambie de sitio, incurrirá en prisión de cuarenta y ocho (48) a cincuenta y cuatro (54) meses y multa de trece punto treinta y tres (13.33) a setenta y cinco (75) salarios mínimos legales mensuales vigentes.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con el mismo propósito se desarrollan acciones jurídicas induciendo a error o con la complicidad, favorecimiento o coautoría de la autoridad notarial o de registro de instrumentos públicos, la pena será de prisión entre cuatro y diez años.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pena se duplicará, si la usurpación se desarrolla mediante el uso de la violencia o valiéndose de cualquiera de las conductas establecidas</w:t>
      </w:r>
      <w:r w:rsidR="00224F3A" w:rsidRPr="00414BF5">
        <w:rPr>
          <w:rFonts w:ascii="Arial" w:eastAsia="Calibri" w:hAnsi="Arial" w:cs="Arial"/>
          <w:sz w:val="24"/>
          <w:szCs w:val="24"/>
          <w:lang w:val="es-ES_tradnl"/>
        </w:rPr>
        <w:t xml:space="preserve"> en el Título XII de este libro</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70. La Ley 599 de 2000 tendrá un nuevo artículo 591,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591. </w:t>
      </w:r>
      <w:r w:rsidRPr="00414BF5">
        <w:rPr>
          <w:rFonts w:ascii="Arial" w:eastAsia="Calibri" w:hAnsi="Arial" w:cs="Arial"/>
          <w:b/>
          <w:bCs/>
          <w:i/>
          <w:iCs/>
          <w:sz w:val="24"/>
          <w:szCs w:val="24"/>
          <w:lang w:val="es-ES_tradnl"/>
        </w:rPr>
        <w:t>Usurpación de aguas</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con el fin de conseguir para sí o para otro un provecho ilícito y en perjuicio de tercero, desvíe el curso de las aguas públicas o privadas, o impida que corran por su cauce, o las utilice en mayor cantidad de la debida, o se apropie de terrenos de lagunas, ojos de agua, aguas subterráneas y demás fuentes hídricas, incurrirá en prisión de dieciséis (16) a cincuenta y cuatro (54) meses y multa de trece punto treinta y tres (13.33) a setenta y cinco (75) salarios mín</w:t>
      </w:r>
      <w:r w:rsidR="00224F3A" w:rsidRPr="00414BF5">
        <w:rPr>
          <w:rFonts w:ascii="Arial" w:eastAsia="Calibri" w:hAnsi="Arial" w:cs="Arial"/>
          <w:sz w:val="24"/>
          <w:szCs w:val="24"/>
          <w:lang w:val="es-ES_tradnl"/>
        </w:rPr>
        <w:t>imos legales mensuales vigentes</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71. La Ley 599 de 2000 tendrá un nuevo artículo 592,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592. </w:t>
      </w:r>
      <w:r w:rsidRPr="00414BF5">
        <w:rPr>
          <w:rFonts w:ascii="Arial" w:eastAsia="Calibri" w:hAnsi="Arial" w:cs="Arial"/>
          <w:b/>
          <w:bCs/>
          <w:i/>
          <w:iCs/>
          <w:sz w:val="24"/>
          <w:szCs w:val="24"/>
          <w:lang w:val="es-ES_tradnl"/>
        </w:rPr>
        <w:t>Invasión de tierras o edificaciones</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con el propósito de obtener para sí o para un tercero provecho il</w:t>
      </w:r>
      <w:r w:rsidR="00224F3A" w:rsidRPr="00414BF5">
        <w:rPr>
          <w:rFonts w:ascii="Arial" w:eastAsia="Calibri" w:hAnsi="Arial" w:cs="Arial"/>
          <w:sz w:val="24"/>
          <w:szCs w:val="24"/>
          <w:lang w:val="es-ES_tradnl"/>
        </w:rPr>
        <w:t>ícito, invada te</w:t>
      </w:r>
      <w:r w:rsidRPr="00414BF5">
        <w:rPr>
          <w:rFonts w:ascii="Arial" w:eastAsia="Calibri" w:hAnsi="Arial" w:cs="Arial"/>
          <w:sz w:val="24"/>
          <w:szCs w:val="24"/>
          <w:lang w:val="es-ES_tradnl"/>
        </w:rPr>
        <w:t>rreno o edificación ajenos, incurrirá en prisión de treinta y dos (32) a noventa (90) meses y multa de sesenta y seis punto sesenta y seis (66.66) a trescientos (300) salarios mínimos legales mensuales vigentes.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pena establecida en el inciso anterior será de cuatro (4) a ocho (8) años de prisión para el promotor, organizador o director de la invasión.</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El mismo incremento de la pena se aplicará cuando la invasión se produzca sobre terrenos ubicados en zona rural.</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Parágrafo. Las penas señaladas en los incisos precedentes se rebajarán hasta en las dos terceras partes, cuando antes de pronunciarse sentencia de primera o única instancia, cesen los actos de invasión y se produzca el desalojo total de los terrenos y edificaciones que hubieren si</w:t>
      </w:r>
      <w:r w:rsidR="00224F3A" w:rsidRPr="00414BF5">
        <w:rPr>
          <w:rFonts w:ascii="Arial" w:eastAsia="Calibri" w:hAnsi="Arial" w:cs="Arial"/>
          <w:sz w:val="24"/>
          <w:szCs w:val="24"/>
          <w:lang w:val="es-ES_tradnl"/>
        </w:rPr>
        <w:t>do invadidos</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72. La Ley 599 de 2000 tendrá un nuevo artículo 593,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593. </w:t>
      </w:r>
      <w:r w:rsidRPr="00414BF5">
        <w:rPr>
          <w:rFonts w:ascii="Arial" w:eastAsia="Calibri" w:hAnsi="Arial" w:cs="Arial"/>
          <w:b/>
          <w:bCs/>
          <w:i/>
          <w:iCs/>
          <w:sz w:val="24"/>
          <w:szCs w:val="24"/>
          <w:lang w:val="es-ES_tradnl"/>
        </w:rPr>
        <w:t>Perturbación de la posesión sobre inmueble</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El que fuera de los casos previstos en el artículo anterior y por medio de violencia sobre las personas o las cosas, perturbe la pacífica posesión que otro tenga de bienes inmuebles, incurrirá en prisión de dieciséis (16) a treinta y seis (36) meses, y multa de seis punto sesenta y seis (6.66) a treinta (30) salarios mín</w:t>
      </w:r>
      <w:r w:rsidR="00224F3A" w:rsidRPr="00414BF5">
        <w:rPr>
          <w:rFonts w:ascii="Arial" w:eastAsia="Calibri" w:hAnsi="Arial" w:cs="Arial"/>
          <w:sz w:val="24"/>
          <w:szCs w:val="24"/>
          <w:lang w:val="es-ES_tradnl"/>
        </w:rPr>
        <w:t>imos legales mensuales vigentes</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73. La Ley 599 de 2000 tendrá un nuevo artículo 594,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594. </w:t>
      </w:r>
      <w:r w:rsidRPr="00414BF5">
        <w:rPr>
          <w:rFonts w:ascii="Arial" w:eastAsia="Calibri" w:hAnsi="Arial" w:cs="Arial"/>
          <w:b/>
          <w:bCs/>
          <w:i/>
          <w:iCs/>
          <w:sz w:val="24"/>
          <w:szCs w:val="24"/>
          <w:lang w:val="es-ES_tradnl"/>
        </w:rPr>
        <w:t>Daño contravencional en bien ajeno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destruya, inutilice, haga desaparecer o de cualquier otro modo dañe bien ajeno, mueble o inmueble incurrirá en prisión de dieciséis (16) a noventa (90) meses y multa de seis punto sesenta y seis (6.66) a treinta y siete punto cinco (37.5) salarios mínimos legales mensuales vigentes, siempre que la conducta no constituya conducta punible sancionada con pena mayor.</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pena será de dieciséis (16) a treinta y seis (36) meses de prisión y multa hasta de quince (15) salarios mínimos legales mensuales vigentes, cuando el monto del daño no exceda de diez (10) salarios mínimos legales mensuales vigentes.</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se resarciere el daño ocasionado al ofendido o perjudicado antes de proferirse sentencia de primera o única instancia, habrá lugar al proferimiento de resolución inhibitoria, preclusión de la investigac</w:t>
      </w:r>
      <w:r w:rsidR="00224F3A" w:rsidRPr="00414BF5">
        <w:rPr>
          <w:rFonts w:ascii="Arial" w:eastAsia="Calibri" w:hAnsi="Arial" w:cs="Arial"/>
          <w:sz w:val="24"/>
          <w:szCs w:val="24"/>
          <w:lang w:val="es-ES_tradnl"/>
        </w:rPr>
        <w:t>ión o cesación de procedimiento</w:t>
      </w:r>
      <w:r w:rsidRPr="00414BF5">
        <w:rPr>
          <w:rFonts w:ascii="Arial" w:eastAsia="Calibri" w:hAnsi="Arial" w:cs="Arial"/>
          <w:sz w:val="24"/>
          <w:szCs w:val="24"/>
          <w:lang w:val="es-ES_tradnl"/>
        </w:rPr>
        <w:t>.</w:t>
      </w:r>
    </w:p>
    <w:p w:rsidR="00224F3A" w:rsidRPr="00414BF5" w:rsidRDefault="00224F3A" w:rsidP="00704C86">
      <w:pPr>
        <w:spacing w:after="0" w:line="240" w:lineRule="auto"/>
        <w:jc w:val="both"/>
        <w:rPr>
          <w:rFonts w:ascii="Arial" w:eastAsia="Calibri" w:hAnsi="Arial" w:cs="Arial"/>
          <w:sz w:val="24"/>
          <w:szCs w:val="24"/>
          <w:lang w:val="es-ES_tradnl"/>
        </w:rPr>
      </w:pP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74. La Ley 599 de 2000 tendrá un nuevo artículo 595, así:</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595. </w:t>
      </w:r>
      <w:r w:rsidRPr="00414BF5">
        <w:rPr>
          <w:rFonts w:ascii="Arial" w:eastAsia="Calibri" w:hAnsi="Arial" w:cs="Arial"/>
          <w:b/>
          <w:bCs/>
          <w:i/>
          <w:iCs/>
          <w:sz w:val="24"/>
          <w:szCs w:val="24"/>
          <w:lang w:val="es-ES_tradnl"/>
        </w:rPr>
        <w:t>Disposiciones comunes a este título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Las penas para las contravenciones descritas en los artículos anteriores, se aumentarán de una tercera parte a la mitad cuando la conducta se cometa:</w:t>
      </w:r>
    </w:p>
    <w:p w:rsidR="00224F3A" w:rsidRPr="00414BF5" w:rsidRDefault="00224F3A" w:rsidP="00704C86">
      <w:pPr>
        <w:spacing w:after="0" w:line="240" w:lineRule="auto"/>
        <w:jc w:val="both"/>
        <w:rPr>
          <w:rFonts w:ascii="Arial" w:eastAsia="Calibri" w:hAnsi="Arial" w:cs="Arial"/>
          <w:sz w:val="24"/>
          <w:szCs w:val="24"/>
          <w:lang w:val="es-CO"/>
        </w:rPr>
      </w:pPr>
    </w:p>
    <w:p w:rsidR="00704C86" w:rsidRPr="00414BF5" w:rsidRDefault="00704C86" w:rsidP="00224F3A">
      <w:pPr>
        <w:pStyle w:val="Prrafodelista"/>
        <w:numPr>
          <w:ilvl w:val="0"/>
          <w:numId w:val="31"/>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Sobre una cosa cuyo valor fuere superior a cien (100) salarios mínimos legales mensuales vigentes, o que siendo inferior, haya ocasionado grave daño a la víctima, atendida su situación económica.</w:t>
      </w:r>
    </w:p>
    <w:p w:rsidR="00224F3A" w:rsidRPr="00414BF5" w:rsidRDefault="00224F3A" w:rsidP="00224F3A">
      <w:pPr>
        <w:pStyle w:val="Prrafodelista"/>
        <w:spacing w:after="0" w:line="240" w:lineRule="auto"/>
        <w:jc w:val="both"/>
        <w:rPr>
          <w:rFonts w:ascii="Arial" w:eastAsia="Calibri" w:hAnsi="Arial" w:cs="Arial"/>
          <w:sz w:val="24"/>
          <w:szCs w:val="24"/>
          <w:lang w:val="es-CO"/>
        </w:rPr>
      </w:pPr>
    </w:p>
    <w:p w:rsidR="00704C86" w:rsidRPr="00414BF5" w:rsidRDefault="00704C86" w:rsidP="00224F3A">
      <w:pPr>
        <w:pStyle w:val="Prrafodelista"/>
        <w:numPr>
          <w:ilvl w:val="0"/>
          <w:numId w:val="31"/>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Sobre bienes del Estado.</w:t>
      </w:r>
    </w:p>
    <w:p w:rsidR="00224F3A" w:rsidRPr="00414BF5" w:rsidRDefault="00224F3A" w:rsidP="00224F3A">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lastRenderedPageBreak/>
        <w:t>Las penas se disminuirán de una tercera parte a la mitad, cuando la conducta se cometa sobre cosa cuyo valor sea inferior a un (1) salario mínimo legal mensual, siempre que el agente no tenga antecedentes penales y que no haya ocasionado grave daño a la víctima, atendida su situación económica.</w:t>
      </w:r>
    </w:p>
    <w:p w:rsidR="00EE4E10" w:rsidRPr="00414BF5" w:rsidRDefault="00EE4E10"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El juez disminuirá las penas de la mitad a las tres cuartas partes, si antes de dictarse sentencia de primera o única instancia, el responsable restituyere el objeto material del delito o su valor, e indemnizare los perjuicios ocasio</w:t>
      </w:r>
      <w:r w:rsidR="00EE4E10" w:rsidRPr="00414BF5">
        <w:rPr>
          <w:rFonts w:ascii="Arial" w:eastAsia="Calibri" w:hAnsi="Arial" w:cs="Arial"/>
          <w:sz w:val="24"/>
          <w:szCs w:val="24"/>
          <w:lang w:val="es-ES_tradnl"/>
        </w:rPr>
        <w:t>nados al ofendido o perjudicado</w:t>
      </w:r>
      <w:r w:rsidRPr="00414BF5">
        <w:rPr>
          <w:rFonts w:ascii="Arial" w:eastAsia="Calibri" w:hAnsi="Arial" w:cs="Arial"/>
          <w:sz w:val="24"/>
          <w:szCs w:val="24"/>
          <w:lang w:val="es-ES_tradnl"/>
        </w:rPr>
        <w:t>.</w:t>
      </w:r>
    </w:p>
    <w:p w:rsidR="00EE4E10" w:rsidRPr="00414BF5" w:rsidRDefault="00EE4E10" w:rsidP="00704C86">
      <w:pPr>
        <w:spacing w:after="0" w:line="240" w:lineRule="auto"/>
        <w:jc w:val="both"/>
        <w:rPr>
          <w:rFonts w:ascii="Arial" w:eastAsia="Calibri" w:hAnsi="Arial" w:cs="Arial"/>
          <w:sz w:val="24"/>
          <w:szCs w:val="24"/>
          <w:lang w:val="es-ES_tradnl"/>
        </w:rPr>
      </w:pPr>
    </w:p>
    <w:p w:rsidR="00EE4E10" w:rsidRPr="00414BF5" w:rsidRDefault="00EE4E10"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75. La Ley 599 de 2000 tendrá un nuevo Título XX dentro de su Libro Tercero, con el siguiente nombre:</w:t>
      </w:r>
    </w:p>
    <w:p w:rsidR="00EE4E10" w:rsidRPr="00414BF5" w:rsidRDefault="00EE4E10" w:rsidP="00704C86">
      <w:pPr>
        <w:spacing w:after="0" w:line="240" w:lineRule="auto"/>
        <w:jc w:val="both"/>
        <w:rPr>
          <w:rFonts w:ascii="Arial" w:eastAsia="Calibri" w:hAnsi="Arial" w:cs="Arial"/>
          <w:sz w:val="24"/>
          <w:szCs w:val="24"/>
          <w:lang w:val="es-CO"/>
        </w:rPr>
      </w:pPr>
    </w:p>
    <w:p w:rsidR="00704C86" w:rsidRPr="00414BF5" w:rsidRDefault="00704C86" w:rsidP="00EE4E10">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X</w:t>
      </w:r>
    </w:p>
    <w:p w:rsidR="00704C86" w:rsidRPr="00414BF5" w:rsidRDefault="00704C86" w:rsidP="00EE4E10">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CONTRA</w:t>
      </w:r>
      <w:r w:rsidR="00EE4E10" w:rsidRPr="00414BF5">
        <w:rPr>
          <w:rFonts w:ascii="Arial" w:eastAsia="Calibri" w:hAnsi="Arial" w:cs="Arial"/>
          <w:sz w:val="24"/>
          <w:szCs w:val="24"/>
          <w:lang w:val="es-ES_tradnl"/>
        </w:rPr>
        <w:t>VENCIONES CONTRA </w:t>
      </w:r>
      <w:r w:rsidR="00EE4E10" w:rsidRPr="00414BF5">
        <w:rPr>
          <w:rFonts w:ascii="Arial" w:eastAsia="Calibri" w:hAnsi="Arial" w:cs="Arial"/>
          <w:sz w:val="24"/>
          <w:szCs w:val="24"/>
          <w:lang w:val="es-ES_tradnl"/>
        </w:rPr>
        <w:br/>
        <w:t>LA FE PÚBLICA</w:t>
      </w:r>
    </w:p>
    <w:p w:rsidR="00EE4E10" w:rsidRPr="00414BF5" w:rsidRDefault="00EE4E10" w:rsidP="00704C86">
      <w:pPr>
        <w:spacing w:after="0" w:line="240" w:lineRule="auto"/>
        <w:jc w:val="both"/>
        <w:rPr>
          <w:rFonts w:ascii="Arial" w:eastAsia="Calibri" w:hAnsi="Arial" w:cs="Arial"/>
          <w:sz w:val="24"/>
          <w:szCs w:val="24"/>
          <w:lang w:val="es-ES_tradnl"/>
        </w:rPr>
      </w:pPr>
    </w:p>
    <w:p w:rsidR="00EE4E10" w:rsidRPr="00414BF5" w:rsidRDefault="00EE4E10"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76. La Ley 599 de 2000 tendrá un nuevo artículo 596, así:</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596. </w:t>
      </w:r>
      <w:r w:rsidRPr="00414BF5">
        <w:rPr>
          <w:rFonts w:ascii="Arial" w:eastAsia="Calibri" w:hAnsi="Arial" w:cs="Arial"/>
          <w:b/>
          <w:bCs/>
          <w:i/>
          <w:iCs/>
          <w:sz w:val="24"/>
          <w:szCs w:val="24"/>
          <w:lang w:val="es-ES_tradnl"/>
        </w:rPr>
        <w:t>Falsificación o uso fraudulento de sello oficial</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falsifique sello oficial o use fraudulentamente el legítimo, en los casos que legalmente s</w:t>
      </w:r>
      <w:r w:rsidR="005E03BB" w:rsidRPr="00414BF5">
        <w:rPr>
          <w:rFonts w:ascii="Arial" w:eastAsia="Calibri" w:hAnsi="Arial" w:cs="Arial"/>
          <w:sz w:val="24"/>
          <w:szCs w:val="24"/>
          <w:lang w:val="es-ES_tradnl"/>
        </w:rPr>
        <w:t>e requieran, incurrirá en multa</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77. La Ley 599 de 2000 tendrá un nuevo artículo 597, así:</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597. </w:t>
      </w:r>
      <w:r w:rsidRPr="00414BF5">
        <w:rPr>
          <w:rFonts w:ascii="Arial" w:eastAsia="Calibri" w:hAnsi="Arial" w:cs="Arial"/>
          <w:b/>
          <w:bCs/>
          <w:i/>
          <w:iCs/>
          <w:sz w:val="24"/>
          <w:szCs w:val="24"/>
          <w:lang w:val="es-ES_tradnl"/>
        </w:rPr>
        <w:t>Circulación y uso de efecto oficial o sello falsificado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sin haber concurrido a la falsificación use o haga circular sello oficial o estampi</w:t>
      </w:r>
      <w:r w:rsidR="005E03BB" w:rsidRPr="00414BF5">
        <w:rPr>
          <w:rFonts w:ascii="Arial" w:eastAsia="Calibri" w:hAnsi="Arial" w:cs="Arial"/>
          <w:sz w:val="24"/>
          <w:szCs w:val="24"/>
          <w:lang w:val="es-ES_tradnl"/>
        </w:rPr>
        <w:t>lla oficial, incurrirá en multa</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78. La Ley 599 de 2000 tendrá un nuevo artículo 598 así:</w:t>
      </w:r>
    </w:p>
    <w:p w:rsidR="005E03BB" w:rsidRPr="00414BF5" w:rsidRDefault="005E03BB"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598. </w:t>
      </w:r>
      <w:r w:rsidRPr="00414BF5">
        <w:rPr>
          <w:rFonts w:ascii="Arial" w:eastAsia="Calibri" w:hAnsi="Arial" w:cs="Arial"/>
          <w:b/>
          <w:bCs/>
          <w:i/>
          <w:iCs/>
          <w:sz w:val="24"/>
          <w:szCs w:val="24"/>
          <w:lang w:val="es-ES_tradnl"/>
        </w:rPr>
        <w:t>Supresión de signo de anulación de efecto oficial</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suprima leyenda, sello o signo de anulación de estampi</w:t>
      </w:r>
      <w:r w:rsidR="005E03BB" w:rsidRPr="00414BF5">
        <w:rPr>
          <w:rFonts w:ascii="Arial" w:eastAsia="Calibri" w:hAnsi="Arial" w:cs="Arial"/>
          <w:sz w:val="24"/>
          <w:szCs w:val="24"/>
          <w:lang w:val="es-ES_tradnl"/>
        </w:rPr>
        <w:t>lla oficial, incurrirá en multa</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79. La Ley 599 de 2000 tendrá un nuevo artículo 599, así:</w:t>
      </w:r>
    </w:p>
    <w:p w:rsidR="005E03BB" w:rsidRPr="00414BF5" w:rsidRDefault="005E03BB"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599</w:t>
      </w:r>
      <w:r w:rsidRPr="00414BF5">
        <w:rPr>
          <w:rFonts w:ascii="Arial" w:eastAsia="Calibri" w:hAnsi="Arial" w:cs="Arial"/>
          <w:b/>
          <w:bCs/>
          <w:i/>
          <w:iCs/>
          <w:sz w:val="24"/>
          <w:szCs w:val="24"/>
          <w:lang w:val="es-ES_tradnl"/>
        </w:rPr>
        <w:t>. Uso y circulación de efecto oficial anulado.</w:t>
      </w:r>
      <w:r w:rsidRPr="00414BF5">
        <w:rPr>
          <w:rFonts w:ascii="Arial" w:eastAsia="Calibri" w:hAnsi="Arial" w:cs="Arial"/>
          <w:sz w:val="24"/>
          <w:szCs w:val="24"/>
          <w:lang w:val="es-ES_tradnl"/>
        </w:rPr>
        <w:t> El que use o ponga en circulación efecto oficial a que se refiere el artícu</w:t>
      </w:r>
      <w:r w:rsidR="005E03BB" w:rsidRPr="00414BF5">
        <w:rPr>
          <w:rFonts w:ascii="Arial" w:eastAsia="Calibri" w:hAnsi="Arial" w:cs="Arial"/>
          <w:sz w:val="24"/>
          <w:szCs w:val="24"/>
          <w:lang w:val="es-ES_tradnl"/>
        </w:rPr>
        <w:t>lo anterior, incurrirá en multa</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80. La Ley 599 de 2000 tendrá un nuevo artículo 600, así:</w:t>
      </w:r>
    </w:p>
    <w:p w:rsidR="005E03BB" w:rsidRPr="00414BF5" w:rsidRDefault="005E03BB"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600. </w:t>
      </w:r>
      <w:r w:rsidRPr="00414BF5">
        <w:rPr>
          <w:rFonts w:ascii="Arial" w:eastAsia="Calibri" w:hAnsi="Arial" w:cs="Arial"/>
          <w:b/>
          <w:bCs/>
          <w:i/>
          <w:iCs/>
          <w:sz w:val="24"/>
          <w:szCs w:val="24"/>
          <w:lang w:val="es-ES_tradnl"/>
        </w:rPr>
        <w:t>Falsedad para obtener prueba de hecho verdadero</w:t>
      </w:r>
      <w:r w:rsidRPr="00414BF5">
        <w:rPr>
          <w:rFonts w:ascii="Arial" w:eastAsia="Calibri" w:hAnsi="Arial" w:cs="Arial"/>
          <w:sz w:val="24"/>
          <w:szCs w:val="24"/>
          <w:lang w:val="es-ES_tradnl"/>
        </w:rPr>
        <w:t>. El que realice una de las conductas descritas en este título, con el fin de obtener para sí o para otro medio de prueba de hech</w:t>
      </w:r>
      <w:r w:rsidR="005E03BB" w:rsidRPr="00414BF5">
        <w:rPr>
          <w:rFonts w:ascii="Arial" w:eastAsia="Calibri" w:hAnsi="Arial" w:cs="Arial"/>
          <w:sz w:val="24"/>
          <w:szCs w:val="24"/>
          <w:lang w:val="es-ES_tradnl"/>
        </w:rPr>
        <w:t>o verdadero, incurrirá en multa</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81. La Ley 599 de 2000 tendrá un nuevo artículo 601, así:</w:t>
      </w:r>
    </w:p>
    <w:p w:rsidR="005E03BB" w:rsidRPr="00414BF5" w:rsidRDefault="005E03BB"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601. </w:t>
      </w:r>
      <w:r w:rsidRPr="00414BF5">
        <w:rPr>
          <w:rFonts w:ascii="Arial" w:eastAsia="Calibri" w:hAnsi="Arial" w:cs="Arial"/>
          <w:b/>
          <w:bCs/>
          <w:i/>
          <w:iCs/>
          <w:sz w:val="24"/>
          <w:szCs w:val="24"/>
          <w:lang w:val="es-ES_tradnl"/>
        </w:rPr>
        <w:t>Falsedad personal.</w:t>
      </w:r>
      <w:r w:rsidRPr="00414BF5">
        <w:rPr>
          <w:rFonts w:ascii="Arial" w:eastAsia="Calibri" w:hAnsi="Arial" w:cs="Arial"/>
          <w:sz w:val="24"/>
          <w:szCs w:val="24"/>
          <w:lang w:val="es-ES_tradnl"/>
        </w:rPr>
        <w:t> El que con el fin de obtener un provecho para sí o para otro, o causar daño, sustituya o suplante a una persona o se atribuya nombre, edad, estado civil, o calidad que pueda tener efectos jurídicos, incurrirá en multa, siempre que la con</w:t>
      </w:r>
      <w:r w:rsidR="005E03BB" w:rsidRPr="00414BF5">
        <w:rPr>
          <w:rFonts w:ascii="Arial" w:eastAsia="Calibri" w:hAnsi="Arial" w:cs="Arial"/>
          <w:sz w:val="24"/>
          <w:szCs w:val="24"/>
          <w:lang w:val="es-ES_tradnl"/>
        </w:rPr>
        <w:t>ducta no constituya otro delito</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82. La Ley 599 de 2000 tendrá un nuevo Título XXI dentro de su Libro Tercero, con el siguiente nombre:</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5E03BB">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XI</w:t>
      </w:r>
    </w:p>
    <w:p w:rsidR="00704C86" w:rsidRPr="00414BF5" w:rsidRDefault="00704C86" w:rsidP="005E03BB">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CONTRAVENCIONES CONTRA EL ORDEN ECONÓMICO SOCIAL</w:t>
      </w:r>
    </w:p>
    <w:p w:rsidR="005E03BB" w:rsidRPr="00414BF5" w:rsidRDefault="005E03BB" w:rsidP="005E03BB">
      <w:pPr>
        <w:spacing w:after="0" w:line="240" w:lineRule="auto"/>
        <w:jc w:val="center"/>
        <w:rPr>
          <w:rFonts w:ascii="Arial" w:eastAsia="Calibri" w:hAnsi="Arial" w:cs="Arial"/>
          <w:sz w:val="24"/>
          <w:szCs w:val="24"/>
          <w:lang w:val="es-ES_tradnl"/>
        </w:rPr>
      </w:pPr>
    </w:p>
    <w:p w:rsidR="005E03BB" w:rsidRPr="00414BF5" w:rsidRDefault="005E03BB" w:rsidP="005E03BB">
      <w:pPr>
        <w:spacing w:after="0" w:line="240" w:lineRule="auto"/>
        <w:jc w:val="center"/>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83. La Ley 599 de 2000 tendrá un nuevo artículo 602, así:</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602. </w:t>
      </w:r>
      <w:r w:rsidRPr="00414BF5">
        <w:rPr>
          <w:rFonts w:ascii="Arial" w:eastAsia="Calibri" w:hAnsi="Arial" w:cs="Arial"/>
          <w:b/>
          <w:bCs/>
          <w:i/>
          <w:iCs/>
          <w:sz w:val="24"/>
          <w:szCs w:val="24"/>
          <w:lang w:val="es-ES_tradnl"/>
        </w:rPr>
        <w:t>Ofrecimiento engañoso de productos y servicios</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productor, distribuidor, proveedor, comerciante, importador, expendedor o intermediario que ofrezca al público bienes o servicios en forma masiva, sin que los mismos correspondan a la calidad, cantidad, componente, peso, volumen, medida e idoneidad anunciada en marcas, leyendas, propaganda, registro, licencia o en la disposición que haya oficializado la norma técnica corr</w:t>
      </w:r>
      <w:r w:rsidR="005E03BB" w:rsidRPr="00414BF5">
        <w:rPr>
          <w:rFonts w:ascii="Arial" w:eastAsia="Calibri" w:hAnsi="Arial" w:cs="Arial"/>
          <w:sz w:val="24"/>
          <w:szCs w:val="24"/>
          <w:lang w:val="es-ES_tradnl"/>
        </w:rPr>
        <w:t>espondiente, incurrirá en multa</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84. La Ley 599 de 2000 tendrá un nuevo artículo 603, así:</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603. </w:t>
      </w:r>
      <w:r w:rsidRPr="00414BF5">
        <w:rPr>
          <w:rFonts w:ascii="Arial" w:eastAsia="Calibri" w:hAnsi="Arial" w:cs="Arial"/>
          <w:b/>
          <w:bCs/>
          <w:i/>
          <w:iCs/>
          <w:sz w:val="24"/>
          <w:szCs w:val="24"/>
          <w:lang w:val="es-ES_tradnl"/>
        </w:rPr>
        <w:t>Usura</w:t>
      </w:r>
      <w:r w:rsidRPr="00414BF5">
        <w:rPr>
          <w:rFonts w:ascii="Arial" w:eastAsia="Calibri" w:hAnsi="Arial" w:cs="Arial"/>
          <w:sz w:val="24"/>
          <w:szCs w:val="24"/>
          <w:lang w:val="es-ES_tradnl"/>
        </w:rPr>
        <w:t>. El que reciba o cobre, directa o indirectamente, a cambio de préstamo de dinero o por concepto de venta de bienes o servicios a plazo, utilidad o ventaja que exceda en la mitad del interés bancario corriente que para el período correspondiente estén cobrando los bancos, según certificación de la Superintendencia Financiera, cualquiera sea la forma utilizada para hacer constar la operación, ocultarla o disimularla, incurrirá en prisión de treinta y dos (32) a noventa (90) meses y multa de sesenta y seis punto sesenta y seis (66.66) a trescientos (300) salarios mínimos legales mensuales vigentes.</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 xml:space="preserve">El que compre cheque, sueldo, salario o prestación social en los términos y condiciones previstos en este artículo, incurrirá en prisión de cuarenta y ocho (48) a ciento veintiséis </w:t>
      </w:r>
      <w:r w:rsidRPr="00414BF5">
        <w:rPr>
          <w:rFonts w:ascii="Arial" w:eastAsia="Calibri" w:hAnsi="Arial" w:cs="Arial"/>
          <w:sz w:val="24"/>
          <w:szCs w:val="24"/>
          <w:lang w:val="es-ES_tradnl"/>
        </w:rPr>
        <w:lastRenderedPageBreak/>
        <w:t>(126) meses y multa de ciento treinta y tres punto treinta y tres (133.33) a seiscientos (600) salarios mínimos legales mensuales vigentes.</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 xml:space="preserve">Cuando la utilidad o ventaja triplique el interés bancario corriente que para el período correspondiente estén cobrando los bancos, según certificación de la Superintendencia Financiera o quien haga sus veces, la pena se aumentará de la </w:t>
      </w:r>
      <w:r w:rsidR="005E03BB" w:rsidRPr="00414BF5">
        <w:rPr>
          <w:rFonts w:ascii="Arial" w:eastAsia="Calibri" w:hAnsi="Arial" w:cs="Arial"/>
          <w:sz w:val="24"/>
          <w:szCs w:val="24"/>
          <w:lang w:val="es-ES_tradnl"/>
        </w:rPr>
        <w:t>mitad a las tres cuartas partes</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85. La Ley 599 de 2000 tendrá un nuevo Título XXII dentro de su Libro Tercero, con el siguiente nombre:</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5E03BB">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XII</w:t>
      </w:r>
    </w:p>
    <w:p w:rsidR="00704C86" w:rsidRPr="00414BF5" w:rsidRDefault="00704C86" w:rsidP="005E03BB">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CONTRAVENCIONES CONTRA </w:t>
      </w:r>
      <w:r w:rsidRPr="00414BF5">
        <w:rPr>
          <w:rFonts w:ascii="Arial" w:eastAsia="Calibri" w:hAnsi="Arial" w:cs="Arial"/>
          <w:sz w:val="24"/>
          <w:szCs w:val="24"/>
          <w:lang w:val="es-ES_tradnl"/>
        </w:rPr>
        <w:br/>
        <w:t>LA SEGURIDAD PÚBLICA</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86. La Ley 599 de 2000 tendrá un nuevo artículo 604, así:</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604. </w:t>
      </w:r>
      <w:r w:rsidRPr="00414BF5">
        <w:rPr>
          <w:rFonts w:ascii="Arial" w:eastAsia="Calibri" w:hAnsi="Arial" w:cs="Arial"/>
          <w:b/>
          <w:bCs/>
          <w:i/>
          <w:iCs/>
          <w:sz w:val="24"/>
          <w:szCs w:val="24"/>
          <w:lang w:val="es-ES_tradnl"/>
        </w:rPr>
        <w:t>Instigación a delinquir contravencional</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publica y directamente incite a otro u otros a la comisión de un determinado delito o género</w:t>
      </w:r>
      <w:r w:rsidR="005E03BB" w:rsidRPr="00414BF5">
        <w:rPr>
          <w:rFonts w:ascii="Arial" w:eastAsia="Calibri" w:hAnsi="Arial" w:cs="Arial"/>
          <w:sz w:val="24"/>
          <w:szCs w:val="24"/>
          <w:lang w:val="es-ES_tradnl"/>
        </w:rPr>
        <w:t xml:space="preserve"> de delitos, incurrirá en multa</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87. La Ley 599 de 2000 tendrá un nuevo artículo 605, así:</w:t>
      </w:r>
    </w:p>
    <w:p w:rsidR="005E03BB" w:rsidRPr="00414BF5" w:rsidRDefault="005E03BB"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605. </w:t>
      </w:r>
      <w:r w:rsidRPr="00414BF5">
        <w:rPr>
          <w:rFonts w:ascii="Arial" w:eastAsia="Calibri" w:hAnsi="Arial" w:cs="Arial"/>
          <w:b/>
          <w:bCs/>
          <w:i/>
          <w:iCs/>
          <w:sz w:val="24"/>
          <w:szCs w:val="24"/>
          <w:lang w:val="es-ES_tradnl"/>
        </w:rPr>
        <w:t>Pánico</w:t>
      </w:r>
      <w:r w:rsidRPr="00414BF5">
        <w:rPr>
          <w:rFonts w:ascii="Arial" w:eastAsia="Calibri" w:hAnsi="Arial" w:cs="Arial"/>
          <w:sz w:val="24"/>
          <w:szCs w:val="24"/>
          <w:lang w:val="es-ES_tradnl"/>
        </w:rPr>
        <w:t>. El que por cualquier medio suscite pánico en lugar público, abierto al público o en transport</w:t>
      </w:r>
      <w:r w:rsidR="005E03BB" w:rsidRPr="00414BF5">
        <w:rPr>
          <w:rFonts w:ascii="Arial" w:eastAsia="Calibri" w:hAnsi="Arial" w:cs="Arial"/>
          <w:sz w:val="24"/>
          <w:szCs w:val="24"/>
          <w:lang w:val="es-ES_tradnl"/>
        </w:rPr>
        <w:t>e colectivo, incurrirá en multa</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88. La Ley 599 de 2000 tendrá un nuevo artículo 606, así:</w:t>
      </w:r>
    </w:p>
    <w:p w:rsidR="005E03BB" w:rsidRPr="00414BF5" w:rsidRDefault="005E03BB"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606</w:t>
      </w:r>
      <w:r w:rsidRPr="00414BF5">
        <w:rPr>
          <w:rFonts w:ascii="Arial" w:eastAsia="Calibri" w:hAnsi="Arial" w:cs="Arial"/>
          <w:sz w:val="24"/>
          <w:szCs w:val="24"/>
          <w:lang w:val="es-ES_tradnl"/>
        </w:rPr>
        <w:t>. Porte de objetos peligrosos al interior de un escenario deportivo o cultural. El que porte o ingrese armas blancas u objetos peligrosos al interior de un escenario deportivo o cultural incurrirá en multa de cinco (5) a diez (10) salarios mínimos legales mensuales vigentes y prohibición de acudir al escenario deportivo o cultural de</w:t>
      </w:r>
      <w:r w:rsidR="005E03BB" w:rsidRPr="00414BF5">
        <w:rPr>
          <w:rFonts w:ascii="Arial" w:eastAsia="Calibri" w:hAnsi="Arial" w:cs="Arial"/>
          <w:sz w:val="24"/>
          <w:szCs w:val="24"/>
          <w:lang w:val="es-ES_tradnl"/>
        </w:rPr>
        <w:t xml:space="preserve"> seis (6) meses a tres (3) años</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89. La Ley 599 de 2000 tendrá un nuevo Título XXIII dentro de su Libro Tercero, con el siguiente nombre:</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5E03BB">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XIII</w:t>
      </w:r>
    </w:p>
    <w:p w:rsidR="00704C86" w:rsidRPr="00414BF5" w:rsidRDefault="00704C86" w:rsidP="005E03BB">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CONTRAVENCIONES CO</w:t>
      </w:r>
      <w:r w:rsidR="005E03BB" w:rsidRPr="00414BF5">
        <w:rPr>
          <w:rFonts w:ascii="Arial" w:eastAsia="Calibri" w:hAnsi="Arial" w:cs="Arial"/>
          <w:sz w:val="24"/>
          <w:szCs w:val="24"/>
          <w:lang w:val="es-ES_tradnl"/>
        </w:rPr>
        <w:t>NTRA LA </w:t>
      </w:r>
      <w:r w:rsidR="005E03BB" w:rsidRPr="00414BF5">
        <w:rPr>
          <w:rFonts w:ascii="Arial" w:eastAsia="Calibri" w:hAnsi="Arial" w:cs="Arial"/>
          <w:sz w:val="24"/>
          <w:szCs w:val="24"/>
          <w:lang w:val="es-ES_tradnl"/>
        </w:rPr>
        <w:br/>
        <w:t>ADMINISTRACIÓN PÚBLICA</w:t>
      </w:r>
    </w:p>
    <w:p w:rsidR="005E03BB" w:rsidRPr="00414BF5" w:rsidRDefault="005E03BB" w:rsidP="005E03BB">
      <w:pPr>
        <w:spacing w:after="0" w:line="240" w:lineRule="auto"/>
        <w:jc w:val="center"/>
        <w:rPr>
          <w:rFonts w:ascii="Arial" w:eastAsia="Calibri" w:hAnsi="Arial" w:cs="Arial"/>
          <w:sz w:val="24"/>
          <w:szCs w:val="24"/>
          <w:lang w:val="es-ES_tradnl"/>
        </w:rPr>
      </w:pPr>
    </w:p>
    <w:p w:rsidR="005E03BB" w:rsidRPr="00414BF5" w:rsidRDefault="005E03BB" w:rsidP="005E03BB">
      <w:pPr>
        <w:spacing w:after="0" w:line="240" w:lineRule="auto"/>
        <w:jc w:val="center"/>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90. La Ley 599 de 2000 tendrá un nuevo artículo 607, así:</w:t>
      </w:r>
    </w:p>
    <w:p w:rsidR="005E03BB" w:rsidRPr="00414BF5" w:rsidRDefault="005E03BB"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607. </w:t>
      </w:r>
      <w:r w:rsidRPr="00414BF5">
        <w:rPr>
          <w:rFonts w:ascii="Arial" w:eastAsia="Calibri" w:hAnsi="Arial" w:cs="Arial"/>
          <w:b/>
          <w:bCs/>
          <w:i/>
          <w:iCs/>
          <w:sz w:val="24"/>
          <w:szCs w:val="24"/>
          <w:lang w:val="es-ES_tradnl"/>
        </w:rPr>
        <w:t>Abuso de autoridad por acto arbitrario e injusto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Servidor público que fuera de los casos especialmente previstos como conductas punibles, con ocasión de sus funciones o excediéndose en el ejercicio de ellas, cometa acto arbitrario e injusto, incurrirá en multa y pér</w:t>
      </w:r>
      <w:r w:rsidR="005E03BB" w:rsidRPr="00414BF5">
        <w:rPr>
          <w:rFonts w:ascii="Arial" w:eastAsia="Calibri" w:hAnsi="Arial" w:cs="Arial"/>
          <w:sz w:val="24"/>
          <w:szCs w:val="24"/>
          <w:lang w:val="es-ES_tradnl"/>
        </w:rPr>
        <w:t>dida del empleo o cargo público</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highlight w:val="yellow"/>
          <w:lang w:val="es-ES_tradnl"/>
        </w:rPr>
      </w:pPr>
    </w:p>
    <w:p w:rsidR="005E03BB" w:rsidRPr="00414BF5" w:rsidRDefault="005E03BB" w:rsidP="00704C86">
      <w:pPr>
        <w:spacing w:after="0" w:line="240" w:lineRule="auto"/>
        <w:jc w:val="both"/>
        <w:rPr>
          <w:rFonts w:ascii="Arial" w:eastAsia="Calibri" w:hAnsi="Arial" w:cs="Arial"/>
          <w:sz w:val="24"/>
          <w:szCs w:val="24"/>
          <w:highlight w:val="yellow"/>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 xml:space="preserve">Artículo 91. La Ley 599 de 2000 tendrá un nuevo artículo </w:t>
      </w:r>
      <w:r w:rsidR="00FF5209" w:rsidRPr="004C22C2">
        <w:rPr>
          <w:rFonts w:ascii="Arial" w:eastAsia="Calibri" w:hAnsi="Arial" w:cs="Arial"/>
          <w:sz w:val="24"/>
          <w:szCs w:val="24"/>
          <w:lang w:val="es-ES_tradnl"/>
        </w:rPr>
        <w:t>608</w:t>
      </w:r>
      <w:r w:rsidRPr="004C22C2">
        <w:rPr>
          <w:rFonts w:ascii="Arial" w:eastAsia="Calibri" w:hAnsi="Arial" w:cs="Arial"/>
          <w:sz w:val="24"/>
          <w:szCs w:val="24"/>
          <w:lang w:val="es-ES_tradnl"/>
        </w:rPr>
        <w:t>, así:</w:t>
      </w:r>
    </w:p>
    <w:p w:rsidR="005E03BB" w:rsidRPr="004C22C2" w:rsidRDefault="005E03BB"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b/>
          <w:bCs/>
          <w:sz w:val="24"/>
          <w:szCs w:val="24"/>
          <w:lang w:val="es-ES_tradnl"/>
        </w:rPr>
        <w:t xml:space="preserve">Artículo </w:t>
      </w:r>
      <w:r w:rsidR="00FF5209" w:rsidRPr="004C22C2">
        <w:rPr>
          <w:rFonts w:ascii="Arial" w:eastAsia="Calibri" w:hAnsi="Arial" w:cs="Arial"/>
          <w:b/>
          <w:bCs/>
          <w:sz w:val="24"/>
          <w:szCs w:val="24"/>
          <w:lang w:val="es-ES_tradnl"/>
        </w:rPr>
        <w:t>608</w:t>
      </w:r>
      <w:r w:rsidRPr="004C22C2">
        <w:rPr>
          <w:rFonts w:ascii="Arial" w:eastAsia="Calibri" w:hAnsi="Arial" w:cs="Arial"/>
          <w:b/>
          <w:bCs/>
          <w:sz w:val="24"/>
          <w:szCs w:val="24"/>
          <w:lang w:val="es-ES_tradnl"/>
        </w:rPr>
        <w:t>. </w:t>
      </w:r>
      <w:r w:rsidRPr="004C22C2">
        <w:rPr>
          <w:rFonts w:ascii="Arial" w:eastAsia="Calibri" w:hAnsi="Arial" w:cs="Arial"/>
          <w:b/>
          <w:bCs/>
          <w:i/>
          <w:iCs/>
          <w:sz w:val="24"/>
          <w:szCs w:val="24"/>
          <w:lang w:val="es-ES_tradnl"/>
        </w:rPr>
        <w:t>Abuso contravencional de autoridad por omisión de denuncia</w:t>
      </w:r>
      <w:r w:rsidRPr="004C22C2">
        <w:rPr>
          <w:rFonts w:ascii="Arial" w:eastAsia="Calibri" w:hAnsi="Arial" w:cs="Arial"/>
          <w:sz w:val="24"/>
          <w:szCs w:val="24"/>
          <w:lang w:val="es-ES_tradnl"/>
        </w:rPr>
        <w:t>. El servidor público que teniendo conocimiento de la comisión de una conducta punible cuya averiguación deba adelantarse de oficio, no dé cuenta a la autoridad, incurrirá en multa y pér</w:t>
      </w:r>
      <w:r w:rsidR="005E03BB" w:rsidRPr="004C22C2">
        <w:rPr>
          <w:rFonts w:ascii="Arial" w:eastAsia="Calibri" w:hAnsi="Arial" w:cs="Arial"/>
          <w:sz w:val="24"/>
          <w:szCs w:val="24"/>
          <w:lang w:val="es-ES_tradnl"/>
        </w:rPr>
        <w:t>dida del empleo o cargo público</w:t>
      </w:r>
      <w:r w:rsidRPr="004C22C2">
        <w:rPr>
          <w:rFonts w:ascii="Arial" w:eastAsia="Calibri" w:hAnsi="Arial" w:cs="Arial"/>
          <w:sz w:val="24"/>
          <w:szCs w:val="24"/>
          <w:lang w:val="es-ES_tradnl"/>
        </w:rPr>
        <w:t>.</w:t>
      </w:r>
    </w:p>
    <w:p w:rsidR="005E03BB" w:rsidRPr="004C22C2" w:rsidRDefault="005E03BB" w:rsidP="00704C86">
      <w:pPr>
        <w:spacing w:after="0" w:line="240" w:lineRule="auto"/>
        <w:jc w:val="both"/>
        <w:rPr>
          <w:rFonts w:ascii="Arial" w:eastAsia="Calibri" w:hAnsi="Arial" w:cs="Arial"/>
          <w:sz w:val="24"/>
          <w:szCs w:val="24"/>
          <w:lang w:val="es-ES_tradnl"/>
        </w:rPr>
      </w:pPr>
    </w:p>
    <w:p w:rsidR="005E03BB" w:rsidRPr="004C22C2" w:rsidRDefault="005E03BB"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 xml:space="preserve">Artículo 92. La Ley 599 de 2000 tendrá un nuevo artículo </w:t>
      </w:r>
      <w:r w:rsidR="00FF5209" w:rsidRPr="004C22C2">
        <w:rPr>
          <w:rFonts w:ascii="Arial" w:eastAsia="Calibri" w:hAnsi="Arial" w:cs="Arial"/>
          <w:sz w:val="24"/>
          <w:szCs w:val="24"/>
          <w:lang w:val="es-ES_tradnl"/>
        </w:rPr>
        <w:t>609</w:t>
      </w:r>
      <w:r w:rsidRPr="004C22C2">
        <w:rPr>
          <w:rFonts w:ascii="Arial" w:eastAsia="Calibri" w:hAnsi="Arial" w:cs="Arial"/>
          <w:sz w:val="24"/>
          <w:szCs w:val="24"/>
          <w:lang w:val="es-ES_tradnl"/>
        </w:rPr>
        <w:t>, así:</w:t>
      </w:r>
    </w:p>
    <w:p w:rsidR="005E03BB" w:rsidRPr="004C22C2" w:rsidRDefault="005E03BB"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b/>
          <w:bCs/>
          <w:sz w:val="24"/>
          <w:szCs w:val="24"/>
          <w:lang w:val="es-ES_tradnl"/>
        </w:rPr>
        <w:t xml:space="preserve">Artículo </w:t>
      </w:r>
      <w:r w:rsidR="00FF5209" w:rsidRPr="004C22C2">
        <w:rPr>
          <w:rFonts w:ascii="Arial" w:eastAsia="Calibri" w:hAnsi="Arial" w:cs="Arial"/>
          <w:b/>
          <w:bCs/>
          <w:sz w:val="24"/>
          <w:szCs w:val="24"/>
          <w:lang w:val="es-ES_tradnl"/>
        </w:rPr>
        <w:t>609</w:t>
      </w:r>
      <w:r w:rsidRPr="004C22C2">
        <w:rPr>
          <w:rFonts w:ascii="Arial" w:eastAsia="Calibri" w:hAnsi="Arial" w:cs="Arial"/>
          <w:b/>
          <w:bCs/>
          <w:sz w:val="24"/>
          <w:szCs w:val="24"/>
          <w:lang w:val="es-ES_tradnl"/>
        </w:rPr>
        <w:t>. </w:t>
      </w:r>
      <w:r w:rsidRPr="004C22C2">
        <w:rPr>
          <w:rFonts w:ascii="Arial" w:eastAsia="Calibri" w:hAnsi="Arial" w:cs="Arial"/>
          <w:b/>
          <w:bCs/>
          <w:i/>
          <w:iCs/>
          <w:sz w:val="24"/>
          <w:szCs w:val="24"/>
          <w:lang w:val="es-ES_tradnl"/>
        </w:rPr>
        <w:t>Revelación contravencional de secreto</w:t>
      </w:r>
      <w:r w:rsidRPr="004C22C2">
        <w:rPr>
          <w:rFonts w:ascii="Arial" w:eastAsia="Calibri" w:hAnsi="Arial" w:cs="Arial"/>
          <w:i/>
          <w:iCs/>
          <w:sz w:val="24"/>
          <w:szCs w:val="24"/>
          <w:lang w:val="es-ES_tradnl"/>
        </w:rPr>
        <w:t>.</w:t>
      </w:r>
      <w:r w:rsidRPr="004C22C2">
        <w:rPr>
          <w:rFonts w:ascii="Arial" w:eastAsia="Calibri" w:hAnsi="Arial" w:cs="Arial"/>
          <w:sz w:val="24"/>
          <w:szCs w:val="24"/>
          <w:lang w:val="es-ES_tradnl"/>
        </w:rPr>
        <w:t> El servidor público que indebidamente dé a conocer documento o noticia que deba mantener en secreto o reserva, incurrirá en multa y pér</w:t>
      </w:r>
      <w:r w:rsidR="005E03BB" w:rsidRPr="004C22C2">
        <w:rPr>
          <w:rFonts w:ascii="Arial" w:eastAsia="Calibri" w:hAnsi="Arial" w:cs="Arial"/>
          <w:sz w:val="24"/>
          <w:szCs w:val="24"/>
          <w:lang w:val="es-ES_tradnl"/>
        </w:rPr>
        <w:t>dida del empleo o cargo público</w:t>
      </w:r>
      <w:r w:rsidRPr="004C22C2">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highlight w:val="yellow"/>
          <w:lang w:val="es-ES_tradnl"/>
        </w:rPr>
      </w:pPr>
    </w:p>
    <w:p w:rsidR="005E03BB" w:rsidRPr="00414BF5" w:rsidRDefault="005E03BB" w:rsidP="00704C86">
      <w:pPr>
        <w:spacing w:after="0" w:line="240" w:lineRule="auto"/>
        <w:jc w:val="both"/>
        <w:rPr>
          <w:rFonts w:ascii="Arial" w:eastAsia="Calibri" w:hAnsi="Arial" w:cs="Arial"/>
          <w:sz w:val="24"/>
          <w:szCs w:val="24"/>
          <w:highlight w:val="yellow"/>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CO"/>
        </w:rPr>
        <w:t>Artículo 93. La Ley 599 de 2000 tendrá un nuevo artículo 610, así:</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610. </w:t>
      </w:r>
      <w:r w:rsidRPr="00414BF5">
        <w:rPr>
          <w:rFonts w:ascii="Arial" w:eastAsia="Calibri" w:hAnsi="Arial" w:cs="Arial"/>
          <w:b/>
          <w:bCs/>
          <w:i/>
          <w:iCs/>
          <w:sz w:val="24"/>
          <w:szCs w:val="24"/>
          <w:lang w:val="es-ES_tradnl"/>
        </w:rPr>
        <w:t>Utilización de asunto sometido a secreto o reserva</w:t>
      </w:r>
      <w:r w:rsidRPr="00414BF5">
        <w:rPr>
          <w:rFonts w:ascii="Arial" w:eastAsia="Calibri" w:hAnsi="Arial" w:cs="Arial"/>
          <w:sz w:val="24"/>
          <w:szCs w:val="24"/>
          <w:lang w:val="es-ES_tradnl"/>
        </w:rPr>
        <w:t>. El servidor público que utilice en provecho propio o ajeno, descubrimiento científico, u otra información o dato llegados a su conocimiento por razón de sus funciones y que deban permanecer en secreto o reserva, incurrirá en multa y pérdida del empleo o cargo público, siempre que no constituya otra conducta pu</w:t>
      </w:r>
      <w:r w:rsidR="005E03BB" w:rsidRPr="00414BF5">
        <w:rPr>
          <w:rFonts w:ascii="Arial" w:eastAsia="Calibri" w:hAnsi="Arial" w:cs="Arial"/>
          <w:sz w:val="24"/>
          <w:szCs w:val="24"/>
          <w:lang w:val="es-ES_tradnl"/>
        </w:rPr>
        <w:t>nible sancionada con pena mayor</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94. La Ley 599 de 2000 tendrá un nuevo artículo 611, así:</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611. </w:t>
      </w:r>
      <w:r w:rsidRPr="00414BF5">
        <w:rPr>
          <w:rFonts w:ascii="Arial" w:eastAsia="Calibri" w:hAnsi="Arial" w:cs="Arial"/>
          <w:b/>
          <w:bCs/>
          <w:i/>
          <w:iCs/>
          <w:sz w:val="24"/>
          <w:szCs w:val="24"/>
          <w:lang w:val="es-ES_tradnl"/>
        </w:rPr>
        <w:t>Utilización indebida de información oficial privilegiada</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El servidor público que como empleado o directivo o miembro de una junta u órgano de administración de cualquier entidad pública, que haga uso indebido de información que haya conocido por razón o con ocasión de sus funciones y que no sea objeto de conocimiento público, con el fin de obtener provecho para sí o para un tercero, sea este persona natural o jurídica, incurrirá en multa y pér</w:t>
      </w:r>
      <w:r w:rsidR="005E03BB" w:rsidRPr="00414BF5">
        <w:rPr>
          <w:rFonts w:ascii="Arial" w:eastAsia="Calibri" w:hAnsi="Arial" w:cs="Arial"/>
          <w:sz w:val="24"/>
          <w:szCs w:val="24"/>
          <w:lang w:val="es-ES_tradnl"/>
        </w:rPr>
        <w:t>dida del empleo o cargo público</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sz w:val="24"/>
          <w:szCs w:val="24"/>
          <w:lang w:val="es-ES_tradnl"/>
        </w:rPr>
        <w:t xml:space="preserve">Artículo 95. La Ley 599 de 2000 tendrá un nuevo artículo </w:t>
      </w:r>
      <w:r w:rsidR="00FF5209" w:rsidRPr="004C22C2">
        <w:rPr>
          <w:rFonts w:ascii="Arial" w:eastAsia="Calibri" w:hAnsi="Arial" w:cs="Arial"/>
          <w:sz w:val="24"/>
          <w:szCs w:val="24"/>
          <w:lang w:val="es-ES_tradnl"/>
        </w:rPr>
        <w:t>612</w:t>
      </w:r>
      <w:r w:rsidRPr="004C22C2">
        <w:rPr>
          <w:rFonts w:ascii="Arial" w:eastAsia="Calibri" w:hAnsi="Arial" w:cs="Arial"/>
          <w:sz w:val="24"/>
          <w:szCs w:val="24"/>
          <w:lang w:val="es-ES_tradnl"/>
        </w:rPr>
        <w:t>, así:</w:t>
      </w:r>
    </w:p>
    <w:p w:rsidR="005E03BB" w:rsidRPr="004C22C2"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b/>
          <w:bCs/>
          <w:sz w:val="24"/>
          <w:szCs w:val="24"/>
          <w:lang w:val="es-ES_tradnl"/>
        </w:rPr>
        <w:t xml:space="preserve">Artículo </w:t>
      </w:r>
      <w:r w:rsidR="00FF5209" w:rsidRPr="004C22C2">
        <w:rPr>
          <w:rFonts w:ascii="Arial" w:eastAsia="Calibri" w:hAnsi="Arial" w:cs="Arial"/>
          <w:b/>
          <w:bCs/>
          <w:sz w:val="24"/>
          <w:szCs w:val="24"/>
          <w:lang w:val="es-ES_tradnl"/>
        </w:rPr>
        <w:t>612</w:t>
      </w:r>
      <w:r w:rsidRPr="004C22C2">
        <w:rPr>
          <w:rFonts w:ascii="Arial" w:eastAsia="Calibri" w:hAnsi="Arial" w:cs="Arial"/>
          <w:b/>
          <w:bCs/>
          <w:sz w:val="24"/>
          <w:szCs w:val="24"/>
          <w:lang w:val="es-ES_tradnl"/>
        </w:rPr>
        <w:t>. </w:t>
      </w:r>
      <w:r w:rsidRPr="004C22C2">
        <w:rPr>
          <w:rFonts w:ascii="Arial" w:eastAsia="Calibri" w:hAnsi="Arial" w:cs="Arial"/>
          <w:b/>
          <w:bCs/>
          <w:i/>
          <w:iCs/>
          <w:sz w:val="24"/>
          <w:szCs w:val="24"/>
          <w:lang w:val="es-ES_tradnl"/>
        </w:rPr>
        <w:t>Asesoramiento contravencional y otras actuaciones ilegales</w:t>
      </w:r>
      <w:r w:rsidRPr="004C22C2">
        <w:rPr>
          <w:rFonts w:ascii="Arial" w:eastAsia="Calibri" w:hAnsi="Arial" w:cs="Arial"/>
          <w:sz w:val="24"/>
          <w:szCs w:val="24"/>
          <w:lang w:val="es-ES_tradnl"/>
        </w:rPr>
        <w:t>. El servidor público que ilegalmente represente, litigue, gestione o asesore en asunto judicia</w:t>
      </w:r>
      <w:r w:rsidR="005E03BB" w:rsidRPr="004C22C2">
        <w:rPr>
          <w:rFonts w:ascii="Arial" w:eastAsia="Calibri" w:hAnsi="Arial" w:cs="Arial"/>
          <w:sz w:val="24"/>
          <w:szCs w:val="24"/>
          <w:lang w:val="es-ES_tradnl"/>
        </w:rPr>
        <w:t>l, administrativo o policivo, i</w:t>
      </w:r>
      <w:r w:rsidRPr="004C22C2">
        <w:rPr>
          <w:rFonts w:ascii="Arial" w:eastAsia="Calibri" w:hAnsi="Arial" w:cs="Arial"/>
          <w:sz w:val="24"/>
          <w:szCs w:val="24"/>
          <w:lang w:val="es-ES_tradnl"/>
        </w:rPr>
        <w:t xml:space="preserve">ncurrirá en multa y pérdida del empleo </w:t>
      </w:r>
      <w:r w:rsidR="005E03BB" w:rsidRPr="004C22C2">
        <w:rPr>
          <w:rFonts w:ascii="Arial" w:eastAsia="Calibri" w:hAnsi="Arial" w:cs="Arial"/>
          <w:sz w:val="24"/>
          <w:szCs w:val="24"/>
          <w:lang w:val="es-ES_tradnl"/>
        </w:rPr>
        <w:t>o cargo público</w:t>
      </w:r>
      <w:r w:rsidRPr="004C22C2">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96. La Ley 599 de 2000 tendrá un nuevo artículo 613, así:</w:t>
      </w:r>
    </w:p>
    <w:p w:rsidR="005E03BB" w:rsidRPr="00414BF5" w:rsidRDefault="005E03BB"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613. </w:t>
      </w:r>
      <w:r w:rsidRPr="00414BF5">
        <w:rPr>
          <w:rFonts w:ascii="Arial" w:eastAsia="Calibri" w:hAnsi="Arial" w:cs="Arial"/>
          <w:b/>
          <w:bCs/>
          <w:i/>
          <w:iCs/>
          <w:sz w:val="24"/>
          <w:szCs w:val="24"/>
          <w:lang w:val="es-ES_tradnl"/>
        </w:rPr>
        <w:t>Intervención en política</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El servidor público que ejerza jurisdicción, autoridad civil o política, cargo de dirección administrativa, o se desempeñe en los órganos judicial, electoral, de control, que forme parte de comités, juntas o directorios políticos, o utilice su poder para favorecer o perjudicar electoralmente a un candidato, partido o movimiento político, incurrirá en multa y pérdida del empleo o cargo público.</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Se exceptúan de lo dispuesto en el inciso anterior los miembros de las corporacion</w:t>
      </w:r>
      <w:r w:rsidR="005E03BB" w:rsidRPr="00414BF5">
        <w:rPr>
          <w:rFonts w:ascii="Arial" w:eastAsia="Calibri" w:hAnsi="Arial" w:cs="Arial"/>
          <w:sz w:val="24"/>
          <w:szCs w:val="24"/>
          <w:lang w:val="es-ES_tradnl"/>
        </w:rPr>
        <w:t>es públicas de elección popular</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97. La Ley 599 de 2000 tendrá un nuevo artículo 614 así:</w:t>
      </w:r>
    </w:p>
    <w:p w:rsidR="005E03BB" w:rsidRPr="00414BF5" w:rsidRDefault="005E03BB"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614.</w:t>
      </w:r>
      <w:r w:rsidRPr="00414BF5">
        <w:rPr>
          <w:rFonts w:ascii="Arial" w:eastAsia="Calibri" w:hAnsi="Arial" w:cs="Arial"/>
          <w:b/>
          <w:bCs/>
          <w:i/>
          <w:iCs/>
          <w:sz w:val="24"/>
          <w:szCs w:val="24"/>
          <w:lang w:val="es-ES_tradnl"/>
        </w:rPr>
        <w:t> Utilización indebida de información obtenida en el ejercicio de función pública.</w:t>
      </w:r>
      <w:r w:rsidRPr="00414BF5">
        <w:rPr>
          <w:rFonts w:ascii="Arial" w:eastAsia="Calibri" w:hAnsi="Arial" w:cs="Arial"/>
          <w:sz w:val="24"/>
          <w:szCs w:val="24"/>
          <w:lang w:val="es-ES_tradnl"/>
        </w:rPr>
        <w:t> El que habiéndose desempeñado como servidor público durante el año inmediatamente anterior utilice, en provecho propio o de un tercero, información obtenida en calidad de tal y que no sea objeto de conocimiento público, inc</w:t>
      </w:r>
      <w:r w:rsidR="005E03BB" w:rsidRPr="00414BF5">
        <w:rPr>
          <w:rFonts w:ascii="Arial" w:eastAsia="Calibri" w:hAnsi="Arial" w:cs="Arial"/>
          <w:sz w:val="24"/>
          <w:szCs w:val="24"/>
          <w:lang w:val="es-ES_tradnl"/>
        </w:rPr>
        <w:t>urrirá en multa</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98. La Ley 599 de 2000 tendrá un nuevo artículo 615, así:</w:t>
      </w:r>
    </w:p>
    <w:p w:rsidR="005E03BB" w:rsidRPr="00414BF5" w:rsidRDefault="005E03BB"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615. </w:t>
      </w:r>
      <w:r w:rsidRPr="00414BF5">
        <w:rPr>
          <w:rFonts w:ascii="Arial" w:eastAsia="Calibri" w:hAnsi="Arial" w:cs="Arial"/>
          <w:b/>
          <w:bCs/>
          <w:i/>
          <w:iCs/>
          <w:sz w:val="24"/>
          <w:szCs w:val="24"/>
          <w:lang w:val="es-ES_tradnl"/>
        </w:rPr>
        <w:t>Utilización indebida de influencias derivadas del ejercicio de función pública</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habiéndose desempeñado como servidor público durante el año inmediatamente anterior utilice, en provecho propio o de un tercero, influencias derivadas del ejercicio del cargo o de la función cumplida, con el fin de obtener ventajas en un trám</w:t>
      </w:r>
      <w:r w:rsidR="005E03BB" w:rsidRPr="00414BF5">
        <w:rPr>
          <w:rFonts w:ascii="Arial" w:eastAsia="Calibri" w:hAnsi="Arial" w:cs="Arial"/>
          <w:sz w:val="24"/>
          <w:szCs w:val="24"/>
          <w:lang w:val="es-ES_tradnl"/>
        </w:rPr>
        <w:t>ite oficial, incurrirá en multa</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99. La Ley 599 de 2000 tendrá un nuevo Título XXIV dentro de su Libro Tercero, con el siguiente nombre:</w:t>
      </w:r>
    </w:p>
    <w:p w:rsidR="005E03BB" w:rsidRPr="00414BF5" w:rsidRDefault="005E03BB" w:rsidP="00704C86">
      <w:pPr>
        <w:spacing w:after="0" w:line="240" w:lineRule="auto"/>
        <w:jc w:val="both"/>
        <w:rPr>
          <w:rFonts w:ascii="Arial" w:eastAsia="Calibri" w:hAnsi="Arial" w:cs="Arial"/>
          <w:sz w:val="24"/>
          <w:szCs w:val="24"/>
          <w:lang w:val="es-ES_tradnl"/>
        </w:rPr>
      </w:pPr>
    </w:p>
    <w:p w:rsidR="00704C86" w:rsidRPr="00414BF5" w:rsidRDefault="00704C86" w:rsidP="005E03BB">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XIV</w:t>
      </w:r>
    </w:p>
    <w:p w:rsidR="00704C86" w:rsidRPr="00414BF5" w:rsidRDefault="00704C86" w:rsidP="005E03BB">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 xml:space="preserve">CONTRAVENCIONES CONTRA LA EFICAZ </w:t>
      </w:r>
      <w:r w:rsidR="005E03BB" w:rsidRPr="00414BF5">
        <w:rPr>
          <w:rFonts w:ascii="Arial" w:eastAsia="Calibri" w:hAnsi="Arial" w:cs="Arial"/>
          <w:sz w:val="24"/>
          <w:szCs w:val="24"/>
          <w:lang w:val="es-ES_tradnl"/>
        </w:rPr>
        <w:t>Y RECTA IMPARTICIÓN DE JUSTICIA</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100. La Ley 599 de 2000 tendrá un nuevo artículo 616, así:</w:t>
      </w:r>
    </w:p>
    <w:p w:rsidR="005E03BB" w:rsidRPr="00414BF5" w:rsidRDefault="005E03BB"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lastRenderedPageBreak/>
        <w:t>Artículo 616. </w:t>
      </w:r>
      <w:r w:rsidRPr="00414BF5">
        <w:rPr>
          <w:rFonts w:ascii="Arial" w:eastAsia="Calibri" w:hAnsi="Arial" w:cs="Arial"/>
          <w:b/>
          <w:bCs/>
          <w:i/>
          <w:iCs/>
          <w:sz w:val="24"/>
          <w:szCs w:val="24"/>
          <w:lang w:val="es-ES_tradnl"/>
        </w:rPr>
        <w:t>Falsa autoacusación</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ante autoridad se declare autor o partícipe de una conducta típica que no ha cometido, o en cuya comisión no ha tomado parte, incurrirá en prisión de dieciséis (16) a treinta y seis (36) meses y multa de dos punto sesenta y seis (2.66) a quince (15) salarios mínimos legales mensuales vigentes.</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para los efectos descritos en este artículo, el agente simula pruebas, las penas respectivas se aumentarán hasta en una tercera parte, siempre que no constituya otra conducta punible.</w:t>
      </w:r>
    </w:p>
    <w:p w:rsidR="00973CCA" w:rsidRPr="00414BF5" w:rsidRDefault="00973CC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Las penas previstas en los incisos anteriores se reducirán de una tercera parte a la mitad, si antes de vencerse la última oportunidad procesal para practicar pruebas, el autor se ret</w:t>
      </w:r>
      <w:r w:rsidR="005E03BB" w:rsidRPr="00414BF5">
        <w:rPr>
          <w:rFonts w:ascii="Arial" w:eastAsia="Calibri" w:hAnsi="Arial" w:cs="Arial"/>
          <w:sz w:val="24"/>
          <w:szCs w:val="24"/>
          <w:lang w:val="es-ES_tradnl"/>
        </w:rPr>
        <w:t>racta de la falsa autoacusación</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C22C2" w:rsidRDefault="00704C86" w:rsidP="00704C86">
      <w:pPr>
        <w:spacing w:after="0" w:line="240" w:lineRule="auto"/>
        <w:jc w:val="both"/>
        <w:rPr>
          <w:rFonts w:ascii="Arial" w:eastAsia="Calibri" w:hAnsi="Arial" w:cs="Arial"/>
          <w:sz w:val="24"/>
          <w:szCs w:val="24"/>
          <w:lang w:val="es-CO"/>
        </w:rPr>
      </w:pPr>
      <w:r w:rsidRPr="004C22C2">
        <w:rPr>
          <w:rFonts w:ascii="Arial" w:eastAsia="Calibri" w:hAnsi="Arial" w:cs="Arial"/>
          <w:b/>
          <w:bCs/>
          <w:sz w:val="24"/>
          <w:szCs w:val="24"/>
          <w:lang w:val="es-ES_tradnl"/>
        </w:rPr>
        <w:t>Artículo 101.</w:t>
      </w:r>
      <w:r w:rsidRPr="004C22C2">
        <w:rPr>
          <w:rFonts w:ascii="Arial" w:eastAsia="Calibri" w:hAnsi="Arial" w:cs="Arial"/>
          <w:sz w:val="24"/>
          <w:szCs w:val="24"/>
          <w:lang w:val="es-ES_tradnl"/>
        </w:rPr>
        <w:t xml:space="preserve"> La Ley 599 de 2000 tendrá un nuevo artículo </w:t>
      </w:r>
      <w:r w:rsidR="00FF5209" w:rsidRPr="004C22C2">
        <w:rPr>
          <w:rFonts w:ascii="Arial" w:eastAsia="Calibri" w:hAnsi="Arial" w:cs="Arial"/>
          <w:sz w:val="24"/>
          <w:szCs w:val="24"/>
          <w:lang w:val="es-ES_tradnl"/>
        </w:rPr>
        <w:t>617</w:t>
      </w:r>
      <w:r w:rsidRPr="004C22C2">
        <w:rPr>
          <w:rFonts w:ascii="Arial" w:eastAsia="Calibri" w:hAnsi="Arial" w:cs="Arial"/>
          <w:sz w:val="24"/>
          <w:szCs w:val="24"/>
          <w:lang w:val="es-ES_tradnl"/>
        </w:rPr>
        <w:t>, así:</w:t>
      </w:r>
    </w:p>
    <w:p w:rsidR="005E03BB" w:rsidRPr="004C22C2" w:rsidRDefault="005E03BB"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C22C2">
        <w:rPr>
          <w:rFonts w:ascii="Arial" w:eastAsia="Calibri" w:hAnsi="Arial" w:cs="Arial"/>
          <w:b/>
          <w:bCs/>
          <w:sz w:val="24"/>
          <w:szCs w:val="24"/>
          <w:lang w:val="es-ES_tradnl"/>
        </w:rPr>
        <w:t xml:space="preserve">Artículo </w:t>
      </w:r>
      <w:r w:rsidR="00FF5209" w:rsidRPr="004C22C2">
        <w:rPr>
          <w:rFonts w:ascii="Arial" w:eastAsia="Calibri" w:hAnsi="Arial" w:cs="Arial"/>
          <w:b/>
          <w:bCs/>
          <w:sz w:val="24"/>
          <w:szCs w:val="24"/>
          <w:lang w:val="es-ES_tradnl"/>
        </w:rPr>
        <w:t>617</w:t>
      </w:r>
      <w:r w:rsidRPr="004C22C2">
        <w:rPr>
          <w:rFonts w:ascii="Arial" w:eastAsia="Calibri" w:hAnsi="Arial" w:cs="Arial"/>
          <w:b/>
          <w:bCs/>
          <w:sz w:val="24"/>
          <w:szCs w:val="24"/>
          <w:lang w:val="es-ES_tradnl"/>
        </w:rPr>
        <w:t>. Reducción cualitativa de pena en caso de contravención no penal</w:t>
      </w:r>
      <w:r w:rsidRPr="004C22C2">
        <w:rPr>
          <w:rFonts w:ascii="Arial" w:eastAsia="Calibri" w:hAnsi="Arial" w:cs="Arial"/>
          <w:sz w:val="24"/>
          <w:szCs w:val="24"/>
          <w:lang w:val="es-ES_tradnl"/>
        </w:rPr>
        <w:t xml:space="preserve">. Si se tratara de una contravención no penal, la pena señalada en los artículos 435, 436 y </w:t>
      </w:r>
      <w:r w:rsidR="00505E8C" w:rsidRPr="004C22C2">
        <w:rPr>
          <w:rFonts w:ascii="Arial" w:eastAsia="Calibri" w:hAnsi="Arial" w:cs="Arial"/>
          <w:sz w:val="24"/>
          <w:szCs w:val="24"/>
          <w:lang w:val="es-ES_tradnl"/>
        </w:rPr>
        <w:t xml:space="preserve">616 </w:t>
      </w:r>
      <w:r w:rsidRPr="004C22C2">
        <w:rPr>
          <w:rFonts w:ascii="Arial" w:eastAsia="Calibri" w:hAnsi="Arial" w:cs="Arial"/>
          <w:sz w:val="24"/>
          <w:szCs w:val="24"/>
          <w:lang w:val="es-ES_tradnl"/>
        </w:rPr>
        <w:t xml:space="preserve">de este código será de multa, que ningún caso </w:t>
      </w:r>
      <w:r w:rsidR="005E03BB" w:rsidRPr="004C22C2">
        <w:rPr>
          <w:rFonts w:ascii="Arial" w:eastAsia="Calibri" w:hAnsi="Arial" w:cs="Arial"/>
          <w:sz w:val="24"/>
          <w:szCs w:val="24"/>
          <w:lang w:val="es-ES_tradnl"/>
        </w:rPr>
        <w:t>podrá ser inferior a una unidad</w:t>
      </w:r>
      <w:r w:rsidRPr="004C22C2">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b/>
          <w:bCs/>
          <w:sz w:val="24"/>
          <w:szCs w:val="24"/>
          <w:lang w:val="es-ES_tradnl"/>
        </w:rPr>
        <w:t>Artículo 102</w:t>
      </w:r>
      <w:r w:rsidRPr="00414BF5">
        <w:rPr>
          <w:rFonts w:ascii="Arial" w:eastAsia="Calibri" w:hAnsi="Arial" w:cs="Arial"/>
          <w:sz w:val="24"/>
          <w:szCs w:val="24"/>
          <w:lang w:val="es-ES_tradnl"/>
        </w:rPr>
        <w:t>. La Ley 599 de 2000 tendrá un nuevo artículo 618, así:</w:t>
      </w:r>
    </w:p>
    <w:p w:rsidR="005E03BB" w:rsidRPr="00414BF5" w:rsidRDefault="005E03BB"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618. Infidelidad a los deberes profesionales</w:t>
      </w:r>
      <w:r w:rsidRPr="00414BF5">
        <w:rPr>
          <w:rFonts w:ascii="Arial" w:eastAsia="Calibri" w:hAnsi="Arial" w:cs="Arial"/>
          <w:sz w:val="24"/>
          <w:szCs w:val="24"/>
          <w:lang w:val="es-ES_tradnl"/>
        </w:rPr>
        <w:t>. El apoderado o mandatario que en asunto judicial o administrativo, por cualquier medio fraudulento, perjudique la gestión que se le hubiere confiado, o que en un mismo o diferentes asuntos defienda intereses contrarios o incompatibles surgidos de unos mismos supuestos de hecho, incurrirá en prisión de dieciséis (16) a setenta y dos (72) meses.</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la conducta se realiza en asunto penal, la pena imponible se aumen</w:t>
      </w:r>
      <w:r w:rsidR="005E03BB" w:rsidRPr="00414BF5">
        <w:rPr>
          <w:rFonts w:ascii="Arial" w:eastAsia="Calibri" w:hAnsi="Arial" w:cs="Arial"/>
          <w:sz w:val="24"/>
          <w:szCs w:val="24"/>
          <w:lang w:val="es-ES_tradnl"/>
        </w:rPr>
        <w:t>tará hasta en una tercera parte</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103.</w:t>
      </w:r>
      <w:r w:rsidRPr="00414BF5">
        <w:rPr>
          <w:rFonts w:ascii="Arial" w:eastAsia="Calibri" w:hAnsi="Arial" w:cs="Arial"/>
          <w:sz w:val="24"/>
          <w:szCs w:val="24"/>
          <w:lang w:val="es-ES_tradnl"/>
        </w:rPr>
        <w:t> La Ley 599 de 2000 tendrá un nuevo artículo 619, así:</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619. Favorecimiento contravencional</w:t>
      </w:r>
      <w:r w:rsidRPr="00414BF5">
        <w:rPr>
          <w:rFonts w:ascii="Arial" w:eastAsia="Calibri" w:hAnsi="Arial" w:cs="Arial"/>
          <w:sz w:val="24"/>
          <w:szCs w:val="24"/>
          <w:lang w:val="es-ES_tradnl"/>
        </w:rPr>
        <w:t>. El que tenga conocimiento de la comisión de una contravención penal y sin concierto previo ayudare a eludir la acción de la autoridad o a entorpecer la investigación correspondie</w:t>
      </w:r>
      <w:r w:rsidR="005E03BB" w:rsidRPr="00414BF5">
        <w:rPr>
          <w:rFonts w:ascii="Arial" w:eastAsia="Calibri" w:hAnsi="Arial" w:cs="Arial"/>
          <w:sz w:val="24"/>
          <w:szCs w:val="24"/>
          <w:lang w:val="es-ES_tradnl"/>
        </w:rPr>
        <w:t>nte, incurrirá en pena de multa</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104</w:t>
      </w:r>
      <w:r w:rsidRPr="00414BF5">
        <w:rPr>
          <w:rFonts w:ascii="Arial" w:eastAsia="Calibri" w:hAnsi="Arial" w:cs="Arial"/>
          <w:sz w:val="24"/>
          <w:szCs w:val="24"/>
          <w:lang w:val="es-ES_tradnl"/>
        </w:rPr>
        <w:t>. La Ley 599 de 2000 tendrá un nuevo artículo 620, así:</w:t>
      </w:r>
    </w:p>
    <w:p w:rsidR="00973CCA" w:rsidRPr="00414BF5" w:rsidRDefault="00973CCA"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620. </w:t>
      </w:r>
      <w:r w:rsidRPr="00414BF5">
        <w:rPr>
          <w:rFonts w:ascii="Arial" w:eastAsia="Calibri" w:hAnsi="Arial" w:cs="Arial"/>
          <w:b/>
          <w:bCs/>
          <w:i/>
          <w:iCs/>
          <w:sz w:val="24"/>
          <w:szCs w:val="24"/>
          <w:lang w:val="es-ES_tradnl"/>
        </w:rPr>
        <w:t>Favorecimiento culposo de la fuga</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servidor público encargado de la vigilancia, custodia o conducción de un detenido o condenado que por culpa dé lugar a su fuga, incurrirá en multa y pér</w:t>
      </w:r>
      <w:r w:rsidR="005E03BB" w:rsidRPr="00414BF5">
        <w:rPr>
          <w:rFonts w:ascii="Arial" w:eastAsia="Calibri" w:hAnsi="Arial" w:cs="Arial"/>
          <w:sz w:val="24"/>
          <w:szCs w:val="24"/>
          <w:lang w:val="es-ES_tradnl"/>
        </w:rPr>
        <w:t>dida del empleo o cargo público</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105. La Ley 599 de 2000 tendrá un nuevo Título XXV dentro de su Libro Tercero, con el siguiente nombre:</w:t>
      </w:r>
    </w:p>
    <w:p w:rsidR="005E03BB" w:rsidRPr="00414BF5" w:rsidRDefault="005E03BB" w:rsidP="00704C86">
      <w:pPr>
        <w:spacing w:after="0" w:line="240" w:lineRule="auto"/>
        <w:jc w:val="both"/>
        <w:rPr>
          <w:rFonts w:ascii="Arial" w:eastAsia="Calibri" w:hAnsi="Arial" w:cs="Arial"/>
          <w:sz w:val="24"/>
          <w:szCs w:val="24"/>
          <w:lang w:val="es-ES_tradnl"/>
        </w:rPr>
      </w:pPr>
    </w:p>
    <w:p w:rsidR="00704C86" w:rsidRPr="00414BF5" w:rsidRDefault="00704C86" w:rsidP="005E03BB">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XV</w:t>
      </w:r>
    </w:p>
    <w:p w:rsidR="00704C86" w:rsidRPr="00414BF5" w:rsidRDefault="00704C86" w:rsidP="005E03BB">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CONTRAVENCIONES CONTRA LA </w:t>
      </w:r>
      <w:r w:rsidRPr="00414BF5">
        <w:rPr>
          <w:rFonts w:ascii="Arial" w:eastAsia="Calibri" w:hAnsi="Arial" w:cs="Arial"/>
          <w:sz w:val="24"/>
          <w:szCs w:val="24"/>
          <w:lang w:val="es-ES_tradnl"/>
        </w:rPr>
        <w:br/>
        <w:t>EX</w:t>
      </w:r>
      <w:r w:rsidR="005E03BB" w:rsidRPr="00414BF5">
        <w:rPr>
          <w:rFonts w:ascii="Arial" w:eastAsia="Calibri" w:hAnsi="Arial" w:cs="Arial"/>
          <w:sz w:val="24"/>
          <w:szCs w:val="24"/>
          <w:lang w:val="es-ES_tradnl"/>
        </w:rPr>
        <w:t>ISTENCIA Y SEGURIDAD DEL ESTADO</w:t>
      </w:r>
    </w:p>
    <w:p w:rsidR="005E03BB" w:rsidRPr="00414BF5" w:rsidRDefault="005E03BB" w:rsidP="005E03BB">
      <w:pPr>
        <w:spacing w:after="0" w:line="240" w:lineRule="auto"/>
        <w:jc w:val="center"/>
        <w:rPr>
          <w:rFonts w:ascii="Arial" w:eastAsia="Calibri" w:hAnsi="Arial" w:cs="Arial"/>
          <w:sz w:val="24"/>
          <w:szCs w:val="24"/>
          <w:lang w:val="es-ES_tradnl"/>
        </w:rPr>
      </w:pPr>
    </w:p>
    <w:p w:rsidR="005E03BB" w:rsidRPr="00414BF5" w:rsidRDefault="005E03BB" w:rsidP="005E03BB">
      <w:pPr>
        <w:spacing w:after="0" w:line="240" w:lineRule="auto"/>
        <w:jc w:val="center"/>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106. La Ley 599 de 2000 tendrá un nuevo artículo 621, así:</w:t>
      </w: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621. </w:t>
      </w:r>
      <w:r w:rsidRPr="00414BF5">
        <w:rPr>
          <w:rFonts w:ascii="Arial" w:eastAsia="Calibri" w:hAnsi="Arial" w:cs="Arial"/>
          <w:b/>
          <w:bCs/>
          <w:i/>
          <w:iCs/>
          <w:sz w:val="24"/>
          <w:szCs w:val="24"/>
          <w:lang w:val="es-ES_tradnl"/>
        </w:rPr>
        <w:t>Aceptación indebida de honores</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colombiano que acepte cargo, honor, distinción o merced de Estado en hostilidad, guerra o conflicto armado co</w:t>
      </w:r>
      <w:r w:rsidR="005E03BB" w:rsidRPr="00414BF5">
        <w:rPr>
          <w:rFonts w:ascii="Arial" w:eastAsia="Calibri" w:hAnsi="Arial" w:cs="Arial"/>
          <w:sz w:val="24"/>
          <w:szCs w:val="24"/>
          <w:lang w:val="es-ES_tradnl"/>
        </w:rPr>
        <w:t>n la patria, incurrirá en multa</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107. La Ley 599 de 2000 tendrá un nuevo artículo 622, así:</w:t>
      </w:r>
    </w:p>
    <w:p w:rsidR="005E03BB" w:rsidRPr="00414BF5" w:rsidRDefault="005E03BB"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622. </w:t>
      </w:r>
      <w:r w:rsidRPr="00414BF5">
        <w:rPr>
          <w:rFonts w:ascii="Arial" w:eastAsia="Calibri" w:hAnsi="Arial" w:cs="Arial"/>
          <w:b/>
          <w:bCs/>
          <w:i/>
          <w:iCs/>
          <w:sz w:val="24"/>
          <w:szCs w:val="24"/>
          <w:lang w:val="es-ES_tradnl"/>
        </w:rPr>
        <w:t>Violación de inmunidad diplomática</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que viole la inmunidad del jefe de un Estado extranjero o de su representante ante el Gobiern</w:t>
      </w:r>
      <w:r w:rsidR="005E03BB" w:rsidRPr="00414BF5">
        <w:rPr>
          <w:rFonts w:ascii="Arial" w:eastAsia="Calibri" w:hAnsi="Arial" w:cs="Arial"/>
          <w:sz w:val="24"/>
          <w:szCs w:val="24"/>
          <w:lang w:val="es-ES_tradnl"/>
        </w:rPr>
        <w:t>o colombiano incurrirá en multa</w:t>
      </w:r>
      <w:r w:rsidRPr="00414BF5">
        <w:rPr>
          <w:rFonts w:ascii="Arial" w:eastAsia="Calibri" w:hAnsi="Arial" w:cs="Arial"/>
          <w:sz w:val="24"/>
          <w:szCs w:val="24"/>
          <w:lang w:val="es-ES_tradnl"/>
        </w:rPr>
        <w:t>.</w:t>
      </w:r>
    </w:p>
    <w:p w:rsidR="005E03BB" w:rsidRPr="00414BF5" w:rsidRDefault="005E03BB" w:rsidP="00704C86">
      <w:pPr>
        <w:spacing w:after="0" w:line="240" w:lineRule="auto"/>
        <w:jc w:val="both"/>
        <w:rPr>
          <w:rFonts w:ascii="Arial" w:eastAsia="Calibri" w:hAnsi="Arial" w:cs="Arial"/>
          <w:sz w:val="24"/>
          <w:szCs w:val="24"/>
          <w:lang w:val="es-ES_tradnl"/>
        </w:rPr>
      </w:pPr>
    </w:p>
    <w:p w:rsidR="005E03BB" w:rsidRPr="00414BF5" w:rsidRDefault="005E03BB"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iCs/>
          <w:sz w:val="24"/>
          <w:szCs w:val="24"/>
          <w:rtl/>
          <w:lang w:val="es-CO" w:bidi="ar-YE"/>
        </w:rPr>
      </w:pPr>
      <w:r w:rsidRPr="00414BF5">
        <w:rPr>
          <w:rFonts w:ascii="Arial" w:eastAsia="Calibri" w:hAnsi="Arial" w:cs="Arial"/>
          <w:sz w:val="24"/>
          <w:szCs w:val="24"/>
          <w:lang w:val="es-ES_tradnl"/>
        </w:rPr>
        <w:t xml:space="preserve">Artículo 108. Modifíquese el artículo 37 de la Ley 906 de </w:t>
      </w:r>
      <w:r w:rsidR="006B5A3E" w:rsidRPr="00414BF5">
        <w:rPr>
          <w:rFonts w:ascii="Arial" w:eastAsia="Calibri" w:hAnsi="Arial" w:cs="Arial"/>
          <w:sz w:val="24"/>
          <w:szCs w:val="24"/>
          <w:lang w:val="es-ES_tradnl"/>
        </w:rPr>
        <w:t xml:space="preserve">2004, modificado por el artículo 2° </w:t>
      </w:r>
      <w:r w:rsidRPr="00414BF5">
        <w:rPr>
          <w:rFonts w:ascii="Arial" w:eastAsia="Calibri" w:hAnsi="Arial" w:cs="Arial"/>
          <w:iCs/>
          <w:sz w:val="24"/>
          <w:szCs w:val="24"/>
          <w:lang w:val="es-CO"/>
        </w:rPr>
        <w:t>de</w:t>
      </w:r>
      <w:r w:rsidRPr="00414BF5">
        <w:rPr>
          <w:rFonts w:ascii="Arial" w:eastAsia="Calibri" w:hAnsi="Arial" w:cs="Arial"/>
          <w:iCs/>
          <w:sz w:val="24"/>
          <w:szCs w:val="24"/>
          <w:rtl/>
          <w:lang w:val="es-CO" w:bidi="ar-YE"/>
        </w:rPr>
        <w:t> </w:t>
      </w:r>
      <w:r w:rsidRPr="00414BF5">
        <w:rPr>
          <w:rFonts w:ascii="Arial" w:eastAsia="Calibri" w:hAnsi="Arial" w:cs="Arial"/>
          <w:iCs/>
          <w:sz w:val="24"/>
          <w:szCs w:val="24"/>
          <w:lang w:val="es-CO"/>
        </w:rPr>
        <w:t>la Ley 1142 de 2007, el cual quedará así</w:t>
      </w:r>
      <w:r w:rsidRPr="00414BF5">
        <w:rPr>
          <w:rFonts w:ascii="Arial" w:eastAsia="Calibri" w:hAnsi="Arial" w:cs="Arial"/>
          <w:iCs/>
          <w:sz w:val="24"/>
          <w:szCs w:val="24"/>
          <w:rtl/>
          <w:lang w:val="es-CO" w:bidi="ar-YE"/>
        </w:rPr>
        <w:t>:</w:t>
      </w:r>
    </w:p>
    <w:p w:rsidR="006B5A3E" w:rsidRPr="00414BF5" w:rsidRDefault="006B5A3E" w:rsidP="00704C86">
      <w:pPr>
        <w:spacing w:after="0" w:line="240" w:lineRule="auto"/>
        <w:jc w:val="both"/>
        <w:rPr>
          <w:rFonts w:ascii="Arial" w:eastAsia="Calibri" w:hAnsi="Arial" w:cs="Arial"/>
          <w:sz w:val="24"/>
          <w:szCs w:val="24"/>
          <w:lang w:val="es-CO" w:bidi="ar-YE"/>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b/>
          <w:bCs/>
          <w:sz w:val="24"/>
          <w:szCs w:val="24"/>
          <w:lang w:val="es-ES_tradnl"/>
        </w:rPr>
        <w:t>Artículo 37. </w:t>
      </w:r>
      <w:r w:rsidRPr="00414BF5">
        <w:rPr>
          <w:rFonts w:ascii="Arial" w:eastAsia="Calibri" w:hAnsi="Arial" w:cs="Arial"/>
          <w:b/>
          <w:bCs/>
          <w:i/>
          <w:iCs/>
          <w:sz w:val="24"/>
          <w:szCs w:val="24"/>
          <w:lang w:val="es-ES_tradnl"/>
        </w:rPr>
        <w:t>De los Jueces Penales Municipales</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Los jueces penales municipales conocen:</w:t>
      </w:r>
    </w:p>
    <w:p w:rsidR="006B5A3E" w:rsidRPr="00414BF5" w:rsidRDefault="006B5A3E" w:rsidP="00704C86">
      <w:pPr>
        <w:spacing w:after="0" w:line="240" w:lineRule="auto"/>
        <w:jc w:val="both"/>
        <w:rPr>
          <w:rFonts w:ascii="Arial" w:eastAsia="Calibri" w:hAnsi="Arial" w:cs="Arial"/>
          <w:sz w:val="24"/>
          <w:szCs w:val="24"/>
          <w:lang w:val="es-ES_tradnl"/>
        </w:rPr>
      </w:pPr>
    </w:p>
    <w:p w:rsidR="00704C86" w:rsidRPr="00414BF5" w:rsidRDefault="00704C86" w:rsidP="006B5A3E">
      <w:pPr>
        <w:pStyle w:val="Prrafodelista"/>
        <w:numPr>
          <w:ilvl w:val="0"/>
          <w:numId w:val="32"/>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De las conductas punibles de lesiones personales.</w:t>
      </w:r>
    </w:p>
    <w:p w:rsidR="006B5A3E" w:rsidRPr="00414BF5" w:rsidRDefault="006B5A3E" w:rsidP="006B5A3E">
      <w:pPr>
        <w:pStyle w:val="Prrafodelista"/>
        <w:spacing w:after="0" w:line="240" w:lineRule="auto"/>
        <w:jc w:val="both"/>
        <w:rPr>
          <w:rFonts w:ascii="Arial" w:eastAsia="Calibri" w:hAnsi="Arial" w:cs="Arial"/>
          <w:sz w:val="24"/>
          <w:szCs w:val="24"/>
          <w:lang w:val="es-CO"/>
        </w:rPr>
      </w:pPr>
    </w:p>
    <w:p w:rsidR="006B5A3E" w:rsidRPr="00414BF5" w:rsidRDefault="00704C86" w:rsidP="006B5A3E">
      <w:pPr>
        <w:pStyle w:val="Prrafodelista"/>
        <w:numPr>
          <w:ilvl w:val="0"/>
          <w:numId w:val="32"/>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De las conductas punibles contra el patrimonio económico en cuantía equivalente a una cantidad no superior en pesos en ciento cincuenta (150) salarios mínimos mensuales legales vigentes al momento de la comisión del hecho.</w:t>
      </w:r>
    </w:p>
    <w:p w:rsidR="006B5A3E" w:rsidRPr="00414BF5" w:rsidRDefault="006B5A3E" w:rsidP="006B5A3E">
      <w:pPr>
        <w:pStyle w:val="Prrafodelista"/>
        <w:spacing w:after="0" w:line="240" w:lineRule="auto"/>
        <w:jc w:val="both"/>
        <w:rPr>
          <w:rFonts w:ascii="Arial" w:eastAsia="Calibri" w:hAnsi="Arial" w:cs="Arial"/>
          <w:sz w:val="24"/>
          <w:szCs w:val="24"/>
          <w:lang w:val="es-ES_tradnl"/>
        </w:rPr>
      </w:pPr>
    </w:p>
    <w:p w:rsidR="006B5A3E" w:rsidRPr="00414BF5" w:rsidRDefault="00704C86" w:rsidP="00704C86">
      <w:pPr>
        <w:pStyle w:val="Prrafodelista"/>
        <w:numPr>
          <w:ilvl w:val="0"/>
          <w:numId w:val="32"/>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De los procesos por conductas punibles que requieren querella aunque el sujeto pasivo sea un menor de edad, un inimputable, o la persona haya sido sorprendida en flagrancia e implique investigación oficiosa.</w:t>
      </w:r>
    </w:p>
    <w:p w:rsidR="006B5A3E" w:rsidRPr="00414BF5" w:rsidRDefault="006B5A3E" w:rsidP="006B5A3E">
      <w:pPr>
        <w:pStyle w:val="Prrafodelista"/>
        <w:rPr>
          <w:rFonts w:ascii="Arial" w:eastAsia="Calibri" w:hAnsi="Arial" w:cs="Arial"/>
          <w:sz w:val="24"/>
          <w:szCs w:val="24"/>
          <w:lang w:val="es-ES_tradnl"/>
        </w:rPr>
      </w:pPr>
    </w:p>
    <w:p w:rsidR="00704C86" w:rsidRPr="00414BF5" w:rsidRDefault="00704C86" w:rsidP="006B5A3E">
      <w:pPr>
        <w:pStyle w:val="Prrafodelista"/>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investigación de oficio no impide aplicar, cuando la decisión se considere necesaria, los efectos propios de la querella para beneficio y reparación integral de la víctima del injusto.</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6B5A3E">
      <w:pPr>
        <w:pStyle w:val="Prrafodelista"/>
        <w:numPr>
          <w:ilvl w:val="0"/>
          <w:numId w:val="32"/>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lastRenderedPageBreak/>
        <w:t>De los delitos de violencia intrafamiliar e inasistencia alimentaria.</w:t>
      </w:r>
    </w:p>
    <w:p w:rsidR="006B5A3E" w:rsidRPr="00414BF5" w:rsidRDefault="006B5A3E" w:rsidP="006B5A3E">
      <w:pPr>
        <w:pStyle w:val="Prrafodelista"/>
        <w:spacing w:after="0" w:line="240" w:lineRule="auto"/>
        <w:jc w:val="both"/>
        <w:rPr>
          <w:rFonts w:ascii="Arial" w:eastAsia="Calibri" w:hAnsi="Arial" w:cs="Arial"/>
          <w:sz w:val="24"/>
          <w:szCs w:val="24"/>
          <w:lang w:val="es-CO"/>
        </w:rPr>
      </w:pPr>
    </w:p>
    <w:p w:rsidR="00704C86" w:rsidRPr="00414BF5" w:rsidRDefault="00704C86" w:rsidP="006B5A3E">
      <w:pPr>
        <w:pStyle w:val="Prrafodelista"/>
        <w:numPr>
          <w:ilvl w:val="0"/>
          <w:numId w:val="32"/>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De la función de control de garantías.</w:t>
      </w:r>
    </w:p>
    <w:p w:rsidR="006B5A3E" w:rsidRPr="00414BF5" w:rsidRDefault="006B5A3E" w:rsidP="006B5A3E">
      <w:pPr>
        <w:spacing w:after="0" w:line="240" w:lineRule="auto"/>
        <w:jc w:val="both"/>
        <w:rPr>
          <w:rFonts w:ascii="Arial" w:eastAsia="Calibri" w:hAnsi="Arial" w:cs="Arial"/>
          <w:sz w:val="24"/>
          <w:szCs w:val="24"/>
          <w:lang w:val="es-CO"/>
        </w:rPr>
      </w:pPr>
    </w:p>
    <w:p w:rsidR="00704C86" w:rsidRPr="00414BF5" w:rsidRDefault="00704C86" w:rsidP="006B5A3E">
      <w:pPr>
        <w:pStyle w:val="Prrafodelista"/>
        <w:numPr>
          <w:ilvl w:val="0"/>
          <w:numId w:val="32"/>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 xml:space="preserve">De los delitos </w:t>
      </w:r>
      <w:r w:rsidR="006B5A3E" w:rsidRPr="00414BF5">
        <w:rPr>
          <w:rFonts w:ascii="Arial" w:eastAsia="Calibri" w:hAnsi="Arial" w:cs="Arial"/>
          <w:sz w:val="24"/>
          <w:szCs w:val="24"/>
          <w:lang w:val="es-ES_tradnl"/>
        </w:rPr>
        <w:t>contenidos en el título VII Bis</w:t>
      </w:r>
      <w:r w:rsidRPr="00414BF5">
        <w:rPr>
          <w:rFonts w:ascii="Arial" w:eastAsia="Calibri" w:hAnsi="Arial" w:cs="Arial"/>
          <w:sz w:val="24"/>
          <w:szCs w:val="24"/>
          <w:lang w:val="es-ES_tradnl"/>
        </w:rPr>
        <w:t>.</w:t>
      </w:r>
    </w:p>
    <w:p w:rsidR="006B5A3E" w:rsidRPr="00414BF5" w:rsidRDefault="006B5A3E" w:rsidP="006B5A3E">
      <w:pPr>
        <w:spacing w:after="0" w:line="240" w:lineRule="auto"/>
        <w:jc w:val="both"/>
        <w:rPr>
          <w:rFonts w:ascii="Arial" w:eastAsia="Calibri" w:hAnsi="Arial" w:cs="Arial"/>
          <w:sz w:val="24"/>
          <w:szCs w:val="24"/>
          <w:lang w:val="es-CO"/>
        </w:rPr>
      </w:pPr>
    </w:p>
    <w:p w:rsidR="006B5A3E" w:rsidRPr="00414BF5" w:rsidRDefault="006B5A3E" w:rsidP="006B5A3E">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109. Modifíquese el artículo 66 de la Ley 906 de 2004, el cual quedará así:</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66. </w:t>
      </w:r>
      <w:r w:rsidRPr="00414BF5">
        <w:rPr>
          <w:rFonts w:ascii="Arial" w:eastAsia="Calibri" w:hAnsi="Arial" w:cs="Arial"/>
          <w:b/>
          <w:bCs/>
          <w:i/>
          <w:iCs/>
          <w:sz w:val="24"/>
          <w:szCs w:val="24"/>
          <w:lang w:val="es-ES_tradnl"/>
        </w:rPr>
        <w:t>Titularidad y obligatoriedad</w:t>
      </w:r>
      <w:r w:rsidRPr="00414BF5">
        <w:rPr>
          <w:rFonts w:ascii="Arial" w:eastAsia="Calibri" w:hAnsi="Arial" w:cs="Arial"/>
          <w:sz w:val="24"/>
          <w:szCs w:val="24"/>
          <w:lang w:val="es-ES_tradnl"/>
        </w:rPr>
        <w:t>. El Estado, por intermedio de la Fiscalía General de la Nación, está obligado a ejercer la acción penal y a realizar la investigación de los hechos que revistan las características de una conducta punible, de oficio o que lleguen a su conocimiento por medio de denuncia, petición especial, querella o cualquier otro medio, salvo las excepciones contempladas en la Constitución Política y en este código.</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No podrá, en consecuencia, suspender, interrumpir ni renunciar a la persecución penal, salvo en los casos que establezca la ley para aplicar el principio de oportunidad regulado dentro del marco de la política criminal del Estado, el cual estará sometido al control de legalidad por parte del juez de control de garantías.</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se autorice la conversión de la acción penal pública a privada, y entre tanto esta perdure, la investigación y la acusación corresponderán al acusador privado</w:t>
      </w:r>
      <w:r w:rsidR="006B5A3E" w:rsidRPr="00414BF5">
        <w:rPr>
          <w:rFonts w:ascii="Arial" w:eastAsia="Calibri" w:hAnsi="Arial" w:cs="Arial"/>
          <w:sz w:val="24"/>
          <w:szCs w:val="24"/>
          <w:lang w:val="es-ES_tradnl"/>
        </w:rPr>
        <w:t xml:space="preserve"> en los términos de este Código</w:t>
      </w:r>
      <w:r w:rsidRPr="00414BF5">
        <w:rPr>
          <w:rFonts w:ascii="Arial" w:eastAsia="Calibri" w:hAnsi="Arial" w:cs="Arial"/>
          <w:sz w:val="24"/>
          <w:szCs w:val="24"/>
          <w:lang w:val="es-ES_tradnl"/>
        </w:rPr>
        <w:t>.</w:t>
      </w:r>
    </w:p>
    <w:p w:rsidR="006B5A3E" w:rsidRPr="00414BF5" w:rsidRDefault="006B5A3E" w:rsidP="00704C86">
      <w:pPr>
        <w:spacing w:after="0" w:line="240" w:lineRule="auto"/>
        <w:jc w:val="both"/>
        <w:rPr>
          <w:rFonts w:ascii="Arial" w:eastAsia="Calibri" w:hAnsi="Arial" w:cs="Arial"/>
          <w:sz w:val="24"/>
          <w:szCs w:val="24"/>
          <w:lang w:val="es-ES_tradnl"/>
        </w:rPr>
      </w:pP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6B5A3E"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110. Modi</w:t>
      </w:r>
      <w:r w:rsidR="00704C86" w:rsidRPr="00414BF5">
        <w:rPr>
          <w:rFonts w:ascii="Arial" w:eastAsia="Calibri" w:hAnsi="Arial" w:cs="Arial"/>
          <w:sz w:val="24"/>
          <w:szCs w:val="24"/>
          <w:lang w:val="es-ES_tradnl"/>
        </w:rPr>
        <w:t>fíquese el artículo 71 de la Ley 906 de 2004, el cual quedará así:</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71. </w:t>
      </w:r>
      <w:r w:rsidRPr="00414BF5">
        <w:rPr>
          <w:rFonts w:ascii="Arial" w:eastAsia="Calibri" w:hAnsi="Arial" w:cs="Arial"/>
          <w:b/>
          <w:bCs/>
          <w:i/>
          <w:iCs/>
          <w:sz w:val="24"/>
          <w:szCs w:val="24"/>
          <w:lang w:val="es-ES_tradnl"/>
        </w:rPr>
        <w:t>Querellante legítimo</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La querella únicamente puede ser presentada por el sujeto pasivo de la contravención. Si este fuere incapaz o persona jurídica, debe ser formulada por su representante legal. Si el querellante legítimo ha fallecido, podrán presentarla sus herederos.</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el sujeto pasivo estuviere imposibilitado para formular la querella, o sea incapaz y carezca de representante legal, o este sea autor o partícipe de la contravención, puede presentarla el Defensor de Familia, el agente del Ministerio Público o los perjudicados directos.</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El Procurador General de la Nación podrá formular querella cuando se afecte el interés público o colectivo.</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intervención de un servidor público como representante de un menor incapaz, no impide que pueda conciliar o desistir. El juez tendrá especial cuidado de verificar que la causa de esta actuación o del acuerdo, se produzca en beneficio de la víctima para garantizar la reparación integral o la indemnización económica.</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Parágrafo. Los miembros de la Policía Nacional están facultados legalmente para interponer querella en los casos de hurto contravencional que no hayan sido puestos en conocimiento de la Administración de Justicia por el sujeto pasivo y sobre los cuales haya tenido conocimiento en el ejercicio de sus funciones. En estos casos, el sujeto pasivo de la conducta seguirá siendo querellante legítimo y el único facultado para ejercer la acusación privada.</w:t>
      </w:r>
    </w:p>
    <w:p w:rsidR="006B5A3E" w:rsidRPr="00414BF5" w:rsidRDefault="006B5A3E" w:rsidP="00704C86">
      <w:pPr>
        <w:spacing w:after="0" w:line="240" w:lineRule="auto"/>
        <w:jc w:val="both"/>
        <w:rPr>
          <w:rFonts w:ascii="Arial" w:eastAsia="Calibri" w:hAnsi="Arial" w:cs="Arial"/>
          <w:sz w:val="24"/>
          <w:szCs w:val="24"/>
          <w:lang w:val="es-ES_tradnl"/>
        </w:rPr>
      </w:pP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111. Modifíquese el artículo 72 de la Ley 906 de 2004, el cual quedará así:</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72. </w:t>
      </w:r>
      <w:r w:rsidRPr="00414BF5">
        <w:rPr>
          <w:rFonts w:ascii="Arial" w:eastAsia="Calibri" w:hAnsi="Arial" w:cs="Arial"/>
          <w:b/>
          <w:bCs/>
          <w:i/>
          <w:iCs/>
          <w:sz w:val="24"/>
          <w:szCs w:val="24"/>
          <w:lang w:val="es-ES_tradnl"/>
        </w:rPr>
        <w:t>Extensión de la querella</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xml:space="preserve"> La querella se extiende de derecho contra todos los que hubieren </w:t>
      </w:r>
      <w:r w:rsidR="006B5A3E" w:rsidRPr="00414BF5">
        <w:rPr>
          <w:rFonts w:ascii="Arial" w:eastAsia="Calibri" w:hAnsi="Arial" w:cs="Arial"/>
          <w:sz w:val="24"/>
          <w:szCs w:val="24"/>
          <w:lang w:val="es-ES_tradnl"/>
        </w:rPr>
        <w:t>participado en la contravención</w:t>
      </w:r>
      <w:r w:rsidRPr="00414BF5">
        <w:rPr>
          <w:rFonts w:ascii="Arial" w:eastAsia="Calibri" w:hAnsi="Arial" w:cs="Arial"/>
          <w:sz w:val="24"/>
          <w:szCs w:val="24"/>
          <w:lang w:val="es-ES_tradnl"/>
        </w:rPr>
        <w:t>.</w:t>
      </w:r>
    </w:p>
    <w:p w:rsidR="006B5A3E" w:rsidRPr="00414BF5" w:rsidRDefault="006B5A3E" w:rsidP="00704C86">
      <w:pPr>
        <w:spacing w:after="0" w:line="240" w:lineRule="auto"/>
        <w:jc w:val="both"/>
        <w:rPr>
          <w:rFonts w:ascii="Arial" w:eastAsia="Calibri" w:hAnsi="Arial" w:cs="Arial"/>
          <w:sz w:val="24"/>
          <w:szCs w:val="24"/>
          <w:lang w:val="es-ES_tradnl"/>
        </w:rPr>
      </w:pP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112. Modifíquese el artículo 73 de la Ley 906 de 2004, el cual quedará así:</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73. </w:t>
      </w:r>
      <w:r w:rsidRPr="00414BF5">
        <w:rPr>
          <w:rFonts w:ascii="Arial" w:eastAsia="Calibri" w:hAnsi="Arial" w:cs="Arial"/>
          <w:b/>
          <w:bCs/>
          <w:i/>
          <w:iCs/>
          <w:sz w:val="24"/>
          <w:szCs w:val="24"/>
          <w:lang w:val="es-ES_tradnl"/>
        </w:rPr>
        <w:t>Caducidad de la querella</w:t>
      </w:r>
      <w:r w:rsidRPr="00414BF5">
        <w:rPr>
          <w:rFonts w:ascii="Arial" w:eastAsia="Calibri" w:hAnsi="Arial" w:cs="Arial"/>
          <w:sz w:val="24"/>
          <w:szCs w:val="24"/>
          <w:lang w:val="es-ES_tradnl"/>
        </w:rPr>
        <w:t>. La querella debe presentarse dentro de los seis (6) meses siguientes a la comisión de la contravención. No obstante, cuando el querellante legítimo por razones de fuerza mayor o caso fortuito acreditados no hubiere tenido conocimiento de su ocurrencia, el término se contará a partir del momento en que aquellos desaparezcan, sin que en este cas</w:t>
      </w:r>
      <w:r w:rsidR="006B5A3E" w:rsidRPr="00414BF5">
        <w:rPr>
          <w:rFonts w:ascii="Arial" w:eastAsia="Calibri" w:hAnsi="Arial" w:cs="Arial"/>
          <w:sz w:val="24"/>
          <w:szCs w:val="24"/>
          <w:lang w:val="es-ES_tradnl"/>
        </w:rPr>
        <w:t>o sea superior a seis (6) meses</w:t>
      </w:r>
      <w:r w:rsidRPr="00414BF5">
        <w:rPr>
          <w:rFonts w:ascii="Arial" w:eastAsia="Calibri" w:hAnsi="Arial" w:cs="Arial"/>
          <w:sz w:val="24"/>
          <w:szCs w:val="24"/>
          <w:lang w:val="es-ES_tradnl"/>
        </w:rPr>
        <w:t>.</w:t>
      </w:r>
    </w:p>
    <w:p w:rsidR="006B5A3E" w:rsidRPr="00414BF5" w:rsidRDefault="006B5A3E" w:rsidP="00704C86">
      <w:pPr>
        <w:spacing w:after="0" w:line="240" w:lineRule="auto"/>
        <w:jc w:val="both"/>
        <w:rPr>
          <w:rFonts w:ascii="Arial" w:eastAsia="Calibri" w:hAnsi="Arial" w:cs="Arial"/>
          <w:sz w:val="24"/>
          <w:szCs w:val="24"/>
          <w:lang w:val="es-ES_tradnl"/>
        </w:rPr>
      </w:pP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113. Modifíquese el artículo 74 de la Ley 906 de 2004, modificado por el artículo 108 de la Ley 1453 de 2011, el cual quedará así:</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74. </w:t>
      </w:r>
      <w:r w:rsidRPr="00414BF5">
        <w:rPr>
          <w:rFonts w:ascii="Arial" w:eastAsia="Calibri" w:hAnsi="Arial" w:cs="Arial"/>
          <w:b/>
          <w:bCs/>
          <w:i/>
          <w:iCs/>
          <w:sz w:val="24"/>
          <w:szCs w:val="24"/>
          <w:lang w:val="es-ES_tradnl"/>
        </w:rPr>
        <w:t>Conductas punibles que requieren querella.</w:t>
      </w:r>
      <w:r w:rsidRPr="00414BF5">
        <w:rPr>
          <w:rFonts w:ascii="Arial" w:eastAsia="Calibri" w:hAnsi="Arial" w:cs="Arial"/>
          <w:sz w:val="24"/>
          <w:szCs w:val="24"/>
          <w:lang w:val="es-ES_tradnl"/>
        </w:rPr>
        <w:t> Para iniciar la acción penal será necesario querella en las conductas punibles descritas en el Libro Tercero del Código Penal, Ley 599 de 2000.</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No será necesario querella parar iniciar la acción penal respecto de casos de flagrancia o en los cuales el sujeto pasivo sea menor de edad, inimputable o se refieran a presuntas conductas punibl</w:t>
      </w:r>
      <w:r w:rsidR="006B5A3E" w:rsidRPr="00414BF5">
        <w:rPr>
          <w:rFonts w:ascii="Arial" w:eastAsia="Calibri" w:hAnsi="Arial" w:cs="Arial"/>
          <w:sz w:val="24"/>
          <w:szCs w:val="24"/>
          <w:lang w:val="es-ES_tradnl"/>
        </w:rPr>
        <w:t>es de violencia contra la mujer</w:t>
      </w:r>
      <w:r w:rsidRPr="00414BF5">
        <w:rPr>
          <w:rFonts w:ascii="Arial" w:eastAsia="Calibri" w:hAnsi="Arial" w:cs="Arial"/>
          <w:sz w:val="24"/>
          <w:szCs w:val="24"/>
          <w:lang w:val="es-ES_tradnl"/>
        </w:rPr>
        <w:t>.</w:t>
      </w:r>
    </w:p>
    <w:p w:rsidR="006B5A3E" w:rsidRPr="00414BF5" w:rsidRDefault="006B5A3E" w:rsidP="00704C86">
      <w:pPr>
        <w:spacing w:after="0" w:line="240" w:lineRule="auto"/>
        <w:jc w:val="both"/>
        <w:rPr>
          <w:rFonts w:ascii="Arial" w:eastAsia="Calibri" w:hAnsi="Arial" w:cs="Arial"/>
          <w:sz w:val="24"/>
          <w:szCs w:val="24"/>
          <w:lang w:val="es-ES_tradnl"/>
        </w:rPr>
      </w:pP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114. Modifíquese el artículo 76 de la Ley 906 de 2004, el cual quedará así:</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76. </w:t>
      </w:r>
      <w:r w:rsidRPr="00414BF5">
        <w:rPr>
          <w:rFonts w:ascii="Arial" w:eastAsia="Calibri" w:hAnsi="Arial" w:cs="Arial"/>
          <w:b/>
          <w:bCs/>
          <w:i/>
          <w:iCs/>
          <w:sz w:val="24"/>
          <w:szCs w:val="24"/>
          <w:lang w:val="es-ES_tradnl"/>
        </w:rPr>
        <w:t>Desistimiento de la querella</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En cualquier momento de la actuación y antes del inicio de la audiencia de juicio oral, el querellante podrá manifestar verbalmente o por escrito su deseo de desistir de la acción penal.</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al momento de presentarse la solicitud no se hubiese presentado escrito de acusación, le corresponde a la Fiscalía</w:t>
      </w:r>
      <w:r w:rsidR="006B5A3E" w:rsidRPr="00414BF5">
        <w:rPr>
          <w:rFonts w:ascii="Arial" w:eastAsia="Calibri" w:hAnsi="Arial" w:cs="Arial"/>
          <w:sz w:val="24"/>
          <w:szCs w:val="24"/>
          <w:lang w:val="es-ES_tradnl"/>
        </w:rPr>
        <w:t xml:space="preserve"> </w:t>
      </w:r>
      <w:r w:rsidRPr="00414BF5">
        <w:rPr>
          <w:rFonts w:ascii="Arial" w:eastAsia="Calibri" w:hAnsi="Arial" w:cs="Arial"/>
          <w:sz w:val="24"/>
          <w:szCs w:val="24"/>
          <w:lang w:val="es-ES_tradnl"/>
        </w:rPr>
        <w:t>verificar que ella sea voluntaria, libre e informada, antes de proceder a aceptarla y archivar las diligencias.</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se hubiere presentado escrito de acusación le corresponderá al juez de conocimiento, luego de escuchar el parecer dela Fiscalía, o del acusador privado, según sea el caso, determinar si acepta el desistimiento.</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En cualquier caso el desistimiento se hará extensivo a todos los autores o partícipes de la contravención investigada, y una vez ac</w:t>
      </w:r>
      <w:r w:rsidR="006B5A3E" w:rsidRPr="00414BF5">
        <w:rPr>
          <w:rFonts w:ascii="Arial" w:eastAsia="Calibri" w:hAnsi="Arial" w:cs="Arial"/>
          <w:sz w:val="24"/>
          <w:szCs w:val="24"/>
          <w:lang w:val="es-ES_tradnl"/>
        </w:rPr>
        <w:t>eptado no admitirá retractación</w:t>
      </w:r>
      <w:r w:rsidRPr="00414BF5">
        <w:rPr>
          <w:rFonts w:ascii="Arial" w:eastAsia="Calibri" w:hAnsi="Arial" w:cs="Arial"/>
          <w:sz w:val="24"/>
          <w:szCs w:val="24"/>
          <w:lang w:val="es-ES_tradnl"/>
        </w:rPr>
        <w:t>.</w:t>
      </w:r>
    </w:p>
    <w:p w:rsidR="006B5A3E" w:rsidRPr="00414BF5" w:rsidRDefault="006B5A3E" w:rsidP="00704C86">
      <w:pPr>
        <w:spacing w:after="0" w:line="240" w:lineRule="auto"/>
        <w:jc w:val="both"/>
        <w:rPr>
          <w:rFonts w:ascii="Arial" w:eastAsia="Calibri" w:hAnsi="Arial" w:cs="Arial"/>
          <w:sz w:val="24"/>
          <w:szCs w:val="24"/>
          <w:lang w:val="es-ES_tradnl"/>
        </w:rPr>
      </w:pP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115. Modifíquese el numeral 4 del artículo 313 de la Ley 906 de 2004, el cual quedará así:</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4.</w:t>
      </w:r>
      <w:r w:rsidRPr="00414BF5">
        <w:rPr>
          <w:rFonts w:ascii="Arial" w:eastAsia="Calibri" w:hAnsi="Arial" w:cs="Arial"/>
          <w:sz w:val="24"/>
          <w:szCs w:val="24"/>
          <w:lang w:val="es-ES_tradnl"/>
        </w:rPr>
        <w:t> Cuando la persona haya sido capturada por conducta constitutiva de delito o contravención, dentro del lapso de los tres años anteriores, contados a partir de la nueva captura o imputación, siempre que no se haya producido la preclusión o absolución en el caso precedente.</w:t>
      </w:r>
    </w:p>
    <w:p w:rsidR="006B5A3E" w:rsidRPr="00414BF5" w:rsidRDefault="006B5A3E" w:rsidP="00704C86">
      <w:pPr>
        <w:spacing w:after="0" w:line="240" w:lineRule="auto"/>
        <w:jc w:val="both"/>
        <w:rPr>
          <w:rFonts w:ascii="Arial" w:eastAsia="Calibri" w:hAnsi="Arial" w:cs="Arial"/>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En el supuesto contemplado por el inciso anterior, se entenderá que la libertad del capturado representa peligro futuro para la sociedad en los términos de los art</w:t>
      </w:r>
      <w:r w:rsidR="006B5A3E" w:rsidRPr="00414BF5">
        <w:rPr>
          <w:rFonts w:ascii="Arial" w:eastAsia="Calibri" w:hAnsi="Arial" w:cs="Arial"/>
          <w:sz w:val="24"/>
          <w:szCs w:val="24"/>
          <w:lang w:val="es-ES_tradnl"/>
        </w:rPr>
        <w:t>ículos 308 y 310 de este código</w:t>
      </w:r>
      <w:r w:rsidRPr="00414BF5">
        <w:rPr>
          <w:rFonts w:ascii="Arial" w:eastAsia="Calibri" w:hAnsi="Arial" w:cs="Arial"/>
          <w:sz w:val="24"/>
          <w:szCs w:val="24"/>
          <w:lang w:val="es-ES_tradnl"/>
        </w:rPr>
        <w:t>.</w:t>
      </w:r>
    </w:p>
    <w:p w:rsidR="006B5A3E" w:rsidRPr="00414BF5" w:rsidRDefault="006B5A3E" w:rsidP="00704C86">
      <w:pPr>
        <w:spacing w:after="0" w:line="240" w:lineRule="auto"/>
        <w:jc w:val="both"/>
        <w:rPr>
          <w:rFonts w:ascii="Arial" w:eastAsia="Calibri" w:hAnsi="Arial" w:cs="Arial"/>
          <w:sz w:val="24"/>
          <w:szCs w:val="24"/>
          <w:lang w:val="es-ES_tradnl"/>
        </w:rPr>
      </w:pP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116. Modifíquese el artículo 522 de la Ley 906 de 2004, el cual quedará así:</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522. </w:t>
      </w:r>
      <w:r w:rsidRPr="00414BF5">
        <w:rPr>
          <w:rFonts w:ascii="Arial" w:eastAsia="Calibri" w:hAnsi="Arial" w:cs="Arial"/>
          <w:b/>
          <w:bCs/>
          <w:i/>
          <w:iCs/>
          <w:sz w:val="24"/>
          <w:szCs w:val="24"/>
          <w:lang w:val="es-ES_tradnl"/>
        </w:rPr>
        <w:t>La conciliación en las contravenciones</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La conciliación se surtirá obligatoriamente y como requisito de procedibilidad para el ejercicio de la acción penal, cuando se trate de contravenciones, ante el fiscal que corresponda, o en un centro de conciliación o ante un conciliador reconocido como tal.</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En el primer evento, el fiscal citará a querellante y querellado a diligencia de conciliación. Si hubiere acuerdo procederá a archivar las diligencias. En caso contrario, ejercitará la acción penal correspondiente, sin perjuicio de que las partes acudan al mecanismo de la mediación.</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la audiencia de conciliación se realizare ante un centro o conciliado r reconocidos como tales, el conciliador enviará copia del acta que así lo constate al fiscal quien procederá al archivo de las diligencias si fue exitosa o, en caso contrario, iniciará la acción penal correspondiente, si fuere procedente, sin perjuicio de que las partes acudan al mecanismo de la mediación.</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inasistencia injustificada del querellante se entenderá como desistimiento de su pretensión. La del querellado motivará el ejercicio de la acción penal, si fuere procedente.</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En cualquier caso, si alguno de los citados fuere incapaz, concurrirá su representante legal.</w:t>
      </w: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conciliación se ceñirá, en lo pertinente, a lo es</w:t>
      </w:r>
      <w:r w:rsidR="006B5A3E" w:rsidRPr="00414BF5">
        <w:rPr>
          <w:rFonts w:ascii="Arial" w:eastAsia="Calibri" w:hAnsi="Arial" w:cs="Arial"/>
          <w:sz w:val="24"/>
          <w:szCs w:val="24"/>
          <w:lang w:val="es-ES_tradnl"/>
        </w:rPr>
        <w:t>tablecido en la Ley 640 de 2001</w:t>
      </w:r>
      <w:r w:rsidRPr="00414BF5">
        <w:rPr>
          <w:rFonts w:ascii="Arial" w:eastAsia="Calibri" w:hAnsi="Arial" w:cs="Arial"/>
          <w:sz w:val="24"/>
          <w:szCs w:val="24"/>
          <w:lang w:val="es-ES_tradnl"/>
        </w:rPr>
        <w:t>.</w:t>
      </w:r>
    </w:p>
    <w:p w:rsidR="006B5A3E" w:rsidRPr="00414BF5" w:rsidRDefault="006B5A3E" w:rsidP="00704C86">
      <w:pPr>
        <w:spacing w:after="0" w:line="240" w:lineRule="auto"/>
        <w:jc w:val="both"/>
        <w:rPr>
          <w:rFonts w:ascii="Arial" w:eastAsia="Calibri" w:hAnsi="Arial" w:cs="Arial"/>
          <w:sz w:val="24"/>
          <w:szCs w:val="24"/>
          <w:lang w:val="es-ES_tradnl"/>
        </w:rPr>
      </w:pP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117. La Ley 906 de 2004 tendrá un nuevo Libro VIII, con el siguiente nombre:</w:t>
      </w: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6B5A3E">
      <w:pPr>
        <w:spacing w:after="0" w:line="240" w:lineRule="auto"/>
        <w:jc w:val="center"/>
        <w:rPr>
          <w:rFonts w:ascii="Arial" w:eastAsia="Calibri" w:hAnsi="Arial" w:cs="Arial"/>
          <w:sz w:val="24"/>
          <w:szCs w:val="24"/>
          <w:lang w:val="es-CO"/>
        </w:rPr>
      </w:pPr>
      <w:r w:rsidRPr="00414BF5">
        <w:rPr>
          <w:rFonts w:ascii="Arial" w:eastAsia="Calibri" w:hAnsi="Arial" w:cs="Arial"/>
          <w:b/>
          <w:bCs/>
          <w:sz w:val="24"/>
          <w:szCs w:val="24"/>
          <w:lang w:val="es-ES_tradnl"/>
        </w:rPr>
        <w:t>LIBRO VIII</w:t>
      </w:r>
    </w:p>
    <w:p w:rsidR="00704C86" w:rsidRPr="00414BF5" w:rsidRDefault="00704C86" w:rsidP="006B5A3E">
      <w:pPr>
        <w:spacing w:after="0" w:line="240" w:lineRule="auto"/>
        <w:jc w:val="center"/>
        <w:rPr>
          <w:rFonts w:ascii="Arial" w:eastAsia="Calibri" w:hAnsi="Arial" w:cs="Arial"/>
          <w:b/>
          <w:bCs/>
          <w:sz w:val="24"/>
          <w:szCs w:val="24"/>
          <w:lang w:val="es-ES_tradnl"/>
        </w:rPr>
      </w:pPr>
      <w:r w:rsidRPr="00414BF5">
        <w:rPr>
          <w:rFonts w:ascii="Arial" w:eastAsia="Calibri" w:hAnsi="Arial" w:cs="Arial"/>
          <w:b/>
          <w:bCs/>
          <w:sz w:val="24"/>
          <w:szCs w:val="24"/>
          <w:lang w:val="es-ES_tradnl"/>
        </w:rPr>
        <w:t>PROCEDIMIENTO ESPECIA</w:t>
      </w:r>
      <w:r w:rsidR="006B5A3E" w:rsidRPr="00414BF5">
        <w:rPr>
          <w:rFonts w:ascii="Arial" w:eastAsia="Calibri" w:hAnsi="Arial" w:cs="Arial"/>
          <w:b/>
          <w:bCs/>
          <w:sz w:val="24"/>
          <w:szCs w:val="24"/>
          <w:lang w:val="es-ES_tradnl"/>
        </w:rPr>
        <w:t>L ABREVIADO Y ACUSACIÓN PRIVADA</w:t>
      </w:r>
    </w:p>
    <w:p w:rsidR="006B5A3E" w:rsidRPr="00414BF5" w:rsidRDefault="006B5A3E" w:rsidP="00704C86">
      <w:pPr>
        <w:spacing w:after="0" w:line="240" w:lineRule="auto"/>
        <w:jc w:val="both"/>
        <w:rPr>
          <w:rFonts w:ascii="Arial" w:eastAsia="Calibri" w:hAnsi="Arial" w:cs="Arial"/>
          <w:b/>
          <w:bCs/>
          <w:sz w:val="24"/>
          <w:szCs w:val="24"/>
          <w:lang w:val="es-ES_tradnl"/>
        </w:rPr>
      </w:pPr>
    </w:p>
    <w:p w:rsidR="006B5A3E" w:rsidRPr="00414BF5" w:rsidRDefault="006B5A3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118. La Ley 906 de 2004 tendrá un nuevo Título I y un nuevo Capítulo I en su Libro VIII, con el siguiente nombre:</w:t>
      </w:r>
    </w:p>
    <w:p w:rsidR="00B37269" w:rsidRPr="00414BF5" w:rsidRDefault="00B37269" w:rsidP="00704C86">
      <w:pPr>
        <w:spacing w:after="0" w:line="240" w:lineRule="auto"/>
        <w:jc w:val="both"/>
        <w:rPr>
          <w:rFonts w:ascii="Arial" w:eastAsia="Calibri" w:hAnsi="Arial" w:cs="Arial"/>
          <w:sz w:val="24"/>
          <w:szCs w:val="24"/>
          <w:lang w:val="es-CO"/>
        </w:rPr>
      </w:pPr>
    </w:p>
    <w:p w:rsidR="00704C86" w:rsidRPr="00414BF5" w:rsidRDefault="00704C86" w:rsidP="00B37269">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I</w:t>
      </w:r>
    </w:p>
    <w:p w:rsidR="00704C86" w:rsidRPr="00414BF5" w:rsidRDefault="00704C86" w:rsidP="00B37269">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DEL PROCEDIMIENTO ESPECIAL </w:t>
      </w:r>
      <w:r w:rsidRPr="00414BF5">
        <w:rPr>
          <w:rFonts w:ascii="Arial" w:eastAsia="Calibri" w:hAnsi="Arial" w:cs="Arial"/>
          <w:sz w:val="24"/>
          <w:szCs w:val="24"/>
          <w:lang w:val="es-ES_tradnl"/>
        </w:rPr>
        <w:br/>
        <w:t>ABREVIADO</w:t>
      </w:r>
    </w:p>
    <w:p w:rsidR="00704C86" w:rsidRPr="00414BF5" w:rsidRDefault="00704C86" w:rsidP="00B37269">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CAPÍTULO I</w:t>
      </w:r>
    </w:p>
    <w:p w:rsidR="00704C86" w:rsidRPr="00414BF5" w:rsidRDefault="00B37269" w:rsidP="00B37269">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DEFINICIONES Y REGLAS GENERALES</w:t>
      </w:r>
    </w:p>
    <w:p w:rsidR="00B37269" w:rsidRPr="00414BF5" w:rsidRDefault="00B37269" w:rsidP="00704C86">
      <w:pPr>
        <w:spacing w:after="0" w:line="240" w:lineRule="auto"/>
        <w:jc w:val="both"/>
        <w:rPr>
          <w:rFonts w:ascii="Arial" w:eastAsia="Calibri" w:hAnsi="Arial" w:cs="Arial"/>
          <w:sz w:val="24"/>
          <w:szCs w:val="24"/>
          <w:lang w:val="es-ES_tradnl"/>
        </w:rPr>
      </w:pPr>
    </w:p>
    <w:p w:rsidR="00B37269" w:rsidRPr="00414BF5" w:rsidRDefault="00B37269"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119. La Ley 906 de 2004 tendrá un nuevo artículo 534, así:</w:t>
      </w:r>
    </w:p>
    <w:p w:rsidR="00B37269" w:rsidRPr="00414BF5" w:rsidRDefault="00B37269"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b/>
          <w:bCs/>
          <w:sz w:val="24"/>
          <w:szCs w:val="24"/>
          <w:lang w:val="es-ES_tradnl"/>
        </w:rPr>
        <w:t>Artículo 534. </w:t>
      </w:r>
      <w:r w:rsidRPr="00414BF5">
        <w:rPr>
          <w:rFonts w:ascii="Arial" w:eastAsia="Calibri" w:hAnsi="Arial" w:cs="Arial"/>
          <w:i/>
          <w:iCs/>
          <w:sz w:val="24"/>
          <w:szCs w:val="24"/>
          <w:lang w:val="es-CO"/>
        </w:rPr>
        <w:t>Ámbito de aplicación</w:t>
      </w:r>
      <w:r w:rsidRPr="00414BF5">
        <w:rPr>
          <w:rFonts w:ascii="Arial" w:eastAsia="Calibri" w:hAnsi="Arial" w:cs="Arial"/>
          <w:sz w:val="24"/>
          <w:szCs w:val="24"/>
          <w:lang w:val="es-ES_tradnl"/>
        </w:rPr>
        <w:t>. El procedimiento especial abreviado de que trata el presente título se aplicará a las contravenciones. En caso de concurso de conductas punibles entre delitos y contravenciones, se seguirá el procedimiento ordinario previsto en este código para los primeros.</w:t>
      </w: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También se aplicará este procedimiento al delito de hurto calificado por los numerales 1 o 2 del artículo 240, al hurto cometido sobre elementos destinados a las comunicaciones telefónicas descrito en el inciso final del artículo 240 y al delito de inasistencia alimentaria descrito en el artículo 233 y al delito de violencia contra servidor público descrito en el artículo 429 de la Ley 599 de 2000.</w:t>
      </w:r>
    </w:p>
    <w:p w:rsidR="00B37269" w:rsidRPr="00414BF5" w:rsidRDefault="00B37269"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sola denominación de una conducta punible como contravención o su trámite por el procedimiento especial abreviado, no son criterios determinantes para la individualización de la pena o para la concesión o denegación de beneficios judiciales y/o administrativos, subrogados penales y demás aspectos relacionados co</w:t>
      </w:r>
      <w:r w:rsidR="00B37269" w:rsidRPr="00414BF5">
        <w:rPr>
          <w:rFonts w:ascii="Arial" w:eastAsia="Calibri" w:hAnsi="Arial" w:cs="Arial"/>
          <w:sz w:val="24"/>
          <w:szCs w:val="24"/>
          <w:lang w:val="es-ES_tradnl"/>
        </w:rPr>
        <w:t>n la punibilidad de la conducta</w:t>
      </w:r>
      <w:r w:rsidRPr="00414BF5">
        <w:rPr>
          <w:rFonts w:ascii="Arial" w:eastAsia="Calibri" w:hAnsi="Arial" w:cs="Arial"/>
          <w:sz w:val="24"/>
          <w:szCs w:val="24"/>
          <w:lang w:val="es-ES_tradnl"/>
        </w:rPr>
        <w:t>.</w:t>
      </w:r>
    </w:p>
    <w:p w:rsidR="00B37269" w:rsidRPr="00414BF5" w:rsidRDefault="00B37269" w:rsidP="00704C86">
      <w:pPr>
        <w:spacing w:after="0" w:line="240" w:lineRule="auto"/>
        <w:jc w:val="both"/>
        <w:rPr>
          <w:rFonts w:ascii="Arial" w:eastAsia="Calibri" w:hAnsi="Arial" w:cs="Arial"/>
          <w:sz w:val="24"/>
          <w:szCs w:val="24"/>
          <w:lang w:val="es-ES_tradnl"/>
        </w:rPr>
      </w:pPr>
    </w:p>
    <w:p w:rsidR="00B37269" w:rsidRPr="00414BF5" w:rsidRDefault="00B37269"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120. La Ley 906 de 2004 tendrá un nuevo artículo 535, así:</w:t>
      </w:r>
    </w:p>
    <w:p w:rsidR="00B37269" w:rsidRPr="00414BF5" w:rsidRDefault="00B37269"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535. </w:t>
      </w:r>
      <w:r w:rsidRPr="00414BF5">
        <w:rPr>
          <w:rFonts w:ascii="Arial" w:eastAsia="Calibri" w:hAnsi="Arial" w:cs="Arial"/>
          <w:b/>
          <w:bCs/>
          <w:i/>
          <w:iCs/>
          <w:sz w:val="24"/>
          <w:szCs w:val="24"/>
          <w:lang w:val="es-ES_tradnl"/>
        </w:rPr>
        <w:t>Integración</w:t>
      </w:r>
      <w:r w:rsidRPr="00414BF5">
        <w:rPr>
          <w:rFonts w:ascii="Arial" w:eastAsia="Calibri" w:hAnsi="Arial" w:cs="Arial"/>
          <w:b/>
          <w:bCs/>
          <w:sz w:val="24"/>
          <w:szCs w:val="24"/>
          <w:lang w:val="es-ES_tradnl"/>
        </w:rPr>
        <w:t>.</w:t>
      </w:r>
      <w:r w:rsidRPr="00414BF5">
        <w:rPr>
          <w:rFonts w:ascii="Arial" w:eastAsia="Calibri" w:hAnsi="Arial" w:cs="Arial"/>
          <w:sz w:val="24"/>
          <w:szCs w:val="24"/>
          <w:lang w:val="es-ES_tradnl"/>
        </w:rPr>
        <w:t> En todo aquello que no haya sido previsto de forma especial por el procedimiento descrito en este título para las contravenciones, se aplicará lo dispuesto por este código y el Código Penal, Ley 599 de 20</w:t>
      </w:r>
      <w:r w:rsidR="00B37269" w:rsidRPr="00414BF5">
        <w:rPr>
          <w:rFonts w:ascii="Arial" w:eastAsia="Calibri" w:hAnsi="Arial" w:cs="Arial"/>
          <w:sz w:val="24"/>
          <w:szCs w:val="24"/>
          <w:lang w:val="es-ES_tradnl"/>
        </w:rPr>
        <w:t>00, en relación con los delitos</w:t>
      </w:r>
      <w:r w:rsidRPr="00414BF5">
        <w:rPr>
          <w:rFonts w:ascii="Arial" w:eastAsia="Calibri" w:hAnsi="Arial" w:cs="Arial"/>
          <w:sz w:val="24"/>
          <w:szCs w:val="24"/>
          <w:lang w:val="es-ES_tradnl"/>
        </w:rPr>
        <w:t>.</w:t>
      </w:r>
    </w:p>
    <w:p w:rsidR="00B37269" w:rsidRPr="00414BF5" w:rsidRDefault="00B37269" w:rsidP="00704C86">
      <w:pPr>
        <w:spacing w:after="0" w:line="240" w:lineRule="auto"/>
        <w:jc w:val="both"/>
        <w:rPr>
          <w:rFonts w:ascii="Arial" w:eastAsia="Calibri" w:hAnsi="Arial" w:cs="Arial"/>
          <w:sz w:val="24"/>
          <w:szCs w:val="24"/>
          <w:lang w:val="es-ES_tradnl"/>
        </w:rPr>
      </w:pPr>
    </w:p>
    <w:p w:rsidR="00B37269" w:rsidRPr="00414BF5" w:rsidRDefault="00B37269"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121. La Ley 906 de 2004 tendrá un nuevo artículo 536,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536. </w:t>
      </w:r>
      <w:r w:rsidRPr="00414BF5">
        <w:rPr>
          <w:rFonts w:ascii="Arial" w:eastAsia="Calibri" w:hAnsi="Arial" w:cs="Arial"/>
          <w:b/>
          <w:bCs/>
          <w:i/>
          <w:iCs/>
          <w:sz w:val="24"/>
          <w:szCs w:val="24"/>
          <w:lang w:val="es-ES_tradnl"/>
        </w:rPr>
        <w:t>Comunicación de los cargos</w:t>
      </w:r>
      <w:r w:rsidRPr="00414BF5">
        <w:rPr>
          <w:rFonts w:ascii="Arial" w:eastAsia="Calibri" w:hAnsi="Arial" w:cs="Arial"/>
          <w:sz w:val="24"/>
          <w:szCs w:val="24"/>
          <w:lang w:val="es-ES_tradnl"/>
        </w:rPr>
        <w:t>. La comunicación de los cargos por los cuales está siendo investigado se surtirá con el traslado del escrito de acusación, tras lo cual el indiciado adquiere la condición de parte en el proceso penal. Cuando se solicite la imposición de medida de aseguramiento, los cargos se comunicarán oralmente al indiciado al comienzo de la audiencia respectiva, de acuerdo con lo estab</w:t>
      </w:r>
      <w:r w:rsidR="007C659E" w:rsidRPr="00414BF5">
        <w:rPr>
          <w:rFonts w:ascii="Arial" w:eastAsia="Calibri" w:hAnsi="Arial" w:cs="Arial"/>
          <w:sz w:val="24"/>
          <w:szCs w:val="24"/>
          <w:lang w:val="es-ES_tradnl"/>
        </w:rPr>
        <w:t>lecido en el artículo siguiente</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122. La Ley 906 de 2004 tendrá un nuevo artículo 537, así:</w:t>
      </w:r>
    </w:p>
    <w:p w:rsidR="007C659E" w:rsidRPr="00414BF5" w:rsidRDefault="007C659E"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537. </w:t>
      </w:r>
      <w:r w:rsidRPr="00414BF5">
        <w:rPr>
          <w:rFonts w:ascii="Arial" w:eastAsia="Calibri" w:hAnsi="Arial" w:cs="Arial"/>
          <w:b/>
          <w:bCs/>
          <w:i/>
          <w:iCs/>
          <w:sz w:val="24"/>
          <w:szCs w:val="24"/>
          <w:lang w:val="es-ES_tradnl"/>
        </w:rPr>
        <w:t xml:space="preserve">Comunicación de cargos en audiencia de </w:t>
      </w:r>
      <w:r w:rsidR="007C659E" w:rsidRPr="00414BF5">
        <w:rPr>
          <w:rFonts w:ascii="Arial" w:eastAsia="Calibri" w:hAnsi="Arial" w:cs="Arial"/>
          <w:b/>
          <w:bCs/>
          <w:i/>
          <w:iCs/>
          <w:sz w:val="24"/>
          <w:szCs w:val="24"/>
          <w:lang w:val="es-ES_tradnl"/>
        </w:rPr>
        <w:t>solicitud de medida de aseguram</w:t>
      </w:r>
      <w:r w:rsidRPr="00414BF5">
        <w:rPr>
          <w:rFonts w:ascii="Arial" w:eastAsia="Calibri" w:hAnsi="Arial" w:cs="Arial"/>
          <w:b/>
          <w:bCs/>
          <w:i/>
          <w:iCs/>
          <w:sz w:val="24"/>
          <w:szCs w:val="24"/>
          <w:lang w:val="es-ES_tradnl"/>
        </w:rPr>
        <w:t>iento.</w:t>
      </w:r>
      <w:r w:rsidRPr="00414BF5">
        <w:rPr>
          <w:rFonts w:ascii="Arial" w:eastAsia="Calibri" w:hAnsi="Arial" w:cs="Arial"/>
          <w:sz w:val="24"/>
          <w:szCs w:val="24"/>
          <w:lang w:val="es-ES_tradnl"/>
        </w:rPr>
        <w:t> La comunicación de los cargos se hará de forma oral en la audiencia de solicitud de medida de aseguramiento cuando esta ocurra con anterioridad al traslado del escrito de acusación. Esta comunicación contendrá, como mínimo:</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3"/>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Individualización concreta del indiciado, incluyendo su nombre, los datos que sirvan para identificarlo y el domicilio de citaciones.</w:t>
      </w:r>
    </w:p>
    <w:p w:rsidR="007C659E" w:rsidRPr="00414BF5" w:rsidRDefault="007C659E" w:rsidP="007C659E">
      <w:pPr>
        <w:pStyle w:val="Prrafodelista"/>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3"/>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Relación clara y sucinta de los hechos jurídicamente relevantes.</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3"/>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Calificación jurídica provisional de los hechos por los cuales está siendo investigado.</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3"/>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Posibilidad de allanarse a los cargos comunicados, caso en el cual se procederá de conformidad con lo dispuesto por el artículo 541 de este Código.</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calificación jurídica provisional de los hechos no obsta para su modificación en el escrito de acusación, siempre que la nueva conducta punible guarde identidad y no afecte o modifique el núcleo básico o esencial del supuesto fáctico.</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Comunicados los cargos de esta forma, la Fiscalía contará con treinta (30) días para correr tr</w:t>
      </w:r>
      <w:r w:rsidR="007C659E" w:rsidRPr="00414BF5">
        <w:rPr>
          <w:rFonts w:ascii="Arial" w:eastAsia="Calibri" w:hAnsi="Arial" w:cs="Arial"/>
          <w:sz w:val="24"/>
          <w:szCs w:val="24"/>
          <w:lang w:val="es-ES_tradnl"/>
        </w:rPr>
        <w:t>aslado del escrito de acusación</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123. La Ley 906 de 2004 tendrá un nuevo artículo 538,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538. </w:t>
      </w:r>
      <w:r w:rsidRPr="00414BF5">
        <w:rPr>
          <w:rFonts w:ascii="Arial" w:eastAsia="Calibri" w:hAnsi="Arial" w:cs="Arial"/>
          <w:b/>
          <w:bCs/>
          <w:i/>
          <w:iCs/>
          <w:sz w:val="24"/>
          <w:szCs w:val="24"/>
          <w:lang w:val="es-ES_tradnl"/>
        </w:rPr>
        <w:t>Causales de libertad</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término de las medidas de aseguramiento privativas de la libertad no podrá exceder de ciento cincuenta (150) días. La libertad del indiciado o acusado se cumplirá de inmediato y procederá en los siguientes eventos:</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4"/>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se haya cumplido la pena según la determinación anticipada que para este efecto se haga.</w:t>
      </w:r>
    </w:p>
    <w:p w:rsidR="007C659E" w:rsidRPr="00414BF5" w:rsidRDefault="007C659E" w:rsidP="007C659E">
      <w:pPr>
        <w:pStyle w:val="Prrafodelista"/>
        <w:spacing w:after="0" w:line="240" w:lineRule="auto"/>
        <w:jc w:val="both"/>
        <w:rPr>
          <w:rFonts w:ascii="Arial" w:eastAsia="Calibri" w:hAnsi="Arial" w:cs="Arial"/>
          <w:sz w:val="24"/>
          <w:szCs w:val="24"/>
          <w:lang w:val="es-CO"/>
        </w:rPr>
      </w:pPr>
    </w:p>
    <w:p w:rsidR="007C659E" w:rsidRPr="00414BF5" w:rsidRDefault="00704C86" w:rsidP="007C659E">
      <w:pPr>
        <w:pStyle w:val="Prrafodelista"/>
        <w:numPr>
          <w:ilvl w:val="0"/>
          <w:numId w:val="34"/>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se haya decretado la preclusión.</w:t>
      </w:r>
    </w:p>
    <w:p w:rsidR="007C659E" w:rsidRPr="00414BF5" w:rsidRDefault="007C659E" w:rsidP="007C659E">
      <w:pPr>
        <w:spacing w:after="0" w:line="240" w:lineRule="auto"/>
        <w:jc w:val="both"/>
        <w:rPr>
          <w:rFonts w:ascii="Arial" w:eastAsia="Calibri" w:hAnsi="Arial" w:cs="Arial"/>
          <w:sz w:val="24"/>
          <w:szCs w:val="24"/>
          <w:lang w:val="es-ES_tradnl"/>
        </w:rPr>
      </w:pPr>
    </w:p>
    <w:p w:rsidR="00704C86" w:rsidRPr="00414BF5" w:rsidRDefault="00704C86" w:rsidP="007C659E">
      <w:pPr>
        <w:pStyle w:val="Prrafodelista"/>
        <w:numPr>
          <w:ilvl w:val="0"/>
          <w:numId w:val="34"/>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se haya absuelto al acusado.</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4"/>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Como consecuencia de la aplicación del Principio de Oportunidad.</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4"/>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Como consecuencia de las cláusulas del acuerdo cuando haya sido aceptado por el Juez de Conocimiento.</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4"/>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transcurridos treinta (30) días desde la imposición de la medida de aseguramiento, no se haya corrido traslado del escrito de acusación.</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C659E" w:rsidP="007C659E">
      <w:pPr>
        <w:pStyle w:val="Prrafodelista"/>
        <w:numPr>
          <w:ilvl w:val="0"/>
          <w:numId w:val="34"/>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trans</w:t>
      </w:r>
      <w:r w:rsidR="00704C86" w:rsidRPr="00414BF5">
        <w:rPr>
          <w:rFonts w:ascii="Arial" w:eastAsia="Calibri" w:hAnsi="Arial" w:cs="Arial"/>
          <w:sz w:val="24"/>
          <w:szCs w:val="24"/>
          <w:lang w:val="es-ES_tradnl"/>
        </w:rPr>
        <w:t>curridos setenta (70) días desde el traslado de la acusación no se haya iniciado la audiencia concentrada.</w:t>
      </w:r>
    </w:p>
    <w:p w:rsidR="007C659E" w:rsidRPr="00414BF5" w:rsidRDefault="007C659E" w:rsidP="007C659E">
      <w:pPr>
        <w:spacing w:after="0" w:line="240" w:lineRule="auto"/>
        <w:jc w:val="both"/>
        <w:rPr>
          <w:rFonts w:ascii="Arial" w:eastAsia="Calibri" w:hAnsi="Arial" w:cs="Arial"/>
          <w:sz w:val="24"/>
          <w:szCs w:val="24"/>
          <w:lang w:val="es-ES_tradnl"/>
        </w:rPr>
      </w:pPr>
    </w:p>
    <w:p w:rsidR="00704C86" w:rsidRPr="00414BF5" w:rsidRDefault="00704C86" w:rsidP="007C659E">
      <w:pPr>
        <w:pStyle w:val="Prrafodelista"/>
        <w:numPr>
          <w:ilvl w:val="0"/>
          <w:numId w:val="34"/>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transcurridos quince (15) días desde la terminación de la audiencia concentrada no se haya iniciado la audiencia de juicio oral.</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4"/>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transcurridos treinta (30) días desde el inicio del juicio oral no se haya corrido traslado de la sentencia.</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Parágrafo 1°. En los numerales 4 y 5 se restablecerán los términos cuando hubiere improbación de la aceptación de cargos, de los preacuerdos o de la aplicación del principio de oportunidad.</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Parágrafo 2°. Cuando la audiencia no se haya podido iniciar o terminar por maniobras dilatorias del acusado o su defensor, no se contabilizarán dentro de los términos contenidos en este artículo, los días empleados en ellas.</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Parágrafo 3°. Cuando la audiencia no se hubiere podido iniciar o terminar por causa razonable fundada en hechos externos y objetivos de fuerza mayor, ajenos al juez o a la administración de justicia, la audiencia se iniciará o reanudará cuando haya desaparecido dicha causa.</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124. La Ley 906 de 2004 tendrá un nuevo Capítulo II en su Título I de su Libro VIII, con el siguiente nombre:</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C659E">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CAPÍTULO II</w:t>
      </w:r>
    </w:p>
    <w:p w:rsidR="00704C86" w:rsidRPr="00414BF5" w:rsidRDefault="007C659E" w:rsidP="007C659E">
      <w:pPr>
        <w:spacing w:after="0" w:line="240" w:lineRule="auto"/>
        <w:jc w:val="center"/>
        <w:rPr>
          <w:rFonts w:ascii="Arial" w:eastAsia="Calibri" w:hAnsi="Arial" w:cs="Arial"/>
          <w:b/>
          <w:bCs/>
          <w:sz w:val="24"/>
          <w:szCs w:val="24"/>
          <w:lang w:val="es-ES_tradnl"/>
        </w:rPr>
      </w:pPr>
      <w:r w:rsidRPr="00414BF5">
        <w:rPr>
          <w:rFonts w:ascii="Arial" w:eastAsia="Calibri" w:hAnsi="Arial" w:cs="Arial"/>
          <w:b/>
          <w:bCs/>
          <w:sz w:val="24"/>
          <w:szCs w:val="24"/>
          <w:lang w:val="es-ES_tradnl"/>
        </w:rPr>
        <w:t>De la acusación</w:t>
      </w:r>
    </w:p>
    <w:p w:rsidR="007C659E" w:rsidRPr="00414BF5" w:rsidRDefault="007C659E" w:rsidP="007C659E">
      <w:pPr>
        <w:spacing w:after="0" w:line="240" w:lineRule="auto"/>
        <w:jc w:val="center"/>
        <w:rPr>
          <w:rFonts w:ascii="Arial" w:eastAsia="Calibri" w:hAnsi="Arial" w:cs="Arial"/>
          <w:b/>
          <w:bCs/>
          <w:sz w:val="24"/>
          <w:szCs w:val="24"/>
          <w:lang w:val="es-ES_tradnl"/>
        </w:rPr>
      </w:pPr>
    </w:p>
    <w:p w:rsidR="007C659E" w:rsidRPr="00414BF5" w:rsidRDefault="007C659E" w:rsidP="007C659E">
      <w:pPr>
        <w:spacing w:after="0" w:line="240" w:lineRule="auto"/>
        <w:jc w:val="center"/>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125. La Ley 906 de 2004 tendrá un nuevo artículo 539,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539. </w:t>
      </w:r>
      <w:r w:rsidRPr="00414BF5">
        <w:rPr>
          <w:rFonts w:ascii="Arial" w:eastAsia="Calibri" w:hAnsi="Arial" w:cs="Arial"/>
          <w:b/>
          <w:bCs/>
          <w:i/>
          <w:iCs/>
          <w:sz w:val="24"/>
          <w:szCs w:val="24"/>
          <w:lang w:val="es-ES_tradnl"/>
        </w:rPr>
        <w:t>Traslado de la acusación</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fiscal citará al indiciado para que comparezca en compañía de su defensor, así como a la víctima, con el fin de hacer entrega del escrito de acusación y realizar el descubrimiento probatorio, cuando de los elementos materiales probatorios, evidencia física o información legalmente obtenida, se pueda afirmar, con probabilidad de verdad, que la conducta delictiva existió y que el indiciado fue autor o partícipe.</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El descubrimiento probatorio que haga la Fiscalía deberá ser total y del mismo deberá quedar constancia firmada por las partes.</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En los eventos contemplados por los artículos 127 y 291 de este código se seguirá lo dispuesto para los delitos y el traslado de la acusaci</w:t>
      </w:r>
      <w:r w:rsidR="007C659E" w:rsidRPr="00414BF5">
        <w:rPr>
          <w:rFonts w:ascii="Arial" w:eastAsia="Calibri" w:hAnsi="Arial" w:cs="Arial"/>
          <w:sz w:val="24"/>
          <w:szCs w:val="24"/>
          <w:lang w:val="es-ES_tradnl"/>
        </w:rPr>
        <w:t>ón se realizará con el defensor</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126. La Ley 906 de 2004 tendrá un nuevo artículo 540,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540. </w:t>
      </w:r>
      <w:r w:rsidRPr="00414BF5">
        <w:rPr>
          <w:rFonts w:ascii="Arial" w:eastAsia="Calibri" w:hAnsi="Arial" w:cs="Arial"/>
          <w:b/>
          <w:bCs/>
          <w:i/>
          <w:iCs/>
          <w:sz w:val="24"/>
          <w:szCs w:val="24"/>
          <w:lang w:val="es-ES_tradnl"/>
        </w:rPr>
        <w:t>Contenido de la acusación y documentos anexos</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escrito de acusación deberá cumplir con los requisitos del artículo 337 del Código de Procedimiento Penal. Además deberá contener:</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5"/>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indicación del juzgado competente para conocer la acción.</w:t>
      </w:r>
    </w:p>
    <w:p w:rsidR="007C659E" w:rsidRPr="00414BF5" w:rsidRDefault="007C659E" w:rsidP="007C659E">
      <w:pPr>
        <w:pStyle w:val="Prrafodelista"/>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5"/>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Prueba sumaria que acredite la calidad de la víctima y su identificación.</w:t>
      </w:r>
    </w:p>
    <w:p w:rsidR="007C659E" w:rsidRPr="00414BF5" w:rsidRDefault="007C659E" w:rsidP="007C659E">
      <w:pPr>
        <w:spacing w:after="0" w:line="240" w:lineRule="auto"/>
        <w:jc w:val="both"/>
        <w:rPr>
          <w:rFonts w:ascii="Arial" w:eastAsia="Calibri" w:hAnsi="Arial" w:cs="Arial"/>
          <w:sz w:val="24"/>
          <w:szCs w:val="24"/>
          <w:lang w:val="es-CO"/>
        </w:rPr>
      </w:pP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127. La Ley 906 de 2004 tendrá un nuevo artículo 541,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541. </w:t>
      </w:r>
      <w:r w:rsidRPr="00414BF5">
        <w:rPr>
          <w:rFonts w:ascii="Arial" w:eastAsia="Calibri" w:hAnsi="Arial" w:cs="Arial"/>
          <w:b/>
          <w:bCs/>
          <w:i/>
          <w:iCs/>
          <w:sz w:val="24"/>
          <w:szCs w:val="24"/>
          <w:lang w:val="es-ES_tradnl"/>
        </w:rPr>
        <w:t>Aceptación de cargos en el procedimiento abreviado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Si el indiciado manifiesta su intención de aceptar los cargos, podrá acercarse al fiscal del caso, en cualquier momento previo a la audiencia concentrada.</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aceptación de cargos en esta etapa dará lugar a un beneficio punitivo de hasta la mitad de la pena. En ese caso, la Fiscalía, el indiciado y su defensor suscribirán un acta en la que conste la manifestación de aceptación de responsabilidad de manera libre, voluntaria e informada, la cual deberá anexarse al escrito de acusación. Estos documentos serán presentados ante el juez de conocimiento para que verifique la validez de la aceptación de los cargos y siga el trámite del artículo 447.</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El beneficio punitivo será de hasta una tercera parte si la aceptación se hace una vez instalada la audiencia concentrada y de una sexta parte de la pena si ocurre una vez instal</w:t>
      </w:r>
      <w:r w:rsidR="007C659E" w:rsidRPr="00414BF5">
        <w:rPr>
          <w:rFonts w:ascii="Arial" w:eastAsia="Calibri" w:hAnsi="Arial" w:cs="Arial"/>
          <w:sz w:val="24"/>
          <w:szCs w:val="24"/>
          <w:lang w:val="es-ES_tradnl"/>
        </w:rPr>
        <w:t>ada la audiencia de juicio oral</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128. La Ley 906 de 2004 tendrá un nuevo artículo 542,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542. </w:t>
      </w:r>
      <w:r w:rsidRPr="00414BF5">
        <w:rPr>
          <w:rFonts w:ascii="Arial" w:eastAsia="Calibri" w:hAnsi="Arial" w:cs="Arial"/>
          <w:b/>
          <w:bCs/>
          <w:i/>
          <w:iCs/>
          <w:sz w:val="24"/>
          <w:szCs w:val="24"/>
          <w:lang w:val="es-ES_tradnl"/>
        </w:rPr>
        <w:t>Presentación de la acusación</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Cumplido lo dispuesto en el artículo 540, el fiscal presentará el escrito de acusación ante el juez competente para adelantar el juicio.</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Para su presentación, el fiscal deberá anexar la siguiente información:</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6"/>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constancia de la comunicación del escrito de acusación al indiciado.</w:t>
      </w:r>
    </w:p>
    <w:p w:rsidR="007C659E" w:rsidRPr="00414BF5" w:rsidRDefault="007C659E" w:rsidP="007C659E">
      <w:pPr>
        <w:pStyle w:val="Prrafodelista"/>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6"/>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constancia de la realización del descubrimiento probatorio.</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6"/>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 declaratoria de persona ausente o contumacia cuando hubiere lugar.</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 xml:space="preserve">La presentación del escrito de acusación interrumpe el término de </w:t>
      </w:r>
      <w:r w:rsidR="007C659E" w:rsidRPr="00414BF5">
        <w:rPr>
          <w:rFonts w:ascii="Arial" w:eastAsia="Calibri" w:hAnsi="Arial" w:cs="Arial"/>
          <w:sz w:val="24"/>
          <w:szCs w:val="24"/>
          <w:lang w:val="es-ES_tradnl"/>
        </w:rPr>
        <w:t>prescripción de la acción penal</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129. La Ley 906 de 2004 tendrá un nuevo artículo 543,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543. </w:t>
      </w:r>
      <w:r w:rsidRPr="00414BF5">
        <w:rPr>
          <w:rFonts w:ascii="Arial" w:eastAsia="Calibri" w:hAnsi="Arial" w:cs="Arial"/>
          <w:b/>
          <w:bCs/>
          <w:i/>
          <w:iCs/>
          <w:sz w:val="24"/>
          <w:szCs w:val="24"/>
          <w:lang w:val="es-ES_tradnl"/>
        </w:rPr>
        <w:t>Término para la audiencia concentrada</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A partir del traslado del escrito de acusación el indiciado tendrá un término de sesenta (60) días para la preparación de su defensa. Vencido este término, el juez de conocimiento citará dentro de los diez (10) días siguientes a las partes e intervinientes a audiencia concentrada.</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Para la realización de la audiencia será necesaria la presencia del f</w:t>
      </w:r>
      <w:r w:rsidR="007C659E" w:rsidRPr="00414BF5">
        <w:rPr>
          <w:rFonts w:ascii="Arial" w:eastAsia="Calibri" w:hAnsi="Arial" w:cs="Arial"/>
          <w:sz w:val="24"/>
          <w:szCs w:val="24"/>
          <w:lang w:val="es-ES_tradnl"/>
        </w:rPr>
        <w:t>iscal y el defensor</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130. La Ley 906 de 2004 tendrá un nuevo artículo 544,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544. </w:t>
      </w:r>
      <w:r w:rsidRPr="00414BF5">
        <w:rPr>
          <w:rFonts w:ascii="Arial" w:eastAsia="Calibri" w:hAnsi="Arial" w:cs="Arial"/>
          <w:b/>
          <w:bCs/>
          <w:i/>
          <w:iCs/>
          <w:sz w:val="24"/>
          <w:szCs w:val="24"/>
          <w:lang w:val="es-ES_tradnl"/>
        </w:rPr>
        <w:t>Audiencia concentrada</w:t>
      </w:r>
      <w:r w:rsidRPr="00414BF5">
        <w:rPr>
          <w:rFonts w:ascii="Arial" w:eastAsia="Calibri" w:hAnsi="Arial" w:cs="Arial"/>
          <w:sz w:val="24"/>
          <w:szCs w:val="24"/>
          <w:lang w:val="es-ES_tradnl"/>
        </w:rPr>
        <w:t>. Una vez instalada la audiencia y corroborada la presencia de las partes, el juez procederá a:</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7"/>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Interrogar a la víctima y al indiciado sobre la voluntad de conciliar y de ser así, se señalará un término razonable de receso para, luego, mediante acta, determinar las condiciones del acuerdo.</w:t>
      </w:r>
    </w:p>
    <w:p w:rsidR="007C659E" w:rsidRPr="00414BF5" w:rsidRDefault="007C659E" w:rsidP="007C659E">
      <w:pPr>
        <w:pStyle w:val="Prrafodelista"/>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7"/>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De fracasar la conciliación, interrogará al indiciado sobre su voluntad de aceptar los cargos formulados y verificará que su contestación sea libre, voluntaria e informada, advirtiéndole que de allanarse en dicha etapa sería acreedor de un beneficio punitivo de hasta la tercera parte de la pena. En caso de aceptación, se procederá a lo dispuesto en el artículo 447.</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7"/>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De no aceptarse los cargos por parte del indiciado, procederá a darle la palabra a las partes e intervinientes para que expresen oralmente las causales de incompetencia, impedimentos, recusaciones y nulidades.</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7"/>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Acto seguido, interrogará al fiscal sobre si existen modificaciones a la acusación plasmada en el escrito de que habla el artículo 540, las cuales no podrán afectar el núcleo fáctico señalado en tal escrito.</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7"/>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Dará el uso de la palabra a la defensa y a la víctima para que presenten sus observaciones al escrito de acusación y sus modificaciones con respecto a los requisitos establecidos en los artículos 337 y 543. De ser procedente ordenará al fiscal que lo aclare, adicione o corrija de inmediato.</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7"/>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Que las partes e intervinientes manifiesten sus observaciones pertinentes al procedimiento de descubrimiento de elementos probatorios. Si el descubrimiento no estuviere completo, el juez lo rechazará conforme al artículo 346 de este Código.</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7"/>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Que la defensa descubra sus elementos materiales probatorios y evidencia física.</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7"/>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Que la Fiscalía y la defensa enuncien la totalidad de las pruebas que harán valer en la audiencia del juicio oral y público. Lo anterior constará en un listado el cual se entregará al juez y a las partes e intervinientes al inicio de la audiencia.</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7"/>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Que la Fiscalía, las víctimas y la defensa realicen sus solicitudes probatorias, de lo cual se correrá traslado a las partes e intervinientes para que se pronuncien sobre su exclusión, rechazo e inadmisibilidad.</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7"/>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Que las partes e intervinientes manifiesten si tienen interés en hacer estipulaciones probatorias. En este evento, podrán reunirse previamente a la realización de la audiencia para acordar las estipulaciones probatorias que serán presentadas al juez para su aprobación. Si lo anterior no se realiza, el juez podrá durante la audiencia ordenar un receso hasta de una (1) hora a fin de que las partes puedan acordar las estipulaciones.</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7"/>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Decidir sobre las pruebas que serán presentadas en juicio.</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Parágrafo. Si durante el juicio alguna de las partes encuentra un elemento material probatorio y evidencia física significativo que debería ser descubierto, lo pondrá en conocimiento del juez quien, oídas a las partes y en consideración al perjuicio que podría producirse al derecho de defensa y la integridad del juicio, decidirá si es excepcionalmente admisible o si debe excluirse esa prueba.</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131. La Ley 906 de 2004 tendrá un nuevo artículo 545,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545. Fijación de la audiencia de juicio oral</w:t>
      </w:r>
      <w:r w:rsidRPr="00414BF5">
        <w:rPr>
          <w:rFonts w:ascii="Arial" w:eastAsia="Calibri" w:hAnsi="Arial" w:cs="Arial"/>
          <w:sz w:val="24"/>
          <w:szCs w:val="24"/>
          <w:lang w:val="es-ES_tradnl"/>
        </w:rPr>
        <w:t>. Concluida la audiencia concentrada, el juez fijará fecha y hora para el inicio del juicio que deberá realizarse dentro de los treinta (30) días siguientes a la terminación de la audiencia concentrada, sin perjuicio de lo dispuesto por el artículo 538 para los eventos en los cuales exista medida de asegura</w:t>
      </w:r>
      <w:r w:rsidR="007C659E" w:rsidRPr="00414BF5">
        <w:rPr>
          <w:rFonts w:ascii="Arial" w:eastAsia="Calibri" w:hAnsi="Arial" w:cs="Arial"/>
          <w:sz w:val="24"/>
          <w:szCs w:val="24"/>
          <w:lang w:val="es-ES_tradnl"/>
        </w:rPr>
        <w:t>miento privativa de la libertad</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132. La Ley 906 de 2004 tendrá un nuevo artículo 546,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546. </w:t>
      </w:r>
      <w:r w:rsidRPr="00414BF5">
        <w:rPr>
          <w:rFonts w:ascii="Arial" w:eastAsia="Calibri" w:hAnsi="Arial" w:cs="Arial"/>
          <w:b/>
          <w:bCs/>
          <w:i/>
          <w:iCs/>
          <w:sz w:val="24"/>
          <w:szCs w:val="24"/>
          <w:lang w:val="es-ES_tradnl"/>
        </w:rPr>
        <w:t>Trámite del juicio oral.</w:t>
      </w:r>
      <w:r w:rsidRPr="00414BF5">
        <w:rPr>
          <w:rFonts w:ascii="Arial" w:eastAsia="Calibri" w:hAnsi="Arial" w:cs="Arial"/>
          <w:sz w:val="24"/>
          <w:szCs w:val="24"/>
          <w:lang w:val="es-ES_tradnl"/>
        </w:rPr>
        <w:t> El trámite del juicio oral, seguirá las reglas establecidas en el Título IV del Libro III de este Código, exceptuando lo previsto en el artículo 447 respecto de la audiencia para proferir sentencia, ante lo cual seguirá lo disp</w:t>
      </w:r>
      <w:r w:rsidR="007C659E" w:rsidRPr="00414BF5">
        <w:rPr>
          <w:rFonts w:ascii="Arial" w:eastAsia="Calibri" w:hAnsi="Arial" w:cs="Arial"/>
          <w:sz w:val="24"/>
          <w:szCs w:val="24"/>
          <w:lang w:val="es-ES_tradnl"/>
        </w:rPr>
        <w:t>uesto por el artículo siguiente</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sz w:val="24"/>
          <w:szCs w:val="24"/>
          <w:lang w:val="es-ES_tradnl"/>
        </w:rPr>
        <w:t>Artículo 133. La Ley 906 de 2004 tendrá un nuevo artículo 547, así:</w:t>
      </w:r>
    </w:p>
    <w:p w:rsidR="007C659E" w:rsidRPr="00414BF5" w:rsidRDefault="007C659E" w:rsidP="00704C86">
      <w:pPr>
        <w:spacing w:after="0" w:line="240" w:lineRule="auto"/>
        <w:jc w:val="both"/>
        <w:rPr>
          <w:rFonts w:ascii="Arial" w:eastAsia="Calibri" w:hAnsi="Arial" w:cs="Arial"/>
          <w:b/>
          <w:bCs/>
          <w:sz w:val="24"/>
          <w:szCs w:val="24"/>
          <w:lang w:val="es-ES_tradnl"/>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547. </w:t>
      </w:r>
      <w:r w:rsidRPr="00414BF5">
        <w:rPr>
          <w:rFonts w:ascii="Arial" w:eastAsia="Calibri" w:hAnsi="Arial" w:cs="Arial"/>
          <w:b/>
          <w:bCs/>
          <w:i/>
          <w:iCs/>
          <w:sz w:val="24"/>
          <w:szCs w:val="24"/>
          <w:lang w:val="es-ES_tradnl"/>
        </w:rPr>
        <w:t>Traslado de la sentencia e interposición de recursos</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Concluida la audiencia de juicio oral, el juez contará con diez (10) días para correr traslado de la sentencia a cada una de las partes.</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Vencido el término al que hace referencia el inciso anterior, las partes contarán con cinco (5) días para la presentación de los recursos que procedan contra la decisión de primera instancia. Estos se presentarán por escrito y se tramitarán conforme a lo dispuesto</w:t>
      </w:r>
      <w:r w:rsidR="007C659E" w:rsidRPr="00414BF5">
        <w:rPr>
          <w:rFonts w:ascii="Arial" w:eastAsia="Calibri" w:hAnsi="Arial" w:cs="Arial"/>
          <w:sz w:val="24"/>
          <w:szCs w:val="24"/>
          <w:lang w:val="es-ES_tradnl"/>
        </w:rPr>
        <w:t xml:space="preserve"> por el procedimiento ordinario</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134. La Ley 906 de 2004 tendrá un nuevo artículo 548,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548. </w:t>
      </w:r>
      <w:r w:rsidRPr="00414BF5">
        <w:rPr>
          <w:rFonts w:ascii="Arial" w:eastAsia="Calibri" w:hAnsi="Arial" w:cs="Arial"/>
          <w:b/>
          <w:bCs/>
          <w:i/>
          <w:iCs/>
          <w:sz w:val="24"/>
          <w:szCs w:val="24"/>
          <w:lang w:val="es-ES_tradnl"/>
        </w:rPr>
        <w:t>Notificaciones</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 xml:space="preserve">Por regla general las providencias se </w:t>
      </w:r>
      <w:r w:rsidR="007C659E" w:rsidRPr="00414BF5">
        <w:rPr>
          <w:rFonts w:ascii="Arial" w:eastAsia="Calibri" w:hAnsi="Arial" w:cs="Arial"/>
          <w:sz w:val="24"/>
          <w:szCs w:val="24"/>
          <w:lang w:val="es-ES_tradnl"/>
        </w:rPr>
        <w:t>notificarán a las partes en est</w:t>
      </w:r>
      <w:r w:rsidRPr="00414BF5">
        <w:rPr>
          <w:rFonts w:ascii="Arial" w:eastAsia="Calibri" w:hAnsi="Arial" w:cs="Arial"/>
          <w:sz w:val="24"/>
          <w:szCs w:val="24"/>
          <w:lang w:val="es-ES_tradnl"/>
        </w:rPr>
        <w:t>rados.</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En caso de no comparecer a la audiencia a pesar de haberse hecho la citación oportunamente, se entenderá surtida la notificación salvo que la ausencia se justifique por fuerza mayor o caso fortuito. En este evento la notificación se entenderá realizada al momento de aceptarse la justificación.</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De manera excepcional procederá la notificación mediante comunicación escrita dirigida por telegrama, correo certificado, facsímil, correo electrónico o cualquier otro medio idóneo que haya sido indicado por las partes. En todo caso, las partes e intervinientes deberán suministrar al juez y al fiscal su dirección de correo electrónico con el propósito de surtir la notificación de las decisiones correspondientes.</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el imputado o acusado se encontrare privado de la libertad, las providencias notificadas en audiencia le serán comunicadas en el establecimiento de reclusión, de lo cual se dejará la respectiva constancia.</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Las decisiones adoptadas con posterioridad al vencimiento del término legal deberán ser notificadas personalmente a las partes que t</w:t>
      </w:r>
      <w:r w:rsidR="007C659E" w:rsidRPr="00414BF5">
        <w:rPr>
          <w:rFonts w:ascii="Arial" w:eastAsia="Calibri" w:hAnsi="Arial" w:cs="Arial"/>
          <w:sz w:val="24"/>
          <w:szCs w:val="24"/>
          <w:lang w:val="es-ES_tradnl"/>
        </w:rPr>
        <w:t>uvieren vocación de impugnación</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135. La Ley 906 de 2004 tendrá un nuevo Título II, con un nuevo Capítulo en su Libro VIII, con el siguiente nombre:</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C659E">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TÍTULO II</w:t>
      </w:r>
    </w:p>
    <w:p w:rsidR="00704C86" w:rsidRPr="00414BF5" w:rsidRDefault="00704C86" w:rsidP="007C659E">
      <w:pPr>
        <w:spacing w:after="0" w:line="240" w:lineRule="auto"/>
        <w:jc w:val="center"/>
        <w:rPr>
          <w:rFonts w:ascii="Arial" w:eastAsia="Calibri" w:hAnsi="Arial" w:cs="Arial"/>
          <w:sz w:val="24"/>
          <w:szCs w:val="24"/>
          <w:lang w:val="es-CO"/>
        </w:rPr>
      </w:pPr>
      <w:r w:rsidRPr="00414BF5">
        <w:rPr>
          <w:rFonts w:ascii="Arial" w:eastAsia="Calibri" w:hAnsi="Arial" w:cs="Arial"/>
          <w:sz w:val="24"/>
          <w:szCs w:val="24"/>
          <w:lang w:val="es-ES_tradnl"/>
        </w:rPr>
        <w:t>DE LA ACCIÓN PENAL PRIVADA</w:t>
      </w:r>
    </w:p>
    <w:p w:rsidR="00704C86" w:rsidRPr="00414BF5" w:rsidRDefault="007C659E" w:rsidP="007C659E">
      <w:pPr>
        <w:spacing w:after="0" w:line="240" w:lineRule="auto"/>
        <w:jc w:val="center"/>
        <w:rPr>
          <w:rFonts w:ascii="Arial" w:eastAsia="Calibri" w:hAnsi="Arial" w:cs="Arial"/>
          <w:sz w:val="24"/>
          <w:szCs w:val="24"/>
          <w:lang w:val="es-ES_tradnl"/>
        </w:rPr>
      </w:pPr>
      <w:r w:rsidRPr="00414BF5">
        <w:rPr>
          <w:rFonts w:ascii="Arial" w:eastAsia="Calibri" w:hAnsi="Arial" w:cs="Arial"/>
          <w:sz w:val="24"/>
          <w:szCs w:val="24"/>
          <w:lang w:val="es-ES_tradnl"/>
        </w:rPr>
        <w:t>CAPÍTULO ÚNICO</w:t>
      </w:r>
    </w:p>
    <w:p w:rsidR="007C659E" w:rsidRPr="00414BF5" w:rsidRDefault="007C659E" w:rsidP="007C659E">
      <w:pPr>
        <w:spacing w:after="0" w:line="240" w:lineRule="auto"/>
        <w:jc w:val="center"/>
        <w:rPr>
          <w:rFonts w:ascii="Arial" w:eastAsia="Calibri" w:hAnsi="Arial" w:cs="Arial"/>
          <w:sz w:val="24"/>
          <w:szCs w:val="24"/>
          <w:lang w:val="es-ES_tradnl"/>
        </w:rPr>
      </w:pPr>
    </w:p>
    <w:p w:rsidR="007C659E" w:rsidRPr="00414BF5" w:rsidRDefault="007C659E" w:rsidP="007C659E">
      <w:pPr>
        <w:spacing w:after="0" w:line="240" w:lineRule="auto"/>
        <w:jc w:val="center"/>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136. La Ley 906 de 2004 tendrá un nuevo artículo 549,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549. </w:t>
      </w:r>
      <w:r w:rsidRPr="00414BF5">
        <w:rPr>
          <w:rFonts w:ascii="Arial" w:eastAsia="Calibri" w:hAnsi="Arial" w:cs="Arial"/>
          <w:b/>
          <w:bCs/>
          <w:i/>
          <w:iCs/>
          <w:sz w:val="24"/>
          <w:szCs w:val="24"/>
          <w:lang w:val="es-ES_tradnl"/>
        </w:rPr>
        <w:t>Acusador privado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acusador privado es aquella persona que al ser víctima de la conducta punible está facultada legalmente para ejercer la acción penal representada por su abogado.</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El acusador privado deberá reunir las mismas calidades que el querellante legítimo para ejercer la acción penal.</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También podrán ejercer como acusador privado las autoridades que la ley expresamente faculte para ello y solo con respecto a las conductas especí</w:t>
      </w:r>
      <w:r w:rsidR="007C659E" w:rsidRPr="00414BF5">
        <w:rPr>
          <w:rFonts w:ascii="Arial" w:eastAsia="Calibri" w:hAnsi="Arial" w:cs="Arial"/>
          <w:sz w:val="24"/>
          <w:szCs w:val="24"/>
          <w:lang w:val="es-ES_tradnl"/>
        </w:rPr>
        <w:t>ficamente habilitadas para ello</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137. La Ley 906 de 2004 tendrá un nuevo artículo 550,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550. </w:t>
      </w:r>
      <w:r w:rsidRPr="00414BF5">
        <w:rPr>
          <w:rFonts w:ascii="Arial" w:eastAsia="Calibri" w:hAnsi="Arial" w:cs="Arial"/>
          <w:b/>
          <w:bCs/>
          <w:i/>
          <w:iCs/>
          <w:sz w:val="24"/>
          <w:szCs w:val="24"/>
          <w:lang w:val="es-ES_tradnl"/>
        </w:rPr>
        <w:t>Titulares de la acción penal privada</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En el proceso especial abreviado para conductas contravencionales, podrán solicitar la conversión de la acción pública en acción privada las mismas personas que en los términos del artículo 71 de este Código se entienden como querellantes legítimos y las demás autoridades que expresamente la ley faculta para ello.</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se trate de múltiples víctimas, deberá existir acuerdo entre todas ellas sobre la conversión de la acción penal. En caso de desacuerdo, el ejercicio de la acción penal le corresponderá a la Fiscalía. Si una vez iniciado el trámite de conversión aparece un nuevo afectado, este podrá adherir al trámite de acción privada.</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El acusador privado hará las veces de fiscal y se seguirán las mismas reglas previstas para el procedimiento abreviado establecido en este Libro. En todo aquello que no haya sido previsto de forma especial por este título respecto de las facultades y deberes del acusador privado, se aplicará lo dispuesto por este c</w:t>
      </w:r>
      <w:r w:rsidR="007C659E" w:rsidRPr="00414BF5">
        <w:rPr>
          <w:rFonts w:ascii="Arial" w:eastAsia="Calibri" w:hAnsi="Arial" w:cs="Arial"/>
          <w:sz w:val="24"/>
          <w:szCs w:val="24"/>
          <w:lang w:val="es-ES_tradnl"/>
        </w:rPr>
        <w:t>ódigo en relación con el fiscal</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138. La Ley 906 de 2004 tendrá un nuevo artículo 551,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551. </w:t>
      </w:r>
      <w:r w:rsidRPr="00414BF5">
        <w:rPr>
          <w:rFonts w:ascii="Arial" w:eastAsia="Calibri" w:hAnsi="Arial" w:cs="Arial"/>
          <w:b/>
          <w:bCs/>
          <w:i/>
          <w:iCs/>
          <w:sz w:val="24"/>
          <w:szCs w:val="24"/>
          <w:lang w:val="es-ES_tradnl"/>
        </w:rPr>
        <w:t>Procedencia de la conversión</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La conversión de la acción penal pública en acción penal privada podrá solicitarse en cualquier momento ante el fiscal del caso hasta antes del tr</w:t>
      </w:r>
      <w:r w:rsidR="007C659E" w:rsidRPr="00414BF5">
        <w:rPr>
          <w:rFonts w:ascii="Arial" w:eastAsia="Calibri" w:hAnsi="Arial" w:cs="Arial"/>
          <w:sz w:val="24"/>
          <w:szCs w:val="24"/>
          <w:lang w:val="es-ES_tradnl"/>
        </w:rPr>
        <w:t>aslado del escrito de acusación</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139. La Ley 906 de 2004 tendrá un nuevo artículo 552,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552. </w:t>
      </w:r>
      <w:r w:rsidRPr="00414BF5">
        <w:rPr>
          <w:rFonts w:ascii="Arial" w:eastAsia="Calibri" w:hAnsi="Arial" w:cs="Arial"/>
          <w:b/>
          <w:bCs/>
          <w:i/>
          <w:iCs/>
          <w:sz w:val="24"/>
          <w:szCs w:val="24"/>
          <w:lang w:val="es-ES_tradnl"/>
        </w:rPr>
        <w:t>Solicitud de conversión</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Quien según lo establecido por este título pueda actuar como acusador privado, a través de su apoderado, podrá solicitar al fiscal de conocimiento la conversión de la acción penal de pública a privada. La solicitud deberá hacerse de forma escrita y el fiscal tendrá un (1) mes desde la fecha de su recibo para resolver de fondo sobre la conversión de la acción penal.</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En caso de pluralidad de víctimas, la solicitud deberá contener la manifestación expresa de ca</w:t>
      </w:r>
      <w:r w:rsidR="007C659E" w:rsidRPr="00414BF5">
        <w:rPr>
          <w:rFonts w:ascii="Arial" w:eastAsia="Calibri" w:hAnsi="Arial" w:cs="Arial"/>
          <w:sz w:val="24"/>
          <w:szCs w:val="24"/>
          <w:lang w:val="es-ES_tradnl"/>
        </w:rPr>
        <w:t>da una coadyuvando la solicitud</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140. La Ley 906 de 2004 tendrá un nuevo artículo 553,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553. </w:t>
      </w:r>
      <w:r w:rsidRPr="00414BF5">
        <w:rPr>
          <w:rFonts w:ascii="Arial" w:eastAsia="Calibri" w:hAnsi="Arial" w:cs="Arial"/>
          <w:b/>
          <w:bCs/>
          <w:i/>
          <w:iCs/>
          <w:sz w:val="24"/>
          <w:szCs w:val="24"/>
          <w:lang w:val="es-ES_tradnl"/>
        </w:rPr>
        <w:t>Decisión sobre la conversión</w:t>
      </w:r>
      <w:r w:rsidRPr="00414BF5">
        <w:rPr>
          <w:rFonts w:ascii="Arial" w:eastAsia="Calibri" w:hAnsi="Arial" w:cs="Arial"/>
          <w:sz w:val="24"/>
          <w:szCs w:val="24"/>
          <w:lang w:val="es-ES_tradnl"/>
        </w:rPr>
        <w:t>. El fiscal decidirá de plano sobre la conversión o no de la acción penal teniendo en cuenta lo previsto en el inciso siguiente. En caso de aceptar la solicitud de conversión, señalará la identidad e individualización del indiciado o indiciados, los hechos que serán objeto de la acción privada y su calificación jurídica provisional.</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No se podrá autorizar la conversión de la acción penal pública en privada cuando se presente alguna de las siguientes circunstancias:</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8"/>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no esté plenamente identificado o individualizado el sujeto investigado;</w:t>
      </w:r>
    </w:p>
    <w:p w:rsidR="007C659E" w:rsidRPr="00414BF5" w:rsidRDefault="007C659E" w:rsidP="007C659E">
      <w:pPr>
        <w:pStyle w:val="Prrafodelista"/>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8"/>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el indiciado pertenezca a una organización criminal y el hecho esté directamente relacionado con su pertenencia a esta;</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8"/>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el indiciado sea inimputable;</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8"/>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los hechos guarden conexidad o estén en concurso con delitos frente a los que no procede la conversión de la acción penal pública a acción privada;</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8"/>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la conversión de la acción penal implique riesgo para la seguridad de la víctima;</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8"/>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existan razones de política criminal, investigaciones en contexto o interés del Estado que indiquen la existencia de un interés colectivo sobre la investigación;</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C659E">
      <w:pPr>
        <w:pStyle w:val="Prrafodelista"/>
        <w:numPr>
          <w:ilvl w:val="0"/>
          <w:numId w:val="38"/>
        </w:num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se trate de procesos adelantados por el sistema de responsabilidad penal para adolescentes.</w:t>
      </w:r>
    </w:p>
    <w:p w:rsidR="007C659E" w:rsidRPr="00414BF5" w:rsidRDefault="007C659E" w:rsidP="007C659E">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Si el acusador privado o su representante tuvieron conocimiento de alguna de las anteriores causales y omitieron ponerla de manifiesto, se compulsarán copias para las correspondientes investigaci</w:t>
      </w:r>
      <w:r w:rsidR="007C659E" w:rsidRPr="00414BF5">
        <w:rPr>
          <w:rFonts w:ascii="Arial" w:eastAsia="Calibri" w:hAnsi="Arial" w:cs="Arial"/>
          <w:sz w:val="24"/>
          <w:szCs w:val="24"/>
          <w:lang w:val="es-ES_tradnl"/>
        </w:rPr>
        <w:t>ones disciplinarias y/o penales</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141. La Ley 906 de 2004 tendrá un nuevo artículo 554,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554. </w:t>
      </w:r>
      <w:r w:rsidRPr="00414BF5">
        <w:rPr>
          <w:rFonts w:ascii="Arial" w:eastAsia="Calibri" w:hAnsi="Arial" w:cs="Arial"/>
          <w:b/>
          <w:bCs/>
          <w:i/>
          <w:iCs/>
          <w:sz w:val="24"/>
          <w:szCs w:val="24"/>
          <w:lang w:val="es-ES_tradnl"/>
        </w:rPr>
        <w:t>Representación del acusador privado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acusador privado deberá actuar por intermedio de abogado en ejercicio.</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Solamente podrá ser nombrado un (1) acusador privado por cada proceso.</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Cuando se ordene la reversión de la acción, el acusador privado pierde su calidad de tal y solo mantendrá sus facultades como interviniente en e</w:t>
      </w:r>
      <w:r w:rsidR="007C659E" w:rsidRPr="00414BF5">
        <w:rPr>
          <w:rFonts w:ascii="Arial" w:eastAsia="Calibri" w:hAnsi="Arial" w:cs="Arial"/>
          <w:sz w:val="24"/>
          <w:szCs w:val="24"/>
          <w:lang w:val="es-ES_tradnl"/>
        </w:rPr>
        <w:t>l proceso en calidad de víctima</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142. La Ley 906 de 2004 tendrá un nuevo artículo 555,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555. </w:t>
      </w:r>
      <w:r w:rsidRPr="00414BF5">
        <w:rPr>
          <w:rFonts w:ascii="Arial" w:eastAsia="Calibri" w:hAnsi="Arial" w:cs="Arial"/>
          <w:b/>
          <w:bCs/>
          <w:i/>
          <w:iCs/>
          <w:sz w:val="24"/>
          <w:szCs w:val="24"/>
          <w:lang w:val="es-ES_tradnl"/>
        </w:rPr>
        <w:t>Actos de investigación</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El titular de la acción privada y el acusado tendrán exclusivamente las facultades en la investigación establecidas en el Título I, Capítulo VI, Libro II de este Código, relativas a las facultades de investigación de la defensa en la investigación.</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El acusador privado no podrá ejecutar actos complejos de investigación como interceptación de comunicaciones, inspecciones corporales, registros y allanamientos, entregas vigiladas, diligencias de agente encubierto y demás actos de investigación complejos que impliquen una afectación grave de derechos fundamentales.</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En todo caso, el acusador privado requerirá control previo de juez de control de garantías para el ejercicio de los actos investigativos que impliquen afectación de derechos fundamentales.</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143. La Ley 906 de 2004 tendrá un nuevo artículo 556,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556. </w:t>
      </w:r>
      <w:r w:rsidRPr="00414BF5">
        <w:rPr>
          <w:rFonts w:ascii="Arial" w:eastAsia="Calibri" w:hAnsi="Arial" w:cs="Arial"/>
          <w:b/>
          <w:bCs/>
          <w:i/>
          <w:iCs/>
          <w:sz w:val="24"/>
          <w:szCs w:val="24"/>
          <w:lang w:val="es-ES_tradnl"/>
        </w:rPr>
        <w:t>Solicitud de medida de aseguramiento</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Cuando la acción penal sea ejercida por el acusador privado, este podrá acudir directamente ante el juez de control de garantías para solicitar la medida de aseguramiento privativa o no privativa de la libertad. En caso de que esta solicitud sea elevada con anterioridad al traslado del escrito de acusación, además de lo dispuesto por el artículo 537 de este Código, el acusador privado deberá presentar la orden d</w:t>
      </w:r>
      <w:r w:rsidR="007C659E" w:rsidRPr="00414BF5">
        <w:rPr>
          <w:rFonts w:ascii="Arial" w:eastAsia="Calibri" w:hAnsi="Arial" w:cs="Arial"/>
          <w:sz w:val="24"/>
          <w:szCs w:val="24"/>
          <w:lang w:val="es-ES_tradnl"/>
        </w:rPr>
        <w:t>e conversión de la acción penal</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144. La Ley 906 de 2004 tendrá un nuevo artículo 557,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557. </w:t>
      </w:r>
      <w:r w:rsidRPr="00414BF5">
        <w:rPr>
          <w:rFonts w:ascii="Arial" w:eastAsia="Calibri" w:hAnsi="Arial" w:cs="Arial"/>
          <w:b/>
          <w:bCs/>
          <w:i/>
          <w:iCs/>
          <w:sz w:val="24"/>
          <w:szCs w:val="24"/>
          <w:lang w:val="es-ES_tradnl"/>
        </w:rPr>
        <w:t>Traslado de la custodia de los elementos materiales probatorios, evidencia física e información legalmente obtenida</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Una vez ordenada la conversión de la acción pública a privada, el fiscal de conocimiento entregará los elementos materiales probatorios, evidencia física e información legalmente obtenida al apoderado del acusador privado, respetando la cadena de custodia. De este acto, se dejará un acta detallada.</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Realizado el traslado del artículo anterior, la custodia de los elementos materiales probatorios, evidencia física y la información legalmente obtenida corresponderá exc</w:t>
      </w:r>
      <w:r w:rsidR="007C659E" w:rsidRPr="00414BF5">
        <w:rPr>
          <w:rFonts w:ascii="Arial" w:eastAsia="Calibri" w:hAnsi="Arial" w:cs="Arial"/>
          <w:sz w:val="24"/>
          <w:szCs w:val="24"/>
          <w:lang w:val="es-ES_tradnl"/>
        </w:rPr>
        <w:t>lusivamente al acusador privado</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145. La Ley 906 de 2004 tendrá un nuevo artículo 558,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558. </w:t>
      </w:r>
      <w:r w:rsidRPr="00414BF5">
        <w:rPr>
          <w:rFonts w:ascii="Arial" w:eastAsia="Calibri" w:hAnsi="Arial" w:cs="Arial"/>
          <w:b/>
          <w:bCs/>
          <w:i/>
          <w:iCs/>
          <w:sz w:val="24"/>
          <w:szCs w:val="24"/>
          <w:lang w:val="es-ES_tradnl"/>
        </w:rPr>
        <w:t>Reversión</w:t>
      </w:r>
      <w:r w:rsidRPr="00414BF5">
        <w:rPr>
          <w:rFonts w:ascii="Arial" w:eastAsia="Calibri" w:hAnsi="Arial" w:cs="Arial"/>
          <w:sz w:val="24"/>
          <w:szCs w:val="24"/>
          <w:lang w:val="es-ES_tradnl"/>
        </w:rPr>
        <w:t>. En cualquier momento de la actuación, de oficio o por solicitud de parte, el fiscal que autorizó la conversión podrá ordenar que la acción privada vuelva a ser pública y desplazar en el ejercicio de la acción penal al acusador privado cuando sobrevenga alguna de las circunstancias descritas en el artículo 553. En este evento, el fiscal retomará la actuación en la etapa procesal en que se encuentre.</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146. La Ley 906 de 2004 tendrá un nuevo artículo 559,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559. </w:t>
      </w:r>
      <w:r w:rsidRPr="00414BF5">
        <w:rPr>
          <w:rFonts w:ascii="Arial" w:eastAsia="Calibri" w:hAnsi="Arial" w:cs="Arial"/>
          <w:b/>
          <w:bCs/>
          <w:i/>
          <w:iCs/>
          <w:sz w:val="24"/>
          <w:szCs w:val="24"/>
          <w:lang w:val="es-ES_tradnl"/>
        </w:rPr>
        <w:t>Traslado y presentación de la acusación privada</w:t>
      </w:r>
      <w:r w:rsidRPr="00414BF5">
        <w:rPr>
          <w:rFonts w:ascii="Arial" w:eastAsia="Calibri" w:hAnsi="Arial" w:cs="Arial"/>
          <w:i/>
          <w:iCs/>
          <w:sz w:val="24"/>
          <w:szCs w:val="24"/>
          <w:lang w:val="es-ES_tradnl"/>
        </w:rPr>
        <w:t>.</w:t>
      </w:r>
      <w:r w:rsidRPr="00414BF5">
        <w:rPr>
          <w:rFonts w:ascii="Arial" w:eastAsia="Calibri" w:hAnsi="Arial" w:cs="Arial"/>
          <w:sz w:val="24"/>
          <w:szCs w:val="24"/>
          <w:lang w:val="es-ES_tradnl"/>
        </w:rPr>
        <w:t> Además de lo dispuesto para la acusación en el procedimiento contravencional, el escrito de acusación deberá tener como anexo la orden emitida por el fiscal que autoriza la conversión</w:t>
      </w:r>
      <w:r w:rsidR="007C659E" w:rsidRPr="00414BF5">
        <w:rPr>
          <w:rFonts w:ascii="Arial" w:eastAsia="Calibri" w:hAnsi="Arial" w:cs="Arial"/>
          <w:sz w:val="24"/>
          <w:szCs w:val="24"/>
          <w:lang w:val="es-ES_tradnl"/>
        </w:rPr>
        <w:t xml:space="preserve"> de la acción pública a privada</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Artículo 147. La Ley 906 de 2004 tendrá un nuevo artículo 560, así:</w:t>
      </w: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ES_tradnl"/>
        </w:rPr>
      </w:pPr>
      <w:r w:rsidRPr="00414BF5">
        <w:rPr>
          <w:rFonts w:ascii="Arial" w:eastAsia="Calibri" w:hAnsi="Arial" w:cs="Arial"/>
          <w:b/>
          <w:bCs/>
          <w:sz w:val="24"/>
          <w:szCs w:val="24"/>
          <w:lang w:val="es-ES_tradnl"/>
        </w:rPr>
        <w:t>Artículo 560. </w:t>
      </w:r>
      <w:r w:rsidRPr="00414BF5">
        <w:rPr>
          <w:rFonts w:ascii="Arial" w:eastAsia="Calibri" w:hAnsi="Arial" w:cs="Arial"/>
          <w:b/>
          <w:bCs/>
          <w:i/>
          <w:iCs/>
          <w:sz w:val="24"/>
          <w:szCs w:val="24"/>
          <w:lang w:val="es-ES_tradnl"/>
        </w:rPr>
        <w:t>Preclusión por atipicidad absoluta</w:t>
      </w:r>
      <w:r w:rsidRPr="00414BF5">
        <w:rPr>
          <w:rFonts w:ascii="Arial" w:eastAsia="Calibri" w:hAnsi="Arial" w:cs="Arial"/>
          <w:i/>
          <w:iCs/>
          <w:sz w:val="24"/>
          <w:szCs w:val="24"/>
          <w:lang w:val="es-ES_tradnl"/>
        </w:rPr>
        <w:t>. </w:t>
      </w:r>
      <w:r w:rsidRPr="00414BF5">
        <w:rPr>
          <w:rFonts w:ascii="Arial" w:eastAsia="Calibri" w:hAnsi="Arial" w:cs="Arial"/>
          <w:sz w:val="24"/>
          <w:szCs w:val="24"/>
          <w:lang w:val="es-ES_tradnl"/>
        </w:rPr>
        <w:t xml:space="preserve">Además de lo previsto por el parágrafo del artículo 332 de este código, la defensa podrá solicitar al juez de conocimiento la preclusión cuando al acusado se le atribuya una conducta que no </w:t>
      </w:r>
      <w:r w:rsidR="007C659E" w:rsidRPr="00414BF5">
        <w:rPr>
          <w:rFonts w:ascii="Arial" w:eastAsia="Calibri" w:hAnsi="Arial" w:cs="Arial"/>
          <w:sz w:val="24"/>
          <w:szCs w:val="24"/>
          <w:lang w:val="es-ES_tradnl"/>
        </w:rPr>
        <w:t>esté tipificada en la ley penal</w:t>
      </w:r>
      <w:r w:rsidRPr="00414BF5">
        <w:rPr>
          <w:rFonts w:ascii="Arial" w:eastAsia="Calibri" w:hAnsi="Arial" w:cs="Arial"/>
          <w:sz w:val="24"/>
          <w:szCs w:val="24"/>
          <w:lang w:val="es-ES_tradnl"/>
        </w:rPr>
        <w:t>.</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C659E" w:rsidP="00704C86">
      <w:pPr>
        <w:spacing w:after="0" w:line="240" w:lineRule="auto"/>
        <w:jc w:val="both"/>
        <w:rPr>
          <w:rFonts w:ascii="Arial" w:eastAsia="Calibri" w:hAnsi="Arial" w:cs="Arial"/>
          <w:sz w:val="24"/>
          <w:szCs w:val="24"/>
          <w:lang w:val="es-ES_tradnl"/>
        </w:rPr>
      </w:pPr>
      <w:r w:rsidRPr="00414BF5">
        <w:rPr>
          <w:rFonts w:ascii="Arial" w:eastAsia="Calibri" w:hAnsi="Arial" w:cs="Arial"/>
          <w:sz w:val="24"/>
          <w:szCs w:val="24"/>
          <w:lang w:val="es-ES_tradnl"/>
        </w:rPr>
        <w:t>Ar</w:t>
      </w:r>
      <w:r w:rsidR="00704C86" w:rsidRPr="00414BF5">
        <w:rPr>
          <w:rFonts w:ascii="Arial" w:eastAsia="Calibri" w:hAnsi="Arial" w:cs="Arial"/>
          <w:sz w:val="24"/>
          <w:szCs w:val="24"/>
          <w:lang w:val="es-ES_tradnl"/>
        </w:rPr>
        <w:t>tículo 148. </w:t>
      </w:r>
      <w:r w:rsidR="00704C86" w:rsidRPr="00414BF5">
        <w:rPr>
          <w:rFonts w:ascii="Arial" w:eastAsia="Calibri" w:hAnsi="Arial" w:cs="Arial"/>
          <w:i/>
          <w:iCs/>
          <w:sz w:val="24"/>
          <w:szCs w:val="24"/>
          <w:lang w:val="es-ES_tradnl"/>
        </w:rPr>
        <w:t>Derogatoria</w:t>
      </w:r>
      <w:r w:rsidR="00704C86" w:rsidRPr="00414BF5">
        <w:rPr>
          <w:rFonts w:ascii="Arial" w:eastAsia="Calibri" w:hAnsi="Arial" w:cs="Arial"/>
          <w:sz w:val="24"/>
          <w:szCs w:val="24"/>
          <w:lang w:val="es-ES_tradnl"/>
        </w:rPr>
        <w:t>. Deróguense los artículos 107, 118, 120, 121, 193, 194, 198, 200, 219B, 230, 236, 242, 243, 249, 252, 253, 254, 255, 256, 257, 259, 266, 279, 281, 283, 284, 295, 296, 300, 305, 355, 416, 419, 420, 422, 431, 432, 437, 439, 445, 462 y 465; así como el Capítulo Séptimo del Título I, los Capítulos Sexto y Noveno del Título III, el Título V y los Capítulos Cuarto y Séptimo del Título VII del Libro Segundo de la Ley 599 de 2000.</w:t>
      </w:r>
    </w:p>
    <w:p w:rsidR="007C659E" w:rsidRPr="00414BF5" w:rsidRDefault="007C659E" w:rsidP="00704C86">
      <w:pPr>
        <w:spacing w:after="0" w:line="240" w:lineRule="auto"/>
        <w:jc w:val="both"/>
        <w:rPr>
          <w:rFonts w:ascii="Arial" w:eastAsia="Calibri" w:hAnsi="Arial" w:cs="Arial"/>
          <w:sz w:val="24"/>
          <w:szCs w:val="24"/>
          <w:lang w:val="es-ES_tradnl"/>
        </w:rPr>
      </w:pPr>
    </w:p>
    <w:p w:rsidR="007C659E" w:rsidRPr="00414BF5" w:rsidRDefault="007C659E" w:rsidP="00704C86">
      <w:pPr>
        <w:spacing w:after="0" w:line="240" w:lineRule="auto"/>
        <w:jc w:val="both"/>
        <w:rPr>
          <w:rFonts w:ascii="Arial" w:eastAsia="Calibri" w:hAnsi="Arial" w:cs="Arial"/>
          <w:sz w:val="24"/>
          <w:szCs w:val="24"/>
          <w:lang w:val="es-CO"/>
        </w:rPr>
      </w:pPr>
    </w:p>
    <w:p w:rsidR="00704C86" w:rsidRPr="00414BF5" w:rsidRDefault="00704C86" w:rsidP="00704C86">
      <w:pPr>
        <w:spacing w:after="0" w:line="240" w:lineRule="auto"/>
        <w:jc w:val="both"/>
        <w:rPr>
          <w:rFonts w:ascii="Arial" w:eastAsia="Calibri" w:hAnsi="Arial" w:cs="Arial"/>
          <w:sz w:val="24"/>
          <w:szCs w:val="24"/>
          <w:lang w:val="es-CO"/>
        </w:rPr>
      </w:pPr>
      <w:r w:rsidRPr="00414BF5">
        <w:rPr>
          <w:rFonts w:ascii="Arial" w:eastAsia="Calibri" w:hAnsi="Arial" w:cs="Arial"/>
          <w:b/>
          <w:bCs/>
          <w:sz w:val="24"/>
          <w:szCs w:val="24"/>
          <w:lang w:val="es-ES_tradnl"/>
        </w:rPr>
        <w:t>Artículo 145. </w:t>
      </w:r>
      <w:r w:rsidRPr="00414BF5">
        <w:rPr>
          <w:rFonts w:ascii="Arial" w:eastAsia="Calibri" w:hAnsi="Arial" w:cs="Arial"/>
          <w:b/>
          <w:bCs/>
          <w:i/>
          <w:iCs/>
          <w:sz w:val="24"/>
          <w:szCs w:val="24"/>
          <w:lang w:val="es-ES_tradnl"/>
        </w:rPr>
        <w:t>Vigencia</w:t>
      </w:r>
      <w:r w:rsidRPr="00414BF5">
        <w:rPr>
          <w:rFonts w:ascii="Arial" w:eastAsia="Calibri" w:hAnsi="Arial" w:cs="Arial"/>
          <w:sz w:val="24"/>
          <w:szCs w:val="24"/>
          <w:lang w:val="es-ES_tradnl"/>
        </w:rPr>
        <w:t>. La presente ley regirá a partir de la fecha su promulgación.</w:t>
      </w:r>
    </w:p>
    <w:p w:rsidR="00F64DD8" w:rsidRPr="00414BF5" w:rsidRDefault="00F64DD8" w:rsidP="005E61BF">
      <w:pPr>
        <w:pStyle w:val="NormalWeb"/>
        <w:shd w:val="clear" w:color="auto" w:fill="FFFFFF"/>
        <w:spacing w:before="0" w:beforeAutospacing="0" w:after="0" w:afterAutospacing="0"/>
        <w:jc w:val="both"/>
        <w:rPr>
          <w:rFonts w:ascii="Arial" w:hAnsi="Arial" w:cs="Arial"/>
          <w:b/>
          <w:color w:val="000000"/>
          <w:u w:val="single"/>
          <w:lang w:val="es-CO"/>
        </w:rPr>
      </w:pPr>
    </w:p>
    <w:p w:rsidR="007C659E" w:rsidRPr="00414BF5" w:rsidRDefault="007C659E" w:rsidP="005E61BF">
      <w:pPr>
        <w:pStyle w:val="NormalWeb"/>
        <w:shd w:val="clear" w:color="auto" w:fill="FFFFFF"/>
        <w:spacing w:before="0" w:beforeAutospacing="0" w:after="0" w:afterAutospacing="0"/>
        <w:jc w:val="both"/>
        <w:rPr>
          <w:rFonts w:ascii="Arial" w:hAnsi="Arial" w:cs="Arial"/>
          <w:b/>
          <w:color w:val="000000"/>
          <w:u w:val="single"/>
          <w:lang w:val="es-CO"/>
        </w:rPr>
      </w:pPr>
    </w:p>
    <w:p w:rsidR="005F4214" w:rsidRPr="00414BF5" w:rsidRDefault="005F4214" w:rsidP="00856CA9">
      <w:pPr>
        <w:pStyle w:val="NormalWeb"/>
        <w:shd w:val="clear" w:color="auto" w:fill="FFFFFF"/>
        <w:spacing w:before="0" w:beforeAutospacing="0" w:after="0" w:afterAutospacing="0"/>
        <w:jc w:val="both"/>
        <w:rPr>
          <w:rFonts w:ascii="Arial" w:hAnsi="Arial" w:cs="Arial"/>
          <w:b/>
          <w:color w:val="000000"/>
        </w:rPr>
      </w:pPr>
    </w:p>
    <w:p w:rsidR="00856CA9" w:rsidRPr="004C22C2" w:rsidRDefault="00856CA9" w:rsidP="00856CA9">
      <w:pPr>
        <w:pStyle w:val="NormalWeb"/>
        <w:shd w:val="clear" w:color="auto" w:fill="FFFFFF"/>
        <w:spacing w:before="0" w:beforeAutospacing="0" w:after="0" w:afterAutospacing="0"/>
        <w:jc w:val="both"/>
        <w:rPr>
          <w:rFonts w:ascii="Arial" w:hAnsi="Arial" w:cs="Arial"/>
          <w:b/>
          <w:color w:val="000000"/>
        </w:rPr>
      </w:pPr>
      <w:r w:rsidRPr="004C22C2">
        <w:rPr>
          <w:rFonts w:ascii="Arial" w:hAnsi="Arial" w:cs="Arial"/>
          <w:b/>
          <w:color w:val="000000"/>
        </w:rPr>
        <w:t xml:space="preserve">Cordialmente, </w:t>
      </w:r>
    </w:p>
    <w:p w:rsidR="00856CA9" w:rsidRPr="00414BF5" w:rsidRDefault="00856CA9" w:rsidP="00856CA9">
      <w:pPr>
        <w:pStyle w:val="NormalWeb"/>
        <w:shd w:val="clear" w:color="auto" w:fill="FFFFFF"/>
        <w:spacing w:before="0" w:beforeAutospacing="0" w:after="0" w:afterAutospacing="0"/>
        <w:jc w:val="both"/>
        <w:rPr>
          <w:rFonts w:ascii="Arial" w:hAnsi="Arial" w:cs="Arial"/>
          <w:b/>
          <w:color w:val="000000"/>
          <w:highlight w:val="yellow"/>
        </w:rPr>
      </w:pPr>
    </w:p>
    <w:p w:rsidR="005C75F1" w:rsidRPr="00414BF5" w:rsidRDefault="005C75F1" w:rsidP="00856CA9">
      <w:pPr>
        <w:pStyle w:val="NormalWeb"/>
        <w:shd w:val="clear" w:color="auto" w:fill="FFFFFF"/>
        <w:spacing w:before="0" w:beforeAutospacing="0" w:after="0" w:afterAutospacing="0"/>
        <w:jc w:val="both"/>
        <w:rPr>
          <w:rFonts w:ascii="Arial" w:hAnsi="Arial" w:cs="Arial"/>
          <w:b/>
          <w:color w:val="000000"/>
          <w:highlight w:val="yellow"/>
        </w:rPr>
      </w:pPr>
    </w:p>
    <w:p w:rsidR="00856CA9" w:rsidRPr="00414BF5" w:rsidRDefault="00856CA9" w:rsidP="00856CA9">
      <w:pPr>
        <w:pStyle w:val="NormalWeb"/>
        <w:shd w:val="clear" w:color="auto" w:fill="FFFFFF"/>
        <w:spacing w:before="0" w:beforeAutospacing="0" w:after="0" w:afterAutospacing="0"/>
        <w:jc w:val="both"/>
        <w:rPr>
          <w:rFonts w:ascii="Arial" w:hAnsi="Arial" w:cs="Arial"/>
          <w:b/>
          <w:color w:val="000000"/>
          <w:highlight w:val="yellow"/>
        </w:rPr>
      </w:pPr>
    </w:p>
    <w:p w:rsidR="004C22C2" w:rsidRPr="00EA2E07" w:rsidRDefault="004C22C2" w:rsidP="004C22C2">
      <w:pPr>
        <w:pStyle w:val="NormalWeb"/>
        <w:shd w:val="clear" w:color="auto" w:fill="FFFFFF"/>
        <w:spacing w:before="0" w:beforeAutospacing="0" w:after="0" w:afterAutospacing="0"/>
        <w:jc w:val="both"/>
        <w:rPr>
          <w:rFonts w:ascii="Arial" w:hAnsi="Arial" w:cs="Arial"/>
          <w:b/>
          <w:color w:val="000000"/>
        </w:rPr>
      </w:pPr>
    </w:p>
    <w:p w:rsidR="004C22C2" w:rsidRPr="004C22C2" w:rsidRDefault="004C22C2" w:rsidP="004C22C2">
      <w:pPr>
        <w:pStyle w:val="NormalWeb"/>
        <w:shd w:val="clear" w:color="auto" w:fill="FFFFFF"/>
        <w:spacing w:before="0" w:beforeAutospacing="0" w:after="0" w:afterAutospacing="0"/>
        <w:jc w:val="both"/>
        <w:rPr>
          <w:rFonts w:ascii="Arial" w:hAnsi="Arial" w:cs="Arial"/>
          <w:b/>
          <w:color w:val="000000"/>
        </w:rPr>
      </w:pPr>
      <w:r>
        <w:rPr>
          <w:rFonts w:ascii="Arial" w:hAnsi="Arial" w:cs="Arial"/>
          <w:b/>
          <w:color w:val="000000"/>
        </w:rPr>
        <w:t>HERNAN PENAGOS GIRALDO</w:t>
      </w:r>
      <w:r w:rsidRPr="004C22C2">
        <w:rPr>
          <w:rFonts w:ascii="Arial" w:hAnsi="Arial" w:cs="Arial"/>
          <w:b/>
          <w:color w:val="000000"/>
        </w:rPr>
        <w:t xml:space="preserve"> </w:t>
      </w:r>
      <w:r>
        <w:rPr>
          <w:rFonts w:ascii="Arial" w:hAnsi="Arial" w:cs="Arial"/>
          <w:b/>
          <w:color w:val="000000"/>
        </w:rPr>
        <w:tab/>
        <w:t xml:space="preserve">                     OSCAR HERNAN SANCHEZ</w:t>
      </w:r>
      <w:r w:rsidRPr="004C22C2">
        <w:rPr>
          <w:rFonts w:ascii="Arial" w:hAnsi="Arial" w:cs="Arial"/>
          <w:b/>
          <w:color w:val="000000"/>
        </w:rPr>
        <w:tab/>
      </w:r>
    </w:p>
    <w:p w:rsidR="004C22C2" w:rsidRPr="004C22C2" w:rsidRDefault="004C22C2" w:rsidP="004C22C2">
      <w:pPr>
        <w:spacing w:after="0" w:line="240" w:lineRule="auto"/>
        <w:jc w:val="both"/>
        <w:rPr>
          <w:rFonts w:ascii="Arial" w:hAnsi="Arial" w:cs="Arial"/>
          <w:b/>
          <w:sz w:val="24"/>
          <w:szCs w:val="24"/>
          <w:lang w:val="es-ES_tradnl"/>
        </w:rPr>
      </w:pPr>
      <w:r w:rsidRPr="004C22C2">
        <w:rPr>
          <w:rFonts w:ascii="Arial" w:hAnsi="Arial" w:cs="Arial"/>
          <w:b/>
          <w:sz w:val="24"/>
          <w:szCs w:val="24"/>
          <w:lang w:val="es-ES_tradnl"/>
        </w:rPr>
        <w:t xml:space="preserve">Coordinador Ponente </w:t>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t>Ponente</w:t>
      </w: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r>
        <w:rPr>
          <w:rFonts w:ascii="Arial" w:hAnsi="Arial" w:cs="Arial"/>
          <w:b/>
          <w:sz w:val="24"/>
          <w:szCs w:val="24"/>
          <w:lang w:val="es-ES_tradnl"/>
        </w:rPr>
        <w:t>PEDRITO TOMAS PEREIRA</w:t>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t>EDWARD DAVID RODRIGUEZ</w:t>
      </w:r>
    </w:p>
    <w:p w:rsidR="004C22C2" w:rsidRPr="004C22C2" w:rsidRDefault="004C22C2" w:rsidP="004C22C2">
      <w:pPr>
        <w:spacing w:after="0" w:line="240" w:lineRule="auto"/>
        <w:jc w:val="both"/>
        <w:rPr>
          <w:rFonts w:ascii="Arial" w:hAnsi="Arial" w:cs="Arial"/>
          <w:b/>
          <w:sz w:val="24"/>
          <w:szCs w:val="24"/>
          <w:lang w:val="es-ES_tradnl"/>
        </w:rPr>
      </w:pPr>
      <w:r w:rsidRPr="004C22C2">
        <w:rPr>
          <w:rFonts w:ascii="Arial" w:hAnsi="Arial" w:cs="Arial"/>
          <w:b/>
          <w:sz w:val="24"/>
          <w:szCs w:val="24"/>
          <w:lang w:val="es-ES_tradnl"/>
        </w:rPr>
        <w:t xml:space="preserve">Ponente </w:t>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t>Ponente</w:t>
      </w: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r>
        <w:rPr>
          <w:rFonts w:ascii="Arial" w:hAnsi="Arial" w:cs="Arial"/>
          <w:b/>
          <w:sz w:val="24"/>
          <w:szCs w:val="24"/>
          <w:lang w:val="es-ES_tradnl"/>
        </w:rPr>
        <w:t>RODRIGO LARA RESTREPO</w:t>
      </w:r>
      <w:r w:rsidRPr="004C22C2">
        <w:rPr>
          <w:rFonts w:ascii="Arial" w:hAnsi="Arial" w:cs="Arial"/>
          <w:b/>
          <w:sz w:val="24"/>
          <w:szCs w:val="24"/>
          <w:lang w:val="es-ES_tradnl"/>
        </w:rPr>
        <w:tab/>
        <w:t xml:space="preserve"> </w:t>
      </w:r>
      <w:r>
        <w:rPr>
          <w:rFonts w:ascii="Arial" w:hAnsi="Arial" w:cs="Arial"/>
          <w:b/>
          <w:sz w:val="24"/>
          <w:szCs w:val="24"/>
          <w:lang w:val="es-ES_tradnl"/>
        </w:rPr>
        <w:tab/>
      </w:r>
      <w:r>
        <w:rPr>
          <w:rFonts w:ascii="Arial" w:hAnsi="Arial" w:cs="Arial"/>
          <w:b/>
          <w:sz w:val="24"/>
          <w:szCs w:val="24"/>
          <w:lang w:val="es-ES_tradnl"/>
        </w:rPr>
        <w:tab/>
        <w:t>ANGELICA LISBETH LOZANO</w:t>
      </w:r>
    </w:p>
    <w:p w:rsidR="004C22C2" w:rsidRPr="004C22C2" w:rsidRDefault="004C22C2" w:rsidP="004C22C2">
      <w:pPr>
        <w:spacing w:after="0" w:line="240" w:lineRule="auto"/>
        <w:jc w:val="both"/>
        <w:rPr>
          <w:rFonts w:ascii="Arial" w:hAnsi="Arial" w:cs="Arial"/>
          <w:b/>
          <w:sz w:val="24"/>
          <w:szCs w:val="24"/>
          <w:lang w:val="es-ES_tradnl"/>
        </w:rPr>
      </w:pPr>
      <w:r w:rsidRPr="004C22C2">
        <w:rPr>
          <w:rFonts w:ascii="Arial" w:hAnsi="Arial" w:cs="Arial"/>
          <w:b/>
          <w:sz w:val="24"/>
          <w:szCs w:val="24"/>
          <w:lang w:val="es-ES_tradnl"/>
        </w:rPr>
        <w:t xml:space="preserve">Ponente </w:t>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Pr>
          <w:rFonts w:ascii="Arial" w:hAnsi="Arial" w:cs="Arial"/>
          <w:b/>
          <w:sz w:val="24"/>
          <w:szCs w:val="24"/>
          <w:lang w:val="es-ES_tradnl"/>
        </w:rPr>
        <w:t>Ponente</w:t>
      </w: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p>
    <w:p w:rsidR="004C22C2" w:rsidRPr="004C22C2" w:rsidRDefault="004C22C2" w:rsidP="004C22C2">
      <w:pPr>
        <w:spacing w:after="0" w:line="240" w:lineRule="auto"/>
        <w:jc w:val="both"/>
        <w:rPr>
          <w:rFonts w:ascii="Arial" w:hAnsi="Arial" w:cs="Arial"/>
          <w:b/>
          <w:sz w:val="24"/>
          <w:szCs w:val="24"/>
          <w:lang w:val="es-ES_tradnl"/>
        </w:rPr>
      </w:pPr>
      <w:r>
        <w:rPr>
          <w:rFonts w:ascii="Arial" w:hAnsi="Arial" w:cs="Arial"/>
          <w:b/>
          <w:sz w:val="24"/>
          <w:szCs w:val="24"/>
          <w:lang w:val="es-ES_tradnl"/>
        </w:rPr>
        <w:t>CARLOS GERMÁN NAVAS TALERO</w:t>
      </w:r>
      <w:r w:rsidRPr="004C22C2">
        <w:rPr>
          <w:rFonts w:ascii="Arial" w:hAnsi="Arial" w:cs="Arial"/>
          <w:b/>
          <w:sz w:val="24"/>
          <w:szCs w:val="24"/>
          <w:lang w:val="es-ES_tradnl"/>
        </w:rPr>
        <w:tab/>
      </w:r>
      <w:r w:rsidRPr="004C22C2">
        <w:rPr>
          <w:rFonts w:ascii="Arial" w:hAnsi="Arial" w:cs="Arial"/>
          <w:b/>
          <w:sz w:val="24"/>
          <w:szCs w:val="24"/>
          <w:lang w:val="es-ES_tradnl"/>
        </w:rPr>
        <w:tab/>
      </w:r>
      <w:r>
        <w:rPr>
          <w:rFonts w:ascii="Arial" w:hAnsi="Arial" w:cs="Arial"/>
          <w:b/>
          <w:sz w:val="24"/>
          <w:szCs w:val="24"/>
          <w:lang w:val="es-ES_tradnl"/>
        </w:rPr>
        <w:t>FERNANDO DE LA PEÑA MARQUEZ</w:t>
      </w:r>
      <w:r w:rsidRPr="004C22C2">
        <w:rPr>
          <w:rFonts w:ascii="Arial" w:hAnsi="Arial" w:cs="Arial"/>
          <w:b/>
          <w:sz w:val="24"/>
          <w:szCs w:val="24"/>
          <w:lang w:val="es-ES_tradnl"/>
        </w:rPr>
        <w:t xml:space="preserve"> </w:t>
      </w:r>
    </w:p>
    <w:p w:rsidR="004C22C2" w:rsidRDefault="004C22C2" w:rsidP="004C22C2">
      <w:pPr>
        <w:spacing w:after="0" w:line="240" w:lineRule="auto"/>
        <w:jc w:val="both"/>
        <w:rPr>
          <w:rFonts w:ascii="Arial" w:hAnsi="Arial" w:cs="Arial"/>
          <w:b/>
          <w:sz w:val="24"/>
          <w:szCs w:val="24"/>
          <w:lang w:val="es-ES_tradnl"/>
        </w:rPr>
      </w:pPr>
      <w:r w:rsidRPr="004C22C2">
        <w:rPr>
          <w:rFonts w:ascii="Arial" w:hAnsi="Arial" w:cs="Arial"/>
          <w:b/>
          <w:sz w:val="24"/>
          <w:szCs w:val="24"/>
          <w:lang w:val="es-ES_tradnl"/>
        </w:rPr>
        <w:t xml:space="preserve">Ponente </w:t>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r>
      <w:r w:rsidRPr="004C22C2">
        <w:rPr>
          <w:rFonts w:ascii="Arial" w:hAnsi="Arial" w:cs="Arial"/>
          <w:b/>
          <w:sz w:val="24"/>
          <w:szCs w:val="24"/>
          <w:lang w:val="es-ES_tradnl"/>
        </w:rPr>
        <w:tab/>
        <w:t>Ponente</w:t>
      </w:r>
    </w:p>
    <w:p w:rsidR="0061480E" w:rsidRPr="00414BF5" w:rsidRDefault="0061480E" w:rsidP="00856CA9">
      <w:pPr>
        <w:pStyle w:val="NormalWeb"/>
        <w:shd w:val="clear" w:color="auto" w:fill="FFFFFF"/>
        <w:spacing w:before="0" w:beforeAutospacing="0" w:after="0" w:afterAutospacing="0"/>
        <w:jc w:val="both"/>
        <w:rPr>
          <w:rFonts w:ascii="Arial" w:hAnsi="Arial" w:cs="Arial"/>
          <w:b/>
          <w:color w:val="000000"/>
          <w:highlight w:val="yellow"/>
        </w:rPr>
      </w:pPr>
    </w:p>
    <w:sectPr w:rsidR="0061480E" w:rsidRPr="00414BF5" w:rsidSect="00CE780B">
      <w:headerReference w:type="default" r:id="rId8"/>
      <w:footerReference w:type="default" r:id="rId9"/>
      <w:pgSz w:w="12240" w:h="15840"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6D3" w:rsidRDefault="003D26D3" w:rsidP="007E73D7">
      <w:pPr>
        <w:spacing w:after="0" w:line="240" w:lineRule="auto"/>
      </w:pPr>
      <w:r>
        <w:separator/>
      </w:r>
    </w:p>
  </w:endnote>
  <w:endnote w:type="continuationSeparator" w:id="0">
    <w:p w:rsidR="003D26D3" w:rsidRDefault="003D26D3" w:rsidP="007E7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956697"/>
      <w:docPartObj>
        <w:docPartGallery w:val="Page Numbers (Bottom of Page)"/>
        <w:docPartUnique/>
      </w:docPartObj>
    </w:sdtPr>
    <w:sdtEndPr/>
    <w:sdtContent>
      <w:p w:rsidR="006A4B6B" w:rsidRDefault="006A4B6B">
        <w:pPr>
          <w:pStyle w:val="Piedepgina"/>
          <w:jc w:val="right"/>
        </w:pPr>
        <w:r>
          <w:fldChar w:fldCharType="begin"/>
        </w:r>
        <w:r>
          <w:instrText>PAGE   \* MERGEFORMAT</w:instrText>
        </w:r>
        <w:r>
          <w:fldChar w:fldCharType="separate"/>
        </w:r>
        <w:r w:rsidR="00D53C05">
          <w:rPr>
            <w:noProof/>
          </w:rPr>
          <w:t>1</w:t>
        </w:r>
        <w:r>
          <w:fldChar w:fldCharType="end"/>
        </w:r>
      </w:p>
    </w:sdtContent>
  </w:sdt>
  <w:p w:rsidR="006A4B6B" w:rsidRDefault="006A4B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6D3" w:rsidRDefault="003D26D3" w:rsidP="007E73D7">
      <w:pPr>
        <w:spacing w:after="0" w:line="240" w:lineRule="auto"/>
      </w:pPr>
      <w:r>
        <w:separator/>
      </w:r>
    </w:p>
  </w:footnote>
  <w:footnote w:type="continuationSeparator" w:id="0">
    <w:p w:rsidR="003D26D3" w:rsidRDefault="003D26D3" w:rsidP="007E73D7">
      <w:pPr>
        <w:spacing w:after="0" w:line="240" w:lineRule="auto"/>
      </w:pPr>
      <w:r>
        <w:continuationSeparator/>
      </w:r>
    </w:p>
  </w:footnote>
  <w:footnote w:id="1">
    <w:p w:rsidR="006A4B6B" w:rsidRPr="00082CB4" w:rsidRDefault="006A4B6B" w:rsidP="00031C39">
      <w:pPr>
        <w:pStyle w:val="Textonotapie"/>
        <w:rPr>
          <w:lang w:val="es-CO"/>
        </w:rPr>
      </w:pPr>
      <w:r>
        <w:rPr>
          <w:rStyle w:val="Refdenotaalpie"/>
        </w:rPr>
        <w:footnoteRef/>
      </w:r>
      <w:r>
        <w:t xml:space="preserve"> </w:t>
      </w:r>
      <w:r>
        <w:rPr>
          <w:lang w:val="es-CO"/>
        </w:rPr>
        <w:t>C-879-08</w:t>
      </w:r>
    </w:p>
  </w:footnote>
  <w:footnote w:id="2">
    <w:p w:rsidR="006A4B6B" w:rsidRPr="00FD4A53" w:rsidRDefault="006A4B6B" w:rsidP="00031C39">
      <w:pPr>
        <w:pStyle w:val="Textonotapie"/>
        <w:jc w:val="both"/>
        <w:rPr>
          <w:rFonts w:ascii="Book Antiqua" w:hAnsi="Book Antiqua"/>
        </w:rPr>
      </w:pPr>
      <w:r w:rsidRPr="00FD4A53">
        <w:rPr>
          <w:rStyle w:val="Refdenotaalpie"/>
          <w:rFonts w:ascii="Book Antiqua" w:hAnsi="Book Antiqua"/>
        </w:rPr>
        <w:footnoteRef/>
      </w:r>
      <w:r w:rsidRPr="00FD4A53">
        <w:rPr>
          <w:rFonts w:ascii="Book Antiqua" w:hAnsi="Book Antiqua"/>
        </w:rPr>
        <w:t xml:space="preserve"> Es de anotar que el juez también conocerá del escrito de acusación y que tanto  la víctima, como el acusado pueden pronunciarse frente al mismo. Sin embargo, esto se realiza en la audiencia concentrada y el acto meramente informativo se refiere es a poner de presente el escrito de acusación al acusado. </w:t>
      </w:r>
    </w:p>
  </w:footnote>
  <w:footnote w:id="3">
    <w:p w:rsidR="006A4B6B" w:rsidRPr="00FD4A53" w:rsidRDefault="006A4B6B" w:rsidP="00031C39">
      <w:pPr>
        <w:pStyle w:val="Textonotapie"/>
        <w:jc w:val="both"/>
        <w:rPr>
          <w:rFonts w:ascii="Book Antiqua" w:hAnsi="Book Antiqua"/>
        </w:rPr>
      </w:pPr>
      <w:r w:rsidRPr="00FD4A53">
        <w:rPr>
          <w:rStyle w:val="Refdenotaalpie"/>
          <w:rFonts w:ascii="Book Antiqua" w:hAnsi="Book Antiqua"/>
        </w:rPr>
        <w:footnoteRef/>
      </w:r>
      <w:r w:rsidRPr="00FD4A53">
        <w:rPr>
          <w:rFonts w:ascii="Book Antiqua" w:hAnsi="Book Antiqua"/>
        </w:rPr>
        <w:t xml:space="preserve"> ROXIN. Claus, (1997) </w:t>
      </w:r>
      <w:r w:rsidRPr="00FD4A53">
        <w:rPr>
          <w:rFonts w:ascii="Book Antiqua" w:hAnsi="Book Antiqua"/>
          <w:i/>
        </w:rPr>
        <w:t>Derecho penal parte general Tomo I, Fundamentos. La estructura de la teoría del delito</w:t>
      </w:r>
      <w:r w:rsidRPr="00FD4A53">
        <w:rPr>
          <w:rFonts w:ascii="Book Antiqua" w:hAnsi="Book Antiqua"/>
        </w:rPr>
        <w:t>, traducción de la 2da edición alemana y notas por Diego-Manuel Luzon Peña. Editorial Civitas, Madrid, España, p. 58 y 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B6B" w:rsidRDefault="006A4B6B" w:rsidP="004B4C67">
    <w:pPr>
      <w:pStyle w:val="Encabezado"/>
      <w:jc w:val="center"/>
    </w:pPr>
  </w:p>
  <w:p w:rsidR="006A4B6B" w:rsidRDefault="006A4B6B" w:rsidP="004B4C67">
    <w:pPr>
      <w:pStyle w:val="Encabezado"/>
      <w:jc w:val="center"/>
    </w:pPr>
  </w:p>
  <w:p w:rsidR="006A4B6B" w:rsidRDefault="006A4B6B" w:rsidP="004B4C6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2529"/>
    <w:multiLevelType w:val="hybridMultilevel"/>
    <w:tmpl w:val="17E2B0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9A314A"/>
    <w:multiLevelType w:val="hybridMultilevel"/>
    <w:tmpl w:val="3E02657A"/>
    <w:lvl w:ilvl="0" w:tplc="240A0019">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nsid w:val="09F40F7C"/>
    <w:multiLevelType w:val="hybridMultilevel"/>
    <w:tmpl w:val="79A060E4"/>
    <w:lvl w:ilvl="0" w:tplc="1BE6B68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nsid w:val="0E296782"/>
    <w:multiLevelType w:val="hybridMultilevel"/>
    <w:tmpl w:val="2F6455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DE1FB2"/>
    <w:multiLevelType w:val="hybridMultilevel"/>
    <w:tmpl w:val="C5A6E5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92F601F"/>
    <w:multiLevelType w:val="hybridMultilevel"/>
    <w:tmpl w:val="3F2CDBFE"/>
    <w:lvl w:ilvl="0" w:tplc="B3FA218C">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1A1A1D99"/>
    <w:multiLevelType w:val="hybridMultilevel"/>
    <w:tmpl w:val="20385E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B670421"/>
    <w:multiLevelType w:val="hybridMultilevel"/>
    <w:tmpl w:val="DBC6EB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D021199"/>
    <w:multiLevelType w:val="hybridMultilevel"/>
    <w:tmpl w:val="79A060E4"/>
    <w:lvl w:ilvl="0" w:tplc="1BE6B68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211F48A2"/>
    <w:multiLevelType w:val="hybridMultilevel"/>
    <w:tmpl w:val="7D7ED646"/>
    <w:lvl w:ilvl="0" w:tplc="09FC579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nsid w:val="24A5128C"/>
    <w:multiLevelType w:val="hybridMultilevel"/>
    <w:tmpl w:val="CAAA4E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66A7332"/>
    <w:multiLevelType w:val="hybridMultilevel"/>
    <w:tmpl w:val="3F38D2BC"/>
    <w:lvl w:ilvl="0" w:tplc="DA42B8B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nsid w:val="28DB061F"/>
    <w:multiLevelType w:val="hybridMultilevel"/>
    <w:tmpl w:val="2F6455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93341B8"/>
    <w:multiLevelType w:val="hybridMultilevel"/>
    <w:tmpl w:val="BFBC3F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A3B6011"/>
    <w:multiLevelType w:val="hybridMultilevel"/>
    <w:tmpl w:val="1E3E919E"/>
    <w:lvl w:ilvl="0" w:tplc="09A0B5B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nsid w:val="2BE77ABF"/>
    <w:multiLevelType w:val="hybridMultilevel"/>
    <w:tmpl w:val="0688D1B8"/>
    <w:lvl w:ilvl="0" w:tplc="58A0586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nsid w:val="2DF00E27"/>
    <w:multiLevelType w:val="hybridMultilevel"/>
    <w:tmpl w:val="5E3CA3A8"/>
    <w:lvl w:ilvl="0" w:tplc="A84C172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nsid w:val="30990C87"/>
    <w:multiLevelType w:val="hybridMultilevel"/>
    <w:tmpl w:val="61A69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46E0EF0"/>
    <w:multiLevelType w:val="multilevel"/>
    <w:tmpl w:val="8F6CCD3E"/>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nsid w:val="34A83C87"/>
    <w:multiLevelType w:val="hybridMultilevel"/>
    <w:tmpl w:val="6BB44A22"/>
    <w:lvl w:ilvl="0" w:tplc="34F8853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nsid w:val="36BA4CCA"/>
    <w:multiLevelType w:val="hybridMultilevel"/>
    <w:tmpl w:val="90B28BCA"/>
    <w:lvl w:ilvl="0" w:tplc="DC8A5280">
      <w:start w:val="6"/>
      <w:numFmt w:val="bullet"/>
      <w:lvlText w:val="-"/>
      <w:lvlJc w:val="left"/>
      <w:pPr>
        <w:ind w:left="720" w:hanging="360"/>
      </w:pPr>
      <w:rPr>
        <w:rFonts w:ascii="Georgia" w:eastAsiaTheme="minorHAnsi" w:hAnsi="Georg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8820432"/>
    <w:multiLevelType w:val="hybridMultilevel"/>
    <w:tmpl w:val="61E299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B7533F6"/>
    <w:multiLevelType w:val="hybridMultilevel"/>
    <w:tmpl w:val="BC6273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CBD6613"/>
    <w:multiLevelType w:val="hybridMultilevel"/>
    <w:tmpl w:val="C102FB12"/>
    <w:lvl w:ilvl="0" w:tplc="68AAB29C">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0455BBC"/>
    <w:multiLevelType w:val="hybridMultilevel"/>
    <w:tmpl w:val="1BAA87CC"/>
    <w:lvl w:ilvl="0" w:tplc="A8486398">
      <w:start w:val="1"/>
      <w:numFmt w:val="lowerRoman"/>
      <w:lvlText w:val="%1)"/>
      <w:lvlJc w:val="left"/>
      <w:pPr>
        <w:ind w:left="1425" w:hanging="72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5">
    <w:nsid w:val="41E12079"/>
    <w:multiLevelType w:val="hybridMultilevel"/>
    <w:tmpl w:val="79A060E4"/>
    <w:lvl w:ilvl="0" w:tplc="1BE6B68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49FC07D3"/>
    <w:multiLevelType w:val="hybridMultilevel"/>
    <w:tmpl w:val="8D84A5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DC07A82"/>
    <w:multiLevelType w:val="hybridMultilevel"/>
    <w:tmpl w:val="3E02657A"/>
    <w:lvl w:ilvl="0" w:tplc="240A0019">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8">
    <w:nsid w:val="5181157E"/>
    <w:multiLevelType w:val="hybridMultilevel"/>
    <w:tmpl w:val="FD70769C"/>
    <w:lvl w:ilvl="0" w:tplc="63D44F8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9">
    <w:nsid w:val="52CD5AD4"/>
    <w:multiLevelType w:val="hybridMultilevel"/>
    <w:tmpl w:val="6BB09C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3E94E30"/>
    <w:multiLevelType w:val="hybridMultilevel"/>
    <w:tmpl w:val="98C8A3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B2C786A"/>
    <w:multiLevelType w:val="hybridMultilevel"/>
    <w:tmpl w:val="593CAF0E"/>
    <w:lvl w:ilvl="0" w:tplc="45589D20">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2">
    <w:nsid w:val="5D263919"/>
    <w:multiLevelType w:val="hybridMultilevel"/>
    <w:tmpl w:val="BFBC3F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71736FE"/>
    <w:multiLevelType w:val="hybridMultilevel"/>
    <w:tmpl w:val="64A20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D75751F"/>
    <w:multiLevelType w:val="hybridMultilevel"/>
    <w:tmpl w:val="A268D7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DBD3CBC"/>
    <w:multiLevelType w:val="hybridMultilevel"/>
    <w:tmpl w:val="1E3E919E"/>
    <w:lvl w:ilvl="0" w:tplc="09A0B5B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6">
    <w:nsid w:val="6FA96A78"/>
    <w:multiLevelType w:val="hybridMultilevel"/>
    <w:tmpl w:val="E89AE33C"/>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nsid w:val="70D43CC1"/>
    <w:multiLevelType w:val="hybridMultilevel"/>
    <w:tmpl w:val="9A3A283E"/>
    <w:lvl w:ilvl="0" w:tplc="E254477A">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8">
    <w:nsid w:val="744A1E88"/>
    <w:multiLevelType w:val="hybridMultilevel"/>
    <w:tmpl w:val="F62ED9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38"/>
  </w:num>
  <w:num w:numId="3">
    <w:abstractNumId w:val="8"/>
  </w:num>
  <w:num w:numId="4">
    <w:abstractNumId w:val="12"/>
  </w:num>
  <w:num w:numId="5">
    <w:abstractNumId w:val="27"/>
  </w:num>
  <w:num w:numId="6">
    <w:abstractNumId w:val="7"/>
  </w:num>
  <w:num w:numId="7">
    <w:abstractNumId w:val="5"/>
  </w:num>
  <w:num w:numId="8">
    <w:abstractNumId w:val="34"/>
  </w:num>
  <w:num w:numId="9">
    <w:abstractNumId w:val="18"/>
  </w:num>
  <w:num w:numId="10">
    <w:abstractNumId w:val="36"/>
  </w:num>
  <w:num w:numId="11">
    <w:abstractNumId w:val="23"/>
  </w:num>
  <w:num w:numId="12">
    <w:abstractNumId w:val="1"/>
  </w:num>
  <w:num w:numId="13">
    <w:abstractNumId w:val="24"/>
  </w:num>
  <w:num w:numId="14">
    <w:abstractNumId w:val="20"/>
  </w:num>
  <w:num w:numId="15">
    <w:abstractNumId w:val="15"/>
  </w:num>
  <w:num w:numId="16">
    <w:abstractNumId w:val="28"/>
  </w:num>
  <w:num w:numId="17">
    <w:abstractNumId w:val="9"/>
  </w:num>
  <w:num w:numId="18">
    <w:abstractNumId w:val="3"/>
  </w:num>
  <w:num w:numId="19">
    <w:abstractNumId w:val="31"/>
  </w:num>
  <w:num w:numId="20">
    <w:abstractNumId w:val="35"/>
  </w:num>
  <w:num w:numId="21">
    <w:abstractNumId w:val="37"/>
  </w:num>
  <w:num w:numId="22">
    <w:abstractNumId w:val="33"/>
  </w:num>
  <w:num w:numId="23">
    <w:abstractNumId w:val="26"/>
  </w:num>
  <w:num w:numId="24">
    <w:abstractNumId w:val="11"/>
  </w:num>
  <w:num w:numId="25">
    <w:abstractNumId w:val="25"/>
  </w:num>
  <w:num w:numId="26">
    <w:abstractNumId w:val="2"/>
  </w:num>
  <w:num w:numId="27">
    <w:abstractNumId w:val="14"/>
  </w:num>
  <w:num w:numId="28">
    <w:abstractNumId w:val="16"/>
  </w:num>
  <w:num w:numId="29">
    <w:abstractNumId w:val="19"/>
  </w:num>
  <w:num w:numId="30">
    <w:abstractNumId w:val="13"/>
  </w:num>
  <w:num w:numId="31">
    <w:abstractNumId w:val="4"/>
  </w:num>
  <w:num w:numId="32">
    <w:abstractNumId w:val="29"/>
  </w:num>
  <w:num w:numId="33">
    <w:abstractNumId w:val="17"/>
  </w:num>
  <w:num w:numId="34">
    <w:abstractNumId w:val="30"/>
  </w:num>
  <w:num w:numId="35">
    <w:abstractNumId w:val="10"/>
  </w:num>
  <w:num w:numId="36">
    <w:abstractNumId w:val="0"/>
  </w:num>
  <w:num w:numId="37">
    <w:abstractNumId w:val="22"/>
  </w:num>
  <w:num w:numId="38">
    <w:abstractNumId w:val="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97"/>
    <w:rsid w:val="00004264"/>
    <w:rsid w:val="00027D75"/>
    <w:rsid w:val="00031C39"/>
    <w:rsid w:val="00046D1A"/>
    <w:rsid w:val="0005235B"/>
    <w:rsid w:val="000618B4"/>
    <w:rsid w:val="00070CF9"/>
    <w:rsid w:val="000710AC"/>
    <w:rsid w:val="000715C2"/>
    <w:rsid w:val="00082CB4"/>
    <w:rsid w:val="00090E8F"/>
    <w:rsid w:val="0009213A"/>
    <w:rsid w:val="000C2F89"/>
    <w:rsid w:val="00107FA0"/>
    <w:rsid w:val="00134F0B"/>
    <w:rsid w:val="00141972"/>
    <w:rsid w:val="00142B13"/>
    <w:rsid w:val="00143D3A"/>
    <w:rsid w:val="001568E2"/>
    <w:rsid w:val="00157CB6"/>
    <w:rsid w:val="00163F10"/>
    <w:rsid w:val="00170E96"/>
    <w:rsid w:val="00177218"/>
    <w:rsid w:val="00186D9E"/>
    <w:rsid w:val="001A4DFA"/>
    <w:rsid w:val="001D163D"/>
    <w:rsid w:val="001E7678"/>
    <w:rsid w:val="00203E53"/>
    <w:rsid w:val="00211D97"/>
    <w:rsid w:val="0021240F"/>
    <w:rsid w:val="00215D61"/>
    <w:rsid w:val="00224F3A"/>
    <w:rsid w:val="002357C8"/>
    <w:rsid w:val="002517E4"/>
    <w:rsid w:val="002527A6"/>
    <w:rsid w:val="00275A45"/>
    <w:rsid w:val="002859EE"/>
    <w:rsid w:val="002979FB"/>
    <w:rsid w:val="002B48F4"/>
    <w:rsid w:val="002C079A"/>
    <w:rsid w:val="002C299A"/>
    <w:rsid w:val="002C4D49"/>
    <w:rsid w:val="002D161E"/>
    <w:rsid w:val="002D4376"/>
    <w:rsid w:val="002F24A2"/>
    <w:rsid w:val="002F3685"/>
    <w:rsid w:val="002F44CB"/>
    <w:rsid w:val="00301F39"/>
    <w:rsid w:val="00331992"/>
    <w:rsid w:val="003330E3"/>
    <w:rsid w:val="00342EE0"/>
    <w:rsid w:val="00353995"/>
    <w:rsid w:val="003601C3"/>
    <w:rsid w:val="00365DC9"/>
    <w:rsid w:val="003923FC"/>
    <w:rsid w:val="003C45A2"/>
    <w:rsid w:val="003D26D3"/>
    <w:rsid w:val="003D4690"/>
    <w:rsid w:val="003D5E28"/>
    <w:rsid w:val="00411BDE"/>
    <w:rsid w:val="0041393E"/>
    <w:rsid w:val="00414BF5"/>
    <w:rsid w:val="00426F54"/>
    <w:rsid w:val="00436D97"/>
    <w:rsid w:val="00444759"/>
    <w:rsid w:val="00445462"/>
    <w:rsid w:val="00445A8C"/>
    <w:rsid w:val="0045361F"/>
    <w:rsid w:val="00474B79"/>
    <w:rsid w:val="00485F7E"/>
    <w:rsid w:val="004B11CB"/>
    <w:rsid w:val="004B29EA"/>
    <w:rsid w:val="004B4C67"/>
    <w:rsid w:val="004C204F"/>
    <w:rsid w:val="004C22C2"/>
    <w:rsid w:val="004D4078"/>
    <w:rsid w:val="004E2562"/>
    <w:rsid w:val="004F1523"/>
    <w:rsid w:val="00505E8C"/>
    <w:rsid w:val="00507AA2"/>
    <w:rsid w:val="00512341"/>
    <w:rsid w:val="00541912"/>
    <w:rsid w:val="0054422D"/>
    <w:rsid w:val="00553955"/>
    <w:rsid w:val="0055523B"/>
    <w:rsid w:val="00562BFA"/>
    <w:rsid w:val="00583213"/>
    <w:rsid w:val="005844D4"/>
    <w:rsid w:val="00585497"/>
    <w:rsid w:val="005861B8"/>
    <w:rsid w:val="0058733B"/>
    <w:rsid w:val="00591CE4"/>
    <w:rsid w:val="005A13D3"/>
    <w:rsid w:val="005A512F"/>
    <w:rsid w:val="005C49B5"/>
    <w:rsid w:val="005C75F1"/>
    <w:rsid w:val="005D1B80"/>
    <w:rsid w:val="005E03BB"/>
    <w:rsid w:val="005E2E98"/>
    <w:rsid w:val="005E419B"/>
    <w:rsid w:val="005E61BF"/>
    <w:rsid w:val="005E6804"/>
    <w:rsid w:val="005F0502"/>
    <w:rsid w:val="005F1A8A"/>
    <w:rsid w:val="005F1B29"/>
    <w:rsid w:val="005F4214"/>
    <w:rsid w:val="0061480E"/>
    <w:rsid w:val="00614D72"/>
    <w:rsid w:val="006607DC"/>
    <w:rsid w:val="00662223"/>
    <w:rsid w:val="006674AC"/>
    <w:rsid w:val="00692D4C"/>
    <w:rsid w:val="0069525E"/>
    <w:rsid w:val="006A4B6B"/>
    <w:rsid w:val="006B039A"/>
    <w:rsid w:val="006B5A3E"/>
    <w:rsid w:val="006D5F18"/>
    <w:rsid w:val="006E46A5"/>
    <w:rsid w:val="00701CA9"/>
    <w:rsid w:val="00704C86"/>
    <w:rsid w:val="00705459"/>
    <w:rsid w:val="0071252C"/>
    <w:rsid w:val="00715998"/>
    <w:rsid w:val="00717D6F"/>
    <w:rsid w:val="00723164"/>
    <w:rsid w:val="00743502"/>
    <w:rsid w:val="0075251A"/>
    <w:rsid w:val="0077555F"/>
    <w:rsid w:val="0078789F"/>
    <w:rsid w:val="007B3675"/>
    <w:rsid w:val="007C659E"/>
    <w:rsid w:val="007D5C33"/>
    <w:rsid w:val="007D7644"/>
    <w:rsid w:val="007E73D7"/>
    <w:rsid w:val="007F1C01"/>
    <w:rsid w:val="007F348D"/>
    <w:rsid w:val="007F3D54"/>
    <w:rsid w:val="008309F3"/>
    <w:rsid w:val="008349AC"/>
    <w:rsid w:val="008559BD"/>
    <w:rsid w:val="00856CA9"/>
    <w:rsid w:val="00862C04"/>
    <w:rsid w:val="008630E2"/>
    <w:rsid w:val="00881C8F"/>
    <w:rsid w:val="00895E40"/>
    <w:rsid w:val="008A5B75"/>
    <w:rsid w:val="008F2B6F"/>
    <w:rsid w:val="008F321B"/>
    <w:rsid w:val="008F437E"/>
    <w:rsid w:val="008F55F2"/>
    <w:rsid w:val="00901B97"/>
    <w:rsid w:val="00902875"/>
    <w:rsid w:val="00911E0F"/>
    <w:rsid w:val="009131C6"/>
    <w:rsid w:val="009155FB"/>
    <w:rsid w:val="00920A1C"/>
    <w:rsid w:val="00926143"/>
    <w:rsid w:val="00962F1B"/>
    <w:rsid w:val="00965630"/>
    <w:rsid w:val="009658BC"/>
    <w:rsid w:val="00973CCA"/>
    <w:rsid w:val="009C451C"/>
    <w:rsid w:val="009C5994"/>
    <w:rsid w:val="009E17DD"/>
    <w:rsid w:val="009E2E20"/>
    <w:rsid w:val="009E3062"/>
    <w:rsid w:val="009E69CD"/>
    <w:rsid w:val="009F57D2"/>
    <w:rsid w:val="00A0552E"/>
    <w:rsid w:val="00A11BBF"/>
    <w:rsid w:val="00A12710"/>
    <w:rsid w:val="00A21D77"/>
    <w:rsid w:val="00A3563C"/>
    <w:rsid w:val="00A4173F"/>
    <w:rsid w:val="00A4439B"/>
    <w:rsid w:val="00A47BAB"/>
    <w:rsid w:val="00A57C5D"/>
    <w:rsid w:val="00A630A7"/>
    <w:rsid w:val="00A85336"/>
    <w:rsid w:val="00A97D1E"/>
    <w:rsid w:val="00AA4DB3"/>
    <w:rsid w:val="00AF3652"/>
    <w:rsid w:val="00AF3FF5"/>
    <w:rsid w:val="00B0185A"/>
    <w:rsid w:val="00B11124"/>
    <w:rsid w:val="00B13ED0"/>
    <w:rsid w:val="00B218FD"/>
    <w:rsid w:val="00B27B14"/>
    <w:rsid w:val="00B37269"/>
    <w:rsid w:val="00B42561"/>
    <w:rsid w:val="00B53650"/>
    <w:rsid w:val="00B61B5D"/>
    <w:rsid w:val="00B63E89"/>
    <w:rsid w:val="00B67A32"/>
    <w:rsid w:val="00BB0CF2"/>
    <w:rsid w:val="00BB1521"/>
    <w:rsid w:val="00BB38C1"/>
    <w:rsid w:val="00BB6516"/>
    <w:rsid w:val="00BC621C"/>
    <w:rsid w:val="00BD1B3D"/>
    <w:rsid w:val="00BD1FD4"/>
    <w:rsid w:val="00BD7FD5"/>
    <w:rsid w:val="00BE256D"/>
    <w:rsid w:val="00C01028"/>
    <w:rsid w:val="00C03F7E"/>
    <w:rsid w:val="00C117E8"/>
    <w:rsid w:val="00C26F2E"/>
    <w:rsid w:val="00C30F4C"/>
    <w:rsid w:val="00C50DAC"/>
    <w:rsid w:val="00C7654E"/>
    <w:rsid w:val="00C91179"/>
    <w:rsid w:val="00C979E2"/>
    <w:rsid w:val="00CA2639"/>
    <w:rsid w:val="00CC643E"/>
    <w:rsid w:val="00CE780B"/>
    <w:rsid w:val="00D009DB"/>
    <w:rsid w:val="00D01679"/>
    <w:rsid w:val="00D137EB"/>
    <w:rsid w:val="00D317C9"/>
    <w:rsid w:val="00D53C05"/>
    <w:rsid w:val="00DB7D98"/>
    <w:rsid w:val="00DD6A24"/>
    <w:rsid w:val="00DE1B33"/>
    <w:rsid w:val="00DF01C5"/>
    <w:rsid w:val="00E04171"/>
    <w:rsid w:val="00E217ED"/>
    <w:rsid w:val="00E23B8E"/>
    <w:rsid w:val="00E458B7"/>
    <w:rsid w:val="00E514BB"/>
    <w:rsid w:val="00E51B0C"/>
    <w:rsid w:val="00E773A3"/>
    <w:rsid w:val="00E80F5E"/>
    <w:rsid w:val="00E914AA"/>
    <w:rsid w:val="00E92435"/>
    <w:rsid w:val="00E96296"/>
    <w:rsid w:val="00E97F53"/>
    <w:rsid w:val="00EA2E07"/>
    <w:rsid w:val="00ED07E1"/>
    <w:rsid w:val="00ED530C"/>
    <w:rsid w:val="00EE4E10"/>
    <w:rsid w:val="00EF16EE"/>
    <w:rsid w:val="00F0511C"/>
    <w:rsid w:val="00F119E6"/>
    <w:rsid w:val="00F13870"/>
    <w:rsid w:val="00F2567A"/>
    <w:rsid w:val="00F341DC"/>
    <w:rsid w:val="00F359D8"/>
    <w:rsid w:val="00F4583C"/>
    <w:rsid w:val="00F53751"/>
    <w:rsid w:val="00F538E4"/>
    <w:rsid w:val="00F64DD8"/>
    <w:rsid w:val="00F65FE2"/>
    <w:rsid w:val="00F71A56"/>
    <w:rsid w:val="00F81845"/>
    <w:rsid w:val="00F82A53"/>
    <w:rsid w:val="00F82B25"/>
    <w:rsid w:val="00F87D30"/>
    <w:rsid w:val="00FC36B3"/>
    <w:rsid w:val="00FD5010"/>
    <w:rsid w:val="00FE1915"/>
    <w:rsid w:val="00FF520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4A0451B-5448-49FD-9B18-F3B5E00C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0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01B9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901B97"/>
  </w:style>
  <w:style w:type="paragraph" w:styleId="Encabezado">
    <w:name w:val="header"/>
    <w:basedOn w:val="Normal"/>
    <w:link w:val="EncabezadoCar"/>
    <w:uiPriority w:val="99"/>
    <w:unhideWhenUsed/>
    <w:rsid w:val="007E73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73D7"/>
  </w:style>
  <w:style w:type="paragraph" w:styleId="Piedepgina">
    <w:name w:val="footer"/>
    <w:basedOn w:val="Normal"/>
    <w:link w:val="PiedepginaCar"/>
    <w:uiPriority w:val="99"/>
    <w:unhideWhenUsed/>
    <w:rsid w:val="007E73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73D7"/>
  </w:style>
  <w:style w:type="paragraph" w:customStyle="1" w:styleId="Listavistosa-nfasis11">
    <w:name w:val="Lista vistosa - Énfasis 11"/>
    <w:basedOn w:val="Normal"/>
    <w:uiPriority w:val="99"/>
    <w:qFormat/>
    <w:rsid w:val="007E73D7"/>
    <w:pPr>
      <w:ind w:left="720"/>
      <w:contextualSpacing/>
    </w:pPr>
    <w:rPr>
      <w:rFonts w:ascii="Calibri" w:eastAsia="Times New Roman" w:hAnsi="Calibri" w:cs="Times New Roman"/>
      <w:sz w:val="24"/>
      <w:szCs w:val="24"/>
      <w:lang w:val="es-CO" w:eastAsia="es-CO"/>
    </w:rPr>
  </w:style>
  <w:style w:type="paragraph" w:customStyle="1" w:styleId="Sinespaciado1">
    <w:name w:val="Sin espaciado1"/>
    <w:uiPriority w:val="99"/>
    <w:qFormat/>
    <w:rsid w:val="007E73D7"/>
    <w:pPr>
      <w:spacing w:after="0" w:line="240" w:lineRule="auto"/>
    </w:pPr>
    <w:rPr>
      <w:rFonts w:ascii="Calibri" w:eastAsia="Times New Roman" w:hAnsi="Calibri" w:cs="Times New Roman"/>
      <w:sz w:val="24"/>
      <w:szCs w:val="24"/>
      <w:lang w:val="es-CO" w:eastAsia="es-CO"/>
    </w:rPr>
  </w:style>
  <w:style w:type="paragraph" w:styleId="Textonotapie">
    <w:name w:val="footnote text"/>
    <w:basedOn w:val="Normal"/>
    <w:link w:val="TextonotapieCar"/>
    <w:uiPriority w:val="99"/>
    <w:unhideWhenUsed/>
    <w:rsid w:val="0009213A"/>
    <w:pPr>
      <w:spacing w:after="0" w:line="240" w:lineRule="auto"/>
    </w:pPr>
    <w:rPr>
      <w:sz w:val="20"/>
      <w:szCs w:val="20"/>
    </w:rPr>
  </w:style>
  <w:style w:type="character" w:customStyle="1" w:styleId="TextonotapieCar">
    <w:name w:val="Texto nota pie Car"/>
    <w:basedOn w:val="Fuentedeprrafopredeter"/>
    <w:link w:val="Textonotapie"/>
    <w:uiPriority w:val="99"/>
    <w:rsid w:val="0009213A"/>
    <w:rPr>
      <w:sz w:val="20"/>
      <w:szCs w:val="20"/>
    </w:rPr>
  </w:style>
  <w:style w:type="character" w:styleId="Refdenotaalpie">
    <w:name w:val="footnote reference"/>
    <w:aliases w:val="Texto de nota al pie,Appel note de bas de page,referencia nota al pie,BVI fnr,Footnote symbol,Footnote,Ref. de nota al pie2,Nota de pie,Ref,de nota al pie,Pie de pagina,Ref. ...,Ref1,FC,Footnotes refss,Footnote number,f,4_G,16 Point"/>
    <w:basedOn w:val="Fuentedeprrafopredeter"/>
    <w:uiPriority w:val="99"/>
    <w:unhideWhenUsed/>
    <w:rsid w:val="0009213A"/>
    <w:rPr>
      <w:vertAlign w:val="superscript"/>
    </w:rPr>
  </w:style>
  <w:style w:type="character" w:styleId="Hipervnculo">
    <w:name w:val="Hyperlink"/>
    <w:basedOn w:val="Fuentedeprrafopredeter"/>
    <w:uiPriority w:val="99"/>
    <w:unhideWhenUsed/>
    <w:rsid w:val="0009213A"/>
    <w:rPr>
      <w:color w:val="0000FF" w:themeColor="hyperlink"/>
      <w:u w:val="single"/>
    </w:rPr>
  </w:style>
  <w:style w:type="paragraph" w:styleId="Textodeglobo">
    <w:name w:val="Balloon Text"/>
    <w:basedOn w:val="Normal"/>
    <w:link w:val="TextodegloboCar"/>
    <w:uiPriority w:val="99"/>
    <w:semiHidden/>
    <w:unhideWhenUsed/>
    <w:rsid w:val="002527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27A6"/>
    <w:rPr>
      <w:rFonts w:ascii="Tahoma" w:hAnsi="Tahoma" w:cs="Tahoma"/>
      <w:sz w:val="16"/>
      <w:szCs w:val="16"/>
    </w:rPr>
  </w:style>
  <w:style w:type="table" w:styleId="Tablaconcuadrcula">
    <w:name w:val="Table Grid"/>
    <w:basedOn w:val="Tablanormal"/>
    <w:uiPriority w:val="59"/>
    <w:rsid w:val="00353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C643E"/>
    <w:pPr>
      <w:ind w:left="720"/>
      <w:contextualSpacing/>
    </w:pPr>
  </w:style>
  <w:style w:type="table" w:customStyle="1" w:styleId="Tablaconcuadrcula1">
    <w:name w:val="Tabla con cuadrícula1"/>
    <w:basedOn w:val="Tablanormal"/>
    <w:next w:val="Tablaconcuadrcula"/>
    <w:uiPriority w:val="39"/>
    <w:rsid w:val="00F82A53"/>
    <w:pPr>
      <w:spacing w:after="0" w:line="240" w:lineRule="auto"/>
      <w:jc w:val="both"/>
    </w:pPr>
    <w:rPr>
      <w:rFonts w:ascii="Times New Roman" w:hAnsi="Times New Roman"/>
      <w:sz w:val="24"/>
      <w:szCs w:val="24"/>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5E419B"/>
  </w:style>
  <w:style w:type="paragraph" w:styleId="Sinespaciado">
    <w:name w:val="No Spacing"/>
    <w:link w:val="SinespaciadoCar"/>
    <w:uiPriority w:val="1"/>
    <w:qFormat/>
    <w:rsid w:val="005E419B"/>
    <w:pPr>
      <w:spacing w:after="0" w:line="240" w:lineRule="auto"/>
      <w:jc w:val="both"/>
    </w:pPr>
    <w:rPr>
      <w:rFonts w:ascii="Times New Roman" w:hAnsi="Times New Roman"/>
      <w:sz w:val="24"/>
      <w:szCs w:val="24"/>
      <w:lang w:val="es-CO"/>
    </w:rPr>
  </w:style>
  <w:style w:type="table" w:customStyle="1" w:styleId="Tablaconcuadrcula2">
    <w:name w:val="Tabla con cuadrícula2"/>
    <w:basedOn w:val="Tablanormal"/>
    <w:next w:val="Tablaconcuadrcula"/>
    <w:uiPriority w:val="39"/>
    <w:rsid w:val="005E419B"/>
    <w:pPr>
      <w:spacing w:after="0" w:line="240" w:lineRule="auto"/>
      <w:jc w:val="both"/>
    </w:pPr>
    <w:rPr>
      <w:rFonts w:ascii="Times New Roman" w:hAnsi="Times New Roman"/>
      <w:sz w:val="24"/>
      <w:szCs w:val="24"/>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419B"/>
    <w:pPr>
      <w:widowControl w:val="0"/>
      <w:autoSpaceDE w:val="0"/>
      <w:autoSpaceDN w:val="0"/>
      <w:adjustRightInd w:val="0"/>
      <w:spacing w:after="0" w:line="240" w:lineRule="auto"/>
    </w:pPr>
    <w:rPr>
      <w:rFonts w:ascii="Bookman Old Style" w:eastAsia="MS Mincho" w:hAnsi="Bookman Old Style" w:cs="Bookman Old Style"/>
      <w:color w:val="000000"/>
      <w:sz w:val="24"/>
      <w:szCs w:val="24"/>
      <w:lang w:val="es-CO" w:eastAsia="es-CO"/>
    </w:rPr>
  </w:style>
  <w:style w:type="character" w:customStyle="1" w:styleId="iaj">
    <w:name w:val="i_aj"/>
    <w:basedOn w:val="Fuentedeprrafopredeter"/>
    <w:rsid w:val="005E419B"/>
  </w:style>
  <w:style w:type="character" w:customStyle="1" w:styleId="textonavy">
    <w:name w:val="texto_navy"/>
    <w:basedOn w:val="Fuentedeprrafopredeter"/>
    <w:rsid w:val="005E419B"/>
  </w:style>
  <w:style w:type="paragraph" w:customStyle="1" w:styleId="cuerpotexto">
    <w:name w:val="cuerpotexto"/>
    <w:basedOn w:val="Normal"/>
    <w:rsid w:val="005E419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Refdecomentario">
    <w:name w:val="annotation reference"/>
    <w:basedOn w:val="Fuentedeprrafopredeter"/>
    <w:uiPriority w:val="99"/>
    <w:semiHidden/>
    <w:unhideWhenUsed/>
    <w:rsid w:val="005E419B"/>
    <w:rPr>
      <w:sz w:val="16"/>
      <w:szCs w:val="16"/>
    </w:rPr>
  </w:style>
  <w:style w:type="paragraph" w:styleId="Textocomentario">
    <w:name w:val="annotation text"/>
    <w:basedOn w:val="Normal"/>
    <w:link w:val="TextocomentarioCar"/>
    <w:uiPriority w:val="99"/>
    <w:unhideWhenUsed/>
    <w:rsid w:val="005E419B"/>
    <w:pPr>
      <w:spacing w:line="240" w:lineRule="auto"/>
    </w:pPr>
    <w:rPr>
      <w:rFonts w:ascii="Georgia" w:hAnsi="Georgia" w:cs="Times New Roman"/>
      <w:sz w:val="20"/>
      <w:szCs w:val="20"/>
      <w:lang w:val="es-CO"/>
    </w:rPr>
  </w:style>
  <w:style w:type="character" w:customStyle="1" w:styleId="TextocomentarioCar">
    <w:name w:val="Texto comentario Car"/>
    <w:basedOn w:val="Fuentedeprrafopredeter"/>
    <w:link w:val="Textocomentario"/>
    <w:uiPriority w:val="99"/>
    <w:rsid w:val="005E419B"/>
    <w:rPr>
      <w:rFonts w:ascii="Georgia" w:hAnsi="Georgia" w:cs="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5E419B"/>
    <w:rPr>
      <w:b/>
      <w:bCs/>
    </w:rPr>
  </w:style>
  <w:style w:type="character" w:customStyle="1" w:styleId="AsuntodelcomentarioCar">
    <w:name w:val="Asunto del comentario Car"/>
    <w:basedOn w:val="TextocomentarioCar"/>
    <w:link w:val="Asuntodelcomentario"/>
    <w:uiPriority w:val="99"/>
    <w:semiHidden/>
    <w:rsid w:val="005E419B"/>
    <w:rPr>
      <w:rFonts w:ascii="Georgia" w:hAnsi="Georgia" w:cs="Times New Roman"/>
      <w:b/>
      <w:bCs/>
      <w:sz w:val="20"/>
      <w:szCs w:val="20"/>
      <w:lang w:val="es-CO"/>
    </w:rPr>
  </w:style>
  <w:style w:type="paragraph" w:customStyle="1" w:styleId="Prrafodelista1">
    <w:name w:val="Párrafo de lista1"/>
    <w:basedOn w:val="Normal"/>
    <w:uiPriority w:val="34"/>
    <w:qFormat/>
    <w:rsid w:val="005E419B"/>
    <w:pPr>
      <w:spacing w:after="0"/>
      <w:ind w:left="720"/>
      <w:contextualSpacing/>
    </w:pPr>
    <w:rPr>
      <w:rFonts w:ascii="Calibri" w:eastAsia="Times New Roman" w:hAnsi="Calibri" w:cs="Times New Roman"/>
      <w:lang w:val="es-MX"/>
    </w:rPr>
  </w:style>
  <w:style w:type="paragraph" w:styleId="Revisin">
    <w:name w:val="Revision"/>
    <w:hidden/>
    <w:uiPriority w:val="99"/>
    <w:semiHidden/>
    <w:rsid w:val="005E419B"/>
    <w:pPr>
      <w:spacing w:after="0" w:line="240" w:lineRule="auto"/>
    </w:pPr>
    <w:rPr>
      <w:rFonts w:ascii="Georgia" w:hAnsi="Georgia" w:cs="Times New Roman"/>
      <w:sz w:val="24"/>
      <w:szCs w:val="24"/>
      <w:lang w:val="es-CO"/>
    </w:rPr>
  </w:style>
  <w:style w:type="character" w:customStyle="1" w:styleId="spelle">
    <w:name w:val="spelle"/>
    <w:basedOn w:val="Fuentedeprrafopredeter"/>
    <w:rsid w:val="005E419B"/>
  </w:style>
  <w:style w:type="character" w:customStyle="1" w:styleId="SinespaciadoCar">
    <w:name w:val="Sin espaciado Car"/>
    <w:link w:val="Sinespaciado"/>
    <w:uiPriority w:val="1"/>
    <w:locked/>
    <w:rsid w:val="005E419B"/>
    <w:rPr>
      <w:rFonts w:ascii="Times New Roman" w:hAnsi="Times New Roman"/>
      <w:sz w:val="24"/>
      <w:szCs w:val="24"/>
      <w:lang w:val="es-CO"/>
    </w:rPr>
  </w:style>
  <w:style w:type="character" w:styleId="Hipervnculovisitado">
    <w:name w:val="FollowedHyperlink"/>
    <w:basedOn w:val="Fuentedeprrafopredeter"/>
    <w:uiPriority w:val="99"/>
    <w:semiHidden/>
    <w:unhideWhenUsed/>
    <w:rsid w:val="00C03F7E"/>
    <w:rPr>
      <w:color w:val="800080" w:themeColor="followedHyperlink"/>
      <w:u w:val="single"/>
    </w:rPr>
  </w:style>
  <w:style w:type="numbering" w:customStyle="1" w:styleId="Sinlista2">
    <w:name w:val="Sin lista2"/>
    <w:next w:val="Sinlista"/>
    <w:uiPriority w:val="99"/>
    <w:semiHidden/>
    <w:unhideWhenUsed/>
    <w:rsid w:val="00704C86"/>
  </w:style>
  <w:style w:type="character" w:styleId="Textoennegrita">
    <w:name w:val="Strong"/>
    <w:basedOn w:val="Fuentedeprrafopredeter"/>
    <w:uiPriority w:val="22"/>
    <w:qFormat/>
    <w:rsid w:val="0070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8036">
      <w:bodyDiv w:val="1"/>
      <w:marLeft w:val="0"/>
      <w:marRight w:val="0"/>
      <w:marTop w:val="0"/>
      <w:marBottom w:val="0"/>
      <w:divBdr>
        <w:top w:val="none" w:sz="0" w:space="0" w:color="auto"/>
        <w:left w:val="none" w:sz="0" w:space="0" w:color="auto"/>
        <w:bottom w:val="none" w:sz="0" w:space="0" w:color="auto"/>
        <w:right w:val="none" w:sz="0" w:space="0" w:color="auto"/>
      </w:divBdr>
    </w:div>
    <w:div w:id="186259390">
      <w:bodyDiv w:val="1"/>
      <w:marLeft w:val="0"/>
      <w:marRight w:val="0"/>
      <w:marTop w:val="0"/>
      <w:marBottom w:val="0"/>
      <w:divBdr>
        <w:top w:val="none" w:sz="0" w:space="0" w:color="auto"/>
        <w:left w:val="none" w:sz="0" w:space="0" w:color="auto"/>
        <w:bottom w:val="none" w:sz="0" w:space="0" w:color="auto"/>
        <w:right w:val="none" w:sz="0" w:space="0" w:color="auto"/>
      </w:divBdr>
    </w:div>
    <w:div w:id="625620451">
      <w:bodyDiv w:val="1"/>
      <w:marLeft w:val="0"/>
      <w:marRight w:val="0"/>
      <w:marTop w:val="0"/>
      <w:marBottom w:val="0"/>
      <w:divBdr>
        <w:top w:val="none" w:sz="0" w:space="0" w:color="auto"/>
        <w:left w:val="none" w:sz="0" w:space="0" w:color="auto"/>
        <w:bottom w:val="none" w:sz="0" w:space="0" w:color="auto"/>
        <w:right w:val="none" w:sz="0" w:space="0" w:color="auto"/>
      </w:divBdr>
    </w:div>
    <w:div w:id="13941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90368-7053-4BF1-A85D-239271B1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18955</Words>
  <Characters>104256</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admin</cp:lastModifiedBy>
  <cp:revision>2</cp:revision>
  <cp:lastPrinted>2016-06-08T15:13:00Z</cp:lastPrinted>
  <dcterms:created xsi:type="dcterms:W3CDTF">2016-06-13T20:57:00Z</dcterms:created>
  <dcterms:modified xsi:type="dcterms:W3CDTF">2016-06-13T20:57:00Z</dcterms:modified>
</cp:coreProperties>
</file>