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C4" w:rsidRPr="00CF1412" w:rsidRDefault="003C3044" w:rsidP="00F607D5">
      <w:pPr>
        <w:pStyle w:val="Lista"/>
        <w:ind w:left="0" w:firstLine="0"/>
        <w:jc w:val="center"/>
        <w:rPr>
          <w:rFonts w:ascii="Century Gothic" w:hAnsi="Century Gothic" w:cs="Arial"/>
          <w:b/>
          <w:lang w:val="es-ES_tradnl" w:eastAsia="es-CO"/>
        </w:rPr>
      </w:pPr>
      <w:r>
        <w:rPr>
          <w:rFonts w:ascii="Century Gothic" w:hAnsi="Century Gothic" w:cs="Arial"/>
          <w:b/>
          <w:lang w:eastAsia="es-CO"/>
        </w:rPr>
        <w:t>TE</w:t>
      </w:r>
      <w:r w:rsidR="00F607D5">
        <w:rPr>
          <w:rFonts w:ascii="Century Gothic" w:hAnsi="Century Gothic" w:cs="Arial"/>
          <w:b/>
          <w:lang w:eastAsia="es-CO"/>
        </w:rPr>
        <w:t>X</w:t>
      </w:r>
      <w:r>
        <w:rPr>
          <w:rFonts w:ascii="Century Gothic" w:hAnsi="Century Gothic" w:cs="Arial"/>
          <w:b/>
          <w:lang w:eastAsia="es-CO"/>
        </w:rPr>
        <w:t xml:space="preserve">TO APROBADO EN LA COMISION PRIMERA DE LA HONORABLE CAMARA DE REPRESENTANTES </w:t>
      </w:r>
      <w:r w:rsidRPr="00CF1412">
        <w:rPr>
          <w:rFonts w:ascii="Century Gothic" w:hAnsi="Century Gothic" w:cs="Arial"/>
          <w:b/>
          <w:lang w:eastAsia="es-CO"/>
        </w:rPr>
        <w:t xml:space="preserve">AL PROYECTO DE LEY </w:t>
      </w:r>
      <w:r>
        <w:rPr>
          <w:rFonts w:ascii="Century Gothic" w:hAnsi="Century Gothic" w:cs="Arial"/>
          <w:b/>
        </w:rPr>
        <w:t xml:space="preserve">NO.174 DE </w:t>
      </w:r>
      <w:r w:rsidRPr="00CF1412">
        <w:rPr>
          <w:rFonts w:ascii="Century Gothic" w:hAnsi="Century Gothic" w:cs="Arial"/>
          <w:b/>
        </w:rPr>
        <w:t>2015 CÁMARA “POR MEDIO DE LA CUAL SE EXPIDEN NORMAS EN MATERIA DE FORMALIZACIÓN, TITULACIÓN Y RECONOCIMIENTO DE LAS EDIFICACIO</w:t>
      </w:r>
      <w:bookmarkStart w:id="0" w:name="_GoBack"/>
      <w:bookmarkEnd w:id="0"/>
      <w:r w:rsidRPr="00CF1412">
        <w:rPr>
          <w:rFonts w:ascii="Century Gothic" w:hAnsi="Century Gothic" w:cs="Arial"/>
          <w:b/>
        </w:rPr>
        <w:t>NES DE LOS ASENTAMIENTOS HUMANOS, DE PREDIOS URBANOS Y SE DICTAN OTRAS DISPOSICIONES”</w:t>
      </w:r>
    </w:p>
    <w:p w:rsidR="00CD561B" w:rsidRPr="00CD561B" w:rsidRDefault="00CD561B" w:rsidP="00331E65">
      <w:pPr>
        <w:autoSpaceDN w:val="0"/>
        <w:adjustRightInd w:val="0"/>
        <w:spacing w:after="0" w:line="288" w:lineRule="auto"/>
        <w:jc w:val="center"/>
        <w:textAlignment w:val="center"/>
        <w:rPr>
          <w:rFonts w:ascii="Century Gothic" w:eastAsia="Times New Roman" w:hAnsi="Century Gothic" w:cs="Arial"/>
          <w:b/>
          <w:sz w:val="24"/>
          <w:szCs w:val="24"/>
          <w:lang w:eastAsia="es-CO"/>
        </w:rPr>
      </w:pPr>
    </w:p>
    <w:p w:rsidR="00300FB3" w:rsidRPr="00CD561B" w:rsidRDefault="00300FB3" w:rsidP="00331E65">
      <w:pPr>
        <w:autoSpaceDN w:val="0"/>
        <w:adjustRightInd w:val="0"/>
        <w:spacing w:after="0" w:line="288" w:lineRule="auto"/>
        <w:jc w:val="center"/>
        <w:textAlignment w:val="center"/>
        <w:rPr>
          <w:rFonts w:ascii="Century Gothic" w:eastAsia="Times New Roman" w:hAnsi="Century Gothic" w:cs="Arial"/>
          <w:b/>
          <w:sz w:val="24"/>
          <w:szCs w:val="24"/>
          <w:lang w:eastAsia="es-CO"/>
        </w:rPr>
      </w:pPr>
      <w:r w:rsidRPr="00CD561B">
        <w:rPr>
          <w:rFonts w:ascii="Century Gothic" w:eastAsia="Times New Roman" w:hAnsi="Century Gothic" w:cs="Arial"/>
          <w:b/>
          <w:sz w:val="24"/>
          <w:szCs w:val="24"/>
          <w:lang w:eastAsia="es-CO"/>
        </w:rPr>
        <w:t>El Congreso de Colombia</w:t>
      </w:r>
    </w:p>
    <w:p w:rsidR="00CD561B" w:rsidRDefault="00CD561B" w:rsidP="00331E65">
      <w:pPr>
        <w:autoSpaceDN w:val="0"/>
        <w:adjustRightInd w:val="0"/>
        <w:spacing w:after="0" w:line="288" w:lineRule="auto"/>
        <w:jc w:val="center"/>
        <w:textAlignment w:val="center"/>
        <w:rPr>
          <w:rFonts w:ascii="Century Gothic" w:eastAsia="Times New Roman" w:hAnsi="Century Gothic" w:cs="Arial"/>
          <w:b/>
          <w:sz w:val="24"/>
          <w:szCs w:val="24"/>
          <w:lang w:eastAsia="es-CO"/>
        </w:rPr>
      </w:pPr>
    </w:p>
    <w:p w:rsidR="00300FB3" w:rsidRPr="00CD561B" w:rsidRDefault="00300FB3" w:rsidP="00331E65">
      <w:pPr>
        <w:autoSpaceDN w:val="0"/>
        <w:adjustRightInd w:val="0"/>
        <w:spacing w:after="0" w:line="288" w:lineRule="auto"/>
        <w:jc w:val="center"/>
        <w:textAlignment w:val="center"/>
        <w:rPr>
          <w:rFonts w:ascii="Century Gothic" w:eastAsia="Times New Roman" w:hAnsi="Century Gothic" w:cs="Arial"/>
          <w:b/>
          <w:sz w:val="24"/>
          <w:szCs w:val="24"/>
          <w:lang w:eastAsia="es-CO"/>
        </w:rPr>
      </w:pPr>
      <w:r w:rsidRPr="00CD561B">
        <w:rPr>
          <w:rFonts w:ascii="Century Gothic" w:eastAsia="Times New Roman" w:hAnsi="Century Gothic" w:cs="Arial"/>
          <w:b/>
          <w:sz w:val="24"/>
          <w:szCs w:val="24"/>
          <w:lang w:eastAsia="es-CO"/>
        </w:rPr>
        <w:t>DECRETA.</w:t>
      </w:r>
    </w:p>
    <w:p w:rsidR="00331E65" w:rsidRPr="00CD561B" w:rsidRDefault="00331E65" w:rsidP="00331E65">
      <w:pPr>
        <w:autoSpaceDN w:val="0"/>
        <w:adjustRightInd w:val="0"/>
        <w:spacing w:after="0" w:line="288" w:lineRule="auto"/>
        <w:jc w:val="both"/>
        <w:textAlignment w:val="center"/>
        <w:rPr>
          <w:rFonts w:ascii="Century Gothic" w:eastAsia="Times New Roman" w:hAnsi="Century Gothic" w:cs="Arial"/>
          <w:sz w:val="24"/>
          <w:szCs w:val="24"/>
          <w:lang w:eastAsia="es-CO"/>
        </w:rPr>
      </w:pPr>
    </w:p>
    <w:p w:rsidR="00E11232" w:rsidRPr="006663C6" w:rsidRDefault="00E11232" w:rsidP="00E11232">
      <w:pPr>
        <w:spacing w:after="0" w:line="240" w:lineRule="auto"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  <w:b/>
        </w:rPr>
        <w:t>ARTICULO PRIMERO:</w:t>
      </w:r>
      <w:r w:rsidRPr="006663C6">
        <w:rPr>
          <w:rFonts w:ascii="Century Gothic" w:hAnsi="Century Gothic"/>
        </w:rPr>
        <w:t xml:space="preserve"> Establézcase el tramite notarial Cero y de Curaduría Cero para los asentamientos que sean objeto del proceso de legalización</w:t>
      </w:r>
      <w:r w:rsidR="00F930EE">
        <w:rPr>
          <w:rFonts w:ascii="Century Gothic" w:hAnsi="Century Gothic"/>
        </w:rPr>
        <w:t xml:space="preserve"> y reconocimiento</w:t>
      </w:r>
      <w:r w:rsidRPr="006663C6">
        <w:rPr>
          <w:rFonts w:ascii="Century Gothic" w:hAnsi="Century Gothic"/>
        </w:rPr>
        <w:t xml:space="preserve"> conforme a esta ley. </w:t>
      </w:r>
    </w:p>
    <w:p w:rsidR="00E11232" w:rsidRPr="006663C6" w:rsidRDefault="00E11232" w:rsidP="00E11232">
      <w:pPr>
        <w:spacing w:after="0" w:line="240" w:lineRule="auto"/>
        <w:jc w:val="both"/>
        <w:rPr>
          <w:rFonts w:ascii="Century Gothic" w:hAnsi="Century Gothic"/>
        </w:rPr>
      </w:pPr>
    </w:p>
    <w:p w:rsidR="00E11232" w:rsidRPr="006663C6" w:rsidRDefault="00E11232" w:rsidP="00E11232">
      <w:pPr>
        <w:tabs>
          <w:tab w:val="left" w:pos="2895"/>
        </w:tabs>
        <w:spacing w:after="0" w:line="240" w:lineRule="auto"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  <w:b/>
        </w:rPr>
        <w:t xml:space="preserve">ARTÍCULO SEGUNDO: </w:t>
      </w:r>
      <w:r w:rsidRPr="006663C6">
        <w:rPr>
          <w:rFonts w:ascii="Century Gothic" w:hAnsi="Century Gothic"/>
        </w:rPr>
        <w:t xml:space="preserve">En los municipios o distritos donde se ha adoptado la política pública de legalización de asentamientos subnormales precarios, </w:t>
      </w:r>
      <w:r w:rsidR="005401DF">
        <w:rPr>
          <w:rFonts w:ascii="Century Gothic" w:hAnsi="Century Gothic"/>
        </w:rPr>
        <w:t>entiéndase excluidos las invasiones y/u ocupaciones tomadas de manera violenta. L</w:t>
      </w:r>
      <w:r w:rsidRPr="006663C6">
        <w:rPr>
          <w:rFonts w:ascii="Century Gothic" w:hAnsi="Century Gothic"/>
        </w:rPr>
        <w:t>os notarios expedirán de manera gratuita la Escritura Pública y las oficinas de instrumentos públicos harán el registro correspondiente de manera gratuita</w:t>
      </w:r>
      <w:r w:rsidR="00652AEA">
        <w:rPr>
          <w:rFonts w:ascii="Century Gothic" w:hAnsi="Century Gothic"/>
        </w:rPr>
        <w:t>,</w:t>
      </w:r>
      <w:r w:rsidRPr="006663C6">
        <w:rPr>
          <w:rFonts w:ascii="Century Gothic" w:hAnsi="Century Gothic"/>
        </w:rPr>
        <w:t xml:space="preserve"> </w:t>
      </w:r>
      <w:r w:rsidR="00E8494B">
        <w:rPr>
          <w:rFonts w:ascii="Century Gothic" w:hAnsi="Century Gothic"/>
        </w:rPr>
        <w:t xml:space="preserve">incluyendo todos los impuestos y exceptuando los impuestos nacionales, en </w:t>
      </w:r>
      <w:r w:rsidRPr="006663C6">
        <w:rPr>
          <w:rFonts w:ascii="Century Gothic" w:hAnsi="Century Gothic"/>
        </w:rPr>
        <w:t xml:space="preserve">los siguientes casos: </w:t>
      </w:r>
    </w:p>
    <w:p w:rsidR="00E11232" w:rsidRPr="006663C6" w:rsidRDefault="00E11232" w:rsidP="00E11232">
      <w:pPr>
        <w:spacing w:after="0" w:line="240" w:lineRule="auto"/>
        <w:ind w:left="2832"/>
        <w:jc w:val="both"/>
        <w:rPr>
          <w:rFonts w:ascii="Century Gothic" w:hAnsi="Century Gothic"/>
        </w:rPr>
      </w:pPr>
    </w:p>
    <w:p w:rsidR="00E11232" w:rsidRPr="006663C6" w:rsidRDefault="00E11232" w:rsidP="00E11232">
      <w:pPr>
        <w:pStyle w:val="Prrafodelista"/>
        <w:numPr>
          <w:ilvl w:val="0"/>
          <w:numId w:val="40"/>
        </w:numPr>
        <w:spacing w:after="0" w:line="240" w:lineRule="auto"/>
        <w:contextualSpacing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</w:rPr>
        <w:t>Licencia de subdivisión y liquidación de la comunidad en los casos donde el predio de mayor extensión sea de propiedad de una comunidad por porcentaje.</w:t>
      </w:r>
    </w:p>
    <w:p w:rsidR="00E11232" w:rsidRPr="006663C6" w:rsidRDefault="00E11232" w:rsidP="00E11232">
      <w:pPr>
        <w:pStyle w:val="Prrafodelista"/>
        <w:spacing w:after="0" w:line="240" w:lineRule="auto"/>
        <w:ind w:left="3192"/>
        <w:jc w:val="both"/>
        <w:rPr>
          <w:rFonts w:ascii="Century Gothic" w:hAnsi="Century Gothic"/>
        </w:rPr>
      </w:pPr>
    </w:p>
    <w:p w:rsidR="00E11232" w:rsidRPr="006663C6" w:rsidRDefault="00E11232" w:rsidP="00E11232">
      <w:pPr>
        <w:pStyle w:val="Prrafodelista"/>
        <w:numPr>
          <w:ilvl w:val="0"/>
          <w:numId w:val="40"/>
        </w:numPr>
        <w:spacing w:after="0" w:line="240" w:lineRule="auto"/>
        <w:contextualSpacing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</w:rPr>
        <w:t xml:space="preserve">Licencia de subdivisión cuando el predio este en cabeza de una persona jurídica de derecho privado o una persona natural.  </w:t>
      </w:r>
    </w:p>
    <w:p w:rsidR="00E11232" w:rsidRPr="006663C6" w:rsidRDefault="00E11232" w:rsidP="00E11232">
      <w:pPr>
        <w:pStyle w:val="Prrafodelista"/>
        <w:spacing w:after="0" w:line="240" w:lineRule="auto"/>
        <w:ind w:left="3192"/>
        <w:jc w:val="both"/>
        <w:rPr>
          <w:rFonts w:ascii="Century Gothic" w:hAnsi="Century Gothic"/>
        </w:rPr>
      </w:pPr>
    </w:p>
    <w:p w:rsidR="00E11232" w:rsidRPr="006663C6" w:rsidRDefault="00E11232" w:rsidP="00E11232">
      <w:pPr>
        <w:pStyle w:val="Prrafodelista"/>
        <w:numPr>
          <w:ilvl w:val="0"/>
          <w:numId w:val="40"/>
        </w:numPr>
        <w:spacing w:after="0" w:line="240" w:lineRule="auto"/>
        <w:contextualSpacing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</w:rPr>
        <w:t xml:space="preserve">Protocolizar el reconocimiento de la construcción previo tramite en las curadurías. </w:t>
      </w:r>
    </w:p>
    <w:p w:rsidR="006663C6" w:rsidRPr="006663C6" w:rsidRDefault="006663C6" w:rsidP="006663C6">
      <w:pPr>
        <w:spacing w:after="0" w:line="240" w:lineRule="auto"/>
        <w:contextualSpacing/>
        <w:jc w:val="both"/>
        <w:rPr>
          <w:rFonts w:ascii="Century Gothic" w:hAnsi="Century Gothic"/>
        </w:rPr>
      </w:pPr>
    </w:p>
    <w:p w:rsidR="00E11232" w:rsidRPr="006663C6" w:rsidRDefault="00E11232" w:rsidP="00E11232">
      <w:pPr>
        <w:jc w:val="both"/>
        <w:rPr>
          <w:rFonts w:ascii="Century Gothic" w:hAnsi="Century Gothic"/>
          <w:b/>
        </w:rPr>
      </w:pPr>
      <w:r w:rsidRPr="006663C6">
        <w:rPr>
          <w:rFonts w:ascii="Century Gothic" w:hAnsi="Century Gothic"/>
          <w:b/>
        </w:rPr>
        <w:t xml:space="preserve">PARÁGRAFO: </w:t>
      </w:r>
      <w:r w:rsidRPr="006663C6">
        <w:rPr>
          <w:rFonts w:ascii="Century Gothic" w:hAnsi="Century Gothic"/>
        </w:rPr>
        <w:t xml:space="preserve">Los actos de titulación que realicen los notarios se someterán a reparto por parte de las Oficinas de Registro de Instrumentos Públicos. </w:t>
      </w:r>
    </w:p>
    <w:p w:rsidR="00E11232" w:rsidRPr="006663C6" w:rsidRDefault="00E11232" w:rsidP="00E11232">
      <w:pPr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</w:rPr>
        <w:t xml:space="preserve">Los municipios </w:t>
      </w:r>
      <w:r w:rsidR="00F607D5">
        <w:rPr>
          <w:rFonts w:ascii="Century Gothic" w:hAnsi="Century Gothic"/>
        </w:rPr>
        <w:t xml:space="preserve">o distritos </w:t>
      </w:r>
      <w:r w:rsidRPr="006663C6">
        <w:rPr>
          <w:rFonts w:ascii="Century Gothic" w:hAnsi="Century Gothic"/>
        </w:rPr>
        <w:t xml:space="preserve">serán responsables de adelantar los procesos de pertenencia en caso que se requiera. </w:t>
      </w:r>
    </w:p>
    <w:p w:rsidR="005401DF" w:rsidRDefault="005401DF" w:rsidP="00E11232">
      <w:pPr>
        <w:spacing w:after="0" w:line="240" w:lineRule="auto"/>
        <w:jc w:val="both"/>
        <w:rPr>
          <w:rFonts w:ascii="Century Gothic" w:hAnsi="Century Gothic"/>
          <w:b/>
        </w:rPr>
      </w:pPr>
    </w:p>
    <w:p w:rsidR="00E11232" w:rsidRDefault="00E11232" w:rsidP="00E11232">
      <w:pPr>
        <w:spacing w:after="0" w:line="240" w:lineRule="auto"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  <w:b/>
        </w:rPr>
        <w:t>ARTICULO TERCERO:</w:t>
      </w:r>
      <w:r w:rsidRPr="006663C6">
        <w:rPr>
          <w:rFonts w:ascii="Century Gothic" w:hAnsi="Century Gothic"/>
        </w:rPr>
        <w:t xml:space="preserve"> Adóptese en los municipios o distritos el programa social curaduría cero, que se incorpora como programa que hace parte integral de la política pública de legalización de asentamientos humanos</w:t>
      </w:r>
      <w:r w:rsidR="006F45DC">
        <w:rPr>
          <w:rFonts w:ascii="Century Gothic" w:hAnsi="Century Gothic"/>
        </w:rPr>
        <w:t xml:space="preserve">, </w:t>
      </w:r>
      <w:r w:rsidRPr="006663C6">
        <w:rPr>
          <w:rFonts w:ascii="Century Gothic" w:hAnsi="Century Gothic"/>
        </w:rPr>
        <w:t xml:space="preserve">cuyo propósito será asegurar un mejor ordenamiento urbano de los municipios y declarar la existencia de los desarrollos urbanísticos no planificados que se consolidaron sin obtener la </w:t>
      </w:r>
      <w:r w:rsidRPr="006663C6">
        <w:rPr>
          <w:rFonts w:ascii="Century Gothic" w:hAnsi="Century Gothic"/>
        </w:rPr>
        <w:lastRenderedPageBreak/>
        <w:t>licencia de construcción</w:t>
      </w:r>
      <w:r w:rsidR="006F45DC">
        <w:rPr>
          <w:rFonts w:ascii="Century Gothic" w:hAnsi="Century Gothic"/>
        </w:rPr>
        <w:t>, previa la verificación de riesgos propia del procedimiento de legalización que se haya surtido.</w:t>
      </w:r>
    </w:p>
    <w:p w:rsidR="00CD561B" w:rsidRDefault="00CD561B" w:rsidP="00E11232">
      <w:pPr>
        <w:spacing w:after="0" w:line="240" w:lineRule="auto"/>
        <w:jc w:val="both"/>
        <w:rPr>
          <w:rFonts w:ascii="Century Gothic" w:hAnsi="Century Gothic"/>
        </w:rPr>
      </w:pPr>
    </w:p>
    <w:p w:rsidR="00482053" w:rsidRDefault="00482053" w:rsidP="00E11232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Parágrafo. </w:t>
      </w:r>
      <w:r>
        <w:rPr>
          <w:rFonts w:ascii="Century Gothic" w:hAnsi="Century Gothic"/>
        </w:rPr>
        <w:t xml:space="preserve">En ningún caso se podrá llevar a cabo el proceso de legalización en zonas de reserva ambiental o áreas protegidas, territorios indígenas, parques naturales o terrenos destinados al programa de restitución de tierras. </w:t>
      </w:r>
    </w:p>
    <w:p w:rsidR="00EB449B" w:rsidRPr="00482053" w:rsidRDefault="00EB449B" w:rsidP="00E11232">
      <w:pPr>
        <w:spacing w:after="0" w:line="240" w:lineRule="auto"/>
        <w:jc w:val="both"/>
        <w:rPr>
          <w:rFonts w:ascii="Century Gothic" w:hAnsi="Century Gothic"/>
        </w:rPr>
      </w:pPr>
    </w:p>
    <w:p w:rsidR="00E11232" w:rsidRPr="006663C6" w:rsidRDefault="00E11232" w:rsidP="00E11232">
      <w:pPr>
        <w:spacing w:after="0" w:line="240" w:lineRule="auto"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  <w:b/>
        </w:rPr>
        <w:t>ARTICULO CUARTO:</w:t>
      </w:r>
      <w:r w:rsidRPr="006663C6">
        <w:rPr>
          <w:rFonts w:ascii="Century Gothic" w:hAnsi="Century Gothic"/>
        </w:rPr>
        <w:t xml:space="preserve"> La competencia para implementar el programa social curaduría cero corresponderá a las Secretarias de Planeación de los municipios y/o distritos o quien haga sus veces.</w:t>
      </w:r>
    </w:p>
    <w:p w:rsidR="00E11232" w:rsidRPr="00E359CF" w:rsidRDefault="00E11232" w:rsidP="00E11232">
      <w:pPr>
        <w:spacing w:after="0" w:line="240" w:lineRule="auto"/>
        <w:jc w:val="both"/>
        <w:rPr>
          <w:rFonts w:ascii="Century Gothic" w:hAnsi="Century Gothic"/>
          <w:b/>
          <w:sz w:val="16"/>
        </w:rPr>
      </w:pPr>
    </w:p>
    <w:p w:rsidR="00E11232" w:rsidRPr="006663C6" w:rsidRDefault="00E11232" w:rsidP="00E11232">
      <w:pPr>
        <w:spacing w:after="0" w:line="240" w:lineRule="auto"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  <w:b/>
        </w:rPr>
        <w:t>ARTICULO QUINTO:</w:t>
      </w:r>
      <w:r w:rsidRPr="006663C6">
        <w:rPr>
          <w:rFonts w:ascii="Century Gothic" w:hAnsi="Century Gothic"/>
        </w:rPr>
        <w:t xml:space="preserve"> El reconocimiento de edificaciones es la actuación por medio de la cual la secretaria de planeación o quien haga sus veces, declara la existencia de los desarrollos urbanísticos no planificados que se ejecutaron sin obtener la licencia de construcción siempre y cuando cumplan con el uso previsto por las normas urbanísticas con las cuales se hizo la legalización de cada asentamiento y que la edificación se haya construido como mínimo cinco (5) años antes de la solicitud de reconocimiento. </w:t>
      </w:r>
    </w:p>
    <w:p w:rsidR="00E11232" w:rsidRPr="00D20000" w:rsidRDefault="00E11232" w:rsidP="00E11232">
      <w:pPr>
        <w:spacing w:after="0" w:line="240" w:lineRule="auto"/>
        <w:jc w:val="both"/>
        <w:rPr>
          <w:rFonts w:ascii="Century Gothic" w:hAnsi="Century Gothic"/>
          <w:sz w:val="16"/>
        </w:rPr>
      </w:pPr>
    </w:p>
    <w:p w:rsidR="00E11232" w:rsidRPr="006663C6" w:rsidRDefault="00E11232" w:rsidP="00E11232">
      <w:pPr>
        <w:spacing w:after="0" w:line="240" w:lineRule="auto"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  <w:b/>
        </w:rPr>
        <w:t>ARTICULO SEXTO</w:t>
      </w:r>
      <w:r w:rsidRPr="006663C6">
        <w:rPr>
          <w:rFonts w:ascii="Century Gothic" w:hAnsi="Century Gothic"/>
        </w:rPr>
        <w:t>: La</w:t>
      </w:r>
      <w:r w:rsidR="00EB449B">
        <w:rPr>
          <w:rFonts w:ascii="Century Gothic" w:hAnsi="Century Gothic"/>
        </w:rPr>
        <w:t>s oficinas de catastro, planeación municipal o quien haga sus veces</w:t>
      </w:r>
      <w:r w:rsidRPr="006663C6">
        <w:rPr>
          <w:rFonts w:ascii="Century Gothic" w:hAnsi="Century Gothic"/>
        </w:rPr>
        <w:t xml:space="preserve"> expedirá</w:t>
      </w:r>
      <w:r w:rsidR="00EB449B">
        <w:rPr>
          <w:rFonts w:ascii="Century Gothic" w:hAnsi="Century Gothic"/>
        </w:rPr>
        <w:t>n</w:t>
      </w:r>
      <w:r w:rsidRPr="006663C6">
        <w:rPr>
          <w:rFonts w:ascii="Century Gothic" w:hAnsi="Century Gothic"/>
        </w:rPr>
        <w:t xml:space="preserve"> de manera gratuita el boletín de nomenclatura para todas las unidades de vivienda de los barrios legalizados para el acceso a las redes domiciliarias de servicios públicos. </w:t>
      </w:r>
    </w:p>
    <w:p w:rsidR="00E11232" w:rsidRPr="00D20000" w:rsidRDefault="00E11232" w:rsidP="00E11232">
      <w:pPr>
        <w:spacing w:after="0" w:line="240" w:lineRule="auto"/>
        <w:jc w:val="both"/>
        <w:rPr>
          <w:rFonts w:ascii="Century Gothic" w:hAnsi="Century Gothic"/>
          <w:sz w:val="10"/>
        </w:rPr>
      </w:pPr>
    </w:p>
    <w:p w:rsidR="00CD561B" w:rsidRDefault="00CD561B" w:rsidP="00E11232">
      <w:pPr>
        <w:spacing w:after="0" w:line="240" w:lineRule="auto"/>
        <w:jc w:val="both"/>
        <w:rPr>
          <w:rFonts w:ascii="Century Gothic" w:hAnsi="Century Gothic"/>
          <w:b/>
        </w:rPr>
      </w:pPr>
    </w:p>
    <w:p w:rsidR="00E11232" w:rsidRDefault="00E11232" w:rsidP="00E11232">
      <w:pPr>
        <w:spacing w:after="0" w:line="240" w:lineRule="auto"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  <w:b/>
        </w:rPr>
        <w:t>ARTÍCULO SEPTIMO:</w:t>
      </w:r>
      <w:r w:rsidRPr="006663C6">
        <w:rPr>
          <w:rFonts w:ascii="Century Gothic" w:hAnsi="Century Gothic"/>
        </w:rPr>
        <w:t xml:space="preserve"> En los municipios o distritos donde se haya adoptado la política pública de legalización de asentamientos humanos, los alcaldes tendrán un plazo de 90 días contados a partir de la vigencia de esta ley para establecer la curaduría cero. </w:t>
      </w:r>
    </w:p>
    <w:p w:rsidR="00D20000" w:rsidRPr="00D20000" w:rsidRDefault="00D20000" w:rsidP="00E11232">
      <w:pPr>
        <w:spacing w:after="0" w:line="240" w:lineRule="auto"/>
        <w:jc w:val="both"/>
        <w:rPr>
          <w:rFonts w:ascii="Century Gothic" w:hAnsi="Century Gothic"/>
          <w:sz w:val="12"/>
        </w:rPr>
      </w:pPr>
    </w:p>
    <w:p w:rsidR="00E11232" w:rsidRPr="006663C6" w:rsidRDefault="00E11232" w:rsidP="00E11232">
      <w:pPr>
        <w:spacing w:after="0" w:line="240" w:lineRule="auto"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</w:rPr>
        <w:t xml:space="preserve">El mismo plazo tendrán los alcaldes para conformar la curaduría cero en los municipios una vez se adopte la política pública.  </w:t>
      </w:r>
    </w:p>
    <w:p w:rsidR="00E11232" w:rsidRPr="006663C6" w:rsidRDefault="00E11232" w:rsidP="00E11232">
      <w:pPr>
        <w:spacing w:after="0" w:line="240" w:lineRule="auto"/>
        <w:jc w:val="both"/>
        <w:rPr>
          <w:rFonts w:ascii="Century Gothic" w:hAnsi="Century Gothic"/>
        </w:rPr>
      </w:pPr>
    </w:p>
    <w:p w:rsidR="00C964BB" w:rsidRDefault="00E11232" w:rsidP="003B2244">
      <w:pPr>
        <w:spacing w:after="0" w:line="240" w:lineRule="auto"/>
        <w:jc w:val="both"/>
        <w:rPr>
          <w:rFonts w:ascii="Century Gothic" w:hAnsi="Century Gothic"/>
        </w:rPr>
      </w:pPr>
      <w:r w:rsidRPr="006663C6">
        <w:rPr>
          <w:rFonts w:ascii="Century Gothic" w:hAnsi="Century Gothic"/>
          <w:b/>
        </w:rPr>
        <w:t>ARTICULO OCTAVO:</w:t>
      </w:r>
      <w:r w:rsidRPr="006663C6">
        <w:rPr>
          <w:rFonts w:ascii="Century Gothic" w:hAnsi="Century Gothic"/>
        </w:rPr>
        <w:t xml:space="preserve"> La presente ley rige a partir de su promulgación y deroga todas las disposiciones que le sean contrarias. </w:t>
      </w:r>
    </w:p>
    <w:p w:rsidR="003B2244" w:rsidRDefault="003B2244" w:rsidP="003B2244">
      <w:pPr>
        <w:spacing w:after="0" w:line="240" w:lineRule="auto"/>
        <w:jc w:val="both"/>
        <w:rPr>
          <w:rFonts w:ascii="Century Gothic" w:hAnsi="Century Gothic"/>
        </w:rPr>
      </w:pPr>
    </w:p>
    <w:p w:rsidR="003B2244" w:rsidRPr="003B2244" w:rsidRDefault="003B2244" w:rsidP="003B2244">
      <w:pPr>
        <w:spacing w:after="0" w:line="240" w:lineRule="auto"/>
        <w:jc w:val="both"/>
        <w:rPr>
          <w:rFonts w:ascii="Century Gothic" w:hAnsi="Century Gothic"/>
        </w:rPr>
      </w:pPr>
    </w:p>
    <w:p w:rsidR="003B2244" w:rsidRPr="008D1720" w:rsidRDefault="003B2244" w:rsidP="003B2244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8D1720">
        <w:rPr>
          <w:rFonts w:ascii="Arial" w:hAnsi="Arial" w:cs="Arial"/>
          <w:lang w:val="es-ES"/>
        </w:rPr>
        <w:t>En los anteriores términos fue aprobado con modificaciones el presente Proyecto de Ley el día 0</w:t>
      </w:r>
      <w:r>
        <w:rPr>
          <w:rFonts w:ascii="Arial" w:hAnsi="Arial" w:cs="Arial"/>
          <w:lang w:val="es-ES"/>
        </w:rPr>
        <w:t>7</w:t>
      </w:r>
      <w:r w:rsidRPr="008D1720">
        <w:rPr>
          <w:rFonts w:ascii="Arial" w:hAnsi="Arial" w:cs="Arial"/>
          <w:lang w:val="es-ES"/>
        </w:rPr>
        <w:t xml:space="preserve"> de junio de 2016, según consta en el Acta No. 4</w:t>
      </w:r>
      <w:r>
        <w:rPr>
          <w:rFonts w:ascii="Arial" w:hAnsi="Arial" w:cs="Arial"/>
          <w:lang w:val="es-ES"/>
        </w:rPr>
        <w:t>5</w:t>
      </w:r>
      <w:r w:rsidRPr="008D1720">
        <w:rPr>
          <w:rFonts w:ascii="Arial" w:hAnsi="Arial" w:cs="Arial"/>
          <w:lang w:val="es-ES"/>
        </w:rPr>
        <w:t>. Anunciado entre otras fechas el 0</w:t>
      </w:r>
      <w:r>
        <w:rPr>
          <w:rFonts w:ascii="Arial" w:hAnsi="Arial" w:cs="Arial"/>
          <w:lang w:val="es-ES"/>
        </w:rPr>
        <w:t>2</w:t>
      </w:r>
      <w:r w:rsidRPr="008D1720">
        <w:rPr>
          <w:rFonts w:ascii="Arial" w:hAnsi="Arial" w:cs="Arial"/>
          <w:lang w:val="es-ES"/>
        </w:rPr>
        <w:t xml:space="preserve"> de junio de 2016 según consta en el Acta No. 4</w:t>
      </w:r>
      <w:r>
        <w:rPr>
          <w:rFonts w:ascii="Arial" w:hAnsi="Arial" w:cs="Arial"/>
          <w:lang w:val="es-ES"/>
        </w:rPr>
        <w:t>4</w:t>
      </w:r>
      <w:r w:rsidRPr="008D1720">
        <w:rPr>
          <w:rFonts w:ascii="Arial" w:hAnsi="Arial" w:cs="Arial"/>
          <w:lang w:val="es-ES"/>
        </w:rPr>
        <w:t xml:space="preserve"> de esa misma fecha.  </w:t>
      </w:r>
    </w:p>
    <w:p w:rsidR="00C964BB" w:rsidRPr="006663C6" w:rsidRDefault="00C964BB" w:rsidP="00C964BB">
      <w:pPr>
        <w:autoSpaceDN w:val="0"/>
        <w:adjustRightInd w:val="0"/>
        <w:spacing w:before="28" w:after="28" w:line="288" w:lineRule="auto"/>
        <w:ind w:firstLine="283"/>
        <w:jc w:val="right"/>
        <w:textAlignment w:val="center"/>
        <w:rPr>
          <w:rFonts w:ascii="Century Gothic" w:eastAsia="Times New Roman" w:hAnsi="Century Gothic" w:cs="Arial"/>
          <w:i/>
          <w:iCs/>
          <w:color w:val="000000"/>
          <w:spacing w:val="3"/>
          <w:lang w:val="es-ES_tradnl" w:eastAsia="es-CO"/>
        </w:rPr>
      </w:pPr>
    </w:p>
    <w:p w:rsidR="003B2244" w:rsidRDefault="003B2244" w:rsidP="00CD1BA2">
      <w:pPr>
        <w:autoSpaceDN w:val="0"/>
        <w:adjustRightInd w:val="0"/>
        <w:spacing w:before="28" w:after="28" w:line="288" w:lineRule="auto"/>
        <w:ind w:firstLine="283"/>
        <w:textAlignment w:val="center"/>
        <w:rPr>
          <w:rFonts w:ascii="Century Gothic" w:eastAsia="Times New Roman" w:hAnsi="Century Gothic" w:cs="Arial"/>
          <w:iCs/>
          <w:color w:val="000000"/>
          <w:spacing w:val="3"/>
          <w:lang w:val="es-ES_tradnl" w:eastAsia="es-CO"/>
        </w:rPr>
      </w:pPr>
    </w:p>
    <w:p w:rsidR="00CD561B" w:rsidRPr="00CD561B" w:rsidRDefault="00CD561B" w:rsidP="00CD1BA2">
      <w:pPr>
        <w:autoSpaceDN w:val="0"/>
        <w:adjustRightInd w:val="0"/>
        <w:spacing w:before="28" w:after="28" w:line="288" w:lineRule="auto"/>
        <w:ind w:firstLine="283"/>
        <w:textAlignment w:val="center"/>
        <w:rPr>
          <w:rFonts w:ascii="Century Gothic" w:eastAsia="Times New Roman" w:hAnsi="Century Gothic" w:cs="Arial"/>
          <w:iCs/>
          <w:color w:val="000000"/>
          <w:spacing w:val="3"/>
          <w:lang w:val="es-ES_tradnl" w:eastAsia="es-CO"/>
        </w:rPr>
      </w:pPr>
    </w:p>
    <w:p w:rsidR="00C964BB" w:rsidRPr="006663C6" w:rsidRDefault="00CD1BA2" w:rsidP="00CD1BA2">
      <w:pPr>
        <w:autoSpaceDN w:val="0"/>
        <w:adjustRightInd w:val="0"/>
        <w:spacing w:after="28" w:line="240" w:lineRule="auto"/>
        <w:textAlignment w:val="center"/>
        <w:rPr>
          <w:rFonts w:ascii="Century Gothic" w:eastAsia="Times New Roman" w:hAnsi="Century Gothic" w:cs="Arial"/>
          <w:b/>
          <w:lang w:eastAsia="es-CO"/>
        </w:rPr>
      </w:pPr>
      <w:r w:rsidRPr="006663C6">
        <w:rPr>
          <w:rFonts w:ascii="Century Gothic" w:eastAsia="Times New Roman" w:hAnsi="Century Gothic" w:cs="Arial"/>
          <w:b/>
          <w:iCs/>
          <w:color w:val="000000"/>
          <w:spacing w:val="3"/>
          <w:lang w:val="es-ES_tradnl" w:eastAsia="es-CO"/>
        </w:rPr>
        <w:t>MIGUEL ÁNGEL PINTO HERNÁNDEZ</w:t>
      </w:r>
      <w:r w:rsidR="00CD561B">
        <w:rPr>
          <w:rFonts w:ascii="Century Gothic" w:eastAsia="Times New Roman" w:hAnsi="Century Gothic" w:cs="Arial"/>
          <w:b/>
          <w:iCs/>
          <w:color w:val="000000"/>
          <w:spacing w:val="3"/>
          <w:lang w:val="es-ES_tradnl" w:eastAsia="es-CO"/>
        </w:rPr>
        <w:tab/>
      </w:r>
      <w:r w:rsidR="00CD561B">
        <w:rPr>
          <w:rFonts w:ascii="Century Gothic" w:eastAsia="Times New Roman" w:hAnsi="Century Gothic" w:cs="Arial"/>
          <w:b/>
          <w:iCs/>
          <w:color w:val="000000"/>
          <w:spacing w:val="3"/>
          <w:lang w:val="es-ES_tradnl" w:eastAsia="es-CO"/>
        </w:rPr>
        <w:tab/>
        <w:t>AMPARO Y. CALDERON PERDOMO</w:t>
      </w:r>
    </w:p>
    <w:p w:rsidR="00CF1412" w:rsidRPr="006663C6" w:rsidRDefault="00CD561B" w:rsidP="007D0059">
      <w:pPr>
        <w:autoSpaceDN w:val="0"/>
        <w:spacing w:after="100" w:afterAutospacing="1" w:line="240" w:lineRule="auto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t>Presidente</w:t>
      </w:r>
      <w:r>
        <w:rPr>
          <w:rFonts w:ascii="Century Gothic" w:hAnsi="Century Gothic" w:cs="Arial"/>
          <w:lang w:val="es-ES_tradnl"/>
        </w:rPr>
        <w:tab/>
      </w:r>
      <w:r>
        <w:rPr>
          <w:rFonts w:ascii="Century Gothic" w:hAnsi="Century Gothic" w:cs="Arial"/>
          <w:lang w:val="es-ES_tradnl"/>
        </w:rPr>
        <w:tab/>
      </w:r>
      <w:r>
        <w:rPr>
          <w:rFonts w:ascii="Century Gothic" w:hAnsi="Century Gothic" w:cs="Arial"/>
          <w:lang w:val="es-ES_tradnl"/>
        </w:rPr>
        <w:tab/>
      </w:r>
      <w:r>
        <w:rPr>
          <w:rFonts w:ascii="Century Gothic" w:hAnsi="Century Gothic" w:cs="Arial"/>
          <w:lang w:val="es-ES_tradnl"/>
        </w:rPr>
        <w:tab/>
      </w:r>
      <w:r>
        <w:rPr>
          <w:rFonts w:ascii="Century Gothic" w:hAnsi="Century Gothic" w:cs="Arial"/>
          <w:lang w:val="es-ES_tradnl"/>
        </w:rPr>
        <w:tab/>
      </w:r>
      <w:r>
        <w:rPr>
          <w:rFonts w:ascii="Century Gothic" w:hAnsi="Century Gothic" w:cs="Arial"/>
          <w:lang w:val="es-ES_tradnl"/>
        </w:rPr>
        <w:tab/>
        <w:t>Secretaria</w:t>
      </w:r>
    </w:p>
    <w:sectPr w:rsidR="00CF1412" w:rsidRPr="006663C6" w:rsidSect="00496134">
      <w:headerReference w:type="default" r:id="rId8"/>
      <w:pgSz w:w="12240" w:h="15840"/>
      <w:pgMar w:top="2155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E5" w:rsidRDefault="003168E5" w:rsidP="00CB4002">
      <w:pPr>
        <w:spacing w:after="0" w:line="240" w:lineRule="auto"/>
      </w:pPr>
      <w:r>
        <w:separator/>
      </w:r>
    </w:p>
  </w:endnote>
  <w:endnote w:type="continuationSeparator" w:id="0">
    <w:p w:rsidR="003168E5" w:rsidRDefault="003168E5" w:rsidP="00CB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E5" w:rsidRDefault="003168E5" w:rsidP="00CB4002">
      <w:pPr>
        <w:spacing w:after="0" w:line="240" w:lineRule="auto"/>
      </w:pPr>
      <w:r>
        <w:separator/>
      </w:r>
    </w:p>
  </w:footnote>
  <w:footnote w:type="continuationSeparator" w:id="0">
    <w:p w:rsidR="003168E5" w:rsidRDefault="003168E5" w:rsidP="00CB4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8D" w:rsidRDefault="00827E8D" w:rsidP="00827E8D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24AAAD92" wp14:editId="42D19141">
          <wp:extent cx="2581275" cy="764708"/>
          <wp:effectExtent l="0" t="0" r="0" b="0"/>
          <wp:docPr id="1" name="Imagen 1" descr="http://tatacabello.com/wp-content/uploads/2015/06/logo-congre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atacabello.com/wp-content/uploads/2015/06/logo-congres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94" cy="771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3BBE3C8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87008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C076E"/>
    <w:multiLevelType w:val="hybridMultilevel"/>
    <w:tmpl w:val="67DCFD1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E63F5"/>
    <w:multiLevelType w:val="hybridMultilevel"/>
    <w:tmpl w:val="D42AD178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A7DB5"/>
    <w:multiLevelType w:val="hybridMultilevel"/>
    <w:tmpl w:val="9842A39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FB6758"/>
    <w:multiLevelType w:val="multilevel"/>
    <w:tmpl w:val="F25E92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8C644A6"/>
    <w:multiLevelType w:val="hybridMultilevel"/>
    <w:tmpl w:val="7CCCFD0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A3E52"/>
    <w:multiLevelType w:val="hybridMultilevel"/>
    <w:tmpl w:val="6C2C6F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F4638"/>
    <w:multiLevelType w:val="hybridMultilevel"/>
    <w:tmpl w:val="0D04C944"/>
    <w:lvl w:ilvl="0" w:tplc="CA9C4A2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54104E4"/>
    <w:multiLevelType w:val="hybridMultilevel"/>
    <w:tmpl w:val="E3BC3DA4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BC7ECC"/>
    <w:multiLevelType w:val="hybridMultilevel"/>
    <w:tmpl w:val="482062B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904DDA"/>
    <w:multiLevelType w:val="multilevel"/>
    <w:tmpl w:val="C2BC63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734819"/>
    <w:multiLevelType w:val="hybridMultilevel"/>
    <w:tmpl w:val="00ECA444"/>
    <w:lvl w:ilvl="0" w:tplc="3F6A3216">
      <w:start w:val="1"/>
      <w:numFmt w:val="lowerLetter"/>
      <w:lvlText w:val="%1)"/>
      <w:lvlJc w:val="left"/>
      <w:pPr>
        <w:ind w:left="31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32" w:hanging="360"/>
      </w:pPr>
    </w:lvl>
    <w:lvl w:ilvl="2" w:tplc="240A001B" w:tentative="1">
      <w:start w:val="1"/>
      <w:numFmt w:val="lowerRoman"/>
      <w:lvlText w:val="%3."/>
      <w:lvlJc w:val="right"/>
      <w:pPr>
        <w:ind w:left="1752" w:hanging="180"/>
      </w:pPr>
    </w:lvl>
    <w:lvl w:ilvl="3" w:tplc="240A000F" w:tentative="1">
      <w:start w:val="1"/>
      <w:numFmt w:val="decimal"/>
      <w:lvlText w:val="%4."/>
      <w:lvlJc w:val="left"/>
      <w:pPr>
        <w:ind w:left="2472" w:hanging="360"/>
      </w:pPr>
    </w:lvl>
    <w:lvl w:ilvl="4" w:tplc="240A0019" w:tentative="1">
      <w:start w:val="1"/>
      <w:numFmt w:val="lowerLetter"/>
      <w:lvlText w:val="%5."/>
      <w:lvlJc w:val="left"/>
      <w:pPr>
        <w:ind w:left="3192" w:hanging="360"/>
      </w:pPr>
    </w:lvl>
    <w:lvl w:ilvl="5" w:tplc="240A001B" w:tentative="1">
      <w:start w:val="1"/>
      <w:numFmt w:val="lowerRoman"/>
      <w:lvlText w:val="%6."/>
      <w:lvlJc w:val="right"/>
      <w:pPr>
        <w:ind w:left="3912" w:hanging="180"/>
      </w:pPr>
    </w:lvl>
    <w:lvl w:ilvl="6" w:tplc="240A000F" w:tentative="1">
      <w:start w:val="1"/>
      <w:numFmt w:val="decimal"/>
      <w:lvlText w:val="%7."/>
      <w:lvlJc w:val="left"/>
      <w:pPr>
        <w:ind w:left="4632" w:hanging="360"/>
      </w:pPr>
    </w:lvl>
    <w:lvl w:ilvl="7" w:tplc="240A0019" w:tentative="1">
      <w:start w:val="1"/>
      <w:numFmt w:val="lowerLetter"/>
      <w:lvlText w:val="%8."/>
      <w:lvlJc w:val="left"/>
      <w:pPr>
        <w:ind w:left="5352" w:hanging="360"/>
      </w:pPr>
    </w:lvl>
    <w:lvl w:ilvl="8" w:tplc="240A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3">
    <w:nsid w:val="1FC56D77"/>
    <w:multiLevelType w:val="hybridMultilevel"/>
    <w:tmpl w:val="5A2CE1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C286A"/>
    <w:multiLevelType w:val="hybridMultilevel"/>
    <w:tmpl w:val="E0EC5B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375885"/>
    <w:multiLevelType w:val="hybridMultilevel"/>
    <w:tmpl w:val="EFD6866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43F66"/>
    <w:multiLevelType w:val="hybridMultilevel"/>
    <w:tmpl w:val="D144A1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613D9"/>
    <w:multiLevelType w:val="hybridMultilevel"/>
    <w:tmpl w:val="2C6A6884"/>
    <w:lvl w:ilvl="0" w:tplc="A216D20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158C5"/>
    <w:multiLevelType w:val="multilevel"/>
    <w:tmpl w:val="7FAA0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90069BD"/>
    <w:multiLevelType w:val="hybridMultilevel"/>
    <w:tmpl w:val="AA6C72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31E08"/>
    <w:multiLevelType w:val="hybridMultilevel"/>
    <w:tmpl w:val="BBD0D51E"/>
    <w:lvl w:ilvl="0" w:tplc="07F20A7E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54318"/>
    <w:multiLevelType w:val="hybridMultilevel"/>
    <w:tmpl w:val="41CEF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EE1D4F"/>
    <w:multiLevelType w:val="hybridMultilevel"/>
    <w:tmpl w:val="31C82F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C4059"/>
    <w:multiLevelType w:val="hybridMultilevel"/>
    <w:tmpl w:val="B63C9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E959F5"/>
    <w:multiLevelType w:val="hybridMultilevel"/>
    <w:tmpl w:val="344A7530"/>
    <w:lvl w:ilvl="0" w:tplc="240A0019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814E6"/>
    <w:multiLevelType w:val="hybridMultilevel"/>
    <w:tmpl w:val="F4AC179E"/>
    <w:lvl w:ilvl="0" w:tplc="2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4BFE0219"/>
    <w:multiLevelType w:val="hybridMultilevel"/>
    <w:tmpl w:val="690691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55BA5"/>
    <w:multiLevelType w:val="hybridMultilevel"/>
    <w:tmpl w:val="E3BC3DA4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C644AB7"/>
    <w:multiLevelType w:val="hybridMultilevel"/>
    <w:tmpl w:val="3D8EC28C"/>
    <w:lvl w:ilvl="0" w:tplc="23004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854BD"/>
    <w:multiLevelType w:val="hybridMultilevel"/>
    <w:tmpl w:val="172C45A0"/>
    <w:lvl w:ilvl="0" w:tplc="A216D20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11C1B"/>
    <w:multiLevelType w:val="hybridMultilevel"/>
    <w:tmpl w:val="9A3C63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D1679"/>
    <w:multiLevelType w:val="multilevel"/>
    <w:tmpl w:val="A00A4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32">
    <w:nsid w:val="679F0D06"/>
    <w:multiLevelType w:val="hybridMultilevel"/>
    <w:tmpl w:val="50C61C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9018A"/>
    <w:multiLevelType w:val="hybridMultilevel"/>
    <w:tmpl w:val="7CD6A9DC"/>
    <w:lvl w:ilvl="0" w:tplc="B770B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393AC9"/>
    <w:multiLevelType w:val="hybridMultilevel"/>
    <w:tmpl w:val="DBBC43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D22CBC"/>
    <w:multiLevelType w:val="hybridMultilevel"/>
    <w:tmpl w:val="BF8AA3E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6FF6A2B"/>
    <w:multiLevelType w:val="multilevel"/>
    <w:tmpl w:val="74D21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861EA6"/>
    <w:multiLevelType w:val="hybridMultilevel"/>
    <w:tmpl w:val="E4CC2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A6FCB"/>
    <w:multiLevelType w:val="hybridMultilevel"/>
    <w:tmpl w:val="1B76D9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1609E"/>
    <w:multiLevelType w:val="hybridMultilevel"/>
    <w:tmpl w:val="D6A4CB9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956F6"/>
    <w:multiLevelType w:val="hybridMultilevel"/>
    <w:tmpl w:val="A7F623D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BF13E4"/>
    <w:multiLevelType w:val="hybridMultilevel"/>
    <w:tmpl w:val="6DA4C5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9"/>
  </w:num>
  <w:num w:numId="4">
    <w:abstractNumId w:val="11"/>
  </w:num>
  <w:num w:numId="5">
    <w:abstractNumId w:val="21"/>
  </w:num>
  <w:num w:numId="6">
    <w:abstractNumId w:val="6"/>
  </w:num>
  <w:num w:numId="7">
    <w:abstractNumId w:val="22"/>
  </w:num>
  <w:num w:numId="8">
    <w:abstractNumId w:val="13"/>
  </w:num>
  <w:num w:numId="9">
    <w:abstractNumId w:val="16"/>
  </w:num>
  <w:num w:numId="10">
    <w:abstractNumId w:val="41"/>
  </w:num>
  <w:num w:numId="11">
    <w:abstractNumId w:val="7"/>
  </w:num>
  <w:num w:numId="12">
    <w:abstractNumId w:val="27"/>
  </w:num>
  <w:num w:numId="13">
    <w:abstractNumId w:val="9"/>
  </w:num>
  <w:num w:numId="14">
    <w:abstractNumId w:val="28"/>
  </w:num>
  <w:num w:numId="15">
    <w:abstractNumId w:val="5"/>
  </w:num>
  <w:num w:numId="16">
    <w:abstractNumId w:val="2"/>
  </w:num>
  <w:num w:numId="17">
    <w:abstractNumId w:val="38"/>
  </w:num>
  <w:num w:numId="18">
    <w:abstractNumId w:val="26"/>
  </w:num>
  <w:num w:numId="19">
    <w:abstractNumId w:val="15"/>
  </w:num>
  <w:num w:numId="20">
    <w:abstractNumId w:val="10"/>
  </w:num>
  <w:num w:numId="21">
    <w:abstractNumId w:val="4"/>
  </w:num>
  <w:num w:numId="22">
    <w:abstractNumId w:val="35"/>
  </w:num>
  <w:num w:numId="23">
    <w:abstractNumId w:val="19"/>
  </w:num>
  <w:num w:numId="24">
    <w:abstractNumId w:val="3"/>
  </w:num>
  <w:num w:numId="25">
    <w:abstractNumId w:val="34"/>
  </w:num>
  <w:num w:numId="26">
    <w:abstractNumId w:val="24"/>
  </w:num>
  <w:num w:numId="27">
    <w:abstractNumId w:val="18"/>
  </w:num>
  <w:num w:numId="28">
    <w:abstractNumId w:val="30"/>
  </w:num>
  <w:num w:numId="29">
    <w:abstractNumId w:val="33"/>
  </w:num>
  <w:num w:numId="30">
    <w:abstractNumId w:val="32"/>
  </w:num>
  <w:num w:numId="31">
    <w:abstractNumId w:val="37"/>
  </w:num>
  <w:num w:numId="32">
    <w:abstractNumId w:val="40"/>
  </w:num>
  <w:num w:numId="33">
    <w:abstractNumId w:val="29"/>
  </w:num>
  <w:num w:numId="34">
    <w:abstractNumId w:val="17"/>
  </w:num>
  <w:num w:numId="35">
    <w:abstractNumId w:val="36"/>
  </w:num>
  <w:num w:numId="36">
    <w:abstractNumId w:val="23"/>
  </w:num>
  <w:num w:numId="37">
    <w:abstractNumId w:val="1"/>
  </w:num>
  <w:num w:numId="38">
    <w:abstractNumId w:val="0"/>
  </w:num>
  <w:num w:numId="39">
    <w:abstractNumId w:val="1"/>
  </w:num>
  <w:num w:numId="40">
    <w:abstractNumId w:val="12"/>
  </w:num>
  <w:num w:numId="41">
    <w:abstractNumId w:val="31"/>
  </w:num>
  <w:num w:numId="42">
    <w:abstractNumId w:val="2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02"/>
    <w:rsid w:val="00000850"/>
    <w:rsid w:val="00004956"/>
    <w:rsid w:val="00006C8C"/>
    <w:rsid w:val="00012DB2"/>
    <w:rsid w:val="000137F0"/>
    <w:rsid w:val="00016B43"/>
    <w:rsid w:val="0002251F"/>
    <w:rsid w:val="00060257"/>
    <w:rsid w:val="00065BBE"/>
    <w:rsid w:val="00067249"/>
    <w:rsid w:val="00071466"/>
    <w:rsid w:val="00071CE6"/>
    <w:rsid w:val="00072215"/>
    <w:rsid w:val="000738F3"/>
    <w:rsid w:val="00074B12"/>
    <w:rsid w:val="00080245"/>
    <w:rsid w:val="00084D36"/>
    <w:rsid w:val="000865BE"/>
    <w:rsid w:val="000A0778"/>
    <w:rsid w:val="000A5CA3"/>
    <w:rsid w:val="000B46E3"/>
    <w:rsid w:val="000B78C5"/>
    <w:rsid w:val="000C0000"/>
    <w:rsid w:val="000C0383"/>
    <w:rsid w:val="000C23E1"/>
    <w:rsid w:val="000C4CC4"/>
    <w:rsid w:val="000D105E"/>
    <w:rsid w:val="000D68DE"/>
    <w:rsid w:val="000F2184"/>
    <w:rsid w:val="000F74FD"/>
    <w:rsid w:val="0010161F"/>
    <w:rsid w:val="00106343"/>
    <w:rsid w:val="001103F1"/>
    <w:rsid w:val="00113D1F"/>
    <w:rsid w:val="0012427F"/>
    <w:rsid w:val="00131244"/>
    <w:rsid w:val="00136D8F"/>
    <w:rsid w:val="001431EF"/>
    <w:rsid w:val="00147311"/>
    <w:rsid w:val="0015339F"/>
    <w:rsid w:val="00153574"/>
    <w:rsid w:val="001539E5"/>
    <w:rsid w:val="0015500A"/>
    <w:rsid w:val="001627B1"/>
    <w:rsid w:val="0018346D"/>
    <w:rsid w:val="00185B61"/>
    <w:rsid w:val="00185C11"/>
    <w:rsid w:val="001936C5"/>
    <w:rsid w:val="0019610C"/>
    <w:rsid w:val="00197512"/>
    <w:rsid w:val="001B2C9E"/>
    <w:rsid w:val="001B769C"/>
    <w:rsid w:val="001C236B"/>
    <w:rsid w:val="001C3739"/>
    <w:rsid w:val="001C4A8D"/>
    <w:rsid w:val="001C52C7"/>
    <w:rsid w:val="001D4D13"/>
    <w:rsid w:val="001E2DF9"/>
    <w:rsid w:val="001E30D7"/>
    <w:rsid w:val="001E3B01"/>
    <w:rsid w:val="001E62E7"/>
    <w:rsid w:val="001F14F5"/>
    <w:rsid w:val="001F18C1"/>
    <w:rsid w:val="001F293F"/>
    <w:rsid w:val="001F36D8"/>
    <w:rsid w:val="002009FA"/>
    <w:rsid w:val="002038C9"/>
    <w:rsid w:val="002052E4"/>
    <w:rsid w:val="00206B61"/>
    <w:rsid w:val="00213168"/>
    <w:rsid w:val="002207B7"/>
    <w:rsid w:val="0022304F"/>
    <w:rsid w:val="0022508F"/>
    <w:rsid w:val="00226A44"/>
    <w:rsid w:val="002368B8"/>
    <w:rsid w:val="00245771"/>
    <w:rsid w:val="002514B9"/>
    <w:rsid w:val="00260833"/>
    <w:rsid w:val="00261B9C"/>
    <w:rsid w:val="00263CA5"/>
    <w:rsid w:val="00267265"/>
    <w:rsid w:val="002755C1"/>
    <w:rsid w:val="0027586A"/>
    <w:rsid w:val="00275C5E"/>
    <w:rsid w:val="00276C3B"/>
    <w:rsid w:val="002A60FC"/>
    <w:rsid w:val="002A7035"/>
    <w:rsid w:val="002B5E9F"/>
    <w:rsid w:val="002C02EE"/>
    <w:rsid w:val="002C562F"/>
    <w:rsid w:val="002F5ADC"/>
    <w:rsid w:val="00300FB3"/>
    <w:rsid w:val="003014B6"/>
    <w:rsid w:val="003168E5"/>
    <w:rsid w:val="003257EF"/>
    <w:rsid w:val="00326BDB"/>
    <w:rsid w:val="00330759"/>
    <w:rsid w:val="00331E65"/>
    <w:rsid w:val="00335BFE"/>
    <w:rsid w:val="0034429D"/>
    <w:rsid w:val="00350B32"/>
    <w:rsid w:val="00350D46"/>
    <w:rsid w:val="0035271B"/>
    <w:rsid w:val="00354DB0"/>
    <w:rsid w:val="0035611F"/>
    <w:rsid w:val="003646C8"/>
    <w:rsid w:val="00367467"/>
    <w:rsid w:val="0037135B"/>
    <w:rsid w:val="00377248"/>
    <w:rsid w:val="0038095A"/>
    <w:rsid w:val="003966EA"/>
    <w:rsid w:val="00396BBD"/>
    <w:rsid w:val="003A2828"/>
    <w:rsid w:val="003A2AA5"/>
    <w:rsid w:val="003A4558"/>
    <w:rsid w:val="003B2244"/>
    <w:rsid w:val="003B67FC"/>
    <w:rsid w:val="003B7B97"/>
    <w:rsid w:val="003C3044"/>
    <w:rsid w:val="003C341B"/>
    <w:rsid w:val="003D34F7"/>
    <w:rsid w:val="003D5536"/>
    <w:rsid w:val="003E29E0"/>
    <w:rsid w:val="003E724A"/>
    <w:rsid w:val="003F34A7"/>
    <w:rsid w:val="003F5DCF"/>
    <w:rsid w:val="00400591"/>
    <w:rsid w:val="00414D16"/>
    <w:rsid w:val="00420972"/>
    <w:rsid w:val="00424E17"/>
    <w:rsid w:val="00425BC3"/>
    <w:rsid w:val="0044022B"/>
    <w:rsid w:val="004443CD"/>
    <w:rsid w:val="004463EC"/>
    <w:rsid w:val="004518DC"/>
    <w:rsid w:val="004540BD"/>
    <w:rsid w:val="0047487D"/>
    <w:rsid w:val="00482053"/>
    <w:rsid w:val="00482753"/>
    <w:rsid w:val="004912F6"/>
    <w:rsid w:val="00496134"/>
    <w:rsid w:val="004A029D"/>
    <w:rsid w:val="004A461D"/>
    <w:rsid w:val="004B405D"/>
    <w:rsid w:val="004B4568"/>
    <w:rsid w:val="004B67C7"/>
    <w:rsid w:val="004C20C6"/>
    <w:rsid w:val="004C41F1"/>
    <w:rsid w:val="004C768A"/>
    <w:rsid w:val="004D1830"/>
    <w:rsid w:val="004D7557"/>
    <w:rsid w:val="004E562B"/>
    <w:rsid w:val="004E795A"/>
    <w:rsid w:val="00504637"/>
    <w:rsid w:val="00505ED0"/>
    <w:rsid w:val="00505F24"/>
    <w:rsid w:val="005119BB"/>
    <w:rsid w:val="00512E91"/>
    <w:rsid w:val="005200F5"/>
    <w:rsid w:val="0052063B"/>
    <w:rsid w:val="00523B4B"/>
    <w:rsid w:val="005330A0"/>
    <w:rsid w:val="005401DF"/>
    <w:rsid w:val="00541E40"/>
    <w:rsid w:val="00550FC4"/>
    <w:rsid w:val="00556643"/>
    <w:rsid w:val="00560AAA"/>
    <w:rsid w:val="005628D5"/>
    <w:rsid w:val="00564ED6"/>
    <w:rsid w:val="005675C1"/>
    <w:rsid w:val="0057067C"/>
    <w:rsid w:val="005722C1"/>
    <w:rsid w:val="00583936"/>
    <w:rsid w:val="00585004"/>
    <w:rsid w:val="00586AA0"/>
    <w:rsid w:val="005902E1"/>
    <w:rsid w:val="00597FEA"/>
    <w:rsid w:val="005A3051"/>
    <w:rsid w:val="005A4A0D"/>
    <w:rsid w:val="005A77F7"/>
    <w:rsid w:val="005B1BFF"/>
    <w:rsid w:val="005B31C6"/>
    <w:rsid w:val="005C191C"/>
    <w:rsid w:val="005C32FF"/>
    <w:rsid w:val="005C7405"/>
    <w:rsid w:val="005D0F8C"/>
    <w:rsid w:val="005D4552"/>
    <w:rsid w:val="005E0A63"/>
    <w:rsid w:val="005E2D2F"/>
    <w:rsid w:val="005E3EB0"/>
    <w:rsid w:val="005F3AFE"/>
    <w:rsid w:val="00602292"/>
    <w:rsid w:val="006063B5"/>
    <w:rsid w:val="00623A56"/>
    <w:rsid w:val="00630509"/>
    <w:rsid w:val="006311B2"/>
    <w:rsid w:val="00631E28"/>
    <w:rsid w:val="006349A8"/>
    <w:rsid w:val="006370AF"/>
    <w:rsid w:val="00640DED"/>
    <w:rsid w:val="00652AEA"/>
    <w:rsid w:val="00654EF9"/>
    <w:rsid w:val="00665A15"/>
    <w:rsid w:val="006663C6"/>
    <w:rsid w:val="00667634"/>
    <w:rsid w:val="006849C9"/>
    <w:rsid w:val="006A2328"/>
    <w:rsid w:val="006B09FC"/>
    <w:rsid w:val="006B1CD4"/>
    <w:rsid w:val="006B4A4C"/>
    <w:rsid w:val="006C1171"/>
    <w:rsid w:val="006C5652"/>
    <w:rsid w:val="006C58D4"/>
    <w:rsid w:val="006C5D4E"/>
    <w:rsid w:val="006F3307"/>
    <w:rsid w:val="006F45DC"/>
    <w:rsid w:val="00706296"/>
    <w:rsid w:val="00725720"/>
    <w:rsid w:val="007261F1"/>
    <w:rsid w:val="00726C8C"/>
    <w:rsid w:val="007277B2"/>
    <w:rsid w:val="00736110"/>
    <w:rsid w:val="00737183"/>
    <w:rsid w:val="007469CD"/>
    <w:rsid w:val="00747D61"/>
    <w:rsid w:val="00752DD1"/>
    <w:rsid w:val="00756871"/>
    <w:rsid w:val="00763C0A"/>
    <w:rsid w:val="0077229B"/>
    <w:rsid w:val="00775C28"/>
    <w:rsid w:val="00786358"/>
    <w:rsid w:val="007950D7"/>
    <w:rsid w:val="00796F11"/>
    <w:rsid w:val="007A1A7B"/>
    <w:rsid w:val="007A44C4"/>
    <w:rsid w:val="007B37B9"/>
    <w:rsid w:val="007B3D2F"/>
    <w:rsid w:val="007C72EA"/>
    <w:rsid w:val="007D0059"/>
    <w:rsid w:val="007D2002"/>
    <w:rsid w:val="007D49AF"/>
    <w:rsid w:val="007E430E"/>
    <w:rsid w:val="007E7847"/>
    <w:rsid w:val="00824D0F"/>
    <w:rsid w:val="00827E8D"/>
    <w:rsid w:val="0083529B"/>
    <w:rsid w:val="0084050C"/>
    <w:rsid w:val="00846DD6"/>
    <w:rsid w:val="008471EE"/>
    <w:rsid w:val="008528A2"/>
    <w:rsid w:val="00860A70"/>
    <w:rsid w:val="008616CB"/>
    <w:rsid w:val="00875F46"/>
    <w:rsid w:val="00876F60"/>
    <w:rsid w:val="008847B6"/>
    <w:rsid w:val="00892BB0"/>
    <w:rsid w:val="00893E43"/>
    <w:rsid w:val="00897D4E"/>
    <w:rsid w:val="008A0BAF"/>
    <w:rsid w:val="008A333C"/>
    <w:rsid w:val="008B2307"/>
    <w:rsid w:val="008B4471"/>
    <w:rsid w:val="008C7876"/>
    <w:rsid w:val="008D792B"/>
    <w:rsid w:val="008E46D6"/>
    <w:rsid w:val="008F6639"/>
    <w:rsid w:val="00901CD7"/>
    <w:rsid w:val="0091373E"/>
    <w:rsid w:val="00914281"/>
    <w:rsid w:val="009176AB"/>
    <w:rsid w:val="00921DC0"/>
    <w:rsid w:val="00924D9F"/>
    <w:rsid w:val="009316A1"/>
    <w:rsid w:val="00935491"/>
    <w:rsid w:val="00940AA3"/>
    <w:rsid w:val="00944A16"/>
    <w:rsid w:val="00956279"/>
    <w:rsid w:val="009569E0"/>
    <w:rsid w:val="00961A6D"/>
    <w:rsid w:val="009628A0"/>
    <w:rsid w:val="0096470F"/>
    <w:rsid w:val="009668D1"/>
    <w:rsid w:val="00977C14"/>
    <w:rsid w:val="00994A7E"/>
    <w:rsid w:val="00995D60"/>
    <w:rsid w:val="009A0A61"/>
    <w:rsid w:val="009A77D1"/>
    <w:rsid w:val="009B5740"/>
    <w:rsid w:val="009B64C6"/>
    <w:rsid w:val="009C30FE"/>
    <w:rsid w:val="009C471D"/>
    <w:rsid w:val="009C4FA3"/>
    <w:rsid w:val="009C6D7F"/>
    <w:rsid w:val="009D1BC2"/>
    <w:rsid w:val="009E41A7"/>
    <w:rsid w:val="009E4799"/>
    <w:rsid w:val="009E6313"/>
    <w:rsid w:val="009F187B"/>
    <w:rsid w:val="009F49EC"/>
    <w:rsid w:val="00A009F7"/>
    <w:rsid w:val="00A02DC9"/>
    <w:rsid w:val="00A0561A"/>
    <w:rsid w:val="00A11790"/>
    <w:rsid w:val="00A11EEF"/>
    <w:rsid w:val="00A329F7"/>
    <w:rsid w:val="00A343A5"/>
    <w:rsid w:val="00A413E8"/>
    <w:rsid w:val="00A54435"/>
    <w:rsid w:val="00A54DDC"/>
    <w:rsid w:val="00A60158"/>
    <w:rsid w:val="00A612E8"/>
    <w:rsid w:val="00A6279D"/>
    <w:rsid w:val="00A640B1"/>
    <w:rsid w:val="00A668A3"/>
    <w:rsid w:val="00A7681C"/>
    <w:rsid w:val="00A802A7"/>
    <w:rsid w:val="00A84152"/>
    <w:rsid w:val="00A90DED"/>
    <w:rsid w:val="00A9120C"/>
    <w:rsid w:val="00A96C57"/>
    <w:rsid w:val="00AA14CA"/>
    <w:rsid w:val="00AA7261"/>
    <w:rsid w:val="00AA7FF6"/>
    <w:rsid w:val="00AB3892"/>
    <w:rsid w:val="00AC712E"/>
    <w:rsid w:val="00AE3DFE"/>
    <w:rsid w:val="00AF43D8"/>
    <w:rsid w:val="00B010AF"/>
    <w:rsid w:val="00B05F56"/>
    <w:rsid w:val="00B0702E"/>
    <w:rsid w:val="00B07805"/>
    <w:rsid w:val="00B12B8C"/>
    <w:rsid w:val="00B30CC8"/>
    <w:rsid w:val="00B33621"/>
    <w:rsid w:val="00B36783"/>
    <w:rsid w:val="00B4681B"/>
    <w:rsid w:val="00B54156"/>
    <w:rsid w:val="00B605E8"/>
    <w:rsid w:val="00B64774"/>
    <w:rsid w:val="00B82AA4"/>
    <w:rsid w:val="00B92784"/>
    <w:rsid w:val="00B951D3"/>
    <w:rsid w:val="00BA1C67"/>
    <w:rsid w:val="00BA1CE6"/>
    <w:rsid w:val="00BA1D36"/>
    <w:rsid w:val="00BC67D4"/>
    <w:rsid w:val="00BE2E04"/>
    <w:rsid w:val="00BE5266"/>
    <w:rsid w:val="00BF1649"/>
    <w:rsid w:val="00BF16FC"/>
    <w:rsid w:val="00BF37B7"/>
    <w:rsid w:val="00BF3D89"/>
    <w:rsid w:val="00BF4AEF"/>
    <w:rsid w:val="00C01434"/>
    <w:rsid w:val="00C02241"/>
    <w:rsid w:val="00C040FD"/>
    <w:rsid w:val="00C17447"/>
    <w:rsid w:val="00C17A07"/>
    <w:rsid w:val="00C25311"/>
    <w:rsid w:val="00C25B07"/>
    <w:rsid w:val="00C26EEE"/>
    <w:rsid w:val="00C33777"/>
    <w:rsid w:val="00C35511"/>
    <w:rsid w:val="00C36FB3"/>
    <w:rsid w:val="00C459D5"/>
    <w:rsid w:val="00C47000"/>
    <w:rsid w:val="00C74802"/>
    <w:rsid w:val="00C7542F"/>
    <w:rsid w:val="00C8396D"/>
    <w:rsid w:val="00C91BAC"/>
    <w:rsid w:val="00C92D09"/>
    <w:rsid w:val="00C94F61"/>
    <w:rsid w:val="00C964BB"/>
    <w:rsid w:val="00CB4002"/>
    <w:rsid w:val="00CC2F64"/>
    <w:rsid w:val="00CD1BA2"/>
    <w:rsid w:val="00CD3B0A"/>
    <w:rsid w:val="00CD545C"/>
    <w:rsid w:val="00CD561B"/>
    <w:rsid w:val="00CD5798"/>
    <w:rsid w:val="00CE3852"/>
    <w:rsid w:val="00CE51A4"/>
    <w:rsid w:val="00CF0E53"/>
    <w:rsid w:val="00CF1412"/>
    <w:rsid w:val="00CF3D4E"/>
    <w:rsid w:val="00D01C95"/>
    <w:rsid w:val="00D06FB1"/>
    <w:rsid w:val="00D14CCC"/>
    <w:rsid w:val="00D20000"/>
    <w:rsid w:val="00D22576"/>
    <w:rsid w:val="00D26605"/>
    <w:rsid w:val="00D27029"/>
    <w:rsid w:val="00D45352"/>
    <w:rsid w:val="00D45767"/>
    <w:rsid w:val="00D463BE"/>
    <w:rsid w:val="00D56EAC"/>
    <w:rsid w:val="00D67725"/>
    <w:rsid w:val="00D702E1"/>
    <w:rsid w:val="00D71C13"/>
    <w:rsid w:val="00D71DEB"/>
    <w:rsid w:val="00D773DE"/>
    <w:rsid w:val="00D8167B"/>
    <w:rsid w:val="00D87981"/>
    <w:rsid w:val="00D93FD3"/>
    <w:rsid w:val="00DA69BF"/>
    <w:rsid w:val="00DA7297"/>
    <w:rsid w:val="00DC0F29"/>
    <w:rsid w:val="00DD1D29"/>
    <w:rsid w:val="00DE6DE2"/>
    <w:rsid w:val="00E03B45"/>
    <w:rsid w:val="00E04B00"/>
    <w:rsid w:val="00E07528"/>
    <w:rsid w:val="00E11232"/>
    <w:rsid w:val="00E13739"/>
    <w:rsid w:val="00E153FE"/>
    <w:rsid w:val="00E2480A"/>
    <w:rsid w:val="00E3099F"/>
    <w:rsid w:val="00E33E94"/>
    <w:rsid w:val="00E359CF"/>
    <w:rsid w:val="00E43DDF"/>
    <w:rsid w:val="00E4423C"/>
    <w:rsid w:val="00E45429"/>
    <w:rsid w:val="00E50AC6"/>
    <w:rsid w:val="00E535E1"/>
    <w:rsid w:val="00E54B37"/>
    <w:rsid w:val="00E723C1"/>
    <w:rsid w:val="00E72FA0"/>
    <w:rsid w:val="00E7700A"/>
    <w:rsid w:val="00E81181"/>
    <w:rsid w:val="00E8494B"/>
    <w:rsid w:val="00E908E5"/>
    <w:rsid w:val="00E91F8C"/>
    <w:rsid w:val="00E9291E"/>
    <w:rsid w:val="00EA139C"/>
    <w:rsid w:val="00EA3D31"/>
    <w:rsid w:val="00EB08E8"/>
    <w:rsid w:val="00EB449B"/>
    <w:rsid w:val="00EB4CEA"/>
    <w:rsid w:val="00EB5E9A"/>
    <w:rsid w:val="00EC0D93"/>
    <w:rsid w:val="00EC1040"/>
    <w:rsid w:val="00EC38FB"/>
    <w:rsid w:val="00EC5A4E"/>
    <w:rsid w:val="00EE2253"/>
    <w:rsid w:val="00EE33D0"/>
    <w:rsid w:val="00EF13F4"/>
    <w:rsid w:val="00F028D8"/>
    <w:rsid w:val="00F044DF"/>
    <w:rsid w:val="00F05E3F"/>
    <w:rsid w:val="00F144B6"/>
    <w:rsid w:val="00F17ADC"/>
    <w:rsid w:val="00F22F52"/>
    <w:rsid w:val="00F27A4F"/>
    <w:rsid w:val="00F3003F"/>
    <w:rsid w:val="00F31845"/>
    <w:rsid w:val="00F42D91"/>
    <w:rsid w:val="00F607D5"/>
    <w:rsid w:val="00F6216E"/>
    <w:rsid w:val="00F66584"/>
    <w:rsid w:val="00F7329D"/>
    <w:rsid w:val="00F736C0"/>
    <w:rsid w:val="00F746C5"/>
    <w:rsid w:val="00F9214C"/>
    <w:rsid w:val="00F930EE"/>
    <w:rsid w:val="00FA2770"/>
    <w:rsid w:val="00FA2D38"/>
    <w:rsid w:val="00FA399C"/>
    <w:rsid w:val="00FC724D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6AC68C-83D4-432B-8090-99D73787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9613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613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613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13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CB4002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067249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rsid w:val="00067249"/>
    <w:rPr>
      <w:lang w:eastAsia="en-US"/>
    </w:rPr>
  </w:style>
  <w:style w:type="character" w:styleId="Refdenotaalpie">
    <w:name w:val="footnote reference"/>
    <w:uiPriority w:val="99"/>
    <w:semiHidden/>
    <w:unhideWhenUsed/>
    <w:rsid w:val="00067249"/>
    <w:rPr>
      <w:vertAlign w:val="superscript"/>
    </w:rPr>
  </w:style>
  <w:style w:type="character" w:customStyle="1" w:styleId="apple-converted-space">
    <w:name w:val="apple-converted-space"/>
    <w:rsid w:val="009628A0"/>
  </w:style>
  <w:style w:type="paragraph" w:styleId="Prrafodelista">
    <w:name w:val="List Paragraph"/>
    <w:basedOn w:val="Normal"/>
    <w:uiPriority w:val="34"/>
    <w:qFormat/>
    <w:rsid w:val="005D0F8C"/>
    <w:pPr>
      <w:ind w:left="708"/>
    </w:pPr>
  </w:style>
  <w:style w:type="character" w:styleId="Hipervnculo">
    <w:name w:val="Hyperlink"/>
    <w:uiPriority w:val="99"/>
    <w:semiHidden/>
    <w:unhideWhenUsed/>
    <w:rsid w:val="00AF43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9D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459D5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link w:val="Ttulo1"/>
    <w:uiPriority w:val="9"/>
    <w:rsid w:val="0049613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49613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"/>
    <w:rsid w:val="0049613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49613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a">
    <w:name w:val="List"/>
    <w:basedOn w:val="Normal"/>
    <w:uiPriority w:val="99"/>
    <w:unhideWhenUsed/>
    <w:rsid w:val="00496134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496134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unhideWhenUsed/>
    <w:rsid w:val="00496134"/>
    <w:pPr>
      <w:numPr>
        <w:numId w:val="37"/>
      </w:numPr>
      <w:contextualSpacing/>
    </w:pPr>
  </w:style>
  <w:style w:type="paragraph" w:styleId="Listaconvietas3">
    <w:name w:val="List Bullet 3"/>
    <w:basedOn w:val="Normal"/>
    <w:uiPriority w:val="99"/>
    <w:unhideWhenUsed/>
    <w:rsid w:val="00496134"/>
    <w:pPr>
      <w:numPr>
        <w:numId w:val="38"/>
      </w:numPr>
      <w:contextualSpacing/>
    </w:pPr>
  </w:style>
  <w:style w:type="paragraph" w:styleId="Continuarlista">
    <w:name w:val="List Continue"/>
    <w:basedOn w:val="Normal"/>
    <w:uiPriority w:val="99"/>
    <w:unhideWhenUsed/>
    <w:rsid w:val="00496134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496134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9613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49613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9613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96134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96134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96134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827E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E8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27E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E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7CAE1-F5FF-4032-93F8-B01BDA33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2016-06-08T14:40:00Z</cp:lastPrinted>
  <dcterms:created xsi:type="dcterms:W3CDTF">2016-06-15T16:59:00Z</dcterms:created>
  <dcterms:modified xsi:type="dcterms:W3CDTF">2016-06-15T16:59:00Z</dcterms:modified>
</cp:coreProperties>
</file>