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63" w:rsidRDefault="00863963"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C84AB8" w:rsidRPr="00F363E8" w:rsidRDefault="008D71BC" w:rsidP="00C84AB8">
      <w:pPr>
        <w:widowControl/>
        <w:autoSpaceDE/>
        <w:autoSpaceDN/>
        <w:adjustRightInd/>
        <w:spacing w:after="160" w:line="259" w:lineRule="auto"/>
        <w:jc w:val="center"/>
        <w:rPr>
          <w:rFonts w:ascii="Arial" w:eastAsia="Times New Roman" w:hAnsi="Arial" w:cs="Arial"/>
          <w:b/>
          <w:color w:val="000000"/>
          <w:spacing w:val="2"/>
          <w:lang w:val="es-ES_tradnl" w:eastAsia="es-CO"/>
        </w:rPr>
      </w:pPr>
      <w:r w:rsidRPr="00B70130">
        <w:rPr>
          <w:rFonts w:ascii="Arial" w:hAnsi="Arial" w:cs="Arial"/>
          <w:b/>
        </w:rPr>
        <w:t xml:space="preserve">TEXTO </w:t>
      </w:r>
      <w:r w:rsidR="00B70130">
        <w:rPr>
          <w:rFonts w:ascii="Arial" w:hAnsi="Arial" w:cs="Arial"/>
          <w:b/>
        </w:rPr>
        <w:t xml:space="preserve">APROBADO EN COMISION PRIMERA DE LA H. CAMARA DE REPRESENTANTES AL </w:t>
      </w:r>
      <w:r w:rsidRPr="00B70130">
        <w:rPr>
          <w:rFonts w:ascii="Arial" w:hAnsi="Arial" w:cs="Arial"/>
          <w:b/>
        </w:rPr>
        <w:t xml:space="preserve">PROYECTO DE LEY </w:t>
      </w:r>
      <w:r w:rsidRPr="00B70130">
        <w:rPr>
          <w:rFonts w:ascii="Arial" w:hAnsi="Arial" w:cs="Arial"/>
          <w:b/>
          <w:spacing w:val="-3"/>
        </w:rPr>
        <w:t xml:space="preserve">ESTATUTARIA No. </w:t>
      </w:r>
      <w:r w:rsidR="00C84AB8" w:rsidRPr="00F363E8">
        <w:rPr>
          <w:rFonts w:ascii="Arial" w:eastAsia="Times New Roman" w:hAnsi="Arial" w:cs="Arial"/>
          <w:b/>
          <w:bCs/>
          <w:color w:val="000000" w:themeColor="text1"/>
          <w:lang w:val="es-CO" w:eastAsia="es-CO"/>
        </w:rPr>
        <w:t>187 DE 2014 CÁMARA</w:t>
      </w:r>
      <w:r w:rsidR="00C84AB8" w:rsidRPr="00F363E8">
        <w:rPr>
          <w:rFonts w:ascii="Arial" w:eastAsia="Times New Roman" w:hAnsi="Arial" w:cs="Arial"/>
          <w:bCs/>
          <w:color w:val="000000" w:themeColor="text1"/>
          <w:lang w:val="es-CO" w:eastAsia="es-CO"/>
        </w:rPr>
        <w:t xml:space="preserve">  - </w:t>
      </w:r>
      <w:r w:rsidR="00C84AB8" w:rsidRPr="00F363E8">
        <w:rPr>
          <w:rFonts w:ascii="Arial" w:eastAsia="Times New Roman" w:hAnsi="Arial" w:cs="Arial"/>
          <w:b/>
          <w:bCs/>
          <w:color w:val="000000"/>
          <w:spacing w:val="2"/>
          <w:lang w:val="es-ES_tradnl" w:eastAsia="es-CO"/>
        </w:rPr>
        <w:t>78 DE 2014 SENADO</w:t>
      </w:r>
      <w:r w:rsidR="00C84AB8" w:rsidRPr="00F363E8">
        <w:rPr>
          <w:rFonts w:ascii="Arial" w:eastAsia="Times New Roman" w:hAnsi="Arial" w:cs="Arial"/>
          <w:b/>
          <w:bCs/>
          <w:color w:val="000000" w:themeColor="text1"/>
          <w:lang w:val="es-CO" w:eastAsia="es-CO"/>
        </w:rPr>
        <w:t xml:space="preserve"> </w:t>
      </w:r>
      <w:r w:rsidR="00C84AB8" w:rsidRPr="00F363E8">
        <w:rPr>
          <w:rFonts w:ascii="Arial" w:eastAsia="Times New Roman" w:hAnsi="Arial" w:cs="Arial"/>
          <w:b/>
          <w:color w:val="000000"/>
          <w:spacing w:val="2"/>
          <w:lang w:val="es-ES_tradnl" w:eastAsia="es-CO"/>
        </w:rPr>
        <w:t>“</w:t>
      </w:r>
      <w:r w:rsidR="00C84AB8" w:rsidRPr="00F363E8">
        <w:rPr>
          <w:rFonts w:ascii="Arial" w:eastAsia="Times New Roman" w:hAnsi="Arial" w:cs="Arial"/>
          <w:b/>
          <w:iCs/>
          <w:color w:val="000000"/>
          <w:spacing w:val="2"/>
          <w:lang w:val="es-ES_tradnl" w:eastAsia="es-CO"/>
        </w:rPr>
        <w:t>POR LA CUAL SE MODIFICAN LOS ARTÍCULOS 15 Y 16 DE LA LEY 270 DE 1996, ESTATUTARIA DE LA ADMINISTRACIÓN DE JUSTICIA”</w:t>
      </w:r>
      <w:r w:rsidR="00C84AB8" w:rsidRPr="00F363E8">
        <w:rPr>
          <w:rFonts w:ascii="Arial" w:eastAsia="Times New Roman" w:hAnsi="Arial" w:cs="Arial"/>
          <w:b/>
          <w:color w:val="000000"/>
          <w:spacing w:val="2"/>
          <w:lang w:val="es-ES_tradnl" w:eastAsia="es-CO"/>
        </w:rPr>
        <w:t>.</w:t>
      </w:r>
    </w:p>
    <w:p w:rsidR="008D71BC" w:rsidRPr="00B70130"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Arial" w:hAnsi="Arial" w:cs="Arial"/>
          <w:b/>
          <w:spacing w:val="-3"/>
        </w:rPr>
      </w:pPr>
    </w:p>
    <w:p w:rsidR="00B24270" w:rsidRPr="00B70130" w:rsidRDefault="00B24270" w:rsidP="00B24270">
      <w:pPr>
        <w:pStyle w:val="Sinespaciado"/>
        <w:spacing w:line="276" w:lineRule="auto"/>
        <w:jc w:val="center"/>
        <w:rPr>
          <w:rFonts w:ascii="Arial" w:hAnsi="Arial" w:cs="Arial"/>
          <w:b/>
          <w:sz w:val="24"/>
          <w:szCs w:val="24"/>
        </w:rPr>
      </w:pPr>
      <w:r w:rsidRPr="00B70130">
        <w:rPr>
          <w:rFonts w:ascii="Arial" w:hAnsi="Arial" w:cs="Arial"/>
          <w:b/>
          <w:sz w:val="24"/>
          <w:szCs w:val="24"/>
        </w:rPr>
        <w:t>El Congreso de Colombia,</w:t>
      </w:r>
    </w:p>
    <w:p w:rsidR="00B24270" w:rsidRPr="00B70130" w:rsidRDefault="00B24270" w:rsidP="00B24270">
      <w:pPr>
        <w:pStyle w:val="Sinespaciado"/>
        <w:spacing w:line="276" w:lineRule="auto"/>
        <w:jc w:val="center"/>
        <w:rPr>
          <w:rFonts w:ascii="Arial" w:hAnsi="Arial" w:cs="Arial"/>
          <w:b/>
          <w:sz w:val="24"/>
          <w:szCs w:val="24"/>
        </w:rPr>
      </w:pPr>
      <w:r w:rsidRPr="00B70130">
        <w:rPr>
          <w:rFonts w:ascii="Arial" w:hAnsi="Arial" w:cs="Arial"/>
          <w:b/>
          <w:sz w:val="24"/>
          <w:szCs w:val="24"/>
        </w:rPr>
        <w:t>DECRETA:</w:t>
      </w:r>
    </w:p>
    <w:p w:rsidR="00B24270" w:rsidRPr="00B70130" w:rsidRDefault="00B24270"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Arial" w:hAnsi="Arial" w:cs="Arial"/>
          <w:b/>
          <w:spacing w:val="-3"/>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b/>
          <w:color w:val="000000"/>
          <w:lang w:val="es-ES_tradnl" w:eastAsia="es-CO"/>
        </w:rPr>
        <w:t>Artículo 1°.</w:t>
      </w:r>
      <w:r w:rsidRPr="00F363E8">
        <w:rPr>
          <w:rFonts w:ascii="Arial" w:eastAsia="Times New Roman" w:hAnsi="Arial" w:cs="Arial"/>
          <w:color w:val="000000"/>
          <w:lang w:val="es-ES_tradnl" w:eastAsia="es-CO"/>
        </w:rPr>
        <w:t xml:space="preserve"> Adiciónese un parágrafo al </w:t>
      </w:r>
      <w:r w:rsidR="00F05F49">
        <w:rPr>
          <w:rFonts w:ascii="Arial" w:eastAsia="Times New Roman" w:hAnsi="Arial" w:cs="Arial"/>
          <w:color w:val="000000"/>
          <w:lang w:val="es-ES_tradnl" w:eastAsia="es-CO"/>
        </w:rPr>
        <w:t>A</w:t>
      </w:r>
      <w:r w:rsidRPr="00F363E8">
        <w:rPr>
          <w:rFonts w:ascii="Arial" w:eastAsia="Times New Roman" w:hAnsi="Arial" w:cs="Arial"/>
          <w:color w:val="000000"/>
          <w:lang w:val="es-ES_tradnl" w:eastAsia="es-CO"/>
        </w:rPr>
        <w:t>rtículo 15 de la Ley 270 de 1996, así:</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b/>
          <w:bCs/>
          <w:color w:val="000000"/>
          <w:lang w:val="es-ES_tradnl" w:eastAsia="es-CO"/>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b/>
          <w:bCs/>
          <w:color w:val="000000"/>
          <w:lang w:val="es-ES_tradnl" w:eastAsia="es-CO"/>
        </w:rPr>
        <w:t>Parágrafo 2°.</w:t>
      </w:r>
      <w:r w:rsidRPr="00F363E8">
        <w:rPr>
          <w:rFonts w:ascii="Arial" w:eastAsia="Times New Roman" w:hAnsi="Arial" w:cs="Arial"/>
          <w:color w:val="000000"/>
          <w:lang w:val="es-ES_tradnl" w:eastAsia="es-CO"/>
        </w:rPr>
        <w:t> Además de los veintitrés (23) magistrados que integran la Corte Suprema de Justicia, habrá magistrados de descongestión para la Sala de Casación Laboral, en forma transitoria, que no harán parte de la Sala Plena y no tendrán funciones administrativas, con el único fin de tramitar y decidir los asuntos que sean de su competencia. El Reglamento de la Sala de Casación Laboral de la Corte Suprema de Justicia determinará las condiciones del reparto de los procesos.</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color w:val="000000"/>
          <w:lang w:val="es-ES_tradnl" w:eastAsia="es-CO"/>
        </w:rPr>
        <w:t>El periodo de los magistrados de descongestión será el mismo que dure el programa de descongestión dispuesto en el parágrafo transitorio del artículo 16 de esta ley, sin pasar de ocho años, en ningún caso. La elección, los requisitos para acceder al cargo y la remuneración serán los previstos en la Constitución y la ley para los Magistrados de la Corte Suprema de Justicia.</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ES_tradnl" w:eastAsia="es-CO"/>
        </w:rPr>
      </w:pPr>
      <w:bookmarkStart w:id="0" w:name="_GoBack"/>
      <w:bookmarkEnd w:id="0"/>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color w:val="000000"/>
          <w:lang w:val="es-ES_tradnl" w:eastAsia="es-CO"/>
        </w:rPr>
        <w:t>Para la designación de los magistrados de descongestión, deberá contar la Sala Plena de la Corte Suprema de Justicia, con la disposición de los recursos acreditada por la Sala Administrativa del Consejo Superior de la Judicatura.</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ES_tradnl" w:eastAsia="es-CO"/>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b/>
          <w:color w:val="000000"/>
          <w:lang w:val="es-ES_tradnl" w:eastAsia="es-CO"/>
        </w:rPr>
        <w:t>Artículo 2°.</w:t>
      </w:r>
      <w:r w:rsidRPr="00F363E8">
        <w:rPr>
          <w:rFonts w:ascii="Arial" w:eastAsia="Times New Roman" w:hAnsi="Arial" w:cs="Arial"/>
          <w:color w:val="000000"/>
          <w:lang w:val="es-ES_tradnl" w:eastAsia="es-CO"/>
        </w:rPr>
        <w:t xml:space="preserve"> Adiciónese un parágrafo al </w:t>
      </w:r>
      <w:r w:rsidR="00F05F49">
        <w:rPr>
          <w:rFonts w:ascii="Arial" w:eastAsia="Times New Roman" w:hAnsi="Arial" w:cs="Arial"/>
          <w:color w:val="000000"/>
          <w:lang w:val="es-ES_tradnl" w:eastAsia="es-CO"/>
        </w:rPr>
        <w:t>A</w:t>
      </w:r>
      <w:r w:rsidRPr="00F363E8">
        <w:rPr>
          <w:rFonts w:ascii="Arial" w:eastAsia="Times New Roman" w:hAnsi="Arial" w:cs="Arial"/>
          <w:color w:val="000000"/>
          <w:lang w:val="es-ES_tradnl" w:eastAsia="es-CO"/>
        </w:rPr>
        <w:t>rtículo 16 de la Ley 270 de 1996, así:</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b/>
          <w:bCs/>
          <w:color w:val="000000"/>
          <w:lang w:val="es-ES_tradnl" w:eastAsia="es-CO"/>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b/>
          <w:bCs/>
          <w:color w:val="000000"/>
          <w:lang w:val="es-ES_tradnl" w:eastAsia="es-CO"/>
        </w:rPr>
        <w:t xml:space="preserve">Parágrafo </w:t>
      </w:r>
      <w:r w:rsidR="008528D3">
        <w:rPr>
          <w:rFonts w:ascii="Arial" w:eastAsia="Times New Roman" w:hAnsi="Arial" w:cs="Arial"/>
          <w:b/>
          <w:bCs/>
          <w:color w:val="000000"/>
          <w:lang w:val="es-ES_tradnl" w:eastAsia="es-CO"/>
        </w:rPr>
        <w:t>T</w:t>
      </w:r>
      <w:r w:rsidRPr="00F363E8">
        <w:rPr>
          <w:rFonts w:ascii="Arial" w:eastAsia="Times New Roman" w:hAnsi="Arial" w:cs="Arial"/>
          <w:b/>
          <w:bCs/>
          <w:color w:val="000000"/>
          <w:lang w:val="es-ES_tradnl" w:eastAsia="es-CO"/>
        </w:rPr>
        <w:t>ransitorio.</w:t>
      </w:r>
      <w:r w:rsidRPr="00F363E8">
        <w:rPr>
          <w:rFonts w:ascii="Arial" w:eastAsia="Times New Roman" w:hAnsi="Arial" w:cs="Arial"/>
          <w:color w:val="000000"/>
          <w:lang w:val="es-ES_tradnl" w:eastAsia="es-CO"/>
        </w:rPr>
        <w:t xml:space="preserve"> Excepcionalmente y por el término de ocho (8) años contados a partir de su instalación, créanse cuatro salas de descongestión, anexas a la sala de casación laboral, compuestas de tres (3) magistrados de descongestión </w:t>
      </w:r>
      <w:r w:rsidRPr="00F363E8">
        <w:rPr>
          <w:rFonts w:ascii="Arial" w:eastAsia="Times New Roman" w:hAnsi="Arial" w:cs="Arial"/>
          <w:color w:val="000000"/>
          <w:lang w:val="es-ES_tradnl" w:eastAsia="es-CO"/>
        </w:rPr>
        <w:lastRenderedPageBreak/>
        <w:t>cada una, que no harán parte de la Sala Plena y no tendrán funciones administrativas, con el fin de tramitar y decidir los asuntos de su competencia.</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ES_tradnl" w:eastAsia="es-CO"/>
        </w:rPr>
      </w:pP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lang w:val="es-CO" w:eastAsia="es-CO"/>
        </w:rPr>
      </w:pPr>
      <w:r w:rsidRPr="00F363E8">
        <w:rPr>
          <w:rFonts w:ascii="Arial" w:eastAsia="Times New Roman" w:hAnsi="Arial" w:cs="Arial"/>
          <w:b/>
          <w:color w:val="000000"/>
          <w:lang w:val="es-ES_tradnl" w:eastAsia="es-CO"/>
        </w:rPr>
        <w:t>Artículo 3°.</w:t>
      </w:r>
      <w:r w:rsidRPr="00F363E8">
        <w:rPr>
          <w:rFonts w:ascii="Arial" w:eastAsia="Times New Roman" w:hAnsi="Arial" w:cs="Arial"/>
          <w:color w:val="000000"/>
          <w:lang w:val="es-ES_tradnl" w:eastAsia="es-CO"/>
        </w:rPr>
        <w:t xml:space="preserve"> La presente ley rige a partir de la fecha de su publicación y deroga todas las disposiciones que le sean contrarias.</w:t>
      </w:r>
    </w:p>
    <w:p w:rsidR="00F363E8" w:rsidRPr="00F363E8" w:rsidRDefault="00F363E8" w:rsidP="00F363E8">
      <w:pPr>
        <w:widowControl/>
        <w:autoSpaceDE/>
        <w:autoSpaceDN/>
        <w:adjustRightInd/>
        <w:spacing w:before="28" w:after="28" w:line="288" w:lineRule="atLeast"/>
        <w:jc w:val="both"/>
        <w:textAlignment w:val="center"/>
        <w:rPr>
          <w:rFonts w:ascii="Arial" w:eastAsia="Times New Roman" w:hAnsi="Arial" w:cs="Arial"/>
          <w:color w:val="000000"/>
          <w:spacing w:val="2"/>
          <w:lang w:val="es-CO" w:eastAsia="es-CO"/>
        </w:rPr>
      </w:pPr>
    </w:p>
    <w:p w:rsidR="00C84AB8" w:rsidRPr="00B70130" w:rsidRDefault="00C84AB8" w:rsidP="00C84AB8">
      <w:pPr>
        <w:widowControl/>
        <w:autoSpaceDE/>
        <w:autoSpaceDN/>
        <w:adjustRightInd/>
        <w:spacing w:after="200" w:line="276" w:lineRule="auto"/>
        <w:jc w:val="both"/>
        <w:rPr>
          <w:rFonts w:ascii="Arial" w:eastAsiaTheme="minorHAnsi" w:hAnsi="Arial" w:cs="Arial"/>
          <w:sz w:val="22"/>
          <w:szCs w:val="22"/>
          <w:lang w:val="es-CO" w:eastAsia="en-US"/>
        </w:rPr>
      </w:pPr>
      <w:r w:rsidRPr="00B70130">
        <w:rPr>
          <w:rFonts w:ascii="Arial" w:eastAsiaTheme="minorHAnsi" w:hAnsi="Arial" w:cs="Arial"/>
          <w:lang w:val="es-CO" w:eastAsia="en-US"/>
        </w:rPr>
        <w:t>En los anteriores términos fue aprobado el presente Proyecto de Ley</w:t>
      </w:r>
      <w:r>
        <w:rPr>
          <w:rFonts w:ascii="Arial" w:eastAsiaTheme="minorHAnsi" w:hAnsi="Arial" w:cs="Arial"/>
          <w:lang w:val="es-CO" w:eastAsia="en-US"/>
        </w:rPr>
        <w:t xml:space="preserve"> Estatutaria </w:t>
      </w:r>
      <w:r w:rsidRPr="00B70130">
        <w:rPr>
          <w:rFonts w:ascii="Arial" w:eastAsiaTheme="minorHAnsi" w:hAnsi="Arial" w:cs="Arial"/>
          <w:lang w:val="es-CO" w:eastAsia="en-US"/>
        </w:rPr>
        <w:t xml:space="preserve"> </w:t>
      </w:r>
      <w:r>
        <w:rPr>
          <w:rFonts w:ascii="Arial" w:eastAsiaTheme="minorHAnsi" w:hAnsi="Arial" w:cs="Arial"/>
          <w:lang w:val="es-CO" w:eastAsia="en-US"/>
        </w:rPr>
        <w:t xml:space="preserve">sin </w:t>
      </w:r>
      <w:r w:rsidRPr="00B70130">
        <w:rPr>
          <w:rFonts w:ascii="Arial" w:eastAsiaTheme="minorHAnsi" w:hAnsi="Arial" w:cs="Arial"/>
          <w:lang w:val="es-CO" w:eastAsia="en-US"/>
        </w:rPr>
        <w:t>modificaciones según consta en el Acta No. 4</w:t>
      </w:r>
      <w:r>
        <w:rPr>
          <w:rFonts w:ascii="Arial" w:eastAsiaTheme="minorHAnsi" w:hAnsi="Arial" w:cs="Arial"/>
          <w:lang w:val="es-CO" w:eastAsia="en-US"/>
        </w:rPr>
        <w:t>2</w:t>
      </w:r>
      <w:r w:rsidRPr="00B70130">
        <w:rPr>
          <w:rFonts w:ascii="Arial" w:eastAsiaTheme="minorHAnsi" w:hAnsi="Arial" w:cs="Arial"/>
          <w:lang w:val="es-CO" w:eastAsia="en-US"/>
        </w:rPr>
        <w:t xml:space="preserve"> de abril </w:t>
      </w:r>
      <w:r>
        <w:rPr>
          <w:rFonts w:ascii="Arial" w:eastAsiaTheme="minorHAnsi" w:hAnsi="Arial" w:cs="Arial"/>
          <w:lang w:val="es-CO" w:eastAsia="en-US"/>
        </w:rPr>
        <w:t>2</w:t>
      </w:r>
      <w:r w:rsidRPr="00B70130">
        <w:rPr>
          <w:rFonts w:ascii="Arial" w:eastAsiaTheme="minorHAnsi" w:hAnsi="Arial" w:cs="Arial"/>
          <w:lang w:val="es-CO" w:eastAsia="en-US"/>
        </w:rPr>
        <w:t xml:space="preserve">1/15. Así mismo fue anunciado el día </w:t>
      </w:r>
      <w:r>
        <w:rPr>
          <w:rFonts w:ascii="Arial" w:eastAsiaTheme="minorHAnsi" w:hAnsi="Arial" w:cs="Arial"/>
          <w:lang w:val="es-CO" w:eastAsia="en-US"/>
        </w:rPr>
        <w:t>14</w:t>
      </w:r>
      <w:r w:rsidRPr="00B70130">
        <w:rPr>
          <w:rFonts w:ascii="Arial" w:eastAsiaTheme="minorHAnsi" w:hAnsi="Arial" w:cs="Arial"/>
          <w:lang w:val="es-CO" w:eastAsia="en-US"/>
        </w:rPr>
        <w:t xml:space="preserve"> de abril de 2015 según Acta No. 4</w:t>
      </w:r>
      <w:r>
        <w:rPr>
          <w:rFonts w:ascii="Arial" w:eastAsiaTheme="minorHAnsi" w:hAnsi="Arial" w:cs="Arial"/>
          <w:lang w:val="es-CO" w:eastAsia="en-US"/>
        </w:rPr>
        <w:t>1</w:t>
      </w:r>
      <w:r w:rsidRPr="00B70130">
        <w:rPr>
          <w:rFonts w:ascii="Arial" w:eastAsiaTheme="minorHAnsi" w:hAnsi="Arial" w:cs="Arial"/>
          <w:lang w:val="es-CO" w:eastAsia="en-US"/>
        </w:rPr>
        <w:t xml:space="preserve"> de esa misma fecha.</w:t>
      </w:r>
      <w:r w:rsidRPr="00B70130">
        <w:rPr>
          <w:rFonts w:ascii="Arial" w:eastAsiaTheme="minorHAnsi" w:hAnsi="Arial" w:cs="Arial"/>
          <w:sz w:val="22"/>
          <w:szCs w:val="22"/>
          <w:lang w:val="es-CO" w:eastAsia="en-US"/>
        </w:rPr>
        <w:t xml:space="preserve"> </w:t>
      </w:r>
    </w:p>
    <w:p w:rsidR="00C84AB8" w:rsidRDefault="00C84AB8"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Theme="minorHAnsi" w:eastAsiaTheme="minorHAnsi" w:hAnsiTheme="minorHAnsi" w:cstheme="minorBidi"/>
          <w:sz w:val="22"/>
          <w:szCs w:val="22"/>
          <w:lang w:val="es-CO" w:eastAsia="en-US"/>
        </w:rPr>
      </w:pPr>
    </w:p>
    <w:p w:rsidR="008528D3" w:rsidRPr="00B70130" w:rsidRDefault="008528D3"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Theme="minorHAnsi" w:eastAsiaTheme="minorHAnsi" w:hAnsiTheme="minorHAnsi" w:cstheme="minorBidi"/>
          <w:sz w:val="22"/>
          <w:szCs w:val="22"/>
          <w:lang w:val="es-CO" w:eastAsia="en-US"/>
        </w:rPr>
      </w:pPr>
    </w:p>
    <w:p w:rsidR="00C84AB8" w:rsidRDefault="00C84AB8"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 </w:t>
      </w:r>
    </w:p>
    <w:p w:rsidR="00C84AB8" w:rsidRDefault="00C84AB8"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b/>
          <w:sz w:val="22"/>
          <w:szCs w:val="22"/>
          <w:lang w:val="es-CO" w:eastAsia="en-US"/>
        </w:rPr>
      </w:pPr>
      <w:r w:rsidRPr="004C15F6">
        <w:rPr>
          <w:rFonts w:ascii="Arial" w:eastAsiaTheme="minorHAnsi" w:hAnsi="Arial" w:cs="Arial"/>
          <w:b/>
          <w:sz w:val="22"/>
          <w:szCs w:val="22"/>
          <w:lang w:val="es-CO" w:eastAsia="en-US"/>
        </w:rPr>
        <w:t>J</w:t>
      </w:r>
      <w:r>
        <w:rPr>
          <w:rFonts w:ascii="Arial" w:eastAsiaTheme="minorHAnsi" w:hAnsi="Arial" w:cs="Arial"/>
          <w:b/>
          <w:sz w:val="22"/>
          <w:szCs w:val="22"/>
          <w:lang w:val="es-CO" w:eastAsia="en-US"/>
        </w:rPr>
        <w:t xml:space="preserve">AIME BUENAHORA FEBRES   </w:t>
      </w:r>
      <w:r>
        <w:rPr>
          <w:rFonts w:ascii="Arial" w:eastAsiaTheme="minorHAnsi" w:hAnsi="Arial" w:cs="Arial"/>
          <w:b/>
          <w:sz w:val="22"/>
          <w:szCs w:val="22"/>
          <w:lang w:val="es-CO" w:eastAsia="en-US"/>
        </w:rPr>
        <w:tab/>
        <w:t xml:space="preserve">        </w:t>
      </w:r>
      <w:r>
        <w:rPr>
          <w:rFonts w:ascii="Arial" w:eastAsiaTheme="minorHAnsi" w:hAnsi="Arial" w:cs="Arial"/>
          <w:b/>
          <w:sz w:val="22"/>
          <w:szCs w:val="22"/>
          <w:lang w:val="es-CO" w:eastAsia="en-US"/>
        </w:rPr>
        <w:t xml:space="preserve">   </w:t>
      </w:r>
      <w:r>
        <w:rPr>
          <w:rFonts w:ascii="Arial" w:eastAsiaTheme="minorHAnsi" w:hAnsi="Arial" w:cs="Arial"/>
          <w:b/>
          <w:sz w:val="22"/>
          <w:szCs w:val="22"/>
          <w:lang w:val="es-CO" w:eastAsia="en-US"/>
        </w:rPr>
        <w:tab/>
      </w:r>
      <w:r>
        <w:rPr>
          <w:rFonts w:ascii="Arial" w:eastAsiaTheme="minorHAnsi" w:hAnsi="Arial" w:cs="Arial"/>
          <w:b/>
          <w:sz w:val="22"/>
          <w:szCs w:val="22"/>
          <w:lang w:val="es-CO" w:eastAsia="en-US"/>
        </w:rPr>
        <w:t xml:space="preserve"> </w:t>
      </w:r>
      <w:r>
        <w:rPr>
          <w:rFonts w:ascii="Arial" w:eastAsiaTheme="minorHAnsi" w:hAnsi="Arial" w:cs="Arial"/>
          <w:b/>
          <w:sz w:val="22"/>
          <w:szCs w:val="22"/>
          <w:lang w:val="es-CO" w:eastAsia="en-US"/>
        </w:rPr>
        <w:t>AMPARO Y. CALDERON PERDOMO</w:t>
      </w:r>
    </w:p>
    <w:p w:rsidR="00C84AB8" w:rsidRPr="004C15F6" w:rsidRDefault="00C84AB8"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r w:rsidRPr="004C15F6">
        <w:rPr>
          <w:rFonts w:ascii="Arial" w:eastAsiaTheme="minorHAnsi" w:hAnsi="Arial" w:cs="Arial"/>
          <w:sz w:val="22"/>
          <w:szCs w:val="22"/>
          <w:lang w:val="es-CO" w:eastAsia="en-US"/>
        </w:rPr>
        <w:t>Ponente –C-</w:t>
      </w:r>
      <w:r>
        <w:rPr>
          <w:rFonts w:ascii="Arial" w:eastAsiaTheme="minorHAnsi" w:hAnsi="Arial" w:cs="Arial"/>
          <w:sz w:val="22"/>
          <w:szCs w:val="22"/>
          <w:lang w:val="es-CO" w:eastAsia="en-US"/>
        </w:rPr>
        <w:tab/>
      </w:r>
      <w:r>
        <w:rPr>
          <w:rFonts w:ascii="Arial" w:eastAsiaTheme="minorHAnsi" w:hAnsi="Arial" w:cs="Arial"/>
          <w:sz w:val="22"/>
          <w:szCs w:val="22"/>
          <w:lang w:val="es-CO" w:eastAsia="en-US"/>
        </w:rPr>
        <w:tab/>
      </w:r>
      <w:r>
        <w:rPr>
          <w:rFonts w:ascii="Arial" w:eastAsiaTheme="minorHAnsi" w:hAnsi="Arial" w:cs="Arial"/>
          <w:sz w:val="22"/>
          <w:szCs w:val="22"/>
          <w:lang w:val="es-CO" w:eastAsia="en-US"/>
        </w:rPr>
        <w:tab/>
      </w:r>
      <w:r>
        <w:rPr>
          <w:rFonts w:ascii="Arial" w:eastAsiaTheme="minorHAnsi" w:hAnsi="Arial" w:cs="Arial"/>
          <w:sz w:val="22"/>
          <w:szCs w:val="22"/>
          <w:lang w:val="es-CO" w:eastAsia="en-US"/>
        </w:rPr>
        <w:tab/>
      </w:r>
      <w:r>
        <w:rPr>
          <w:rFonts w:ascii="Arial" w:eastAsiaTheme="minorHAnsi" w:hAnsi="Arial" w:cs="Arial"/>
          <w:sz w:val="22"/>
          <w:szCs w:val="22"/>
          <w:lang w:val="es-CO" w:eastAsia="en-US"/>
        </w:rPr>
        <w:tab/>
        <w:t xml:space="preserve">    </w:t>
      </w:r>
      <w:r>
        <w:rPr>
          <w:rFonts w:ascii="Arial" w:eastAsiaTheme="minorHAnsi" w:hAnsi="Arial" w:cs="Arial"/>
          <w:sz w:val="22"/>
          <w:szCs w:val="22"/>
          <w:lang w:val="es-CO" w:eastAsia="en-US"/>
        </w:rPr>
        <w:tab/>
        <w:t xml:space="preserve"> Secretaria</w:t>
      </w:r>
    </w:p>
    <w:p w:rsidR="00C84AB8" w:rsidRDefault="00C84AB8" w:rsidP="00C84A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p>
    <w:p w:rsidR="00F363E8" w:rsidRPr="00F363E8" w:rsidRDefault="00F363E8" w:rsidP="00F363E8">
      <w:pPr>
        <w:widowControl/>
        <w:autoSpaceDE/>
        <w:autoSpaceDN/>
        <w:adjustRightInd/>
        <w:spacing w:after="160" w:line="259" w:lineRule="auto"/>
        <w:rPr>
          <w:rFonts w:ascii="Arial" w:eastAsiaTheme="minorHAnsi" w:hAnsi="Arial" w:cs="Arial"/>
          <w:lang w:val="es-CO" w:eastAsia="en-US"/>
        </w:rPr>
      </w:pPr>
    </w:p>
    <w:p w:rsidR="00F363E8" w:rsidRPr="004C15F6" w:rsidRDefault="00F363E8" w:rsidP="00C063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center"/>
        <w:rPr>
          <w:rFonts w:ascii="Arial" w:hAnsi="Arial" w:cs="Arial"/>
          <w:spacing w:val="-3"/>
          <w:sz w:val="22"/>
          <w:szCs w:val="22"/>
        </w:rPr>
      </w:pPr>
    </w:p>
    <w:sectPr w:rsidR="00F363E8" w:rsidRPr="004C15F6" w:rsidSect="00BE0744">
      <w:headerReference w:type="default" r:id="rId8"/>
      <w:footerReference w:type="default" r:id="rId9"/>
      <w:pgSz w:w="12240" w:h="15840" w:code="1"/>
      <w:pgMar w:top="2268" w:right="1701" w:bottom="1418" w:left="1701" w:header="85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6F" w:rsidRDefault="00863F6F" w:rsidP="00E867DC">
      <w:r>
        <w:separator/>
      </w:r>
    </w:p>
  </w:endnote>
  <w:endnote w:type="continuationSeparator" w:id="0">
    <w:p w:rsidR="00863F6F" w:rsidRDefault="00863F6F" w:rsidP="00E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43" w:rsidRDefault="00403F43" w:rsidP="00BE0744">
    <w:pPr>
      <w:pStyle w:val="Piedepgina"/>
      <w:spacing w:line="276" w:lineRule="auto"/>
      <w:jc w:val="center"/>
      <w:rPr>
        <w:sz w:val="18"/>
        <w:szCs w:val="18"/>
        <w:lang w:val="es-CO"/>
      </w:rPr>
    </w:pPr>
  </w:p>
  <w:p w:rsidR="00BE0744" w:rsidRDefault="00E867DC" w:rsidP="00BE0744">
    <w:pPr>
      <w:pStyle w:val="Piedepgina"/>
      <w:spacing w:line="276" w:lineRule="auto"/>
      <w:jc w:val="center"/>
      <w:rPr>
        <w:sz w:val="18"/>
        <w:szCs w:val="18"/>
        <w:lang w:val="es-CO"/>
      </w:rPr>
    </w:pPr>
    <w:r w:rsidRPr="00E867DC">
      <w:rPr>
        <w:sz w:val="18"/>
        <w:szCs w:val="18"/>
        <w:lang w:val="es-CO"/>
      </w:rPr>
      <w:t xml:space="preserve">Comisión </w:t>
    </w:r>
    <w:r w:rsidR="00BE0744">
      <w:rPr>
        <w:sz w:val="18"/>
        <w:szCs w:val="18"/>
        <w:lang w:val="es-CO"/>
      </w:rPr>
      <w:t>Primera</w:t>
    </w:r>
    <w:r w:rsidR="005B5C08">
      <w:rPr>
        <w:sz w:val="18"/>
        <w:szCs w:val="18"/>
        <w:lang w:val="es-CO"/>
      </w:rPr>
      <w:t xml:space="preserve"> Constitucional</w:t>
    </w:r>
    <w:r w:rsidR="00BE0744">
      <w:rPr>
        <w:sz w:val="18"/>
        <w:szCs w:val="18"/>
        <w:lang w:val="es-CO"/>
      </w:rPr>
      <w:t xml:space="preserve"> – Cámara de Representantes</w:t>
    </w:r>
  </w:p>
  <w:p w:rsidR="00BE0744" w:rsidRDefault="00BE0744" w:rsidP="00BE0744">
    <w:pPr>
      <w:pStyle w:val="Piedepgina"/>
      <w:spacing w:line="276" w:lineRule="auto"/>
      <w:jc w:val="center"/>
      <w:rPr>
        <w:sz w:val="18"/>
        <w:szCs w:val="18"/>
        <w:lang w:val="es-CO"/>
      </w:rPr>
    </w:pPr>
    <w:r>
      <w:rPr>
        <w:sz w:val="18"/>
        <w:szCs w:val="18"/>
        <w:lang w:val="es-CO"/>
      </w:rPr>
      <w:t>República de Colombia</w:t>
    </w:r>
  </w:p>
  <w:p w:rsidR="00E867DC" w:rsidRPr="00E867DC" w:rsidRDefault="00BE0744" w:rsidP="00BE0744">
    <w:pPr>
      <w:pStyle w:val="Piedepgina"/>
      <w:spacing w:line="276" w:lineRule="auto"/>
      <w:jc w:val="center"/>
      <w:rPr>
        <w:sz w:val="18"/>
        <w:szCs w:val="18"/>
        <w:lang w:val="es-CO"/>
      </w:rPr>
    </w:pPr>
    <w:r>
      <w:rPr>
        <w:sz w:val="18"/>
        <w:szCs w:val="18"/>
        <w:lang w:val="es-CO"/>
      </w:rPr>
      <w:t>Cra. 7ª No.8-68 Piso 2</w:t>
    </w:r>
    <w:r w:rsidR="00E867DC" w:rsidRPr="00E867DC">
      <w:rPr>
        <w:sz w:val="18"/>
        <w:szCs w:val="18"/>
        <w:lang w:val="es-CO"/>
      </w:rPr>
      <w:t>º. Edificio Nue</w:t>
    </w:r>
    <w:r>
      <w:rPr>
        <w:sz w:val="18"/>
        <w:szCs w:val="18"/>
        <w:lang w:val="es-CO"/>
      </w:rPr>
      <w:t>vo del Congreso – Tel: 382 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6F" w:rsidRDefault="00863F6F" w:rsidP="00E867DC">
      <w:r>
        <w:separator/>
      </w:r>
    </w:p>
  </w:footnote>
  <w:footnote w:type="continuationSeparator" w:id="0">
    <w:p w:rsidR="00863F6F" w:rsidRDefault="00863F6F" w:rsidP="00E8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DC" w:rsidRPr="00E867DC" w:rsidRDefault="00E867DC" w:rsidP="00E867DC">
    <w:pPr>
      <w:pStyle w:val="Encabezado"/>
      <w:jc w:val="center"/>
    </w:pPr>
    <w:r>
      <w:rPr>
        <w:noProof/>
        <w:lang w:val="es-CO" w:eastAsia="es-CO"/>
      </w:rPr>
      <w:drawing>
        <wp:inline distT="0" distB="0" distL="0" distR="0">
          <wp:extent cx="3373747" cy="1144800"/>
          <wp:effectExtent l="0" t="0" r="0" b="0"/>
          <wp:docPr id="3" name="Imagen 3"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837" cy="11448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DC9"/>
    <w:multiLevelType w:val="hybridMultilevel"/>
    <w:tmpl w:val="4E8CB07E"/>
    <w:lvl w:ilvl="0" w:tplc="CD3E4082">
      <w:start w:val="1"/>
      <w:numFmt w:val="lowerRoman"/>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9BC11C0"/>
    <w:multiLevelType w:val="hybridMultilevel"/>
    <w:tmpl w:val="6E7E48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60C07D5"/>
    <w:multiLevelType w:val="hybridMultilevel"/>
    <w:tmpl w:val="BA3C34BC"/>
    <w:lvl w:ilvl="0" w:tplc="893C220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5A365FA"/>
    <w:multiLevelType w:val="hybridMultilevel"/>
    <w:tmpl w:val="F45ADE0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68B1131B"/>
    <w:multiLevelType w:val="hybridMultilevel"/>
    <w:tmpl w:val="EDBE3EC0"/>
    <w:lvl w:ilvl="0" w:tplc="ABBA7A58">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AD103E5"/>
    <w:multiLevelType w:val="hybridMultilevel"/>
    <w:tmpl w:val="4E78CB7C"/>
    <w:lvl w:ilvl="0" w:tplc="CD3E4082">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DC"/>
    <w:rsid w:val="000136A6"/>
    <w:rsid w:val="000D5B8C"/>
    <w:rsid w:val="00101AFA"/>
    <w:rsid w:val="00140861"/>
    <w:rsid w:val="00185ACC"/>
    <w:rsid w:val="00285CA8"/>
    <w:rsid w:val="002A6285"/>
    <w:rsid w:val="002B60C9"/>
    <w:rsid w:val="002B7BA4"/>
    <w:rsid w:val="002C00A6"/>
    <w:rsid w:val="002E3F29"/>
    <w:rsid w:val="003114EE"/>
    <w:rsid w:val="00380102"/>
    <w:rsid w:val="003C08E3"/>
    <w:rsid w:val="00403936"/>
    <w:rsid w:val="00403F43"/>
    <w:rsid w:val="004C15F6"/>
    <w:rsid w:val="00517559"/>
    <w:rsid w:val="00570B56"/>
    <w:rsid w:val="005A5FBB"/>
    <w:rsid w:val="005B5C08"/>
    <w:rsid w:val="0062004B"/>
    <w:rsid w:val="00647891"/>
    <w:rsid w:val="006575E9"/>
    <w:rsid w:val="006A1AE1"/>
    <w:rsid w:val="00713DE3"/>
    <w:rsid w:val="00767F64"/>
    <w:rsid w:val="007D0BA3"/>
    <w:rsid w:val="007D6D5E"/>
    <w:rsid w:val="008528D3"/>
    <w:rsid w:val="00863963"/>
    <w:rsid w:val="00863F6F"/>
    <w:rsid w:val="00880366"/>
    <w:rsid w:val="008D71BC"/>
    <w:rsid w:val="00906D0E"/>
    <w:rsid w:val="009132C4"/>
    <w:rsid w:val="009209F6"/>
    <w:rsid w:val="009337FB"/>
    <w:rsid w:val="00963204"/>
    <w:rsid w:val="00983A98"/>
    <w:rsid w:val="00A10546"/>
    <w:rsid w:val="00AF2F43"/>
    <w:rsid w:val="00B1438C"/>
    <w:rsid w:val="00B230FE"/>
    <w:rsid w:val="00B24270"/>
    <w:rsid w:val="00B70130"/>
    <w:rsid w:val="00BB4039"/>
    <w:rsid w:val="00BE0744"/>
    <w:rsid w:val="00C063C0"/>
    <w:rsid w:val="00C20BE0"/>
    <w:rsid w:val="00C84AB8"/>
    <w:rsid w:val="00CC3F29"/>
    <w:rsid w:val="00CC477B"/>
    <w:rsid w:val="00CD1D3D"/>
    <w:rsid w:val="00D0287E"/>
    <w:rsid w:val="00D26BE3"/>
    <w:rsid w:val="00D51663"/>
    <w:rsid w:val="00D90859"/>
    <w:rsid w:val="00DE63FE"/>
    <w:rsid w:val="00E35B4B"/>
    <w:rsid w:val="00E5300C"/>
    <w:rsid w:val="00E76748"/>
    <w:rsid w:val="00E867DC"/>
    <w:rsid w:val="00EB1A14"/>
    <w:rsid w:val="00F05F49"/>
    <w:rsid w:val="00F15EB3"/>
    <w:rsid w:val="00F363E8"/>
    <w:rsid w:val="00F65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D0397-FD2D-4D20-85C7-CC2BEEA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BC"/>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 w:type="paragraph" w:styleId="Textonotapie">
    <w:name w:val="footnote text"/>
    <w:aliases w:val="ft,Texto nota pie2,ft1,ft Car Car Car1,Texto nota pie Car2,ft Car Car2,ft Car,ft Car Car,ft Car Car Car,FA Fu,Footnote Text Char Char Char Char Char,Footnote Text Char Char Char Char,Footnote reference,Footnote Text Char Char Char,ft Char"/>
    <w:basedOn w:val="Normal"/>
    <w:link w:val="TextonotapieCar"/>
    <w:uiPriority w:val="99"/>
    <w:unhideWhenUsed/>
    <w:rsid w:val="00F363E8"/>
    <w:pPr>
      <w:widowControl/>
      <w:autoSpaceDE/>
      <w:autoSpaceDN/>
      <w:adjustRightInd/>
    </w:pPr>
    <w:rPr>
      <w:rFonts w:asciiTheme="minorHAnsi" w:eastAsiaTheme="minorHAnsi" w:hAnsiTheme="minorHAnsi" w:cstheme="minorBidi"/>
      <w:sz w:val="20"/>
      <w:szCs w:val="20"/>
      <w:lang w:val="es-CO" w:eastAsia="en-US"/>
    </w:rPr>
  </w:style>
  <w:style w:type="character" w:customStyle="1" w:styleId="TextonotapieCar">
    <w:name w:val="Texto nota pie Car"/>
    <w:aliases w:val="ft Car1,Texto nota pie2 Car,ft1 Car,ft Car Car Car1 Car,Texto nota pie Car2 Car,ft Car Car2 Car,ft Car Car1,ft Car Car Car2,ft Car Car Car Car,FA Fu Car,Footnote Text Char Char Char Char Char Car,Footnote Text Char Char Char Char Car"/>
    <w:basedOn w:val="Fuentedeprrafopredeter"/>
    <w:link w:val="Textonotapie"/>
    <w:uiPriority w:val="99"/>
    <w:rsid w:val="00F363E8"/>
    <w:rPr>
      <w:sz w:val="20"/>
      <w:szCs w:val="20"/>
    </w:rPr>
  </w:style>
  <w:style w:type="character" w:styleId="Refdenotaalpie">
    <w:name w:val="footnote reference"/>
    <w:aliases w:val="Ref. de nota al pie2,Texto de nota al pie,Nota de pie,Ref,de nota al pie"/>
    <w:basedOn w:val="Fuentedeprrafopredeter"/>
    <w:uiPriority w:val="99"/>
    <w:unhideWhenUsed/>
    <w:rsid w:val="00F36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80232-1361-4835-99D3-22917996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371</Words>
  <Characters>2043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soniacortes</cp:lastModifiedBy>
  <cp:revision>5</cp:revision>
  <cp:lastPrinted>2015-04-22T13:16:00Z</cp:lastPrinted>
  <dcterms:created xsi:type="dcterms:W3CDTF">2015-04-22T12:58:00Z</dcterms:created>
  <dcterms:modified xsi:type="dcterms:W3CDTF">2015-04-22T13:18:00Z</dcterms:modified>
</cp:coreProperties>
</file>