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51A" w:rsidRPr="00AC3054" w:rsidRDefault="00BC451A" w:rsidP="00BC451A">
      <w:pPr>
        <w:spacing w:after="0" w:line="240" w:lineRule="auto"/>
        <w:jc w:val="center"/>
        <w:rPr>
          <w:rFonts w:ascii="Arial Narrow" w:hAnsi="Arial Narrow" w:cs="Arial"/>
          <w:b/>
          <w:sz w:val="24"/>
          <w:szCs w:val="24"/>
          <w:lang w:val="es-ES_tradnl"/>
        </w:rPr>
      </w:pPr>
      <w:bookmarkStart w:id="0" w:name="_GoBack"/>
      <w:bookmarkEnd w:id="0"/>
    </w:p>
    <w:p w:rsidR="00BC451A" w:rsidRPr="00BC451A" w:rsidRDefault="00BC451A" w:rsidP="00BC451A">
      <w:pPr>
        <w:spacing w:after="0" w:line="240" w:lineRule="auto"/>
        <w:jc w:val="center"/>
        <w:rPr>
          <w:rFonts w:ascii="Arial Narrow" w:hAnsi="Arial Narrow" w:cs="Arial"/>
          <w:b/>
          <w:iCs/>
          <w:sz w:val="24"/>
          <w:szCs w:val="24"/>
          <w:lang w:val="es-ES_tradnl"/>
        </w:rPr>
      </w:pPr>
      <w:r w:rsidRPr="00BC451A">
        <w:rPr>
          <w:rFonts w:ascii="Arial Narrow" w:hAnsi="Arial Narrow" w:cs="Arial"/>
          <w:b/>
          <w:sz w:val="24"/>
          <w:szCs w:val="24"/>
          <w:lang w:val="es-ES_tradnl"/>
        </w:rPr>
        <w:t>PONENCIA SEGUNDO DEBATE EN CÁMARA SEGUNDA VUELTA AL PROYECTO DE ACTO LEGISLATIVO 167 DE 2014 CAMARA, 022 de 2014 SENADO “</w:t>
      </w:r>
      <w:r w:rsidRPr="00BC451A">
        <w:rPr>
          <w:rFonts w:ascii="Arial Narrow" w:eastAsia="Helvetica" w:hAnsi="Arial Narrow" w:cs="Arial"/>
          <w:b/>
          <w:sz w:val="24"/>
          <w:szCs w:val="24"/>
          <w:lang w:val="es-ES_tradnl"/>
        </w:rPr>
        <w:t>P</w:t>
      </w:r>
      <w:r w:rsidRPr="00BC451A">
        <w:rPr>
          <w:rFonts w:ascii="Arial Narrow" w:eastAsia="Helvetica" w:hAnsi="Arial Narrow" w:cs="Arial"/>
          <w:b/>
          <w:i/>
          <w:sz w:val="24"/>
          <w:szCs w:val="24"/>
          <w:lang w:val="es-ES_tradnl"/>
        </w:rPr>
        <w:t>or el cual se reforma el artículo 221 de la Constitución Política de Colombia”</w:t>
      </w:r>
    </w:p>
    <w:p w:rsidR="00BC451A" w:rsidRPr="00BC451A" w:rsidRDefault="00BC451A" w:rsidP="00BC451A">
      <w:pPr>
        <w:spacing w:after="0" w:line="240" w:lineRule="auto"/>
        <w:contextualSpacing/>
        <w:jc w:val="center"/>
        <w:rPr>
          <w:rFonts w:ascii="Arial Narrow" w:hAnsi="Arial Narrow" w:cs="Arial"/>
          <w:sz w:val="24"/>
          <w:szCs w:val="24"/>
          <w:lang w:val="es-ES_tradnl"/>
        </w:rPr>
      </w:pPr>
    </w:p>
    <w:p w:rsidR="00BC451A" w:rsidRPr="00BC451A" w:rsidRDefault="00BC451A" w:rsidP="00BC451A">
      <w:pPr>
        <w:spacing w:after="0" w:line="240" w:lineRule="auto"/>
        <w:contextualSpacing/>
        <w:rPr>
          <w:rFonts w:ascii="Arial Narrow" w:hAnsi="Arial Narrow" w:cs="Arial"/>
          <w:sz w:val="24"/>
          <w:szCs w:val="24"/>
        </w:rPr>
      </w:pPr>
    </w:p>
    <w:p w:rsidR="00BC451A" w:rsidRPr="00BC451A" w:rsidRDefault="00BC451A" w:rsidP="00BC451A">
      <w:pPr>
        <w:spacing w:after="0" w:line="240" w:lineRule="auto"/>
        <w:contextualSpacing/>
        <w:rPr>
          <w:rFonts w:ascii="Arial Narrow" w:hAnsi="Arial Narrow" w:cs="Arial"/>
          <w:sz w:val="24"/>
          <w:szCs w:val="24"/>
        </w:rPr>
      </w:pPr>
    </w:p>
    <w:p w:rsidR="00BC451A" w:rsidRPr="00BC451A" w:rsidRDefault="00BC451A" w:rsidP="00BC451A">
      <w:pPr>
        <w:spacing w:after="0" w:line="240" w:lineRule="auto"/>
        <w:contextualSpacing/>
        <w:rPr>
          <w:rFonts w:ascii="Arial Narrow" w:hAnsi="Arial Narrow" w:cs="Arial"/>
          <w:sz w:val="24"/>
          <w:szCs w:val="24"/>
        </w:rPr>
      </w:pPr>
      <w:r w:rsidRPr="00BC451A">
        <w:rPr>
          <w:rFonts w:ascii="Arial Narrow" w:hAnsi="Arial Narrow" w:cs="Arial"/>
          <w:sz w:val="24"/>
          <w:szCs w:val="24"/>
        </w:rPr>
        <w:t>Bogotá, D.C, Mayo de 2015</w:t>
      </w:r>
    </w:p>
    <w:p w:rsidR="00BC451A" w:rsidRPr="00BC451A" w:rsidRDefault="00BC451A" w:rsidP="00BC451A">
      <w:pPr>
        <w:spacing w:after="0" w:line="240" w:lineRule="auto"/>
        <w:contextualSpacing/>
        <w:rPr>
          <w:rFonts w:ascii="Arial Narrow" w:hAnsi="Arial Narrow" w:cs="Arial"/>
          <w:sz w:val="24"/>
          <w:szCs w:val="24"/>
        </w:rPr>
      </w:pPr>
    </w:p>
    <w:p w:rsidR="00BC451A" w:rsidRPr="00BC451A" w:rsidRDefault="00BC451A" w:rsidP="00BC451A">
      <w:pPr>
        <w:spacing w:after="0" w:line="240" w:lineRule="auto"/>
        <w:contextualSpacing/>
        <w:rPr>
          <w:rFonts w:ascii="Arial Narrow" w:hAnsi="Arial Narrow" w:cs="Arial"/>
          <w:sz w:val="24"/>
          <w:szCs w:val="24"/>
        </w:rPr>
      </w:pPr>
    </w:p>
    <w:p w:rsidR="00BC451A" w:rsidRPr="00BC451A" w:rsidRDefault="00BC451A" w:rsidP="00BC451A">
      <w:pPr>
        <w:spacing w:after="0" w:line="240" w:lineRule="auto"/>
        <w:contextualSpacing/>
        <w:rPr>
          <w:rFonts w:ascii="Arial Narrow" w:hAnsi="Arial Narrow" w:cs="Arial"/>
          <w:sz w:val="24"/>
          <w:szCs w:val="24"/>
        </w:rPr>
      </w:pPr>
      <w:r w:rsidRPr="00BC451A">
        <w:rPr>
          <w:rFonts w:ascii="Arial Narrow" w:hAnsi="Arial Narrow" w:cs="Arial"/>
          <w:sz w:val="24"/>
          <w:szCs w:val="24"/>
        </w:rPr>
        <w:t>H. Representante</w:t>
      </w:r>
    </w:p>
    <w:p w:rsidR="00BC451A" w:rsidRPr="00BC451A" w:rsidRDefault="00BC451A" w:rsidP="00BC451A">
      <w:pPr>
        <w:spacing w:after="0" w:line="240" w:lineRule="auto"/>
        <w:contextualSpacing/>
        <w:rPr>
          <w:rFonts w:ascii="Arial Narrow" w:hAnsi="Arial Narrow" w:cs="Arial"/>
          <w:b/>
          <w:sz w:val="24"/>
          <w:szCs w:val="24"/>
        </w:rPr>
      </w:pPr>
      <w:r w:rsidRPr="00BC451A">
        <w:rPr>
          <w:rFonts w:ascii="Arial Narrow" w:hAnsi="Arial Narrow" w:cs="Arial"/>
          <w:b/>
          <w:sz w:val="24"/>
          <w:szCs w:val="24"/>
        </w:rPr>
        <w:t>JAIME BUENAHORA FEBRES</w:t>
      </w:r>
    </w:p>
    <w:p w:rsidR="00BC451A" w:rsidRPr="00BC451A" w:rsidRDefault="00BC451A" w:rsidP="00BC451A">
      <w:pPr>
        <w:spacing w:after="0" w:line="240" w:lineRule="auto"/>
        <w:contextualSpacing/>
        <w:rPr>
          <w:rFonts w:ascii="Arial Narrow" w:hAnsi="Arial Narrow" w:cs="Arial"/>
          <w:sz w:val="24"/>
          <w:szCs w:val="24"/>
        </w:rPr>
      </w:pPr>
      <w:r w:rsidRPr="00BC451A">
        <w:rPr>
          <w:rFonts w:ascii="Arial Narrow" w:hAnsi="Arial Narrow" w:cs="Arial"/>
          <w:sz w:val="24"/>
          <w:szCs w:val="24"/>
        </w:rPr>
        <w:t>Presidente Comisión Primera</w:t>
      </w:r>
    </w:p>
    <w:p w:rsidR="00BC451A" w:rsidRPr="00BC451A" w:rsidRDefault="00BC451A" w:rsidP="00BC451A">
      <w:pPr>
        <w:spacing w:after="0" w:line="240" w:lineRule="auto"/>
        <w:contextualSpacing/>
        <w:rPr>
          <w:rFonts w:ascii="Arial Narrow" w:hAnsi="Arial Narrow" w:cs="Arial"/>
          <w:sz w:val="24"/>
          <w:szCs w:val="24"/>
          <w:lang w:val="es-ES_tradnl"/>
        </w:rPr>
      </w:pPr>
      <w:r w:rsidRPr="00BC451A">
        <w:rPr>
          <w:rFonts w:ascii="Arial Narrow" w:hAnsi="Arial Narrow" w:cs="Arial"/>
          <w:sz w:val="24"/>
          <w:szCs w:val="24"/>
        </w:rPr>
        <w:t>C</w:t>
      </w:r>
      <w:proofErr w:type="spellStart"/>
      <w:r w:rsidRPr="00BC451A">
        <w:rPr>
          <w:rFonts w:ascii="Arial Narrow" w:hAnsi="Arial Narrow" w:cs="Arial"/>
          <w:sz w:val="24"/>
          <w:szCs w:val="24"/>
          <w:lang w:val="es-ES_tradnl"/>
        </w:rPr>
        <w:t>ámara</w:t>
      </w:r>
      <w:proofErr w:type="spellEnd"/>
      <w:r w:rsidRPr="00BC451A">
        <w:rPr>
          <w:rFonts w:ascii="Arial Narrow" w:hAnsi="Arial Narrow" w:cs="Arial"/>
          <w:sz w:val="24"/>
          <w:szCs w:val="24"/>
          <w:lang w:val="es-ES_tradnl"/>
        </w:rPr>
        <w:t xml:space="preserve"> de Representantes</w:t>
      </w:r>
    </w:p>
    <w:p w:rsidR="00BC451A" w:rsidRPr="00BC451A" w:rsidRDefault="00BC451A" w:rsidP="00BC451A">
      <w:pPr>
        <w:spacing w:after="0" w:line="240" w:lineRule="auto"/>
        <w:contextualSpacing/>
        <w:rPr>
          <w:rFonts w:ascii="Arial Narrow" w:hAnsi="Arial Narrow" w:cs="Arial"/>
          <w:sz w:val="24"/>
          <w:szCs w:val="24"/>
          <w:lang w:val="es-ES_tradnl"/>
        </w:rPr>
      </w:pPr>
      <w:r w:rsidRPr="00BC451A">
        <w:rPr>
          <w:rFonts w:ascii="Arial Narrow" w:hAnsi="Arial Narrow" w:cs="Arial"/>
          <w:sz w:val="24"/>
          <w:szCs w:val="24"/>
          <w:lang w:val="es-ES_tradnl"/>
        </w:rPr>
        <w:t>Congreso de la República</w:t>
      </w:r>
    </w:p>
    <w:p w:rsidR="00BC451A" w:rsidRPr="00BC451A" w:rsidRDefault="00BC451A" w:rsidP="00BC451A">
      <w:pPr>
        <w:spacing w:after="0" w:line="240" w:lineRule="auto"/>
        <w:contextualSpacing/>
        <w:rPr>
          <w:rFonts w:ascii="Arial Narrow" w:hAnsi="Arial Narrow" w:cs="Arial"/>
          <w:sz w:val="24"/>
          <w:szCs w:val="24"/>
        </w:rPr>
      </w:pPr>
      <w:r w:rsidRPr="00BC451A">
        <w:rPr>
          <w:rFonts w:ascii="Arial Narrow" w:hAnsi="Arial Narrow" w:cs="Arial"/>
          <w:sz w:val="24"/>
          <w:szCs w:val="24"/>
        </w:rPr>
        <w:t>Ciudad</w:t>
      </w:r>
    </w:p>
    <w:p w:rsidR="00BC451A" w:rsidRPr="00BC451A" w:rsidRDefault="00BC451A" w:rsidP="00BC451A">
      <w:pPr>
        <w:spacing w:after="0" w:line="240" w:lineRule="auto"/>
        <w:contextualSpacing/>
        <w:rPr>
          <w:rFonts w:ascii="Arial Narrow" w:hAnsi="Arial Narrow" w:cs="Arial"/>
          <w:sz w:val="24"/>
          <w:szCs w:val="24"/>
        </w:rPr>
      </w:pPr>
    </w:p>
    <w:p w:rsidR="00BC451A" w:rsidRPr="00BC451A" w:rsidRDefault="00BC451A" w:rsidP="00BC451A">
      <w:pPr>
        <w:spacing w:after="0" w:line="240" w:lineRule="auto"/>
        <w:contextualSpacing/>
        <w:rPr>
          <w:rFonts w:ascii="Arial Narrow" w:hAnsi="Arial Narrow" w:cs="Arial"/>
          <w:sz w:val="24"/>
          <w:szCs w:val="24"/>
        </w:rPr>
      </w:pPr>
    </w:p>
    <w:p w:rsidR="00BC451A" w:rsidRPr="00BC451A" w:rsidRDefault="00BC451A" w:rsidP="00BC451A">
      <w:pPr>
        <w:spacing w:after="0" w:line="240" w:lineRule="auto"/>
        <w:contextualSpacing/>
        <w:jc w:val="both"/>
        <w:rPr>
          <w:rFonts w:ascii="Arial Narrow" w:hAnsi="Arial Narrow" w:cs="Arial"/>
          <w:b/>
          <w:sz w:val="24"/>
          <w:szCs w:val="24"/>
        </w:rPr>
      </w:pPr>
      <w:proofErr w:type="spellStart"/>
      <w:r w:rsidRPr="00BC451A">
        <w:rPr>
          <w:rFonts w:ascii="Arial Narrow" w:hAnsi="Arial Narrow" w:cs="Arial"/>
          <w:b/>
          <w:sz w:val="24"/>
          <w:szCs w:val="24"/>
        </w:rPr>
        <w:t>Ref</w:t>
      </w:r>
      <w:proofErr w:type="spellEnd"/>
      <w:r w:rsidRPr="00BC451A">
        <w:rPr>
          <w:rFonts w:ascii="Arial Narrow" w:hAnsi="Arial Narrow" w:cs="Arial"/>
          <w:b/>
          <w:sz w:val="24"/>
          <w:szCs w:val="24"/>
        </w:rPr>
        <w:t>: Informe de ponencia para Segundo Debate en Segunda Vuelta en C</w:t>
      </w:r>
      <w:proofErr w:type="spellStart"/>
      <w:r w:rsidRPr="00BC451A">
        <w:rPr>
          <w:rFonts w:ascii="Arial Narrow" w:hAnsi="Arial Narrow" w:cs="Arial"/>
          <w:b/>
          <w:sz w:val="24"/>
          <w:szCs w:val="24"/>
          <w:lang w:val="es-ES_tradnl"/>
        </w:rPr>
        <w:t>ámara</w:t>
      </w:r>
      <w:proofErr w:type="spellEnd"/>
      <w:r w:rsidRPr="00BC451A">
        <w:rPr>
          <w:rFonts w:ascii="Arial Narrow" w:hAnsi="Arial Narrow" w:cs="Arial"/>
          <w:b/>
          <w:sz w:val="24"/>
          <w:szCs w:val="24"/>
        </w:rPr>
        <w:t xml:space="preserve"> al Proyecto de Acto Legislativo 167 de 2014 Cámara, 022 de 2014 Senado “Por el cual se reforma el artículo 221 de la Constitución Política de Colombia.”</w:t>
      </w:r>
    </w:p>
    <w:p w:rsidR="00BC451A" w:rsidRPr="00BC451A" w:rsidRDefault="00BC451A" w:rsidP="00BC451A">
      <w:pPr>
        <w:spacing w:after="0" w:line="240" w:lineRule="auto"/>
        <w:contextualSpacing/>
        <w:rPr>
          <w:rFonts w:ascii="Arial Narrow" w:hAnsi="Arial Narrow" w:cs="Arial"/>
          <w:sz w:val="24"/>
          <w:szCs w:val="24"/>
        </w:rPr>
      </w:pPr>
    </w:p>
    <w:p w:rsidR="00BC451A" w:rsidRPr="00BC451A" w:rsidRDefault="00BC451A" w:rsidP="00BC451A">
      <w:pPr>
        <w:spacing w:after="0" w:line="240" w:lineRule="auto"/>
        <w:contextualSpacing/>
        <w:jc w:val="both"/>
        <w:rPr>
          <w:rFonts w:ascii="Arial Narrow" w:hAnsi="Arial Narrow" w:cs="Arial"/>
          <w:sz w:val="24"/>
          <w:szCs w:val="24"/>
        </w:rPr>
      </w:pPr>
    </w:p>
    <w:p w:rsidR="00BC451A" w:rsidRPr="00BC451A" w:rsidRDefault="00BC451A" w:rsidP="00BC451A">
      <w:pPr>
        <w:spacing w:after="0" w:line="240" w:lineRule="auto"/>
        <w:contextualSpacing/>
        <w:jc w:val="both"/>
        <w:rPr>
          <w:rFonts w:ascii="Arial Narrow" w:hAnsi="Arial Narrow" w:cs="Arial"/>
          <w:sz w:val="24"/>
          <w:szCs w:val="24"/>
        </w:rPr>
      </w:pPr>
      <w:r w:rsidRPr="00BC451A">
        <w:rPr>
          <w:rFonts w:ascii="Arial Narrow" w:hAnsi="Arial Narrow" w:cs="Arial"/>
          <w:sz w:val="24"/>
          <w:szCs w:val="24"/>
        </w:rPr>
        <w:t>Honorable Presidente:</w:t>
      </w:r>
    </w:p>
    <w:p w:rsidR="00BC451A" w:rsidRPr="00BC451A" w:rsidRDefault="00BC451A" w:rsidP="00BC451A">
      <w:pPr>
        <w:spacing w:after="0" w:line="240" w:lineRule="auto"/>
        <w:contextualSpacing/>
        <w:jc w:val="both"/>
        <w:rPr>
          <w:rFonts w:ascii="Arial Narrow" w:hAnsi="Arial Narrow" w:cs="Arial"/>
          <w:b/>
          <w:sz w:val="24"/>
          <w:szCs w:val="24"/>
        </w:rPr>
      </w:pPr>
    </w:p>
    <w:p w:rsidR="00BC451A" w:rsidRPr="00BC451A" w:rsidRDefault="00BC451A" w:rsidP="00BC451A">
      <w:pPr>
        <w:spacing w:after="0" w:line="240" w:lineRule="auto"/>
        <w:jc w:val="both"/>
        <w:rPr>
          <w:rFonts w:ascii="Arial Narrow" w:hAnsi="Arial Narrow" w:cs="Arial"/>
          <w:sz w:val="24"/>
          <w:szCs w:val="24"/>
        </w:rPr>
      </w:pPr>
      <w:r w:rsidRPr="00BC451A">
        <w:rPr>
          <w:rFonts w:ascii="Arial Narrow" w:hAnsi="Arial Narrow" w:cs="Arial"/>
          <w:sz w:val="24"/>
          <w:szCs w:val="24"/>
        </w:rPr>
        <w:t xml:space="preserve">Atendiendo la honrosa designación que me ha hecho como ponente, y en cumplimiento a lo dispuesto en la Ley 5ª de 1992, me permito rendir ponencia positiva para segundo debate en Cámara al </w:t>
      </w:r>
      <w:bookmarkStart w:id="1" w:name="OLE_LINK21"/>
      <w:bookmarkStart w:id="2" w:name="OLE_LINK22"/>
      <w:r w:rsidRPr="00BC451A">
        <w:rPr>
          <w:rFonts w:ascii="Arial Narrow" w:hAnsi="Arial Narrow" w:cs="Arial"/>
          <w:sz w:val="24"/>
          <w:szCs w:val="24"/>
        </w:rPr>
        <w:t>Proyecto de Acto Legislativo No.167 de 2014 Cámara / 022</w:t>
      </w:r>
      <w:r w:rsidRPr="00BC451A">
        <w:rPr>
          <w:rFonts w:ascii="Arial Narrow" w:hAnsi="Arial Narrow" w:cs="Arial"/>
          <w:bCs/>
          <w:color w:val="000000"/>
          <w:sz w:val="24"/>
          <w:szCs w:val="24"/>
        </w:rPr>
        <w:t xml:space="preserve"> de 2014 Senado, </w:t>
      </w:r>
      <w:r w:rsidRPr="00BC451A">
        <w:rPr>
          <w:rFonts w:ascii="Arial Narrow" w:hAnsi="Arial Narrow" w:cs="Arial"/>
          <w:i/>
          <w:sz w:val="24"/>
          <w:szCs w:val="24"/>
        </w:rPr>
        <w:t>“</w:t>
      </w:r>
      <w:r w:rsidRPr="00BC451A">
        <w:rPr>
          <w:rFonts w:ascii="Arial Narrow" w:eastAsia="Helvetica" w:hAnsi="Arial Narrow" w:cs="Arial"/>
          <w:i/>
          <w:sz w:val="24"/>
          <w:szCs w:val="24"/>
        </w:rPr>
        <w:t>Por el cual se reforma el artículo 221 de la Constitución Política de Colombia</w:t>
      </w:r>
      <w:r w:rsidRPr="00BC451A">
        <w:rPr>
          <w:rFonts w:ascii="Arial Narrow" w:hAnsi="Arial Narrow" w:cs="Arial"/>
          <w:i/>
          <w:iCs/>
          <w:sz w:val="24"/>
          <w:szCs w:val="24"/>
        </w:rPr>
        <w:t>”</w:t>
      </w:r>
      <w:bookmarkEnd w:id="1"/>
      <w:bookmarkEnd w:id="2"/>
      <w:r w:rsidRPr="00BC451A">
        <w:rPr>
          <w:rFonts w:ascii="Arial Narrow" w:hAnsi="Arial Narrow" w:cs="Arial"/>
          <w:i/>
          <w:iCs/>
          <w:sz w:val="24"/>
          <w:szCs w:val="24"/>
        </w:rPr>
        <w:t>.</w:t>
      </w:r>
    </w:p>
    <w:p w:rsidR="00BC451A" w:rsidRPr="00BC451A" w:rsidRDefault="00BC451A" w:rsidP="00BC451A">
      <w:pPr>
        <w:spacing w:after="0" w:line="240" w:lineRule="auto"/>
        <w:contextualSpacing/>
        <w:rPr>
          <w:rFonts w:ascii="Arial Narrow" w:hAnsi="Arial Narrow" w:cs="Arial"/>
          <w:sz w:val="24"/>
          <w:szCs w:val="24"/>
        </w:rPr>
      </w:pPr>
    </w:p>
    <w:p w:rsidR="00BC451A" w:rsidRPr="00BC451A" w:rsidRDefault="00BC451A" w:rsidP="00BC451A">
      <w:pPr>
        <w:spacing w:after="0" w:line="240" w:lineRule="auto"/>
        <w:jc w:val="both"/>
        <w:rPr>
          <w:rFonts w:ascii="Arial Narrow" w:hAnsi="Arial Narrow" w:cs="Arial"/>
          <w:sz w:val="24"/>
          <w:szCs w:val="24"/>
        </w:rPr>
      </w:pPr>
    </w:p>
    <w:p w:rsidR="00BC451A" w:rsidRPr="00BC451A" w:rsidRDefault="00BC451A" w:rsidP="00BC451A">
      <w:pPr>
        <w:spacing w:after="0" w:line="240" w:lineRule="auto"/>
        <w:jc w:val="both"/>
        <w:rPr>
          <w:rFonts w:ascii="Arial Narrow" w:hAnsi="Arial Narrow" w:cs="Arial"/>
          <w:sz w:val="24"/>
          <w:szCs w:val="24"/>
        </w:rPr>
      </w:pPr>
    </w:p>
    <w:p w:rsidR="00BC451A" w:rsidRPr="00BC451A" w:rsidRDefault="00BC451A" w:rsidP="00BC451A">
      <w:pPr>
        <w:spacing w:after="0" w:line="240" w:lineRule="auto"/>
        <w:jc w:val="both"/>
        <w:rPr>
          <w:rFonts w:ascii="Arial Narrow" w:hAnsi="Arial Narrow" w:cs="Arial"/>
          <w:sz w:val="24"/>
          <w:szCs w:val="24"/>
        </w:rPr>
      </w:pPr>
      <w:r w:rsidRPr="00BC451A">
        <w:rPr>
          <w:rFonts w:ascii="Arial Narrow" w:hAnsi="Arial Narrow" w:cs="Arial"/>
          <w:sz w:val="24"/>
          <w:szCs w:val="24"/>
        </w:rPr>
        <w:t>Cordialmente,</w:t>
      </w:r>
    </w:p>
    <w:p w:rsidR="00BC451A" w:rsidRPr="00BC451A" w:rsidRDefault="00BC451A" w:rsidP="00BC451A">
      <w:pPr>
        <w:spacing w:after="0" w:line="240" w:lineRule="auto"/>
        <w:rPr>
          <w:rFonts w:ascii="Arial Narrow" w:hAnsi="Arial Narrow" w:cs="Arial"/>
          <w:sz w:val="24"/>
          <w:szCs w:val="24"/>
        </w:rPr>
      </w:pPr>
    </w:p>
    <w:p w:rsidR="00BC451A" w:rsidRPr="00BC451A" w:rsidRDefault="00BC451A" w:rsidP="00BC451A">
      <w:pPr>
        <w:spacing w:after="0" w:line="240" w:lineRule="auto"/>
        <w:rPr>
          <w:rFonts w:ascii="Arial Narrow" w:hAnsi="Arial Narrow" w:cs="Arial"/>
          <w:sz w:val="24"/>
          <w:szCs w:val="24"/>
        </w:rPr>
      </w:pPr>
    </w:p>
    <w:p w:rsidR="00BC451A" w:rsidRPr="00BC451A" w:rsidRDefault="00BC451A" w:rsidP="00BC451A">
      <w:pPr>
        <w:spacing w:after="0" w:line="240" w:lineRule="auto"/>
        <w:rPr>
          <w:rFonts w:ascii="Arial Narrow" w:hAnsi="Arial Narrow" w:cs="Arial"/>
          <w:b/>
          <w:sz w:val="24"/>
          <w:szCs w:val="24"/>
        </w:rPr>
      </w:pPr>
    </w:p>
    <w:p w:rsidR="00BC451A" w:rsidRPr="00BC451A" w:rsidRDefault="00BC451A" w:rsidP="00BC451A">
      <w:pPr>
        <w:spacing w:after="0" w:line="240" w:lineRule="auto"/>
        <w:rPr>
          <w:rFonts w:ascii="Arial Narrow" w:hAnsi="Arial Narrow" w:cs="Arial"/>
          <w:b/>
          <w:sz w:val="24"/>
          <w:szCs w:val="24"/>
        </w:rPr>
      </w:pPr>
    </w:p>
    <w:p w:rsidR="00BC451A" w:rsidRPr="00BC451A" w:rsidRDefault="00BC451A" w:rsidP="00BC451A">
      <w:pPr>
        <w:spacing w:after="0" w:line="240" w:lineRule="auto"/>
        <w:rPr>
          <w:rFonts w:ascii="Arial Narrow" w:hAnsi="Arial Narrow" w:cs="Arial"/>
          <w:b/>
          <w:sz w:val="24"/>
          <w:szCs w:val="24"/>
        </w:rPr>
      </w:pPr>
    </w:p>
    <w:p w:rsidR="00BC451A" w:rsidRPr="00BC451A" w:rsidRDefault="00BC451A" w:rsidP="00BC451A">
      <w:pPr>
        <w:spacing w:after="0" w:line="240" w:lineRule="auto"/>
        <w:rPr>
          <w:rFonts w:ascii="Arial Narrow" w:hAnsi="Arial Narrow" w:cs="Arial"/>
          <w:b/>
          <w:sz w:val="24"/>
          <w:szCs w:val="24"/>
        </w:rPr>
      </w:pPr>
      <w:r w:rsidRPr="00BC451A">
        <w:rPr>
          <w:rFonts w:ascii="Arial Narrow" w:hAnsi="Arial Narrow" w:cs="Arial"/>
          <w:b/>
          <w:sz w:val="24"/>
          <w:szCs w:val="24"/>
        </w:rPr>
        <w:t>OSCAR FERNANDO BRAVO REALPE</w:t>
      </w:r>
    </w:p>
    <w:p w:rsidR="00BC451A" w:rsidRPr="00BC451A" w:rsidRDefault="00BC451A" w:rsidP="00BC451A">
      <w:pPr>
        <w:spacing w:after="0" w:line="240" w:lineRule="auto"/>
        <w:rPr>
          <w:rFonts w:ascii="Arial Narrow" w:hAnsi="Arial Narrow" w:cs="Arial"/>
          <w:b/>
          <w:sz w:val="24"/>
          <w:szCs w:val="24"/>
        </w:rPr>
      </w:pPr>
      <w:r w:rsidRPr="00BC451A">
        <w:rPr>
          <w:rFonts w:ascii="Arial Narrow" w:hAnsi="Arial Narrow" w:cs="Arial"/>
          <w:sz w:val="24"/>
          <w:szCs w:val="24"/>
        </w:rPr>
        <w:t>Honorable Representante Ponente</w:t>
      </w:r>
      <w:r w:rsidRPr="00BC451A">
        <w:rPr>
          <w:rFonts w:ascii="Arial Narrow" w:hAnsi="Arial Narrow" w:cs="Arial"/>
          <w:b/>
          <w:sz w:val="24"/>
          <w:szCs w:val="24"/>
        </w:rPr>
        <w:tab/>
      </w:r>
      <w:r w:rsidRPr="00BC451A">
        <w:rPr>
          <w:rFonts w:ascii="Arial Narrow" w:hAnsi="Arial Narrow" w:cs="Arial"/>
          <w:b/>
          <w:sz w:val="24"/>
          <w:szCs w:val="24"/>
        </w:rPr>
        <w:tab/>
      </w:r>
    </w:p>
    <w:p w:rsidR="00BC451A" w:rsidRPr="00BC451A" w:rsidRDefault="00BC451A" w:rsidP="00BC451A">
      <w:pPr>
        <w:spacing w:after="0" w:line="240" w:lineRule="auto"/>
        <w:jc w:val="center"/>
        <w:rPr>
          <w:rFonts w:ascii="Arial Narrow" w:hAnsi="Arial Narrow" w:cs="Arial"/>
          <w:b/>
          <w:sz w:val="24"/>
          <w:szCs w:val="24"/>
        </w:rPr>
      </w:pPr>
    </w:p>
    <w:p w:rsidR="00BC451A" w:rsidRPr="00BC451A" w:rsidRDefault="00BC451A" w:rsidP="00BC451A">
      <w:pPr>
        <w:spacing w:after="0" w:line="240" w:lineRule="auto"/>
        <w:jc w:val="center"/>
        <w:rPr>
          <w:rFonts w:ascii="Arial Narrow" w:hAnsi="Arial Narrow" w:cs="Arial"/>
          <w:b/>
          <w:sz w:val="24"/>
          <w:szCs w:val="24"/>
        </w:rPr>
      </w:pPr>
    </w:p>
    <w:p w:rsidR="00BC451A" w:rsidRPr="00BC451A" w:rsidRDefault="00BC451A" w:rsidP="00BC451A">
      <w:pPr>
        <w:spacing w:line="240" w:lineRule="auto"/>
        <w:rPr>
          <w:rFonts w:ascii="Arial Narrow" w:hAnsi="Arial Narrow" w:cs="Arial"/>
          <w:b/>
          <w:sz w:val="24"/>
          <w:szCs w:val="24"/>
        </w:rPr>
      </w:pPr>
      <w:r w:rsidRPr="00BC451A">
        <w:rPr>
          <w:rFonts w:ascii="Arial Narrow" w:hAnsi="Arial Narrow" w:cs="Arial"/>
          <w:b/>
          <w:sz w:val="24"/>
          <w:szCs w:val="24"/>
        </w:rPr>
        <w:br w:type="page"/>
      </w:r>
    </w:p>
    <w:p w:rsidR="00BC451A" w:rsidRPr="00BC451A" w:rsidRDefault="00BC451A" w:rsidP="00BC451A">
      <w:pPr>
        <w:spacing w:after="0" w:line="240" w:lineRule="auto"/>
        <w:jc w:val="center"/>
        <w:rPr>
          <w:rFonts w:ascii="Arial Narrow" w:hAnsi="Arial Narrow" w:cs="Arial"/>
          <w:b/>
          <w:iCs/>
          <w:sz w:val="24"/>
          <w:szCs w:val="24"/>
          <w:lang w:val="es-ES_tradnl"/>
        </w:rPr>
      </w:pPr>
      <w:r w:rsidRPr="00BC451A">
        <w:rPr>
          <w:rFonts w:ascii="Arial Narrow" w:hAnsi="Arial Narrow" w:cs="Arial"/>
          <w:b/>
          <w:sz w:val="24"/>
          <w:szCs w:val="24"/>
          <w:lang w:val="es-ES_tradnl"/>
        </w:rPr>
        <w:lastRenderedPageBreak/>
        <w:t>PONENCIA PRIMER DEBATE EN CÁMARA SEGUNDA VUELTA AL PROYECTO DEACTO LEGISLATIVO 167 DE 2014 CAMARA, 022 de 2014 SENADO “</w:t>
      </w:r>
      <w:r w:rsidRPr="00BC451A">
        <w:rPr>
          <w:rFonts w:ascii="Arial Narrow" w:eastAsia="Helvetica" w:hAnsi="Arial Narrow" w:cs="Arial"/>
          <w:b/>
          <w:sz w:val="24"/>
          <w:szCs w:val="24"/>
          <w:lang w:val="es-ES_tradnl"/>
        </w:rPr>
        <w:t>P</w:t>
      </w:r>
      <w:r w:rsidRPr="00BC451A">
        <w:rPr>
          <w:rFonts w:ascii="Arial Narrow" w:eastAsia="Helvetica" w:hAnsi="Arial Narrow" w:cs="Arial"/>
          <w:b/>
          <w:i/>
          <w:sz w:val="24"/>
          <w:szCs w:val="24"/>
          <w:lang w:val="es-ES_tradnl"/>
        </w:rPr>
        <w:t>or el cual se reforma el artículo 221 de la Constitución Política de Colombia”</w:t>
      </w:r>
    </w:p>
    <w:p w:rsidR="00BC451A" w:rsidRPr="00BC451A" w:rsidRDefault="00BC451A" w:rsidP="00BC451A">
      <w:pPr>
        <w:spacing w:after="0" w:line="240" w:lineRule="auto"/>
        <w:jc w:val="both"/>
        <w:rPr>
          <w:rFonts w:ascii="Arial Narrow" w:hAnsi="Arial Narrow" w:cs="Arial"/>
          <w:sz w:val="24"/>
          <w:szCs w:val="24"/>
          <w:lang w:val="es-ES_tradnl"/>
        </w:rPr>
      </w:pPr>
    </w:p>
    <w:p w:rsidR="00BC451A" w:rsidRPr="00BC451A" w:rsidRDefault="00BC451A" w:rsidP="00BC451A">
      <w:pPr>
        <w:spacing w:after="0" w:line="240" w:lineRule="auto"/>
        <w:jc w:val="both"/>
        <w:rPr>
          <w:rFonts w:ascii="Arial Narrow" w:hAnsi="Arial Narrow" w:cs="Arial"/>
          <w:i/>
          <w:sz w:val="24"/>
          <w:szCs w:val="24"/>
          <w:lang w:val="es-ES_tradnl"/>
        </w:rPr>
      </w:pPr>
      <w:r w:rsidRPr="00BC451A">
        <w:rPr>
          <w:rFonts w:ascii="Arial Narrow" w:hAnsi="Arial Narrow" w:cs="Arial"/>
          <w:sz w:val="24"/>
          <w:szCs w:val="24"/>
          <w:lang w:val="es-ES_tradnl"/>
        </w:rPr>
        <w:t xml:space="preserve">En cumplimiento de la designación que hiciera la mesa Directiva de la Comisión Primera de Cámara, de manera atenta me permito presentar informe de ponencia para el segundo debate en segunda vuelta del Proyecto de Acto Legislativo No. 167 de 2014 Cámara/022 de 2014 Senado </w:t>
      </w:r>
      <w:r w:rsidRPr="00BC451A">
        <w:rPr>
          <w:rFonts w:ascii="Arial Narrow" w:hAnsi="Arial Narrow" w:cs="Arial"/>
          <w:i/>
          <w:sz w:val="24"/>
          <w:szCs w:val="24"/>
          <w:lang w:val="es-ES_tradnl"/>
        </w:rPr>
        <w:t>“Por el cual se reforma el artículo 221 de la Constitución Política de Colombia”.</w:t>
      </w:r>
    </w:p>
    <w:p w:rsidR="00BC451A" w:rsidRPr="00BC451A" w:rsidRDefault="00BC451A" w:rsidP="00BC451A">
      <w:pPr>
        <w:spacing w:after="0" w:line="240" w:lineRule="auto"/>
        <w:jc w:val="both"/>
        <w:rPr>
          <w:rFonts w:ascii="Arial Narrow" w:hAnsi="Arial Narrow" w:cs="Arial"/>
          <w:i/>
          <w:sz w:val="24"/>
          <w:szCs w:val="24"/>
          <w:lang w:val="es-ES_tradnl"/>
        </w:rPr>
      </w:pPr>
    </w:p>
    <w:p w:rsidR="00BC451A" w:rsidRPr="00BC451A" w:rsidRDefault="00BC451A" w:rsidP="00BC451A">
      <w:pPr>
        <w:spacing w:after="0" w:line="240" w:lineRule="auto"/>
        <w:jc w:val="both"/>
        <w:rPr>
          <w:rFonts w:ascii="Arial Narrow" w:hAnsi="Arial Narrow" w:cs="Arial"/>
          <w:sz w:val="24"/>
          <w:szCs w:val="24"/>
          <w:lang w:val="es-ES_tradnl"/>
        </w:rPr>
      </w:pPr>
      <w:r w:rsidRPr="00BC451A">
        <w:rPr>
          <w:rFonts w:ascii="Arial Narrow" w:hAnsi="Arial Narrow" w:cs="Arial"/>
          <w:sz w:val="24"/>
          <w:szCs w:val="24"/>
          <w:lang w:val="es-ES_tradnl"/>
        </w:rPr>
        <w:t xml:space="preserve">Como ponente del presente proyecto de Acto Legislativo, me permito reiterar la necesidad de establecer, desde la Constitución Política, la obligación de aplicar el Derecho Internacional Humanitario (DIH) en la investigación y juzgamiento de los miembros de las Fuerza Pública, independientemente de la jurisdicción que tenga conocimiento del caso. </w:t>
      </w:r>
    </w:p>
    <w:p w:rsidR="00BC451A" w:rsidRPr="00BC451A" w:rsidRDefault="00BC451A" w:rsidP="00BC451A">
      <w:pPr>
        <w:spacing w:after="0" w:line="240" w:lineRule="auto"/>
        <w:jc w:val="both"/>
        <w:rPr>
          <w:rFonts w:ascii="Arial Narrow" w:hAnsi="Arial Narrow" w:cs="Arial"/>
          <w:sz w:val="24"/>
          <w:szCs w:val="24"/>
          <w:lang w:val="es-ES_tradnl"/>
        </w:rPr>
      </w:pPr>
    </w:p>
    <w:p w:rsidR="00BC451A" w:rsidRPr="00BC451A" w:rsidRDefault="00BC451A" w:rsidP="00BC451A">
      <w:pPr>
        <w:spacing w:after="0" w:line="240" w:lineRule="auto"/>
        <w:jc w:val="both"/>
        <w:rPr>
          <w:rFonts w:ascii="Arial Narrow" w:hAnsi="Arial Narrow" w:cs="Arial"/>
          <w:sz w:val="24"/>
          <w:szCs w:val="24"/>
          <w:lang w:val="es-ES_tradnl"/>
        </w:rPr>
      </w:pPr>
      <w:r w:rsidRPr="00BC451A">
        <w:rPr>
          <w:rFonts w:ascii="Arial Narrow" w:hAnsi="Arial Narrow" w:cs="Arial"/>
          <w:sz w:val="24"/>
          <w:szCs w:val="24"/>
          <w:lang w:val="es-ES_tradnl"/>
        </w:rPr>
        <w:t>Los diversos debates que se han dado</w:t>
      </w:r>
      <w:r w:rsidR="00CD3A79">
        <w:rPr>
          <w:rFonts w:ascii="Arial Narrow" w:hAnsi="Arial Narrow" w:cs="Arial"/>
          <w:sz w:val="24"/>
          <w:szCs w:val="24"/>
          <w:lang w:val="es-ES_tradnl"/>
        </w:rPr>
        <w:t xml:space="preserve"> en el seno del Congreso de la República</w:t>
      </w:r>
      <w:r w:rsidRPr="00BC451A">
        <w:rPr>
          <w:rFonts w:ascii="Arial Narrow" w:hAnsi="Arial Narrow" w:cs="Arial"/>
          <w:sz w:val="24"/>
          <w:szCs w:val="24"/>
          <w:lang w:val="es-ES_tradnl"/>
        </w:rPr>
        <w:t xml:space="preserve"> en torno al Acto Legislativo han evidenciado que independientemente de los sectores políticos a los que pertenece</w:t>
      </w:r>
      <w:r w:rsidR="00CD3A79">
        <w:rPr>
          <w:rFonts w:ascii="Arial Narrow" w:hAnsi="Arial Narrow" w:cs="Arial"/>
          <w:sz w:val="24"/>
          <w:szCs w:val="24"/>
          <w:lang w:val="es-ES_tradnl"/>
        </w:rPr>
        <w:t>n los intervinientes</w:t>
      </w:r>
      <w:r w:rsidRPr="00BC451A">
        <w:rPr>
          <w:rFonts w:ascii="Arial Narrow" w:hAnsi="Arial Narrow" w:cs="Arial"/>
          <w:sz w:val="24"/>
          <w:szCs w:val="24"/>
          <w:lang w:val="es-ES_tradnl"/>
        </w:rPr>
        <w:t xml:space="preserve">, es necesario que los militares y policías, así como cualquier otro ciudadano colombiano, gocen de las suficientes garantías jurídicas al momento en el que se investigan y se juzgan las conductas. </w:t>
      </w:r>
    </w:p>
    <w:p w:rsidR="00BC451A" w:rsidRPr="00BC451A" w:rsidRDefault="00BC451A" w:rsidP="00BC451A">
      <w:pPr>
        <w:spacing w:after="0" w:line="240" w:lineRule="auto"/>
        <w:jc w:val="both"/>
        <w:rPr>
          <w:rFonts w:ascii="Arial Narrow" w:hAnsi="Arial Narrow" w:cs="Arial"/>
          <w:sz w:val="24"/>
          <w:szCs w:val="24"/>
          <w:lang w:val="es-ES_tradnl"/>
        </w:rPr>
      </w:pPr>
    </w:p>
    <w:p w:rsidR="00BC451A" w:rsidRPr="00BC451A" w:rsidRDefault="00BC451A" w:rsidP="00BC451A">
      <w:pPr>
        <w:spacing w:after="0" w:line="240" w:lineRule="auto"/>
        <w:jc w:val="both"/>
        <w:rPr>
          <w:rFonts w:ascii="Arial Narrow" w:hAnsi="Arial Narrow" w:cs="Arial"/>
          <w:sz w:val="24"/>
          <w:szCs w:val="24"/>
          <w:lang w:val="es-ES_tradnl"/>
        </w:rPr>
      </w:pPr>
      <w:r w:rsidRPr="00BC451A">
        <w:rPr>
          <w:rFonts w:ascii="Arial Narrow" w:hAnsi="Arial Narrow" w:cs="Arial"/>
          <w:sz w:val="24"/>
          <w:szCs w:val="24"/>
          <w:lang w:val="es-ES_tradnl"/>
        </w:rPr>
        <w:t>Dichas garantías jurídicas se reflejan en el texto</w:t>
      </w:r>
      <w:r w:rsidR="00CD3A79">
        <w:rPr>
          <w:rFonts w:ascii="Arial Narrow" w:hAnsi="Arial Narrow" w:cs="Arial"/>
          <w:sz w:val="24"/>
          <w:szCs w:val="24"/>
          <w:lang w:val="es-ES_tradnl"/>
        </w:rPr>
        <w:t xml:space="preserve"> de este Proyecto de</w:t>
      </w:r>
      <w:r w:rsidRPr="00BC451A">
        <w:rPr>
          <w:rFonts w:ascii="Arial Narrow" w:hAnsi="Arial Narrow" w:cs="Arial"/>
          <w:sz w:val="24"/>
          <w:szCs w:val="24"/>
          <w:lang w:val="es-ES_tradnl"/>
        </w:rPr>
        <w:t xml:space="preserve"> Acto Legislativo que se ha venido aprobando con unas amplias mayorías por parte del Congreso. Éste garantiza por un lado, que el DIH sea el régimen jurídico aplicable al momento de investigar y juzgar a miembros de la Fuerza Pública, y por el otro, que dicho régimen sea aplicado por operadores judiciales con un adecuado conocimiento y experiencia en la materia. </w:t>
      </w:r>
    </w:p>
    <w:p w:rsidR="00BC451A" w:rsidRPr="00BC451A" w:rsidRDefault="00BC451A" w:rsidP="00BC451A">
      <w:pPr>
        <w:spacing w:after="0" w:line="240" w:lineRule="auto"/>
        <w:jc w:val="both"/>
        <w:rPr>
          <w:rFonts w:ascii="Arial Narrow" w:hAnsi="Arial Narrow" w:cs="Arial"/>
          <w:sz w:val="24"/>
          <w:szCs w:val="24"/>
          <w:lang w:val="es-ES_tradnl"/>
        </w:rPr>
      </w:pPr>
    </w:p>
    <w:p w:rsidR="00BC451A" w:rsidRPr="00BC451A" w:rsidRDefault="00BC451A" w:rsidP="00BC451A">
      <w:pPr>
        <w:spacing w:after="0" w:line="240" w:lineRule="auto"/>
        <w:jc w:val="both"/>
        <w:rPr>
          <w:rFonts w:ascii="Arial Narrow" w:hAnsi="Arial Narrow" w:cs="Arial"/>
          <w:sz w:val="24"/>
          <w:szCs w:val="24"/>
          <w:lang w:val="es-ES_tradnl"/>
        </w:rPr>
      </w:pPr>
      <w:r w:rsidRPr="00BC451A">
        <w:rPr>
          <w:rFonts w:ascii="Arial Narrow" w:hAnsi="Arial Narrow" w:cs="Arial"/>
          <w:sz w:val="24"/>
          <w:szCs w:val="24"/>
          <w:lang w:val="es-ES_tradnl"/>
        </w:rPr>
        <w:t xml:space="preserve">Lo anterior, genera como consecuencia lógica que en aquellos casos en los que se cumplan los requisitos objetivos para la aplicación del DIH, éste será aplicado. Asimismo, los jueces que conozcan de las conductas punibles cometidas por miembros de la Fuerza Pública, serán jueces capacitados para impartir justicia, fortaleciendo de esta forma tanto la justicia ordinaria como la Justicia Penal Militar (JPM). </w:t>
      </w:r>
    </w:p>
    <w:p w:rsidR="00BC451A" w:rsidRPr="00BC451A" w:rsidRDefault="00BC451A" w:rsidP="00BC451A">
      <w:pPr>
        <w:spacing w:after="0" w:line="240" w:lineRule="auto"/>
        <w:jc w:val="both"/>
        <w:rPr>
          <w:rFonts w:ascii="Arial Narrow" w:hAnsi="Arial Narrow" w:cs="Arial"/>
          <w:sz w:val="24"/>
          <w:szCs w:val="24"/>
          <w:lang w:val="es-ES_tradnl"/>
        </w:rPr>
      </w:pPr>
    </w:p>
    <w:p w:rsidR="00BC451A" w:rsidRPr="00BC451A" w:rsidRDefault="00BC451A" w:rsidP="00BC451A">
      <w:pPr>
        <w:spacing w:after="0" w:line="240" w:lineRule="auto"/>
        <w:jc w:val="both"/>
        <w:rPr>
          <w:rFonts w:ascii="Arial Narrow" w:hAnsi="Arial Narrow" w:cs="Arial"/>
          <w:sz w:val="24"/>
          <w:szCs w:val="24"/>
          <w:lang w:val="es-ES_tradnl"/>
        </w:rPr>
      </w:pPr>
      <w:r w:rsidRPr="00BC451A">
        <w:rPr>
          <w:rFonts w:ascii="Arial Narrow" w:hAnsi="Arial Narrow" w:cs="Arial"/>
          <w:sz w:val="24"/>
          <w:szCs w:val="24"/>
          <w:lang w:val="es-ES_tradnl"/>
        </w:rPr>
        <w:t xml:space="preserve">De esta forma, y teniendo en cuenta que el DIH hace parte del bloque de constitucionalidad, y así ha sido expresado por la jurisprudencia de la Corte Constitucional, reitero, que los anteriores aspectos requieren de consagración clara en el ordenamiento superior, así como un desarrollo legal posterior. Esto, con el objetivo de unificar posiciones que den mayor certeza jurídica a los miembros de la Fuerza Pública para ejercer sus funciones, y que a su vez, garanticen a la población civil la protección que el DIH les brinda. </w:t>
      </w:r>
    </w:p>
    <w:p w:rsidR="00BC451A" w:rsidRPr="00BC451A" w:rsidRDefault="00BC451A" w:rsidP="00BC451A">
      <w:pPr>
        <w:spacing w:after="0" w:line="240" w:lineRule="auto"/>
        <w:jc w:val="both"/>
        <w:rPr>
          <w:rFonts w:ascii="Arial Narrow" w:hAnsi="Arial Narrow" w:cs="Arial"/>
          <w:sz w:val="24"/>
          <w:szCs w:val="24"/>
          <w:lang w:val="es-ES_tradnl"/>
        </w:rPr>
      </w:pPr>
    </w:p>
    <w:p w:rsidR="00BC451A" w:rsidRPr="00BC451A" w:rsidRDefault="00BC451A" w:rsidP="00BC451A">
      <w:pPr>
        <w:pStyle w:val="Prrafodelista"/>
        <w:numPr>
          <w:ilvl w:val="0"/>
          <w:numId w:val="5"/>
        </w:numPr>
        <w:spacing w:after="0" w:line="240" w:lineRule="auto"/>
        <w:jc w:val="both"/>
        <w:rPr>
          <w:rFonts w:ascii="Arial Narrow" w:hAnsi="Arial Narrow" w:cs="Arial"/>
          <w:b/>
          <w:sz w:val="24"/>
          <w:szCs w:val="24"/>
          <w:lang w:val="es-ES_tradnl"/>
        </w:rPr>
      </w:pPr>
      <w:r w:rsidRPr="00BC451A">
        <w:rPr>
          <w:rFonts w:ascii="Arial Narrow" w:hAnsi="Arial Narrow" w:cs="Arial"/>
          <w:b/>
          <w:sz w:val="24"/>
          <w:szCs w:val="24"/>
          <w:lang w:val="es-ES_tradnl"/>
        </w:rPr>
        <w:t xml:space="preserve">OBJETIVOS DEL PROYECTO </w:t>
      </w:r>
    </w:p>
    <w:p w:rsidR="00BC451A" w:rsidRPr="00BC451A" w:rsidRDefault="00BC451A" w:rsidP="00BC451A">
      <w:pPr>
        <w:spacing w:after="0" w:line="240" w:lineRule="auto"/>
        <w:jc w:val="both"/>
        <w:rPr>
          <w:rFonts w:ascii="Arial Narrow" w:hAnsi="Arial Narrow" w:cs="Arial"/>
          <w:b/>
          <w:sz w:val="24"/>
          <w:szCs w:val="24"/>
          <w:lang w:val="es-ES_tradnl"/>
        </w:rPr>
      </w:pPr>
    </w:p>
    <w:p w:rsidR="00BC451A" w:rsidRPr="00BC451A" w:rsidRDefault="00BC451A" w:rsidP="00BC451A">
      <w:pPr>
        <w:spacing w:after="0" w:line="240" w:lineRule="auto"/>
        <w:jc w:val="both"/>
        <w:rPr>
          <w:rFonts w:ascii="Arial Narrow" w:hAnsi="Arial Narrow" w:cs="Arial"/>
          <w:sz w:val="24"/>
          <w:szCs w:val="24"/>
          <w:lang w:val="es-ES_tradnl"/>
        </w:rPr>
      </w:pPr>
      <w:r w:rsidRPr="00BC451A">
        <w:rPr>
          <w:rFonts w:ascii="Arial Narrow" w:hAnsi="Arial Narrow" w:cs="Arial"/>
          <w:sz w:val="24"/>
          <w:szCs w:val="24"/>
          <w:lang w:val="es-ES_tradnl"/>
        </w:rPr>
        <w:t xml:space="preserve">Como he mencionado anteriormente, y de conformidad con las ponencias que se han presentado con anterioridad, me permito reiterar que los objetivos del Acto Legislativo se pueden resumir en tres aspectos concretos: </w:t>
      </w:r>
    </w:p>
    <w:p w:rsidR="00BC451A" w:rsidRPr="00BC451A" w:rsidRDefault="00BC451A" w:rsidP="00BC451A">
      <w:pPr>
        <w:spacing w:after="0" w:line="240" w:lineRule="auto"/>
        <w:jc w:val="both"/>
        <w:rPr>
          <w:rFonts w:ascii="Arial Narrow" w:hAnsi="Arial Narrow" w:cs="Arial"/>
          <w:sz w:val="24"/>
          <w:szCs w:val="24"/>
          <w:lang w:val="es-ES_tradnl"/>
        </w:rPr>
      </w:pPr>
    </w:p>
    <w:p w:rsidR="00BC451A" w:rsidRPr="00BC451A" w:rsidRDefault="00BC451A" w:rsidP="00BC451A">
      <w:pPr>
        <w:pStyle w:val="Prrafodelista"/>
        <w:numPr>
          <w:ilvl w:val="0"/>
          <w:numId w:val="2"/>
        </w:numPr>
        <w:spacing w:after="0" w:line="240" w:lineRule="auto"/>
        <w:jc w:val="both"/>
        <w:rPr>
          <w:rFonts w:ascii="Arial Narrow" w:hAnsi="Arial Narrow" w:cs="Arial"/>
          <w:sz w:val="24"/>
          <w:szCs w:val="24"/>
          <w:lang w:val="es-ES_tradnl"/>
        </w:rPr>
      </w:pPr>
      <w:r w:rsidRPr="00BC451A">
        <w:rPr>
          <w:rFonts w:ascii="Arial Narrow" w:hAnsi="Arial Narrow" w:cs="Arial"/>
          <w:sz w:val="24"/>
          <w:szCs w:val="24"/>
          <w:lang w:val="es-ES_tradnl"/>
        </w:rPr>
        <w:t xml:space="preserve">Al momento de investigar y juzgar las conductas punibles de los miembros de la Fuerza Pública, los operadores judiciales deberán aplicar el DIH. </w:t>
      </w:r>
    </w:p>
    <w:p w:rsidR="00BC451A" w:rsidRPr="00BC451A" w:rsidRDefault="00BC451A" w:rsidP="00BC451A">
      <w:pPr>
        <w:pStyle w:val="Prrafodelista"/>
        <w:spacing w:after="0" w:line="240" w:lineRule="auto"/>
        <w:jc w:val="both"/>
        <w:rPr>
          <w:rFonts w:ascii="Arial Narrow" w:hAnsi="Arial Narrow" w:cs="Arial"/>
          <w:sz w:val="24"/>
          <w:szCs w:val="24"/>
          <w:lang w:val="es-ES_tradnl"/>
        </w:rPr>
      </w:pPr>
    </w:p>
    <w:p w:rsidR="00BC451A" w:rsidRPr="00BC451A" w:rsidRDefault="00BC451A" w:rsidP="00BC451A">
      <w:pPr>
        <w:pStyle w:val="Prrafodelista"/>
        <w:numPr>
          <w:ilvl w:val="0"/>
          <w:numId w:val="2"/>
        </w:numPr>
        <w:spacing w:after="0" w:line="240" w:lineRule="auto"/>
        <w:jc w:val="both"/>
        <w:rPr>
          <w:rFonts w:ascii="Arial Narrow" w:hAnsi="Arial Narrow" w:cs="Arial"/>
          <w:sz w:val="24"/>
          <w:szCs w:val="24"/>
          <w:lang w:val="es-ES_tradnl"/>
        </w:rPr>
      </w:pPr>
      <w:r w:rsidRPr="00BC451A">
        <w:rPr>
          <w:rFonts w:ascii="Arial Narrow" w:hAnsi="Arial Narrow" w:cs="Arial"/>
          <w:sz w:val="24"/>
          <w:szCs w:val="24"/>
          <w:lang w:val="es-ES_tradnl"/>
        </w:rPr>
        <w:t xml:space="preserve">Los operadores judiciales, independientemente de que pertenezcan a la jurisdicción ordinaria o a la JPM, deberán tener un conocimiento adecuado en DIH. </w:t>
      </w:r>
    </w:p>
    <w:p w:rsidR="00BC451A" w:rsidRPr="00BC451A" w:rsidRDefault="00BC451A" w:rsidP="00BC451A">
      <w:pPr>
        <w:pStyle w:val="Prrafodelista"/>
        <w:spacing w:line="240" w:lineRule="auto"/>
        <w:rPr>
          <w:rFonts w:ascii="Arial Narrow" w:hAnsi="Arial Narrow" w:cs="Arial"/>
          <w:sz w:val="24"/>
          <w:szCs w:val="24"/>
          <w:lang w:val="es-ES_tradnl"/>
        </w:rPr>
      </w:pPr>
    </w:p>
    <w:p w:rsidR="00BC451A" w:rsidRPr="00BC451A" w:rsidRDefault="00BC451A" w:rsidP="00BC451A">
      <w:pPr>
        <w:pStyle w:val="Prrafodelista"/>
        <w:numPr>
          <w:ilvl w:val="0"/>
          <w:numId w:val="2"/>
        </w:numPr>
        <w:spacing w:after="0" w:line="240" w:lineRule="auto"/>
        <w:jc w:val="both"/>
        <w:rPr>
          <w:rFonts w:ascii="Arial Narrow" w:hAnsi="Arial Narrow" w:cs="Arial"/>
          <w:sz w:val="24"/>
          <w:szCs w:val="24"/>
          <w:lang w:val="es-ES_tradnl"/>
        </w:rPr>
      </w:pPr>
      <w:r w:rsidRPr="00BC451A">
        <w:rPr>
          <w:rFonts w:ascii="Arial Narrow" w:hAnsi="Arial Narrow" w:cs="Arial"/>
          <w:sz w:val="24"/>
          <w:szCs w:val="24"/>
          <w:lang w:val="es-ES_tradnl"/>
        </w:rPr>
        <w:t xml:space="preserve">La JPM se debe fortalecer de diferentes formas y debe guardar siempre una imparcialidad e independencia respecto del mando. </w:t>
      </w:r>
    </w:p>
    <w:p w:rsidR="00BC451A" w:rsidRPr="00BC451A" w:rsidRDefault="00BC451A" w:rsidP="00BC451A">
      <w:pPr>
        <w:spacing w:line="240" w:lineRule="auto"/>
        <w:jc w:val="both"/>
        <w:rPr>
          <w:rFonts w:ascii="Arial Narrow" w:hAnsi="Arial Narrow"/>
          <w:sz w:val="24"/>
          <w:szCs w:val="24"/>
          <w:lang w:val="es-ES_tradnl"/>
        </w:rPr>
      </w:pPr>
    </w:p>
    <w:p w:rsidR="00BC451A" w:rsidRPr="00BC451A" w:rsidRDefault="00BC451A" w:rsidP="00BC451A">
      <w:pPr>
        <w:spacing w:line="240" w:lineRule="auto"/>
        <w:jc w:val="both"/>
        <w:rPr>
          <w:rFonts w:ascii="Arial Narrow" w:hAnsi="Arial Narrow"/>
          <w:sz w:val="24"/>
          <w:szCs w:val="24"/>
          <w:lang w:val="es-CO"/>
        </w:rPr>
      </w:pPr>
      <w:r w:rsidRPr="00BC451A">
        <w:rPr>
          <w:rFonts w:ascii="Arial Narrow" w:hAnsi="Arial Narrow"/>
          <w:sz w:val="24"/>
          <w:szCs w:val="24"/>
          <w:lang w:val="es-ES_tradnl"/>
        </w:rPr>
        <w:t>E</w:t>
      </w:r>
      <w:r w:rsidRPr="00BC451A">
        <w:rPr>
          <w:rFonts w:ascii="Arial Narrow" w:hAnsi="Arial Narrow"/>
          <w:sz w:val="24"/>
          <w:szCs w:val="24"/>
          <w:lang w:val="es-CO"/>
        </w:rPr>
        <w:t xml:space="preserve">s de aclarar que esta reforma no modifica el Fuero Penal Militar tal y como se viene concibiendo desde hace varios años. Por el contrario, su naturaleza se mantiene incólume de conformidad con lo que ha preceptuado la Constitución colombiana. </w:t>
      </w:r>
    </w:p>
    <w:p w:rsidR="00BC451A" w:rsidRPr="00BC451A" w:rsidRDefault="00BC451A" w:rsidP="00BC451A">
      <w:pPr>
        <w:spacing w:after="0" w:line="240" w:lineRule="auto"/>
        <w:jc w:val="both"/>
        <w:rPr>
          <w:rFonts w:ascii="Arial Narrow" w:hAnsi="Arial Narrow" w:cs="Arial"/>
          <w:sz w:val="24"/>
          <w:szCs w:val="24"/>
          <w:lang w:val="es-ES_tradnl"/>
        </w:rPr>
      </w:pPr>
    </w:p>
    <w:p w:rsidR="00BC451A" w:rsidRPr="00BC451A" w:rsidRDefault="00BC451A" w:rsidP="00BC451A">
      <w:pPr>
        <w:pStyle w:val="Prrafodelista"/>
        <w:numPr>
          <w:ilvl w:val="0"/>
          <w:numId w:val="5"/>
        </w:numPr>
        <w:spacing w:after="0" w:line="240" w:lineRule="auto"/>
        <w:jc w:val="both"/>
        <w:rPr>
          <w:rFonts w:ascii="Arial Narrow" w:hAnsi="Arial Narrow" w:cs="Arial"/>
          <w:b/>
          <w:sz w:val="24"/>
          <w:szCs w:val="24"/>
          <w:lang w:val="es-ES_tradnl"/>
        </w:rPr>
      </w:pPr>
      <w:r w:rsidRPr="00BC451A">
        <w:rPr>
          <w:rFonts w:ascii="Arial Narrow" w:hAnsi="Arial Narrow" w:cs="Arial"/>
          <w:b/>
          <w:sz w:val="24"/>
          <w:szCs w:val="24"/>
          <w:lang w:val="es-ES_tradnl"/>
        </w:rPr>
        <w:t>CONTENIDO DEL PROYECTO DE ACTO LEGISLATIVO</w:t>
      </w:r>
    </w:p>
    <w:p w:rsidR="00BC451A" w:rsidRPr="00BC451A" w:rsidRDefault="00BC451A" w:rsidP="00BC451A">
      <w:pPr>
        <w:pStyle w:val="Prrafodelista"/>
        <w:spacing w:after="0" w:line="240" w:lineRule="auto"/>
        <w:jc w:val="both"/>
        <w:rPr>
          <w:rFonts w:ascii="Arial Narrow" w:hAnsi="Arial Narrow" w:cs="Arial"/>
          <w:b/>
          <w:sz w:val="24"/>
          <w:szCs w:val="24"/>
          <w:lang w:val="es-ES_tradnl"/>
        </w:rPr>
      </w:pPr>
    </w:p>
    <w:p w:rsidR="00BC451A" w:rsidRPr="00BC451A" w:rsidRDefault="00BC451A" w:rsidP="00BC451A">
      <w:pPr>
        <w:spacing w:after="0" w:line="240" w:lineRule="auto"/>
        <w:jc w:val="both"/>
        <w:rPr>
          <w:rFonts w:ascii="Arial Narrow" w:hAnsi="Arial Narrow" w:cs="Arial"/>
          <w:sz w:val="24"/>
          <w:szCs w:val="24"/>
          <w:lang w:val="es-ES_tradnl"/>
        </w:rPr>
      </w:pPr>
      <w:r w:rsidRPr="00BC451A">
        <w:rPr>
          <w:rFonts w:ascii="Arial Narrow" w:hAnsi="Arial Narrow" w:cs="Arial"/>
          <w:sz w:val="24"/>
          <w:szCs w:val="24"/>
          <w:lang w:val="es-ES_tradnl"/>
        </w:rPr>
        <w:t xml:space="preserve">La existencia de un conflicto armado y la realidad que vivimos en Colombia, requiere de reglas claras que regulen el actuar no sólo de la Fuerza Pública, sino que aseguren la aplicación de las normas </w:t>
      </w:r>
      <w:r w:rsidR="00FA2655">
        <w:rPr>
          <w:rFonts w:ascii="Arial Narrow" w:hAnsi="Arial Narrow" w:cs="Arial"/>
          <w:sz w:val="24"/>
          <w:szCs w:val="24"/>
          <w:lang w:val="es-ES_tradnl"/>
        </w:rPr>
        <w:t>propias en</w:t>
      </w:r>
      <w:r w:rsidRPr="00BC451A">
        <w:rPr>
          <w:rFonts w:ascii="Arial Narrow" w:hAnsi="Arial Narrow" w:cs="Arial"/>
          <w:sz w:val="24"/>
          <w:szCs w:val="24"/>
          <w:lang w:val="es-ES_tradnl"/>
        </w:rPr>
        <w:t xml:space="preserve"> contextos como el nuestro. En consecuencia, todas las conductas punibles que ocurran en el marco del conflicto armado deben ser inve</w:t>
      </w:r>
      <w:r w:rsidR="00FA2655">
        <w:rPr>
          <w:rFonts w:ascii="Arial Narrow" w:hAnsi="Arial Narrow" w:cs="Arial"/>
          <w:sz w:val="24"/>
          <w:szCs w:val="24"/>
          <w:lang w:val="es-ES_tradnl"/>
        </w:rPr>
        <w:t xml:space="preserve">stigadas y juzgadas con apego al DIH cuando así corresponda. </w:t>
      </w:r>
    </w:p>
    <w:p w:rsidR="00BC451A" w:rsidRPr="00BC451A" w:rsidRDefault="00BC451A" w:rsidP="00BC451A">
      <w:pPr>
        <w:spacing w:after="0" w:line="240" w:lineRule="auto"/>
        <w:jc w:val="both"/>
        <w:rPr>
          <w:rFonts w:ascii="Arial Narrow" w:hAnsi="Arial Narrow" w:cs="Arial"/>
          <w:sz w:val="24"/>
          <w:szCs w:val="24"/>
          <w:lang w:val="es-ES_tradnl"/>
        </w:rPr>
      </w:pPr>
    </w:p>
    <w:p w:rsidR="00BC451A" w:rsidRPr="00BC451A" w:rsidRDefault="00BC451A" w:rsidP="00BC451A">
      <w:pPr>
        <w:spacing w:after="0" w:line="240" w:lineRule="auto"/>
        <w:jc w:val="both"/>
        <w:rPr>
          <w:rFonts w:ascii="Arial Narrow" w:hAnsi="Arial Narrow" w:cs="Arial"/>
          <w:sz w:val="24"/>
          <w:szCs w:val="24"/>
          <w:lang w:val="es-ES_tradnl"/>
        </w:rPr>
      </w:pPr>
      <w:r w:rsidRPr="00BC451A">
        <w:rPr>
          <w:rFonts w:ascii="Arial Narrow" w:hAnsi="Arial Narrow" w:cs="Arial"/>
          <w:sz w:val="24"/>
          <w:szCs w:val="24"/>
          <w:lang w:val="es-ES_tradnl"/>
        </w:rPr>
        <w:t>En debates pasados algunos de lo</w:t>
      </w:r>
      <w:r w:rsidR="00FA2655">
        <w:rPr>
          <w:rFonts w:ascii="Arial Narrow" w:hAnsi="Arial Narrow" w:cs="Arial"/>
          <w:sz w:val="24"/>
          <w:szCs w:val="24"/>
          <w:lang w:val="es-ES_tradnl"/>
        </w:rPr>
        <w:t>s Congresistas se preguntaban</w:t>
      </w:r>
      <w:r w:rsidRPr="00BC451A">
        <w:rPr>
          <w:rFonts w:ascii="Arial Narrow" w:hAnsi="Arial Narrow" w:cs="Arial"/>
          <w:sz w:val="24"/>
          <w:szCs w:val="24"/>
          <w:lang w:val="es-ES_tradnl"/>
        </w:rPr>
        <w:t xml:space="preserve"> por qué era importante aplicar el DIH en las investigaciones que se llevaran a cabo en contra de los miembros de la Fuerza Pública. La respuesta, es sencilla. El DIH es la ley especial que justamente aplica a situaciones de conflicto armado, razón por la cual al existir una conducta punible que se dé en el marco de este conflicto armado, lo natural y lo que corresponde legalmente es aplicar la ley que regula la materia. </w:t>
      </w:r>
    </w:p>
    <w:p w:rsidR="00BC451A" w:rsidRPr="00BC451A" w:rsidRDefault="00BC451A" w:rsidP="00BC451A">
      <w:pPr>
        <w:spacing w:after="0" w:line="240" w:lineRule="auto"/>
        <w:jc w:val="both"/>
        <w:rPr>
          <w:rFonts w:ascii="Arial Narrow" w:hAnsi="Arial Narrow" w:cs="Arial"/>
          <w:sz w:val="24"/>
          <w:szCs w:val="24"/>
          <w:lang w:val="es-ES_tradnl"/>
        </w:rPr>
      </w:pPr>
    </w:p>
    <w:p w:rsidR="00BC451A" w:rsidRPr="00BC451A" w:rsidRDefault="00BC451A" w:rsidP="00BC451A">
      <w:pPr>
        <w:spacing w:after="0" w:line="240" w:lineRule="auto"/>
        <w:jc w:val="both"/>
        <w:rPr>
          <w:rFonts w:ascii="Arial Narrow" w:hAnsi="Arial Narrow" w:cs="Arial"/>
          <w:sz w:val="24"/>
          <w:szCs w:val="24"/>
          <w:lang w:val="es-ES_tradnl"/>
        </w:rPr>
      </w:pPr>
      <w:r w:rsidRPr="00BC451A">
        <w:rPr>
          <w:rFonts w:ascii="Arial Narrow" w:hAnsi="Arial Narrow" w:cs="Arial"/>
          <w:sz w:val="24"/>
          <w:szCs w:val="24"/>
          <w:lang w:val="es-ES_tradnl"/>
        </w:rPr>
        <w:t xml:space="preserve">Ahora, no es posible que se generen suspicacias en torno a que la aplicación del DIH va a deteriorar la justicia que se le va a brindar a las víctimas y menos aún que debilita el respeto y la garantía de los derechos humanos en Colombia. Por el contrario, la aplicación del DIH genera certeza jurídica respecto de las normas y los principios que se aplicarán en la investigación, y garantizará estricto cumplimiento de los tratados que Colombia ha firmado en relación con derechos humanos. </w:t>
      </w:r>
    </w:p>
    <w:p w:rsidR="00BC451A" w:rsidRPr="00BC451A" w:rsidRDefault="00BC451A" w:rsidP="00BC451A">
      <w:pPr>
        <w:spacing w:after="0" w:line="240" w:lineRule="auto"/>
        <w:jc w:val="both"/>
        <w:rPr>
          <w:rFonts w:ascii="Arial Narrow" w:hAnsi="Arial Narrow" w:cs="Arial"/>
          <w:sz w:val="24"/>
          <w:szCs w:val="24"/>
          <w:lang w:val="es-ES_tradnl"/>
        </w:rPr>
      </w:pPr>
    </w:p>
    <w:p w:rsidR="00BC451A" w:rsidRPr="00BC451A" w:rsidRDefault="00BC451A" w:rsidP="00BC451A">
      <w:pPr>
        <w:spacing w:after="0" w:line="240" w:lineRule="auto"/>
        <w:jc w:val="both"/>
        <w:rPr>
          <w:rFonts w:ascii="Arial Narrow" w:hAnsi="Arial Narrow" w:cs="Arial"/>
          <w:sz w:val="24"/>
          <w:szCs w:val="24"/>
          <w:lang w:val="es-ES_tradnl"/>
        </w:rPr>
      </w:pPr>
      <w:r w:rsidRPr="00BC451A">
        <w:rPr>
          <w:rFonts w:ascii="Arial Narrow" w:hAnsi="Arial Narrow" w:cs="Arial"/>
          <w:sz w:val="24"/>
          <w:szCs w:val="24"/>
          <w:lang w:val="es-ES_tradnl"/>
        </w:rPr>
        <w:t xml:space="preserve">Precisamente, vale la pena resaltar, que al igual que sucede con los Derechos Humanos, las reglas del DIH han sido incorporadas por el ordenamiento jurídico colombiano por vía del artículo 93 de la Constitución Política de Colombia, y como consecuencia hace parte del bloque de constitucionalidad. Asimismo el artículo 214 constitucional introduce su aplicación en situaciones de excepcionalidad y el Código Penal expresamente tipifica las conductas que son violatorias del DIH. </w:t>
      </w:r>
    </w:p>
    <w:p w:rsidR="00BC451A" w:rsidRPr="00BC451A" w:rsidRDefault="00BC451A" w:rsidP="00BC451A">
      <w:pPr>
        <w:spacing w:after="0" w:line="240" w:lineRule="auto"/>
        <w:jc w:val="both"/>
        <w:rPr>
          <w:rFonts w:ascii="Arial Narrow" w:hAnsi="Arial Narrow" w:cs="Arial"/>
          <w:sz w:val="24"/>
          <w:szCs w:val="24"/>
          <w:lang w:val="es-ES_tradnl"/>
        </w:rPr>
      </w:pPr>
    </w:p>
    <w:p w:rsidR="00BC451A" w:rsidRPr="00BC451A" w:rsidRDefault="00BC451A" w:rsidP="00BC451A">
      <w:pPr>
        <w:spacing w:after="0" w:line="240" w:lineRule="auto"/>
        <w:jc w:val="both"/>
        <w:rPr>
          <w:rFonts w:ascii="Arial Narrow" w:hAnsi="Arial Narrow" w:cs="Arial"/>
          <w:sz w:val="24"/>
          <w:szCs w:val="24"/>
          <w:lang w:val="es-ES_tradnl"/>
        </w:rPr>
      </w:pPr>
      <w:r w:rsidRPr="00BC451A">
        <w:rPr>
          <w:rFonts w:ascii="Arial Narrow" w:hAnsi="Arial Narrow" w:cs="Arial"/>
          <w:sz w:val="24"/>
          <w:szCs w:val="24"/>
          <w:lang w:val="es-ES_tradnl"/>
        </w:rPr>
        <w:t>En palabras de la Corte Constitucional:</w:t>
      </w:r>
    </w:p>
    <w:p w:rsidR="00BC451A" w:rsidRPr="00BC451A" w:rsidRDefault="00BC451A" w:rsidP="00BC451A">
      <w:pPr>
        <w:spacing w:after="0" w:line="240" w:lineRule="auto"/>
        <w:jc w:val="both"/>
        <w:rPr>
          <w:rFonts w:ascii="Arial Narrow" w:hAnsi="Arial Narrow" w:cs="Arial"/>
          <w:sz w:val="24"/>
          <w:szCs w:val="24"/>
          <w:lang w:val="es-ES_tradnl"/>
        </w:rPr>
      </w:pPr>
    </w:p>
    <w:p w:rsidR="00BC451A" w:rsidRPr="006818EF" w:rsidRDefault="00BC451A" w:rsidP="00BC451A">
      <w:pPr>
        <w:spacing w:after="0" w:line="240" w:lineRule="auto"/>
        <w:ind w:left="567" w:right="474"/>
        <w:jc w:val="both"/>
        <w:rPr>
          <w:rFonts w:ascii="Arial Narrow" w:hAnsi="Arial Narrow" w:cs="Arial"/>
          <w:i/>
          <w:lang w:val="es-ES_tradnl"/>
        </w:rPr>
      </w:pPr>
      <w:r w:rsidRPr="006818EF">
        <w:rPr>
          <w:rFonts w:ascii="Arial Narrow" w:hAnsi="Arial Narrow" w:cs="Arial"/>
          <w:i/>
          <w:lang w:val="es-ES_tradnl"/>
        </w:rPr>
        <w:t>“La Carta de 1991 confirma y refuerza tanto la obligatoriedad del derecho internacional de los derechos humanos como la del derecho internacional humanitario.</w:t>
      </w:r>
    </w:p>
    <w:p w:rsidR="00BC451A" w:rsidRPr="006818EF" w:rsidRDefault="00BC451A" w:rsidP="00BC451A">
      <w:pPr>
        <w:spacing w:after="0" w:line="240" w:lineRule="auto"/>
        <w:ind w:left="567" w:right="474"/>
        <w:jc w:val="both"/>
        <w:rPr>
          <w:rFonts w:ascii="Arial Narrow" w:hAnsi="Arial Narrow" w:cs="Arial"/>
          <w:i/>
          <w:lang w:val="es-ES_tradnl"/>
        </w:rPr>
      </w:pPr>
    </w:p>
    <w:p w:rsidR="00BC451A" w:rsidRPr="006818EF" w:rsidRDefault="00BC451A" w:rsidP="00BC451A">
      <w:pPr>
        <w:spacing w:after="0" w:line="240" w:lineRule="auto"/>
        <w:ind w:left="567" w:right="474"/>
        <w:jc w:val="both"/>
        <w:rPr>
          <w:rFonts w:ascii="Arial Narrow" w:hAnsi="Arial Narrow" w:cs="Arial"/>
          <w:i/>
          <w:lang w:val="es-ES_tradnl"/>
        </w:rPr>
      </w:pPr>
      <w:r w:rsidRPr="006818EF">
        <w:rPr>
          <w:rFonts w:ascii="Arial Narrow" w:hAnsi="Arial Narrow" w:cs="Arial"/>
          <w:i/>
          <w:lang w:val="es-ES_tradnl"/>
        </w:rPr>
        <w:t>Así, en materia de derechos humanos la Constitución colombiana recoge toda la tradición del constitucionalismo occidental, incluyendo sus más modernos postulados, en materia de derechos humanos y mecanismos de protección. El amplio desarrollo que en el texto constitucional encuentran las llamadas tres generaciones de derechos humanos, es una prueba evidente de la voluntad del constituyente de hacer de esta materia la piedra angular del ordenamiento jurídico-político.</w:t>
      </w:r>
    </w:p>
    <w:p w:rsidR="00BC451A" w:rsidRPr="006818EF" w:rsidRDefault="00BC451A" w:rsidP="00BC451A">
      <w:pPr>
        <w:spacing w:after="0" w:line="240" w:lineRule="auto"/>
        <w:ind w:left="567" w:right="474"/>
        <w:jc w:val="both"/>
        <w:rPr>
          <w:rFonts w:ascii="Arial Narrow" w:hAnsi="Arial Narrow" w:cs="Arial"/>
          <w:i/>
          <w:lang w:val="es-ES_tradnl"/>
        </w:rPr>
      </w:pPr>
    </w:p>
    <w:p w:rsidR="00BC451A" w:rsidRPr="006818EF" w:rsidRDefault="00BC451A" w:rsidP="00BC451A">
      <w:pPr>
        <w:spacing w:after="0" w:line="240" w:lineRule="auto"/>
        <w:ind w:left="567" w:right="474"/>
        <w:jc w:val="both"/>
        <w:rPr>
          <w:rFonts w:ascii="Arial Narrow" w:hAnsi="Arial Narrow" w:cs="Arial"/>
          <w:i/>
          <w:lang w:val="es-ES_tradnl"/>
        </w:rPr>
      </w:pPr>
      <w:r w:rsidRPr="006818EF">
        <w:rPr>
          <w:rFonts w:ascii="Arial Narrow" w:hAnsi="Arial Narrow" w:cs="Arial"/>
          <w:i/>
          <w:lang w:val="es-ES_tradnl"/>
        </w:rPr>
        <w:t>(…)</w:t>
      </w:r>
    </w:p>
    <w:p w:rsidR="00BC451A" w:rsidRPr="006818EF" w:rsidRDefault="00BC451A" w:rsidP="00BC451A">
      <w:pPr>
        <w:spacing w:after="0" w:line="240" w:lineRule="auto"/>
        <w:ind w:right="474"/>
        <w:jc w:val="both"/>
        <w:rPr>
          <w:rFonts w:ascii="Arial Narrow" w:hAnsi="Arial Narrow" w:cs="Arial"/>
          <w:i/>
          <w:lang w:val="es-ES_tradnl"/>
        </w:rPr>
      </w:pPr>
    </w:p>
    <w:p w:rsidR="00BC451A" w:rsidRPr="006818EF" w:rsidRDefault="00BC451A" w:rsidP="00BC451A">
      <w:pPr>
        <w:spacing w:after="0" w:line="240" w:lineRule="auto"/>
        <w:ind w:left="567" w:right="474"/>
        <w:jc w:val="both"/>
        <w:rPr>
          <w:rFonts w:ascii="Arial Narrow" w:hAnsi="Arial Narrow" w:cs="Arial"/>
          <w:i/>
          <w:lang w:val="es-ES_tradnl"/>
        </w:rPr>
      </w:pPr>
      <w:r w:rsidRPr="006818EF">
        <w:rPr>
          <w:rFonts w:ascii="Arial Narrow" w:hAnsi="Arial Narrow" w:cs="Arial"/>
          <w:i/>
          <w:lang w:val="es-ES_tradnl"/>
        </w:rPr>
        <w:t>En el primero de ellos, el Constituyente consagró la primacía del derecho internacional convencional relativo a los derechos humanos, al establecer la prevalencia de los tratados y convenios ratificados por Colombia y la obligación de interpretar la Carta de derechos de conformidad con dichos convenios y tratados.</w:t>
      </w:r>
    </w:p>
    <w:p w:rsidR="00BC451A" w:rsidRPr="006818EF" w:rsidRDefault="00BC451A" w:rsidP="00BC451A">
      <w:pPr>
        <w:spacing w:after="0" w:line="240" w:lineRule="auto"/>
        <w:ind w:left="567" w:right="474"/>
        <w:jc w:val="both"/>
        <w:rPr>
          <w:rFonts w:ascii="Arial Narrow" w:hAnsi="Arial Narrow" w:cs="Arial"/>
          <w:i/>
          <w:lang w:val="es-ES_tradnl"/>
        </w:rPr>
      </w:pPr>
    </w:p>
    <w:p w:rsidR="00BC451A" w:rsidRPr="006818EF" w:rsidRDefault="00BC451A" w:rsidP="00BC451A">
      <w:pPr>
        <w:spacing w:after="0" w:line="240" w:lineRule="auto"/>
        <w:ind w:left="567" w:right="474"/>
        <w:jc w:val="both"/>
        <w:rPr>
          <w:rFonts w:ascii="Arial Narrow" w:hAnsi="Arial Narrow" w:cs="Arial"/>
          <w:i/>
          <w:lang w:val="es-ES_tradnl"/>
        </w:rPr>
      </w:pPr>
      <w:r w:rsidRPr="006818EF">
        <w:rPr>
          <w:rFonts w:ascii="Arial Narrow" w:hAnsi="Arial Narrow" w:cs="Arial"/>
          <w:i/>
          <w:lang w:val="es-ES_tradnl"/>
        </w:rPr>
        <w:t>En el artículo 94 estableció la posibilidad de aplicar derechos no consagrados en el texto constitucional o incluso en los convenios y tratados ratificados por Colombia, cuando se trate de derechos inherentes a la persona humana. De acuerdo con este texto constitucional, el valor inherente o fundamental no depende de la consagración expresa: es, pues, un valor normativo independiente de toda consagración en el ordenamiento positivo, tal como lo entendía el clásico derecho natural racionalista.</w:t>
      </w:r>
    </w:p>
    <w:p w:rsidR="00BC451A" w:rsidRPr="006818EF" w:rsidRDefault="00BC451A" w:rsidP="00BC451A">
      <w:pPr>
        <w:spacing w:after="0" w:line="240" w:lineRule="auto"/>
        <w:ind w:left="567" w:right="474"/>
        <w:jc w:val="both"/>
        <w:rPr>
          <w:rFonts w:ascii="Arial Narrow" w:hAnsi="Arial Narrow" w:cs="Arial"/>
          <w:i/>
          <w:lang w:val="es-ES_tradnl"/>
        </w:rPr>
      </w:pPr>
    </w:p>
    <w:p w:rsidR="00BC451A" w:rsidRPr="006818EF" w:rsidRDefault="00BC451A" w:rsidP="00BC451A">
      <w:pPr>
        <w:spacing w:after="0" w:line="240" w:lineRule="auto"/>
        <w:ind w:left="567" w:right="474"/>
        <w:jc w:val="both"/>
        <w:rPr>
          <w:rFonts w:ascii="Arial Narrow" w:hAnsi="Arial Narrow" w:cs="Arial"/>
          <w:i/>
          <w:lang w:val="es-ES_tradnl"/>
        </w:rPr>
      </w:pPr>
      <w:r w:rsidRPr="006818EF">
        <w:rPr>
          <w:rFonts w:ascii="Arial Narrow" w:hAnsi="Arial Narrow" w:cs="Arial"/>
          <w:i/>
          <w:lang w:val="es-ES_tradnl"/>
        </w:rPr>
        <w:t>Por otra parte, en el artículo 214, numeral 2o. de la Carta se consagró el valor supraconstitucional del derecho internacional humanitario cuando, al regular los parámetros a que se sujetan las atribuciones presidenciales durante los estados de excepción, dispuso que:" En todo caso se respetarán las reglas del derecho internacional humanitario."</w:t>
      </w:r>
      <w:r w:rsidRPr="006818EF">
        <w:rPr>
          <w:rStyle w:val="Refdenotaalpie"/>
          <w:rFonts w:ascii="Arial Narrow" w:hAnsi="Arial Narrow" w:cs="Arial"/>
          <w:i/>
          <w:lang w:val="es-ES_tradnl"/>
        </w:rPr>
        <w:footnoteReference w:id="1"/>
      </w:r>
    </w:p>
    <w:p w:rsidR="00BC451A" w:rsidRPr="00BC451A" w:rsidRDefault="00BC451A" w:rsidP="00BC451A">
      <w:pPr>
        <w:spacing w:after="0" w:line="240" w:lineRule="auto"/>
        <w:jc w:val="both"/>
        <w:rPr>
          <w:rFonts w:ascii="Arial Narrow" w:hAnsi="Arial Narrow" w:cs="Arial"/>
          <w:sz w:val="24"/>
          <w:szCs w:val="24"/>
          <w:lang w:val="es-ES_tradnl"/>
        </w:rPr>
      </w:pPr>
    </w:p>
    <w:p w:rsidR="00BC451A" w:rsidRPr="00BC451A" w:rsidRDefault="00BC451A" w:rsidP="00BC451A">
      <w:pPr>
        <w:spacing w:after="0" w:line="240" w:lineRule="auto"/>
        <w:jc w:val="both"/>
        <w:rPr>
          <w:rFonts w:ascii="Arial Narrow" w:hAnsi="Arial Narrow" w:cs="Arial"/>
          <w:sz w:val="24"/>
          <w:szCs w:val="24"/>
          <w:lang w:val="es-ES_tradnl"/>
        </w:rPr>
      </w:pPr>
      <w:r w:rsidRPr="00BC451A">
        <w:rPr>
          <w:rFonts w:ascii="Arial Narrow" w:hAnsi="Arial Narrow" w:cs="Arial"/>
          <w:sz w:val="24"/>
          <w:szCs w:val="24"/>
          <w:lang w:val="es-ES_tradnl"/>
        </w:rPr>
        <w:t>En ese mismo orden de ideas, la Corte en Sentencia C-225 del 18 de mayo de 1995, estableció su obligatoriedad respecto de todas las partes que hagan parte de los conflictos armados, a saber:</w:t>
      </w:r>
    </w:p>
    <w:p w:rsidR="00BC451A" w:rsidRPr="00BC451A" w:rsidRDefault="00BC451A" w:rsidP="00BC451A">
      <w:pPr>
        <w:spacing w:after="0" w:line="240" w:lineRule="auto"/>
        <w:jc w:val="both"/>
        <w:rPr>
          <w:rFonts w:ascii="Arial Narrow" w:hAnsi="Arial Narrow" w:cs="Arial"/>
          <w:sz w:val="24"/>
          <w:szCs w:val="24"/>
          <w:lang w:val="es-ES_tradnl"/>
        </w:rPr>
      </w:pPr>
    </w:p>
    <w:p w:rsidR="00BC451A" w:rsidRPr="006818EF" w:rsidRDefault="00BC451A" w:rsidP="00BC451A">
      <w:pPr>
        <w:spacing w:after="0" w:line="240" w:lineRule="auto"/>
        <w:ind w:left="567" w:right="474"/>
        <w:jc w:val="both"/>
        <w:rPr>
          <w:rFonts w:ascii="Arial Narrow" w:hAnsi="Arial Narrow" w:cs="Arial"/>
          <w:i/>
          <w:lang w:val="es-ES_tradnl"/>
        </w:rPr>
      </w:pPr>
      <w:r w:rsidRPr="006818EF">
        <w:rPr>
          <w:rFonts w:ascii="Arial Narrow" w:hAnsi="Arial Narrow" w:cs="Arial"/>
          <w:i/>
          <w:lang w:val="es-ES_tradnl"/>
        </w:rPr>
        <w:t>“… la obligatoriedad del derecho internacional humanitario se impone a todas las partes que participen en un conflicto armado, y no sólo a las Fuerzas Armadas de aquellos Estados que hayan ratificado los respectivos tratados. No es pues legítimo que un actor armado irregular, o una fuerza armada estatal, consideren que no tienen que respetar en un conflicto armado las normas mínimas de humanidad, por no haber suscrito estos actores los convenios internacionales respectivos, puesto que-se repite-la fuerza normativa del derecho internacional humanitario deriva de la universal aceptación de sus contenidos normativos por los pueblos civilizados y de la evidencia de los valores de humanidad que estos instrumentos internacionales recogen. Todos los actores armados, estatales o no estatales, están entonces obligados a respetar estas normas que consagran aquellos principios mínimos de humanidad que no pueden ser derogados ni siquiera en las peores situaciones de conflicto armado.</w:t>
      </w:r>
    </w:p>
    <w:p w:rsidR="00BC451A" w:rsidRPr="006818EF" w:rsidRDefault="00BC451A" w:rsidP="00BC451A">
      <w:pPr>
        <w:spacing w:after="0" w:line="240" w:lineRule="auto"/>
        <w:ind w:left="567" w:right="474"/>
        <w:jc w:val="both"/>
        <w:rPr>
          <w:rFonts w:ascii="Arial Narrow" w:hAnsi="Arial Narrow" w:cs="Arial"/>
          <w:i/>
          <w:lang w:val="es-ES_tradnl"/>
        </w:rPr>
      </w:pPr>
    </w:p>
    <w:p w:rsidR="00BC451A" w:rsidRPr="006818EF" w:rsidRDefault="00BC451A" w:rsidP="00BC451A">
      <w:pPr>
        <w:spacing w:after="0" w:line="240" w:lineRule="auto"/>
        <w:ind w:left="567" w:right="474"/>
        <w:jc w:val="both"/>
        <w:rPr>
          <w:rFonts w:ascii="Arial Narrow" w:hAnsi="Arial Narrow" w:cs="Arial"/>
          <w:i/>
          <w:lang w:val="es-ES_tradnl"/>
        </w:rPr>
      </w:pPr>
      <w:r w:rsidRPr="006818EF">
        <w:rPr>
          <w:rFonts w:ascii="Arial Narrow" w:hAnsi="Arial Narrow" w:cs="Arial"/>
          <w:i/>
          <w:lang w:val="es-ES_tradnl"/>
        </w:rPr>
        <w:t>(…) Tampoco puede uno de los actores armados alegar el incumplimiento del derecho humanitario por su contrincante con el fin de excusar sus propias violaciones de estas normas, ya que las limitaciones a los combatientes se imponen en beneficio de la persona humana. Por eso, este derecho tiene la particularidad de que sus reglas constituyen garantías inalienables estructuradas de manera singular: se imponen obligaciones a los actores armados, en beneficio no propio sino de terceros: la población no combatiente y las víctimas de ese enfrentamiento bélico. Ello explica que la obligación humanitaria no se funde en la reciprocidad, pues ella es exigible para cada una de las partes, sin hallarse subordinada a su cumplimiento correlativo por la otra parte, puesto que el titular de tales garantías es el tercero no combatiente, y no las partes en conflicto. Al respecto, esta Corte ya había señalado que "en estos tratados no opera el tradicional principio de la reciprocidad ni tampoco,-como lo pone de presente la Corte Internacional de Justicia en el caso del conflicto entre Estados Unidos y Nicaragua-, son susceptibles de reserva.”</w:t>
      </w:r>
    </w:p>
    <w:p w:rsidR="00BC451A" w:rsidRPr="00BC451A" w:rsidRDefault="00BC451A" w:rsidP="00BC451A">
      <w:pPr>
        <w:spacing w:after="0" w:line="240" w:lineRule="auto"/>
        <w:ind w:right="474"/>
        <w:jc w:val="both"/>
        <w:rPr>
          <w:rFonts w:ascii="Arial Narrow" w:hAnsi="Arial Narrow" w:cs="Arial"/>
          <w:i/>
          <w:sz w:val="24"/>
          <w:szCs w:val="24"/>
          <w:lang w:val="es-ES_tradnl"/>
        </w:rPr>
      </w:pPr>
    </w:p>
    <w:p w:rsidR="00BC451A" w:rsidRPr="00BC451A" w:rsidRDefault="00BC451A" w:rsidP="00BC451A">
      <w:pPr>
        <w:spacing w:after="0" w:line="240" w:lineRule="auto"/>
        <w:jc w:val="both"/>
        <w:rPr>
          <w:rFonts w:ascii="Arial Narrow" w:hAnsi="Arial Narrow"/>
          <w:sz w:val="24"/>
          <w:szCs w:val="24"/>
          <w:lang w:val="es-ES_tradnl"/>
        </w:rPr>
      </w:pPr>
      <w:r w:rsidRPr="00BC451A">
        <w:rPr>
          <w:rFonts w:ascii="Arial Narrow" w:hAnsi="Arial Narrow"/>
          <w:sz w:val="24"/>
          <w:szCs w:val="24"/>
          <w:lang w:val="es-ES_tradnl"/>
        </w:rPr>
        <w:t xml:space="preserve">Es claro entonces, que la aplicación del DIH no se deriva de un capricho por parte del Gobierno Nacional, sino que es una obligación que se desprende de los tratados firmados y ratificados por Colombia.  </w:t>
      </w:r>
    </w:p>
    <w:p w:rsidR="00BC451A" w:rsidRPr="00BC451A" w:rsidRDefault="00BC451A" w:rsidP="00BC451A">
      <w:pPr>
        <w:spacing w:after="0" w:line="240" w:lineRule="auto"/>
        <w:jc w:val="both"/>
        <w:rPr>
          <w:rFonts w:ascii="Arial Narrow" w:hAnsi="Arial Narrow"/>
          <w:sz w:val="24"/>
          <w:szCs w:val="24"/>
          <w:lang w:val="es-ES_tradnl"/>
        </w:rPr>
      </w:pPr>
    </w:p>
    <w:p w:rsidR="00BC451A" w:rsidRPr="00BC451A" w:rsidRDefault="00BC451A" w:rsidP="00BC451A">
      <w:pPr>
        <w:spacing w:after="0" w:line="240" w:lineRule="auto"/>
        <w:jc w:val="both"/>
        <w:rPr>
          <w:rFonts w:ascii="Arial Narrow" w:hAnsi="Arial Narrow" w:cs="Arial"/>
          <w:sz w:val="24"/>
          <w:szCs w:val="24"/>
          <w:lang w:val="es-ES_tradnl"/>
        </w:rPr>
      </w:pPr>
      <w:r w:rsidRPr="00BC451A">
        <w:rPr>
          <w:rFonts w:ascii="Arial Narrow" w:hAnsi="Arial Narrow"/>
          <w:sz w:val="24"/>
          <w:szCs w:val="24"/>
          <w:lang w:val="es-ES_tradnl"/>
        </w:rPr>
        <w:t xml:space="preserve">De otra parte, y recogiendo el talante democrático que ha caracterizado a este Proyecto, vale la pena </w:t>
      </w:r>
      <w:r w:rsidRPr="00BC451A">
        <w:rPr>
          <w:rFonts w:ascii="Arial Narrow" w:hAnsi="Arial Narrow" w:cs="Arial"/>
          <w:sz w:val="24"/>
          <w:szCs w:val="24"/>
          <w:lang w:val="es-ES_tradnl"/>
        </w:rPr>
        <w:t xml:space="preserve">señalar que esta iniciativa legislativa ha contado con un amplio debate público, con diferentes actores de la sociedad colombiana, organizaciones no gubernamentales, organismos internacionales y otros Estados de la comunidad internacional.  </w:t>
      </w:r>
    </w:p>
    <w:p w:rsidR="00BC451A" w:rsidRPr="00BC451A" w:rsidRDefault="00BC451A" w:rsidP="00BC451A">
      <w:pPr>
        <w:spacing w:after="0" w:line="240" w:lineRule="auto"/>
        <w:jc w:val="both"/>
        <w:rPr>
          <w:rFonts w:ascii="Arial Narrow" w:hAnsi="Arial Narrow" w:cs="Arial"/>
          <w:sz w:val="24"/>
          <w:szCs w:val="24"/>
          <w:lang w:val="es-ES_tradnl"/>
        </w:rPr>
      </w:pPr>
    </w:p>
    <w:p w:rsidR="00BC451A" w:rsidRDefault="00BC451A" w:rsidP="00BC451A">
      <w:pPr>
        <w:spacing w:after="0" w:line="240" w:lineRule="auto"/>
        <w:jc w:val="both"/>
        <w:rPr>
          <w:rFonts w:ascii="Arial Narrow" w:hAnsi="Arial Narrow" w:cs="Arial"/>
          <w:sz w:val="24"/>
          <w:szCs w:val="24"/>
          <w:lang w:val="es-ES_tradnl"/>
        </w:rPr>
      </w:pPr>
      <w:r w:rsidRPr="00BC451A">
        <w:rPr>
          <w:rFonts w:ascii="Arial Narrow" w:hAnsi="Arial Narrow" w:cs="Arial"/>
          <w:sz w:val="24"/>
          <w:szCs w:val="24"/>
          <w:lang w:val="es-ES_tradnl"/>
        </w:rPr>
        <w:t xml:space="preserve">A modo de ejemplo, en el mes de marzo de 2015, </w:t>
      </w:r>
      <w:r w:rsidR="00BC2D6E">
        <w:rPr>
          <w:rFonts w:ascii="Arial Narrow" w:hAnsi="Arial Narrow" w:cs="Arial"/>
          <w:sz w:val="24"/>
          <w:szCs w:val="24"/>
          <w:lang w:val="es-ES_tradnl"/>
        </w:rPr>
        <w:t>representantes del Estado colombiano, incluyendo el Ministerio de Defensa Nacional participaron</w:t>
      </w:r>
      <w:r w:rsidRPr="00BC451A">
        <w:rPr>
          <w:rFonts w:ascii="Arial Narrow" w:hAnsi="Arial Narrow" w:cs="Arial"/>
          <w:sz w:val="24"/>
          <w:szCs w:val="24"/>
          <w:lang w:val="es-ES_tradnl"/>
        </w:rPr>
        <w:t xml:space="preserve"> en las Audiencias de la Comisión Interamericana de Derechos Humanos en la que se explicó la reforma y se resolvieron inquietudes y reclamos respecto al texto de la iniciativa que fueron expuestos ante es</w:t>
      </w:r>
      <w:r w:rsidR="000A35A4">
        <w:rPr>
          <w:rFonts w:ascii="Arial Narrow" w:hAnsi="Arial Narrow" w:cs="Arial"/>
          <w:sz w:val="24"/>
          <w:szCs w:val="24"/>
          <w:lang w:val="es-ES_tradnl"/>
        </w:rPr>
        <w:t>te organismo por diferentes organizaciones no gubernamentales</w:t>
      </w:r>
      <w:r w:rsidRPr="00BC451A">
        <w:rPr>
          <w:rFonts w:ascii="Arial Narrow" w:hAnsi="Arial Narrow" w:cs="Arial"/>
          <w:sz w:val="24"/>
          <w:szCs w:val="24"/>
          <w:lang w:val="es-ES_tradnl"/>
        </w:rPr>
        <w:t xml:space="preserve">. En este punto, se debe mencionar que el Gobierno Nacional, teniendo en cuenta las inquietudes y propuestas que se dieron en el marco de la participación ciudadana, a finales del mes de marzo presentó una modificación al texto con el fin de dar mayor claridad al texto del Proyecto del Acto Legislativo y así propender por la claridad de los fines y objetivos del mismo. </w:t>
      </w:r>
      <w:r w:rsidR="00A960A6">
        <w:rPr>
          <w:rFonts w:ascii="Arial Narrow" w:hAnsi="Arial Narrow" w:cs="Arial"/>
          <w:sz w:val="24"/>
          <w:szCs w:val="24"/>
          <w:lang w:val="es-ES_tradnl"/>
        </w:rPr>
        <w:t>Esta proposición fue acogida y se encuentra incorporada en el texto contenido en la presente ponencia.</w:t>
      </w:r>
    </w:p>
    <w:p w:rsidR="000A35A4" w:rsidRPr="00BC451A" w:rsidRDefault="000A35A4" w:rsidP="00BC451A">
      <w:pPr>
        <w:spacing w:after="0" w:line="240" w:lineRule="auto"/>
        <w:jc w:val="both"/>
        <w:rPr>
          <w:rFonts w:ascii="Arial Narrow" w:hAnsi="Arial Narrow" w:cs="Arial"/>
          <w:sz w:val="24"/>
          <w:szCs w:val="24"/>
          <w:lang w:val="es-ES_tradnl"/>
        </w:rPr>
      </w:pPr>
    </w:p>
    <w:p w:rsidR="00BC451A" w:rsidRPr="00BC451A" w:rsidRDefault="00BC451A" w:rsidP="00BC451A">
      <w:pPr>
        <w:spacing w:after="0" w:line="240" w:lineRule="auto"/>
        <w:jc w:val="both"/>
        <w:rPr>
          <w:rFonts w:ascii="Arial Narrow" w:hAnsi="Arial Narrow" w:cs="Arial"/>
          <w:sz w:val="24"/>
          <w:szCs w:val="24"/>
          <w:lang w:val="es-ES_tradnl"/>
        </w:rPr>
      </w:pPr>
      <w:r w:rsidRPr="00BC451A">
        <w:rPr>
          <w:rFonts w:ascii="Arial Narrow" w:hAnsi="Arial Narrow" w:cs="Arial"/>
          <w:sz w:val="24"/>
          <w:szCs w:val="24"/>
          <w:lang w:val="es-ES_tradnl"/>
        </w:rPr>
        <w:t>Igualmente,</w:t>
      </w:r>
      <w:r w:rsidR="00A960A6">
        <w:rPr>
          <w:rFonts w:ascii="Arial Narrow" w:hAnsi="Arial Narrow" w:cs="Arial"/>
          <w:sz w:val="24"/>
          <w:szCs w:val="24"/>
          <w:lang w:val="es-ES_tradnl"/>
        </w:rPr>
        <w:t xml:space="preserve"> el Ministerio de Defensa y el Congreso han</w:t>
      </w:r>
      <w:r w:rsidRPr="00BC451A">
        <w:rPr>
          <w:rFonts w:ascii="Arial Narrow" w:hAnsi="Arial Narrow" w:cs="Arial"/>
          <w:sz w:val="24"/>
          <w:szCs w:val="24"/>
          <w:lang w:val="es-ES_tradnl"/>
        </w:rPr>
        <w:t xml:space="preserve"> participado en foros en el mes de mayo organizados por el Instituto de Ciencia Política y la Fundación Konrad Adenauer, y la revista Semana con el fin de dar un debate público y constructivo en torno a esta temática. </w:t>
      </w:r>
    </w:p>
    <w:p w:rsidR="00BC451A" w:rsidRPr="00BC451A" w:rsidRDefault="00BC451A" w:rsidP="00BC451A">
      <w:pPr>
        <w:spacing w:after="0" w:line="240" w:lineRule="auto"/>
        <w:jc w:val="both"/>
        <w:rPr>
          <w:rFonts w:ascii="Arial Narrow" w:hAnsi="Arial Narrow" w:cs="Arial"/>
          <w:b/>
          <w:sz w:val="24"/>
          <w:szCs w:val="24"/>
          <w:lang w:val="es-ES_tradnl"/>
        </w:rPr>
      </w:pPr>
    </w:p>
    <w:p w:rsidR="00BC451A" w:rsidRPr="00BC451A" w:rsidRDefault="00BC451A" w:rsidP="00BC451A">
      <w:pPr>
        <w:pStyle w:val="Prrafodelista"/>
        <w:numPr>
          <w:ilvl w:val="0"/>
          <w:numId w:val="5"/>
        </w:numPr>
        <w:spacing w:after="0" w:line="240" w:lineRule="auto"/>
        <w:jc w:val="both"/>
        <w:rPr>
          <w:rFonts w:ascii="Arial Narrow" w:hAnsi="Arial Narrow" w:cs="Arial"/>
          <w:b/>
          <w:sz w:val="24"/>
          <w:szCs w:val="24"/>
          <w:lang w:val="es-ES_tradnl"/>
        </w:rPr>
      </w:pPr>
      <w:r w:rsidRPr="00BC451A">
        <w:rPr>
          <w:rFonts w:ascii="Arial Narrow" w:hAnsi="Arial Narrow" w:cs="Arial"/>
          <w:b/>
          <w:sz w:val="24"/>
          <w:szCs w:val="24"/>
          <w:lang w:val="es-ES_tradnl"/>
        </w:rPr>
        <w:t>EL DEBATE DEL 19 DE MAYO DE 2015</w:t>
      </w:r>
    </w:p>
    <w:p w:rsidR="00BC451A" w:rsidRPr="00BC451A" w:rsidRDefault="00BC451A" w:rsidP="00BC451A">
      <w:pPr>
        <w:pStyle w:val="Prrafodelista"/>
        <w:spacing w:after="0" w:line="240" w:lineRule="auto"/>
        <w:jc w:val="both"/>
        <w:rPr>
          <w:rFonts w:ascii="Arial Narrow" w:hAnsi="Arial Narrow" w:cs="Arial"/>
          <w:b/>
          <w:sz w:val="24"/>
          <w:szCs w:val="24"/>
          <w:lang w:val="es-ES_tradnl"/>
        </w:rPr>
      </w:pPr>
    </w:p>
    <w:p w:rsidR="00BC451A" w:rsidRPr="00BC451A" w:rsidRDefault="00BC451A" w:rsidP="00BC451A">
      <w:pPr>
        <w:spacing w:line="240" w:lineRule="auto"/>
        <w:jc w:val="both"/>
        <w:rPr>
          <w:rFonts w:ascii="Arial Narrow" w:hAnsi="Arial Narrow"/>
          <w:sz w:val="24"/>
          <w:szCs w:val="24"/>
          <w:lang w:val="es-CO"/>
        </w:rPr>
      </w:pPr>
      <w:r w:rsidRPr="00BC451A">
        <w:rPr>
          <w:rFonts w:ascii="Arial Narrow" w:hAnsi="Arial Narrow"/>
          <w:sz w:val="24"/>
          <w:szCs w:val="24"/>
          <w:lang w:val="es-CO"/>
        </w:rPr>
        <w:t xml:space="preserve">La Comisión Primera de la Cámara de Representantes aprobó en el séptimo de ocho debates el proyecto de reforma constitucional que </w:t>
      </w:r>
      <w:r w:rsidR="00A960A6">
        <w:rPr>
          <w:rFonts w:ascii="Arial Narrow" w:hAnsi="Arial Narrow"/>
          <w:sz w:val="24"/>
          <w:szCs w:val="24"/>
          <w:lang w:val="es-CO"/>
        </w:rPr>
        <w:t>avanza en brindar</w:t>
      </w:r>
      <w:r w:rsidRPr="00BC451A">
        <w:rPr>
          <w:rFonts w:ascii="Arial Narrow" w:hAnsi="Arial Narrow"/>
          <w:sz w:val="24"/>
          <w:szCs w:val="24"/>
          <w:lang w:val="es-CO"/>
        </w:rPr>
        <w:t xml:space="preserve"> garantías jurídicas </w:t>
      </w:r>
      <w:r w:rsidR="00A960A6">
        <w:rPr>
          <w:rFonts w:ascii="Arial Narrow" w:hAnsi="Arial Narrow"/>
          <w:sz w:val="24"/>
          <w:szCs w:val="24"/>
          <w:lang w:val="es-CO"/>
        </w:rPr>
        <w:t>a</w:t>
      </w:r>
      <w:r w:rsidRPr="00BC451A">
        <w:rPr>
          <w:rFonts w:ascii="Arial Narrow" w:hAnsi="Arial Narrow"/>
          <w:sz w:val="24"/>
          <w:szCs w:val="24"/>
          <w:lang w:val="es-CO"/>
        </w:rPr>
        <w:t xml:space="preserve"> los miembros de las Fuerzas Armadas. </w:t>
      </w:r>
    </w:p>
    <w:p w:rsidR="00BC451A" w:rsidRPr="00BC451A" w:rsidRDefault="00BC451A" w:rsidP="00BC451A">
      <w:pPr>
        <w:spacing w:line="240" w:lineRule="auto"/>
        <w:jc w:val="both"/>
        <w:rPr>
          <w:rFonts w:ascii="Arial Narrow" w:hAnsi="Arial Narrow"/>
          <w:sz w:val="24"/>
          <w:szCs w:val="24"/>
          <w:lang w:val="es-CO"/>
        </w:rPr>
      </w:pPr>
      <w:r w:rsidRPr="00BC451A">
        <w:rPr>
          <w:rFonts w:ascii="Arial Narrow" w:hAnsi="Arial Narrow"/>
          <w:sz w:val="24"/>
          <w:szCs w:val="24"/>
          <w:lang w:val="es-CO"/>
        </w:rPr>
        <w:t>Lo anterior, no es nada diferente a</w:t>
      </w:r>
      <w:r w:rsidR="00A960A6">
        <w:rPr>
          <w:rFonts w:ascii="Arial Narrow" w:hAnsi="Arial Narrow"/>
          <w:sz w:val="24"/>
          <w:szCs w:val="24"/>
          <w:lang w:val="es-CO"/>
        </w:rPr>
        <w:t xml:space="preserve"> ser investigados y juzgados acorde con</w:t>
      </w:r>
      <w:r w:rsidRPr="00BC451A">
        <w:rPr>
          <w:rFonts w:ascii="Arial Narrow" w:hAnsi="Arial Narrow"/>
          <w:sz w:val="24"/>
          <w:szCs w:val="24"/>
          <w:lang w:val="es-CO"/>
        </w:rPr>
        <w:t xml:space="preserve"> las reglas y principios especiales del DIH que regulan las actuaciones que tienen lugar en el marco de un conflicto armado interno y a ser juzgados por un juez competente en la materia. </w:t>
      </w:r>
    </w:p>
    <w:p w:rsidR="00BC451A" w:rsidRPr="00BC451A" w:rsidRDefault="00BC451A" w:rsidP="00BC451A">
      <w:pPr>
        <w:spacing w:line="240" w:lineRule="auto"/>
        <w:jc w:val="both"/>
        <w:rPr>
          <w:rFonts w:ascii="Arial Narrow" w:hAnsi="Arial Narrow"/>
          <w:sz w:val="24"/>
          <w:szCs w:val="24"/>
          <w:lang w:val="es-CO"/>
        </w:rPr>
      </w:pPr>
      <w:r w:rsidRPr="00BC451A">
        <w:rPr>
          <w:rFonts w:ascii="Arial Narrow" w:hAnsi="Arial Narrow"/>
          <w:sz w:val="24"/>
          <w:szCs w:val="24"/>
          <w:lang w:val="es-CO"/>
        </w:rPr>
        <w:t>Como en varias ocasiones lo ha mencionado</w:t>
      </w:r>
      <w:r w:rsidR="00734840">
        <w:rPr>
          <w:rFonts w:ascii="Arial Narrow" w:hAnsi="Arial Narrow"/>
          <w:sz w:val="24"/>
          <w:szCs w:val="24"/>
          <w:lang w:val="es-CO"/>
        </w:rPr>
        <w:t xml:space="preserve"> miembros de este Congreso y </w:t>
      </w:r>
      <w:r w:rsidRPr="00BC451A">
        <w:rPr>
          <w:rFonts w:ascii="Arial Narrow" w:hAnsi="Arial Narrow"/>
          <w:sz w:val="24"/>
          <w:szCs w:val="24"/>
          <w:lang w:val="es-CO"/>
        </w:rPr>
        <w:t>el</w:t>
      </w:r>
      <w:r w:rsidR="00734840">
        <w:rPr>
          <w:rFonts w:ascii="Arial Narrow" w:hAnsi="Arial Narrow"/>
          <w:sz w:val="24"/>
          <w:szCs w:val="24"/>
          <w:lang w:val="es-CO"/>
        </w:rPr>
        <w:t xml:space="preserve"> mismo</w:t>
      </w:r>
      <w:r w:rsidRPr="00BC451A">
        <w:rPr>
          <w:rFonts w:ascii="Arial Narrow" w:hAnsi="Arial Narrow"/>
          <w:sz w:val="24"/>
          <w:szCs w:val="24"/>
          <w:lang w:val="es-CO"/>
        </w:rPr>
        <w:t xml:space="preserve"> Ministro de Defensa, no podemos esper</w:t>
      </w:r>
      <w:r w:rsidR="00734840">
        <w:rPr>
          <w:rFonts w:ascii="Arial Narrow" w:hAnsi="Arial Narrow"/>
          <w:sz w:val="24"/>
          <w:szCs w:val="24"/>
          <w:lang w:val="es-CO"/>
        </w:rPr>
        <w:t>ar que los hombres de nuestras Fuerza Pública</w:t>
      </w:r>
      <w:r w:rsidRPr="00BC451A">
        <w:rPr>
          <w:rFonts w:ascii="Arial Narrow" w:hAnsi="Arial Narrow"/>
          <w:sz w:val="24"/>
          <w:szCs w:val="24"/>
          <w:lang w:val="es-CO"/>
        </w:rPr>
        <w:t xml:space="preserve"> </w:t>
      </w:r>
      <w:r w:rsidR="00734840">
        <w:rPr>
          <w:rFonts w:ascii="Arial Narrow" w:hAnsi="Arial Narrow"/>
          <w:sz w:val="24"/>
          <w:szCs w:val="24"/>
          <w:lang w:val="es-CO"/>
        </w:rPr>
        <w:t>cumpla</w:t>
      </w:r>
      <w:r w:rsidRPr="00BC451A">
        <w:rPr>
          <w:rFonts w:ascii="Arial Narrow" w:hAnsi="Arial Narrow"/>
          <w:sz w:val="24"/>
          <w:szCs w:val="24"/>
          <w:lang w:val="es-CO"/>
        </w:rPr>
        <w:t xml:space="preserve"> la misión constitucional que les ha sido encomendada sin que exista claridad sobre las reglas y normas que regularán su actu</w:t>
      </w:r>
      <w:r w:rsidR="00734840">
        <w:rPr>
          <w:rFonts w:ascii="Arial Narrow" w:hAnsi="Arial Narrow"/>
          <w:sz w:val="24"/>
          <w:szCs w:val="24"/>
          <w:lang w:val="es-CO"/>
        </w:rPr>
        <w:t xml:space="preserve">ar. De esta forma, la reforma </w:t>
      </w:r>
      <w:r w:rsidRPr="00BC451A">
        <w:rPr>
          <w:rFonts w:ascii="Arial Narrow" w:hAnsi="Arial Narrow"/>
          <w:sz w:val="24"/>
          <w:szCs w:val="24"/>
          <w:lang w:val="es-CO"/>
        </w:rPr>
        <w:t xml:space="preserve">se vuelve no un asunto que le incumbe únicamente al sector defensa, sino un asunto de Estado. </w:t>
      </w:r>
    </w:p>
    <w:p w:rsidR="00BC451A" w:rsidRPr="00BC451A" w:rsidRDefault="00BC451A" w:rsidP="00BC451A">
      <w:pPr>
        <w:spacing w:line="240" w:lineRule="auto"/>
        <w:jc w:val="both"/>
        <w:rPr>
          <w:rFonts w:ascii="Arial Narrow" w:hAnsi="Arial Narrow"/>
          <w:sz w:val="24"/>
          <w:szCs w:val="24"/>
          <w:lang w:val="es-CO"/>
        </w:rPr>
      </w:pPr>
      <w:r w:rsidRPr="00BC451A">
        <w:rPr>
          <w:rFonts w:ascii="Arial Narrow" w:hAnsi="Arial Narrow"/>
          <w:sz w:val="24"/>
          <w:szCs w:val="24"/>
          <w:lang w:val="es-CO"/>
        </w:rPr>
        <w:t xml:space="preserve">Vale la pena resaltar que durante el debate en Comisión Primera de Cámara, llevado a cabo el 19 de mayo de 2015, se expusieron las modificaciones que se han presentado en el transcurso del trámite legislativo. Se reiteró la importancia de este Acto Legislativo, sobre la cual ya he hablado previamente, y se señaló que en ningún momento ha sido intención del Gobierno Nacional generar impunidad sobre las acciones desplegadas por la Fuerza Pública, por medio de este Acto Legislativo o cualquier otra iniciativa legislativa del Sector Defensa. </w:t>
      </w:r>
    </w:p>
    <w:p w:rsidR="00BC451A" w:rsidRPr="00BC451A" w:rsidRDefault="00BC451A" w:rsidP="00BC451A">
      <w:pPr>
        <w:spacing w:line="240" w:lineRule="auto"/>
        <w:jc w:val="both"/>
        <w:rPr>
          <w:rFonts w:ascii="Arial Narrow" w:hAnsi="Arial Narrow"/>
          <w:sz w:val="24"/>
          <w:szCs w:val="24"/>
          <w:lang w:val="es-CO"/>
        </w:rPr>
      </w:pPr>
      <w:r w:rsidRPr="00BC451A">
        <w:rPr>
          <w:rFonts w:ascii="Arial Narrow" w:hAnsi="Arial Narrow"/>
          <w:sz w:val="24"/>
          <w:szCs w:val="24"/>
          <w:lang w:val="es-CO"/>
        </w:rPr>
        <w:t xml:space="preserve">El debate que se llevó a cabo en la Comisión Primera de Cámara, contó con la intervención de representantes de todos los partidos políticos pertenecientes a esa Comisión y a otras. </w:t>
      </w:r>
    </w:p>
    <w:p w:rsidR="00BC451A" w:rsidRPr="00BC451A" w:rsidRDefault="00BC451A" w:rsidP="00BC451A">
      <w:pPr>
        <w:spacing w:line="240" w:lineRule="auto"/>
        <w:jc w:val="both"/>
        <w:rPr>
          <w:rFonts w:ascii="Arial Narrow" w:hAnsi="Arial Narrow"/>
          <w:sz w:val="24"/>
          <w:szCs w:val="24"/>
          <w:lang w:val="es-CO"/>
        </w:rPr>
      </w:pPr>
      <w:r w:rsidRPr="00BC451A">
        <w:rPr>
          <w:rFonts w:ascii="Arial Narrow" w:hAnsi="Arial Narrow"/>
          <w:sz w:val="24"/>
          <w:szCs w:val="24"/>
          <w:lang w:val="es-CO"/>
        </w:rPr>
        <w:t xml:space="preserve">Es de resaltar, la participación de sectores que han expresado cuestionamientos respecto de esta iniciativa, como por ejemplo, la participación del H. Representantes tales como, Germán Navas Talero, Angélica Lozano, Alirio Uribe y Angela María Robledo, estos dos últimos, miembros de otras comisiones constitucionales, pero que participaron activamente de esta discusión. </w:t>
      </w:r>
    </w:p>
    <w:p w:rsidR="00BC451A" w:rsidRPr="00BC451A" w:rsidRDefault="00BC451A" w:rsidP="00BC451A">
      <w:pPr>
        <w:spacing w:after="0" w:line="240" w:lineRule="auto"/>
        <w:jc w:val="both"/>
        <w:rPr>
          <w:rFonts w:ascii="Arial Narrow" w:hAnsi="Arial Narrow" w:cs="Arial"/>
          <w:sz w:val="24"/>
          <w:szCs w:val="24"/>
          <w:lang w:val="es-CO"/>
        </w:rPr>
      </w:pPr>
      <w:r w:rsidRPr="00BC451A">
        <w:rPr>
          <w:rFonts w:ascii="Arial Narrow" w:hAnsi="Arial Narrow" w:cs="Arial"/>
          <w:sz w:val="24"/>
          <w:szCs w:val="24"/>
          <w:lang w:val="es-ES_tradnl"/>
        </w:rPr>
        <w:t>Siguiendo el apoyo que este Acto Legislativo ha recibido a lo largo de su trámite en el Congreso, durante la última audiencia se</w:t>
      </w:r>
      <w:r w:rsidRPr="00BC451A">
        <w:rPr>
          <w:rFonts w:ascii="Arial Narrow" w:hAnsi="Arial Narrow"/>
          <w:sz w:val="24"/>
          <w:szCs w:val="24"/>
          <w:lang w:val="es-CO"/>
        </w:rPr>
        <w:t xml:space="preserve"> contó con veintisiete (27) votos a favor y sólo tres (3) votos en contra respecto del informe de ponencia y el texto.  </w:t>
      </w:r>
      <w:r w:rsidR="00C63F0C">
        <w:rPr>
          <w:rFonts w:ascii="Arial Narrow" w:hAnsi="Arial Narrow"/>
          <w:sz w:val="24"/>
          <w:szCs w:val="24"/>
          <w:lang w:val="es-CO"/>
        </w:rPr>
        <w:t xml:space="preserve">Y el articulado veintiocho (28) votos a favor y tres (3) en contra. </w:t>
      </w:r>
    </w:p>
    <w:p w:rsidR="00BC451A" w:rsidRPr="00BC451A" w:rsidRDefault="00BC451A" w:rsidP="00BC451A">
      <w:pPr>
        <w:spacing w:after="0" w:line="240" w:lineRule="auto"/>
        <w:jc w:val="both"/>
        <w:rPr>
          <w:rFonts w:ascii="Arial Narrow" w:hAnsi="Arial Narrow" w:cs="Arial"/>
          <w:sz w:val="24"/>
          <w:szCs w:val="24"/>
          <w:lang w:val="es-CO"/>
        </w:rPr>
      </w:pPr>
    </w:p>
    <w:p w:rsidR="00BC451A" w:rsidRPr="00BC451A" w:rsidRDefault="00BC451A" w:rsidP="00BC451A">
      <w:pPr>
        <w:pStyle w:val="Prrafodelista"/>
        <w:spacing w:after="0" w:line="240" w:lineRule="auto"/>
        <w:jc w:val="both"/>
        <w:rPr>
          <w:rFonts w:ascii="Arial Narrow" w:hAnsi="Arial Narrow" w:cs="Arial"/>
          <w:b/>
          <w:sz w:val="24"/>
          <w:szCs w:val="24"/>
          <w:lang w:val="es-ES_tradnl"/>
        </w:rPr>
      </w:pPr>
    </w:p>
    <w:p w:rsidR="00BC451A" w:rsidRPr="00BC451A" w:rsidRDefault="00BC451A" w:rsidP="00BC451A">
      <w:pPr>
        <w:pStyle w:val="Prrafodelista"/>
        <w:numPr>
          <w:ilvl w:val="0"/>
          <w:numId w:val="5"/>
        </w:numPr>
        <w:spacing w:after="0" w:line="240" w:lineRule="auto"/>
        <w:jc w:val="both"/>
        <w:rPr>
          <w:rFonts w:ascii="Arial Narrow" w:hAnsi="Arial Narrow" w:cs="Arial"/>
          <w:b/>
          <w:sz w:val="24"/>
          <w:szCs w:val="24"/>
          <w:lang w:val="es-ES_tradnl"/>
        </w:rPr>
      </w:pPr>
      <w:r w:rsidRPr="00BC451A">
        <w:rPr>
          <w:rFonts w:ascii="Arial Narrow" w:hAnsi="Arial Narrow" w:cs="Arial"/>
          <w:b/>
          <w:sz w:val="24"/>
          <w:szCs w:val="24"/>
          <w:lang w:val="es-ES_tradnl"/>
        </w:rPr>
        <w:t xml:space="preserve">INTERVENCIONES </w:t>
      </w:r>
    </w:p>
    <w:p w:rsidR="00BC451A" w:rsidRPr="00BC451A" w:rsidRDefault="00BC451A" w:rsidP="00BC451A">
      <w:pPr>
        <w:spacing w:after="0" w:line="240" w:lineRule="auto"/>
        <w:ind w:left="360"/>
        <w:jc w:val="both"/>
        <w:rPr>
          <w:rFonts w:ascii="Arial Narrow" w:hAnsi="Arial Narrow" w:cs="Arial"/>
          <w:sz w:val="24"/>
          <w:szCs w:val="24"/>
          <w:lang w:val="es-ES_tradnl"/>
        </w:rPr>
      </w:pPr>
    </w:p>
    <w:p w:rsidR="00BC451A" w:rsidRPr="00BC451A" w:rsidRDefault="00BC451A" w:rsidP="00BC451A">
      <w:pPr>
        <w:spacing w:after="0" w:line="240" w:lineRule="auto"/>
        <w:jc w:val="both"/>
        <w:rPr>
          <w:rFonts w:ascii="Arial Narrow" w:hAnsi="Arial Narrow" w:cs="Arial"/>
          <w:sz w:val="24"/>
          <w:szCs w:val="24"/>
          <w:lang w:val="es-ES_tradnl"/>
        </w:rPr>
      </w:pPr>
      <w:r w:rsidRPr="00BC451A">
        <w:rPr>
          <w:rFonts w:ascii="Arial Narrow" w:hAnsi="Arial Narrow" w:cs="Arial"/>
          <w:sz w:val="24"/>
          <w:szCs w:val="24"/>
          <w:lang w:val="es-ES_tradnl"/>
        </w:rPr>
        <w:t>Con el objetivo de propender por la claridad de los fines que se busca alcanzar mediante el impulso de esta reforma, me permito indicar algunas de las observaciones e intervenciones que algunos H. Representantes hicieron en el marco del debate que se dio el 19 de mayo de 2015.  A saber:</w:t>
      </w:r>
    </w:p>
    <w:p w:rsidR="00BC451A" w:rsidRPr="00BC451A" w:rsidRDefault="00BC451A" w:rsidP="00BC451A">
      <w:pPr>
        <w:spacing w:after="0" w:line="240" w:lineRule="auto"/>
        <w:ind w:left="360"/>
        <w:jc w:val="both"/>
        <w:rPr>
          <w:rFonts w:ascii="Arial Narrow" w:hAnsi="Arial Narrow" w:cs="Arial"/>
          <w:sz w:val="24"/>
          <w:szCs w:val="24"/>
          <w:lang w:val="es-ES_tradnl"/>
        </w:rPr>
      </w:pPr>
    </w:p>
    <w:p w:rsidR="00BC451A" w:rsidRPr="00BC451A" w:rsidRDefault="00BC451A" w:rsidP="00BC451A">
      <w:pPr>
        <w:spacing w:line="240" w:lineRule="auto"/>
        <w:jc w:val="both"/>
        <w:rPr>
          <w:rFonts w:ascii="Arial Narrow" w:hAnsi="Arial Narrow"/>
          <w:sz w:val="24"/>
          <w:szCs w:val="24"/>
          <w:lang w:val="es-CO"/>
        </w:rPr>
      </w:pPr>
      <w:r w:rsidRPr="00BC451A">
        <w:rPr>
          <w:rFonts w:ascii="Arial Narrow" w:hAnsi="Arial Narrow"/>
          <w:sz w:val="24"/>
          <w:szCs w:val="24"/>
          <w:lang w:val="es-CO"/>
        </w:rPr>
        <w:t xml:space="preserve">El Representante Germán Navas Talero, sostuvo que la propuesta pretende establecer mecanismos beneficiosos a miembros de las Fuerzas Armadas que se encuentren investigados por presuntamente haber cometido delitos de lesa humanidad. </w:t>
      </w:r>
    </w:p>
    <w:p w:rsidR="00BC451A" w:rsidRPr="00BC451A" w:rsidRDefault="00BC451A" w:rsidP="00BC451A">
      <w:pPr>
        <w:spacing w:line="240" w:lineRule="auto"/>
        <w:jc w:val="both"/>
        <w:rPr>
          <w:rFonts w:ascii="Arial Narrow" w:hAnsi="Arial Narrow"/>
          <w:sz w:val="24"/>
          <w:szCs w:val="24"/>
          <w:lang w:val="es-CO"/>
        </w:rPr>
      </w:pPr>
      <w:r w:rsidRPr="00BC451A">
        <w:rPr>
          <w:rFonts w:ascii="Arial Narrow" w:hAnsi="Arial Narrow"/>
          <w:sz w:val="24"/>
          <w:szCs w:val="24"/>
          <w:lang w:val="es-CO"/>
        </w:rPr>
        <w:t xml:space="preserve">En esa misma línea, la Honorable Representante Ángela Robledo expresó que aplicar el DIH a conductas delictivas relacionadas con la violencia sexual, tales como: el acceso carnal violento, la desnudez forzada, el embarazo forzado, el aborto forzado, la esclavitud sexual, así como, los homicidios en persona protegida, significa un retroceso en el cumplimiento a los distintos fallos de la Corte Constitucional, la Corte Interamericana de Derechos Humanos; así como una posible violación a tratados internacionales ya ratificados, y más específicamente, la Ley 1719 de 2014. </w:t>
      </w:r>
    </w:p>
    <w:p w:rsidR="00BC451A" w:rsidRPr="00BC451A" w:rsidRDefault="00BC451A" w:rsidP="00BC451A">
      <w:pPr>
        <w:spacing w:line="240" w:lineRule="auto"/>
        <w:jc w:val="both"/>
        <w:rPr>
          <w:rFonts w:ascii="Arial Narrow" w:hAnsi="Arial Narrow"/>
          <w:sz w:val="24"/>
          <w:szCs w:val="24"/>
          <w:lang w:val="es-CO"/>
        </w:rPr>
      </w:pPr>
      <w:r w:rsidRPr="00BC451A">
        <w:rPr>
          <w:rFonts w:ascii="Arial Narrow" w:hAnsi="Arial Narrow"/>
          <w:sz w:val="24"/>
          <w:szCs w:val="24"/>
          <w:lang w:val="es-CO"/>
        </w:rPr>
        <w:t xml:space="preserve">Sobre estas dos intervenciones en particular, es importante reiterar que el objetivo de la reforma, que se encuentra en trámite en el Congreso de la República, es establecer de manera clara la obligación de aplicar el DIH en las investigaciones y juzgamiento de los miembros de la Fuerza Pública. </w:t>
      </w:r>
    </w:p>
    <w:p w:rsidR="00BC451A" w:rsidRPr="00BC451A" w:rsidRDefault="00BC451A" w:rsidP="00BC451A">
      <w:pPr>
        <w:spacing w:line="240" w:lineRule="auto"/>
        <w:jc w:val="both"/>
        <w:rPr>
          <w:rFonts w:ascii="Arial Narrow" w:hAnsi="Arial Narrow"/>
          <w:sz w:val="24"/>
          <w:szCs w:val="24"/>
          <w:lang w:val="es-CO"/>
        </w:rPr>
      </w:pPr>
      <w:r w:rsidRPr="00BC451A">
        <w:rPr>
          <w:rFonts w:ascii="Arial Narrow" w:hAnsi="Arial Narrow"/>
          <w:sz w:val="24"/>
          <w:szCs w:val="24"/>
          <w:lang w:val="es-CO"/>
        </w:rPr>
        <w:t xml:space="preserve">Se debe dar claridad a que la aplicación de esta normativa es una obligación adquirida por el Estado colombiano desde la ratificación de los Protocolos Adicionales a los Convenios de Ginebra. Normas que al ser ratificadas y regular derechos fundamentales de las personas cuentan con un carácter imperativo y por ende fueron incorporadas al Bloque de Constitucionalidad como lo ha establecido </w:t>
      </w:r>
      <w:proofErr w:type="gramStart"/>
      <w:r w:rsidRPr="00BC451A">
        <w:rPr>
          <w:rFonts w:ascii="Arial Narrow" w:hAnsi="Arial Narrow"/>
          <w:sz w:val="24"/>
          <w:szCs w:val="24"/>
          <w:lang w:val="es-CO"/>
        </w:rPr>
        <w:t>la</w:t>
      </w:r>
      <w:proofErr w:type="gramEnd"/>
      <w:r w:rsidRPr="00BC451A">
        <w:rPr>
          <w:rFonts w:ascii="Arial Narrow" w:hAnsi="Arial Narrow"/>
          <w:sz w:val="24"/>
          <w:szCs w:val="24"/>
          <w:lang w:val="es-CO"/>
        </w:rPr>
        <w:t xml:space="preserve"> H. Corte Constitucional en sentencia C-225 de 1995. </w:t>
      </w:r>
    </w:p>
    <w:p w:rsidR="00BC451A" w:rsidRPr="00BC451A" w:rsidRDefault="00BC451A" w:rsidP="00BC451A">
      <w:pPr>
        <w:spacing w:line="240" w:lineRule="auto"/>
        <w:jc w:val="both"/>
        <w:rPr>
          <w:rFonts w:ascii="Arial Narrow" w:hAnsi="Arial Narrow"/>
          <w:sz w:val="24"/>
          <w:szCs w:val="24"/>
          <w:lang w:val="es-CO"/>
        </w:rPr>
      </w:pPr>
      <w:r w:rsidRPr="00BC451A">
        <w:rPr>
          <w:rFonts w:ascii="Arial Narrow" w:hAnsi="Arial Narrow"/>
          <w:sz w:val="24"/>
          <w:szCs w:val="24"/>
          <w:lang w:val="es-CO"/>
        </w:rPr>
        <w:t xml:space="preserve">Esta reforma no incorpora el DIH a nuestra legislación colombiana ni determina su ámbito de aplicación. Esta función ya se ha realizado por </w:t>
      </w:r>
      <w:proofErr w:type="gramStart"/>
      <w:r w:rsidRPr="00BC451A">
        <w:rPr>
          <w:rFonts w:ascii="Arial Narrow" w:hAnsi="Arial Narrow"/>
          <w:sz w:val="24"/>
          <w:szCs w:val="24"/>
          <w:lang w:val="es-CO"/>
        </w:rPr>
        <w:t>la</w:t>
      </w:r>
      <w:proofErr w:type="gramEnd"/>
      <w:r w:rsidRPr="00BC451A">
        <w:rPr>
          <w:rFonts w:ascii="Arial Narrow" w:hAnsi="Arial Narrow"/>
          <w:sz w:val="24"/>
          <w:szCs w:val="24"/>
          <w:lang w:val="es-CO"/>
        </w:rPr>
        <w:t xml:space="preserve"> H. Corte Constitucional en sentencias, C-225 de 1995, C-291 de 2007, entre otras, pues es la función propia de esta alta Corte, de conformidad con el artículo 241 de la Constitución, determinar el alcance de dicha normativa. De ahí que, el objetivo de la reforma tan solo se centra en reiterar la obligatoria aplicación del DIH en los procesos de investigación y juzgamiento, donde la normativa sea aplicable, en consonancia con el Protocolo Adicional II, el cual establece que para las conductas que tengan lugar en el marco de los conflictos armados o cuando se superen los niveles normales de violencia se aplicará el DIH, de conformidad con lo establecido por la sentencia C-291 de 2007.</w:t>
      </w:r>
    </w:p>
    <w:p w:rsidR="00BC451A" w:rsidRPr="00BC451A" w:rsidRDefault="00BC451A" w:rsidP="00BC451A">
      <w:pPr>
        <w:spacing w:line="240" w:lineRule="auto"/>
        <w:jc w:val="both"/>
        <w:rPr>
          <w:rFonts w:ascii="Arial Narrow" w:hAnsi="Arial Narrow"/>
          <w:sz w:val="24"/>
          <w:szCs w:val="24"/>
          <w:lang w:val="es-CO"/>
        </w:rPr>
      </w:pPr>
      <w:r w:rsidRPr="00BC451A">
        <w:rPr>
          <w:rFonts w:ascii="Arial Narrow" w:hAnsi="Arial Narrow"/>
          <w:sz w:val="24"/>
          <w:szCs w:val="24"/>
          <w:lang w:val="es-CO"/>
        </w:rPr>
        <w:t xml:space="preserve">Adicionalmente, las afirmaciones hechas por los H. Representantes, reflejan una interpretación errada de los fines de la reforma, toda vez que el primer parágrafo del artículo 221 de la Constitución, tuvo una sola modificación la cual fue cambiar la palabra “delito” por “conducta delictiva”, aspecto que no cambia en lo absoluto los criterios tanto objetivos y subjetivos que se tienen en cuenta a la hora de determinar si la JPM es competente para conocer de un delito o no. Sobre este punto en especial, se debe tener siempre en la mente, que toda conducta que rompa la relación con el servicio será competencia exclusiva de la jurisdicción ordinaria, tal y como funciona actualmente. </w:t>
      </w:r>
    </w:p>
    <w:p w:rsidR="00BC451A" w:rsidRPr="00BC451A" w:rsidRDefault="00BC451A" w:rsidP="00BC451A">
      <w:pPr>
        <w:spacing w:line="240" w:lineRule="auto"/>
        <w:jc w:val="both"/>
        <w:rPr>
          <w:rFonts w:ascii="Arial Narrow" w:hAnsi="Arial Narrow"/>
          <w:sz w:val="24"/>
          <w:szCs w:val="24"/>
          <w:lang w:val="es-CO"/>
        </w:rPr>
      </w:pPr>
      <w:r w:rsidRPr="00BC451A">
        <w:rPr>
          <w:rFonts w:ascii="Arial Narrow" w:hAnsi="Arial Narrow"/>
          <w:sz w:val="24"/>
          <w:szCs w:val="24"/>
          <w:lang w:val="es-CO"/>
        </w:rPr>
        <w:t>Por otra parte, el Representante Alirio Uribe consideró que la aplicación del DIH, tal y  como se encuentra consagrada en el Proyecto de Acto Legislativo podría tratarse de una carta blanca para aplicar el DIH a situaciones ajenas del conflicto armado, como por ejemplo en la lucha contra las BACRIM o contra la delincuencia común. Agregó en su intervención que el hecho que los jueces penales militares conozcan de conductas que se enmarquen dentro del DIH, podría favorecer la violación de los Derechos Humanos.</w:t>
      </w:r>
    </w:p>
    <w:p w:rsidR="00BC451A" w:rsidRPr="00BC451A" w:rsidRDefault="00BC451A" w:rsidP="00BC451A">
      <w:pPr>
        <w:spacing w:line="240" w:lineRule="auto"/>
        <w:jc w:val="both"/>
        <w:rPr>
          <w:rFonts w:ascii="Arial Narrow" w:hAnsi="Arial Narrow"/>
          <w:sz w:val="24"/>
          <w:szCs w:val="24"/>
          <w:lang w:val="es-CO"/>
        </w:rPr>
      </w:pPr>
      <w:r w:rsidRPr="00BC451A">
        <w:rPr>
          <w:rFonts w:ascii="Arial Narrow" w:hAnsi="Arial Narrow"/>
          <w:sz w:val="24"/>
          <w:szCs w:val="24"/>
          <w:lang w:val="es-CO"/>
        </w:rPr>
        <w:t>En consecuencia, el Polo democrático presentó una proposición para eliminar el segundo inciso del artículo primero, bajo el argumento que los jueces y fiscales militares no tienen competencia para conocer de los casos en el marco del DIH, puesto que estos casos deben ser de conocimiento exclusivo de la justicia ordinaria.  La presente proposición fue sometida a votación ante la Comisión Primera; la proposición fue negada.</w:t>
      </w:r>
    </w:p>
    <w:p w:rsidR="00BC451A" w:rsidRPr="00BC451A" w:rsidRDefault="00BC451A" w:rsidP="00BC451A">
      <w:pPr>
        <w:spacing w:line="240" w:lineRule="auto"/>
        <w:jc w:val="both"/>
        <w:rPr>
          <w:rFonts w:ascii="Arial Narrow" w:hAnsi="Arial Narrow"/>
          <w:sz w:val="24"/>
          <w:szCs w:val="24"/>
          <w:lang w:val="es-CO"/>
        </w:rPr>
      </w:pPr>
      <w:r w:rsidRPr="00BC451A">
        <w:rPr>
          <w:rFonts w:ascii="Arial Narrow" w:hAnsi="Arial Narrow"/>
          <w:sz w:val="24"/>
          <w:szCs w:val="24"/>
          <w:lang w:val="es-CO"/>
        </w:rPr>
        <w:t xml:space="preserve">Sobre este aspecto en particular, quisiera reiterar una vez más que el objetivo de la reforma no es establecer el ámbito de aplicación del DIH, pues este ámbito ya se encuentra determinado por los Protocolos Adicionales a los Convenios de Ginebra y también ha sido determinado por la Corte Constitucional. </w:t>
      </w:r>
    </w:p>
    <w:p w:rsidR="00BC451A" w:rsidRPr="00BC451A" w:rsidRDefault="00BC451A" w:rsidP="00BC451A">
      <w:pPr>
        <w:spacing w:after="0" w:line="240" w:lineRule="auto"/>
        <w:jc w:val="both"/>
        <w:rPr>
          <w:rFonts w:ascii="Arial Narrow" w:hAnsi="Arial Narrow"/>
          <w:sz w:val="24"/>
          <w:szCs w:val="24"/>
          <w:lang w:val="es-ES_tradnl"/>
        </w:rPr>
      </w:pPr>
      <w:r w:rsidRPr="00BC451A">
        <w:rPr>
          <w:rFonts w:ascii="Arial Narrow" w:hAnsi="Arial Narrow"/>
          <w:sz w:val="24"/>
          <w:szCs w:val="24"/>
          <w:lang w:val="es-ES_tradnl"/>
        </w:rPr>
        <w:t xml:space="preserve">La Corte Constitucional en Sentencia C-291 de 2007, indicó que para la aplicación del Derecho Internacional Humanitario, en particular en los conflictos armados internos, se requieren dos criterios:  </w:t>
      </w:r>
    </w:p>
    <w:p w:rsidR="00BC451A" w:rsidRPr="00BC451A" w:rsidRDefault="00BC451A" w:rsidP="00BC451A">
      <w:pPr>
        <w:spacing w:after="0" w:line="240" w:lineRule="auto"/>
        <w:jc w:val="both"/>
        <w:rPr>
          <w:rFonts w:ascii="Arial Narrow" w:hAnsi="Arial Narrow"/>
          <w:sz w:val="24"/>
          <w:szCs w:val="24"/>
          <w:lang w:val="es-ES_tradnl"/>
        </w:rPr>
      </w:pPr>
    </w:p>
    <w:p w:rsidR="00BC451A" w:rsidRPr="00BC451A" w:rsidRDefault="00BC451A" w:rsidP="00BC451A">
      <w:pPr>
        <w:pStyle w:val="Prrafodelista"/>
        <w:numPr>
          <w:ilvl w:val="0"/>
          <w:numId w:val="1"/>
        </w:numPr>
        <w:spacing w:after="0" w:line="240" w:lineRule="auto"/>
        <w:jc w:val="both"/>
        <w:rPr>
          <w:rFonts w:ascii="Arial Narrow" w:hAnsi="Arial Narrow"/>
          <w:sz w:val="24"/>
          <w:szCs w:val="24"/>
          <w:lang w:val="es-ES_tradnl"/>
        </w:rPr>
      </w:pPr>
      <w:r w:rsidRPr="00BC451A">
        <w:rPr>
          <w:rFonts w:ascii="Arial Narrow" w:hAnsi="Arial Narrow"/>
          <w:b/>
          <w:sz w:val="24"/>
          <w:szCs w:val="24"/>
          <w:lang w:val="es-ES_tradnl"/>
        </w:rPr>
        <w:t>La intensidad del conflicto</w:t>
      </w:r>
      <w:r w:rsidRPr="00BC451A">
        <w:rPr>
          <w:rFonts w:ascii="Arial Narrow" w:hAnsi="Arial Narrow"/>
          <w:sz w:val="24"/>
          <w:szCs w:val="24"/>
          <w:lang w:val="es-ES_tradnl"/>
        </w:rPr>
        <w:t>: Factores tales como, la seriedad de los ataques y si ha habido un incremento en las confrontaciones armadas, la extensión de las hostilidades a lo largo de un territorio y de un período de tiempo, el aumento en las fuerzas armadas estatales y su movilización, así como la movilidad y distribución de armas de las distintas partes enfrentadas.</w:t>
      </w:r>
    </w:p>
    <w:p w:rsidR="00BC451A" w:rsidRPr="00BC451A" w:rsidRDefault="00BC451A" w:rsidP="00BC451A">
      <w:pPr>
        <w:pStyle w:val="Prrafodelista"/>
        <w:spacing w:after="0" w:line="240" w:lineRule="auto"/>
        <w:ind w:left="1440"/>
        <w:jc w:val="both"/>
        <w:rPr>
          <w:rFonts w:ascii="Arial Narrow" w:hAnsi="Arial Narrow"/>
          <w:sz w:val="24"/>
          <w:szCs w:val="24"/>
          <w:lang w:val="es-ES_tradnl"/>
        </w:rPr>
      </w:pPr>
    </w:p>
    <w:p w:rsidR="00BC451A" w:rsidRPr="00BC451A" w:rsidRDefault="00BC451A" w:rsidP="00BC451A">
      <w:pPr>
        <w:pStyle w:val="Prrafodelista"/>
        <w:numPr>
          <w:ilvl w:val="0"/>
          <w:numId w:val="1"/>
        </w:numPr>
        <w:spacing w:after="0" w:line="240" w:lineRule="auto"/>
        <w:jc w:val="both"/>
        <w:rPr>
          <w:rFonts w:ascii="Arial Narrow" w:hAnsi="Arial Narrow"/>
          <w:sz w:val="24"/>
          <w:szCs w:val="24"/>
          <w:lang w:val="es-ES_tradnl"/>
        </w:rPr>
      </w:pPr>
      <w:r w:rsidRPr="00BC451A">
        <w:rPr>
          <w:rFonts w:ascii="Arial Narrow" w:hAnsi="Arial Narrow"/>
          <w:b/>
          <w:sz w:val="24"/>
          <w:szCs w:val="24"/>
          <w:lang w:val="es-ES_tradnl"/>
        </w:rPr>
        <w:t>El nivel de organización de las partes</w:t>
      </w:r>
      <w:r w:rsidRPr="00BC451A">
        <w:rPr>
          <w:rFonts w:ascii="Arial Narrow" w:hAnsi="Arial Narrow"/>
          <w:sz w:val="24"/>
          <w:szCs w:val="24"/>
          <w:lang w:val="es-ES_tradnl"/>
        </w:rPr>
        <w:t>: criterios tales como, la existencia de cuarteles, zonas designadas de operación, y la capacidad de procurar, transportar y distribuir armas.</w:t>
      </w:r>
    </w:p>
    <w:p w:rsidR="00BC451A" w:rsidRPr="00BC451A" w:rsidRDefault="00BC451A" w:rsidP="00BC451A">
      <w:pPr>
        <w:spacing w:after="0" w:line="240" w:lineRule="auto"/>
        <w:jc w:val="both"/>
        <w:rPr>
          <w:rFonts w:ascii="Arial Narrow" w:hAnsi="Arial Narrow"/>
          <w:sz w:val="24"/>
          <w:szCs w:val="24"/>
          <w:lang w:val="es-ES_tradnl"/>
        </w:rPr>
      </w:pPr>
    </w:p>
    <w:p w:rsidR="00BC451A" w:rsidRPr="00BC451A" w:rsidRDefault="00BC451A" w:rsidP="00BC451A">
      <w:pPr>
        <w:spacing w:line="240" w:lineRule="auto"/>
        <w:jc w:val="both"/>
        <w:rPr>
          <w:rFonts w:ascii="Arial Narrow" w:hAnsi="Arial Narrow"/>
          <w:sz w:val="24"/>
          <w:szCs w:val="24"/>
          <w:lang w:val="es-CO"/>
        </w:rPr>
      </w:pPr>
      <w:r w:rsidRPr="00BC451A">
        <w:rPr>
          <w:rFonts w:ascii="Arial Narrow" w:hAnsi="Arial Narrow"/>
          <w:sz w:val="24"/>
          <w:szCs w:val="24"/>
          <w:lang w:val="es-ES_tradnl"/>
        </w:rPr>
        <w:t>La</w:t>
      </w:r>
      <w:r w:rsidRPr="00BC451A">
        <w:rPr>
          <w:rFonts w:ascii="Arial Narrow" w:hAnsi="Arial Narrow"/>
          <w:sz w:val="24"/>
          <w:szCs w:val="24"/>
          <w:lang w:val="es-CO"/>
        </w:rPr>
        <w:t xml:space="preserve"> Corte Constitucional aclaró que la aplicación del DIH responde a los factores objetivos que aquí se presentan y que de ninguna manera su aplicación responde a la caracterización, denominación o trato que los Estados o gobiernos quieran darle a los grupos armados ilegales. </w:t>
      </w:r>
    </w:p>
    <w:p w:rsidR="00BC451A" w:rsidRPr="00BC451A" w:rsidRDefault="00BC451A" w:rsidP="00BC451A">
      <w:pPr>
        <w:spacing w:after="0" w:line="240" w:lineRule="auto"/>
        <w:jc w:val="both"/>
        <w:rPr>
          <w:rFonts w:ascii="Arial Narrow" w:hAnsi="Arial Narrow"/>
          <w:sz w:val="24"/>
          <w:szCs w:val="24"/>
          <w:lang w:val="es-ES_tradnl"/>
        </w:rPr>
      </w:pPr>
      <w:r w:rsidRPr="00BC451A">
        <w:rPr>
          <w:rFonts w:ascii="Arial Narrow" w:hAnsi="Arial Narrow"/>
          <w:sz w:val="24"/>
          <w:szCs w:val="24"/>
          <w:lang w:val="es-ES_tradnl"/>
        </w:rPr>
        <w:t>El Comité Internacional de la Cruz Roja, ha establecido que de conformidad con el artículo 3 común, las tensiones y los disturbios interiores, los motines o los actos de bandidaje, pueden alcanzar un cierto umbral de enfrentamiento en los cuales se deba recurrir a la fuerza militar, en lugar de recurrir únicamente a las fuerzas de policía y en consecuencia aplicar el DIH bajo los criterios objetivos anteriormente descritos.</w:t>
      </w:r>
      <w:r w:rsidRPr="00BC451A">
        <w:rPr>
          <w:rStyle w:val="Refdenotaalpie"/>
          <w:rFonts w:ascii="Arial Narrow" w:hAnsi="Arial Narrow"/>
          <w:sz w:val="24"/>
          <w:szCs w:val="24"/>
          <w:lang w:val="es-ES_tradnl"/>
        </w:rPr>
        <w:footnoteReference w:id="2"/>
      </w:r>
    </w:p>
    <w:p w:rsidR="00BC451A" w:rsidRPr="00BC451A" w:rsidRDefault="00BC451A" w:rsidP="00BC451A">
      <w:pPr>
        <w:spacing w:after="0" w:line="240" w:lineRule="auto"/>
        <w:jc w:val="both"/>
        <w:rPr>
          <w:rFonts w:ascii="Arial Narrow" w:hAnsi="Arial Narrow"/>
          <w:sz w:val="24"/>
          <w:szCs w:val="24"/>
          <w:lang w:val="es-ES_tradnl"/>
        </w:rPr>
      </w:pPr>
    </w:p>
    <w:p w:rsidR="00BC451A" w:rsidRPr="00BC451A" w:rsidRDefault="00BC451A" w:rsidP="00BC451A">
      <w:pPr>
        <w:spacing w:line="240" w:lineRule="auto"/>
        <w:jc w:val="both"/>
        <w:rPr>
          <w:rFonts w:ascii="Arial Narrow" w:hAnsi="Arial Narrow"/>
          <w:sz w:val="24"/>
          <w:szCs w:val="24"/>
          <w:lang w:val="es-CO"/>
        </w:rPr>
      </w:pPr>
      <w:r w:rsidRPr="00BC451A">
        <w:rPr>
          <w:rFonts w:ascii="Arial Narrow" w:hAnsi="Arial Narrow"/>
          <w:sz w:val="24"/>
          <w:szCs w:val="24"/>
          <w:lang w:val="es-CO"/>
        </w:rPr>
        <w:t xml:space="preserve">Adicionalmente, y teniendo en cuenta que si bien Colombia se encuentra en negociaciones de paz con uno de los grupos armados ilegales, esto no obsta para que se puedan dar posteriormente la creación de nuevos grupos que cumplan con estos factores objetivos y que deban ser combatidos por nuestras Fuerzas Armadas en el marco del DIH o que actualmente se den enfrentamiento con otros grupos que legalmente puedan ser combatidos en este marco. </w:t>
      </w:r>
    </w:p>
    <w:p w:rsidR="00BC451A" w:rsidRPr="00BC451A" w:rsidRDefault="00BC451A" w:rsidP="00BC451A">
      <w:pPr>
        <w:spacing w:line="240" w:lineRule="auto"/>
        <w:jc w:val="both"/>
        <w:rPr>
          <w:rFonts w:ascii="Arial Narrow" w:hAnsi="Arial Narrow"/>
          <w:sz w:val="24"/>
          <w:szCs w:val="24"/>
          <w:lang w:val="es-CO"/>
        </w:rPr>
      </w:pPr>
      <w:r w:rsidRPr="00BC451A">
        <w:rPr>
          <w:rFonts w:ascii="Arial Narrow" w:hAnsi="Arial Narrow"/>
          <w:sz w:val="24"/>
          <w:szCs w:val="24"/>
          <w:lang w:val="es-CO"/>
        </w:rPr>
        <w:t xml:space="preserve">Lo que se busca entonces con esta reforma, es que ese ámbito de aplicación sea respetado y debidamente aplicado por nuestros jueces y fiscales, independientemente de su jurisdicción, y que éstos cuenten con las competencias cognoscitivas para que impartan adecuadamente justicia. </w:t>
      </w:r>
    </w:p>
    <w:p w:rsidR="00BC451A" w:rsidRPr="00BC451A" w:rsidRDefault="00BC451A" w:rsidP="00BC451A">
      <w:pPr>
        <w:spacing w:line="240" w:lineRule="auto"/>
        <w:jc w:val="both"/>
        <w:rPr>
          <w:rFonts w:ascii="Arial Narrow" w:hAnsi="Arial Narrow"/>
          <w:sz w:val="24"/>
          <w:szCs w:val="24"/>
          <w:lang w:val="es-CO"/>
        </w:rPr>
      </w:pPr>
      <w:r w:rsidRPr="00BC451A">
        <w:rPr>
          <w:rFonts w:ascii="Arial Narrow" w:hAnsi="Arial Narrow"/>
          <w:sz w:val="24"/>
          <w:szCs w:val="24"/>
          <w:lang w:val="es-CO"/>
        </w:rPr>
        <w:t>La Representante María Fernanda Cabal del Centro Democrático manifestó que no entendía el por qué existe un miedo por parte de a</w:t>
      </w:r>
      <w:r w:rsidR="009F4C42">
        <w:rPr>
          <w:rFonts w:ascii="Arial Narrow" w:hAnsi="Arial Narrow"/>
          <w:sz w:val="24"/>
          <w:szCs w:val="24"/>
          <w:lang w:val="es-CO"/>
        </w:rPr>
        <w:t>lgunos congresistas para que se</w:t>
      </w:r>
      <w:r w:rsidRPr="00BC451A">
        <w:rPr>
          <w:rFonts w:ascii="Arial Narrow" w:hAnsi="Arial Narrow"/>
          <w:sz w:val="24"/>
          <w:szCs w:val="24"/>
          <w:lang w:val="es-CO"/>
        </w:rPr>
        <w:t xml:space="preserve"> aplique el DIH en las investigaciones contra los miembros de la Fuerza Pública, teniendo en cuenta que nos encontramos en un contexto de conflicto armado. Manifestó que continuamente la falta de reglas claras genera una violación al debido proceso de los miembros de la Fuerza Pública, en tanto los fiscales y los jueces que adelantan sus casos no conocen ni de derecho operacional ni de DIH. En este sentido, consideró que tanto los jueces como los fiscales deben juzgar y sancionar a la Fuerza Pública con apego a las normas del DIH. </w:t>
      </w:r>
    </w:p>
    <w:p w:rsidR="00BC451A" w:rsidRPr="00BC451A" w:rsidRDefault="00BC451A" w:rsidP="00BC451A">
      <w:pPr>
        <w:spacing w:line="240" w:lineRule="auto"/>
        <w:jc w:val="both"/>
        <w:rPr>
          <w:rFonts w:ascii="Arial Narrow" w:hAnsi="Arial Narrow"/>
          <w:sz w:val="24"/>
          <w:szCs w:val="24"/>
          <w:lang w:val="es-CO"/>
        </w:rPr>
      </w:pPr>
      <w:r w:rsidRPr="00BC451A">
        <w:rPr>
          <w:rFonts w:ascii="Arial Narrow" w:hAnsi="Arial Narrow"/>
          <w:sz w:val="24"/>
          <w:szCs w:val="24"/>
          <w:lang w:val="es-CO"/>
        </w:rPr>
        <w:t xml:space="preserve">Sobre el particular, me permito manifestar que no es lógico pensar que la aplicación del DIH iría en contravía de los derechos humanos y de la población civil, pues precisamente es el DIH la normativa que busca proteger a la población civil en un contexto de conflicto armado.   </w:t>
      </w:r>
    </w:p>
    <w:p w:rsidR="00BC451A" w:rsidRPr="00BC451A" w:rsidRDefault="00BC451A" w:rsidP="00BC451A">
      <w:pPr>
        <w:spacing w:line="240" w:lineRule="auto"/>
        <w:jc w:val="both"/>
        <w:rPr>
          <w:rFonts w:ascii="Arial Narrow" w:hAnsi="Arial Narrow"/>
          <w:sz w:val="24"/>
          <w:szCs w:val="24"/>
          <w:lang w:val="es-CO"/>
        </w:rPr>
      </w:pPr>
      <w:r w:rsidRPr="00BC451A">
        <w:rPr>
          <w:rFonts w:ascii="Arial Narrow" w:hAnsi="Arial Narrow"/>
          <w:sz w:val="24"/>
          <w:szCs w:val="24"/>
          <w:lang w:val="es-CO"/>
        </w:rPr>
        <w:t xml:space="preserve">Resulta entonces contradictorio pensar entonces que la aplicación del DIH va en contravía de los Derechos Humanos. La misma Corte Constitucional en su sentencia C-291 de 2007 estableció sobre el particular que: </w:t>
      </w:r>
    </w:p>
    <w:p w:rsidR="00BC451A" w:rsidRPr="006818EF" w:rsidRDefault="00BC451A" w:rsidP="00BC451A">
      <w:pPr>
        <w:spacing w:line="240" w:lineRule="auto"/>
        <w:ind w:left="720"/>
        <w:jc w:val="both"/>
        <w:rPr>
          <w:rFonts w:ascii="Arial Narrow" w:hAnsi="Arial Narrow"/>
          <w:lang w:val="es-CO"/>
        </w:rPr>
      </w:pPr>
      <w:r w:rsidRPr="006818EF">
        <w:rPr>
          <w:rFonts w:ascii="Arial Narrow" w:hAnsi="Arial Narrow"/>
          <w:lang w:val="es-CO"/>
        </w:rPr>
        <w:t>“</w:t>
      </w:r>
      <w:r w:rsidRPr="006818EF">
        <w:rPr>
          <w:rFonts w:ascii="Arial Narrow" w:hAnsi="Arial Narrow" w:cs="Arial"/>
          <w:i/>
          <w:lang w:val="es-CO"/>
        </w:rPr>
        <w:t>Es claro que en los casos de conflictos armados internos las disposiciones del Derecho Internacional de los Derechos Humanos y del Derecho Internacional Humanitario se aplican de manera concurrente e interactúan de distintas formas en su aplicación a situaciones concretas.”</w:t>
      </w:r>
      <w:r w:rsidRPr="006818EF">
        <w:rPr>
          <w:rStyle w:val="Refdenotaalpie"/>
          <w:rFonts w:ascii="Arial Narrow" w:hAnsi="Arial Narrow" w:cs="Arial"/>
          <w:lang w:val="es-CO"/>
        </w:rPr>
        <w:footnoteReference w:id="3"/>
      </w:r>
    </w:p>
    <w:p w:rsidR="00BC451A" w:rsidRDefault="00BC451A" w:rsidP="00BC451A">
      <w:pPr>
        <w:spacing w:after="0" w:line="240" w:lineRule="auto"/>
        <w:jc w:val="both"/>
        <w:rPr>
          <w:rFonts w:ascii="Arial Narrow" w:hAnsi="Arial Narrow" w:cs="Arial"/>
          <w:sz w:val="24"/>
          <w:szCs w:val="24"/>
          <w:lang w:val="es-CO"/>
        </w:rPr>
      </w:pPr>
      <w:r w:rsidRPr="00BC451A">
        <w:rPr>
          <w:rFonts w:ascii="Arial Narrow" w:hAnsi="Arial Narrow" w:cs="Arial"/>
          <w:sz w:val="24"/>
          <w:szCs w:val="24"/>
          <w:lang w:val="es-CO"/>
        </w:rPr>
        <w:t xml:space="preserve">Como se evidencia, en ningún momento puede pensarse que la aplicación del DIH en las investigaciones de miembros de las fuerzas armadas y de policía pueden contrariar las obligaciones internacionales que el Estado colombiano ha adquirido en materia de derechos humanos. </w:t>
      </w:r>
    </w:p>
    <w:p w:rsidR="00AF1FEA" w:rsidRDefault="00AF1FEA" w:rsidP="00BC451A">
      <w:pPr>
        <w:spacing w:after="0" w:line="240" w:lineRule="auto"/>
        <w:jc w:val="both"/>
        <w:rPr>
          <w:rFonts w:ascii="Arial Narrow" w:hAnsi="Arial Narrow" w:cs="Arial"/>
          <w:sz w:val="24"/>
          <w:szCs w:val="24"/>
          <w:lang w:val="es-CO"/>
        </w:rPr>
      </w:pPr>
    </w:p>
    <w:p w:rsidR="00AF1FEA" w:rsidRDefault="00AF1FEA" w:rsidP="00AF1FEA">
      <w:pPr>
        <w:spacing w:after="0" w:line="240" w:lineRule="auto"/>
        <w:jc w:val="both"/>
        <w:rPr>
          <w:rFonts w:ascii="Arial Narrow" w:hAnsi="Arial Narrow"/>
          <w:sz w:val="24"/>
          <w:szCs w:val="24"/>
          <w:lang w:val="es-CO"/>
        </w:rPr>
      </w:pPr>
      <w:r w:rsidRPr="00AF1FEA">
        <w:rPr>
          <w:rFonts w:ascii="Arial Narrow" w:hAnsi="Arial Narrow" w:cs="Arial"/>
          <w:sz w:val="24"/>
          <w:szCs w:val="24"/>
          <w:lang w:val="es-CO"/>
        </w:rPr>
        <w:t xml:space="preserve">Finalmente, la representante Clara Rojas </w:t>
      </w:r>
      <w:r w:rsidRPr="00AF1FEA">
        <w:rPr>
          <w:rFonts w:ascii="Arial Narrow" w:hAnsi="Arial Narrow"/>
          <w:sz w:val="24"/>
          <w:szCs w:val="24"/>
          <w:lang w:val="es-CO"/>
        </w:rPr>
        <w:t>del Partido liberal dejó dos proposiciones como constancia</w:t>
      </w:r>
      <w:r>
        <w:rPr>
          <w:rFonts w:ascii="Arial Narrow" w:hAnsi="Arial Narrow"/>
          <w:sz w:val="24"/>
          <w:szCs w:val="24"/>
          <w:lang w:val="es-CO"/>
        </w:rPr>
        <w:t>, una en relación con los delitos que serían excluidos de la competencia de la JPM, y otra en relación con la vigencia del Acto</w:t>
      </w:r>
      <w:r w:rsidRPr="00AF1FEA">
        <w:rPr>
          <w:rFonts w:ascii="Arial Narrow" w:hAnsi="Arial Narrow"/>
          <w:sz w:val="24"/>
          <w:szCs w:val="24"/>
          <w:lang w:val="es-CO"/>
        </w:rPr>
        <w:t xml:space="preserve">. </w:t>
      </w:r>
    </w:p>
    <w:p w:rsidR="00AF1FEA" w:rsidRDefault="00AF1FEA" w:rsidP="00AF1FEA">
      <w:pPr>
        <w:spacing w:after="0" w:line="240" w:lineRule="auto"/>
        <w:jc w:val="both"/>
        <w:rPr>
          <w:rFonts w:ascii="Arial Narrow" w:hAnsi="Arial Narrow"/>
          <w:sz w:val="24"/>
          <w:szCs w:val="24"/>
          <w:lang w:val="es-CO"/>
        </w:rPr>
      </w:pPr>
    </w:p>
    <w:p w:rsidR="00AF1FEA" w:rsidRPr="00AF1FEA" w:rsidRDefault="00AF1FEA" w:rsidP="00AF1FEA">
      <w:pPr>
        <w:spacing w:after="0" w:line="240" w:lineRule="auto"/>
        <w:jc w:val="both"/>
        <w:rPr>
          <w:rFonts w:ascii="Arial Narrow" w:hAnsi="Arial Narrow"/>
          <w:sz w:val="24"/>
          <w:szCs w:val="24"/>
          <w:lang w:val="es-CO"/>
        </w:rPr>
      </w:pPr>
      <w:r w:rsidRPr="00AF1FEA">
        <w:rPr>
          <w:rFonts w:ascii="Arial Narrow" w:hAnsi="Arial Narrow"/>
          <w:sz w:val="24"/>
          <w:szCs w:val="24"/>
          <w:lang w:val="es-CO"/>
        </w:rPr>
        <w:t>La H. Representante propuso incluir en el artículo 1 nuevamente el listado de delitos que se excluirían del conocimiento de la JPM. Al respecto en el seno del debate</w:t>
      </w:r>
      <w:r>
        <w:rPr>
          <w:rFonts w:ascii="Arial Narrow" w:hAnsi="Arial Narrow"/>
          <w:sz w:val="24"/>
          <w:szCs w:val="24"/>
          <w:lang w:val="es-CO"/>
        </w:rPr>
        <w:t>,</w:t>
      </w:r>
      <w:r w:rsidRPr="00AF1FEA">
        <w:rPr>
          <w:rFonts w:ascii="Arial Narrow" w:hAnsi="Arial Narrow"/>
          <w:sz w:val="24"/>
          <w:szCs w:val="24"/>
          <w:lang w:val="es-CO"/>
        </w:rPr>
        <w:t xml:space="preserve"> se explicó que dado que este Acto Legislativo no hace mención alguna a las reglas de competencia entre la justicia ordinaria y la JPM, se co</w:t>
      </w:r>
      <w:r>
        <w:rPr>
          <w:rFonts w:ascii="Arial Narrow" w:hAnsi="Arial Narrow"/>
          <w:sz w:val="24"/>
          <w:szCs w:val="24"/>
          <w:lang w:val="es-CO"/>
        </w:rPr>
        <w:t>nsideró pertinente eliminar la mencionada</w:t>
      </w:r>
      <w:r w:rsidRPr="00AF1FEA">
        <w:rPr>
          <w:rFonts w:ascii="Arial Narrow" w:hAnsi="Arial Narrow"/>
          <w:sz w:val="24"/>
          <w:szCs w:val="24"/>
          <w:lang w:val="es-CO"/>
        </w:rPr>
        <w:t xml:space="preserve"> lista, toda vez que en la práctica ésta hacía referencia precisamente a las reglas de compete</w:t>
      </w:r>
      <w:r>
        <w:rPr>
          <w:rFonts w:ascii="Arial Narrow" w:hAnsi="Arial Narrow"/>
          <w:sz w:val="24"/>
          <w:szCs w:val="24"/>
          <w:lang w:val="es-CO"/>
        </w:rPr>
        <w:t xml:space="preserve">ncia entre una y otra jurisdicción. Asimismo, al no considerarse la proposición de inclusión de la lista, </w:t>
      </w:r>
      <w:r w:rsidR="008C2AEA">
        <w:rPr>
          <w:rFonts w:ascii="Arial Narrow" w:hAnsi="Arial Narrow"/>
          <w:sz w:val="24"/>
          <w:szCs w:val="24"/>
          <w:lang w:val="es-CO"/>
        </w:rPr>
        <w:t xml:space="preserve">procedió a dejar como constancia la proposición relacionada con la vigencia. </w:t>
      </w:r>
      <w:r>
        <w:rPr>
          <w:rFonts w:ascii="Arial Narrow" w:hAnsi="Arial Narrow"/>
          <w:sz w:val="24"/>
          <w:szCs w:val="24"/>
          <w:lang w:val="es-CO"/>
        </w:rPr>
        <w:t xml:space="preserve"> </w:t>
      </w:r>
    </w:p>
    <w:p w:rsidR="00BC451A" w:rsidRPr="00BC451A" w:rsidRDefault="00BC451A" w:rsidP="00BC451A">
      <w:pPr>
        <w:spacing w:after="0" w:line="240" w:lineRule="auto"/>
        <w:jc w:val="both"/>
        <w:rPr>
          <w:rFonts w:ascii="Arial Narrow" w:hAnsi="Arial Narrow"/>
          <w:b/>
          <w:color w:val="FF0000"/>
          <w:sz w:val="24"/>
          <w:szCs w:val="24"/>
          <w:lang w:val="es-ES_tradnl"/>
        </w:rPr>
      </w:pPr>
    </w:p>
    <w:p w:rsidR="00BC451A" w:rsidRPr="00BC451A" w:rsidRDefault="00BC451A" w:rsidP="00BC451A">
      <w:pPr>
        <w:pStyle w:val="Prrafodelista"/>
        <w:numPr>
          <w:ilvl w:val="0"/>
          <w:numId w:val="5"/>
        </w:numPr>
        <w:spacing w:after="0" w:line="240" w:lineRule="auto"/>
        <w:jc w:val="both"/>
        <w:rPr>
          <w:rFonts w:ascii="Arial Narrow" w:hAnsi="Arial Narrow" w:cs="Arial"/>
          <w:b/>
          <w:sz w:val="24"/>
          <w:szCs w:val="24"/>
          <w:lang w:val="es-ES_tradnl"/>
        </w:rPr>
      </w:pPr>
      <w:r w:rsidRPr="00BC451A">
        <w:rPr>
          <w:rFonts w:ascii="Arial Narrow" w:hAnsi="Arial Narrow" w:cs="Arial"/>
          <w:b/>
          <w:sz w:val="24"/>
          <w:szCs w:val="24"/>
          <w:lang w:val="es-ES_tradnl"/>
        </w:rPr>
        <w:t>MODIFICACIONES</w:t>
      </w:r>
    </w:p>
    <w:p w:rsidR="00BC451A" w:rsidRPr="00BC451A" w:rsidRDefault="00BC451A" w:rsidP="00BC451A">
      <w:pPr>
        <w:spacing w:after="0" w:line="240" w:lineRule="auto"/>
        <w:jc w:val="both"/>
        <w:rPr>
          <w:rFonts w:ascii="Arial Narrow" w:hAnsi="Arial Narrow" w:cs="Arial"/>
          <w:b/>
          <w:sz w:val="24"/>
          <w:szCs w:val="24"/>
          <w:lang w:val="es-ES_tradnl"/>
        </w:rPr>
      </w:pPr>
    </w:p>
    <w:p w:rsidR="00BC451A" w:rsidRPr="00BC451A" w:rsidRDefault="00BC451A" w:rsidP="00BC451A">
      <w:pPr>
        <w:spacing w:after="0" w:line="240" w:lineRule="auto"/>
        <w:jc w:val="both"/>
        <w:rPr>
          <w:rFonts w:ascii="Arial Narrow" w:hAnsi="Arial Narrow" w:cs="Arial"/>
          <w:sz w:val="24"/>
          <w:szCs w:val="24"/>
          <w:lang w:val="es-ES_tradnl"/>
        </w:rPr>
      </w:pPr>
      <w:r w:rsidRPr="00BC451A">
        <w:rPr>
          <w:rFonts w:ascii="Arial Narrow" w:hAnsi="Arial Narrow" w:cs="Arial"/>
          <w:sz w:val="24"/>
          <w:szCs w:val="24"/>
          <w:lang w:val="es-ES_tradnl"/>
        </w:rPr>
        <w:t>En el marco del debate realizado en la Comisión Primera de Cámara, si bien se dejaron algunas constancias por parte de las Representantes Clara</w:t>
      </w:r>
      <w:r w:rsidR="00980B3B">
        <w:rPr>
          <w:rFonts w:ascii="Arial Narrow" w:hAnsi="Arial Narrow" w:cs="Arial"/>
          <w:sz w:val="24"/>
          <w:szCs w:val="24"/>
          <w:lang w:val="es-ES_tradnl"/>
        </w:rPr>
        <w:t xml:space="preserve"> Rojas y Maria Fernanda Cabal, </w:t>
      </w:r>
      <w:r w:rsidRPr="00BC451A">
        <w:rPr>
          <w:rFonts w:ascii="Arial Narrow" w:hAnsi="Arial Narrow" w:cs="Arial"/>
          <w:sz w:val="24"/>
          <w:szCs w:val="24"/>
          <w:lang w:val="es-ES_tradnl"/>
        </w:rPr>
        <w:t xml:space="preserve">no se aprobaron cambios al texto del Proyecto de Acto Legislativo. </w:t>
      </w:r>
    </w:p>
    <w:p w:rsidR="00BC451A" w:rsidRPr="00BC451A" w:rsidRDefault="00BC451A" w:rsidP="00BC451A">
      <w:pPr>
        <w:spacing w:after="0" w:line="240" w:lineRule="auto"/>
        <w:jc w:val="both"/>
        <w:rPr>
          <w:rFonts w:ascii="Arial Narrow" w:hAnsi="Arial Narrow" w:cs="Arial"/>
          <w:sz w:val="24"/>
          <w:szCs w:val="24"/>
          <w:lang w:val="es-ES_tradnl"/>
        </w:rPr>
      </w:pPr>
    </w:p>
    <w:p w:rsidR="00BC451A" w:rsidRPr="00BC451A" w:rsidRDefault="00BC451A" w:rsidP="00BC451A">
      <w:pPr>
        <w:pStyle w:val="Prrafodelista"/>
        <w:numPr>
          <w:ilvl w:val="0"/>
          <w:numId w:val="5"/>
        </w:numPr>
        <w:spacing w:after="0" w:line="240" w:lineRule="auto"/>
        <w:jc w:val="both"/>
        <w:rPr>
          <w:rFonts w:ascii="Arial Narrow" w:hAnsi="Arial Narrow" w:cs="Arial"/>
          <w:b/>
          <w:sz w:val="24"/>
          <w:szCs w:val="24"/>
          <w:lang w:val="es-ES_tradnl"/>
        </w:rPr>
      </w:pPr>
      <w:r w:rsidRPr="00BC451A">
        <w:rPr>
          <w:rFonts w:ascii="Arial Narrow" w:hAnsi="Arial Narrow" w:cs="Arial"/>
          <w:b/>
          <w:sz w:val="24"/>
          <w:szCs w:val="24"/>
          <w:lang w:val="es-ES_tradnl"/>
        </w:rPr>
        <w:t>PROPOSICIÓN</w:t>
      </w:r>
    </w:p>
    <w:p w:rsidR="00BC451A" w:rsidRPr="00BC451A" w:rsidRDefault="00BC451A" w:rsidP="00BC451A">
      <w:pPr>
        <w:pStyle w:val="Prrafodelista"/>
        <w:spacing w:after="0" w:line="240" w:lineRule="auto"/>
        <w:jc w:val="both"/>
        <w:rPr>
          <w:rFonts w:ascii="Arial Narrow" w:hAnsi="Arial Narrow"/>
          <w:sz w:val="24"/>
          <w:szCs w:val="24"/>
          <w:lang w:val="es-ES_tradnl"/>
        </w:rPr>
      </w:pPr>
    </w:p>
    <w:p w:rsidR="00BC451A" w:rsidRPr="00BC451A" w:rsidRDefault="00BC451A" w:rsidP="00BC451A">
      <w:pPr>
        <w:spacing w:after="0" w:line="240" w:lineRule="auto"/>
        <w:jc w:val="both"/>
        <w:rPr>
          <w:rFonts w:ascii="Arial Narrow" w:hAnsi="Arial Narrow"/>
          <w:sz w:val="24"/>
          <w:szCs w:val="24"/>
          <w:lang w:val="es-ES_tradnl"/>
        </w:rPr>
      </w:pPr>
      <w:r w:rsidRPr="00BC451A">
        <w:rPr>
          <w:rFonts w:ascii="Arial Narrow" w:hAnsi="Arial Narrow"/>
          <w:sz w:val="24"/>
          <w:szCs w:val="24"/>
          <w:lang w:val="es-ES_tradnl"/>
        </w:rPr>
        <w:t>Por lo anteriormente expuesto, solicito a la Plenaria de la Cámara, debatir y aprobar en segundo  debate</w:t>
      </w:r>
      <w:r w:rsidR="00980B3B">
        <w:rPr>
          <w:rFonts w:ascii="Arial Narrow" w:hAnsi="Arial Narrow"/>
          <w:sz w:val="24"/>
          <w:szCs w:val="24"/>
          <w:lang w:val="es-ES_tradnl"/>
        </w:rPr>
        <w:t xml:space="preserve"> en Plenaria Cámara</w:t>
      </w:r>
      <w:r w:rsidRPr="00BC451A">
        <w:rPr>
          <w:rFonts w:ascii="Arial Narrow" w:hAnsi="Arial Narrow"/>
          <w:sz w:val="24"/>
          <w:szCs w:val="24"/>
          <w:lang w:val="es-ES_tradnl"/>
        </w:rPr>
        <w:t xml:space="preserve"> de Segunda Vuelta, el Proyecto de Acto Legislativo</w:t>
      </w:r>
      <w:r w:rsidR="00980B3B">
        <w:rPr>
          <w:rFonts w:ascii="Arial Narrow" w:hAnsi="Arial Narrow"/>
          <w:sz w:val="24"/>
          <w:szCs w:val="24"/>
          <w:lang w:val="es-ES_tradnl"/>
        </w:rPr>
        <w:t xml:space="preserve"> No. 167 DE 2014 CÁMARA </w:t>
      </w:r>
      <w:r w:rsidRPr="00BC451A">
        <w:rPr>
          <w:rFonts w:ascii="Arial Narrow" w:hAnsi="Arial Narrow"/>
          <w:sz w:val="24"/>
          <w:szCs w:val="24"/>
          <w:lang w:val="es-ES_tradnl"/>
        </w:rPr>
        <w:t>022 DE 2014 SENADO, “por medio del cual se reforma el artículo 221 de la Constitución Política de Colombia.”</w:t>
      </w:r>
    </w:p>
    <w:p w:rsidR="00BC451A" w:rsidRPr="00BC451A" w:rsidRDefault="00BC451A" w:rsidP="00BC451A">
      <w:pPr>
        <w:spacing w:after="0" w:line="240" w:lineRule="auto"/>
        <w:jc w:val="both"/>
        <w:rPr>
          <w:rFonts w:ascii="Arial Narrow" w:hAnsi="Arial Narrow"/>
          <w:sz w:val="24"/>
          <w:szCs w:val="24"/>
          <w:lang w:val="es-ES_tradnl"/>
        </w:rPr>
      </w:pPr>
    </w:p>
    <w:p w:rsidR="00BC451A" w:rsidRPr="00BC451A" w:rsidRDefault="00BC451A" w:rsidP="00BC451A">
      <w:pPr>
        <w:spacing w:after="0" w:line="240" w:lineRule="auto"/>
        <w:jc w:val="both"/>
        <w:rPr>
          <w:rFonts w:ascii="Arial Narrow" w:hAnsi="Arial Narrow"/>
          <w:sz w:val="24"/>
          <w:szCs w:val="24"/>
          <w:lang w:val="es-ES_tradnl"/>
        </w:rPr>
      </w:pPr>
    </w:p>
    <w:p w:rsidR="00BC451A" w:rsidRDefault="00BC451A" w:rsidP="00BC451A">
      <w:pPr>
        <w:spacing w:after="0" w:line="240" w:lineRule="auto"/>
        <w:jc w:val="both"/>
        <w:rPr>
          <w:rFonts w:ascii="Arial Narrow" w:hAnsi="Arial Narrow"/>
          <w:sz w:val="24"/>
          <w:szCs w:val="24"/>
          <w:lang w:val="es-ES_tradnl"/>
        </w:rPr>
      </w:pPr>
    </w:p>
    <w:p w:rsidR="006818EF" w:rsidRDefault="006818EF" w:rsidP="00BC451A">
      <w:pPr>
        <w:spacing w:after="0" w:line="240" w:lineRule="auto"/>
        <w:jc w:val="both"/>
        <w:rPr>
          <w:rFonts w:ascii="Arial Narrow" w:hAnsi="Arial Narrow"/>
          <w:sz w:val="24"/>
          <w:szCs w:val="24"/>
          <w:lang w:val="es-ES_tradnl"/>
        </w:rPr>
      </w:pPr>
    </w:p>
    <w:p w:rsidR="006818EF" w:rsidRPr="00BC451A" w:rsidRDefault="006818EF" w:rsidP="00BC451A">
      <w:pPr>
        <w:spacing w:after="0" w:line="240" w:lineRule="auto"/>
        <w:jc w:val="both"/>
        <w:rPr>
          <w:rFonts w:ascii="Arial Narrow" w:hAnsi="Arial Narrow"/>
          <w:sz w:val="24"/>
          <w:szCs w:val="24"/>
          <w:lang w:val="es-ES_tradnl"/>
        </w:rPr>
      </w:pPr>
    </w:p>
    <w:p w:rsidR="00BC451A" w:rsidRPr="00BC451A" w:rsidRDefault="00BC451A" w:rsidP="00BC451A">
      <w:pPr>
        <w:spacing w:after="0" w:line="240" w:lineRule="auto"/>
        <w:jc w:val="both"/>
        <w:rPr>
          <w:rFonts w:ascii="Arial Narrow" w:hAnsi="Arial Narrow"/>
          <w:sz w:val="24"/>
          <w:szCs w:val="24"/>
          <w:lang w:val="es-ES_tradnl"/>
        </w:rPr>
      </w:pPr>
    </w:p>
    <w:p w:rsidR="00BC451A" w:rsidRPr="00BC451A" w:rsidRDefault="00BC451A" w:rsidP="00BC451A">
      <w:pPr>
        <w:spacing w:after="0" w:line="240" w:lineRule="auto"/>
        <w:rPr>
          <w:rFonts w:ascii="Arial Narrow" w:hAnsi="Arial Narrow" w:cs="Arial"/>
          <w:b/>
          <w:sz w:val="24"/>
          <w:szCs w:val="24"/>
        </w:rPr>
      </w:pPr>
      <w:r w:rsidRPr="00BC451A">
        <w:rPr>
          <w:rFonts w:ascii="Arial Narrow" w:hAnsi="Arial Narrow" w:cs="Arial"/>
          <w:b/>
          <w:sz w:val="24"/>
          <w:szCs w:val="24"/>
        </w:rPr>
        <w:t>OSCAR FERNANDO BRAVO REALPE</w:t>
      </w:r>
    </w:p>
    <w:p w:rsidR="00BC451A" w:rsidRPr="00BC451A" w:rsidRDefault="00BC451A" w:rsidP="00BC451A">
      <w:pPr>
        <w:spacing w:after="0" w:line="240" w:lineRule="auto"/>
        <w:jc w:val="both"/>
        <w:rPr>
          <w:rFonts w:ascii="Arial Narrow" w:hAnsi="Arial Narrow"/>
          <w:sz w:val="24"/>
          <w:szCs w:val="24"/>
        </w:rPr>
      </w:pPr>
      <w:r w:rsidRPr="00BC451A">
        <w:rPr>
          <w:rFonts w:ascii="Arial Narrow" w:hAnsi="Arial Narrow"/>
          <w:sz w:val="24"/>
          <w:szCs w:val="24"/>
        </w:rPr>
        <w:t>Honorable Representante Ponente.</w:t>
      </w:r>
    </w:p>
    <w:p w:rsidR="00BC451A" w:rsidRPr="00BC451A" w:rsidRDefault="00BC451A" w:rsidP="00BC451A">
      <w:pPr>
        <w:spacing w:line="240" w:lineRule="auto"/>
        <w:jc w:val="center"/>
        <w:rPr>
          <w:rFonts w:ascii="Arial Narrow" w:hAnsi="Arial Narrow"/>
          <w:sz w:val="24"/>
          <w:szCs w:val="24"/>
        </w:rPr>
      </w:pPr>
      <w:r w:rsidRPr="00BC451A">
        <w:rPr>
          <w:rFonts w:ascii="Arial Narrow" w:hAnsi="Arial Narrow"/>
          <w:sz w:val="24"/>
          <w:szCs w:val="24"/>
        </w:rPr>
        <w:br w:type="page"/>
      </w:r>
    </w:p>
    <w:p w:rsidR="00BC451A" w:rsidRPr="00BC451A" w:rsidRDefault="00BC451A" w:rsidP="00BC451A">
      <w:pPr>
        <w:spacing w:line="240" w:lineRule="auto"/>
        <w:jc w:val="center"/>
        <w:rPr>
          <w:rFonts w:ascii="Arial Narrow" w:eastAsia="Times New Roman" w:hAnsi="Arial Narrow"/>
          <w:b/>
          <w:bCs/>
          <w:color w:val="000000"/>
          <w:sz w:val="24"/>
          <w:szCs w:val="24"/>
          <w:lang w:val="es-ES_tradnl" w:eastAsia="es-CO"/>
        </w:rPr>
      </w:pPr>
      <w:r w:rsidRPr="00BC451A">
        <w:rPr>
          <w:rFonts w:ascii="Arial Narrow" w:eastAsia="Times New Roman" w:hAnsi="Arial Narrow"/>
          <w:b/>
          <w:bCs/>
          <w:color w:val="000000"/>
          <w:sz w:val="24"/>
          <w:szCs w:val="24"/>
          <w:lang w:val="es-ES_tradnl" w:eastAsia="es-CO"/>
        </w:rPr>
        <w:t xml:space="preserve">TEXTO </w:t>
      </w:r>
      <w:r w:rsidRPr="00BC451A">
        <w:rPr>
          <w:rFonts w:ascii="Arial Narrow" w:eastAsia="Times New Roman" w:hAnsi="Arial Narrow"/>
          <w:b/>
          <w:bCs/>
          <w:sz w:val="24"/>
          <w:szCs w:val="24"/>
          <w:lang w:val="es-ES_tradnl" w:eastAsia="es-CO"/>
        </w:rPr>
        <w:t xml:space="preserve">PROPUESTO PARA SEGUNDO DEBATE EN PLENARIA CÁMARA </w:t>
      </w:r>
      <w:r w:rsidRPr="00BC451A">
        <w:rPr>
          <w:rFonts w:ascii="Arial Narrow" w:eastAsia="Times New Roman" w:hAnsi="Arial Narrow"/>
          <w:b/>
          <w:bCs/>
          <w:color w:val="000000"/>
          <w:sz w:val="24"/>
          <w:szCs w:val="24"/>
          <w:lang w:val="es-ES_tradnl" w:eastAsia="es-CO"/>
        </w:rPr>
        <w:t xml:space="preserve">SEGUNDA VUELTA AL PROYECTO DE ACTO LEGISLATIVO 167 DE 2014 CAMARA 022 de 2014 SENADO </w:t>
      </w:r>
    </w:p>
    <w:p w:rsidR="00BC451A" w:rsidRPr="00BC451A" w:rsidRDefault="00BC451A" w:rsidP="00BC451A">
      <w:pPr>
        <w:suppressAutoHyphens/>
        <w:autoSpaceDN w:val="0"/>
        <w:adjustRightInd w:val="0"/>
        <w:spacing w:after="0" w:line="240" w:lineRule="auto"/>
        <w:jc w:val="center"/>
        <w:textAlignment w:val="center"/>
        <w:rPr>
          <w:rFonts w:ascii="Arial Narrow" w:eastAsia="Times New Roman" w:hAnsi="Arial Narrow"/>
          <w:sz w:val="24"/>
          <w:szCs w:val="24"/>
          <w:lang w:val="es-ES_tradnl" w:eastAsia="es-CO"/>
        </w:rPr>
      </w:pPr>
      <w:r w:rsidRPr="00BC451A">
        <w:rPr>
          <w:rFonts w:ascii="Arial Narrow" w:eastAsia="Times New Roman" w:hAnsi="Arial Narrow"/>
          <w:i/>
          <w:iCs/>
          <w:color w:val="000000"/>
          <w:sz w:val="24"/>
          <w:szCs w:val="24"/>
          <w:lang w:val="es-ES_tradnl" w:eastAsia="es-CO"/>
        </w:rPr>
        <w:t>“Por el cual se reforma el artículo 221 de la Constitución Política de Colombia.”</w:t>
      </w:r>
    </w:p>
    <w:p w:rsidR="00BC451A" w:rsidRPr="00BC451A" w:rsidRDefault="00BC451A" w:rsidP="00BC451A">
      <w:pPr>
        <w:suppressAutoHyphens/>
        <w:autoSpaceDN w:val="0"/>
        <w:adjustRightInd w:val="0"/>
        <w:spacing w:after="0" w:line="240" w:lineRule="auto"/>
        <w:jc w:val="center"/>
        <w:rPr>
          <w:rFonts w:ascii="Arial Narrow" w:eastAsia="Times New Roman" w:hAnsi="Arial Narrow"/>
          <w:color w:val="000000"/>
          <w:sz w:val="24"/>
          <w:szCs w:val="24"/>
          <w:lang w:val="es-ES_tradnl" w:eastAsia="es-CO"/>
        </w:rPr>
      </w:pPr>
      <w:r w:rsidRPr="00BC451A">
        <w:rPr>
          <w:rFonts w:ascii="Arial Narrow" w:eastAsia="Times New Roman" w:hAnsi="Arial Narrow"/>
          <w:color w:val="000000"/>
          <w:sz w:val="24"/>
          <w:szCs w:val="24"/>
          <w:lang w:val="es-ES_tradnl" w:eastAsia="es-CO"/>
        </w:rPr>
        <w:t>El Congreso de Colombia</w:t>
      </w:r>
    </w:p>
    <w:p w:rsidR="00BC451A" w:rsidRPr="00BC451A" w:rsidRDefault="00BC451A" w:rsidP="00BC451A">
      <w:pPr>
        <w:suppressAutoHyphens/>
        <w:autoSpaceDN w:val="0"/>
        <w:adjustRightInd w:val="0"/>
        <w:spacing w:after="0" w:line="240" w:lineRule="auto"/>
        <w:jc w:val="center"/>
        <w:rPr>
          <w:rFonts w:ascii="Arial Narrow" w:eastAsia="Times New Roman" w:hAnsi="Arial Narrow"/>
          <w:sz w:val="24"/>
          <w:szCs w:val="24"/>
          <w:lang w:eastAsia="es-CO"/>
        </w:rPr>
      </w:pPr>
    </w:p>
    <w:p w:rsidR="00BC451A" w:rsidRPr="00BC451A" w:rsidRDefault="00BC451A" w:rsidP="00BC451A">
      <w:pPr>
        <w:suppressAutoHyphens/>
        <w:autoSpaceDN w:val="0"/>
        <w:adjustRightInd w:val="0"/>
        <w:spacing w:after="0" w:line="240" w:lineRule="auto"/>
        <w:jc w:val="center"/>
        <w:textAlignment w:val="center"/>
        <w:rPr>
          <w:rFonts w:ascii="Arial Narrow" w:eastAsia="Times New Roman" w:hAnsi="Arial Narrow"/>
          <w:b/>
          <w:sz w:val="24"/>
          <w:szCs w:val="24"/>
          <w:lang w:eastAsia="es-CO"/>
        </w:rPr>
      </w:pPr>
      <w:r w:rsidRPr="00BC451A">
        <w:rPr>
          <w:rFonts w:ascii="Arial Narrow" w:eastAsia="Times New Roman" w:hAnsi="Arial Narrow"/>
          <w:b/>
          <w:color w:val="000000"/>
          <w:sz w:val="24"/>
          <w:szCs w:val="24"/>
          <w:lang w:val="es-ES_tradnl" w:eastAsia="es-CO"/>
        </w:rPr>
        <w:t>DECRETA:</w:t>
      </w:r>
    </w:p>
    <w:p w:rsidR="00BC451A" w:rsidRPr="00BC451A" w:rsidRDefault="00BC451A" w:rsidP="00BC451A">
      <w:pPr>
        <w:suppressAutoHyphens/>
        <w:autoSpaceDN w:val="0"/>
        <w:adjustRightInd w:val="0"/>
        <w:spacing w:after="0" w:line="240" w:lineRule="auto"/>
        <w:jc w:val="both"/>
        <w:textAlignment w:val="center"/>
        <w:rPr>
          <w:rFonts w:ascii="Arial Narrow" w:eastAsia="Times New Roman" w:hAnsi="Arial Narrow"/>
          <w:b/>
          <w:color w:val="000000"/>
          <w:sz w:val="24"/>
          <w:szCs w:val="24"/>
          <w:lang w:eastAsia="es-CO"/>
        </w:rPr>
      </w:pPr>
    </w:p>
    <w:p w:rsidR="00BC451A" w:rsidRPr="00BC451A" w:rsidRDefault="00BC451A" w:rsidP="00BC451A">
      <w:pPr>
        <w:suppressAutoHyphens/>
        <w:autoSpaceDN w:val="0"/>
        <w:adjustRightInd w:val="0"/>
        <w:spacing w:after="0" w:line="240" w:lineRule="auto"/>
        <w:jc w:val="both"/>
        <w:textAlignment w:val="center"/>
        <w:rPr>
          <w:rFonts w:ascii="Arial Narrow" w:eastAsia="Times New Roman" w:hAnsi="Arial Narrow"/>
          <w:sz w:val="24"/>
          <w:szCs w:val="24"/>
          <w:lang w:eastAsia="es-CO"/>
        </w:rPr>
      </w:pPr>
      <w:r w:rsidRPr="00BC451A">
        <w:rPr>
          <w:rFonts w:ascii="Arial Narrow" w:eastAsia="Times New Roman" w:hAnsi="Arial Narrow"/>
          <w:b/>
          <w:color w:val="000000"/>
          <w:sz w:val="24"/>
          <w:szCs w:val="24"/>
          <w:lang w:val="es-ES_tradnl" w:eastAsia="es-CO"/>
        </w:rPr>
        <w:t>Artículo 1º.</w:t>
      </w:r>
      <w:r w:rsidRPr="00BC451A">
        <w:rPr>
          <w:rFonts w:ascii="Arial Narrow" w:eastAsia="Times New Roman" w:hAnsi="Arial Narrow"/>
          <w:color w:val="000000"/>
          <w:sz w:val="24"/>
          <w:szCs w:val="24"/>
          <w:lang w:val="es-ES_tradnl" w:eastAsia="es-CO"/>
        </w:rPr>
        <w:t xml:space="preserve"> El artículo 221 de la Constitución Política quedará así: </w:t>
      </w:r>
    </w:p>
    <w:p w:rsidR="00BC451A" w:rsidRPr="00BC451A" w:rsidRDefault="00BC451A" w:rsidP="00BC451A">
      <w:pPr>
        <w:spacing w:line="240" w:lineRule="auto"/>
        <w:jc w:val="both"/>
        <w:rPr>
          <w:rFonts w:ascii="Arial Narrow" w:hAnsi="Arial Narrow"/>
          <w:sz w:val="24"/>
          <w:szCs w:val="24"/>
        </w:rPr>
      </w:pPr>
    </w:p>
    <w:p w:rsidR="00BC451A" w:rsidRPr="00BC451A" w:rsidRDefault="00BC451A" w:rsidP="00BC451A">
      <w:pPr>
        <w:spacing w:line="240" w:lineRule="auto"/>
        <w:jc w:val="both"/>
        <w:rPr>
          <w:rFonts w:ascii="Arial Narrow" w:hAnsi="Arial Narrow"/>
          <w:sz w:val="24"/>
          <w:szCs w:val="24"/>
        </w:rPr>
      </w:pPr>
      <w:r w:rsidRPr="00BC451A">
        <w:rPr>
          <w:rFonts w:ascii="Arial Narrow" w:hAnsi="Arial Narrow"/>
          <w:sz w:val="24"/>
          <w:szCs w:val="24"/>
        </w:rPr>
        <w:t>De las conductas punibles cometidas por los miembros de la Fuerza Pública en servicio activo, y en relación con el mismo servicio, conocerán las cortes marciales o tribunales militares, con arreglo a las prescripciones del Código Penal Militar. Tales Cortes o Tribunales estarán integrados por miembros de la Fuerza Pública en servicio activo o en retiro.</w:t>
      </w:r>
    </w:p>
    <w:p w:rsidR="00BC451A" w:rsidRPr="00BC451A" w:rsidRDefault="00BC451A" w:rsidP="00BC451A">
      <w:pPr>
        <w:spacing w:line="240" w:lineRule="auto"/>
        <w:jc w:val="both"/>
        <w:rPr>
          <w:rFonts w:ascii="Arial Narrow" w:hAnsi="Arial Narrow"/>
          <w:sz w:val="24"/>
          <w:szCs w:val="24"/>
        </w:rPr>
      </w:pPr>
      <w:r w:rsidRPr="00BC451A">
        <w:rPr>
          <w:rFonts w:ascii="Arial Narrow" w:hAnsi="Arial Narrow"/>
          <w:sz w:val="24"/>
          <w:szCs w:val="24"/>
        </w:rPr>
        <w:t>En la investigación y juzgamiento de las conductas punibles de los miembros de la Fuerza Pública, en relación con un conflicto armado o un enfrentamiento que reúna las condiciones objetivas del Derecho Internacional Humanitario, se aplicarán las normas y principios de éste. Los jueces y fiscales de la justicia ordinaria y de la Justicia Penal Militar o Policial que conozcan de las conductas de los miembros de la Fuerza Pública deberán tener formación y conocimiento adecuado del Derecho Internacional Humanitario.</w:t>
      </w:r>
    </w:p>
    <w:p w:rsidR="00BC451A" w:rsidRPr="00BC451A" w:rsidRDefault="00BC451A" w:rsidP="00BC451A">
      <w:pPr>
        <w:spacing w:line="240" w:lineRule="auto"/>
        <w:jc w:val="both"/>
        <w:rPr>
          <w:rFonts w:ascii="Arial Narrow" w:hAnsi="Arial Narrow"/>
          <w:sz w:val="24"/>
          <w:szCs w:val="24"/>
        </w:rPr>
      </w:pPr>
      <w:r w:rsidRPr="00BC451A">
        <w:rPr>
          <w:rFonts w:ascii="Arial Narrow" w:hAnsi="Arial Narrow"/>
          <w:sz w:val="24"/>
          <w:szCs w:val="24"/>
        </w:rPr>
        <w:t>La Justicia Penal Militar o policial será independiente del mando de la Fuerza Pública.</w:t>
      </w:r>
    </w:p>
    <w:p w:rsidR="00BC451A" w:rsidRPr="00BC451A" w:rsidRDefault="00BC451A" w:rsidP="00BC451A">
      <w:pPr>
        <w:spacing w:line="240" w:lineRule="auto"/>
        <w:jc w:val="both"/>
        <w:rPr>
          <w:rFonts w:ascii="Arial Narrow" w:hAnsi="Arial Narrow"/>
          <w:sz w:val="24"/>
          <w:szCs w:val="24"/>
        </w:rPr>
      </w:pPr>
      <w:r w:rsidRPr="00BC451A">
        <w:rPr>
          <w:rFonts w:ascii="Arial Narrow" w:hAnsi="Arial Narrow"/>
          <w:b/>
          <w:sz w:val="24"/>
          <w:szCs w:val="24"/>
        </w:rPr>
        <w:br/>
        <w:t>Artículo 2°.</w:t>
      </w:r>
      <w:r w:rsidRPr="00BC451A">
        <w:rPr>
          <w:rFonts w:ascii="Arial Narrow" w:hAnsi="Arial Narrow"/>
          <w:sz w:val="24"/>
          <w:szCs w:val="24"/>
        </w:rPr>
        <w:t xml:space="preserve"> El presente acto legislativo rige a partir de la fecha de su promulgación.</w:t>
      </w:r>
    </w:p>
    <w:p w:rsidR="00BC451A" w:rsidRPr="00BC451A" w:rsidRDefault="00BC451A" w:rsidP="00BC451A">
      <w:pPr>
        <w:suppressAutoHyphens/>
        <w:autoSpaceDN w:val="0"/>
        <w:adjustRightInd w:val="0"/>
        <w:spacing w:after="0" w:line="240" w:lineRule="auto"/>
        <w:textAlignment w:val="center"/>
        <w:rPr>
          <w:rFonts w:ascii="Arial Narrow" w:hAnsi="Arial Narrow"/>
          <w:sz w:val="24"/>
          <w:szCs w:val="24"/>
        </w:rPr>
      </w:pPr>
    </w:p>
    <w:p w:rsidR="00BC451A" w:rsidRPr="00BC451A" w:rsidRDefault="00BC451A" w:rsidP="00BC451A">
      <w:pPr>
        <w:suppressAutoHyphens/>
        <w:autoSpaceDN w:val="0"/>
        <w:adjustRightInd w:val="0"/>
        <w:spacing w:after="0" w:line="240" w:lineRule="auto"/>
        <w:textAlignment w:val="center"/>
        <w:rPr>
          <w:rFonts w:ascii="Arial Narrow" w:hAnsi="Arial Narrow"/>
          <w:b/>
          <w:sz w:val="24"/>
          <w:szCs w:val="24"/>
          <w:lang w:val="es-ES_tradnl"/>
        </w:rPr>
      </w:pPr>
    </w:p>
    <w:p w:rsidR="00BC451A" w:rsidRDefault="00BC451A" w:rsidP="00BC451A">
      <w:pPr>
        <w:suppressAutoHyphens/>
        <w:autoSpaceDN w:val="0"/>
        <w:adjustRightInd w:val="0"/>
        <w:spacing w:after="0" w:line="240" w:lineRule="auto"/>
        <w:textAlignment w:val="center"/>
        <w:rPr>
          <w:rFonts w:ascii="Arial Narrow" w:hAnsi="Arial Narrow"/>
          <w:b/>
          <w:sz w:val="24"/>
          <w:szCs w:val="24"/>
          <w:lang w:val="es-ES_tradnl"/>
        </w:rPr>
      </w:pPr>
    </w:p>
    <w:p w:rsidR="006818EF" w:rsidRDefault="006818EF" w:rsidP="00BC451A">
      <w:pPr>
        <w:suppressAutoHyphens/>
        <w:autoSpaceDN w:val="0"/>
        <w:adjustRightInd w:val="0"/>
        <w:spacing w:after="0" w:line="240" w:lineRule="auto"/>
        <w:textAlignment w:val="center"/>
        <w:rPr>
          <w:rFonts w:ascii="Arial Narrow" w:hAnsi="Arial Narrow"/>
          <w:b/>
          <w:sz w:val="24"/>
          <w:szCs w:val="24"/>
          <w:lang w:val="es-ES_tradnl"/>
        </w:rPr>
      </w:pPr>
    </w:p>
    <w:p w:rsidR="006818EF" w:rsidRDefault="006818EF" w:rsidP="00BC451A">
      <w:pPr>
        <w:suppressAutoHyphens/>
        <w:autoSpaceDN w:val="0"/>
        <w:adjustRightInd w:val="0"/>
        <w:spacing w:after="0" w:line="240" w:lineRule="auto"/>
        <w:textAlignment w:val="center"/>
        <w:rPr>
          <w:rFonts w:ascii="Arial Narrow" w:hAnsi="Arial Narrow"/>
          <w:b/>
          <w:sz w:val="24"/>
          <w:szCs w:val="24"/>
          <w:lang w:val="es-ES_tradnl"/>
        </w:rPr>
      </w:pPr>
    </w:p>
    <w:p w:rsidR="006818EF" w:rsidRPr="00BC451A" w:rsidRDefault="006818EF" w:rsidP="00BC451A">
      <w:pPr>
        <w:suppressAutoHyphens/>
        <w:autoSpaceDN w:val="0"/>
        <w:adjustRightInd w:val="0"/>
        <w:spacing w:after="0" w:line="240" w:lineRule="auto"/>
        <w:textAlignment w:val="center"/>
        <w:rPr>
          <w:rFonts w:ascii="Arial Narrow" w:hAnsi="Arial Narrow"/>
          <w:b/>
          <w:sz w:val="24"/>
          <w:szCs w:val="24"/>
          <w:lang w:val="es-ES_tradnl"/>
        </w:rPr>
      </w:pPr>
    </w:p>
    <w:p w:rsidR="00BC451A" w:rsidRPr="00BC451A" w:rsidRDefault="00BC451A" w:rsidP="00BC451A">
      <w:pPr>
        <w:spacing w:after="0" w:line="240" w:lineRule="auto"/>
        <w:rPr>
          <w:rFonts w:ascii="Arial Narrow" w:hAnsi="Arial Narrow" w:cs="Arial"/>
          <w:b/>
          <w:sz w:val="24"/>
          <w:szCs w:val="24"/>
        </w:rPr>
      </w:pPr>
      <w:r w:rsidRPr="00BC451A">
        <w:rPr>
          <w:rFonts w:ascii="Arial Narrow" w:hAnsi="Arial Narrow" w:cs="Arial"/>
          <w:b/>
          <w:sz w:val="24"/>
          <w:szCs w:val="24"/>
        </w:rPr>
        <w:t>OSCAR FERNANDO BRAVO REALPE</w:t>
      </w:r>
    </w:p>
    <w:p w:rsidR="00BC451A" w:rsidRPr="00AC3054" w:rsidRDefault="00BC451A" w:rsidP="00BC451A">
      <w:pPr>
        <w:suppressAutoHyphens/>
        <w:autoSpaceDN w:val="0"/>
        <w:adjustRightInd w:val="0"/>
        <w:spacing w:after="0" w:line="240" w:lineRule="auto"/>
        <w:textAlignment w:val="center"/>
        <w:rPr>
          <w:rFonts w:ascii="Arial Narrow" w:hAnsi="Arial Narrow"/>
          <w:sz w:val="24"/>
          <w:szCs w:val="24"/>
          <w:lang w:val="es-ES_tradnl"/>
        </w:rPr>
      </w:pPr>
      <w:r w:rsidRPr="00BC451A">
        <w:rPr>
          <w:rFonts w:ascii="Arial Narrow" w:hAnsi="Arial Narrow"/>
          <w:sz w:val="24"/>
          <w:szCs w:val="24"/>
          <w:lang w:val="es-ES_tradnl"/>
        </w:rPr>
        <w:t>Representante Ponente</w:t>
      </w:r>
    </w:p>
    <w:p w:rsidR="00BC451A" w:rsidRPr="00AC3054" w:rsidRDefault="00BC451A" w:rsidP="00BC451A">
      <w:pPr>
        <w:suppressAutoHyphens/>
        <w:autoSpaceDN w:val="0"/>
        <w:adjustRightInd w:val="0"/>
        <w:spacing w:after="0" w:line="240" w:lineRule="auto"/>
        <w:textAlignment w:val="center"/>
        <w:rPr>
          <w:rFonts w:ascii="Arial Narrow" w:hAnsi="Arial Narrow"/>
          <w:sz w:val="24"/>
          <w:szCs w:val="24"/>
          <w:lang w:val="es-ES_tradnl"/>
        </w:rPr>
      </w:pPr>
    </w:p>
    <w:p w:rsidR="00BC451A" w:rsidRPr="00AC3054" w:rsidRDefault="00BC451A" w:rsidP="00BC451A">
      <w:pPr>
        <w:suppressAutoHyphens/>
        <w:autoSpaceDN w:val="0"/>
        <w:adjustRightInd w:val="0"/>
        <w:spacing w:after="0" w:line="240" w:lineRule="auto"/>
        <w:textAlignment w:val="center"/>
        <w:rPr>
          <w:rFonts w:ascii="Arial Narrow" w:hAnsi="Arial Narrow"/>
          <w:sz w:val="24"/>
          <w:szCs w:val="24"/>
          <w:lang w:val="es-ES_tradnl"/>
        </w:rPr>
      </w:pPr>
    </w:p>
    <w:sectPr w:rsidR="00BC451A" w:rsidRPr="00AC3054" w:rsidSect="004E3F23">
      <w:footerReference w:type="even" r:id="rId9"/>
      <w:footerReference w:type="default" r:id="rId10"/>
      <w:pgSz w:w="12240" w:h="15840"/>
      <w:pgMar w:top="1417" w:right="217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778" w:rsidRDefault="00B57778" w:rsidP="00C25920">
      <w:pPr>
        <w:spacing w:after="0" w:line="240" w:lineRule="auto"/>
      </w:pPr>
      <w:r>
        <w:separator/>
      </w:r>
    </w:p>
  </w:endnote>
  <w:endnote w:type="continuationSeparator" w:id="0">
    <w:p w:rsidR="00B57778" w:rsidRDefault="00B57778" w:rsidP="00C2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B1A" w:rsidRDefault="00391165" w:rsidP="00D76F9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2B1A" w:rsidRDefault="00B57778" w:rsidP="00D76F9A">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2B1A" w:rsidRDefault="00B57778" w:rsidP="00D76F9A">
    <w:pPr>
      <w:pStyle w:val="Piedepgina"/>
      <w:framePr w:wrap="around" w:vAnchor="text" w:hAnchor="margin" w:xAlign="right" w:y="1"/>
      <w:rPr>
        <w:rStyle w:val="Nmerodepgina"/>
      </w:rPr>
    </w:pPr>
  </w:p>
  <w:p w:rsidR="00E32B1A" w:rsidRDefault="00B57778" w:rsidP="00D76F9A">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778" w:rsidRDefault="00B57778" w:rsidP="00C25920">
      <w:pPr>
        <w:spacing w:after="0" w:line="240" w:lineRule="auto"/>
      </w:pPr>
      <w:r>
        <w:separator/>
      </w:r>
    </w:p>
  </w:footnote>
  <w:footnote w:type="continuationSeparator" w:id="0">
    <w:p w:rsidR="00B57778" w:rsidRDefault="00B57778" w:rsidP="00C25920">
      <w:pPr>
        <w:spacing w:after="0" w:line="240" w:lineRule="auto"/>
      </w:pPr>
      <w:r>
        <w:continuationSeparator/>
      </w:r>
    </w:p>
  </w:footnote>
  <w:footnote w:id="1">
    <w:p w:rsidR="00BC451A" w:rsidRPr="005B14FA" w:rsidRDefault="00BC451A" w:rsidP="00BC451A">
      <w:pPr>
        <w:pStyle w:val="Textonotapie"/>
        <w:rPr>
          <w:rFonts w:ascii="Arial Narrow" w:hAnsi="Arial Narrow"/>
          <w:sz w:val="18"/>
          <w:szCs w:val="18"/>
          <w:lang w:val="es-ES_tradnl"/>
        </w:rPr>
      </w:pPr>
      <w:r w:rsidRPr="005B14FA">
        <w:rPr>
          <w:rStyle w:val="Refdenotaalpie"/>
          <w:rFonts w:ascii="Arial Narrow" w:hAnsi="Arial Narrow"/>
          <w:sz w:val="18"/>
          <w:szCs w:val="18"/>
        </w:rPr>
        <w:footnoteRef/>
      </w:r>
      <w:r w:rsidRPr="005B14FA">
        <w:rPr>
          <w:rFonts w:ascii="Arial Narrow" w:eastAsia="Arial Unicode MS" w:hAnsi="Arial Narrow" w:cs="Arial Unicode MS"/>
          <w:sz w:val="18"/>
          <w:szCs w:val="18"/>
          <w:lang w:val="es-ES_tradnl"/>
        </w:rPr>
        <w:t>Corte Constitucional, Sala Plena, Sentencia C-574 del 28 de octubre de 1994, M.P., Dr. Ciro Angarita Barón, Pp. 93 - 44</w:t>
      </w:r>
    </w:p>
  </w:footnote>
  <w:footnote w:id="2">
    <w:p w:rsidR="00BC451A" w:rsidRPr="00AC3054" w:rsidRDefault="00BC451A" w:rsidP="00BC451A">
      <w:pPr>
        <w:pStyle w:val="Textonotapie"/>
        <w:jc w:val="both"/>
        <w:rPr>
          <w:rFonts w:ascii="Arial Narrow" w:hAnsi="Arial Narrow"/>
          <w:lang w:val="es-CO"/>
        </w:rPr>
      </w:pPr>
      <w:r w:rsidRPr="00AC3054">
        <w:rPr>
          <w:rStyle w:val="Refdenotaalpie"/>
          <w:rFonts w:ascii="Arial Narrow" w:hAnsi="Arial Narrow"/>
        </w:rPr>
        <w:footnoteRef/>
      </w:r>
      <w:r w:rsidRPr="00AC3054">
        <w:rPr>
          <w:rFonts w:ascii="Arial Narrow" w:hAnsi="Arial Narrow"/>
        </w:rPr>
        <w:t xml:space="preserve"> CICR, </w:t>
      </w:r>
      <w:r w:rsidRPr="00AC3054">
        <w:rPr>
          <w:rFonts w:ascii="Arial Narrow" w:hAnsi="Arial Narrow"/>
          <w:i/>
        </w:rPr>
        <w:t>Cuál es la definición de "conflicto armado" según el derecho internacional humanitario</w:t>
      </w:r>
      <w:proofErr w:type="gramStart"/>
      <w:r w:rsidRPr="00AC3054">
        <w:rPr>
          <w:rFonts w:ascii="Arial Narrow" w:hAnsi="Arial Narrow"/>
          <w:i/>
        </w:rPr>
        <w:t>?</w:t>
      </w:r>
      <w:proofErr w:type="gramEnd"/>
      <w:r w:rsidRPr="00AC3054">
        <w:rPr>
          <w:rFonts w:ascii="Arial Narrow" w:hAnsi="Arial Narrow"/>
          <w:i/>
        </w:rPr>
        <w:t xml:space="preserve">, </w:t>
      </w:r>
      <w:r w:rsidRPr="00AC3054">
        <w:rPr>
          <w:rFonts w:ascii="Arial Narrow" w:hAnsi="Arial Narrow"/>
        </w:rPr>
        <w:t xml:space="preserve">Documento de opinión, marzo de 2008. </w:t>
      </w:r>
      <w:r w:rsidRPr="00AC3054">
        <w:rPr>
          <w:rFonts w:ascii="Arial Narrow" w:hAnsi="Arial Narrow"/>
          <w:lang w:val="es-CO"/>
        </w:rPr>
        <w:t>Pág. 2-3</w:t>
      </w:r>
    </w:p>
  </w:footnote>
  <w:footnote w:id="3">
    <w:p w:rsidR="00BC451A" w:rsidRPr="00AC3054" w:rsidRDefault="00BC451A" w:rsidP="00BC451A">
      <w:pPr>
        <w:pStyle w:val="Textonotapie"/>
        <w:rPr>
          <w:rFonts w:ascii="Arial Narrow" w:hAnsi="Arial Narrow"/>
          <w:lang w:val="es-CO"/>
        </w:rPr>
      </w:pPr>
      <w:r w:rsidRPr="00AC3054">
        <w:rPr>
          <w:rStyle w:val="Refdenotaalpie"/>
          <w:rFonts w:ascii="Arial Narrow" w:hAnsi="Arial Narrow"/>
        </w:rPr>
        <w:footnoteRef/>
      </w:r>
      <w:r w:rsidRPr="00AC3054">
        <w:rPr>
          <w:rFonts w:ascii="Arial Narrow" w:hAnsi="Arial Narrow"/>
        </w:rPr>
        <w:t xml:space="preserve"> </w:t>
      </w:r>
      <w:r w:rsidRPr="00AC3054">
        <w:rPr>
          <w:rFonts w:ascii="Arial Narrow" w:hAnsi="Arial Narrow"/>
          <w:lang w:val="es-CO"/>
        </w:rPr>
        <w:t>Ver también:</w:t>
      </w:r>
      <w:r w:rsidRPr="00AC3054">
        <w:rPr>
          <w:rFonts w:ascii="Arial Narrow" w:hAnsi="Arial Narrow" w:cs="Arial"/>
          <w:lang w:val="es-CO"/>
        </w:rPr>
        <w:t xml:space="preserve"> la sentencia C-574/1992; C-225/1995; C-578 de 1995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BB7A79"/>
    <w:multiLevelType w:val="hybridMultilevel"/>
    <w:tmpl w:val="C1405A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026789"/>
    <w:multiLevelType w:val="hybridMultilevel"/>
    <w:tmpl w:val="7130DAA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624616E"/>
    <w:multiLevelType w:val="hybridMultilevel"/>
    <w:tmpl w:val="27E4D6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10E1BB2"/>
    <w:multiLevelType w:val="hybridMultilevel"/>
    <w:tmpl w:val="450E7B4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4D66A29"/>
    <w:multiLevelType w:val="hybridMultilevel"/>
    <w:tmpl w:val="C4AA3970"/>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Symbol" w:hint="default"/>
      </w:rPr>
    </w:lvl>
    <w:lvl w:ilvl="2" w:tplc="240A0005">
      <w:start w:val="1"/>
      <w:numFmt w:val="bullet"/>
      <w:lvlText w:val=""/>
      <w:lvlJc w:val="left"/>
      <w:pPr>
        <w:ind w:left="1800" w:hanging="360"/>
      </w:pPr>
      <w:rPr>
        <w:rFonts w:ascii="Wingdings" w:hAnsi="Wingdings" w:hint="default"/>
      </w:rPr>
    </w:lvl>
    <w:lvl w:ilvl="3" w:tplc="240A0001">
      <w:start w:val="1"/>
      <w:numFmt w:val="bullet"/>
      <w:lvlText w:val=""/>
      <w:lvlJc w:val="left"/>
      <w:pPr>
        <w:ind w:left="2520" w:hanging="360"/>
      </w:pPr>
      <w:rPr>
        <w:rFonts w:ascii="Symbol" w:hAnsi="Symbol" w:hint="default"/>
      </w:rPr>
    </w:lvl>
    <w:lvl w:ilvl="4" w:tplc="240A0003">
      <w:start w:val="1"/>
      <w:numFmt w:val="bullet"/>
      <w:lvlText w:val="o"/>
      <w:lvlJc w:val="left"/>
      <w:pPr>
        <w:ind w:left="3240" w:hanging="360"/>
      </w:pPr>
      <w:rPr>
        <w:rFonts w:ascii="Courier New" w:hAnsi="Courier New" w:cs="Symbol" w:hint="default"/>
      </w:rPr>
    </w:lvl>
    <w:lvl w:ilvl="5" w:tplc="240A0005">
      <w:start w:val="1"/>
      <w:numFmt w:val="bullet"/>
      <w:lvlText w:val=""/>
      <w:lvlJc w:val="left"/>
      <w:pPr>
        <w:ind w:left="3960" w:hanging="360"/>
      </w:pPr>
      <w:rPr>
        <w:rFonts w:ascii="Wingdings" w:hAnsi="Wingdings" w:hint="default"/>
      </w:rPr>
    </w:lvl>
    <w:lvl w:ilvl="6" w:tplc="240A0001">
      <w:start w:val="1"/>
      <w:numFmt w:val="bullet"/>
      <w:lvlText w:val=""/>
      <w:lvlJc w:val="left"/>
      <w:pPr>
        <w:ind w:left="4680" w:hanging="360"/>
      </w:pPr>
      <w:rPr>
        <w:rFonts w:ascii="Symbol" w:hAnsi="Symbol" w:hint="default"/>
      </w:rPr>
    </w:lvl>
    <w:lvl w:ilvl="7" w:tplc="240A0003">
      <w:start w:val="1"/>
      <w:numFmt w:val="bullet"/>
      <w:lvlText w:val="o"/>
      <w:lvlJc w:val="left"/>
      <w:pPr>
        <w:ind w:left="5400" w:hanging="360"/>
      </w:pPr>
      <w:rPr>
        <w:rFonts w:ascii="Courier New" w:hAnsi="Courier New" w:cs="Symbol" w:hint="default"/>
      </w:rPr>
    </w:lvl>
    <w:lvl w:ilvl="8" w:tplc="240A0005">
      <w:start w:val="1"/>
      <w:numFmt w:val="bullet"/>
      <w:lvlText w:val=""/>
      <w:lvlJc w:val="left"/>
      <w:pPr>
        <w:ind w:left="6120" w:hanging="360"/>
      </w:pPr>
      <w:rPr>
        <w:rFonts w:ascii="Wingdings" w:hAnsi="Wingdings" w:hint="default"/>
      </w:rPr>
    </w:lvl>
  </w:abstractNum>
  <w:abstractNum w:abstractNumId="5">
    <w:nsid w:val="55AD0821"/>
    <w:multiLevelType w:val="hybridMultilevel"/>
    <w:tmpl w:val="935242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200941"/>
    <w:multiLevelType w:val="hybridMultilevel"/>
    <w:tmpl w:val="5D82CCC2"/>
    <w:lvl w:ilvl="0" w:tplc="84AACDD0">
      <w:start w:val="1"/>
      <w:numFmt w:val="lowerRoman"/>
      <w:lvlText w:val="(%1)"/>
      <w:lvlJc w:val="left"/>
      <w:pPr>
        <w:ind w:left="1440" w:hanging="720"/>
      </w:pPr>
    </w:lvl>
    <w:lvl w:ilvl="1" w:tplc="240A0019">
      <w:start w:val="1"/>
      <w:numFmt w:val="decimal"/>
      <w:lvlText w:val="%2."/>
      <w:lvlJc w:val="left"/>
      <w:pPr>
        <w:tabs>
          <w:tab w:val="num" w:pos="1440"/>
        </w:tabs>
        <w:ind w:left="1440" w:hanging="360"/>
      </w:pPr>
    </w:lvl>
    <w:lvl w:ilvl="2" w:tplc="240A001B">
      <w:start w:val="1"/>
      <w:numFmt w:val="decimal"/>
      <w:lvlText w:val="%3."/>
      <w:lvlJc w:val="left"/>
      <w:pPr>
        <w:tabs>
          <w:tab w:val="num" w:pos="2160"/>
        </w:tabs>
        <w:ind w:left="2160" w:hanging="360"/>
      </w:pPr>
    </w:lvl>
    <w:lvl w:ilvl="3" w:tplc="240A000F">
      <w:start w:val="1"/>
      <w:numFmt w:val="decimal"/>
      <w:lvlText w:val="%4."/>
      <w:lvlJc w:val="left"/>
      <w:pPr>
        <w:tabs>
          <w:tab w:val="num" w:pos="2880"/>
        </w:tabs>
        <w:ind w:left="2880" w:hanging="360"/>
      </w:pPr>
    </w:lvl>
    <w:lvl w:ilvl="4" w:tplc="240A0019">
      <w:start w:val="1"/>
      <w:numFmt w:val="decimal"/>
      <w:lvlText w:val="%5."/>
      <w:lvlJc w:val="left"/>
      <w:pPr>
        <w:tabs>
          <w:tab w:val="num" w:pos="3600"/>
        </w:tabs>
        <w:ind w:left="3600" w:hanging="360"/>
      </w:pPr>
    </w:lvl>
    <w:lvl w:ilvl="5" w:tplc="240A001B">
      <w:start w:val="1"/>
      <w:numFmt w:val="decimal"/>
      <w:lvlText w:val="%6."/>
      <w:lvlJc w:val="left"/>
      <w:pPr>
        <w:tabs>
          <w:tab w:val="num" w:pos="4320"/>
        </w:tabs>
        <w:ind w:left="4320" w:hanging="360"/>
      </w:pPr>
    </w:lvl>
    <w:lvl w:ilvl="6" w:tplc="240A000F">
      <w:start w:val="1"/>
      <w:numFmt w:val="decimal"/>
      <w:lvlText w:val="%7."/>
      <w:lvlJc w:val="left"/>
      <w:pPr>
        <w:tabs>
          <w:tab w:val="num" w:pos="5040"/>
        </w:tabs>
        <w:ind w:left="5040" w:hanging="360"/>
      </w:pPr>
    </w:lvl>
    <w:lvl w:ilvl="7" w:tplc="240A0019">
      <w:start w:val="1"/>
      <w:numFmt w:val="decimal"/>
      <w:lvlText w:val="%8."/>
      <w:lvlJc w:val="left"/>
      <w:pPr>
        <w:tabs>
          <w:tab w:val="num" w:pos="5760"/>
        </w:tabs>
        <w:ind w:left="5760" w:hanging="360"/>
      </w:pPr>
    </w:lvl>
    <w:lvl w:ilvl="8" w:tplc="240A001B">
      <w:start w:val="1"/>
      <w:numFmt w:val="decimal"/>
      <w:lvlText w:val="%9."/>
      <w:lvlJc w:val="left"/>
      <w:pPr>
        <w:tabs>
          <w:tab w:val="num" w:pos="6480"/>
        </w:tabs>
        <w:ind w:left="6480" w:hanging="360"/>
      </w:pPr>
    </w:lvl>
  </w:abstractNum>
  <w:abstractNum w:abstractNumId="7">
    <w:nsid w:val="67B276FB"/>
    <w:multiLevelType w:val="hybridMultilevel"/>
    <w:tmpl w:val="F86CD6A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7C5171C5"/>
    <w:multiLevelType w:val="hybridMultilevel"/>
    <w:tmpl w:val="9DD6A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1"/>
  </w:num>
  <w:num w:numId="5">
    <w:abstractNumId w:val="5"/>
  </w:num>
  <w:num w:numId="6">
    <w:abstractNumId w:val="2"/>
  </w:num>
  <w:num w:numId="7">
    <w:abstractNumId w:val="4"/>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5920"/>
    <w:rsid w:val="00013BF2"/>
    <w:rsid w:val="000146CE"/>
    <w:rsid w:val="00020B15"/>
    <w:rsid w:val="000219AF"/>
    <w:rsid w:val="00026D62"/>
    <w:rsid w:val="00030032"/>
    <w:rsid w:val="00032C91"/>
    <w:rsid w:val="00033C4C"/>
    <w:rsid w:val="000400E0"/>
    <w:rsid w:val="000400E7"/>
    <w:rsid w:val="00044611"/>
    <w:rsid w:val="0005557C"/>
    <w:rsid w:val="00057DEF"/>
    <w:rsid w:val="00070687"/>
    <w:rsid w:val="00077B68"/>
    <w:rsid w:val="000853BB"/>
    <w:rsid w:val="00090216"/>
    <w:rsid w:val="000922F9"/>
    <w:rsid w:val="00095EFC"/>
    <w:rsid w:val="0009617F"/>
    <w:rsid w:val="000A1C98"/>
    <w:rsid w:val="000A2AA6"/>
    <w:rsid w:val="000A35A4"/>
    <w:rsid w:val="000C0BF6"/>
    <w:rsid w:val="000C2C9C"/>
    <w:rsid w:val="000C4B67"/>
    <w:rsid w:val="000C50E0"/>
    <w:rsid w:val="000C7E80"/>
    <w:rsid w:val="000D0952"/>
    <w:rsid w:val="000D0D52"/>
    <w:rsid w:val="000D3697"/>
    <w:rsid w:val="000D555D"/>
    <w:rsid w:val="000E1D98"/>
    <w:rsid w:val="000E62CA"/>
    <w:rsid w:val="000E6CEE"/>
    <w:rsid w:val="000F1039"/>
    <w:rsid w:val="000F3B34"/>
    <w:rsid w:val="000F489B"/>
    <w:rsid w:val="000F60CB"/>
    <w:rsid w:val="00100D98"/>
    <w:rsid w:val="00101BB6"/>
    <w:rsid w:val="00102090"/>
    <w:rsid w:val="00106DF9"/>
    <w:rsid w:val="00107BB0"/>
    <w:rsid w:val="00110244"/>
    <w:rsid w:val="00111FC7"/>
    <w:rsid w:val="00112D92"/>
    <w:rsid w:val="00115F93"/>
    <w:rsid w:val="001162E9"/>
    <w:rsid w:val="00116CC1"/>
    <w:rsid w:val="001241F8"/>
    <w:rsid w:val="001247A9"/>
    <w:rsid w:val="001257EE"/>
    <w:rsid w:val="0013035B"/>
    <w:rsid w:val="00132DFE"/>
    <w:rsid w:val="001420E2"/>
    <w:rsid w:val="001477DC"/>
    <w:rsid w:val="00152068"/>
    <w:rsid w:val="00155A0F"/>
    <w:rsid w:val="00157587"/>
    <w:rsid w:val="0016488D"/>
    <w:rsid w:val="00170AC8"/>
    <w:rsid w:val="001711C7"/>
    <w:rsid w:val="00171828"/>
    <w:rsid w:val="00184237"/>
    <w:rsid w:val="0018526A"/>
    <w:rsid w:val="00185B06"/>
    <w:rsid w:val="001869A0"/>
    <w:rsid w:val="00186C4D"/>
    <w:rsid w:val="00193554"/>
    <w:rsid w:val="001A1857"/>
    <w:rsid w:val="001A2463"/>
    <w:rsid w:val="001A3D77"/>
    <w:rsid w:val="001A564B"/>
    <w:rsid w:val="001B67B6"/>
    <w:rsid w:val="001C0DBA"/>
    <w:rsid w:val="001C4131"/>
    <w:rsid w:val="001D2A77"/>
    <w:rsid w:val="001D58A1"/>
    <w:rsid w:val="001E4854"/>
    <w:rsid w:val="001F027E"/>
    <w:rsid w:val="001F1453"/>
    <w:rsid w:val="001F1920"/>
    <w:rsid w:val="001F5208"/>
    <w:rsid w:val="001F608F"/>
    <w:rsid w:val="00203110"/>
    <w:rsid w:val="00204279"/>
    <w:rsid w:val="00204401"/>
    <w:rsid w:val="00207BEB"/>
    <w:rsid w:val="002113B1"/>
    <w:rsid w:val="002127CE"/>
    <w:rsid w:val="00222783"/>
    <w:rsid w:val="00226344"/>
    <w:rsid w:val="002306DB"/>
    <w:rsid w:val="00236B91"/>
    <w:rsid w:val="00241D62"/>
    <w:rsid w:val="00242132"/>
    <w:rsid w:val="0024356B"/>
    <w:rsid w:val="00247A1C"/>
    <w:rsid w:val="00250BEF"/>
    <w:rsid w:val="00250E21"/>
    <w:rsid w:val="00250F52"/>
    <w:rsid w:val="0025111A"/>
    <w:rsid w:val="0025414B"/>
    <w:rsid w:val="00267890"/>
    <w:rsid w:val="00272266"/>
    <w:rsid w:val="00274349"/>
    <w:rsid w:val="00280426"/>
    <w:rsid w:val="0028172D"/>
    <w:rsid w:val="00285764"/>
    <w:rsid w:val="00286CC3"/>
    <w:rsid w:val="002928D7"/>
    <w:rsid w:val="00297CB4"/>
    <w:rsid w:val="002B09B5"/>
    <w:rsid w:val="002B0BA1"/>
    <w:rsid w:val="002B6B7A"/>
    <w:rsid w:val="002B7DFF"/>
    <w:rsid w:val="002C0DA5"/>
    <w:rsid w:val="002C1DDA"/>
    <w:rsid w:val="002C2527"/>
    <w:rsid w:val="002C29D7"/>
    <w:rsid w:val="002C2EE9"/>
    <w:rsid w:val="002D1267"/>
    <w:rsid w:val="002D3647"/>
    <w:rsid w:val="002D423D"/>
    <w:rsid w:val="002D6AAB"/>
    <w:rsid w:val="002D7274"/>
    <w:rsid w:val="002E58C7"/>
    <w:rsid w:val="002E62DF"/>
    <w:rsid w:val="002F3501"/>
    <w:rsid w:val="003064EE"/>
    <w:rsid w:val="00307E42"/>
    <w:rsid w:val="00312C1B"/>
    <w:rsid w:val="00332053"/>
    <w:rsid w:val="00336819"/>
    <w:rsid w:val="00341D30"/>
    <w:rsid w:val="0034518B"/>
    <w:rsid w:val="003464EA"/>
    <w:rsid w:val="00347F62"/>
    <w:rsid w:val="00350310"/>
    <w:rsid w:val="0035065C"/>
    <w:rsid w:val="003564C5"/>
    <w:rsid w:val="00360C15"/>
    <w:rsid w:val="00361720"/>
    <w:rsid w:val="003638AE"/>
    <w:rsid w:val="00363D3C"/>
    <w:rsid w:val="00365A39"/>
    <w:rsid w:val="00373A22"/>
    <w:rsid w:val="00375B73"/>
    <w:rsid w:val="00382E2C"/>
    <w:rsid w:val="00383C6A"/>
    <w:rsid w:val="00386975"/>
    <w:rsid w:val="00391165"/>
    <w:rsid w:val="0039201F"/>
    <w:rsid w:val="00393E63"/>
    <w:rsid w:val="00394435"/>
    <w:rsid w:val="003A0B49"/>
    <w:rsid w:val="003A2EA6"/>
    <w:rsid w:val="003A64EB"/>
    <w:rsid w:val="003B76A0"/>
    <w:rsid w:val="003C0ED8"/>
    <w:rsid w:val="003C3861"/>
    <w:rsid w:val="003C51CC"/>
    <w:rsid w:val="003C5B7C"/>
    <w:rsid w:val="003C672E"/>
    <w:rsid w:val="003D2D0E"/>
    <w:rsid w:val="003D4D81"/>
    <w:rsid w:val="003D5B41"/>
    <w:rsid w:val="003D6239"/>
    <w:rsid w:val="003D6626"/>
    <w:rsid w:val="003F7FFD"/>
    <w:rsid w:val="004014E6"/>
    <w:rsid w:val="00407083"/>
    <w:rsid w:val="004158E1"/>
    <w:rsid w:val="00431DBF"/>
    <w:rsid w:val="00434D2C"/>
    <w:rsid w:val="004376A6"/>
    <w:rsid w:val="00437D83"/>
    <w:rsid w:val="00443A54"/>
    <w:rsid w:val="00445ADE"/>
    <w:rsid w:val="00460F5E"/>
    <w:rsid w:val="004735F7"/>
    <w:rsid w:val="00476514"/>
    <w:rsid w:val="004802C8"/>
    <w:rsid w:val="00482085"/>
    <w:rsid w:val="00490689"/>
    <w:rsid w:val="00493CC1"/>
    <w:rsid w:val="00494CD1"/>
    <w:rsid w:val="00497FE2"/>
    <w:rsid w:val="004A7A68"/>
    <w:rsid w:val="004B4730"/>
    <w:rsid w:val="004B7D94"/>
    <w:rsid w:val="004C3CF9"/>
    <w:rsid w:val="004D0F82"/>
    <w:rsid w:val="004D28B5"/>
    <w:rsid w:val="004D4900"/>
    <w:rsid w:val="004D6ECF"/>
    <w:rsid w:val="004E393A"/>
    <w:rsid w:val="004E42F3"/>
    <w:rsid w:val="004E4475"/>
    <w:rsid w:val="004E4DE2"/>
    <w:rsid w:val="004F1CF0"/>
    <w:rsid w:val="004F6866"/>
    <w:rsid w:val="004F71F0"/>
    <w:rsid w:val="00502B7F"/>
    <w:rsid w:val="005034B2"/>
    <w:rsid w:val="00505469"/>
    <w:rsid w:val="0051038A"/>
    <w:rsid w:val="00517015"/>
    <w:rsid w:val="00520136"/>
    <w:rsid w:val="00521293"/>
    <w:rsid w:val="0052601E"/>
    <w:rsid w:val="00533120"/>
    <w:rsid w:val="00540C4B"/>
    <w:rsid w:val="005464E7"/>
    <w:rsid w:val="00547A95"/>
    <w:rsid w:val="005504AF"/>
    <w:rsid w:val="00554550"/>
    <w:rsid w:val="00555F20"/>
    <w:rsid w:val="005576F5"/>
    <w:rsid w:val="00567C47"/>
    <w:rsid w:val="00570009"/>
    <w:rsid w:val="00570320"/>
    <w:rsid w:val="005713C9"/>
    <w:rsid w:val="00573825"/>
    <w:rsid w:val="005778A0"/>
    <w:rsid w:val="00581219"/>
    <w:rsid w:val="0058723A"/>
    <w:rsid w:val="0058760A"/>
    <w:rsid w:val="0058796A"/>
    <w:rsid w:val="00591BFF"/>
    <w:rsid w:val="005A0687"/>
    <w:rsid w:val="005A6A11"/>
    <w:rsid w:val="005B1A73"/>
    <w:rsid w:val="005B61B1"/>
    <w:rsid w:val="005D60AB"/>
    <w:rsid w:val="005E4D95"/>
    <w:rsid w:val="005F0762"/>
    <w:rsid w:val="005F1F2B"/>
    <w:rsid w:val="005F28CF"/>
    <w:rsid w:val="005F5016"/>
    <w:rsid w:val="005F7A73"/>
    <w:rsid w:val="006019FD"/>
    <w:rsid w:val="00601F97"/>
    <w:rsid w:val="0060207E"/>
    <w:rsid w:val="0060231D"/>
    <w:rsid w:val="00602427"/>
    <w:rsid w:val="0060598F"/>
    <w:rsid w:val="0060717A"/>
    <w:rsid w:val="006104FA"/>
    <w:rsid w:val="00610D7D"/>
    <w:rsid w:val="00611558"/>
    <w:rsid w:val="006120BF"/>
    <w:rsid w:val="00613210"/>
    <w:rsid w:val="00620D24"/>
    <w:rsid w:val="0062157F"/>
    <w:rsid w:val="006232D4"/>
    <w:rsid w:val="00625932"/>
    <w:rsid w:val="00630886"/>
    <w:rsid w:val="00633E8B"/>
    <w:rsid w:val="006357DB"/>
    <w:rsid w:val="0064250F"/>
    <w:rsid w:val="00644C42"/>
    <w:rsid w:val="006452FD"/>
    <w:rsid w:val="006455AB"/>
    <w:rsid w:val="006466CA"/>
    <w:rsid w:val="006477BD"/>
    <w:rsid w:val="006540F0"/>
    <w:rsid w:val="00654B58"/>
    <w:rsid w:val="00664C29"/>
    <w:rsid w:val="00676DB2"/>
    <w:rsid w:val="006818EF"/>
    <w:rsid w:val="006832FA"/>
    <w:rsid w:val="00685B4D"/>
    <w:rsid w:val="00686B57"/>
    <w:rsid w:val="006870E3"/>
    <w:rsid w:val="00690FF7"/>
    <w:rsid w:val="00694724"/>
    <w:rsid w:val="006A65B8"/>
    <w:rsid w:val="006B3104"/>
    <w:rsid w:val="006C0E93"/>
    <w:rsid w:val="006C2D1E"/>
    <w:rsid w:val="006C43E4"/>
    <w:rsid w:val="006C5BBF"/>
    <w:rsid w:val="006D0EB9"/>
    <w:rsid w:val="006E5129"/>
    <w:rsid w:val="006F16F4"/>
    <w:rsid w:val="006F75DF"/>
    <w:rsid w:val="00703024"/>
    <w:rsid w:val="007104AD"/>
    <w:rsid w:val="00712819"/>
    <w:rsid w:val="00715D8A"/>
    <w:rsid w:val="0071681D"/>
    <w:rsid w:val="00716A60"/>
    <w:rsid w:val="00721451"/>
    <w:rsid w:val="0072149E"/>
    <w:rsid w:val="00721C52"/>
    <w:rsid w:val="007228BF"/>
    <w:rsid w:val="00726EA6"/>
    <w:rsid w:val="007330EF"/>
    <w:rsid w:val="00734840"/>
    <w:rsid w:val="00736DEC"/>
    <w:rsid w:val="00737C1E"/>
    <w:rsid w:val="0074037F"/>
    <w:rsid w:val="007454D6"/>
    <w:rsid w:val="00752347"/>
    <w:rsid w:val="00755DF0"/>
    <w:rsid w:val="00757CC8"/>
    <w:rsid w:val="00762B17"/>
    <w:rsid w:val="0076412F"/>
    <w:rsid w:val="00764CAA"/>
    <w:rsid w:val="00765996"/>
    <w:rsid w:val="007704B0"/>
    <w:rsid w:val="00776455"/>
    <w:rsid w:val="00776ECE"/>
    <w:rsid w:val="00780210"/>
    <w:rsid w:val="0079077E"/>
    <w:rsid w:val="00794002"/>
    <w:rsid w:val="007973AA"/>
    <w:rsid w:val="007A109B"/>
    <w:rsid w:val="007C0FE8"/>
    <w:rsid w:val="007D03A2"/>
    <w:rsid w:val="007D5698"/>
    <w:rsid w:val="007F12FD"/>
    <w:rsid w:val="007F72FB"/>
    <w:rsid w:val="00803A44"/>
    <w:rsid w:val="00804AB1"/>
    <w:rsid w:val="008102DD"/>
    <w:rsid w:val="00812AF5"/>
    <w:rsid w:val="00812E56"/>
    <w:rsid w:val="00815AB8"/>
    <w:rsid w:val="00820FB6"/>
    <w:rsid w:val="008212FC"/>
    <w:rsid w:val="00824AC0"/>
    <w:rsid w:val="00827B5E"/>
    <w:rsid w:val="00831267"/>
    <w:rsid w:val="0083567D"/>
    <w:rsid w:val="008401F6"/>
    <w:rsid w:val="00841D29"/>
    <w:rsid w:val="008432DF"/>
    <w:rsid w:val="008472EB"/>
    <w:rsid w:val="00857FF3"/>
    <w:rsid w:val="00862385"/>
    <w:rsid w:val="00865C07"/>
    <w:rsid w:val="00873526"/>
    <w:rsid w:val="00883E95"/>
    <w:rsid w:val="008877B5"/>
    <w:rsid w:val="00894FE5"/>
    <w:rsid w:val="00895DE7"/>
    <w:rsid w:val="008A3227"/>
    <w:rsid w:val="008C2AEA"/>
    <w:rsid w:val="008C439F"/>
    <w:rsid w:val="008C516C"/>
    <w:rsid w:val="008D055B"/>
    <w:rsid w:val="008D113C"/>
    <w:rsid w:val="008D46B5"/>
    <w:rsid w:val="008D7613"/>
    <w:rsid w:val="008F0FDD"/>
    <w:rsid w:val="008F2B8B"/>
    <w:rsid w:val="008F6ED7"/>
    <w:rsid w:val="00901277"/>
    <w:rsid w:val="00903DA6"/>
    <w:rsid w:val="00904406"/>
    <w:rsid w:val="0091251E"/>
    <w:rsid w:val="00933C30"/>
    <w:rsid w:val="009378F7"/>
    <w:rsid w:val="0093795C"/>
    <w:rsid w:val="00937ADC"/>
    <w:rsid w:val="00944ABE"/>
    <w:rsid w:val="0094532A"/>
    <w:rsid w:val="00963F75"/>
    <w:rsid w:val="00975478"/>
    <w:rsid w:val="00980B3B"/>
    <w:rsid w:val="00986186"/>
    <w:rsid w:val="0099191D"/>
    <w:rsid w:val="0099238F"/>
    <w:rsid w:val="00992AF1"/>
    <w:rsid w:val="0099413E"/>
    <w:rsid w:val="00996357"/>
    <w:rsid w:val="009A34F0"/>
    <w:rsid w:val="009A5F4B"/>
    <w:rsid w:val="009A7C01"/>
    <w:rsid w:val="009C45EB"/>
    <w:rsid w:val="009D024B"/>
    <w:rsid w:val="009F0605"/>
    <w:rsid w:val="009F2E3E"/>
    <w:rsid w:val="009F4C42"/>
    <w:rsid w:val="009F5B6F"/>
    <w:rsid w:val="009F6062"/>
    <w:rsid w:val="009F7761"/>
    <w:rsid w:val="00A01714"/>
    <w:rsid w:val="00A154A5"/>
    <w:rsid w:val="00A17774"/>
    <w:rsid w:val="00A210FF"/>
    <w:rsid w:val="00A21275"/>
    <w:rsid w:val="00A31E3F"/>
    <w:rsid w:val="00A331EF"/>
    <w:rsid w:val="00A36745"/>
    <w:rsid w:val="00A36C1B"/>
    <w:rsid w:val="00A4038C"/>
    <w:rsid w:val="00A44685"/>
    <w:rsid w:val="00A466B1"/>
    <w:rsid w:val="00A5017C"/>
    <w:rsid w:val="00A53CAD"/>
    <w:rsid w:val="00A56675"/>
    <w:rsid w:val="00A574EB"/>
    <w:rsid w:val="00A60F8B"/>
    <w:rsid w:val="00A659A6"/>
    <w:rsid w:val="00A70DC5"/>
    <w:rsid w:val="00A752C0"/>
    <w:rsid w:val="00A873EE"/>
    <w:rsid w:val="00A8769C"/>
    <w:rsid w:val="00A8778E"/>
    <w:rsid w:val="00A91D54"/>
    <w:rsid w:val="00A92734"/>
    <w:rsid w:val="00A960A6"/>
    <w:rsid w:val="00AA56E2"/>
    <w:rsid w:val="00AB5703"/>
    <w:rsid w:val="00AC3054"/>
    <w:rsid w:val="00AC418A"/>
    <w:rsid w:val="00AD1087"/>
    <w:rsid w:val="00AD2E95"/>
    <w:rsid w:val="00AE0E28"/>
    <w:rsid w:val="00AE605D"/>
    <w:rsid w:val="00AE7BD8"/>
    <w:rsid w:val="00AF1FEA"/>
    <w:rsid w:val="00AF53EF"/>
    <w:rsid w:val="00AF6F26"/>
    <w:rsid w:val="00B04EB9"/>
    <w:rsid w:val="00B07FB6"/>
    <w:rsid w:val="00B161C8"/>
    <w:rsid w:val="00B226C9"/>
    <w:rsid w:val="00B254B0"/>
    <w:rsid w:val="00B258BB"/>
    <w:rsid w:val="00B26689"/>
    <w:rsid w:val="00B33BF3"/>
    <w:rsid w:val="00B35365"/>
    <w:rsid w:val="00B366E1"/>
    <w:rsid w:val="00B3729D"/>
    <w:rsid w:val="00B37BF5"/>
    <w:rsid w:val="00B46D4C"/>
    <w:rsid w:val="00B548B2"/>
    <w:rsid w:val="00B561A8"/>
    <w:rsid w:val="00B57778"/>
    <w:rsid w:val="00B627B0"/>
    <w:rsid w:val="00B64C3F"/>
    <w:rsid w:val="00B702A6"/>
    <w:rsid w:val="00B70B52"/>
    <w:rsid w:val="00B70BD1"/>
    <w:rsid w:val="00B7421F"/>
    <w:rsid w:val="00B80CB3"/>
    <w:rsid w:val="00B841DF"/>
    <w:rsid w:val="00B85130"/>
    <w:rsid w:val="00B91078"/>
    <w:rsid w:val="00B94D6F"/>
    <w:rsid w:val="00B957A0"/>
    <w:rsid w:val="00B9593E"/>
    <w:rsid w:val="00B976F4"/>
    <w:rsid w:val="00BA15B4"/>
    <w:rsid w:val="00BA1FCD"/>
    <w:rsid w:val="00BA3F59"/>
    <w:rsid w:val="00BB3441"/>
    <w:rsid w:val="00BB7D7B"/>
    <w:rsid w:val="00BC2D6E"/>
    <w:rsid w:val="00BC451A"/>
    <w:rsid w:val="00BD2C11"/>
    <w:rsid w:val="00BD612A"/>
    <w:rsid w:val="00BE2627"/>
    <w:rsid w:val="00BE4ADF"/>
    <w:rsid w:val="00BE4C0E"/>
    <w:rsid w:val="00BF04B7"/>
    <w:rsid w:val="00BF148A"/>
    <w:rsid w:val="00BF7C78"/>
    <w:rsid w:val="00C0430D"/>
    <w:rsid w:val="00C126F3"/>
    <w:rsid w:val="00C12947"/>
    <w:rsid w:val="00C25920"/>
    <w:rsid w:val="00C27D97"/>
    <w:rsid w:val="00C43167"/>
    <w:rsid w:val="00C46155"/>
    <w:rsid w:val="00C509AC"/>
    <w:rsid w:val="00C52C4C"/>
    <w:rsid w:val="00C576EC"/>
    <w:rsid w:val="00C63F0C"/>
    <w:rsid w:val="00C70B3E"/>
    <w:rsid w:val="00C72B1E"/>
    <w:rsid w:val="00C7316D"/>
    <w:rsid w:val="00C73C31"/>
    <w:rsid w:val="00C73E49"/>
    <w:rsid w:val="00C74B72"/>
    <w:rsid w:val="00C75FCA"/>
    <w:rsid w:val="00C86630"/>
    <w:rsid w:val="00C92C6F"/>
    <w:rsid w:val="00C93517"/>
    <w:rsid w:val="00C95067"/>
    <w:rsid w:val="00CA77C2"/>
    <w:rsid w:val="00CB359E"/>
    <w:rsid w:val="00CB576C"/>
    <w:rsid w:val="00CB5E30"/>
    <w:rsid w:val="00CC2366"/>
    <w:rsid w:val="00CC66FB"/>
    <w:rsid w:val="00CD0E1E"/>
    <w:rsid w:val="00CD2863"/>
    <w:rsid w:val="00CD38EE"/>
    <w:rsid w:val="00CD3A79"/>
    <w:rsid w:val="00CD68AD"/>
    <w:rsid w:val="00CF1118"/>
    <w:rsid w:val="00CF30A3"/>
    <w:rsid w:val="00D05FE6"/>
    <w:rsid w:val="00D14F97"/>
    <w:rsid w:val="00D2210F"/>
    <w:rsid w:val="00D2594B"/>
    <w:rsid w:val="00D30566"/>
    <w:rsid w:val="00D30F90"/>
    <w:rsid w:val="00D348A3"/>
    <w:rsid w:val="00D3544B"/>
    <w:rsid w:val="00D42888"/>
    <w:rsid w:val="00D43810"/>
    <w:rsid w:val="00D52097"/>
    <w:rsid w:val="00D55903"/>
    <w:rsid w:val="00D571A3"/>
    <w:rsid w:val="00D652B5"/>
    <w:rsid w:val="00D8149D"/>
    <w:rsid w:val="00D82EC4"/>
    <w:rsid w:val="00D91507"/>
    <w:rsid w:val="00DA1AED"/>
    <w:rsid w:val="00DB1749"/>
    <w:rsid w:val="00DB23E6"/>
    <w:rsid w:val="00DB7F61"/>
    <w:rsid w:val="00DC10B6"/>
    <w:rsid w:val="00DD47EE"/>
    <w:rsid w:val="00DD6278"/>
    <w:rsid w:val="00DE2F7C"/>
    <w:rsid w:val="00DF2601"/>
    <w:rsid w:val="00E2012D"/>
    <w:rsid w:val="00E2236F"/>
    <w:rsid w:val="00E23C7C"/>
    <w:rsid w:val="00E2661D"/>
    <w:rsid w:val="00E35A12"/>
    <w:rsid w:val="00E35A74"/>
    <w:rsid w:val="00E4220B"/>
    <w:rsid w:val="00E4397A"/>
    <w:rsid w:val="00E459BA"/>
    <w:rsid w:val="00E45AB4"/>
    <w:rsid w:val="00E568AD"/>
    <w:rsid w:val="00E56BE9"/>
    <w:rsid w:val="00E56D4F"/>
    <w:rsid w:val="00E57851"/>
    <w:rsid w:val="00E6020F"/>
    <w:rsid w:val="00E6329E"/>
    <w:rsid w:val="00E63913"/>
    <w:rsid w:val="00E64EB7"/>
    <w:rsid w:val="00E7101C"/>
    <w:rsid w:val="00E76B3B"/>
    <w:rsid w:val="00E80186"/>
    <w:rsid w:val="00E93B58"/>
    <w:rsid w:val="00E94DFD"/>
    <w:rsid w:val="00E9595A"/>
    <w:rsid w:val="00E96464"/>
    <w:rsid w:val="00EA1FAC"/>
    <w:rsid w:val="00EA2FB7"/>
    <w:rsid w:val="00EB3122"/>
    <w:rsid w:val="00EB764E"/>
    <w:rsid w:val="00EC21C2"/>
    <w:rsid w:val="00EC4C2A"/>
    <w:rsid w:val="00EC6153"/>
    <w:rsid w:val="00EE420B"/>
    <w:rsid w:val="00EE46E3"/>
    <w:rsid w:val="00EE68FA"/>
    <w:rsid w:val="00EE7999"/>
    <w:rsid w:val="00EF12D5"/>
    <w:rsid w:val="00F10B42"/>
    <w:rsid w:val="00F11A74"/>
    <w:rsid w:val="00F11B82"/>
    <w:rsid w:val="00F1390D"/>
    <w:rsid w:val="00F23D4A"/>
    <w:rsid w:val="00F263E1"/>
    <w:rsid w:val="00F301E8"/>
    <w:rsid w:val="00F36ACA"/>
    <w:rsid w:val="00F52A0A"/>
    <w:rsid w:val="00F5745D"/>
    <w:rsid w:val="00F57A5B"/>
    <w:rsid w:val="00F628D3"/>
    <w:rsid w:val="00F7325B"/>
    <w:rsid w:val="00F75067"/>
    <w:rsid w:val="00F7724D"/>
    <w:rsid w:val="00F81B91"/>
    <w:rsid w:val="00F84120"/>
    <w:rsid w:val="00F86147"/>
    <w:rsid w:val="00F86BC0"/>
    <w:rsid w:val="00F97A60"/>
    <w:rsid w:val="00FA12CC"/>
    <w:rsid w:val="00FA2655"/>
    <w:rsid w:val="00FB02E2"/>
    <w:rsid w:val="00FB159D"/>
    <w:rsid w:val="00FC21FF"/>
    <w:rsid w:val="00FC2BFA"/>
    <w:rsid w:val="00FC4393"/>
    <w:rsid w:val="00FD1D89"/>
    <w:rsid w:val="00FD395E"/>
    <w:rsid w:val="00FD4EC4"/>
    <w:rsid w:val="00FD6D1B"/>
    <w:rsid w:val="00FE3FF6"/>
    <w:rsid w:val="00FE791C"/>
    <w:rsid w:val="00FF004D"/>
    <w:rsid w:val="00FF00DB"/>
    <w:rsid w:val="00FF0A1B"/>
    <w:rsid w:val="00FF2F42"/>
    <w:rsid w:val="00FF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920"/>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
    <w:basedOn w:val="Normal"/>
    <w:link w:val="PrrafodelistaCar"/>
    <w:uiPriority w:val="34"/>
    <w:qFormat/>
    <w:rsid w:val="00C25920"/>
    <w:pPr>
      <w:ind w:left="720"/>
      <w:contextualSpacing/>
    </w:pPr>
  </w:style>
  <w:style w:type="paragraph" w:styleId="Textonotapie">
    <w:name w:val="footnote text"/>
    <w:aliases w:val="Footnote Text Char Char Char Char Char,Footnote Text Char Char Char Char,Ref. de nota al pie1,FA Fu,texto de nota al pie,Footnote reference,Footnote Text Char Char Char,Footnote Text Cha,FA Fußnotentext,FA Fuﬂnotentext,FA Fu?notentext"/>
    <w:basedOn w:val="Normal"/>
    <w:link w:val="TextonotapieCar"/>
    <w:unhideWhenUsed/>
    <w:rsid w:val="00C25920"/>
    <w:pPr>
      <w:spacing w:after="0" w:line="240" w:lineRule="auto"/>
    </w:pPr>
    <w:rPr>
      <w:sz w:val="20"/>
      <w:szCs w:val="20"/>
    </w:rPr>
  </w:style>
  <w:style w:type="character" w:customStyle="1" w:styleId="TextonotapieCar">
    <w:name w:val="Texto nota pie Car"/>
    <w:aliases w:val="Footnote Text Char Char Char Char Char Car,Footnote Text Char Char Char Char Car,Ref. de nota al pie1 Car,FA Fu Car,texto de nota al pie Car,Footnote reference Car,Footnote Text Char Char Char Car,Footnote Text Cha Car"/>
    <w:basedOn w:val="Fuentedeprrafopredeter"/>
    <w:link w:val="Textonotapie"/>
    <w:rsid w:val="00C25920"/>
    <w:rPr>
      <w:rFonts w:ascii="Calibri" w:eastAsia="Calibri" w:hAnsi="Calibri" w:cs="Times New Roman"/>
      <w:sz w:val="20"/>
      <w:szCs w:val="20"/>
      <w:lang w:val="es-ES"/>
    </w:rPr>
  </w:style>
  <w:style w:type="character" w:styleId="Refdenotaalpie">
    <w:name w:val="footnote reference"/>
    <w:aliases w:val="Texto de nota al pie"/>
    <w:basedOn w:val="Fuentedeprrafopredeter"/>
    <w:unhideWhenUsed/>
    <w:rsid w:val="00C25920"/>
    <w:rPr>
      <w:vertAlign w:val="superscript"/>
    </w:rPr>
  </w:style>
  <w:style w:type="character" w:customStyle="1" w:styleId="PrrafodelistaCar">
    <w:name w:val="Párrafo de lista Car"/>
    <w:aliases w:val="titulo 3 Car"/>
    <w:link w:val="Prrafodelista"/>
    <w:uiPriority w:val="34"/>
    <w:locked/>
    <w:rsid w:val="00C25920"/>
    <w:rPr>
      <w:rFonts w:ascii="Calibri" w:eastAsia="Calibri" w:hAnsi="Calibri" w:cs="Times New Roman"/>
      <w:lang w:val="es-ES"/>
    </w:rPr>
  </w:style>
  <w:style w:type="paragraph" w:styleId="Piedepgina">
    <w:name w:val="footer"/>
    <w:basedOn w:val="Normal"/>
    <w:link w:val="PiedepginaCar"/>
    <w:uiPriority w:val="99"/>
    <w:unhideWhenUsed/>
    <w:rsid w:val="00C25920"/>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C25920"/>
    <w:rPr>
      <w:rFonts w:ascii="Calibri" w:eastAsia="Calibri" w:hAnsi="Calibri" w:cs="Times New Roman"/>
      <w:lang w:val="es-ES"/>
    </w:rPr>
  </w:style>
  <w:style w:type="character" w:styleId="Nmerodepgina">
    <w:name w:val="page number"/>
    <w:basedOn w:val="Fuentedeprrafopredeter"/>
    <w:uiPriority w:val="99"/>
    <w:semiHidden/>
    <w:unhideWhenUsed/>
    <w:rsid w:val="00C25920"/>
  </w:style>
  <w:style w:type="paragraph" w:styleId="NormalWeb">
    <w:name w:val="Normal (Web)"/>
    <w:basedOn w:val="Normal"/>
    <w:uiPriority w:val="99"/>
    <w:semiHidden/>
    <w:unhideWhenUsed/>
    <w:rsid w:val="00AC3054"/>
    <w:pPr>
      <w:spacing w:before="100" w:beforeAutospacing="1" w:after="100" w:afterAutospacing="1" w:line="240" w:lineRule="auto"/>
    </w:pPr>
    <w:rPr>
      <w:rFonts w:ascii="Times New Roman" w:eastAsiaTheme="minorHAnsi" w:hAnsi="Times New Roman"/>
      <w:sz w:val="24"/>
      <w:szCs w:val="24"/>
      <w:lang w:val="en-US" w:eastAsia="es-ES"/>
    </w:rPr>
  </w:style>
  <w:style w:type="paragraph" w:styleId="Textodeglobo">
    <w:name w:val="Balloon Text"/>
    <w:basedOn w:val="Normal"/>
    <w:link w:val="TextodegloboCar"/>
    <w:uiPriority w:val="99"/>
    <w:semiHidden/>
    <w:unhideWhenUsed/>
    <w:rsid w:val="000D36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3697"/>
    <w:rPr>
      <w:rFonts w:ascii="Segoe UI" w:eastAsia="Calibri" w:hAnsi="Segoe UI" w:cs="Segoe UI"/>
      <w:sz w:val="18"/>
      <w:szCs w:val="18"/>
      <w:lang w:val="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5920"/>
    <w:pPr>
      <w:spacing w:after="200" w:line="276" w:lineRule="auto"/>
    </w:pPr>
    <w:rPr>
      <w:rFonts w:ascii="Calibri" w:eastAsia="Calibri" w:hAnsi="Calibri" w:cs="Times New Roman"/>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3"/>
    <w:basedOn w:val="Normal"/>
    <w:link w:val="PrrafodelistaCar"/>
    <w:uiPriority w:val="34"/>
    <w:qFormat/>
    <w:rsid w:val="00C25920"/>
    <w:pPr>
      <w:ind w:left="720"/>
      <w:contextualSpacing/>
    </w:pPr>
  </w:style>
  <w:style w:type="paragraph" w:styleId="Textonotapie">
    <w:name w:val="footnote text"/>
    <w:aliases w:val="Footnote Text Char Char Char Char Char,Footnote Text Char Char Char Char,Ref. de nota al pie1,FA Fu,texto de nota al pie,Footnote reference,Footnote Text Char Char Char,Footnote Text Cha,FA Fußnotentext,FA Fuﬂnotentext,FA Fu?notentext"/>
    <w:basedOn w:val="Normal"/>
    <w:link w:val="TextonotapieCar"/>
    <w:unhideWhenUsed/>
    <w:rsid w:val="00C25920"/>
    <w:pPr>
      <w:spacing w:after="0" w:line="240" w:lineRule="auto"/>
    </w:pPr>
    <w:rPr>
      <w:sz w:val="20"/>
      <w:szCs w:val="20"/>
    </w:rPr>
  </w:style>
  <w:style w:type="character" w:customStyle="1" w:styleId="TextonotapieCar">
    <w:name w:val="Texto nota pie Car"/>
    <w:aliases w:val="Footnote Text Char Char Char Char Char Car,Footnote Text Char Char Char Char Car,Ref. de nota al pie1 Car,FA Fu Car,texto de nota al pie Car,Footnote reference Car,Footnote Text Char Char Char Car,Footnote Text Cha Car"/>
    <w:basedOn w:val="Fuentedeprrafopredeter"/>
    <w:link w:val="Textonotapie"/>
    <w:rsid w:val="00C25920"/>
    <w:rPr>
      <w:rFonts w:ascii="Calibri" w:eastAsia="Calibri" w:hAnsi="Calibri" w:cs="Times New Roman"/>
      <w:sz w:val="20"/>
      <w:szCs w:val="20"/>
      <w:lang w:val="es-ES"/>
    </w:rPr>
  </w:style>
  <w:style w:type="character" w:styleId="Refdenotaalpie">
    <w:name w:val="footnote reference"/>
    <w:aliases w:val="Texto de nota al pie"/>
    <w:basedOn w:val="Fuentedeprrafopredeter"/>
    <w:unhideWhenUsed/>
    <w:rsid w:val="00C25920"/>
    <w:rPr>
      <w:vertAlign w:val="superscript"/>
    </w:rPr>
  </w:style>
  <w:style w:type="character" w:customStyle="1" w:styleId="PrrafodelistaCar">
    <w:name w:val="Párrafo de lista Car"/>
    <w:aliases w:val="titulo 3 Car"/>
    <w:link w:val="Prrafodelista"/>
    <w:uiPriority w:val="34"/>
    <w:locked/>
    <w:rsid w:val="00C25920"/>
    <w:rPr>
      <w:rFonts w:ascii="Calibri" w:eastAsia="Calibri" w:hAnsi="Calibri" w:cs="Times New Roman"/>
      <w:lang w:val="es-ES"/>
    </w:rPr>
  </w:style>
  <w:style w:type="paragraph" w:styleId="Piedepgina">
    <w:name w:val="footer"/>
    <w:basedOn w:val="Normal"/>
    <w:link w:val="PiedepginaCar"/>
    <w:uiPriority w:val="99"/>
    <w:unhideWhenUsed/>
    <w:rsid w:val="00C25920"/>
    <w:pPr>
      <w:tabs>
        <w:tab w:val="center" w:pos="4153"/>
        <w:tab w:val="right" w:pos="8306"/>
      </w:tabs>
      <w:spacing w:after="0" w:line="240" w:lineRule="auto"/>
    </w:pPr>
  </w:style>
  <w:style w:type="character" w:customStyle="1" w:styleId="PiedepginaCar">
    <w:name w:val="Pie de página Car"/>
    <w:basedOn w:val="Fuentedeprrafopredeter"/>
    <w:link w:val="Piedepgina"/>
    <w:uiPriority w:val="99"/>
    <w:rsid w:val="00C25920"/>
    <w:rPr>
      <w:rFonts w:ascii="Calibri" w:eastAsia="Calibri" w:hAnsi="Calibri" w:cs="Times New Roman"/>
      <w:lang w:val="es-ES"/>
    </w:rPr>
  </w:style>
  <w:style w:type="character" w:styleId="Nmerodepgina">
    <w:name w:val="page number"/>
    <w:basedOn w:val="Fuentedeprrafopredeter"/>
    <w:uiPriority w:val="99"/>
    <w:semiHidden/>
    <w:unhideWhenUsed/>
    <w:rsid w:val="00C25920"/>
  </w:style>
  <w:style w:type="paragraph" w:styleId="NormalWeb">
    <w:name w:val="Normal (Web)"/>
    <w:basedOn w:val="Normal"/>
    <w:uiPriority w:val="99"/>
    <w:semiHidden/>
    <w:unhideWhenUsed/>
    <w:rsid w:val="00AC3054"/>
    <w:pPr>
      <w:spacing w:before="100" w:beforeAutospacing="1" w:after="100" w:afterAutospacing="1" w:line="240" w:lineRule="auto"/>
    </w:pPr>
    <w:rPr>
      <w:rFonts w:ascii="Times New Roman" w:eastAsiaTheme="minorHAnsi" w:hAnsi="Times New Roman"/>
      <w:sz w:val="24"/>
      <w:szCs w:val="24"/>
      <w:lang w:val="en-US" w:eastAsia="es-ES"/>
    </w:rPr>
  </w:style>
  <w:style w:type="paragraph" w:styleId="Textodeglobo">
    <w:name w:val="Balloon Text"/>
    <w:basedOn w:val="Normal"/>
    <w:link w:val="TextodegloboCar"/>
    <w:uiPriority w:val="99"/>
    <w:semiHidden/>
    <w:unhideWhenUsed/>
    <w:rsid w:val="000D369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D3697"/>
    <w:rPr>
      <w:rFonts w:ascii="Segoe UI" w:eastAsia="Calibr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168053">
      <w:bodyDiv w:val="1"/>
      <w:marLeft w:val="0"/>
      <w:marRight w:val="0"/>
      <w:marTop w:val="0"/>
      <w:marBottom w:val="0"/>
      <w:divBdr>
        <w:top w:val="none" w:sz="0" w:space="0" w:color="auto"/>
        <w:left w:val="none" w:sz="0" w:space="0" w:color="auto"/>
        <w:bottom w:val="none" w:sz="0" w:space="0" w:color="auto"/>
        <w:right w:val="none" w:sz="0" w:space="0" w:color="auto"/>
      </w:divBdr>
    </w:div>
    <w:div w:id="62724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17514C-A5B9-4FBA-BC85-7636CD4ED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4043</Words>
  <Characters>22239</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Camila Uribe Sanabria</dc:creator>
  <cp:lastModifiedBy>usuario</cp:lastModifiedBy>
  <cp:revision>2</cp:revision>
  <cp:lastPrinted>2015-05-21T23:09:00Z</cp:lastPrinted>
  <dcterms:created xsi:type="dcterms:W3CDTF">2015-05-25T22:05:00Z</dcterms:created>
  <dcterms:modified xsi:type="dcterms:W3CDTF">2015-05-25T22:05:00Z</dcterms:modified>
</cp:coreProperties>
</file>