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29" w:rsidRPr="00A37F15" w:rsidRDefault="00944129" w:rsidP="00944129">
      <w:pPr>
        <w:spacing w:after="0" w:line="240" w:lineRule="auto"/>
        <w:jc w:val="center"/>
        <w:rPr>
          <w:rFonts w:ascii="Arial Narrow" w:hAnsi="Arial Narrow" w:cs="Arial"/>
          <w:b/>
          <w:sz w:val="24"/>
          <w:szCs w:val="24"/>
          <w:lang w:val="es-ES_tradnl"/>
        </w:rPr>
      </w:pPr>
      <w:bookmarkStart w:id="0" w:name="_GoBack"/>
      <w:bookmarkEnd w:id="0"/>
    </w:p>
    <w:p w:rsidR="00944129" w:rsidRPr="00A37F15" w:rsidRDefault="00944129" w:rsidP="00944129">
      <w:pPr>
        <w:spacing w:after="0" w:line="240" w:lineRule="auto"/>
        <w:contextualSpacing/>
        <w:jc w:val="center"/>
        <w:rPr>
          <w:rFonts w:ascii="Arial Narrow" w:hAnsi="Arial Narrow" w:cs="Arial"/>
          <w:b/>
          <w:sz w:val="24"/>
          <w:szCs w:val="24"/>
        </w:rPr>
      </w:pPr>
      <w:r w:rsidRPr="00A37F15">
        <w:rPr>
          <w:rFonts w:ascii="Arial Narrow" w:hAnsi="Arial Narrow" w:cs="Arial"/>
          <w:b/>
          <w:sz w:val="24"/>
          <w:szCs w:val="24"/>
        </w:rPr>
        <w:t xml:space="preserve">INFORME DE PONENCIA </w:t>
      </w:r>
      <w:r w:rsidR="000F637A">
        <w:rPr>
          <w:rFonts w:ascii="Arial Narrow" w:hAnsi="Arial Narrow" w:cs="Arial"/>
          <w:b/>
          <w:sz w:val="24"/>
          <w:szCs w:val="24"/>
        </w:rPr>
        <w:t>PRIMER</w:t>
      </w:r>
      <w:r w:rsidRPr="00A37F15">
        <w:rPr>
          <w:rFonts w:ascii="Arial Narrow" w:hAnsi="Arial Narrow" w:cs="Arial"/>
          <w:b/>
          <w:sz w:val="24"/>
          <w:szCs w:val="24"/>
        </w:rPr>
        <w:t xml:space="preserve"> DEBATE SEGUNDA VUELTA AL PROYECTO DE ACTO LEGISLATIVO</w:t>
      </w:r>
      <w:r w:rsidR="00B472FD">
        <w:rPr>
          <w:rFonts w:ascii="Arial Narrow" w:hAnsi="Arial Narrow" w:cs="Arial"/>
          <w:b/>
          <w:sz w:val="24"/>
          <w:szCs w:val="24"/>
        </w:rPr>
        <w:t xml:space="preserve"> </w:t>
      </w:r>
      <w:r w:rsidRPr="00A37F15">
        <w:rPr>
          <w:rFonts w:ascii="Arial Narrow" w:hAnsi="Arial Narrow" w:cs="Arial"/>
          <w:b/>
          <w:sz w:val="24"/>
          <w:szCs w:val="24"/>
        </w:rPr>
        <w:t>167 de 2014 Cámara</w:t>
      </w:r>
      <w:r w:rsidR="003727D1" w:rsidRPr="00A37F15">
        <w:rPr>
          <w:rFonts w:ascii="Arial Narrow" w:hAnsi="Arial Narrow" w:cs="Arial"/>
          <w:b/>
          <w:sz w:val="24"/>
          <w:szCs w:val="24"/>
        </w:rPr>
        <w:t>,</w:t>
      </w:r>
      <w:r w:rsidR="00B472FD">
        <w:rPr>
          <w:rFonts w:ascii="Arial Narrow" w:hAnsi="Arial Narrow" w:cs="Arial"/>
          <w:b/>
          <w:sz w:val="24"/>
          <w:szCs w:val="24"/>
        </w:rPr>
        <w:t xml:space="preserve"> 0</w:t>
      </w:r>
      <w:r w:rsidR="003727D1" w:rsidRPr="00A37F15">
        <w:rPr>
          <w:rFonts w:ascii="Arial Narrow" w:hAnsi="Arial Narrow" w:cs="Arial"/>
          <w:b/>
          <w:sz w:val="24"/>
          <w:szCs w:val="24"/>
        </w:rPr>
        <w:t xml:space="preserve">22 de 2014 Senado </w:t>
      </w:r>
      <w:r w:rsidRPr="00A37F15">
        <w:rPr>
          <w:rFonts w:ascii="Arial Narrow" w:hAnsi="Arial Narrow" w:cs="Arial"/>
          <w:b/>
          <w:sz w:val="24"/>
          <w:szCs w:val="24"/>
        </w:rPr>
        <w:t>“Por el cual se reforma el artículo 221 de la Constitución Política de Colombia”</w:t>
      </w:r>
    </w:p>
    <w:p w:rsidR="00944129" w:rsidRPr="00A37F15" w:rsidRDefault="00944129" w:rsidP="00944129">
      <w:pPr>
        <w:spacing w:after="0" w:line="240" w:lineRule="auto"/>
        <w:contextualSpacing/>
        <w:jc w:val="center"/>
        <w:rPr>
          <w:rFonts w:ascii="Arial Narrow" w:hAnsi="Arial Narrow" w:cs="Arial"/>
          <w:sz w:val="24"/>
          <w:szCs w:val="24"/>
        </w:rPr>
      </w:pPr>
    </w:p>
    <w:p w:rsidR="00944129" w:rsidRPr="00A37F15" w:rsidRDefault="00944129" w:rsidP="00944129">
      <w:pPr>
        <w:spacing w:after="0" w:line="240" w:lineRule="auto"/>
        <w:contextualSpacing/>
        <w:rPr>
          <w:rFonts w:ascii="Arial Narrow" w:hAnsi="Arial Narrow" w:cs="Arial"/>
          <w:sz w:val="24"/>
          <w:szCs w:val="24"/>
        </w:rPr>
      </w:pPr>
    </w:p>
    <w:p w:rsidR="00944129" w:rsidRPr="00A37F15" w:rsidRDefault="00944129" w:rsidP="00944129">
      <w:pPr>
        <w:spacing w:after="0" w:line="240" w:lineRule="auto"/>
        <w:contextualSpacing/>
        <w:rPr>
          <w:rFonts w:ascii="Arial Narrow" w:hAnsi="Arial Narrow" w:cs="Arial"/>
          <w:sz w:val="24"/>
          <w:szCs w:val="24"/>
        </w:rPr>
      </w:pPr>
    </w:p>
    <w:p w:rsidR="00944129" w:rsidRPr="00A37F15" w:rsidRDefault="00944129" w:rsidP="00944129">
      <w:pPr>
        <w:spacing w:after="0" w:line="240" w:lineRule="auto"/>
        <w:contextualSpacing/>
        <w:rPr>
          <w:rFonts w:ascii="Arial Narrow" w:hAnsi="Arial Narrow" w:cs="Arial"/>
          <w:sz w:val="24"/>
          <w:szCs w:val="24"/>
        </w:rPr>
      </w:pPr>
    </w:p>
    <w:p w:rsidR="00944129" w:rsidRPr="00A37F15" w:rsidRDefault="00EC62CC" w:rsidP="00944129">
      <w:pPr>
        <w:spacing w:after="0" w:line="240" w:lineRule="auto"/>
        <w:contextualSpacing/>
        <w:rPr>
          <w:rFonts w:ascii="Arial Narrow" w:hAnsi="Arial Narrow" w:cs="Arial"/>
          <w:sz w:val="24"/>
          <w:szCs w:val="24"/>
        </w:rPr>
      </w:pPr>
      <w:r>
        <w:rPr>
          <w:rFonts w:ascii="Arial Narrow" w:hAnsi="Arial Narrow" w:cs="Arial"/>
          <w:sz w:val="24"/>
          <w:szCs w:val="24"/>
        </w:rPr>
        <w:t xml:space="preserve">Bogotá, D.C, Mayo </w:t>
      </w:r>
      <w:r w:rsidR="00944129" w:rsidRPr="00A37F15">
        <w:rPr>
          <w:rFonts w:ascii="Arial Narrow" w:hAnsi="Arial Narrow" w:cs="Arial"/>
          <w:sz w:val="24"/>
          <w:szCs w:val="24"/>
        </w:rPr>
        <w:t xml:space="preserve"> de 2015</w:t>
      </w:r>
    </w:p>
    <w:p w:rsidR="00944129" w:rsidRPr="00A37F15" w:rsidRDefault="00094349" w:rsidP="00944129">
      <w:pPr>
        <w:spacing w:after="0" w:line="240" w:lineRule="auto"/>
        <w:contextualSpacing/>
        <w:rPr>
          <w:rFonts w:ascii="Arial Narrow" w:hAnsi="Arial Narrow" w:cs="Arial"/>
          <w:sz w:val="24"/>
          <w:szCs w:val="24"/>
        </w:rPr>
      </w:pPr>
      <w:r w:rsidRPr="00A37F15">
        <w:rPr>
          <w:rFonts w:ascii="Arial Narrow" w:hAnsi="Arial Narrow" w:cs="Arial"/>
          <w:sz w:val="24"/>
          <w:szCs w:val="24"/>
        </w:rPr>
        <w:t>H. Representante</w:t>
      </w:r>
    </w:p>
    <w:p w:rsidR="00944129" w:rsidRPr="00A37F15" w:rsidRDefault="00094349" w:rsidP="00944129">
      <w:pPr>
        <w:spacing w:after="0" w:line="240" w:lineRule="auto"/>
        <w:contextualSpacing/>
        <w:rPr>
          <w:rFonts w:ascii="Arial Narrow" w:hAnsi="Arial Narrow" w:cs="Arial"/>
          <w:b/>
          <w:sz w:val="24"/>
          <w:szCs w:val="24"/>
        </w:rPr>
      </w:pPr>
      <w:r w:rsidRPr="00A37F15">
        <w:rPr>
          <w:rFonts w:ascii="Arial Narrow" w:hAnsi="Arial Narrow" w:cs="Arial"/>
          <w:b/>
          <w:sz w:val="24"/>
          <w:szCs w:val="24"/>
        </w:rPr>
        <w:t>JAIME BUENAHORA FEBRES</w:t>
      </w:r>
    </w:p>
    <w:p w:rsidR="00944129" w:rsidRPr="00A37F15" w:rsidRDefault="00944129" w:rsidP="00944129">
      <w:pPr>
        <w:spacing w:after="0" w:line="240" w:lineRule="auto"/>
        <w:contextualSpacing/>
        <w:rPr>
          <w:rFonts w:ascii="Arial Narrow" w:hAnsi="Arial Narrow" w:cs="Arial"/>
          <w:sz w:val="24"/>
          <w:szCs w:val="24"/>
        </w:rPr>
      </w:pPr>
      <w:r w:rsidRPr="00A37F15">
        <w:rPr>
          <w:rFonts w:ascii="Arial Narrow" w:hAnsi="Arial Narrow" w:cs="Arial"/>
          <w:sz w:val="24"/>
          <w:szCs w:val="24"/>
        </w:rPr>
        <w:t>Presidente Comisión Primera</w:t>
      </w:r>
    </w:p>
    <w:p w:rsidR="00944129" w:rsidRPr="00A37F15" w:rsidRDefault="00E66E94" w:rsidP="00944129">
      <w:pPr>
        <w:spacing w:after="0" w:line="240" w:lineRule="auto"/>
        <w:contextualSpacing/>
        <w:rPr>
          <w:rFonts w:ascii="Arial Narrow" w:hAnsi="Arial Narrow" w:cs="Arial"/>
          <w:sz w:val="24"/>
          <w:szCs w:val="24"/>
          <w:lang w:val="es-ES_tradnl"/>
        </w:rPr>
      </w:pPr>
      <w:r w:rsidRPr="00A37F15">
        <w:rPr>
          <w:rFonts w:ascii="Arial Narrow" w:hAnsi="Arial Narrow" w:cs="Arial"/>
          <w:sz w:val="24"/>
          <w:szCs w:val="24"/>
        </w:rPr>
        <w:t>C</w:t>
      </w:r>
      <w:proofErr w:type="spellStart"/>
      <w:r w:rsidRPr="00A37F15">
        <w:rPr>
          <w:rFonts w:ascii="Arial Narrow" w:hAnsi="Arial Narrow" w:cs="Arial"/>
          <w:sz w:val="24"/>
          <w:szCs w:val="24"/>
          <w:lang w:val="es-ES_tradnl"/>
        </w:rPr>
        <w:t>ámara</w:t>
      </w:r>
      <w:proofErr w:type="spellEnd"/>
      <w:r w:rsidRPr="00A37F15">
        <w:rPr>
          <w:rFonts w:ascii="Arial Narrow" w:hAnsi="Arial Narrow" w:cs="Arial"/>
          <w:sz w:val="24"/>
          <w:szCs w:val="24"/>
          <w:lang w:val="es-ES_tradnl"/>
        </w:rPr>
        <w:t xml:space="preserve"> de Representantes</w:t>
      </w:r>
    </w:p>
    <w:p w:rsidR="00D75F1A" w:rsidRPr="00A37F15" w:rsidRDefault="00E66E94" w:rsidP="00944129">
      <w:pPr>
        <w:spacing w:after="0" w:line="240" w:lineRule="auto"/>
        <w:contextualSpacing/>
        <w:rPr>
          <w:rFonts w:ascii="Arial Narrow" w:hAnsi="Arial Narrow" w:cs="Arial"/>
          <w:sz w:val="24"/>
          <w:szCs w:val="24"/>
          <w:lang w:val="es-ES_tradnl"/>
        </w:rPr>
      </w:pPr>
      <w:r w:rsidRPr="00A37F15">
        <w:rPr>
          <w:rFonts w:ascii="Arial Narrow" w:hAnsi="Arial Narrow" w:cs="Arial"/>
          <w:sz w:val="24"/>
          <w:szCs w:val="24"/>
          <w:lang w:val="es-ES_tradnl"/>
        </w:rPr>
        <w:t>Congreso de la República</w:t>
      </w:r>
    </w:p>
    <w:p w:rsidR="00944129" w:rsidRPr="00A37F15" w:rsidRDefault="00944129" w:rsidP="00944129">
      <w:pPr>
        <w:spacing w:after="0" w:line="240" w:lineRule="auto"/>
        <w:contextualSpacing/>
        <w:rPr>
          <w:rFonts w:ascii="Arial Narrow" w:hAnsi="Arial Narrow" w:cs="Arial"/>
          <w:sz w:val="24"/>
          <w:szCs w:val="24"/>
        </w:rPr>
      </w:pPr>
      <w:r w:rsidRPr="00A37F15">
        <w:rPr>
          <w:rFonts w:ascii="Arial Narrow" w:hAnsi="Arial Narrow" w:cs="Arial"/>
          <w:sz w:val="24"/>
          <w:szCs w:val="24"/>
        </w:rPr>
        <w:t>Ciudad</w:t>
      </w:r>
    </w:p>
    <w:p w:rsidR="00944129" w:rsidRPr="00A37F15" w:rsidRDefault="00944129" w:rsidP="00944129">
      <w:pPr>
        <w:spacing w:after="0" w:line="240" w:lineRule="auto"/>
        <w:contextualSpacing/>
        <w:rPr>
          <w:rFonts w:ascii="Arial Narrow" w:hAnsi="Arial Narrow" w:cs="Arial"/>
          <w:sz w:val="24"/>
          <w:szCs w:val="24"/>
        </w:rPr>
      </w:pPr>
    </w:p>
    <w:p w:rsidR="00944129" w:rsidRPr="00A37F15" w:rsidRDefault="00944129" w:rsidP="00944129">
      <w:pPr>
        <w:spacing w:after="0" w:line="240" w:lineRule="auto"/>
        <w:contextualSpacing/>
        <w:rPr>
          <w:rFonts w:ascii="Arial Narrow" w:hAnsi="Arial Narrow" w:cs="Arial"/>
          <w:sz w:val="24"/>
          <w:szCs w:val="24"/>
        </w:rPr>
      </w:pPr>
    </w:p>
    <w:p w:rsidR="00944129" w:rsidRPr="00A37F15" w:rsidRDefault="00944129" w:rsidP="00944129">
      <w:pPr>
        <w:spacing w:after="0" w:line="240" w:lineRule="auto"/>
        <w:contextualSpacing/>
        <w:jc w:val="both"/>
        <w:rPr>
          <w:rFonts w:ascii="Arial Narrow" w:hAnsi="Arial Narrow" w:cs="Arial"/>
          <w:b/>
          <w:sz w:val="24"/>
          <w:szCs w:val="24"/>
        </w:rPr>
      </w:pPr>
      <w:proofErr w:type="spellStart"/>
      <w:r w:rsidRPr="00A37F15">
        <w:rPr>
          <w:rFonts w:ascii="Arial Narrow" w:hAnsi="Arial Narrow" w:cs="Arial"/>
          <w:b/>
          <w:sz w:val="24"/>
          <w:szCs w:val="24"/>
        </w:rPr>
        <w:t>Ref</w:t>
      </w:r>
      <w:r w:rsidR="00C36897" w:rsidRPr="00A37F15">
        <w:rPr>
          <w:rFonts w:ascii="Arial Narrow" w:hAnsi="Arial Narrow" w:cs="Arial"/>
          <w:b/>
          <w:sz w:val="24"/>
          <w:szCs w:val="24"/>
        </w:rPr>
        <w:t>.</w:t>
      </w:r>
      <w:proofErr w:type="gramStart"/>
      <w:r w:rsidRPr="00A37F15">
        <w:rPr>
          <w:rFonts w:ascii="Arial Narrow" w:hAnsi="Arial Narrow" w:cs="Arial"/>
          <w:b/>
          <w:sz w:val="24"/>
          <w:szCs w:val="24"/>
        </w:rPr>
        <w:t>:Informe</w:t>
      </w:r>
      <w:proofErr w:type="spellEnd"/>
      <w:proofErr w:type="gramEnd"/>
      <w:r w:rsidRPr="00A37F15">
        <w:rPr>
          <w:rFonts w:ascii="Arial Narrow" w:hAnsi="Arial Narrow" w:cs="Arial"/>
          <w:b/>
          <w:sz w:val="24"/>
          <w:szCs w:val="24"/>
        </w:rPr>
        <w:t xml:space="preserve"> de ponencia para </w:t>
      </w:r>
      <w:r w:rsidR="00EC62CC">
        <w:rPr>
          <w:rFonts w:ascii="Arial Narrow" w:hAnsi="Arial Narrow" w:cs="Arial"/>
          <w:b/>
          <w:sz w:val="24"/>
          <w:szCs w:val="24"/>
        </w:rPr>
        <w:t>Primer Debate en Segunda Vuelta al P</w:t>
      </w:r>
      <w:r w:rsidRPr="00A37F15">
        <w:rPr>
          <w:rFonts w:ascii="Arial Narrow" w:hAnsi="Arial Narrow" w:cs="Arial"/>
          <w:b/>
          <w:sz w:val="24"/>
          <w:szCs w:val="24"/>
        </w:rPr>
        <w:t>royecto de Acto Legislativo 167 de 2014 Cámara</w:t>
      </w:r>
      <w:r w:rsidR="00B472FD">
        <w:rPr>
          <w:rFonts w:ascii="Arial Narrow" w:hAnsi="Arial Narrow" w:cs="Arial"/>
          <w:b/>
          <w:sz w:val="24"/>
          <w:szCs w:val="24"/>
        </w:rPr>
        <w:t>, 0</w:t>
      </w:r>
      <w:r w:rsidR="00B472FD" w:rsidRPr="00A37F15">
        <w:rPr>
          <w:rFonts w:ascii="Arial Narrow" w:hAnsi="Arial Narrow" w:cs="Arial"/>
          <w:b/>
          <w:sz w:val="24"/>
          <w:szCs w:val="24"/>
        </w:rPr>
        <w:t>22 de 2014 Senado</w:t>
      </w:r>
      <w:r w:rsidRPr="00A37F15">
        <w:rPr>
          <w:rFonts w:ascii="Arial Narrow" w:hAnsi="Arial Narrow" w:cs="Arial"/>
          <w:b/>
          <w:sz w:val="24"/>
          <w:szCs w:val="24"/>
        </w:rPr>
        <w:t xml:space="preserve"> “Por el cual se reforma el artículo 221 de la Constitución Política de Colombia.”</w:t>
      </w:r>
    </w:p>
    <w:p w:rsidR="00944129" w:rsidRPr="00A37F15" w:rsidRDefault="00944129" w:rsidP="00944129">
      <w:pPr>
        <w:spacing w:after="0" w:line="240" w:lineRule="auto"/>
        <w:contextualSpacing/>
        <w:rPr>
          <w:rFonts w:ascii="Arial Narrow" w:hAnsi="Arial Narrow" w:cs="Arial"/>
          <w:sz w:val="24"/>
          <w:szCs w:val="24"/>
        </w:rPr>
      </w:pPr>
    </w:p>
    <w:p w:rsidR="00944129" w:rsidRPr="00A37F15" w:rsidRDefault="00944129" w:rsidP="00944129">
      <w:pPr>
        <w:spacing w:after="0" w:line="240" w:lineRule="auto"/>
        <w:contextualSpacing/>
        <w:jc w:val="both"/>
        <w:rPr>
          <w:rFonts w:ascii="Arial Narrow" w:hAnsi="Arial Narrow" w:cs="Arial"/>
          <w:sz w:val="24"/>
          <w:szCs w:val="24"/>
        </w:rPr>
      </w:pPr>
    </w:p>
    <w:p w:rsidR="00944129" w:rsidRPr="00A37F15" w:rsidRDefault="00944129" w:rsidP="00944129">
      <w:pPr>
        <w:spacing w:after="0" w:line="240" w:lineRule="auto"/>
        <w:contextualSpacing/>
        <w:jc w:val="both"/>
        <w:rPr>
          <w:rFonts w:ascii="Arial Narrow" w:hAnsi="Arial Narrow" w:cs="Arial"/>
          <w:sz w:val="24"/>
          <w:szCs w:val="24"/>
        </w:rPr>
      </w:pPr>
      <w:r w:rsidRPr="00A37F15">
        <w:rPr>
          <w:rFonts w:ascii="Arial Narrow" w:hAnsi="Arial Narrow" w:cs="Arial"/>
          <w:sz w:val="24"/>
          <w:szCs w:val="24"/>
        </w:rPr>
        <w:t>Honorable Presidente:</w:t>
      </w:r>
    </w:p>
    <w:p w:rsidR="00944129" w:rsidRPr="00A37F15" w:rsidRDefault="00944129" w:rsidP="00944129">
      <w:pPr>
        <w:spacing w:after="0" w:line="240" w:lineRule="auto"/>
        <w:contextualSpacing/>
        <w:jc w:val="both"/>
        <w:rPr>
          <w:rFonts w:ascii="Arial Narrow" w:hAnsi="Arial Narrow" w:cs="Arial"/>
          <w:b/>
          <w:sz w:val="24"/>
          <w:szCs w:val="24"/>
        </w:rPr>
      </w:pPr>
    </w:p>
    <w:p w:rsidR="00944129" w:rsidRPr="00A37F15" w:rsidRDefault="00944129" w:rsidP="00944129">
      <w:pPr>
        <w:spacing w:after="0" w:line="240" w:lineRule="auto"/>
        <w:jc w:val="both"/>
        <w:rPr>
          <w:rFonts w:ascii="Arial Narrow" w:hAnsi="Arial Narrow" w:cs="Arial"/>
          <w:sz w:val="24"/>
          <w:szCs w:val="24"/>
        </w:rPr>
      </w:pPr>
      <w:r w:rsidRPr="00A37F15">
        <w:rPr>
          <w:rFonts w:ascii="Arial Narrow" w:hAnsi="Arial Narrow" w:cs="Arial"/>
          <w:sz w:val="24"/>
          <w:szCs w:val="24"/>
        </w:rPr>
        <w:t xml:space="preserve">Atendiendo la honrosa designación que me ha hecho como ponente, y en cumplimiento a lo dispuesto en la Ley 5ª de 1992, me permito rendir ponencia positiva para </w:t>
      </w:r>
      <w:r w:rsidR="0054436E">
        <w:rPr>
          <w:rFonts w:ascii="Arial Narrow" w:hAnsi="Arial Narrow" w:cs="Arial"/>
          <w:sz w:val="24"/>
          <w:szCs w:val="24"/>
        </w:rPr>
        <w:t>primer</w:t>
      </w:r>
      <w:r w:rsidRPr="00A37F15">
        <w:rPr>
          <w:rFonts w:ascii="Arial Narrow" w:hAnsi="Arial Narrow" w:cs="Arial"/>
          <w:sz w:val="24"/>
          <w:szCs w:val="24"/>
        </w:rPr>
        <w:t xml:space="preserve"> debate en segunda vuelta al </w:t>
      </w:r>
      <w:bookmarkStart w:id="1" w:name="OLE_LINK21"/>
      <w:bookmarkStart w:id="2" w:name="OLE_LINK22"/>
      <w:r w:rsidRPr="00A37F15">
        <w:rPr>
          <w:rFonts w:ascii="Arial Narrow" w:hAnsi="Arial Narrow" w:cs="Arial"/>
          <w:sz w:val="24"/>
          <w:szCs w:val="24"/>
        </w:rPr>
        <w:t>Proyecto de Acto Le</w:t>
      </w:r>
      <w:r w:rsidR="00B472FD">
        <w:rPr>
          <w:rFonts w:ascii="Arial Narrow" w:hAnsi="Arial Narrow" w:cs="Arial"/>
          <w:sz w:val="24"/>
          <w:szCs w:val="24"/>
        </w:rPr>
        <w:t>gislativo No.167 de 2014 Cámara / 0</w:t>
      </w:r>
      <w:r w:rsidR="00D75F1A" w:rsidRPr="00A37F15">
        <w:rPr>
          <w:rFonts w:ascii="Arial Narrow" w:hAnsi="Arial Narrow" w:cs="Arial"/>
          <w:sz w:val="24"/>
          <w:szCs w:val="24"/>
        </w:rPr>
        <w:t>22</w:t>
      </w:r>
      <w:r w:rsidR="00D75F1A" w:rsidRPr="00A37F15">
        <w:rPr>
          <w:rFonts w:ascii="Arial Narrow" w:hAnsi="Arial Narrow" w:cs="Arial"/>
          <w:bCs/>
          <w:color w:val="000000"/>
          <w:sz w:val="24"/>
          <w:szCs w:val="24"/>
        </w:rPr>
        <w:t xml:space="preserve"> de 2014 </w:t>
      </w:r>
      <w:proofErr w:type="spellStart"/>
      <w:r w:rsidR="00D75F1A" w:rsidRPr="00A37F15">
        <w:rPr>
          <w:rFonts w:ascii="Arial Narrow" w:hAnsi="Arial Narrow" w:cs="Arial"/>
          <w:bCs/>
          <w:color w:val="000000"/>
          <w:sz w:val="24"/>
          <w:szCs w:val="24"/>
        </w:rPr>
        <w:t>Senado</w:t>
      </w:r>
      <w:r w:rsidR="0054436E">
        <w:rPr>
          <w:rFonts w:ascii="Arial Narrow" w:hAnsi="Arial Narrow" w:cs="Arial"/>
          <w:bCs/>
          <w:color w:val="000000"/>
          <w:sz w:val="24"/>
          <w:szCs w:val="24"/>
        </w:rPr>
        <w:t>,</w:t>
      </w:r>
      <w:r w:rsidRPr="00A37F15">
        <w:rPr>
          <w:rFonts w:ascii="Arial Narrow" w:hAnsi="Arial Narrow" w:cs="Arial"/>
          <w:i/>
          <w:sz w:val="24"/>
          <w:szCs w:val="24"/>
        </w:rPr>
        <w:t>“</w:t>
      </w:r>
      <w:r w:rsidRPr="00A37F15">
        <w:rPr>
          <w:rFonts w:ascii="Arial Narrow" w:eastAsia="Helvetica" w:hAnsi="Arial Narrow" w:cs="Arial"/>
          <w:i/>
          <w:sz w:val="24"/>
          <w:szCs w:val="24"/>
        </w:rPr>
        <w:t>Por</w:t>
      </w:r>
      <w:proofErr w:type="spellEnd"/>
      <w:r w:rsidRPr="00A37F15">
        <w:rPr>
          <w:rFonts w:ascii="Arial Narrow" w:eastAsia="Helvetica" w:hAnsi="Arial Narrow" w:cs="Arial"/>
          <w:i/>
          <w:sz w:val="24"/>
          <w:szCs w:val="24"/>
        </w:rPr>
        <w:t xml:space="preserve"> el cual se reforma el artículo 221 de la Constitución Política de Colombia</w:t>
      </w:r>
      <w:r w:rsidRPr="00A37F15">
        <w:rPr>
          <w:rFonts w:ascii="Arial Narrow" w:hAnsi="Arial Narrow" w:cs="Arial"/>
          <w:i/>
          <w:iCs/>
          <w:sz w:val="24"/>
          <w:szCs w:val="24"/>
        </w:rPr>
        <w:t>”</w:t>
      </w:r>
      <w:bookmarkEnd w:id="1"/>
      <w:bookmarkEnd w:id="2"/>
      <w:r w:rsidRPr="00A37F15">
        <w:rPr>
          <w:rFonts w:ascii="Arial Narrow" w:hAnsi="Arial Narrow" w:cs="Arial"/>
          <w:i/>
          <w:iCs/>
          <w:sz w:val="24"/>
          <w:szCs w:val="24"/>
        </w:rPr>
        <w:t>.</w:t>
      </w:r>
    </w:p>
    <w:p w:rsidR="00944129" w:rsidRPr="00A37F15" w:rsidRDefault="00944129" w:rsidP="00944129">
      <w:pPr>
        <w:spacing w:after="0" w:line="240" w:lineRule="auto"/>
        <w:contextualSpacing/>
        <w:rPr>
          <w:rFonts w:ascii="Arial Narrow" w:hAnsi="Arial Narrow" w:cs="Arial"/>
          <w:sz w:val="24"/>
          <w:szCs w:val="24"/>
        </w:rPr>
      </w:pPr>
    </w:p>
    <w:p w:rsidR="00944129" w:rsidRPr="00A37F15" w:rsidRDefault="00944129" w:rsidP="00944129">
      <w:pPr>
        <w:spacing w:after="0" w:line="240" w:lineRule="auto"/>
        <w:jc w:val="both"/>
        <w:rPr>
          <w:rFonts w:ascii="Arial Narrow" w:hAnsi="Arial Narrow" w:cs="Arial"/>
          <w:sz w:val="24"/>
          <w:szCs w:val="24"/>
        </w:rPr>
      </w:pPr>
    </w:p>
    <w:p w:rsidR="00944129" w:rsidRPr="00A37F15" w:rsidRDefault="00944129" w:rsidP="00944129">
      <w:pPr>
        <w:spacing w:after="0" w:line="240" w:lineRule="auto"/>
        <w:jc w:val="both"/>
        <w:rPr>
          <w:rFonts w:ascii="Arial Narrow" w:hAnsi="Arial Narrow" w:cs="Arial"/>
          <w:sz w:val="24"/>
          <w:szCs w:val="24"/>
        </w:rPr>
      </w:pPr>
    </w:p>
    <w:p w:rsidR="00944129" w:rsidRPr="00A37F15" w:rsidRDefault="00944129" w:rsidP="00944129">
      <w:pPr>
        <w:spacing w:after="0" w:line="240" w:lineRule="auto"/>
        <w:jc w:val="both"/>
        <w:rPr>
          <w:rFonts w:ascii="Arial Narrow" w:hAnsi="Arial Narrow" w:cs="Arial"/>
          <w:sz w:val="24"/>
          <w:szCs w:val="24"/>
        </w:rPr>
      </w:pPr>
      <w:r w:rsidRPr="00A37F15">
        <w:rPr>
          <w:rFonts w:ascii="Arial Narrow" w:hAnsi="Arial Narrow" w:cs="Arial"/>
          <w:sz w:val="24"/>
          <w:szCs w:val="24"/>
        </w:rPr>
        <w:t>Cordialmente,</w:t>
      </w:r>
    </w:p>
    <w:p w:rsidR="00944129" w:rsidRPr="00A37F15" w:rsidRDefault="00944129" w:rsidP="00944129">
      <w:pPr>
        <w:spacing w:after="0" w:line="240" w:lineRule="auto"/>
        <w:rPr>
          <w:rFonts w:ascii="Arial Narrow" w:hAnsi="Arial Narrow" w:cs="Arial"/>
          <w:sz w:val="24"/>
          <w:szCs w:val="24"/>
        </w:rPr>
      </w:pPr>
    </w:p>
    <w:p w:rsidR="00944129" w:rsidRPr="00A37F15" w:rsidRDefault="00944129" w:rsidP="00944129">
      <w:pPr>
        <w:spacing w:after="0" w:line="240" w:lineRule="auto"/>
        <w:rPr>
          <w:rFonts w:ascii="Arial Narrow" w:hAnsi="Arial Narrow" w:cs="Arial"/>
          <w:sz w:val="24"/>
          <w:szCs w:val="24"/>
        </w:rPr>
      </w:pPr>
    </w:p>
    <w:p w:rsidR="00944129" w:rsidRPr="00A37F15" w:rsidRDefault="00944129" w:rsidP="00944129">
      <w:pPr>
        <w:spacing w:after="0" w:line="240" w:lineRule="auto"/>
        <w:rPr>
          <w:rFonts w:ascii="Arial Narrow" w:hAnsi="Arial Narrow" w:cs="Arial"/>
          <w:b/>
          <w:sz w:val="24"/>
          <w:szCs w:val="24"/>
        </w:rPr>
      </w:pPr>
    </w:p>
    <w:p w:rsidR="00944129" w:rsidRPr="00A37F15" w:rsidRDefault="00944129" w:rsidP="00944129">
      <w:pPr>
        <w:spacing w:after="0" w:line="240" w:lineRule="auto"/>
        <w:rPr>
          <w:rFonts w:ascii="Arial Narrow" w:hAnsi="Arial Narrow" w:cs="Arial"/>
          <w:b/>
          <w:sz w:val="24"/>
          <w:szCs w:val="24"/>
        </w:rPr>
      </w:pPr>
    </w:p>
    <w:p w:rsidR="00944129" w:rsidRPr="00A37F15" w:rsidRDefault="00944129" w:rsidP="00944129">
      <w:pPr>
        <w:spacing w:after="0" w:line="240" w:lineRule="auto"/>
        <w:rPr>
          <w:rFonts w:ascii="Arial Narrow" w:hAnsi="Arial Narrow" w:cs="Arial"/>
          <w:b/>
          <w:sz w:val="24"/>
          <w:szCs w:val="24"/>
        </w:rPr>
      </w:pPr>
    </w:p>
    <w:p w:rsidR="00944129" w:rsidRPr="00A37F15" w:rsidRDefault="00843E10" w:rsidP="00944129">
      <w:pPr>
        <w:spacing w:after="0" w:line="240" w:lineRule="auto"/>
        <w:rPr>
          <w:rFonts w:ascii="Arial Narrow" w:hAnsi="Arial Narrow" w:cs="Arial"/>
          <w:b/>
          <w:sz w:val="24"/>
          <w:szCs w:val="24"/>
        </w:rPr>
      </w:pPr>
      <w:r w:rsidRPr="00A37F15">
        <w:rPr>
          <w:rFonts w:ascii="Arial Narrow" w:hAnsi="Arial Narrow" w:cs="Arial"/>
          <w:b/>
          <w:sz w:val="24"/>
          <w:szCs w:val="24"/>
        </w:rPr>
        <w:t>OSCAR FERNANDO BRAVO REALPE</w:t>
      </w:r>
    </w:p>
    <w:p w:rsidR="00944129" w:rsidRPr="00A37F15" w:rsidRDefault="00B472FD" w:rsidP="00944129">
      <w:pPr>
        <w:spacing w:after="0" w:line="240" w:lineRule="auto"/>
        <w:rPr>
          <w:rFonts w:ascii="Arial Narrow" w:hAnsi="Arial Narrow" w:cs="Arial"/>
          <w:b/>
          <w:sz w:val="24"/>
          <w:szCs w:val="24"/>
        </w:rPr>
      </w:pPr>
      <w:r>
        <w:rPr>
          <w:rFonts w:ascii="Arial Narrow" w:hAnsi="Arial Narrow" w:cs="Arial"/>
          <w:sz w:val="24"/>
          <w:szCs w:val="24"/>
        </w:rPr>
        <w:t xml:space="preserve">Honorable </w:t>
      </w:r>
      <w:r w:rsidR="00D75F1A" w:rsidRPr="00A37F15">
        <w:rPr>
          <w:rFonts w:ascii="Arial Narrow" w:hAnsi="Arial Narrow" w:cs="Arial"/>
          <w:sz w:val="24"/>
          <w:szCs w:val="24"/>
        </w:rPr>
        <w:t xml:space="preserve">Representante </w:t>
      </w:r>
      <w:r w:rsidR="00944129" w:rsidRPr="00A37F15">
        <w:rPr>
          <w:rFonts w:ascii="Arial Narrow" w:hAnsi="Arial Narrow" w:cs="Arial"/>
          <w:sz w:val="24"/>
          <w:szCs w:val="24"/>
        </w:rPr>
        <w:t>Ponente</w:t>
      </w:r>
      <w:r w:rsidR="00944129" w:rsidRPr="00A37F15">
        <w:rPr>
          <w:rFonts w:ascii="Arial Narrow" w:hAnsi="Arial Narrow" w:cs="Arial"/>
          <w:b/>
          <w:sz w:val="24"/>
          <w:szCs w:val="24"/>
        </w:rPr>
        <w:tab/>
      </w:r>
      <w:r w:rsidR="00944129" w:rsidRPr="00A37F15">
        <w:rPr>
          <w:rFonts w:ascii="Arial Narrow" w:hAnsi="Arial Narrow" w:cs="Arial"/>
          <w:b/>
          <w:sz w:val="24"/>
          <w:szCs w:val="24"/>
        </w:rPr>
        <w:tab/>
      </w:r>
    </w:p>
    <w:p w:rsidR="00944129" w:rsidRPr="00A37F15" w:rsidRDefault="00944129" w:rsidP="00944129">
      <w:pPr>
        <w:spacing w:after="0" w:line="240" w:lineRule="auto"/>
        <w:jc w:val="center"/>
        <w:rPr>
          <w:rFonts w:ascii="Arial Narrow" w:hAnsi="Arial Narrow" w:cs="Arial"/>
          <w:b/>
          <w:sz w:val="24"/>
          <w:szCs w:val="24"/>
        </w:rPr>
      </w:pPr>
    </w:p>
    <w:p w:rsidR="00944129" w:rsidRPr="00A37F15" w:rsidRDefault="00944129" w:rsidP="00944129">
      <w:pPr>
        <w:spacing w:after="0" w:line="240" w:lineRule="auto"/>
        <w:jc w:val="center"/>
        <w:rPr>
          <w:rFonts w:ascii="Arial Narrow" w:hAnsi="Arial Narrow" w:cs="Arial"/>
          <w:b/>
          <w:sz w:val="24"/>
          <w:szCs w:val="24"/>
        </w:rPr>
      </w:pPr>
    </w:p>
    <w:p w:rsidR="00944129" w:rsidRPr="00A37F15" w:rsidRDefault="00944129" w:rsidP="00944129">
      <w:pPr>
        <w:rPr>
          <w:rFonts w:ascii="Arial Narrow" w:hAnsi="Arial Narrow" w:cs="Arial"/>
          <w:b/>
          <w:sz w:val="24"/>
          <w:szCs w:val="24"/>
        </w:rPr>
      </w:pPr>
      <w:r w:rsidRPr="00A37F15">
        <w:rPr>
          <w:rFonts w:ascii="Arial Narrow" w:hAnsi="Arial Narrow" w:cs="Arial"/>
          <w:b/>
          <w:sz w:val="24"/>
          <w:szCs w:val="24"/>
        </w:rPr>
        <w:br w:type="page"/>
      </w:r>
    </w:p>
    <w:p w:rsidR="00944129" w:rsidRPr="00A37F15" w:rsidRDefault="00944129" w:rsidP="00944129">
      <w:pPr>
        <w:spacing w:after="0" w:line="240" w:lineRule="auto"/>
        <w:jc w:val="center"/>
        <w:rPr>
          <w:rFonts w:ascii="Arial Narrow" w:hAnsi="Arial Narrow" w:cs="Arial"/>
          <w:b/>
          <w:iCs/>
          <w:sz w:val="24"/>
          <w:szCs w:val="24"/>
          <w:lang w:val="es-ES_tradnl"/>
        </w:rPr>
      </w:pPr>
      <w:r w:rsidRPr="00A37F15">
        <w:rPr>
          <w:rFonts w:ascii="Arial Narrow" w:hAnsi="Arial Narrow" w:cs="Arial"/>
          <w:b/>
          <w:sz w:val="24"/>
          <w:szCs w:val="24"/>
          <w:lang w:val="es-ES_tradnl"/>
        </w:rPr>
        <w:lastRenderedPageBreak/>
        <w:t xml:space="preserve">PONENCIA </w:t>
      </w:r>
      <w:r w:rsidR="001D65DE" w:rsidRPr="00A37F15">
        <w:rPr>
          <w:rFonts w:ascii="Arial Narrow" w:hAnsi="Arial Narrow" w:cs="Arial"/>
          <w:b/>
          <w:sz w:val="24"/>
          <w:szCs w:val="24"/>
          <w:lang w:val="es-ES_tradnl"/>
        </w:rPr>
        <w:t xml:space="preserve">PRIMER </w:t>
      </w:r>
      <w:r w:rsidRPr="00A37F15">
        <w:rPr>
          <w:rFonts w:ascii="Arial Narrow" w:hAnsi="Arial Narrow" w:cs="Arial"/>
          <w:b/>
          <w:sz w:val="24"/>
          <w:szCs w:val="24"/>
          <w:lang w:val="es-ES_tradnl"/>
        </w:rPr>
        <w:t>DEBATE</w:t>
      </w:r>
      <w:r w:rsidR="001D65DE" w:rsidRPr="00A37F15">
        <w:rPr>
          <w:rFonts w:ascii="Arial Narrow" w:hAnsi="Arial Narrow" w:cs="Arial"/>
          <w:b/>
          <w:sz w:val="24"/>
          <w:szCs w:val="24"/>
          <w:lang w:val="es-ES_tradnl"/>
        </w:rPr>
        <w:t xml:space="preserve"> EN CÁMARA</w:t>
      </w:r>
      <w:r w:rsidRPr="00A37F15">
        <w:rPr>
          <w:rFonts w:ascii="Arial Narrow" w:hAnsi="Arial Narrow" w:cs="Arial"/>
          <w:b/>
          <w:sz w:val="24"/>
          <w:szCs w:val="24"/>
          <w:lang w:val="es-ES_tradnl"/>
        </w:rPr>
        <w:t xml:space="preserve"> SEGUNDA VUELTA AL PROYECTO DEACTO LEGISLATIVO 167 DE 2014 CAMARA</w:t>
      </w:r>
      <w:r w:rsidR="00B472FD">
        <w:rPr>
          <w:rFonts w:ascii="Arial Narrow" w:hAnsi="Arial Narrow" w:cs="Arial"/>
          <w:b/>
          <w:sz w:val="24"/>
          <w:szCs w:val="24"/>
          <w:lang w:val="es-ES_tradnl"/>
        </w:rPr>
        <w:t>,</w:t>
      </w:r>
      <w:r w:rsidRPr="00A37F15">
        <w:rPr>
          <w:rFonts w:ascii="Arial Narrow" w:hAnsi="Arial Narrow" w:cs="Arial"/>
          <w:b/>
          <w:sz w:val="24"/>
          <w:szCs w:val="24"/>
          <w:lang w:val="es-ES_tradnl"/>
        </w:rPr>
        <w:t xml:space="preserve"> </w:t>
      </w:r>
      <w:r w:rsidR="00A36267" w:rsidRPr="00A37F15">
        <w:rPr>
          <w:rFonts w:ascii="Arial Narrow" w:hAnsi="Arial Narrow" w:cs="Arial"/>
          <w:b/>
          <w:sz w:val="24"/>
          <w:szCs w:val="24"/>
          <w:lang w:val="es-ES_tradnl"/>
        </w:rPr>
        <w:t xml:space="preserve">022 de 2014 SENADO </w:t>
      </w:r>
      <w:r w:rsidRPr="00A37F15">
        <w:rPr>
          <w:rFonts w:ascii="Arial Narrow" w:hAnsi="Arial Narrow" w:cs="Arial"/>
          <w:b/>
          <w:sz w:val="24"/>
          <w:szCs w:val="24"/>
          <w:lang w:val="es-ES_tradnl"/>
        </w:rPr>
        <w:t>“</w:t>
      </w:r>
      <w:r w:rsidRPr="00A37F15">
        <w:rPr>
          <w:rFonts w:ascii="Arial Narrow" w:eastAsia="Helvetica" w:hAnsi="Arial Narrow" w:cs="Arial"/>
          <w:b/>
          <w:sz w:val="24"/>
          <w:szCs w:val="24"/>
          <w:lang w:val="es-ES_tradnl"/>
        </w:rPr>
        <w:t>P</w:t>
      </w:r>
      <w:r w:rsidRPr="00A37F15">
        <w:rPr>
          <w:rFonts w:ascii="Arial Narrow" w:eastAsia="Helvetica" w:hAnsi="Arial Narrow" w:cs="Arial"/>
          <w:b/>
          <w:i/>
          <w:sz w:val="24"/>
          <w:szCs w:val="24"/>
          <w:lang w:val="es-ES_tradnl"/>
        </w:rPr>
        <w:t>or el cual se reforma el artículo 221 de la Constitución Política de Colombia”</w:t>
      </w:r>
    </w:p>
    <w:p w:rsidR="00944129" w:rsidRPr="00A37F15" w:rsidRDefault="00944129" w:rsidP="00944129">
      <w:pPr>
        <w:spacing w:after="0" w:line="240" w:lineRule="auto"/>
        <w:jc w:val="both"/>
        <w:rPr>
          <w:rFonts w:ascii="Arial Narrow" w:hAnsi="Arial Narrow" w:cs="Arial"/>
          <w:sz w:val="24"/>
          <w:szCs w:val="24"/>
          <w:lang w:val="es-ES_tradnl"/>
        </w:rPr>
      </w:pPr>
    </w:p>
    <w:p w:rsidR="00944129" w:rsidRPr="00A37F15" w:rsidRDefault="00944129" w:rsidP="00944129">
      <w:pPr>
        <w:spacing w:after="0" w:line="240" w:lineRule="auto"/>
        <w:jc w:val="both"/>
        <w:rPr>
          <w:rFonts w:ascii="Arial Narrow" w:hAnsi="Arial Narrow" w:cs="Arial"/>
          <w:i/>
          <w:sz w:val="24"/>
          <w:szCs w:val="24"/>
          <w:lang w:val="es-ES_tradnl"/>
        </w:rPr>
      </w:pPr>
      <w:r w:rsidRPr="00A37F15">
        <w:rPr>
          <w:rFonts w:ascii="Arial Narrow" w:hAnsi="Arial Narrow" w:cs="Arial"/>
          <w:sz w:val="24"/>
          <w:szCs w:val="24"/>
          <w:lang w:val="es-ES_tradnl"/>
        </w:rPr>
        <w:t xml:space="preserve">En cumplimiento de la designación que hiciera la mesa Directiva de la Comisión Primera de </w:t>
      </w:r>
      <w:r w:rsidR="00D75F1A" w:rsidRPr="00A37F15">
        <w:rPr>
          <w:rFonts w:ascii="Arial Narrow" w:hAnsi="Arial Narrow" w:cs="Arial"/>
          <w:sz w:val="24"/>
          <w:szCs w:val="24"/>
          <w:lang w:val="es-ES_tradnl"/>
        </w:rPr>
        <w:t>Cámara</w:t>
      </w:r>
      <w:r w:rsidRPr="00A37F15">
        <w:rPr>
          <w:rFonts w:ascii="Arial Narrow" w:hAnsi="Arial Narrow" w:cs="Arial"/>
          <w:sz w:val="24"/>
          <w:szCs w:val="24"/>
          <w:lang w:val="es-ES_tradnl"/>
        </w:rPr>
        <w:t xml:space="preserve">, </w:t>
      </w:r>
      <w:r w:rsidR="00D75F1A" w:rsidRPr="00A37F15">
        <w:rPr>
          <w:rFonts w:ascii="Arial Narrow" w:hAnsi="Arial Narrow" w:cs="Arial"/>
          <w:sz w:val="24"/>
          <w:szCs w:val="24"/>
          <w:lang w:val="es-ES_tradnl"/>
        </w:rPr>
        <w:t xml:space="preserve">de manera atenta </w:t>
      </w:r>
      <w:r w:rsidRPr="00A37F15">
        <w:rPr>
          <w:rFonts w:ascii="Arial Narrow" w:hAnsi="Arial Narrow" w:cs="Arial"/>
          <w:sz w:val="24"/>
          <w:szCs w:val="24"/>
          <w:lang w:val="es-ES_tradnl"/>
        </w:rPr>
        <w:t xml:space="preserve">me permito presentar informe de ponencia para el </w:t>
      </w:r>
      <w:r w:rsidR="0054436E">
        <w:rPr>
          <w:rFonts w:ascii="Arial Narrow" w:hAnsi="Arial Narrow" w:cs="Arial"/>
          <w:sz w:val="24"/>
          <w:szCs w:val="24"/>
          <w:lang w:val="es-ES_tradnl"/>
        </w:rPr>
        <w:t>primer</w:t>
      </w:r>
      <w:r w:rsidRPr="00A37F15">
        <w:rPr>
          <w:rFonts w:ascii="Arial Narrow" w:hAnsi="Arial Narrow" w:cs="Arial"/>
          <w:sz w:val="24"/>
          <w:szCs w:val="24"/>
          <w:lang w:val="es-ES_tradnl"/>
        </w:rPr>
        <w:t xml:space="preserve"> debate en segunda vuelta del Pr</w:t>
      </w:r>
      <w:r w:rsidR="00D75F1A" w:rsidRPr="00A37F15">
        <w:rPr>
          <w:rFonts w:ascii="Arial Narrow" w:hAnsi="Arial Narrow" w:cs="Arial"/>
          <w:sz w:val="24"/>
          <w:szCs w:val="24"/>
          <w:lang w:val="es-ES_tradnl"/>
        </w:rPr>
        <w:t>oyecto de Acto Legislativo No.</w:t>
      </w:r>
      <w:r w:rsidRPr="00A37F15">
        <w:rPr>
          <w:rFonts w:ascii="Arial Narrow" w:hAnsi="Arial Narrow" w:cs="Arial"/>
          <w:sz w:val="24"/>
          <w:szCs w:val="24"/>
          <w:lang w:val="es-ES_tradnl"/>
        </w:rPr>
        <w:t xml:space="preserve"> 167</w:t>
      </w:r>
      <w:r w:rsidR="00D75F1A" w:rsidRPr="00A37F15">
        <w:rPr>
          <w:rFonts w:ascii="Arial Narrow" w:hAnsi="Arial Narrow" w:cs="Arial"/>
          <w:sz w:val="24"/>
          <w:szCs w:val="24"/>
          <w:lang w:val="es-ES_tradnl"/>
        </w:rPr>
        <w:t xml:space="preserve"> de 2014 Cámara/022 de 2014 </w:t>
      </w:r>
      <w:proofErr w:type="spellStart"/>
      <w:r w:rsidR="00D75F1A" w:rsidRPr="00A37F15">
        <w:rPr>
          <w:rFonts w:ascii="Arial Narrow" w:hAnsi="Arial Narrow" w:cs="Arial"/>
          <w:sz w:val="24"/>
          <w:szCs w:val="24"/>
          <w:lang w:val="es-ES_tradnl"/>
        </w:rPr>
        <w:t>Senado</w:t>
      </w:r>
      <w:r w:rsidRPr="00A37F15">
        <w:rPr>
          <w:rFonts w:ascii="Arial Narrow" w:hAnsi="Arial Narrow" w:cs="Arial"/>
          <w:i/>
          <w:sz w:val="24"/>
          <w:szCs w:val="24"/>
          <w:lang w:val="es-ES_tradnl"/>
        </w:rPr>
        <w:t>“Por</w:t>
      </w:r>
      <w:proofErr w:type="spellEnd"/>
      <w:r w:rsidRPr="00A37F15">
        <w:rPr>
          <w:rFonts w:ascii="Arial Narrow" w:hAnsi="Arial Narrow" w:cs="Arial"/>
          <w:i/>
          <w:sz w:val="24"/>
          <w:szCs w:val="24"/>
          <w:lang w:val="es-ES_tradnl"/>
        </w:rPr>
        <w:t xml:space="preserve"> el cual se reforma el artículo 221 de la Constitución Política de Colombia”.</w:t>
      </w:r>
    </w:p>
    <w:p w:rsidR="00944129" w:rsidRPr="00A37F15" w:rsidRDefault="00944129" w:rsidP="00944129">
      <w:pPr>
        <w:spacing w:after="0" w:line="240" w:lineRule="auto"/>
        <w:jc w:val="both"/>
        <w:rPr>
          <w:rFonts w:ascii="Arial Narrow" w:hAnsi="Arial Narrow" w:cs="Arial"/>
          <w:i/>
          <w:sz w:val="24"/>
          <w:szCs w:val="24"/>
          <w:lang w:val="es-ES_tradnl"/>
        </w:rPr>
      </w:pPr>
    </w:p>
    <w:p w:rsidR="00C36897" w:rsidRPr="00A37F15" w:rsidRDefault="00D75F1A"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 xml:space="preserve">Como ponente del presente proyecto de Acto Legislativo, estimo de la mayor importancia iniciar esta ponencia haciendo especial énfasis en la aprobación del texto </w:t>
      </w:r>
      <w:r w:rsidR="00C36897" w:rsidRPr="00A37F15">
        <w:rPr>
          <w:rFonts w:ascii="Arial Narrow" w:hAnsi="Arial Narrow" w:cs="Arial"/>
          <w:sz w:val="24"/>
          <w:szCs w:val="24"/>
          <w:lang w:val="es-ES_tradnl"/>
        </w:rPr>
        <w:t>con</w:t>
      </w:r>
      <w:r w:rsidR="00415C80" w:rsidRPr="00A37F15">
        <w:rPr>
          <w:rFonts w:ascii="Arial Narrow" w:hAnsi="Arial Narrow" w:cs="Arial"/>
          <w:sz w:val="24"/>
          <w:szCs w:val="24"/>
          <w:lang w:val="es-ES_tradnl"/>
        </w:rPr>
        <w:t xml:space="preserve"> amplias</w:t>
      </w:r>
      <w:r w:rsidR="00C36897" w:rsidRPr="00A37F15">
        <w:rPr>
          <w:rFonts w:ascii="Arial Narrow" w:hAnsi="Arial Narrow" w:cs="Arial"/>
          <w:sz w:val="24"/>
          <w:szCs w:val="24"/>
          <w:lang w:val="es-ES_tradnl"/>
        </w:rPr>
        <w:t xml:space="preserve"> mayo</w:t>
      </w:r>
      <w:r w:rsidR="00E66E94" w:rsidRPr="00A37F15">
        <w:rPr>
          <w:rFonts w:ascii="Arial Narrow" w:hAnsi="Arial Narrow" w:cs="Arial"/>
          <w:sz w:val="24"/>
          <w:szCs w:val="24"/>
          <w:lang w:val="es-ES_tradnl"/>
        </w:rPr>
        <w:t xml:space="preserve">rías en su trámite en el Senado. Es de resaltar que no se presentó </w:t>
      </w:r>
      <w:r w:rsidRPr="00A37F15">
        <w:rPr>
          <w:rFonts w:ascii="Arial Narrow" w:hAnsi="Arial Narrow" w:cs="Arial"/>
          <w:sz w:val="24"/>
          <w:szCs w:val="24"/>
          <w:lang w:val="es-ES_tradnl"/>
        </w:rPr>
        <w:t>proposición alguna respecto de éste</w:t>
      </w:r>
      <w:r w:rsidR="00B472FD">
        <w:rPr>
          <w:rFonts w:ascii="Arial Narrow" w:hAnsi="Arial Narrow" w:cs="Arial"/>
          <w:sz w:val="24"/>
          <w:szCs w:val="24"/>
          <w:lang w:val="es-ES_tradnl"/>
        </w:rPr>
        <w:t xml:space="preserve"> </w:t>
      </w:r>
      <w:r w:rsidR="00E66E94" w:rsidRPr="00B472FD">
        <w:rPr>
          <w:rFonts w:ascii="Arial Narrow" w:hAnsi="Arial Narrow" w:cs="Arial"/>
          <w:sz w:val="24"/>
          <w:szCs w:val="24"/>
          <w:lang w:val="es-ES_tradnl"/>
        </w:rPr>
        <w:t xml:space="preserve">Proyecto </w:t>
      </w:r>
      <w:r w:rsidR="00C36897" w:rsidRPr="00B472FD">
        <w:rPr>
          <w:rFonts w:ascii="Arial Narrow" w:hAnsi="Arial Narrow" w:cs="Arial"/>
          <w:sz w:val="24"/>
          <w:szCs w:val="24"/>
          <w:lang w:val="es-ES_tradnl"/>
        </w:rPr>
        <w:t>en la Plenaria del Senado</w:t>
      </w:r>
      <w:r w:rsidR="00C36897" w:rsidRPr="00A37F15">
        <w:rPr>
          <w:rFonts w:ascii="Arial Narrow" w:hAnsi="Arial Narrow" w:cs="Arial"/>
          <w:sz w:val="24"/>
          <w:szCs w:val="24"/>
          <w:lang w:val="es-ES_tradnl"/>
        </w:rPr>
        <w:t>. S</w:t>
      </w:r>
      <w:r w:rsidRPr="00A37F15">
        <w:rPr>
          <w:rFonts w:ascii="Arial Narrow" w:hAnsi="Arial Narrow" w:cs="Arial"/>
          <w:sz w:val="24"/>
          <w:szCs w:val="24"/>
          <w:lang w:val="es-ES_tradnl"/>
        </w:rPr>
        <w:t xml:space="preserve">in lugar a duda, esto indica la importancia que tiene </w:t>
      </w:r>
      <w:r w:rsidR="00C36897" w:rsidRPr="00A37F15">
        <w:rPr>
          <w:rFonts w:ascii="Arial Narrow" w:hAnsi="Arial Narrow" w:cs="Arial"/>
          <w:sz w:val="24"/>
          <w:szCs w:val="24"/>
          <w:lang w:val="es-ES_tradnl"/>
        </w:rPr>
        <w:t>el objetivo que se pre</w:t>
      </w:r>
      <w:r w:rsidR="00E66E94" w:rsidRPr="00A37F15">
        <w:rPr>
          <w:rFonts w:ascii="Arial Narrow" w:hAnsi="Arial Narrow" w:cs="Arial"/>
          <w:sz w:val="24"/>
          <w:szCs w:val="24"/>
          <w:lang w:val="es-ES_tradnl"/>
        </w:rPr>
        <w:t xml:space="preserve">tende alcanzar con esta reforma, </w:t>
      </w:r>
      <w:r w:rsidR="00C36897" w:rsidRPr="00A37F15">
        <w:rPr>
          <w:rFonts w:ascii="Arial Narrow" w:hAnsi="Arial Narrow" w:cs="Arial"/>
          <w:sz w:val="24"/>
          <w:szCs w:val="24"/>
          <w:lang w:val="es-ES_tradnl"/>
        </w:rPr>
        <w:t xml:space="preserve">que no es nada diferente a asegurar la aplicación del Derecho Internacional Humanitario </w:t>
      </w:r>
      <w:r w:rsidR="00AD7422" w:rsidRPr="00A37F15">
        <w:rPr>
          <w:rFonts w:ascii="Arial Narrow" w:hAnsi="Arial Narrow" w:cs="Arial"/>
          <w:sz w:val="24"/>
          <w:szCs w:val="24"/>
          <w:lang w:val="es-ES_tradnl"/>
        </w:rPr>
        <w:t xml:space="preserve">(DIH) </w:t>
      </w:r>
      <w:r w:rsidR="00C36897" w:rsidRPr="00A37F15">
        <w:rPr>
          <w:rFonts w:ascii="Arial Narrow" w:hAnsi="Arial Narrow" w:cs="Arial"/>
          <w:sz w:val="24"/>
          <w:szCs w:val="24"/>
          <w:lang w:val="es-ES_tradnl"/>
        </w:rPr>
        <w:t xml:space="preserve">como ley especial en el marco del conflicto armado y de los enfrentamientos que cumplan con los factores objetivos de aplicación de esta normativa, </w:t>
      </w:r>
      <w:r w:rsidR="00E66E94" w:rsidRPr="00A37F15">
        <w:rPr>
          <w:rFonts w:ascii="Arial Narrow" w:hAnsi="Arial Narrow" w:cs="Arial"/>
          <w:sz w:val="24"/>
          <w:szCs w:val="24"/>
          <w:lang w:val="es-ES_tradnl"/>
        </w:rPr>
        <w:t>y</w:t>
      </w:r>
      <w:r w:rsidR="00C36897" w:rsidRPr="00A37F15">
        <w:rPr>
          <w:rFonts w:ascii="Arial Narrow" w:hAnsi="Arial Narrow" w:cs="Arial"/>
          <w:sz w:val="24"/>
          <w:szCs w:val="24"/>
          <w:lang w:val="es-ES_tradnl"/>
        </w:rPr>
        <w:t xml:space="preserve"> el compromiso por parte del Congreso de la República de propender por la existencia de la legislación adecuada para el efecto. </w:t>
      </w:r>
    </w:p>
    <w:p w:rsidR="00C36897" w:rsidRPr="00A37F15" w:rsidRDefault="00C36897" w:rsidP="00944129">
      <w:pPr>
        <w:spacing w:after="0" w:line="240" w:lineRule="auto"/>
        <w:jc w:val="both"/>
        <w:rPr>
          <w:rFonts w:ascii="Arial Narrow" w:hAnsi="Arial Narrow" w:cs="Arial"/>
          <w:sz w:val="24"/>
          <w:szCs w:val="24"/>
          <w:lang w:val="es-ES_tradnl"/>
        </w:rPr>
      </w:pPr>
    </w:p>
    <w:p w:rsidR="00AD7422" w:rsidRPr="00A37F15" w:rsidRDefault="00AD7422"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En el trámite legislativo</w:t>
      </w:r>
      <w:r w:rsidR="00A96B33" w:rsidRPr="00A37F15">
        <w:rPr>
          <w:rFonts w:ascii="Arial Narrow" w:hAnsi="Arial Narrow" w:cs="Arial"/>
          <w:sz w:val="24"/>
          <w:szCs w:val="24"/>
          <w:lang w:val="es-ES_tradnl"/>
        </w:rPr>
        <w:t>,</w:t>
      </w:r>
      <w:r w:rsidRPr="00A37F15">
        <w:rPr>
          <w:rFonts w:ascii="Arial Narrow" w:hAnsi="Arial Narrow" w:cs="Arial"/>
          <w:sz w:val="24"/>
          <w:szCs w:val="24"/>
          <w:lang w:val="es-ES_tradnl"/>
        </w:rPr>
        <w:t xml:space="preserve"> que surtió el proyecto de Acto Legislativo</w:t>
      </w:r>
      <w:r w:rsidR="00FA2811" w:rsidRPr="00A37F15">
        <w:rPr>
          <w:rFonts w:ascii="Arial Narrow" w:hAnsi="Arial Narrow" w:cs="Arial"/>
          <w:sz w:val="24"/>
          <w:szCs w:val="24"/>
          <w:lang w:val="es-ES_tradnl"/>
        </w:rPr>
        <w:t xml:space="preserve"> en el </w:t>
      </w:r>
      <w:proofErr w:type="spellStart"/>
      <w:r w:rsidR="00FA2811" w:rsidRPr="00A37F15">
        <w:rPr>
          <w:rFonts w:ascii="Arial Narrow" w:hAnsi="Arial Narrow" w:cs="Arial"/>
          <w:sz w:val="24"/>
          <w:szCs w:val="24"/>
          <w:lang w:val="es-ES_tradnl"/>
        </w:rPr>
        <w:t>Senado</w:t>
      </w:r>
      <w:proofErr w:type="gramStart"/>
      <w:r w:rsidR="00A96B33" w:rsidRPr="00A37F15">
        <w:rPr>
          <w:rFonts w:ascii="Arial Narrow" w:hAnsi="Arial Narrow" w:cs="Arial"/>
          <w:sz w:val="24"/>
          <w:szCs w:val="24"/>
          <w:lang w:val="es-ES_tradnl"/>
        </w:rPr>
        <w:t>,</w:t>
      </w:r>
      <w:r w:rsidRPr="00A37F15">
        <w:rPr>
          <w:rFonts w:ascii="Arial Narrow" w:hAnsi="Arial Narrow" w:cs="Arial"/>
          <w:sz w:val="24"/>
          <w:szCs w:val="24"/>
          <w:lang w:val="es-ES_tradnl"/>
        </w:rPr>
        <w:t>existió</w:t>
      </w:r>
      <w:proofErr w:type="spellEnd"/>
      <w:proofErr w:type="gramEnd"/>
      <w:r w:rsidRPr="00A37F15">
        <w:rPr>
          <w:rFonts w:ascii="Arial Narrow" w:hAnsi="Arial Narrow" w:cs="Arial"/>
          <w:sz w:val="24"/>
          <w:szCs w:val="24"/>
          <w:lang w:val="es-ES_tradnl"/>
        </w:rPr>
        <w:t xml:space="preserve"> un gran acuerdo</w:t>
      </w:r>
      <w:r w:rsidR="00415C80" w:rsidRPr="00A37F15">
        <w:rPr>
          <w:rFonts w:ascii="Arial Narrow" w:hAnsi="Arial Narrow" w:cs="Arial"/>
          <w:sz w:val="24"/>
          <w:szCs w:val="24"/>
          <w:lang w:val="es-ES_tradnl"/>
        </w:rPr>
        <w:t xml:space="preserve"> y apoyo de la mayoría de las bancadas que componen el Senado de la República</w:t>
      </w:r>
      <w:r w:rsidRPr="00A37F15">
        <w:rPr>
          <w:rFonts w:ascii="Arial Narrow" w:hAnsi="Arial Narrow" w:cs="Arial"/>
          <w:sz w:val="24"/>
          <w:szCs w:val="24"/>
          <w:lang w:val="es-ES_tradnl"/>
        </w:rPr>
        <w:t xml:space="preserve"> respecto de la necesidad de establecer</w:t>
      </w:r>
      <w:r w:rsidR="00E66E94" w:rsidRPr="00A37F15">
        <w:rPr>
          <w:rFonts w:ascii="Arial Narrow" w:hAnsi="Arial Narrow" w:cs="Arial"/>
          <w:sz w:val="24"/>
          <w:szCs w:val="24"/>
          <w:lang w:val="es-ES_tradnl"/>
        </w:rPr>
        <w:t>,</w:t>
      </w:r>
      <w:r w:rsidRPr="00A37F15">
        <w:rPr>
          <w:rFonts w:ascii="Arial Narrow" w:hAnsi="Arial Narrow" w:cs="Arial"/>
          <w:sz w:val="24"/>
          <w:szCs w:val="24"/>
          <w:lang w:val="es-ES_tradnl"/>
        </w:rPr>
        <w:t xml:space="preserve"> desde la Constitución Política</w:t>
      </w:r>
      <w:r w:rsidR="00E66E94" w:rsidRPr="00A37F15">
        <w:rPr>
          <w:rFonts w:ascii="Arial Narrow" w:hAnsi="Arial Narrow" w:cs="Arial"/>
          <w:sz w:val="24"/>
          <w:szCs w:val="24"/>
          <w:lang w:val="es-ES_tradnl"/>
        </w:rPr>
        <w:t>,</w:t>
      </w:r>
      <w:r w:rsidRPr="00A37F15">
        <w:rPr>
          <w:rFonts w:ascii="Arial Narrow" w:hAnsi="Arial Narrow" w:cs="Arial"/>
          <w:sz w:val="24"/>
          <w:szCs w:val="24"/>
          <w:lang w:val="es-ES_tradnl"/>
        </w:rPr>
        <w:t xml:space="preserve"> la obligación de aplicar el DIH como ley especial en la investigación y juzgamiento de los miembros de las Fuerzas Militares y la Policía Nacional, cuando fuere el caso, independientemente de la jurisdicción que conozca de los hechos. </w:t>
      </w:r>
    </w:p>
    <w:p w:rsidR="00AD7422" w:rsidRPr="00A37F15" w:rsidRDefault="00AD7422" w:rsidP="00944129">
      <w:pPr>
        <w:spacing w:after="0" w:line="240" w:lineRule="auto"/>
        <w:jc w:val="both"/>
        <w:rPr>
          <w:rFonts w:ascii="Arial Narrow" w:hAnsi="Arial Narrow" w:cs="Arial"/>
          <w:sz w:val="24"/>
          <w:szCs w:val="24"/>
          <w:lang w:val="es-ES_tradnl"/>
        </w:rPr>
      </w:pPr>
    </w:p>
    <w:p w:rsidR="00AD7422" w:rsidRPr="00A37F15" w:rsidRDefault="00AD7422"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Así mismo,</w:t>
      </w:r>
      <w:r w:rsidR="00FA2811" w:rsidRPr="00A37F15">
        <w:rPr>
          <w:rFonts w:ascii="Arial Narrow" w:hAnsi="Arial Narrow" w:cs="Arial"/>
          <w:sz w:val="24"/>
          <w:szCs w:val="24"/>
          <w:lang w:val="es-ES_tradnl"/>
        </w:rPr>
        <w:t xml:space="preserve"> se reconoció el compromiso </w:t>
      </w:r>
      <w:r w:rsidR="00E0329A" w:rsidRPr="00A37F15">
        <w:rPr>
          <w:rFonts w:ascii="Arial Narrow" w:hAnsi="Arial Narrow" w:cs="Arial"/>
          <w:sz w:val="24"/>
          <w:szCs w:val="24"/>
          <w:lang w:val="es-ES_tradnl"/>
        </w:rPr>
        <w:t xml:space="preserve">de conocer adecuadamente la normativa en materia de DIH </w:t>
      </w:r>
      <w:r w:rsidR="00FA2811" w:rsidRPr="00A37F15">
        <w:rPr>
          <w:rFonts w:ascii="Arial Narrow" w:hAnsi="Arial Narrow" w:cs="Arial"/>
          <w:sz w:val="24"/>
          <w:szCs w:val="24"/>
          <w:lang w:val="es-ES_tradnl"/>
        </w:rPr>
        <w:t>que deben adquirir los operadores judiciales que conozcan de los casos en relación con la Fuerza Pública</w:t>
      </w:r>
      <w:r w:rsidR="00E0329A" w:rsidRPr="00A37F15">
        <w:rPr>
          <w:rFonts w:ascii="Arial Narrow" w:hAnsi="Arial Narrow" w:cs="Arial"/>
          <w:sz w:val="24"/>
          <w:szCs w:val="24"/>
          <w:lang w:val="es-ES_tradnl"/>
        </w:rPr>
        <w:t>.</w:t>
      </w:r>
      <w:r w:rsidR="00FA2811" w:rsidRPr="00A37F15">
        <w:rPr>
          <w:rFonts w:ascii="Arial Narrow" w:hAnsi="Arial Narrow" w:cs="Arial"/>
          <w:sz w:val="24"/>
          <w:szCs w:val="24"/>
          <w:lang w:val="es-ES_tradnl"/>
        </w:rPr>
        <w:t xml:space="preserve"> Este deber que se establece para nuestros fiscales y jueces reviste especial </w:t>
      </w:r>
      <w:r w:rsidR="00843E10" w:rsidRPr="00A37F15">
        <w:rPr>
          <w:rFonts w:ascii="Arial Narrow" w:hAnsi="Arial Narrow" w:cs="Arial"/>
          <w:sz w:val="24"/>
          <w:szCs w:val="24"/>
          <w:lang w:val="es-ES_tradnl"/>
        </w:rPr>
        <w:t>transcendencia</w:t>
      </w:r>
      <w:r w:rsidR="00FA2811" w:rsidRPr="00A37F15">
        <w:rPr>
          <w:rFonts w:ascii="Arial Narrow" w:hAnsi="Arial Narrow" w:cs="Arial"/>
          <w:sz w:val="24"/>
          <w:szCs w:val="24"/>
          <w:lang w:val="es-ES_tradnl"/>
        </w:rPr>
        <w:t>, pues está en sus manos impartir justicia en el marco del conflicto armado, para lo cual deben entenderlo y saber cómo se aplica las normas que lo regulan. Esto, con el único propósito que se garanticen los derechos al debido proceso, a la verdad, a la justicia y a la reparación de quienes hayan sido víctimas en el marco de las confrontaciones armadas, lo cual abarca tanto a la población civil como a nuestros héroes de la patria</w:t>
      </w:r>
      <w:r w:rsidR="00E0329A" w:rsidRPr="00A37F15">
        <w:rPr>
          <w:rFonts w:ascii="Arial Narrow" w:hAnsi="Arial Narrow" w:cs="Arial"/>
          <w:sz w:val="24"/>
          <w:szCs w:val="24"/>
          <w:lang w:val="es-ES_tradnl"/>
        </w:rPr>
        <w:t xml:space="preserve"> y sus familias</w:t>
      </w:r>
      <w:r w:rsidR="00FA2811" w:rsidRPr="00A37F15">
        <w:rPr>
          <w:rFonts w:ascii="Arial Narrow" w:hAnsi="Arial Narrow" w:cs="Arial"/>
          <w:sz w:val="24"/>
          <w:szCs w:val="24"/>
          <w:lang w:val="es-ES_tradnl"/>
        </w:rPr>
        <w:t xml:space="preserve">. </w:t>
      </w:r>
    </w:p>
    <w:p w:rsidR="00FA2811" w:rsidRPr="00A37F15" w:rsidRDefault="00FA2811" w:rsidP="00944129">
      <w:pPr>
        <w:spacing w:after="0" w:line="240" w:lineRule="auto"/>
        <w:jc w:val="both"/>
        <w:rPr>
          <w:rFonts w:ascii="Arial Narrow" w:hAnsi="Arial Narrow" w:cs="Arial"/>
          <w:sz w:val="24"/>
          <w:szCs w:val="24"/>
          <w:lang w:val="es-ES_tradnl"/>
        </w:rPr>
      </w:pPr>
    </w:p>
    <w:p w:rsidR="00FA2811" w:rsidRPr="00A37F15" w:rsidRDefault="00FA2811" w:rsidP="00944129">
      <w:pPr>
        <w:spacing w:after="0" w:line="240" w:lineRule="auto"/>
        <w:jc w:val="both"/>
        <w:rPr>
          <w:rFonts w:ascii="Arial Narrow" w:hAnsi="Arial Narrow"/>
          <w:sz w:val="24"/>
          <w:szCs w:val="24"/>
          <w:lang w:val="es-CO"/>
        </w:rPr>
      </w:pPr>
      <w:r w:rsidRPr="00A37F15">
        <w:rPr>
          <w:rFonts w:ascii="Arial Narrow" w:hAnsi="Arial Narrow"/>
          <w:sz w:val="24"/>
          <w:szCs w:val="24"/>
          <w:lang w:val="es-CO"/>
        </w:rPr>
        <w:t>Por otro lado, y no menos relevante que lo anterior, es</w:t>
      </w:r>
      <w:r w:rsidR="00626399" w:rsidRPr="00A37F15">
        <w:rPr>
          <w:rFonts w:ascii="Arial Narrow" w:hAnsi="Arial Narrow"/>
          <w:sz w:val="24"/>
          <w:szCs w:val="24"/>
          <w:lang w:val="es-CO"/>
        </w:rPr>
        <w:t xml:space="preserve"> resaltar que l</w:t>
      </w:r>
      <w:r w:rsidRPr="00A37F15">
        <w:rPr>
          <w:rFonts w:ascii="Arial Narrow" w:hAnsi="Arial Narrow"/>
          <w:sz w:val="24"/>
          <w:szCs w:val="24"/>
          <w:lang w:val="es-CO"/>
        </w:rPr>
        <w:t xml:space="preserve">a consagración del DIH a nivel constitucional exigirá que todos los miembros de la Fuerza Pública deberán actuar conforme a los altos estándares </w:t>
      </w:r>
      <w:r w:rsidR="00626399" w:rsidRPr="00A37F15">
        <w:rPr>
          <w:rFonts w:ascii="Arial Narrow" w:hAnsi="Arial Narrow"/>
          <w:sz w:val="24"/>
          <w:szCs w:val="24"/>
          <w:lang w:val="es-CO"/>
        </w:rPr>
        <w:t xml:space="preserve">de este conjunto de normas para </w:t>
      </w:r>
      <w:r w:rsidRPr="00A37F15">
        <w:rPr>
          <w:rFonts w:ascii="Arial Narrow" w:hAnsi="Arial Narrow"/>
          <w:sz w:val="24"/>
          <w:szCs w:val="24"/>
          <w:lang w:val="es-CO"/>
        </w:rPr>
        <w:t xml:space="preserve">así garantizar la legalidad y legitimidad de sus acciones que realizan </w:t>
      </w:r>
      <w:r w:rsidR="00E0329A" w:rsidRPr="00A37F15">
        <w:rPr>
          <w:rFonts w:ascii="Arial Narrow" w:hAnsi="Arial Narrow"/>
          <w:sz w:val="24"/>
          <w:szCs w:val="24"/>
          <w:lang w:val="es-CO"/>
        </w:rPr>
        <w:t xml:space="preserve">en el marco de sus funciones para garantizar </w:t>
      </w:r>
      <w:r w:rsidRPr="00A37F15">
        <w:rPr>
          <w:rFonts w:ascii="Arial Narrow" w:hAnsi="Arial Narrow"/>
          <w:sz w:val="24"/>
          <w:szCs w:val="24"/>
          <w:lang w:val="es-CO"/>
        </w:rPr>
        <w:t xml:space="preserve">las condiciones de seguridad en el territorio y defender la soberanía e integridad del mismo. </w:t>
      </w:r>
    </w:p>
    <w:p w:rsidR="00944129" w:rsidRPr="00A37F15" w:rsidRDefault="00944129" w:rsidP="00944129">
      <w:pPr>
        <w:spacing w:after="0" w:line="240" w:lineRule="auto"/>
        <w:jc w:val="both"/>
        <w:rPr>
          <w:rFonts w:ascii="Arial Narrow" w:hAnsi="Arial Narrow" w:cs="Arial"/>
          <w:sz w:val="24"/>
          <w:szCs w:val="24"/>
          <w:lang w:val="es-ES_tradnl"/>
        </w:rPr>
      </w:pPr>
    </w:p>
    <w:p w:rsidR="00814611" w:rsidRPr="00A37F15" w:rsidRDefault="00FA2811" w:rsidP="00944129">
      <w:pPr>
        <w:spacing w:line="240" w:lineRule="auto"/>
        <w:jc w:val="both"/>
        <w:rPr>
          <w:rFonts w:ascii="Arial Narrow" w:hAnsi="Arial Narrow"/>
          <w:sz w:val="24"/>
          <w:szCs w:val="24"/>
          <w:lang w:val="es-CO"/>
        </w:rPr>
      </w:pPr>
      <w:r w:rsidRPr="00A37F15">
        <w:rPr>
          <w:rFonts w:ascii="Arial Narrow" w:hAnsi="Arial Narrow"/>
          <w:sz w:val="24"/>
          <w:szCs w:val="24"/>
          <w:lang w:val="es-CO"/>
        </w:rPr>
        <w:t>En el transcurso del debate</w:t>
      </w:r>
      <w:r w:rsidR="00A83065" w:rsidRPr="00A37F15">
        <w:rPr>
          <w:rFonts w:ascii="Arial Narrow" w:hAnsi="Arial Narrow"/>
          <w:sz w:val="24"/>
          <w:szCs w:val="24"/>
          <w:lang w:val="es-CO"/>
        </w:rPr>
        <w:t>,</w:t>
      </w:r>
      <w:r w:rsidRPr="00A37F15">
        <w:rPr>
          <w:rFonts w:ascii="Arial Narrow" w:hAnsi="Arial Narrow"/>
          <w:sz w:val="24"/>
          <w:szCs w:val="24"/>
          <w:lang w:val="es-CO"/>
        </w:rPr>
        <w:t xml:space="preserve"> que se realizó el día </w:t>
      </w:r>
      <w:r w:rsidR="00807C7A" w:rsidRPr="00A37F15">
        <w:rPr>
          <w:rFonts w:ascii="Arial Narrow" w:hAnsi="Arial Narrow"/>
          <w:sz w:val="24"/>
          <w:szCs w:val="24"/>
          <w:lang w:val="es-CO"/>
        </w:rPr>
        <w:t xml:space="preserve">29 de abril de 2014 </w:t>
      </w:r>
      <w:r w:rsidR="00B472FD">
        <w:rPr>
          <w:rFonts w:ascii="Arial Narrow" w:hAnsi="Arial Narrow"/>
          <w:sz w:val="24"/>
          <w:szCs w:val="24"/>
          <w:lang w:val="es-CO"/>
        </w:rPr>
        <w:t>en la P</w:t>
      </w:r>
      <w:r w:rsidRPr="00A37F15">
        <w:rPr>
          <w:rFonts w:ascii="Arial Narrow" w:hAnsi="Arial Narrow"/>
          <w:sz w:val="24"/>
          <w:szCs w:val="24"/>
          <w:lang w:val="es-CO"/>
        </w:rPr>
        <w:t>lenaria del Senado, se presentaron intervenciones que se considera</w:t>
      </w:r>
      <w:r w:rsidR="00814611" w:rsidRPr="00A37F15">
        <w:rPr>
          <w:rFonts w:ascii="Arial Narrow" w:hAnsi="Arial Narrow"/>
          <w:sz w:val="24"/>
          <w:szCs w:val="24"/>
          <w:lang w:val="es-CO"/>
        </w:rPr>
        <w:t>n</w:t>
      </w:r>
      <w:r w:rsidRPr="00A37F15">
        <w:rPr>
          <w:rFonts w:ascii="Arial Narrow" w:hAnsi="Arial Narrow"/>
          <w:sz w:val="24"/>
          <w:szCs w:val="24"/>
          <w:lang w:val="es-CO"/>
        </w:rPr>
        <w:t xml:space="preserve"> deben ser </w:t>
      </w:r>
      <w:r w:rsidR="00594D6B" w:rsidRPr="00A37F15">
        <w:rPr>
          <w:rFonts w:ascii="Arial Narrow" w:hAnsi="Arial Narrow"/>
          <w:sz w:val="24"/>
          <w:szCs w:val="24"/>
          <w:lang w:val="es-CO"/>
        </w:rPr>
        <w:t>presentadas en este informe para</w:t>
      </w:r>
      <w:r w:rsidR="00B472FD">
        <w:rPr>
          <w:rFonts w:ascii="Arial Narrow" w:hAnsi="Arial Narrow"/>
          <w:sz w:val="24"/>
          <w:szCs w:val="24"/>
          <w:lang w:val="es-CO"/>
        </w:rPr>
        <w:t xml:space="preserve"> conocimiento de los Honorables</w:t>
      </w:r>
      <w:r w:rsidR="00814611" w:rsidRPr="00A37F15">
        <w:rPr>
          <w:rFonts w:ascii="Arial Narrow" w:hAnsi="Arial Narrow"/>
          <w:sz w:val="24"/>
          <w:szCs w:val="24"/>
          <w:lang w:val="es-CO"/>
        </w:rPr>
        <w:t xml:space="preserve"> Representantes. </w:t>
      </w:r>
    </w:p>
    <w:p w:rsidR="00FA2811" w:rsidRPr="00A37F15" w:rsidRDefault="00814611" w:rsidP="00944129">
      <w:pPr>
        <w:spacing w:line="240" w:lineRule="auto"/>
        <w:jc w:val="both"/>
        <w:rPr>
          <w:rFonts w:ascii="Arial Narrow" w:hAnsi="Arial Narrow"/>
          <w:sz w:val="24"/>
          <w:szCs w:val="24"/>
          <w:lang w:val="es-CO"/>
        </w:rPr>
      </w:pPr>
      <w:r w:rsidRPr="00A37F15">
        <w:rPr>
          <w:rFonts w:ascii="Arial Narrow" w:hAnsi="Arial Narrow"/>
          <w:sz w:val="24"/>
          <w:szCs w:val="24"/>
          <w:lang w:val="es-CO"/>
        </w:rPr>
        <w:t xml:space="preserve">En primer lugar, la Senadora Viviane Morales en la sesión de la Plenaria de Senado manifestó su inquietud </w:t>
      </w:r>
      <w:r w:rsidR="00594D6B" w:rsidRPr="00A37F15">
        <w:rPr>
          <w:rFonts w:ascii="Arial Narrow" w:hAnsi="Arial Narrow"/>
          <w:sz w:val="24"/>
          <w:szCs w:val="24"/>
          <w:lang w:val="es-CO"/>
        </w:rPr>
        <w:t xml:space="preserve">acerca </w:t>
      </w:r>
      <w:r w:rsidRPr="00A37F15">
        <w:rPr>
          <w:rFonts w:ascii="Arial Narrow" w:hAnsi="Arial Narrow"/>
          <w:sz w:val="24"/>
          <w:szCs w:val="24"/>
          <w:lang w:val="es-CO"/>
        </w:rPr>
        <w:t xml:space="preserve">de si la aplicación del DIH implicaría un desplazamiento del derecho penal y otras normas internas en la investigación y juzgamiento de los miembros de la Fuerza Pública.  </w:t>
      </w:r>
    </w:p>
    <w:p w:rsidR="00594D6B" w:rsidRPr="00A37F15" w:rsidRDefault="00594D6B"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CO"/>
        </w:rPr>
        <w:t xml:space="preserve">En lo que corresponde a la </w:t>
      </w:r>
      <w:r w:rsidRPr="00A37F15">
        <w:rPr>
          <w:rFonts w:ascii="Arial Narrow" w:hAnsi="Arial Narrow" w:cs="Arial"/>
          <w:sz w:val="24"/>
          <w:szCs w:val="24"/>
          <w:lang w:val="es-ES_tradnl"/>
        </w:rPr>
        <w:t xml:space="preserve">aplicación del DIH, cabe señalar que ésta </w:t>
      </w:r>
      <w:r w:rsidR="00814611" w:rsidRPr="00A37F15">
        <w:rPr>
          <w:rFonts w:ascii="Arial Narrow" w:hAnsi="Arial Narrow" w:cs="Arial"/>
          <w:sz w:val="24"/>
          <w:szCs w:val="24"/>
          <w:lang w:val="es-ES_tradnl"/>
        </w:rPr>
        <w:t xml:space="preserve">no genera interferencia alguna con la aplicación de las normas del derecho penal y demás normas correspondientes a la investigación y juzgamiento de conductas punibles. </w:t>
      </w:r>
      <w:r w:rsidRPr="00A37F15">
        <w:rPr>
          <w:rFonts w:ascii="Arial Narrow" w:hAnsi="Arial Narrow" w:cs="Arial"/>
          <w:sz w:val="24"/>
          <w:szCs w:val="24"/>
          <w:lang w:val="es-ES_tradnl"/>
        </w:rPr>
        <w:t>Así lo ha establecido la</w:t>
      </w:r>
      <w:r w:rsidR="00B472FD">
        <w:rPr>
          <w:rFonts w:ascii="Arial Narrow" w:hAnsi="Arial Narrow" w:cs="Arial"/>
          <w:sz w:val="24"/>
          <w:szCs w:val="24"/>
          <w:lang w:val="es-ES_tradnl"/>
        </w:rPr>
        <w:t xml:space="preserve"> Honorable</w:t>
      </w:r>
      <w:r w:rsidRPr="00A37F15">
        <w:rPr>
          <w:rFonts w:ascii="Arial Narrow" w:hAnsi="Arial Narrow" w:cs="Arial"/>
          <w:sz w:val="24"/>
          <w:szCs w:val="24"/>
          <w:lang w:val="es-ES_tradnl"/>
        </w:rPr>
        <w:t xml:space="preserve"> Corte Constitucional a lo largo de su jurisprudencia. </w:t>
      </w:r>
    </w:p>
    <w:p w:rsidR="00594D6B" w:rsidRPr="00A37F15" w:rsidRDefault="00594D6B" w:rsidP="00944129">
      <w:pPr>
        <w:spacing w:after="0" w:line="240" w:lineRule="auto"/>
        <w:jc w:val="both"/>
        <w:rPr>
          <w:rFonts w:ascii="Arial Narrow" w:hAnsi="Arial Narrow" w:cs="Arial"/>
          <w:sz w:val="24"/>
          <w:szCs w:val="24"/>
          <w:lang w:val="es-ES_tradnl"/>
        </w:rPr>
      </w:pPr>
    </w:p>
    <w:p w:rsidR="00753981" w:rsidRPr="00A37F15" w:rsidRDefault="00807C7A" w:rsidP="00944129">
      <w:pPr>
        <w:spacing w:after="0" w:line="240" w:lineRule="auto"/>
        <w:jc w:val="both"/>
        <w:rPr>
          <w:rFonts w:ascii="Arial Narrow" w:hAnsi="Arial Narrow" w:cs="Arial"/>
          <w:i/>
          <w:sz w:val="24"/>
          <w:szCs w:val="24"/>
          <w:lang w:val="es-ES_tradnl"/>
        </w:rPr>
      </w:pPr>
      <w:r w:rsidRPr="00A37F15">
        <w:rPr>
          <w:rFonts w:ascii="Arial Narrow" w:hAnsi="Arial Narrow" w:cs="Arial"/>
          <w:sz w:val="24"/>
          <w:szCs w:val="24"/>
          <w:lang w:val="es-ES_tradnl"/>
        </w:rPr>
        <w:t xml:space="preserve">La Corte Constitucional desde la </w:t>
      </w:r>
      <w:r w:rsidR="008917D0" w:rsidRPr="00A37F15">
        <w:rPr>
          <w:rFonts w:ascii="Arial Narrow" w:hAnsi="Arial Narrow" w:cs="Arial"/>
          <w:sz w:val="24"/>
          <w:szCs w:val="24"/>
          <w:lang w:val="es-ES_tradnl"/>
        </w:rPr>
        <w:t>ratificación</w:t>
      </w:r>
      <w:r w:rsidRPr="00A37F15">
        <w:rPr>
          <w:rFonts w:ascii="Arial Narrow" w:hAnsi="Arial Narrow" w:cs="Arial"/>
          <w:sz w:val="24"/>
          <w:szCs w:val="24"/>
          <w:lang w:val="es-ES_tradnl"/>
        </w:rPr>
        <w:t xml:space="preserve"> de importantes instrumentos internacionales en la materia, Protocolos Adicionales I y II a los Convenios de Ginebra, ha determina</w:t>
      </w:r>
      <w:r w:rsidR="008917D0" w:rsidRPr="00A37F15">
        <w:rPr>
          <w:rFonts w:ascii="Arial Narrow" w:hAnsi="Arial Narrow" w:cs="Arial"/>
          <w:sz w:val="24"/>
          <w:szCs w:val="24"/>
          <w:lang w:val="es-ES_tradnl"/>
        </w:rPr>
        <w:t>do que el DIH es una ley especial que</w:t>
      </w:r>
      <w:r w:rsidR="00753981" w:rsidRPr="00A37F15">
        <w:rPr>
          <w:rFonts w:ascii="Arial Narrow" w:hAnsi="Arial Narrow" w:cs="Arial"/>
          <w:sz w:val="24"/>
          <w:szCs w:val="24"/>
          <w:lang w:val="es-ES_tradnl"/>
        </w:rPr>
        <w:t xml:space="preserve"> se encuentra incorporada de manera automática a nuestra legislación colombiana, que se caracteriza por su carácter imperativo que impone una connotación a los principios axiológicos que hacen que este cuerpo normativo integre el </w:t>
      </w:r>
      <w:proofErr w:type="spellStart"/>
      <w:r w:rsidR="00753981" w:rsidRPr="00A37F15">
        <w:rPr>
          <w:rFonts w:ascii="Arial Narrow" w:hAnsi="Arial Narrow" w:cs="Arial"/>
          <w:i/>
          <w:sz w:val="24"/>
          <w:szCs w:val="24"/>
          <w:lang w:val="es-ES_tradnl"/>
        </w:rPr>
        <w:t>iuscogens</w:t>
      </w:r>
      <w:proofErr w:type="spellEnd"/>
      <w:r w:rsidR="00753981" w:rsidRPr="00A37F15">
        <w:rPr>
          <w:rFonts w:ascii="Arial Narrow" w:hAnsi="Arial Narrow" w:cs="Arial"/>
          <w:i/>
          <w:sz w:val="24"/>
          <w:szCs w:val="24"/>
          <w:lang w:val="es-ES_tradnl"/>
        </w:rPr>
        <w:t>.</w:t>
      </w:r>
      <w:r w:rsidR="00753981" w:rsidRPr="00A37F15">
        <w:rPr>
          <w:rStyle w:val="Refdenotaalpie"/>
          <w:rFonts w:ascii="Arial Narrow" w:hAnsi="Arial Narrow" w:cs="Arial"/>
          <w:i/>
          <w:sz w:val="24"/>
          <w:szCs w:val="24"/>
          <w:lang w:val="es-ES_tradnl"/>
        </w:rPr>
        <w:footnoteReference w:id="1"/>
      </w:r>
    </w:p>
    <w:p w:rsidR="00753981" w:rsidRPr="00A37F15" w:rsidRDefault="00753981" w:rsidP="00944129">
      <w:pPr>
        <w:spacing w:after="0" w:line="240" w:lineRule="auto"/>
        <w:jc w:val="both"/>
        <w:rPr>
          <w:rFonts w:ascii="Arial Narrow" w:hAnsi="Arial Narrow" w:cs="Arial"/>
          <w:i/>
          <w:sz w:val="24"/>
          <w:szCs w:val="24"/>
          <w:lang w:val="es-ES_tradnl"/>
        </w:rPr>
      </w:pPr>
    </w:p>
    <w:p w:rsidR="00594D6B" w:rsidRPr="00A37F15" w:rsidRDefault="00753981"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En palabras de la Corte:</w:t>
      </w:r>
    </w:p>
    <w:p w:rsidR="008917D0" w:rsidRPr="00A37F15" w:rsidRDefault="008917D0" w:rsidP="00944129">
      <w:pPr>
        <w:spacing w:after="0" w:line="240" w:lineRule="auto"/>
        <w:jc w:val="both"/>
        <w:rPr>
          <w:rFonts w:ascii="Arial Narrow" w:hAnsi="Arial Narrow" w:cs="Arial"/>
          <w:sz w:val="24"/>
          <w:szCs w:val="24"/>
          <w:lang w:val="es-ES_tradnl"/>
        </w:rPr>
      </w:pPr>
    </w:p>
    <w:p w:rsidR="00753981" w:rsidRPr="00A37F15" w:rsidRDefault="00753981" w:rsidP="00753981">
      <w:pPr>
        <w:spacing w:after="0" w:line="240" w:lineRule="auto"/>
        <w:ind w:left="567" w:right="474"/>
        <w:jc w:val="both"/>
        <w:rPr>
          <w:rFonts w:ascii="Arial Narrow" w:hAnsi="Arial Narrow" w:cs="Arial"/>
          <w:i/>
          <w:sz w:val="24"/>
          <w:szCs w:val="24"/>
          <w:lang w:val="es-ES_tradnl"/>
        </w:rPr>
      </w:pPr>
      <w:r w:rsidRPr="00A37F15">
        <w:rPr>
          <w:rFonts w:ascii="Arial Narrow" w:hAnsi="Arial Narrow" w:cs="Arial"/>
          <w:i/>
          <w:sz w:val="24"/>
          <w:szCs w:val="24"/>
          <w:lang w:val="es-ES_tradnl"/>
        </w:rPr>
        <w:t>“La Carta de 1991 confirma y refuerza tanto la obligatoriedad del derecho internacional de los derechos humanos como la del derecho internacional humanitario.</w:t>
      </w:r>
    </w:p>
    <w:p w:rsidR="00753981" w:rsidRPr="00A37F15" w:rsidRDefault="00753981" w:rsidP="00753981">
      <w:pPr>
        <w:spacing w:after="0" w:line="240" w:lineRule="auto"/>
        <w:ind w:left="567" w:right="474"/>
        <w:jc w:val="both"/>
        <w:rPr>
          <w:rFonts w:ascii="Arial Narrow" w:hAnsi="Arial Narrow" w:cs="Arial"/>
          <w:i/>
          <w:sz w:val="24"/>
          <w:szCs w:val="24"/>
          <w:lang w:val="es-ES_tradnl"/>
        </w:rPr>
      </w:pPr>
    </w:p>
    <w:p w:rsidR="00753981" w:rsidRPr="00A37F15" w:rsidRDefault="00753981" w:rsidP="00753981">
      <w:pPr>
        <w:spacing w:after="0" w:line="240" w:lineRule="auto"/>
        <w:ind w:left="567" w:right="474"/>
        <w:jc w:val="both"/>
        <w:rPr>
          <w:rFonts w:ascii="Arial Narrow" w:hAnsi="Arial Narrow" w:cs="Arial"/>
          <w:i/>
          <w:sz w:val="24"/>
          <w:szCs w:val="24"/>
          <w:lang w:val="es-ES_tradnl"/>
        </w:rPr>
      </w:pPr>
      <w:r w:rsidRPr="00A37F15">
        <w:rPr>
          <w:rFonts w:ascii="Arial Narrow" w:hAnsi="Arial Narrow" w:cs="Arial"/>
          <w:i/>
          <w:sz w:val="24"/>
          <w:szCs w:val="24"/>
          <w:lang w:val="es-ES_tradnl"/>
        </w:rPr>
        <w:t>Así, en materia de derechos humanos la Constitución colombiana recoge toda la tradición del constitucionalismo occidental, incluyendo sus más modernos postulados, en materia de derechos humanos y mecanismos de protección. El amplio desarrollo que en el texto constitucional encuentran las llamadas tres generaciones de derechos humanos, es una prueba evidente de la voluntad del constituyente de hacer de esta materia la piedra angular del ordenamiento jurídico-político.</w:t>
      </w:r>
    </w:p>
    <w:p w:rsidR="00753981" w:rsidRPr="00A37F15" w:rsidRDefault="00753981" w:rsidP="00753981">
      <w:pPr>
        <w:spacing w:after="0" w:line="240" w:lineRule="auto"/>
        <w:ind w:left="567" w:right="474"/>
        <w:jc w:val="both"/>
        <w:rPr>
          <w:rFonts w:ascii="Arial Narrow" w:hAnsi="Arial Narrow" w:cs="Arial"/>
          <w:i/>
          <w:sz w:val="24"/>
          <w:szCs w:val="24"/>
          <w:lang w:val="es-ES_tradnl"/>
        </w:rPr>
      </w:pPr>
    </w:p>
    <w:p w:rsidR="00753981" w:rsidRPr="00A37F15" w:rsidRDefault="00753981" w:rsidP="00753981">
      <w:pPr>
        <w:spacing w:after="0" w:line="240" w:lineRule="auto"/>
        <w:ind w:left="567" w:right="474"/>
        <w:jc w:val="both"/>
        <w:rPr>
          <w:rFonts w:ascii="Arial Narrow" w:hAnsi="Arial Narrow" w:cs="Arial"/>
          <w:i/>
          <w:sz w:val="24"/>
          <w:szCs w:val="24"/>
          <w:lang w:val="es-ES_tradnl"/>
        </w:rPr>
      </w:pPr>
      <w:r w:rsidRPr="00A37F15">
        <w:rPr>
          <w:rFonts w:ascii="Arial Narrow" w:hAnsi="Arial Narrow" w:cs="Arial"/>
          <w:i/>
          <w:sz w:val="24"/>
          <w:szCs w:val="24"/>
          <w:lang w:val="es-ES_tradnl"/>
        </w:rPr>
        <w:t>Pero la Asamblea Nacional Constituyente no se contentó con señalar una amplia y generosa lista de derechos respaldados por variados mecanismos de protección, sino que hizo referencia a la necesidad de respetar en toda circunstancia valores y principios fundamentales de la persona humana y del régimen político con independencia de su consagración expresa. Así se deduce de los artículos 93 y 94 de la Constitución Política actualmente en vigor.</w:t>
      </w:r>
    </w:p>
    <w:p w:rsidR="00753981" w:rsidRPr="00A37F15" w:rsidRDefault="00753981" w:rsidP="00753981">
      <w:pPr>
        <w:spacing w:after="0" w:line="240" w:lineRule="auto"/>
        <w:ind w:left="567" w:right="474"/>
        <w:jc w:val="both"/>
        <w:rPr>
          <w:rFonts w:ascii="Arial Narrow" w:hAnsi="Arial Narrow" w:cs="Arial"/>
          <w:i/>
          <w:sz w:val="24"/>
          <w:szCs w:val="24"/>
          <w:lang w:val="es-ES_tradnl"/>
        </w:rPr>
      </w:pPr>
    </w:p>
    <w:p w:rsidR="00753981" w:rsidRPr="00A37F15" w:rsidRDefault="00753981" w:rsidP="00753981">
      <w:pPr>
        <w:spacing w:after="0" w:line="240" w:lineRule="auto"/>
        <w:ind w:left="567" w:right="474"/>
        <w:jc w:val="both"/>
        <w:rPr>
          <w:rFonts w:ascii="Arial Narrow" w:hAnsi="Arial Narrow" w:cs="Arial"/>
          <w:i/>
          <w:sz w:val="24"/>
          <w:szCs w:val="24"/>
          <w:lang w:val="es-ES_tradnl"/>
        </w:rPr>
      </w:pPr>
      <w:r w:rsidRPr="00A37F15">
        <w:rPr>
          <w:rFonts w:ascii="Arial Narrow" w:hAnsi="Arial Narrow" w:cs="Arial"/>
          <w:i/>
          <w:sz w:val="24"/>
          <w:szCs w:val="24"/>
          <w:lang w:val="es-ES_tradnl"/>
        </w:rPr>
        <w:t>En el primero de ellos, el Constituyente consagró la primacía del derecho internacional convencional relativo a los derechos humanos, al establecer la prevalencia de los tratados y convenios ratificados por Colombia y la obligación de interpretar la Carta de derechos de conformidad con dichos convenios y tratados.</w:t>
      </w:r>
    </w:p>
    <w:p w:rsidR="00753981" w:rsidRPr="00A37F15" w:rsidRDefault="00753981" w:rsidP="00753981">
      <w:pPr>
        <w:spacing w:after="0" w:line="240" w:lineRule="auto"/>
        <w:ind w:left="567" w:right="474"/>
        <w:jc w:val="both"/>
        <w:rPr>
          <w:rFonts w:ascii="Arial Narrow" w:hAnsi="Arial Narrow" w:cs="Arial"/>
          <w:i/>
          <w:sz w:val="24"/>
          <w:szCs w:val="24"/>
          <w:lang w:val="es-ES_tradnl"/>
        </w:rPr>
      </w:pPr>
    </w:p>
    <w:p w:rsidR="00753981" w:rsidRPr="00A37F15" w:rsidRDefault="00753981" w:rsidP="00753981">
      <w:pPr>
        <w:spacing w:after="0" w:line="240" w:lineRule="auto"/>
        <w:ind w:left="567" w:right="474"/>
        <w:jc w:val="both"/>
        <w:rPr>
          <w:rFonts w:ascii="Arial Narrow" w:hAnsi="Arial Narrow" w:cs="Arial"/>
          <w:i/>
          <w:sz w:val="24"/>
          <w:szCs w:val="24"/>
          <w:lang w:val="es-ES_tradnl"/>
        </w:rPr>
      </w:pPr>
      <w:r w:rsidRPr="00A37F15">
        <w:rPr>
          <w:rFonts w:ascii="Arial Narrow" w:hAnsi="Arial Narrow" w:cs="Arial"/>
          <w:i/>
          <w:sz w:val="24"/>
          <w:szCs w:val="24"/>
          <w:lang w:val="es-ES_tradnl"/>
        </w:rPr>
        <w:t>En el artículo 94 estableció la posibilidad de aplicar derechos no consagrados en el texto constitucional o incluso en los convenios y tratados ratificados por Colombia, cuando se trate de derechos inherentes a la persona humana. De acuerdo con este texto constitucional, el valor inherente o fundamental no depende de la consagración expresa: es, pues, un valor normativo independiente de toda consagración en el ordenamiento positivo, tal como lo entendía el clásico derecho natural racionalista.</w:t>
      </w:r>
    </w:p>
    <w:p w:rsidR="00753981" w:rsidRPr="00A37F15" w:rsidRDefault="00753981" w:rsidP="00753981">
      <w:pPr>
        <w:spacing w:after="0" w:line="240" w:lineRule="auto"/>
        <w:ind w:left="567" w:right="474"/>
        <w:jc w:val="both"/>
        <w:rPr>
          <w:rFonts w:ascii="Arial Narrow" w:hAnsi="Arial Narrow" w:cs="Arial"/>
          <w:i/>
          <w:sz w:val="24"/>
          <w:szCs w:val="24"/>
          <w:lang w:val="es-ES_tradnl"/>
        </w:rPr>
      </w:pPr>
    </w:p>
    <w:p w:rsidR="00753981" w:rsidRPr="00A37F15" w:rsidRDefault="00753981" w:rsidP="00E32B1A">
      <w:pPr>
        <w:spacing w:after="0" w:line="240" w:lineRule="auto"/>
        <w:ind w:left="567" w:right="474"/>
        <w:jc w:val="both"/>
        <w:rPr>
          <w:rFonts w:ascii="Arial Narrow" w:hAnsi="Arial Narrow" w:cs="Arial"/>
          <w:i/>
          <w:sz w:val="24"/>
          <w:szCs w:val="24"/>
          <w:lang w:val="es-ES_tradnl"/>
        </w:rPr>
      </w:pPr>
      <w:r w:rsidRPr="00A37F15">
        <w:rPr>
          <w:rFonts w:ascii="Arial Narrow" w:hAnsi="Arial Narrow" w:cs="Arial"/>
          <w:i/>
          <w:sz w:val="24"/>
          <w:szCs w:val="24"/>
          <w:lang w:val="es-ES_tradnl"/>
        </w:rPr>
        <w:t>Por otra parte, en el artículo 214, numeral 2o. de la Carta se consagró el valor supraconstitucional del derecho internacional humanitario cuando, al regular los parámetros a que se sujetan las atribuciones presidenciales durante los est</w:t>
      </w:r>
      <w:r w:rsidR="00B472FD">
        <w:rPr>
          <w:rFonts w:ascii="Arial Narrow" w:hAnsi="Arial Narrow" w:cs="Arial"/>
          <w:i/>
          <w:sz w:val="24"/>
          <w:szCs w:val="24"/>
          <w:lang w:val="es-ES_tradnl"/>
        </w:rPr>
        <w:t xml:space="preserve">ados de excepción, dispuso </w:t>
      </w:r>
      <w:proofErr w:type="spellStart"/>
      <w:r w:rsidR="00B472FD">
        <w:rPr>
          <w:rFonts w:ascii="Arial Narrow" w:hAnsi="Arial Narrow" w:cs="Arial"/>
          <w:i/>
          <w:sz w:val="24"/>
          <w:szCs w:val="24"/>
          <w:lang w:val="es-ES_tradnl"/>
        </w:rPr>
        <w:t>que:</w:t>
      </w:r>
      <w:r w:rsidRPr="00A37F15">
        <w:rPr>
          <w:rFonts w:ascii="Arial Narrow" w:hAnsi="Arial Narrow" w:cs="Arial"/>
          <w:i/>
          <w:sz w:val="24"/>
          <w:szCs w:val="24"/>
          <w:lang w:val="es-ES_tradnl"/>
        </w:rPr>
        <w:t>"En</w:t>
      </w:r>
      <w:proofErr w:type="spellEnd"/>
      <w:r w:rsidRPr="00A37F15">
        <w:rPr>
          <w:rFonts w:ascii="Arial Narrow" w:hAnsi="Arial Narrow" w:cs="Arial"/>
          <w:i/>
          <w:sz w:val="24"/>
          <w:szCs w:val="24"/>
          <w:lang w:val="es-ES_tradnl"/>
        </w:rPr>
        <w:t xml:space="preserve"> todo caso se respetarán las reglas del derecho internacional humanitario</w:t>
      </w:r>
      <w:r w:rsidR="00E32B1A">
        <w:rPr>
          <w:rFonts w:ascii="Arial Narrow" w:hAnsi="Arial Narrow" w:cs="Arial"/>
          <w:i/>
          <w:sz w:val="24"/>
          <w:szCs w:val="24"/>
          <w:lang w:val="es-ES_tradnl"/>
        </w:rPr>
        <w:t>.</w:t>
      </w:r>
      <w:r w:rsidRPr="00A37F15">
        <w:rPr>
          <w:rFonts w:ascii="Arial Narrow" w:hAnsi="Arial Narrow" w:cs="Arial"/>
          <w:i/>
          <w:sz w:val="24"/>
          <w:szCs w:val="24"/>
          <w:lang w:val="es-ES_tradnl"/>
        </w:rPr>
        <w:t>"</w:t>
      </w:r>
      <w:r w:rsidRPr="00A37F15">
        <w:rPr>
          <w:rStyle w:val="Refdenotaalpie"/>
          <w:rFonts w:ascii="Arial Narrow" w:hAnsi="Arial Narrow" w:cs="Arial"/>
          <w:i/>
          <w:sz w:val="24"/>
          <w:szCs w:val="24"/>
          <w:lang w:val="es-ES_tradnl"/>
        </w:rPr>
        <w:footnoteReference w:id="2"/>
      </w:r>
    </w:p>
    <w:p w:rsidR="008917D0" w:rsidRPr="00A37F15" w:rsidRDefault="008917D0" w:rsidP="00944129">
      <w:pPr>
        <w:spacing w:after="0" w:line="240" w:lineRule="auto"/>
        <w:jc w:val="both"/>
        <w:rPr>
          <w:rFonts w:ascii="Arial Narrow" w:hAnsi="Arial Narrow" w:cs="Arial"/>
          <w:sz w:val="24"/>
          <w:szCs w:val="24"/>
          <w:lang w:val="es-ES_tradnl"/>
        </w:rPr>
      </w:pPr>
    </w:p>
    <w:p w:rsidR="008C3919" w:rsidRPr="00A37F15" w:rsidRDefault="00753981"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En ese mismo orden de ideas, la Corte en Sentencia C-225 del 18 de mayo de 1995</w:t>
      </w:r>
      <w:r w:rsidR="008C3919" w:rsidRPr="00A37F15">
        <w:rPr>
          <w:rFonts w:ascii="Arial Narrow" w:hAnsi="Arial Narrow" w:cs="Arial"/>
          <w:sz w:val="24"/>
          <w:szCs w:val="24"/>
          <w:lang w:val="es-ES_tradnl"/>
        </w:rPr>
        <w:t xml:space="preserve">, </w:t>
      </w:r>
      <w:r w:rsidR="00F16731" w:rsidRPr="00A37F15">
        <w:rPr>
          <w:rFonts w:ascii="Arial Narrow" w:hAnsi="Arial Narrow" w:cs="Arial"/>
          <w:sz w:val="24"/>
          <w:szCs w:val="24"/>
          <w:lang w:val="es-ES_tradnl"/>
        </w:rPr>
        <w:t xml:space="preserve"> estableció su obligatoriedad respecto de todas las partes que hagan parte de los conflictos armados, a saber:</w:t>
      </w:r>
    </w:p>
    <w:p w:rsidR="00F16731" w:rsidRPr="00A37F15" w:rsidRDefault="00F16731" w:rsidP="00F16731">
      <w:pPr>
        <w:spacing w:after="0" w:line="240" w:lineRule="auto"/>
        <w:jc w:val="both"/>
        <w:rPr>
          <w:rFonts w:ascii="Arial Narrow" w:hAnsi="Arial Narrow" w:cs="Arial"/>
          <w:sz w:val="24"/>
          <w:szCs w:val="24"/>
          <w:lang w:val="es-ES_tradnl"/>
        </w:rPr>
      </w:pPr>
    </w:p>
    <w:p w:rsidR="00F16731" w:rsidRPr="00A37F15" w:rsidRDefault="00F16731" w:rsidP="00F16731">
      <w:pPr>
        <w:spacing w:after="0" w:line="240" w:lineRule="auto"/>
        <w:ind w:left="567" w:right="474"/>
        <w:jc w:val="both"/>
        <w:rPr>
          <w:rFonts w:ascii="Arial Narrow" w:hAnsi="Arial Narrow" w:cs="Arial"/>
          <w:i/>
          <w:sz w:val="24"/>
          <w:szCs w:val="24"/>
          <w:lang w:val="es-ES_tradnl"/>
        </w:rPr>
      </w:pPr>
      <w:r w:rsidRPr="00A37F15">
        <w:rPr>
          <w:rFonts w:ascii="Arial Narrow" w:hAnsi="Arial Narrow" w:cs="Arial"/>
          <w:i/>
          <w:sz w:val="24"/>
          <w:szCs w:val="24"/>
          <w:lang w:val="es-ES_tradnl"/>
        </w:rPr>
        <w:t>“… la obligatoriedad del derecho internacional humanitario se impone a todas las partes que participen en un conflicto armado, y no sólo a las Fuerzas Armadas de aquellos Estados que hayan ratificado los respectivos tratados. No es pues legítimo que un actor armado irregular, o una fuerza armada estatal, consideren que no tienen que respetar en un conflicto armado las normas mínimas de humanidad, por no haber suscrito estos actores los convenios internacionales respectivos, puesto que-se repite-la fuerza normativa del derecho internacional humanitario deriva de la universal aceptación de sus contenidos normativos por los pueblos civilizados y de la evidencia de los valores de humanidad que estos instrumentos internacionales recogen. Todos los actores armados, estatales o no estatales, están entonces obligados a respetar estas normas que consagran aquellos principios mínimos de humanidad que no pueden ser derogados ni siquiera en las peores situaciones de conflicto armado.</w:t>
      </w:r>
    </w:p>
    <w:p w:rsidR="00F16731" w:rsidRPr="00A37F15" w:rsidRDefault="00F16731" w:rsidP="00F16731">
      <w:pPr>
        <w:spacing w:after="0" w:line="240" w:lineRule="auto"/>
        <w:ind w:left="567" w:right="474"/>
        <w:jc w:val="both"/>
        <w:rPr>
          <w:rFonts w:ascii="Arial Narrow" w:hAnsi="Arial Narrow" w:cs="Arial"/>
          <w:i/>
          <w:sz w:val="24"/>
          <w:szCs w:val="24"/>
          <w:lang w:val="es-ES_tradnl"/>
        </w:rPr>
      </w:pPr>
    </w:p>
    <w:p w:rsidR="00F16731" w:rsidRPr="00A37F15" w:rsidRDefault="00F16731" w:rsidP="00F16731">
      <w:pPr>
        <w:spacing w:after="0" w:line="240" w:lineRule="auto"/>
        <w:ind w:left="567" w:right="474"/>
        <w:jc w:val="both"/>
        <w:rPr>
          <w:rFonts w:ascii="Arial Narrow" w:hAnsi="Arial Narrow" w:cs="Arial"/>
          <w:i/>
          <w:sz w:val="24"/>
          <w:szCs w:val="24"/>
          <w:lang w:val="es-ES_tradnl"/>
        </w:rPr>
      </w:pPr>
      <w:r w:rsidRPr="00A37F15">
        <w:rPr>
          <w:rFonts w:ascii="Arial Narrow" w:hAnsi="Arial Narrow" w:cs="Arial"/>
          <w:i/>
          <w:sz w:val="24"/>
          <w:szCs w:val="24"/>
          <w:lang w:val="es-ES_tradnl"/>
        </w:rPr>
        <w:t>(…) Tampoco puede uno de los actores armados alegar el incumplimiento del derecho humanitario por su contrincante con el fin de excusar sus propias violaciones de estas normas, ya que las limitaciones a los combatientes se imponen en beneficio de la persona humana. Por eso, este derecho tiene la particularidad de que sus reglas constituyen garantías inalienables estructuradas de manera singular: se imponen obligaciones a los actores armados, en beneficio no propio sino de terceros: la población no combatiente y las víctimas de ese enfrentamiento bélico. Ello explica que la obligación humanitaria no se funde en la reciprocidad, pues ella es exigible para cada una de las partes, sin hallarse subordinada a su cumplimiento correlativo por la otra parte, puesto que el titular de tales garantías es el tercero no combatiente, y no las partes en conflicto. Al respecto, esta Corte ya había señalado que "en estos tratados no opera el tradicional principio de la reciprocidad ni tampoco,-como lo pone de presente la Corte Internacional de Justicia en el caso del conflicto entre Estados Unidos y Nicaragua-, son susceptibles de reserva”</w:t>
      </w:r>
    </w:p>
    <w:p w:rsidR="008C3919" w:rsidRDefault="008C3919" w:rsidP="00944129">
      <w:pPr>
        <w:spacing w:after="0" w:line="240" w:lineRule="auto"/>
        <w:jc w:val="both"/>
        <w:rPr>
          <w:rFonts w:ascii="Arial Narrow" w:hAnsi="Arial Narrow" w:cs="Arial"/>
          <w:sz w:val="24"/>
          <w:szCs w:val="24"/>
          <w:lang w:val="es-ES_tradnl"/>
        </w:rPr>
      </w:pPr>
    </w:p>
    <w:p w:rsidR="00E32B1A" w:rsidRDefault="00E32B1A" w:rsidP="00944129">
      <w:pPr>
        <w:spacing w:after="0" w:line="240" w:lineRule="auto"/>
        <w:jc w:val="both"/>
        <w:rPr>
          <w:rFonts w:ascii="Arial Narrow" w:hAnsi="Arial Narrow" w:cs="Arial"/>
          <w:sz w:val="24"/>
          <w:szCs w:val="24"/>
          <w:lang w:val="es-ES_tradnl"/>
        </w:rPr>
      </w:pPr>
    </w:p>
    <w:p w:rsidR="00E32B1A" w:rsidRPr="00A37F15" w:rsidRDefault="00E32B1A" w:rsidP="00944129">
      <w:pPr>
        <w:spacing w:after="0" w:line="240" w:lineRule="auto"/>
        <w:jc w:val="both"/>
        <w:rPr>
          <w:rFonts w:ascii="Arial Narrow" w:hAnsi="Arial Narrow" w:cs="Arial"/>
          <w:sz w:val="24"/>
          <w:szCs w:val="24"/>
          <w:lang w:val="es-ES_tradnl"/>
        </w:rPr>
      </w:pPr>
    </w:p>
    <w:p w:rsidR="00F16731" w:rsidRPr="00A37F15" w:rsidRDefault="00F16731"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Igualmente, la Corte respecto de los conflictos armados internos, indicó que:</w:t>
      </w:r>
    </w:p>
    <w:p w:rsidR="00F16731" w:rsidRPr="00A37F15" w:rsidRDefault="00F16731" w:rsidP="00944129">
      <w:pPr>
        <w:spacing w:after="0" w:line="240" w:lineRule="auto"/>
        <w:jc w:val="both"/>
        <w:rPr>
          <w:rFonts w:ascii="Arial Narrow" w:hAnsi="Arial Narrow" w:cs="Arial"/>
          <w:sz w:val="24"/>
          <w:szCs w:val="24"/>
          <w:lang w:val="es-ES_tradnl"/>
        </w:rPr>
      </w:pPr>
    </w:p>
    <w:p w:rsidR="00F16731" w:rsidRPr="00A37F15" w:rsidRDefault="00F16731" w:rsidP="00FB0D4B">
      <w:pPr>
        <w:spacing w:after="0" w:line="240" w:lineRule="auto"/>
        <w:ind w:left="567" w:right="474"/>
        <w:jc w:val="both"/>
        <w:rPr>
          <w:rFonts w:ascii="Arial Narrow" w:hAnsi="Arial Narrow" w:cs="Arial"/>
          <w:i/>
          <w:sz w:val="24"/>
          <w:szCs w:val="24"/>
          <w:lang w:val="es-ES_tradnl"/>
        </w:rPr>
      </w:pPr>
      <w:r w:rsidRPr="00A37F15">
        <w:rPr>
          <w:rFonts w:ascii="Arial Narrow" w:hAnsi="Arial Narrow" w:cs="Arial"/>
          <w:i/>
          <w:sz w:val="24"/>
          <w:szCs w:val="24"/>
          <w:lang w:val="es-ES_tradnl"/>
        </w:rPr>
        <w:t>“… el artículo 3º común señala que la aplicación de sus disposiciones "no surtirá efectos sobre el estatuto jurídico de las partes en conflicto". Esta pequeña frase implicó, en su momento, una verdadera revolución jurídica, puesto que permitió que, en los conflictos internos, la aplicación de las normas humanitarias dejara de estar subordinada al reconocimiento de beligerancia de los insurrectos.</w:t>
      </w:r>
    </w:p>
    <w:p w:rsidR="00F16731" w:rsidRPr="00A37F15" w:rsidRDefault="00F16731" w:rsidP="00FB0D4B">
      <w:pPr>
        <w:spacing w:after="0" w:line="240" w:lineRule="auto"/>
        <w:ind w:left="567" w:right="474"/>
        <w:jc w:val="both"/>
        <w:rPr>
          <w:rFonts w:ascii="Arial Narrow" w:hAnsi="Arial Narrow" w:cs="Arial"/>
          <w:i/>
          <w:sz w:val="24"/>
          <w:szCs w:val="24"/>
          <w:lang w:val="es-ES_tradnl"/>
        </w:rPr>
      </w:pPr>
    </w:p>
    <w:p w:rsidR="00F16731" w:rsidRPr="00A37F15" w:rsidRDefault="00FB0D4B" w:rsidP="00FB0D4B">
      <w:pPr>
        <w:spacing w:after="0" w:line="240" w:lineRule="auto"/>
        <w:ind w:left="567" w:right="474"/>
        <w:jc w:val="both"/>
        <w:rPr>
          <w:rFonts w:ascii="Arial Narrow" w:hAnsi="Arial Narrow" w:cs="Arial"/>
          <w:i/>
          <w:sz w:val="24"/>
          <w:szCs w:val="24"/>
          <w:lang w:val="es-ES_tradnl"/>
        </w:rPr>
      </w:pPr>
      <w:r w:rsidRPr="00A37F15">
        <w:rPr>
          <w:rFonts w:ascii="Arial Narrow" w:hAnsi="Arial Narrow" w:cs="Arial"/>
          <w:i/>
          <w:sz w:val="24"/>
          <w:szCs w:val="24"/>
          <w:lang w:val="es-ES_tradnl"/>
        </w:rPr>
        <w:t xml:space="preserve">(…) los alzados en armas son sujetos de derecho internacional humanitario, puesto que están obligados a respetar las normas humanitarias, ya que éstas son normas de </w:t>
      </w:r>
      <w:proofErr w:type="spellStart"/>
      <w:r w:rsidRPr="00A37F15">
        <w:rPr>
          <w:rFonts w:ascii="Arial Narrow" w:hAnsi="Arial Narrow" w:cs="Arial"/>
          <w:i/>
          <w:sz w:val="24"/>
          <w:szCs w:val="24"/>
          <w:lang w:val="es-ES_tradnl"/>
        </w:rPr>
        <w:t>iuscogens</w:t>
      </w:r>
      <w:proofErr w:type="spellEnd"/>
      <w:r w:rsidRPr="00A37F15">
        <w:rPr>
          <w:rFonts w:ascii="Arial Narrow" w:hAnsi="Arial Narrow" w:cs="Arial"/>
          <w:i/>
          <w:sz w:val="24"/>
          <w:szCs w:val="24"/>
          <w:lang w:val="es-ES_tradnl"/>
        </w:rPr>
        <w:t xml:space="preserve"> imperativas para todas las partes del conflicto. Pero esos rebeldes no devienen, por la sola aplicación del derecho humanitario, sujetos de derecho internacional público, puesto que siguen sometidos al derecho penal interno del Estado respectivo, y pueden ser penados por haber tomado las armas e incurrido en perturbación del orden público. Como dice el jurista chileno Hernán Montealegre, "el derecho humanitario coexiste con el derecho interno, el que recibe su aplicación general, y no afecta la condición jurídica de las partes contendientes respecto a su posición legal o ilegal ante el recurso a la fuerza." El Estado sigue entonces detentando el monopolio jurídico legítimo de la coacción, mientras que los alzados en armas quedan sometidos a las penas previstas para delitos como la rebelión o la sedición.</w:t>
      </w:r>
      <w:r w:rsidRPr="0054436E">
        <w:rPr>
          <w:rFonts w:ascii="Arial Narrow" w:hAnsi="Arial Narrow" w:cs="Arial"/>
          <w:i/>
          <w:sz w:val="24"/>
          <w:szCs w:val="24"/>
          <w:lang w:val="es-CO"/>
        </w:rPr>
        <w:t>”</w:t>
      </w:r>
      <w:r w:rsidR="004B0414">
        <w:rPr>
          <w:rStyle w:val="Refdenotaalpie"/>
          <w:rFonts w:ascii="Arial Narrow" w:hAnsi="Arial Narrow" w:cs="Arial"/>
          <w:i/>
          <w:sz w:val="24"/>
          <w:szCs w:val="24"/>
          <w:lang w:val="en-US"/>
        </w:rPr>
        <w:footnoteReference w:id="3"/>
      </w:r>
    </w:p>
    <w:p w:rsidR="00F16731" w:rsidRPr="00A37F15" w:rsidRDefault="00F16731" w:rsidP="00944129">
      <w:pPr>
        <w:spacing w:after="0" w:line="240" w:lineRule="auto"/>
        <w:jc w:val="both"/>
        <w:rPr>
          <w:rFonts w:ascii="Arial Narrow" w:hAnsi="Arial Narrow" w:cs="Arial"/>
          <w:sz w:val="24"/>
          <w:szCs w:val="24"/>
          <w:lang w:val="es-ES_tradnl"/>
        </w:rPr>
      </w:pPr>
    </w:p>
    <w:p w:rsidR="008C3919" w:rsidRPr="00A37F15" w:rsidRDefault="00AE7EEA" w:rsidP="008C391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 xml:space="preserve">Así las cosas, resulta claro que </w:t>
      </w:r>
      <w:r w:rsidR="008C3919" w:rsidRPr="00A37F15">
        <w:rPr>
          <w:rFonts w:ascii="Arial Narrow" w:hAnsi="Arial Narrow" w:cs="Arial"/>
          <w:sz w:val="24"/>
          <w:szCs w:val="24"/>
          <w:lang w:val="es-ES_tradnl"/>
        </w:rPr>
        <w:t xml:space="preserve">“la aplicación del Derecho Internacional Humanitario no implica un reconocimiento ni de la legitimidad de las razones o causas invocadas por los grupos armados disidentes que toman parte en los conflictos armados, ni tampoco –desde ninguna perspectiva- un reconocimiento de insurgencia o de beligerancia a la luz del Derecho Internacional Público”. </w:t>
      </w:r>
      <w:r w:rsidR="00CE166C" w:rsidRPr="00A37F15">
        <w:rPr>
          <w:rStyle w:val="Refdenotaalpie"/>
          <w:rFonts w:ascii="Arial Narrow" w:hAnsi="Arial Narrow" w:cs="Arial"/>
          <w:sz w:val="24"/>
          <w:szCs w:val="24"/>
          <w:lang w:val="es-ES_tradnl"/>
        </w:rPr>
        <w:footnoteReference w:id="4"/>
      </w:r>
    </w:p>
    <w:p w:rsidR="008C3919" w:rsidRPr="00A37F15" w:rsidRDefault="008C3919" w:rsidP="008C3919">
      <w:pPr>
        <w:spacing w:after="0" w:line="240" w:lineRule="auto"/>
        <w:jc w:val="both"/>
        <w:rPr>
          <w:rFonts w:ascii="Arial Narrow" w:hAnsi="Arial Narrow" w:cs="Arial"/>
          <w:sz w:val="24"/>
          <w:szCs w:val="24"/>
          <w:lang w:val="es-ES_tradnl"/>
        </w:rPr>
      </w:pPr>
    </w:p>
    <w:p w:rsidR="008C3919" w:rsidRPr="00A37F15" w:rsidRDefault="008C3919" w:rsidP="008C391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Adicionalmente, la misma legislación penal ha previsto un título específico sobre infracciones al DIH, lo cual evidencia que para el legislador y por tanto para las autoridades judiciales no existe duda de la aplicación del DIH.</w:t>
      </w:r>
    </w:p>
    <w:p w:rsidR="008C3919" w:rsidRPr="00A37F15" w:rsidRDefault="008C3919" w:rsidP="008C3919">
      <w:pPr>
        <w:spacing w:after="0" w:line="240" w:lineRule="auto"/>
        <w:jc w:val="both"/>
        <w:rPr>
          <w:rFonts w:ascii="Arial Narrow" w:hAnsi="Arial Narrow" w:cs="Arial"/>
          <w:sz w:val="24"/>
          <w:szCs w:val="24"/>
          <w:lang w:val="es-ES_tradnl"/>
        </w:rPr>
      </w:pPr>
    </w:p>
    <w:p w:rsidR="008C3919" w:rsidRPr="00A37F15" w:rsidRDefault="008C3919" w:rsidP="008C391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En el ámbito judicial, la aplicación del DIH implica que los jueces en sus providencias y los sujetos de derecho en sus comportamientos oficiales o privados deben atenerse a sus prescripciones. En efecto, la Corte Constitucional en Sentencia C-291 de 2007 estableció que una de las garantías fundamentales que forma parte de la aplicación del DIH es la obligación de respetar las garantías judiciales esenciales y los principios de legalidad de los delitos y de las penas y de responsabilidad penal individual.</w:t>
      </w:r>
      <w:r w:rsidR="004B0414">
        <w:rPr>
          <w:rStyle w:val="Refdenotaalpie"/>
          <w:rFonts w:ascii="Arial Narrow" w:hAnsi="Arial Narrow" w:cs="Arial"/>
          <w:sz w:val="24"/>
          <w:szCs w:val="24"/>
          <w:lang w:val="es-ES_tradnl"/>
        </w:rPr>
        <w:footnoteReference w:id="5"/>
      </w:r>
    </w:p>
    <w:p w:rsidR="000D6997" w:rsidRPr="00A37F15" w:rsidRDefault="000D6997" w:rsidP="00944129">
      <w:pPr>
        <w:spacing w:after="0" w:line="240" w:lineRule="auto"/>
        <w:jc w:val="both"/>
        <w:rPr>
          <w:rFonts w:ascii="Arial Narrow" w:hAnsi="Arial Narrow" w:cs="Arial"/>
          <w:sz w:val="24"/>
          <w:szCs w:val="24"/>
          <w:lang w:val="es-ES_tradnl"/>
        </w:rPr>
      </w:pPr>
    </w:p>
    <w:p w:rsidR="00594D6B" w:rsidRPr="00A37F15" w:rsidRDefault="00005AA0" w:rsidP="00944129">
      <w:pPr>
        <w:spacing w:after="0" w:line="240" w:lineRule="auto"/>
        <w:jc w:val="both"/>
        <w:rPr>
          <w:rFonts w:ascii="Arial Narrow" w:hAnsi="Arial Narrow" w:cs="Arial"/>
          <w:sz w:val="24"/>
          <w:szCs w:val="24"/>
          <w:lang w:val="es-ES_tradnl"/>
        </w:rPr>
      </w:pPr>
      <w:r>
        <w:rPr>
          <w:rFonts w:ascii="Arial Narrow" w:hAnsi="Arial Narrow" w:cs="Arial"/>
          <w:sz w:val="24"/>
          <w:szCs w:val="24"/>
          <w:lang w:val="es-ES_tradnl"/>
        </w:rPr>
        <w:t>Por otro lado, el Honorable</w:t>
      </w:r>
      <w:r w:rsidR="00594D6B" w:rsidRPr="00A37F15">
        <w:rPr>
          <w:rFonts w:ascii="Arial Narrow" w:hAnsi="Arial Narrow" w:cs="Arial"/>
          <w:sz w:val="24"/>
          <w:szCs w:val="24"/>
          <w:lang w:val="es-ES_tradnl"/>
        </w:rPr>
        <w:t xml:space="preserve"> Senador Alfredo Rangel Suarez expresó su inquietud en relación con la autoridad competente para dirimir </w:t>
      </w:r>
      <w:r>
        <w:rPr>
          <w:rFonts w:ascii="Arial Narrow" w:hAnsi="Arial Narrow" w:cs="Arial"/>
          <w:sz w:val="24"/>
          <w:szCs w:val="24"/>
          <w:lang w:val="es-ES_tradnl"/>
        </w:rPr>
        <w:t>conflictos de competencia. El Honorable</w:t>
      </w:r>
      <w:r w:rsidR="00594D6B" w:rsidRPr="00A37F15">
        <w:rPr>
          <w:rFonts w:ascii="Arial Narrow" w:hAnsi="Arial Narrow" w:cs="Arial"/>
          <w:sz w:val="24"/>
          <w:szCs w:val="24"/>
          <w:lang w:val="es-ES_tradnl"/>
        </w:rPr>
        <w:t xml:space="preserve"> Senador manifestó que</w:t>
      </w:r>
      <w:r w:rsidR="00A96B33" w:rsidRPr="00A37F15">
        <w:rPr>
          <w:rFonts w:ascii="Arial Narrow" w:hAnsi="Arial Narrow" w:cs="Arial"/>
          <w:sz w:val="24"/>
          <w:szCs w:val="24"/>
          <w:lang w:val="es-ES_tradnl"/>
        </w:rPr>
        <w:t>,</w:t>
      </w:r>
      <w:r w:rsidR="00594D6B" w:rsidRPr="00A37F15">
        <w:rPr>
          <w:rFonts w:ascii="Arial Narrow" w:hAnsi="Arial Narrow" w:cs="Arial"/>
          <w:sz w:val="24"/>
          <w:szCs w:val="24"/>
          <w:lang w:val="es-ES_tradnl"/>
        </w:rPr>
        <w:t xml:space="preserve"> si bien por la consecutividad del Proyecto </w:t>
      </w:r>
      <w:r w:rsidR="00A96B33" w:rsidRPr="00A37F15">
        <w:rPr>
          <w:rFonts w:ascii="Arial Narrow" w:hAnsi="Arial Narrow" w:cs="Arial"/>
          <w:sz w:val="24"/>
          <w:szCs w:val="24"/>
          <w:lang w:val="es-ES_tradnl"/>
        </w:rPr>
        <w:t>de Acto Legislativo y su</w:t>
      </w:r>
      <w:r w:rsidR="00594D6B" w:rsidRPr="00A37F15">
        <w:rPr>
          <w:rFonts w:ascii="Arial Narrow" w:hAnsi="Arial Narrow" w:cs="Arial"/>
          <w:sz w:val="24"/>
          <w:szCs w:val="24"/>
          <w:lang w:val="es-ES_tradnl"/>
        </w:rPr>
        <w:t xml:space="preserve"> uni</w:t>
      </w:r>
      <w:r w:rsidR="003E392A">
        <w:rPr>
          <w:rFonts w:ascii="Arial Narrow" w:hAnsi="Arial Narrow" w:cs="Arial"/>
          <w:sz w:val="24"/>
          <w:szCs w:val="24"/>
          <w:lang w:val="es-ES_tradnl"/>
        </w:rPr>
        <w:t>dad de materia, no se puede</w:t>
      </w:r>
      <w:r w:rsidR="000D6997" w:rsidRPr="00A37F15">
        <w:rPr>
          <w:rFonts w:ascii="Arial Narrow" w:hAnsi="Arial Narrow" w:cs="Arial"/>
          <w:sz w:val="24"/>
          <w:szCs w:val="24"/>
          <w:lang w:val="es-ES_tradnl"/>
        </w:rPr>
        <w:t xml:space="preserve"> dar solución a esta  inquietud</w:t>
      </w:r>
      <w:r w:rsidR="00A96B33" w:rsidRPr="00A37F15">
        <w:rPr>
          <w:rFonts w:ascii="Arial Narrow" w:hAnsi="Arial Narrow" w:cs="Arial"/>
          <w:sz w:val="24"/>
          <w:szCs w:val="24"/>
          <w:lang w:val="es-ES_tradnl"/>
        </w:rPr>
        <w:t xml:space="preserve">, es </w:t>
      </w:r>
      <w:r w:rsidR="000D6997" w:rsidRPr="00A37F15">
        <w:rPr>
          <w:rFonts w:ascii="Arial Narrow" w:hAnsi="Arial Narrow" w:cs="Arial"/>
          <w:sz w:val="24"/>
          <w:szCs w:val="24"/>
          <w:lang w:val="es-ES_tradnl"/>
        </w:rPr>
        <w:t>importante poner de</w:t>
      </w:r>
      <w:r w:rsidR="00022258" w:rsidRPr="00A37F15">
        <w:rPr>
          <w:rFonts w:ascii="Arial Narrow" w:hAnsi="Arial Narrow" w:cs="Arial"/>
          <w:sz w:val="24"/>
          <w:szCs w:val="24"/>
          <w:lang w:val="es-ES_tradnl"/>
        </w:rPr>
        <w:t xml:space="preserve"> presente que con la eliminación del Consejo Superior de la Judicatura</w:t>
      </w:r>
      <w:r w:rsidR="00A96B33" w:rsidRPr="00A37F15">
        <w:rPr>
          <w:rFonts w:ascii="Arial Narrow" w:hAnsi="Arial Narrow" w:cs="Arial"/>
          <w:sz w:val="24"/>
          <w:szCs w:val="24"/>
          <w:lang w:val="es-ES_tradnl"/>
        </w:rPr>
        <w:t>,</w:t>
      </w:r>
      <w:r w:rsidR="00022258" w:rsidRPr="00A37F15">
        <w:rPr>
          <w:rFonts w:ascii="Arial Narrow" w:hAnsi="Arial Narrow" w:cs="Arial"/>
          <w:sz w:val="24"/>
          <w:szCs w:val="24"/>
          <w:lang w:val="es-ES_tradnl"/>
        </w:rPr>
        <w:t xml:space="preserve"> a través de la reforma de Equilibrio de Poderes</w:t>
      </w:r>
      <w:r w:rsidR="00A96B33" w:rsidRPr="00A37F15">
        <w:rPr>
          <w:rFonts w:ascii="Arial Narrow" w:hAnsi="Arial Narrow" w:cs="Arial"/>
          <w:sz w:val="24"/>
          <w:szCs w:val="24"/>
          <w:lang w:val="es-ES_tradnl"/>
        </w:rPr>
        <w:t>,</w:t>
      </w:r>
      <w:r w:rsidR="00022258" w:rsidRPr="00A37F15">
        <w:rPr>
          <w:rFonts w:ascii="Arial Narrow" w:hAnsi="Arial Narrow" w:cs="Arial"/>
          <w:sz w:val="24"/>
          <w:szCs w:val="24"/>
          <w:lang w:val="es-ES_tradnl"/>
        </w:rPr>
        <w:t xml:space="preserve"> queda un vacío en referencia al</w:t>
      </w:r>
      <w:r w:rsidR="00594D6B" w:rsidRPr="00A37F15">
        <w:rPr>
          <w:rFonts w:ascii="Arial Narrow" w:hAnsi="Arial Narrow" w:cs="Arial"/>
          <w:sz w:val="24"/>
          <w:szCs w:val="24"/>
          <w:lang w:val="es-ES_tradnl"/>
        </w:rPr>
        <w:t xml:space="preserve"> órgano competente para resolver conflictos de competencia</w:t>
      </w:r>
      <w:r w:rsidR="00022258" w:rsidRPr="00A37F15">
        <w:rPr>
          <w:rFonts w:ascii="Arial Narrow" w:hAnsi="Arial Narrow" w:cs="Arial"/>
          <w:sz w:val="24"/>
          <w:szCs w:val="24"/>
          <w:lang w:val="es-ES_tradnl"/>
        </w:rPr>
        <w:t>, el cual debe ser solucionado</w:t>
      </w:r>
      <w:r w:rsidR="003E392A">
        <w:rPr>
          <w:rFonts w:ascii="Arial Narrow" w:hAnsi="Arial Narrow" w:cs="Arial"/>
          <w:sz w:val="24"/>
          <w:szCs w:val="24"/>
          <w:lang w:val="es-ES_tradnl"/>
        </w:rPr>
        <w:t>.</w:t>
      </w:r>
    </w:p>
    <w:p w:rsidR="00944129" w:rsidRPr="003E392A" w:rsidRDefault="00944129" w:rsidP="00944129">
      <w:pPr>
        <w:spacing w:after="0" w:line="240" w:lineRule="auto"/>
        <w:jc w:val="both"/>
        <w:rPr>
          <w:rFonts w:ascii="Arial Narrow" w:hAnsi="Arial Narrow"/>
          <w:sz w:val="24"/>
          <w:szCs w:val="24"/>
          <w:lang w:val="es-ES_tradnl"/>
        </w:rPr>
      </w:pPr>
    </w:p>
    <w:p w:rsidR="00944129" w:rsidRPr="00A37F15" w:rsidRDefault="00944129" w:rsidP="00944129">
      <w:pPr>
        <w:spacing w:after="0" w:line="240" w:lineRule="auto"/>
        <w:jc w:val="both"/>
        <w:rPr>
          <w:rFonts w:ascii="Arial Narrow" w:hAnsi="Arial Narrow" w:cs="Arial"/>
          <w:sz w:val="24"/>
          <w:szCs w:val="24"/>
          <w:lang w:val="es-CO"/>
        </w:rPr>
      </w:pPr>
    </w:p>
    <w:p w:rsidR="00944129" w:rsidRPr="004F18CC" w:rsidRDefault="004F18CC" w:rsidP="00AE2DE1">
      <w:pPr>
        <w:pStyle w:val="Prrafodelista"/>
        <w:numPr>
          <w:ilvl w:val="0"/>
          <w:numId w:val="8"/>
        </w:numPr>
        <w:spacing w:after="0" w:line="240" w:lineRule="auto"/>
        <w:ind w:left="426" w:hanging="426"/>
        <w:jc w:val="both"/>
        <w:rPr>
          <w:rFonts w:ascii="Arial Narrow" w:hAnsi="Arial Narrow" w:cs="Arial"/>
          <w:b/>
          <w:sz w:val="24"/>
          <w:szCs w:val="24"/>
          <w:lang w:val="es-ES_tradnl"/>
        </w:rPr>
      </w:pPr>
      <w:r w:rsidRPr="004F18CC">
        <w:rPr>
          <w:rFonts w:ascii="Arial Narrow" w:hAnsi="Arial Narrow" w:cs="Arial"/>
          <w:b/>
          <w:sz w:val="24"/>
          <w:szCs w:val="24"/>
          <w:lang w:val="es-ES_tradnl"/>
        </w:rPr>
        <w:t>OBJETIVO</w:t>
      </w:r>
      <w:r w:rsidR="00E32B1A">
        <w:rPr>
          <w:rFonts w:ascii="Arial Narrow" w:hAnsi="Arial Narrow" w:cs="Arial"/>
          <w:b/>
          <w:sz w:val="24"/>
          <w:szCs w:val="24"/>
          <w:lang w:val="es-ES_tradnl"/>
        </w:rPr>
        <w:t>S</w:t>
      </w:r>
      <w:r w:rsidRPr="004F18CC">
        <w:rPr>
          <w:rFonts w:ascii="Arial Narrow" w:hAnsi="Arial Narrow" w:cs="Arial"/>
          <w:b/>
          <w:sz w:val="24"/>
          <w:szCs w:val="24"/>
          <w:lang w:val="es-ES_tradnl"/>
        </w:rPr>
        <w:t xml:space="preserve"> DEL PROYECTO </w:t>
      </w:r>
    </w:p>
    <w:p w:rsidR="00944129" w:rsidRPr="00A37F15" w:rsidRDefault="00944129" w:rsidP="00944129">
      <w:pPr>
        <w:spacing w:after="0" w:line="240" w:lineRule="auto"/>
        <w:jc w:val="both"/>
        <w:rPr>
          <w:rFonts w:ascii="Arial Narrow" w:hAnsi="Arial Narrow" w:cs="Arial"/>
          <w:b/>
          <w:sz w:val="24"/>
          <w:szCs w:val="24"/>
          <w:lang w:val="es-ES_tradnl"/>
        </w:rPr>
      </w:pPr>
    </w:p>
    <w:p w:rsidR="00944129" w:rsidRPr="00A37F15" w:rsidRDefault="000D6997"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Con la iniciativa legislativa del Proyecto de</w:t>
      </w:r>
      <w:r w:rsidR="003727D1" w:rsidRPr="00A37F15">
        <w:rPr>
          <w:rFonts w:ascii="Arial Narrow" w:hAnsi="Arial Narrow" w:cs="Arial"/>
          <w:sz w:val="24"/>
          <w:szCs w:val="24"/>
          <w:lang w:val="es-ES_tradnl"/>
        </w:rPr>
        <w:t xml:space="preserve"> Acto Legislativo 16</w:t>
      </w:r>
      <w:r w:rsidRPr="00A37F15">
        <w:rPr>
          <w:rFonts w:ascii="Arial Narrow" w:hAnsi="Arial Narrow" w:cs="Arial"/>
          <w:sz w:val="24"/>
          <w:szCs w:val="24"/>
          <w:lang w:val="es-ES_tradnl"/>
        </w:rPr>
        <w:t xml:space="preserve">7 de 2014 Cámara/ </w:t>
      </w:r>
      <w:r w:rsidR="00005AA0">
        <w:rPr>
          <w:rFonts w:ascii="Arial Narrow" w:hAnsi="Arial Narrow" w:cs="Arial"/>
          <w:sz w:val="24"/>
          <w:szCs w:val="24"/>
          <w:lang w:val="es-ES_tradnl"/>
        </w:rPr>
        <w:t>0</w:t>
      </w:r>
      <w:r w:rsidR="003727D1" w:rsidRPr="00A37F15">
        <w:rPr>
          <w:rFonts w:ascii="Arial Narrow" w:hAnsi="Arial Narrow" w:cs="Arial"/>
          <w:sz w:val="24"/>
          <w:szCs w:val="24"/>
          <w:lang w:val="es-ES_tradnl"/>
        </w:rPr>
        <w:t>22 de 2014 Senado, se pretende brindar las garantías jurídicas necesarias a nuestros hombres y mujeres de la Fuerza Pública, que en el marco del conflicto armado o de confrontaciones armadas que implican la aplicación del DIH,</w:t>
      </w:r>
      <w:r w:rsidRPr="00A37F15">
        <w:rPr>
          <w:rFonts w:ascii="Arial Narrow" w:hAnsi="Arial Narrow" w:cs="Arial"/>
          <w:sz w:val="24"/>
          <w:szCs w:val="24"/>
          <w:lang w:val="es-ES_tradnl"/>
        </w:rPr>
        <w:t xml:space="preserve"> se vean involucrados en la investigación y juzgamiento de sus conductas, así como tamb</w:t>
      </w:r>
      <w:r w:rsidR="003E392A">
        <w:rPr>
          <w:rFonts w:ascii="Arial Narrow" w:hAnsi="Arial Narrow" w:cs="Arial"/>
          <w:sz w:val="24"/>
          <w:szCs w:val="24"/>
          <w:lang w:val="es-ES_tradnl"/>
        </w:rPr>
        <w:t>ién, brindarle a la población ví</w:t>
      </w:r>
      <w:r w:rsidRPr="00A37F15">
        <w:rPr>
          <w:rFonts w:ascii="Arial Narrow" w:hAnsi="Arial Narrow" w:cs="Arial"/>
          <w:sz w:val="24"/>
          <w:szCs w:val="24"/>
          <w:lang w:val="es-ES_tradnl"/>
        </w:rPr>
        <w:t xml:space="preserve">ctima de estas actuaciones un marco normativo claro que permita hacer valer de una forma más efectiva sus derechos. </w:t>
      </w:r>
    </w:p>
    <w:p w:rsidR="000D6997" w:rsidRPr="00A37F15" w:rsidRDefault="000D6997" w:rsidP="00944129">
      <w:pPr>
        <w:spacing w:after="0" w:line="240" w:lineRule="auto"/>
        <w:jc w:val="both"/>
        <w:rPr>
          <w:rFonts w:ascii="Arial Narrow" w:hAnsi="Arial Narrow" w:cs="Arial"/>
          <w:sz w:val="24"/>
          <w:szCs w:val="24"/>
          <w:lang w:val="es-ES_tradnl"/>
        </w:rPr>
      </w:pPr>
    </w:p>
    <w:p w:rsidR="000D6997" w:rsidRPr="00A37F15" w:rsidRDefault="000D6997"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En este proyecto se establecen tres objetivos esenciales para la adecuada aplicación del DIH:</w:t>
      </w:r>
    </w:p>
    <w:p w:rsidR="000D6997" w:rsidRPr="00A37F15" w:rsidRDefault="000D6997" w:rsidP="00944129">
      <w:pPr>
        <w:spacing w:after="0" w:line="240" w:lineRule="auto"/>
        <w:jc w:val="both"/>
        <w:rPr>
          <w:rFonts w:ascii="Arial Narrow" w:hAnsi="Arial Narrow" w:cs="Arial"/>
          <w:sz w:val="24"/>
          <w:szCs w:val="24"/>
          <w:lang w:val="es-ES_tradnl"/>
        </w:rPr>
      </w:pPr>
    </w:p>
    <w:p w:rsidR="000D6997" w:rsidRPr="00A37F15" w:rsidRDefault="000D6997" w:rsidP="000D6997">
      <w:pPr>
        <w:pStyle w:val="Prrafodelista"/>
        <w:numPr>
          <w:ilvl w:val="0"/>
          <w:numId w:val="6"/>
        </w:num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Se establece la obligatoriedad de aplicar el DIH en las conductas que se realicen en el marco del conflicto armado y en las confrontaciones armadas que cumplan</w:t>
      </w:r>
      <w:r w:rsidR="004A4033" w:rsidRPr="00A37F15">
        <w:rPr>
          <w:rFonts w:ascii="Arial Narrow" w:hAnsi="Arial Narrow" w:cs="Arial"/>
          <w:sz w:val="24"/>
          <w:szCs w:val="24"/>
          <w:lang w:val="es-ES_tradnl"/>
        </w:rPr>
        <w:t xml:space="preserve"> con los requisitos que impone é</w:t>
      </w:r>
      <w:r w:rsidRPr="00A37F15">
        <w:rPr>
          <w:rFonts w:ascii="Arial Narrow" w:hAnsi="Arial Narrow" w:cs="Arial"/>
          <w:sz w:val="24"/>
          <w:szCs w:val="24"/>
          <w:lang w:val="es-ES_tradnl"/>
        </w:rPr>
        <w:t xml:space="preserve">sta normativa. </w:t>
      </w:r>
    </w:p>
    <w:p w:rsidR="000D6997" w:rsidRPr="00A37F15" w:rsidRDefault="000D6997" w:rsidP="000D6997">
      <w:pPr>
        <w:pStyle w:val="Prrafodelista"/>
        <w:numPr>
          <w:ilvl w:val="0"/>
          <w:numId w:val="6"/>
        </w:num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 xml:space="preserve">Todos los operadores judiciales, independientemente de la jurisdicción a la que </w:t>
      </w:r>
      <w:r w:rsidR="004A4033" w:rsidRPr="00A37F15">
        <w:rPr>
          <w:rFonts w:ascii="Arial Narrow" w:hAnsi="Arial Narrow" w:cs="Arial"/>
          <w:sz w:val="24"/>
          <w:szCs w:val="24"/>
          <w:lang w:val="es-ES_tradnl"/>
        </w:rPr>
        <w:t>pertenezcan</w:t>
      </w:r>
      <w:r w:rsidRPr="00A37F15">
        <w:rPr>
          <w:rFonts w:ascii="Arial Narrow" w:hAnsi="Arial Narrow" w:cs="Arial"/>
          <w:sz w:val="24"/>
          <w:szCs w:val="24"/>
          <w:lang w:val="es-ES_tradnl"/>
        </w:rPr>
        <w:t xml:space="preserve">, deben contar con un conocimiento y formación adecuada en DIH. Esto </w:t>
      </w:r>
      <w:r w:rsidR="004A4033" w:rsidRPr="00A37F15">
        <w:rPr>
          <w:rFonts w:ascii="Arial Narrow" w:hAnsi="Arial Narrow" w:cs="Arial"/>
          <w:sz w:val="24"/>
          <w:szCs w:val="24"/>
          <w:lang w:val="es-ES_tradnl"/>
        </w:rPr>
        <w:t>implica</w:t>
      </w:r>
      <w:r w:rsidRPr="00A37F15">
        <w:rPr>
          <w:rFonts w:ascii="Arial Narrow" w:hAnsi="Arial Narrow" w:cs="Arial"/>
          <w:sz w:val="24"/>
          <w:szCs w:val="24"/>
          <w:lang w:val="es-ES_tradnl"/>
        </w:rPr>
        <w:t xml:space="preserve">, </w:t>
      </w:r>
      <w:r w:rsidR="004A4033" w:rsidRPr="00A37F15">
        <w:rPr>
          <w:rFonts w:ascii="Arial Narrow" w:hAnsi="Arial Narrow" w:cs="Arial"/>
          <w:sz w:val="24"/>
          <w:szCs w:val="24"/>
          <w:lang w:val="es-ES_tradnl"/>
        </w:rPr>
        <w:t>primero, la obligación de</w:t>
      </w:r>
      <w:r w:rsidRPr="00A37F15">
        <w:rPr>
          <w:rFonts w:ascii="Arial Narrow" w:hAnsi="Arial Narrow" w:cs="Arial"/>
          <w:sz w:val="24"/>
          <w:szCs w:val="24"/>
          <w:lang w:val="es-ES_tradnl"/>
        </w:rPr>
        <w:t xml:space="preserve"> garantizar que las partes involucradas cuenten con una autoridad judicial </w:t>
      </w:r>
      <w:r w:rsidR="004A4033" w:rsidRPr="00A37F15">
        <w:rPr>
          <w:rFonts w:ascii="Arial Narrow" w:hAnsi="Arial Narrow" w:cs="Arial"/>
          <w:sz w:val="24"/>
          <w:szCs w:val="24"/>
          <w:lang w:val="es-ES_tradnl"/>
        </w:rPr>
        <w:t>competente en</w:t>
      </w:r>
      <w:r w:rsidRPr="00A37F15">
        <w:rPr>
          <w:rFonts w:ascii="Arial Narrow" w:hAnsi="Arial Narrow" w:cs="Arial"/>
          <w:sz w:val="24"/>
          <w:szCs w:val="24"/>
          <w:lang w:val="es-ES_tradnl"/>
        </w:rPr>
        <w:t xml:space="preserve"> la materia</w:t>
      </w:r>
      <w:r w:rsidR="004A4033" w:rsidRPr="00A37F15">
        <w:rPr>
          <w:rFonts w:ascii="Arial Narrow" w:hAnsi="Arial Narrow" w:cs="Arial"/>
          <w:sz w:val="24"/>
          <w:szCs w:val="24"/>
          <w:lang w:val="es-ES_tradnl"/>
        </w:rPr>
        <w:t xml:space="preserve"> de la que conoce</w:t>
      </w:r>
      <w:r w:rsidRPr="00A37F15">
        <w:rPr>
          <w:rFonts w:ascii="Arial Narrow" w:hAnsi="Arial Narrow" w:cs="Arial"/>
          <w:sz w:val="24"/>
          <w:szCs w:val="24"/>
          <w:lang w:val="es-ES_tradnl"/>
        </w:rPr>
        <w:t xml:space="preserve">, lo cual es garantía para </w:t>
      </w:r>
      <w:r w:rsidR="004A4033" w:rsidRPr="00A37F15">
        <w:rPr>
          <w:rFonts w:ascii="Arial Narrow" w:hAnsi="Arial Narrow" w:cs="Arial"/>
          <w:sz w:val="24"/>
          <w:szCs w:val="24"/>
          <w:lang w:val="es-ES_tradnl"/>
        </w:rPr>
        <w:t>d</w:t>
      </w:r>
      <w:r w:rsidRPr="00A37F15">
        <w:rPr>
          <w:rFonts w:ascii="Arial Narrow" w:hAnsi="Arial Narrow" w:cs="Arial"/>
          <w:sz w:val="24"/>
          <w:szCs w:val="24"/>
          <w:lang w:val="es-ES_tradnl"/>
        </w:rPr>
        <w:t xml:space="preserve">el </w:t>
      </w:r>
      <w:r w:rsidR="004A4033" w:rsidRPr="00A37F15">
        <w:rPr>
          <w:rFonts w:ascii="Arial Narrow" w:hAnsi="Arial Narrow" w:cs="Arial"/>
          <w:sz w:val="24"/>
          <w:szCs w:val="24"/>
          <w:lang w:val="es-ES_tradnl"/>
        </w:rPr>
        <w:t xml:space="preserve">debido </w:t>
      </w:r>
      <w:r w:rsidRPr="00A37F15">
        <w:rPr>
          <w:rFonts w:ascii="Arial Narrow" w:hAnsi="Arial Narrow" w:cs="Arial"/>
          <w:sz w:val="24"/>
          <w:szCs w:val="24"/>
          <w:lang w:val="es-ES_tradnl"/>
        </w:rPr>
        <w:t>proceso y</w:t>
      </w:r>
      <w:r w:rsidR="004A4033" w:rsidRPr="00A37F15">
        <w:rPr>
          <w:rFonts w:ascii="Arial Narrow" w:hAnsi="Arial Narrow" w:cs="Arial"/>
          <w:sz w:val="24"/>
          <w:szCs w:val="24"/>
          <w:lang w:val="es-ES_tradnl"/>
        </w:rPr>
        <w:t>,</w:t>
      </w:r>
      <w:r w:rsidRPr="00A37F15">
        <w:rPr>
          <w:rFonts w:ascii="Arial Narrow" w:hAnsi="Arial Narrow" w:cs="Arial"/>
          <w:sz w:val="24"/>
          <w:szCs w:val="24"/>
          <w:lang w:val="es-ES_tradnl"/>
        </w:rPr>
        <w:t xml:space="preserve"> en segundo lugar, en caso de que el juez o fiscal no conozcan de la materia, las partes podrán exigir un operador que cuente con el conocimiento y la formación adecuada</w:t>
      </w:r>
    </w:p>
    <w:p w:rsidR="000D6997" w:rsidRPr="00A37F15" w:rsidRDefault="000D6997" w:rsidP="000D6997">
      <w:pPr>
        <w:pStyle w:val="Prrafodelista"/>
        <w:numPr>
          <w:ilvl w:val="0"/>
          <w:numId w:val="6"/>
        </w:num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 xml:space="preserve">Se garantiza la </w:t>
      </w:r>
      <w:r w:rsidR="004A4033" w:rsidRPr="00A37F15">
        <w:rPr>
          <w:rFonts w:ascii="Arial Narrow" w:hAnsi="Arial Narrow" w:cs="Arial"/>
          <w:sz w:val="24"/>
          <w:szCs w:val="24"/>
          <w:lang w:val="es-ES_tradnl"/>
        </w:rPr>
        <w:t>independencia</w:t>
      </w:r>
      <w:r w:rsidRPr="00A37F15">
        <w:rPr>
          <w:rFonts w:ascii="Arial Narrow" w:hAnsi="Arial Narrow" w:cs="Arial"/>
          <w:sz w:val="24"/>
          <w:szCs w:val="24"/>
          <w:lang w:val="es-ES_tradnl"/>
        </w:rPr>
        <w:t xml:space="preserve"> e </w:t>
      </w:r>
      <w:r w:rsidR="004A4033" w:rsidRPr="00A37F15">
        <w:rPr>
          <w:rFonts w:ascii="Arial Narrow" w:hAnsi="Arial Narrow" w:cs="Arial"/>
          <w:sz w:val="24"/>
          <w:szCs w:val="24"/>
          <w:lang w:val="es-ES_tradnl"/>
        </w:rPr>
        <w:t>imparcialidad</w:t>
      </w:r>
      <w:r w:rsidRPr="00A37F15">
        <w:rPr>
          <w:rFonts w:ascii="Arial Narrow" w:hAnsi="Arial Narrow" w:cs="Arial"/>
          <w:sz w:val="24"/>
          <w:szCs w:val="24"/>
          <w:lang w:val="es-ES_tradnl"/>
        </w:rPr>
        <w:t xml:space="preserve"> de la Justicia Penal Militar del mando. </w:t>
      </w:r>
      <w:r w:rsidR="004A4033" w:rsidRPr="00A37F15">
        <w:rPr>
          <w:rFonts w:ascii="Arial Narrow" w:hAnsi="Arial Narrow" w:cs="Arial"/>
          <w:sz w:val="24"/>
          <w:szCs w:val="24"/>
          <w:lang w:val="es-ES_tradnl"/>
        </w:rPr>
        <w:t xml:space="preserve">Elevar al rango constitucional este principio es una garantía de suprema importancia para propender por la debida administración de justicia. </w:t>
      </w:r>
    </w:p>
    <w:p w:rsidR="00A83065" w:rsidRPr="00A37F15" w:rsidRDefault="00A83065" w:rsidP="00944129">
      <w:pPr>
        <w:spacing w:after="0" w:line="240" w:lineRule="auto"/>
        <w:jc w:val="both"/>
        <w:rPr>
          <w:rFonts w:ascii="Arial Narrow" w:hAnsi="Arial Narrow" w:cs="Arial"/>
          <w:sz w:val="24"/>
          <w:szCs w:val="24"/>
          <w:lang w:val="es-ES_tradnl"/>
        </w:rPr>
      </w:pPr>
    </w:p>
    <w:p w:rsidR="00944129" w:rsidRPr="00A37F15" w:rsidRDefault="00944129" w:rsidP="00944129">
      <w:pPr>
        <w:spacing w:after="0" w:line="240" w:lineRule="auto"/>
        <w:jc w:val="both"/>
        <w:rPr>
          <w:rFonts w:ascii="Arial Narrow" w:hAnsi="Arial Narrow" w:cs="Arial"/>
          <w:sz w:val="24"/>
          <w:szCs w:val="24"/>
          <w:lang w:val="es-ES_tradnl"/>
        </w:rPr>
      </w:pPr>
    </w:p>
    <w:p w:rsidR="00944129" w:rsidRPr="00A37F15" w:rsidRDefault="004F18CC" w:rsidP="00AE2DE1">
      <w:pPr>
        <w:pStyle w:val="Prrafodelista"/>
        <w:numPr>
          <w:ilvl w:val="0"/>
          <w:numId w:val="8"/>
        </w:numPr>
        <w:spacing w:after="0" w:line="240" w:lineRule="auto"/>
        <w:ind w:left="426" w:hanging="426"/>
        <w:jc w:val="both"/>
        <w:rPr>
          <w:rFonts w:ascii="Arial Narrow" w:hAnsi="Arial Narrow" w:cs="Arial"/>
          <w:b/>
          <w:sz w:val="24"/>
          <w:szCs w:val="24"/>
          <w:lang w:val="es-ES_tradnl"/>
        </w:rPr>
      </w:pPr>
      <w:r w:rsidRPr="00A37F15">
        <w:rPr>
          <w:rFonts w:ascii="Arial Narrow" w:hAnsi="Arial Narrow" w:cs="Arial"/>
          <w:b/>
          <w:sz w:val="24"/>
          <w:szCs w:val="24"/>
          <w:lang w:val="es-ES_tradnl"/>
        </w:rPr>
        <w:t xml:space="preserve">CONTENIDO Y MODIFICACIONES </w:t>
      </w:r>
    </w:p>
    <w:p w:rsidR="00944129" w:rsidRPr="004F18CC" w:rsidRDefault="00944129" w:rsidP="004F18CC">
      <w:pPr>
        <w:pStyle w:val="Prrafodelista"/>
        <w:spacing w:after="0" w:line="240" w:lineRule="auto"/>
        <w:jc w:val="both"/>
        <w:rPr>
          <w:rFonts w:ascii="Arial Narrow" w:hAnsi="Arial Narrow" w:cs="Arial"/>
          <w:b/>
          <w:sz w:val="24"/>
          <w:szCs w:val="24"/>
          <w:lang w:val="es-ES_tradnl"/>
        </w:rPr>
      </w:pPr>
    </w:p>
    <w:p w:rsidR="00944129" w:rsidRPr="00A37F15" w:rsidRDefault="004A4033"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El presente proyecto de Acto Legislativ</w:t>
      </w:r>
      <w:r w:rsidR="0083079C" w:rsidRPr="00A37F15">
        <w:rPr>
          <w:rFonts w:ascii="Arial Narrow" w:hAnsi="Arial Narrow" w:cs="Arial"/>
          <w:sz w:val="24"/>
          <w:szCs w:val="24"/>
          <w:lang w:val="es-ES_tradnl"/>
        </w:rPr>
        <w:t>o tiene como objetivo principal la aplicación del DIH</w:t>
      </w:r>
      <w:r w:rsidR="00F811B5">
        <w:rPr>
          <w:rFonts w:ascii="Arial Narrow" w:hAnsi="Arial Narrow" w:cs="Arial"/>
          <w:sz w:val="24"/>
          <w:szCs w:val="24"/>
          <w:lang w:val="es-ES_tradnl"/>
        </w:rPr>
        <w:t>,</w:t>
      </w:r>
      <w:r w:rsidR="0083079C" w:rsidRPr="00A37F15">
        <w:rPr>
          <w:rFonts w:ascii="Arial Narrow" w:hAnsi="Arial Narrow" w:cs="Arial"/>
          <w:sz w:val="24"/>
          <w:szCs w:val="24"/>
          <w:lang w:val="es-ES_tradnl"/>
        </w:rPr>
        <w:t xml:space="preserve"> en el marco del conflicto armado o de las confrontaciones que cumplen con los requisitos para su aplicación</w:t>
      </w:r>
      <w:r w:rsidR="00F811B5">
        <w:rPr>
          <w:rFonts w:ascii="Arial Narrow" w:hAnsi="Arial Narrow" w:cs="Arial"/>
          <w:sz w:val="24"/>
          <w:szCs w:val="24"/>
          <w:lang w:val="es-ES_tradnl"/>
        </w:rPr>
        <w:t>,</w:t>
      </w:r>
      <w:r w:rsidR="00A37F15">
        <w:rPr>
          <w:rFonts w:ascii="Arial Narrow" w:hAnsi="Arial Narrow" w:cs="Arial"/>
          <w:sz w:val="24"/>
          <w:szCs w:val="24"/>
          <w:lang w:val="es-ES_tradnl"/>
        </w:rPr>
        <w:t xml:space="preserve"> en el marco de las investigaciones y juzgamiento de conductas que tengan lugar en éstos escenarios</w:t>
      </w:r>
      <w:r w:rsidR="0083079C" w:rsidRPr="00A37F15">
        <w:rPr>
          <w:rFonts w:ascii="Arial Narrow" w:hAnsi="Arial Narrow" w:cs="Arial"/>
          <w:sz w:val="24"/>
          <w:szCs w:val="24"/>
          <w:lang w:val="es-ES_tradnl"/>
        </w:rPr>
        <w:t xml:space="preserve">. </w:t>
      </w:r>
    </w:p>
    <w:p w:rsidR="0083079C" w:rsidRPr="00A37F15" w:rsidRDefault="0083079C" w:rsidP="00944129">
      <w:pPr>
        <w:spacing w:after="0" w:line="240" w:lineRule="auto"/>
        <w:jc w:val="both"/>
        <w:rPr>
          <w:rFonts w:ascii="Arial Narrow" w:hAnsi="Arial Narrow" w:cs="Arial"/>
          <w:sz w:val="24"/>
          <w:szCs w:val="24"/>
          <w:lang w:val="es-ES_tradnl"/>
        </w:rPr>
      </w:pPr>
    </w:p>
    <w:p w:rsidR="001D0FE9" w:rsidRDefault="0083079C" w:rsidP="00944129">
      <w:pPr>
        <w:spacing w:after="0" w:line="240" w:lineRule="auto"/>
        <w:jc w:val="both"/>
        <w:rPr>
          <w:rFonts w:ascii="Arial Narrow" w:hAnsi="Arial Narrow" w:cs="Arial"/>
          <w:sz w:val="24"/>
          <w:szCs w:val="24"/>
          <w:lang w:val="es-ES_tradnl"/>
        </w:rPr>
      </w:pPr>
      <w:r w:rsidRPr="00A37F15">
        <w:rPr>
          <w:rFonts w:ascii="Arial Narrow" w:hAnsi="Arial Narrow" w:cs="Arial"/>
          <w:sz w:val="24"/>
          <w:szCs w:val="24"/>
          <w:lang w:val="es-ES_tradnl"/>
        </w:rPr>
        <w:t>De conformidad con el Protocolo I</w:t>
      </w:r>
      <w:r w:rsidR="00A37F15">
        <w:rPr>
          <w:rFonts w:ascii="Arial Narrow" w:hAnsi="Arial Narrow" w:cs="Arial"/>
          <w:sz w:val="24"/>
          <w:szCs w:val="24"/>
          <w:lang w:val="es-ES_tradnl"/>
        </w:rPr>
        <w:t>I</w:t>
      </w:r>
      <w:r w:rsidRPr="00A37F15">
        <w:rPr>
          <w:rFonts w:ascii="Arial Narrow" w:hAnsi="Arial Narrow" w:cs="Arial"/>
          <w:sz w:val="24"/>
          <w:szCs w:val="24"/>
          <w:lang w:val="es-ES_tradnl"/>
        </w:rPr>
        <w:t xml:space="preserve"> Adicional a los Convenios de Ginebra</w:t>
      </w:r>
      <w:r w:rsidR="00A37F15">
        <w:rPr>
          <w:rFonts w:ascii="Arial Narrow" w:hAnsi="Arial Narrow" w:cs="Arial"/>
          <w:sz w:val="24"/>
          <w:szCs w:val="24"/>
          <w:lang w:val="es-ES_tradnl"/>
        </w:rPr>
        <w:t xml:space="preserve"> y el artículo 3 común a los Convenios de Ginebra</w:t>
      </w:r>
      <w:r w:rsidR="001D0FE9" w:rsidRPr="00A37F15">
        <w:rPr>
          <w:rFonts w:ascii="Arial Narrow" w:hAnsi="Arial Narrow" w:cs="Arial"/>
          <w:sz w:val="24"/>
          <w:szCs w:val="24"/>
          <w:lang w:val="es-ES_tradnl"/>
        </w:rPr>
        <w:t xml:space="preserve">, </w:t>
      </w:r>
      <w:r w:rsidRPr="00A37F15">
        <w:rPr>
          <w:rFonts w:ascii="Arial Narrow" w:hAnsi="Arial Narrow" w:cs="Arial"/>
          <w:sz w:val="24"/>
          <w:szCs w:val="24"/>
          <w:lang w:val="es-ES_tradnl"/>
        </w:rPr>
        <w:t xml:space="preserve">el cual ha sido ratificado por el Estado colombiano, </w:t>
      </w:r>
      <w:r w:rsidR="00A37F15">
        <w:rPr>
          <w:rFonts w:ascii="Arial Narrow" w:hAnsi="Arial Narrow" w:cs="Arial"/>
          <w:sz w:val="24"/>
          <w:szCs w:val="24"/>
          <w:lang w:val="es-ES_tradnl"/>
        </w:rPr>
        <w:t xml:space="preserve">el DIH es ley especial, </w:t>
      </w:r>
      <w:r w:rsidR="001D0FE9" w:rsidRPr="00A37F15">
        <w:rPr>
          <w:rFonts w:ascii="Arial Narrow" w:hAnsi="Arial Narrow" w:cs="Arial"/>
          <w:sz w:val="24"/>
          <w:szCs w:val="24"/>
          <w:lang w:val="es-ES_tradnl"/>
        </w:rPr>
        <w:t>que debe ser aplicada por las partes en conflicto o en aquellas situaciones que superen el umbral de violencia común en un Estado. A saber</w:t>
      </w:r>
      <w:r w:rsidR="00A37F15">
        <w:rPr>
          <w:rFonts w:ascii="Arial Narrow" w:hAnsi="Arial Narrow" w:cs="Arial"/>
          <w:sz w:val="24"/>
          <w:szCs w:val="24"/>
          <w:lang w:val="es-ES_tradnl"/>
        </w:rPr>
        <w:t xml:space="preserve"> el Protocolo II establece</w:t>
      </w:r>
      <w:r w:rsidR="001D0FE9" w:rsidRPr="00A37F15">
        <w:rPr>
          <w:rFonts w:ascii="Arial Narrow" w:hAnsi="Arial Narrow" w:cs="Arial"/>
          <w:sz w:val="24"/>
          <w:szCs w:val="24"/>
          <w:lang w:val="es-ES_tradnl"/>
        </w:rPr>
        <w:t>:</w:t>
      </w:r>
    </w:p>
    <w:p w:rsidR="00B77B5E" w:rsidRDefault="00B77B5E" w:rsidP="00B77B5E">
      <w:pPr>
        <w:spacing w:after="0" w:line="240" w:lineRule="auto"/>
        <w:jc w:val="both"/>
        <w:rPr>
          <w:rFonts w:ascii="Arial Narrow" w:hAnsi="Arial Narrow" w:cs="Arial"/>
          <w:sz w:val="24"/>
          <w:szCs w:val="24"/>
          <w:lang w:val="es-ES_tradnl"/>
        </w:rPr>
      </w:pPr>
    </w:p>
    <w:p w:rsidR="00B77B5E" w:rsidRPr="00B77B5E" w:rsidRDefault="00B77B5E" w:rsidP="00B77B5E">
      <w:pPr>
        <w:spacing w:after="0" w:line="240" w:lineRule="auto"/>
        <w:ind w:left="567" w:right="142"/>
        <w:jc w:val="both"/>
        <w:rPr>
          <w:rFonts w:ascii="Arial Narrow" w:hAnsi="Arial Narrow" w:cs="Arial"/>
          <w:b/>
          <w:i/>
          <w:sz w:val="24"/>
          <w:szCs w:val="24"/>
          <w:lang w:val="es-ES_tradnl"/>
        </w:rPr>
      </w:pPr>
      <w:r w:rsidRPr="00B77B5E">
        <w:rPr>
          <w:rFonts w:ascii="Arial Narrow" w:hAnsi="Arial Narrow" w:cs="Arial"/>
          <w:b/>
          <w:i/>
          <w:sz w:val="24"/>
          <w:szCs w:val="24"/>
          <w:lang w:val="es-ES_tradnl"/>
        </w:rPr>
        <w:t xml:space="preserve">Artículo 1. Ámbito de aplicación material  </w:t>
      </w:r>
    </w:p>
    <w:p w:rsidR="00B77B5E" w:rsidRPr="00B77B5E" w:rsidRDefault="00B77B5E" w:rsidP="00B77B5E">
      <w:pPr>
        <w:spacing w:after="0" w:line="240" w:lineRule="auto"/>
        <w:ind w:left="567" w:right="142"/>
        <w:jc w:val="both"/>
        <w:rPr>
          <w:rFonts w:ascii="Arial Narrow" w:hAnsi="Arial Narrow" w:cs="Arial"/>
          <w:i/>
          <w:sz w:val="24"/>
          <w:szCs w:val="24"/>
          <w:lang w:val="es-ES_tradnl"/>
        </w:rPr>
      </w:pPr>
    </w:p>
    <w:p w:rsidR="00B77B5E" w:rsidRPr="00B77B5E" w:rsidRDefault="00B77B5E" w:rsidP="00B77B5E">
      <w:pPr>
        <w:spacing w:after="0" w:line="240" w:lineRule="auto"/>
        <w:ind w:left="567" w:right="142"/>
        <w:jc w:val="both"/>
        <w:rPr>
          <w:rFonts w:ascii="Arial Narrow" w:hAnsi="Arial Narrow" w:cs="Arial"/>
          <w:i/>
          <w:sz w:val="24"/>
          <w:szCs w:val="24"/>
          <w:lang w:val="es-ES_tradnl"/>
        </w:rPr>
      </w:pPr>
      <w:r w:rsidRPr="00B77B5E">
        <w:rPr>
          <w:rFonts w:ascii="Arial Narrow" w:hAnsi="Arial Narrow" w:cs="Arial"/>
          <w:i/>
          <w:sz w:val="24"/>
          <w:szCs w:val="24"/>
          <w:lang w:val="es-ES_tradnl"/>
        </w:rPr>
        <w:t>1. El presente Protocolo, que desarrolla y completa el artículo 3 común a los Convenios de Ginebra del 12 de agosto de 1949, sin modificar sus actuales condiciones de aplicación, se aplicará a todos los conflictos armados que no estén cubiertos por el artículo 1 del Protocolo adicional a los Convenios de Ginebra del 12 de agosto de 1949 relativo a la protección de las víctimas de los conflictos armados internacionales (Protocolo I) y que se desarrollen en el territorio de una Alta Parte contratante entre sus fuerzas armadas y fuerzas armadas disidentes o grupos armados organizados que, bajo la dirección de un mando responsable, ejerzan sobre una parte de dicho territorio un control tal que les permita realizar operaciones militares sostenidas y concertadas y aplicar el presente Protocolo.</w:t>
      </w:r>
    </w:p>
    <w:p w:rsidR="00B77B5E" w:rsidRPr="00B77B5E" w:rsidRDefault="00B77B5E" w:rsidP="00B77B5E">
      <w:pPr>
        <w:spacing w:after="0" w:line="240" w:lineRule="auto"/>
        <w:ind w:left="567" w:right="142"/>
        <w:jc w:val="both"/>
        <w:rPr>
          <w:rFonts w:ascii="Arial Narrow" w:hAnsi="Arial Narrow" w:cs="Arial"/>
          <w:i/>
          <w:sz w:val="24"/>
          <w:szCs w:val="24"/>
          <w:lang w:val="es-ES_tradnl"/>
        </w:rPr>
      </w:pPr>
    </w:p>
    <w:p w:rsidR="001D11EE" w:rsidRPr="00B77B5E" w:rsidRDefault="00B77B5E" w:rsidP="00B77B5E">
      <w:pPr>
        <w:spacing w:after="0" w:line="240" w:lineRule="auto"/>
        <w:ind w:left="567" w:right="142"/>
        <w:jc w:val="both"/>
        <w:rPr>
          <w:rFonts w:ascii="Arial Narrow" w:hAnsi="Arial Narrow" w:cs="Arial"/>
          <w:i/>
          <w:sz w:val="24"/>
          <w:szCs w:val="24"/>
          <w:lang w:val="es-ES_tradnl"/>
        </w:rPr>
      </w:pPr>
      <w:r w:rsidRPr="00B77B5E">
        <w:rPr>
          <w:rFonts w:ascii="Arial Narrow" w:hAnsi="Arial Narrow" w:cs="Arial"/>
          <w:i/>
          <w:sz w:val="24"/>
          <w:szCs w:val="24"/>
          <w:lang w:val="es-ES_tradnl"/>
        </w:rPr>
        <w:t>2. El presente Protocolo no se aplicará a las situaciones de tensiones internas y de disturbios interiores, tales como los motines, los actos esporádicos y aislados de violencia y otros actos análogos, que no son conflictos armados.</w:t>
      </w:r>
    </w:p>
    <w:p w:rsidR="001D0FE9" w:rsidRPr="00A37F15" w:rsidRDefault="001D0FE9" w:rsidP="00944129">
      <w:pPr>
        <w:spacing w:after="0" w:line="240" w:lineRule="auto"/>
        <w:jc w:val="both"/>
        <w:rPr>
          <w:rFonts w:ascii="Arial Narrow" w:hAnsi="Arial Narrow" w:cs="Arial"/>
          <w:sz w:val="24"/>
          <w:szCs w:val="24"/>
          <w:lang w:val="es-ES_tradnl"/>
        </w:rPr>
      </w:pPr>
    </w:p>
    <w:p w:rsidR="00A37F15" w:rsidRPr="004B0414" w:rsidRDefault="004B0414" w:rsidP="00A37F15">
      <w:pPr>
        <w:spacing w:after="0" w:line="240" w:lineRule="auto"/>
        <w:jc w:val="both"/>
        <w:rPr>
          <w:rFonts w:ascii="Arial Narrow" w:hAnsi="Arial Narrow" w:cs="Arial"/>
          <w:sz w:val="24"/>
          <w:szCs w:val="24"/>
          <w:lang w:val="es-ES_tradnl"/>
        </w:rPr>
      </w:pPr>
      <w:r w:rsidRPr="004B0414">
        <w:rPr>
          <w:rFonts w:ascii="Arial Narrow" w:hAnsi="Arial Narrow" w:cs="Arial"/>
          <w:sz w:val="24"/>
          <w:szCs w:val="24"/>
          <w:lang w:val="es-ES_tradnl"/>
        </w:rPr>
        <w:t>En Colombia las reglas del DIH han sido incorporadas por el ordenamiento jurídico colombiano: (i) los artículos 93 y 221 de la Constitución incorpora estas normas al bloque de constitucionalidad; (ii) el artículo 214 constitucional introduce de manera expresa su aplicación en situaciones de excepcionalidad; y (iii) el Código Penal expresamente tipifica las conductas violatorias del DIH. Sin embargo, no existe un precepto constitucional que establezca de manera directa su aplicabilidad, y de ahí la necesidad de continuar impulsando esta reforma.</w:t>
      </w:r>
    </w:p>
    <w:p w:rsidR="004B0414" w:rsidRPr="00A37F15" w:rsidRDefault="004B0414" w:rsidP="00A37F15">
      <w:pPr>
        <w:spacing w:after="0" w:line="240" w:lineRule="auto"/>
        <w:jc w:val="both"/>
        <w:rPr>
          <w:rFonts w:ascii="Arial Narrow" w:hAnsi="Arial Narrow" w:cs="Arial"/>
          <w:b/>
          <w:sz w:val="24"/>
          <w:szCs w:val="24"/>
          <w:lang w:val="es-ES_tradnl"/>
        </w:rPr>
      </w:pPr>
    </w:p>
    <w:p w:rsidR="00220023" w:rsidRPr="00A37F15" w:rsidRDefault="001D11EE" w:rsidP="00944129">
      <w:pPr>
        <w:spacing w:after="0" w:line="240" w:lineRule="auto"/>
        <w:jc w:val="both"/>
        <w:rPr>
          <w:rFonts w:ascii="Arial Narrow" w:hAnsi="Arial Narrow" w:cs="Arial"/>
          <w:sz w:val="24"/>
          <w:szCs w:val="24"/>
          <w:lang w:val="es-ES_tradnl"/>
        </w:rPr>
      </w:pPr>
      <w:r>
        <w:rPr>
          <w:rFonts w:ascii="Arial Narrow" w:hAnsi="Arial Narrow" w:cs="Arial"/>
          <w:sz w:val="24"/>
          <w:szCs w:val="24"/>
          <w:lang w:val="es-ES_tradnl"/>
        </w:rPr>
        <w:t>En cuanto a la aplicación de estas normas en el conflicto armado interno, el CICR ha establecido que:</w:t>
      </w:r>
    </w:p>
    <w:p w:rsidR="001D0FE9" w:rsidRPr="00A37F15" w:rsidRDefault="001D0FE9" w:rsidP="00944129">
      <w:pPr>
        <w:spacing w:after="0" w:line="240" w:lineRule="auto"/>
        <w:jc w:val="both"/>
        <w:rPr>
          <w:rFonts w:ascii="Arial Narrow" w:hAnsi="Arial Narrow" w:cs="Arial"/>
          <w:sz w:val="24"/>
          <w:szCs w:val="24"/>
          <w:lang w:val="es-ES_tradnl"/>
        </w:rPr>
      </w:pPr>
    </w:p>
    <w:p w:rsidR="001D0FE9" w:rsidRPr="00A37F15" w:rsidRDefault="004E3F23" w:rsidP="004E3F23">
      <w:pPr>
        <w:spacing w:after="0" w:line="240" w:lineRule="auto"/>
        <w:ind w:left="567"/>
        <w:jc w:val="both"/>
        <w:rPr>
          <w:rFonts w:ascii="Arial Narrow" w:hAnsi="Arial Narrow" w:cs="Arial"/>
          <w:i/>
          <w:sz w:val="24"/>
          <w:szCs w:val="24"/>
          <w:lang w:val="es-ES_tradnl"/>
        </w:rPr>
      </w:pPr>
      <w:r w:rsidRPr="00A37F15">
        <w:rPr>
          <w:rFonts w:ascii="Arial Narrow" w:hAnsi="Arial Narrow" w:cs="Arial"/>
          <w:i/>
          <w:sz w:val="24"/>
          <w:szCs w:val="24"/>
          <w:lang w:val="es-ES_tradnl"/>
        </w:rPr>
        <w:t>“la aplicación del DIH responde a unos criterios objetivos -fundamentalmente de intensidad y organización -ver abajo- que es necesario verificar previa- mente. De esos criterios o factores objetivos depende que sea posible conducir operaciones dirigidas a confrontar una situación de hostilidades”</w:t>
      </w:r>
      <w:r w:rsidR="004B0414">
        <w:rPr>
          <w:rStyle w:val="Refdenotaalpie"/>
          <w:rFonts w:ascii="Arial Narrow" w:hAnsi="Arial Narrow" w:cs="Arial"/>
          <w:i/>
          <w:sz w:val="24"/>
          <w:szCs w:val="24"/>
          <w:lang w:val="es-ES_tradnl"/>
        </w:rPr>
        <w:footnoteReference w:id="6"/>
      </w:r>
    </w:p>
    <w:p w:rsidR="004A4033" w:rsidRPr="00A37F15" w:rsidRDefault="004A4033" w:rsidP="00944129">
      <w:pPr>
        <w:spacing w:after="0" w:line="240" w:lineRule="auto"/>
        <w:jc w:val="both"/>
        <w:rPr>
          <w:rFonts w:ascii="Arial Narrow" w:hAnsi="Arial Narrow" w:cs="Arial"/>
          <w:b/>
          <w:sz w:val="24"/>
          <w:szCs w:val="24"/>
          <w:lang w:val="es-ES_tradnl"/>
        </w:rPr>
      </w:pPr>
    </w:p>
    <w:p w:rsidR="0083079C" w:rsidRPr="005B14FA" w:rsidRDefault="0083079C" w:rsidP="005B14FA">
      <w:pPr>
        <w:spacing w:line="240" w:lineRule="auto"/>
        <w:jc w:val="both"/>
        <w:rPr>
          <w:rFonts w:ascii="Arial Narrow" w:hAnsi="Arial Narrow"/>
          <w:sz w:val="24"/>
          <w:szCs w:val="24"/>
        </w:rPr>
      </w:pPr>
      <w:r w:rsidRPr="00A37F15">
        <w:rPr>
          <w:rFonts w:ascii="Arial Narrow" w:hAnsi="Arial Narrow"/>
          <w:sz w:val="24"/>
          <w:szCs w:val="24"/>
          <w:lang w:val="es-ES_tradnl"/>
        </w:rPr>
        <w:t xml:space="preserve">En ese </w:t>
      </w:r>
      <w:r w:rsidR="001D11EE">
        <w:rPr>
          <w:rFonts w:ascii="Arial Narrow" w:hAnsi="Arial Narrow"/>
          <w:sz w:val="24"/>
          <w:szCs w:val="24"/>
          <w:lang w:val="es-ES_tradnl"/>
        </w:rPr>
        <w:t xml:space="preserve">mismo </w:t>
      </w:r>
      <w:r w:rsidRPr="00A37F15">
        <w:rPr>
          <w:rFonts w:ascii="Arial Narrow" w:hAnsi="Arial Narrow"/>
          <w:sz w:val="24"/>
          <w:szCs w:val="24"/>
          <w:lang w:val="es-ES_tradnl"/>
        </w:rPr>
        <w:t>orden de ideas</w:t>
      </w:r>
      <w:r w:rsidR="001D11EE">
        <w:rPr>
          <w:rFonts w:ascii="Arial Narrow" w:hAnsi="Arial Narrow"/>
          <w:sz w:val="24"/>
          <w:szCs w:val="24"/>
          <w:lang w:val="es-ES_tradnl"/>
        </w:rPr>
        <w:t>,</w:t>
      </w:r>
      <w:r w:rsidRPr="00A37F15">
        <w:rPr>
          <w:rFonts w:ascii="Arial Narrow" w:hAnsi="Arial Narrow"/>
          <w:sz w:val="24"/>
          <w:szCs w:val="24"/>
          <w:lang w:val="es-ES_tradnl"/>
        </w:rPr>
        <w:t xml:space="preserve"> l</w:t>
      </w:r>
      <w:r w:rsidRPr="00A37F15">
        <w:rPr>
          <w:rFonts w:ascii="Arial Narrow" w:hAnsi="Arial Narrow"/>
          <w:sz w:val="24"/>
          <w:szCs w:val="24"/>
        </w:rPr>
        <w:t xml:space="preserve">a Corte Constitucional en Sentencia C-291 de 2007, al reconocer la jurisprudencia internacional -en particular la de los tribunales penales para la antigua Yugoslavia y para Ruanda, así como la de la Corte Internacional de Justicia-, indica que para la aplicación del Derecho Internacional Humanitario, en particular en los conflictos armados internos, se requieren dos criterios:  </w:t>
      </w:r>
    </w:p>
    <w:p w:rsidR="0083079C" w:rsidRPr="00A37F15" w:rsidRDefault="0083079C" w:rsidP="0083079C">
      <w:pPr>
        <w:pStyle w:val="Prrafodelista"/>
        <w:numPr>
          <w:ilvl w:val="0"/>
          <w:numId w:val="2"/>
        </w:numPr>
        <w:spacing w:line="240" w:lineRule="auto"/>
        <w:jc w:val="both"/>
        <w:rPr>
          <w:rFonts w:ascii="Arial Narrow" w:hAnsi="Arial Narrow"/>
          <w:sz w:val="24"/>
          <w:szCs w:val="24"/>
        </w:rPr>
      </w:pPr>
      <w:r w:rsidRPr="00A37F15">
        <w:rPr>
          <w:rFonts w:ascii="Arial Narrow" w:hAnsi="Arial Narrow"/>
          <w:b/>
          <w:sz w:val="24"/>
          <w:szCs w:val="24"/>
        </w:rPr>
        <w:t>La intensidad del conflicto</w:t>
      </w:r>
      <w:r w:rsidRPr="00A37F15">
        <w:rPr>
          <w:rFonts w:ascii="Arial Narrow" w:hAnsi="Arial Narrow"/>
          <w:sz w:val="24"/>
          <w:szCs w:val="24"/>
        </w:rPr>
        <w:t>: Factores tales como, la seriedad de los ataques y si ha habido un incremento en las confrontaciones armadas, la extensión de las hostilidades a lo largo de un territorio y de un período de tiempo, el aumento en las fuerzas armadas estatales y su movilización, así como la movilidad y distribución de armas de las distintas partes enfrentadas.</w:t>
      </w:r>
    </w:p>
    <w:p w:rsidR="0083079C" w:rsidRPr="00A37F15" w:rsidRDefault="0083079C" w:rsidP="0083079C">
      <w:pPr>
        <w:pStyle w:val="Prrafodelista"/>
        <w:spacing w:line="240" w:lineRule="auto"/>
        <w:ind w:left="1440"/>
        <w:jc w:val="both"/>
        <w:rPr>
          <w:rFonts w:ascii="Arial Narrow" w:hAnsi="Arial Narrow"/>
          <w:sz w:val="24"/>
          <w:szCs w:val="24"/>
        </w:rPr>
      </w:pPr>
    </w:p>
    <w:p w:rsidR="0083079C" w:rsidRPr="00A37F15" w:rsidRDefault="0083079C" w:rsidP="0083079C">
      <w:pPr>
        <w:pStyle w:val="Prrafodelista"/>
        <w:numPr>
          <w:ilvl w:val="0"/>
          <w:numId w:val="2"/>
        </w:numPr>
        <w:spacing w:line="240" w:lineRule="auto"/>
        <w:jc w:val="both"/>
        <w:rPr>
          <w:rFonts w:ascii="Arial Narrow" w:hAnsi="Arial Narrow"/>
          <w:sz w:val="24"/>
          <w:szCs w:val="24"/>
        </w:rPr>
      </w:pPr>
      <w:r w:rsidRPr="00A37F15">
        <w:rPr>
          <w:rFonts w:ascii="Arial Narrow" w:hAnsi="Arial Narrow"/>
          <w:b/>
          <w:sz w:val="24"/>
          <w:szCs w:val="24"/>
        </w:rPr>
        <w:t>El nivel de organización de las partes</w:t>
      </w:r>
      <w:r w:rsidRPr="00A37F15">
        <w:rPr>
          <w:rFonts w:ascii="Arial Narrow" w:hAnsi="Arial Narrow"/>
          <w:sz w:val="24"/>
          <w:szCs w:val="24"/>
        </w:rPr>
        <w:t>: criterios tales como, la existencia de cuarteles, zonas designadas de operación, y la capacidad de procurar, transportar y distribuir armas.</w:t>
      </w:r>
    </w:p>
    <w:p w:rsidR="00995909" w:rsidRDefault="00F811B5" w:rsidP="00944129">
      <w:pPr>
        <w:spacing w:after="0" w:line="240" w:lineRule="auto"/>
        <w:jc w:val="both"/>
        <w:rPr>
          <w:rFonts w:ascii="Arial Narrow" w:hAnsi="Arial Narrow" w:cs="Arial"/>
          <w:sz w:val="24"/>
          <w:szCs w:val="24"/>
          <w:lang w:val="es-ES_tradnl"/>
        </w:rPr>
      </w:pPr>
      <w:r>
        <w:rPr>
          <w:rFonts w:ascii="Arial Narrow" w:hAnsi="Arial Narrow" w:cs="Arial"/>
          <w:sz w:val="24"/>
          <w:szCs w:val="24"/>
          <w:lang w:val="es-ES_tradnl"/>
        </w:rPr>
        <w:t xml:space="preserve">Igualmente importante, es resaltar que la aplicación del DIH es independiente a la calificación que se les da a las partes en conflicto y, como se mencionó anteriormente, responde únicamente a los factores objetivos descritos. </w:t>
      </w:r>
    </w:p>
    <w:p w:rsidR="00F811B5" w:rsidRDefault="00F811B5" w:rsidP="00944129">
      <w:pPr>
        <w:spacing w:after="0" w:line="240" w:lineRule="auto"/>
        <w:jc w:val="both"/>
        <w:rPr>
          <w:rFonts w:ascii="Arial Narrow" w:hAnsi="Arial Narrow" w:cs="Arial"/>
          <w:sz w:val="24"/>
          <w:szCs w:val="24"/>
          <w:lang w:val="es-ES_tradnl"/>
        </w:rPr>
      </w:pPr>
    </w:p>
    <w:p w:rsidR="00F811B5" w:rsidRDefault="00F811B5" w:rsidP="00944129">
      <w:pPr>
        <w:spacing w:after="0" w:line="240" w:lineRule="auto"/>
        <w:jc w:val="both"/>
        <w:rPr>
          <w:rFonts w:ascii="Arial Narrow" w:hAnsi="Arial Narrow" w:cs="Arial"/>
          <w:sz w:val="24"/>
          <w:szCs w:val="24"/>
          <w:lang w:val="es-ES_tradnl"/>
        </w:rPr>
      </w:pPr>
      <w:r>
        <w:rPr>
          <w:rFonts w:ascii="Arial Narrow" w:hAnsi="Arial Narrow" w:cs="Arial"/>
          <w:sz w:val="24"/>
          <w:szCs w:val="24"/>
          <w:lang w:val="es-ES_tradnl"/>
        </w:rPr>
        <w:t>La Corte Constitucional al respecto ha señalado que:</w:t>
      </w:r>
    </w:p>
    <w:p w:rsidR="00F811B5" w:rsidRDefault="00F811B5" w:rsidP="00944129">
      <w:pPr>
        <w:spacing w:after="0" w:line="240" w:lineRule="auto"/>
        <w:jc w:val="both"/>
        <w:rPr>
          <w:rFonts w:ascii="Arial Narrow" w:hAnsi="Arial Narrow" w:cs="Arial"/>
          <w:sz w:val="24"/>
          <w:szCs w:val="24"/>
          <w:lang w:val="es-ES_tradnl"/>
        </w:rPr>
      </w:pPr>
    </w:p>
    <w:p w:rsidR="00F811B5" w:rsidRPr="00F811B5" w:rsidRDefault="00F811B5" w:rsidP="00F811B5">
      <w:pPr>
        <w:spacing w:after="0" w:line="240" w:lineRule="auto"/>
        <w:ind w:left="567" w:right="142"/>
        <w:jc w:val="both"/>
        <w:rPr>
          <w:rFonts w:ascii="Arial Narrow" w:hAnsi="Arial Narrow" w:cs="Arial"/>
          <w:i/>
          <w:sz w:val="24"/>
          <w:szCs w:val="24"/>
          <w:lang w:val="es-ES_tradnl"/>
        </w:rPr>
      </w:pPr>
      <w:r w:rsidRPr="00F811B5">
        <w:rPr>
          <w:rFonts w:ascii="Arial Narrow" w:hAnsi="Arial Narrow" w:cs="Arial"/>
          <w:sz w:val="24"/>
          <w:szCs w:val="24"/>
          <w:lang w:val="es-ES_tradnl"/>
        </w:rPr>
        <w:t>“</w:t>
      </w:r>
      <w:r w:rsidRPr="00F811B5">
        <w:rPr>
          <w:rFonts w:ascii="Arial Narrow" w:hAnsi="Arial Narrow" w:cs="Arial"/>
          <w:i/>
          <w:sz w:val="24"/>
          <w:szCs w:val="24"/>
          <w:lang w:val="es-ES_tradnl"/>
        </w:rPr>
        <w:t>La aplicación del Derecho Internacional Humanitario es independiente de las razones de fondo que motivaron el conflicto armado y del status de los grupos armados no estatales que en él participan ante el Derecho Internacional Público. En efecto, la aplicación del Derecho Internacional Humanitario no implica un reconocimiento ni de la legitimidad de las razones o causas invocadas por los grupos armados disidentes que toman parte en los conflictos armados, ni tampoco –desde ninguna perspectiva- un reconocimiento de insurgencia o de beligerancia a la luz del Derecho Internacional Público. El Instituto de Derecho Internacional precisó en 1999 que “la aplicación de tales principios y reglas no afecta el status legal de las partes del conflicto, y no depende de su reconocimiento como beligerantes o insurgentes</w:t>
      </w:r>
      <w:r w:rsidR="00EC62CC">
        <w:rPr>
          <w:rFonts w:ascii="Arial Narrow" w:hAnsi="Arial Narrow" w:cs="Arial"/>
          <w:i/>
          <w:sz w:val="24"/>
          <w:szCs w:val="24"/>
          <w:lang w:val="es-ES_tradnl"/>
        </w:rPr>
        <w:t>.</w:t>
      </w:r>
      <w:r w:rsidRPr="00F811B5">
        <w:rPr>
          <w:rFonts w:ascii="Arial Narrow" w:hAnsi="Arial Narrow" w:cs="Arial"/>
          <w:i/>
          <w:sz w:val="24"/>
          <w:szCs w:val="24"/>
          <w:lang w:val="es-ES_tradnl"/>
        </w:rPr>
        <w:t>”</w:t>
      </w:r>
      <w:r>
        <w:rPr>
          <w:rStyle w:val="Refdenotaalpie"/>
          <w:rFonts w:ascii="Arial Narrow" w:hAnsi="Arial Narrow" w:cs="Arial"/>
          <w:i/>
          <w:sz w:val="24"/>
          <w:szCs w:val="24"/>
          <w:lang w:val="es-ES_tradnl"/>
        </w:rPr>
        <w:footnoteReference w:id="7"/>
      </w:r>
    </w:p>
    <w:p w:rsidR="00F811B5" w:rsidRPr="00A37F15" w:rsidRDefault="00F811B5" w:rsidP="00944129">
      <w:pPr>
        <w:spacing w:after="0" w:line="240" w:lineRule="auto"/>
        <w:jc w:val="both"/>
        <w:rPr>
          <w:rFonts w:ascii="Arial Narrow" w:hAnsi="Arial Narrow" w:cs="Arial"/>
          <w:b/>
          <w:sz w:val="24"/>
          <w:szCs w:val="24"/>
          <w:lang w:val="es-ES_tradnl"/>
        </w:rPr>
      </w:pPr>
    </w:p>
    <w:p w:rsidR="00944129" w:rsidRPr="00A37F15" w:rsidRDefault="00F811B5" w:rsidP="00944129">
      <w:pPr>
        <w:spacing w:after="0" w:line="240" w:lineRule="auto"/>
        <w:jc w:val="both"/>
        <w:rPr>
          <w:rFonts w:ascii="Arial Narrow" w:hAnsi="Arial Narrow" w:cs="Arial"/>
          <w:sz w:val="24"/>
          <w:szCs w:val="24"/>
          <w:lang w:val="es-ES_tradnl"/>
        </w:rPr>
      </w:pPr>
      <w:r>
        <w:rPr>
          <w:rFonts w:ascii="Arial Narrow" w:hAnsi="Arial Narrow" w:cs="Arial"/>
          <w:sz w:val="24"/>
          <w:szCs w:val="24"/>
          <w:lang w:val="es-ES_tradnl"/>
        </w:rPr>
        <w:t>Así las cosas, es claro que en Colombia es aplicable el DIH conforme al cumplimiento de los factores objetivos que determinen su aplicación. De ahí la relevancia que todas las conductas que se den en el marco de esta normativa sean investigadas y juzgadas conforme a los princi</w:t>
      </w:r>
      <w:r w:rsidR="00005AA0">
        <w:rPr>
          <w:rFonts w:ascii="Arial Narrow" w:hAnsi="Arial Narrow" w:cs="Arial"/>
          <w:sz w:val="24"/>
          <w:szCs w:val="24"/>
          <w:lang w:val="es-ES_tradnl"/>
        </w:rPr>
        <w:t xml:space="preserve">pios y normas que la componen. </w:t>
      </w:r>
      <w:r>
        <w:rPr>
          <w:rFonts w:ascii="Arial Narrow" w:hAnsi="Arial Narrow" w:cs="Arial"/>
          <w:sz w:val="24"/>
          <w:szCs w:val="24"/>
          <w:lang w:val="es-ES_tradnl"/>
        </w:rPr>
        <w:t>Especialmente, dada l</w:t>
      </w:r>
      <w:r w:rsidR="00944129" w:rsidRPr="00A37F15">
        <w:rPr>
          <w:rFonts w:ascii="Arial Narrow" w:hAnsi="Arial Narrow" w:cs="Arial"/>
          <w:sz w:val="24"/>
          <w:szCs w:val="24"/>
          <w:lang w:val="es-ES_tradnl"/>
        </w:rPr>
        <w:t>a realidad colombiana</w:t>
      </w:r>
      <w:r>
        <w:rPr>
          <w:rFonts w:ascii="Arial Narrow" w:hAnsi="Arial Narrow" w:cs="Arial"/>
          <w:sz w:val="24"/>
          <w:szCs w:val="24"/>
          <w:lang w:val="es-ES_tradnl"/>
        </w:rPr>
        <w:t>, se</w:t>
      </w:r>
      <w:r w:rsidR="00944129" w:rsidRPr="00A37F15">
        <w:rPr>
          <w:rFonts w:ascii="Arial Narrow" w:hAnsi="Arial Narrow" w:cs="Arial"/>
          <w:sz w:val="24"/>
          <w:szCs w:val="24"/>
          <w:lang w:val="es-ES_tradnl"/>
        </w:rPr>
        <w:t xml:space="preserve"> requiere </w:t>
      </w:r>
      <w:r>
        <w:rPr>
          <w:rFonts w:ascii="Arial Narrow" w:hAnsi="Arial Narrow" w:cs="Arial"/>
          <w:sz w:val="24"/>
          <w:szCs w:val="24"/>
          <w:lang w:val="es-ES_tradnl"/>
        </w:rPr>
        <w:t xml:space="preserve">generar la certeza constitucional y legal </w:t>
      </w:r>
      <w:r w:rsidR="00944129" w:rsidRPr="00A37F15">
        <w:rPr>
          <w:rFonts w:ascii="Arial Narrow" w:hAnsi="Arial Narrow" w:cs="Arial"/>
          <w:sz w:val="24"/>
          <w:szCs w:val="24"/>
          <w:lang w:val="es-ES_tradnl"/>
        </w:rPr>
        <w:t>las conductas punibles de los miembros de la Fuerza Pública, puedan ser investigadas y juzgadas con apego al mismo en las condiciones que el DIH señala.</w:t>
      </w:r>
    </w:p>
    <w:p w:rsidR="00944129" w:rsidRPr="00A37F15" w:rsidRDefault="00944129" w:rsidP="00944129">
      <w:pPr>
        <w:spacing w:after="0" w:line="240" w:lineRule="auto"/>
        <w:jc w:val="both"/>
        <w:rPr>
          <w:rFonts w:ascii="Arial Narrow" w:hAnsi="Arial Narrow" w:cs="Arial"/>
          <w:sz w:val="24"/>
          <w:szCs w:val="24"/>
          <w:lang w:val="es-ES_tradnl"/>
        </w:rPr>
      </w:pPr>
    </w:p>
    <w:p w:rsidR="00A37F15" w:rsidRPr="00A37F15" w:rsidRDefault="00A37F15" w:rsidP="00944129">
      <w:pPr>
        <w:spacing w:after="0" w:line="240" w:lineRule="auto"/>
        <w:jc w:val="both"/>
        <w:rPr>
          <w:rFonts w:ascii="Arial Narrow" w:hAnsi="Arial Narrow" w:cs="Arial"/>
          <w:sz w:val="24"/>
          <w:szCs w:val="24"/>
          <w:lang w:val="es-ES_tradnl"/>
        </w:rPr>
      </w:pPr>
    </w:p>
    <w:p w:rsidR="00A37F15" w:rsidRPr="00F811B5" w:rsidRDefault="00F811B5" w:rsidP="004F18CC">
      <w:pPr>
        <w:pStyle w:val="Prrafodelista"/>
        <w:numPr>
          <w:ilvl w:val="0"/>
          <w:numId w:val="8"/>
        </w:numPr>
        <w:spacing w:after="0" w:line="240" w:lineRule="auto"/>
        <w:ind w:left="426" w:hanging="426"/>
        <w:jc w:val="both"/>
        <w:rPr>
          <w:rFonts w:ascii="Arial Narrow" w:hAnsi="Arial Narrow" w:cs="Arial"/>
          <w:b/>
          <w:sz w:val="24"/>
          <w:szCs w:val="24"/>
          <w:lang w:val="es-ES_tradnl"/>
        </w:rPr>
      </w:pPr>
      <w:r w:rsidRPr="00F811B5">
        <w:rPr>
          <w:rFonts w:ascii="Arial Narrow" w:hAnsi="Arial Narrow" w:cs="Arial"/>
          <w:b/>
          <w:sz w:val="24"/>
          <w:szCs w:val="24"/>
          <w:lang w:val="es-ES_tradnl"/>
        </w:rPr>
        <w:t xml:space="preserve">MODIFICACIONES </w:t>
      </w:r>
      <w:r w:rsidR="00B77B5E">
        <w:rPr>
          <w:rFonts w:ascii="Arial Narrow" w:hAnsi="Arial Narrow" w:cs="Arial"/>
          <w:b/>
          <w:sz w:val="24"/>
          <w:szCs w:val="24"/>
          <w:lang w:val="es-ES_tradnl"/>
        </w:rPr>
        <w:t>REALIZADAS</w:t>
      </w:r>
      <w:r w:rsidRPr="00F811B5">
        <w:rPr>
          <w:rFonts w:ascii="Arial Narrow" w:hAnsi="Arial Narrow" w:cs="Arial"/>
          <w:b/>
          <w:sz w:val="24"/>
          <w:szCs w:val="24"/>
          <w:lang w:val="es-ES_tradnl"/>
        </w:rPr>
        <w:t xml:space="preserve"> AL PROYECTO DE ACTO </w:t>
      </w:r>
      <w:r w:rsidR="00B77B5E">
        <w:rPr>
          <w:rFonts w:ascii="Arial Narrow" w:hAnsi="Arial Narrow" w:cs="Arial"/>
          <w:b/>
          <w:sz w:val="24"/>
          <w:szCs w:val="24"/>
          <w:lang w:val="es-ES_tradnl"/>
        </w:rPr>
        <w:t>LEGISLATIVO</w:t>
      </w:r>
      <w:r w:rsidR="003E392A">
        <w:rPr>
          <w:rFonts w:ascii="Arial Narrow" w:hAnsi="Arial Narrow" w:cs="Arial"/>
          <w:b/>
          <w:sz w:val="24"/>
          <w:szCs w:val="24"/>
          <w:lang w:val="es-ES_tradnl"/>
        </w:rPr>
        <w:t xml:space="preserve"> EN SU TRÁMITE EN SEGUNDA VUELTA:</w:t>
      </w:r>
    </w:p>
    <w:p w:rsidR="00A37F15" w:rsidRPr="00F811B5" w:rsidRDefault="00A37F15" w:rsidP="00944129">
      <w:pPr>
        <w:spacing w:after="0" w:line="240" w:lineRule="auto"/>
        <w:jc w:val="both"/>
        <w:rPr>
          <w:rFonts w:ascii="Arial Narrow" w:hAnsi="Arial Narrow" w:cs="Arial"/>
          <w:b/>
          <w:sz w:val="24"/>
          <w:szCs w:val="24"/>
          <w:lang w:val="es-ES_tradnl"/>
        </w:rPr>
      </w:pPr>
    </w:p>
    <w:p w:rsidR="00944129" w:rsidRPr="004F18CC" w:rsidRDefault="00F811B5" w:rsidP="004F18CC">
      <w:pPr>
        <w:pStyle w:val="Prrafodelista"/>
        <w:numPr>
          <w:ilvl w:val="0"/>
          <w:numId w:val="9"/>
        </w:numPr>
        <w:spacing w:after="0" w:line="240" w:lineRule="auto"/>
        <w:jc w:val="both"/>
        <w:rPr>
          <w:rFonts w:ascii="Arial Narrow" w:hAnsi="Arial Narrow" w:cs="Arial"/>
          <w:b/>
          <w:sz w:val="24"/>
          <w:szCs w:val="24"/>
          <w:lang w:val="es-ES_tradnl"/>
        </w:rPr>
      </w:pPr>
      <w:r w:rsidRPr="004F18CC">
        <w:rPr>
          <w:rFonts w:ascii="Arial Narrow" w:hAnsi="Arial Narrow" w:cs="Arial"/>
          <w:b/>
          <w:sz w:val="24"/>
          <w:szCs w:val="24"/>
          <w:lang w:val="es-ES_tradnl"/>
        </w:rPr>
        <w:t>S</w:t>
      </w:r>
      <w:r w:rsidR="00944129" w:rsidRPr="004F18CC">
        <w:rPr>
          <w:rFonts w:ascii="Arial Narrow" w:hAnsi="Arial Narrow" w:cs="Arial"/>
          <w:b/>
          <w:sz w:val="24"/>
          <w:szCs w:val="24"/>
          <w:lang w:val="es-ES_tradnl"/>
        </w:rPr>
        <w:t>upresión del inciso segundo del Proyecto de Acto Legislativ</w:t>
      </w:r>
      <w:r w:rsidR="003E392A">
        <w:rPr>
          <w:rFonts w:ascii="Arial Narrow" w:hAnsi="Arial Narrow" w:cs="Arial"/>
          <w:b/>
          <w:sz w:val="24"/>
          <w:szCs w:val="24"/>
          <w:lang w:val="es-ES_tradnl"/>
        </w:rPr>
        <w:t>o radicado para primer debate en</w:t>
      </w:r>
      <w:r w:rsidR="00944129" w:rsidRPr="004F18CC">
        <w:rPr>
          <w:rFonts w:ascii="Arial Narrow" w:hAnsi="Arial Narrow" w:cs="Arial"/>
          <w:b/>
          <w:sz w:val="24"/>
          <w:szCs w:val="24"/>
          <w:lang w:val="es-ES_tradnl"/>
        </w:rPr>
        <w:t xml:space="preserve"> segunda vuelta</w:t>
      </w:r>
      <w:r w:rsidR="003E392A">
        <w:rPr>
          <w:rFonts w:ascii="Arial Narrow" w:hAnsi="Arial Narrow" w:cs="Arial"/>
          <w:b/>
          <w:sz w:val="24"/>
          <w:szCs w:val="24"/>
          <w:lang w:val="es-ES_tradnl"/>
        </w:rPr>
        <w:t>.</w:t>
      </w:r>
    </w:p>
    <w:p w:rsidR="00B77B5E" w:rsidRDefault="00B77B5E" w:rsidP="00B77B5E">
      <w:pPr>
        <w:spacing w:after="0" w:line="240" w:lineRule="auto"/>
        <w:jc w:val="both"/>
        <w:rPr>
          <w:rFonts w:ascii="Arial Narrow" w:hAnsi="Arial Narrow"/>
          <w:sz w:val="24"/>
          <w:szCs w:val="24"/>
          <w:lang w:val="es-ES_tradnl"/>
        </w:rPr>
      </w:pPr>
    </w:p>
    <w:p w:rsidR="00B77B5E" w:rsidRPr="00B77B5E" w:rsidRDefault="00B77B5E" w:rsidP="00B77B5E">
      <w:pPr>
        <w:spacing w:after="0" w:line="240" w:lineRule="auto"/>
        <w:jc w:val="both"/>
        <w:rPr>
          <w:rFonts w:ascii="Arial Narrow" w:hAnsi="Arial Narrow"/>
          <w:sz w:val="24"/>
          <w:szCs w:val="24"/>
          <w:lang w:val="es-ES_tradnl"/>
        </w:rPr>
      </w:pPr>
      <w:r w:rsidRPr="00B77B5E">
        <w:rPr>
          <w:rFonts w:ascii="Arial Narrow" w:hAnsi="Arial Narrow"/>
          <w:sz w:val="24"/>
          <w:szCs w:val="24"/>
          <w:lang w:val="es-ES_tradnl"/>
        </w:rPr>
        <w:t>El aparte eliminado es el siguiente:</w:t>
      </w:r>
    </w:p>
    <w:p w:rsidR="00DE03E4" w:rsidRDefault="00DE03E4" w:rsidP="00DE03E4">
      <w:pPr>
        <w:spacing w:after="0" w:line="240" w:lineRule="auto"/>
        <w:jc w:val="both"/>
        <w:rPr>
          <w:rFonts w:ascii="Arial Narrow" w:hAnsi="Arial Narrow" w:cs="Arial"/>
          <w:sz w:val="24"/>
          <w:szCs w:val="24"/>
          <w:lang w:val="es-ES_tradnl"/>
        </w:rPr>
      </w:pPr>
    </w:p>
    <w:p w:rsidR="00944129" w:rsidRPr="00DE03E4" w:rsidRDefault="00944129" w:rsidP="00DE03E4">
      <w:pPr>
        <w:spacing w:after="0" w:line="240" w:lineRule="auto"/>
        <w:ind w:left="567" w:right="142"/>
        <w:jc w:val="both"/>
        <w:rPr>
          <w:rFonts w:ascii="Arial Narrow" w:hAnsi="Arial Narrow" w:cs="Arial"/>
          <w:i/>
          <w:sz w:val="24"/>
          <w:szCs w:val="24"/>
          <w:lang w:val="es-ES_tradnl"/>
        </w:rPr>
      </w:pPr>
      <w:r w:rsidRPr="00DE03E4">
        <w:rPr>
          <w:rFonts w:ascii="Arial Narrow" w:hAnsi="Arial Narrow" w:cs="Arial"/>
          <w:i/>
          <w:sz w:val="24"/>
          <w:szCs w:val="24"/>
          <w:lang w:val="es-ES_tradnl"/>
        </w:rPr>
        <w:t>“La Justicia Penal Militar o Policial conocerá de los crímenes de lesa humanidad,</w:t>
      </w:r>
      <w:r w:rsidR="00005AA0">
        <w:rPr>
          <w:rFonts w:ascii="Arial Narrow" w:hAnsi="Arial Narrow" w:cs="Arial"/>
          <w:i/>
          <w:sz w:val="24"/>
          <w:szCs w:val="24"/>
          <w:lang w:val="es-ES_tradnl"/>
        </w:rPr>
        <w:t xml:space="preserve"> ni las conductas de genocidio,</w:t>
      </w:r>
      <w:r w:rsidR="00005AA0" w:rsidRPr="00DE03E4">
        <w:rPr>
          <w:rFonts w:ascii="Arial Narrow" w:hAnsi="Arial Narrow" w:cs="Arial"/>
          <w:i/>
          <w:sz w:val="24"/>
          <w:szCs w:val="24"/>
          <w:lang w:val="es-ES_tradnl"/>
        </w:rPr>
        <w:t xml:space="preserve"> desaparición</w:t>
      </w:r>
      <w:r w:rsidR="00005AA0">
        <w:rPr>
          <w:rFonts w:ascii="Arial Narrow" w:hAnsi="Arial Narrow" w:cs="Arial"/>
          <w:i/>
          <w:sz w:val="24"/>
          <w:szCs w:val="24"/>
          <w:lang w:val="es-ES_tradnl"/>
        </w:rPr>
        <w:t xml:space="preserve"> </w:t>
      </w:r>
      <w:r w:rsidRPr="00DE03E4">
        <w:rPr>
          <w:rFonts w:ascii="Arial Narrow" w:hAnsi="Arial Narrow" w:cs="Arial"/>
          <w:i/>
          <w:sz w:val="24"/>
          <w:szCs w:val="24"/>
          <w:lang w:val="es-ES_tradnl"/>
        </w:rPr>
        <w:t xml:space="preserve">forzada, violencia sexual, tortura y desplazamiento forzado. Tampoco </w:t>
      </w:r>
      <w:r w:rsidRPr="00DE03E4">
        <w:rPr>
          <w:rFonts w:ascii="Arial Narrow" w:eastAsia="Times New Roman" w:hAnsi="Arial Narrow"/>
          <w:i/>
          <w:color w:val="000000"/>
          <w:sz w:val="24"/>
          <w:szCs w:val="24"/>
          <w:lang w:val="es-ES_tradnl" w:eastAsia="es-CO"/>
        </w:rPr>
        <w:t xml:space="preserve">será competente para conocer de las ejecuciones extrajudiciales </w:t>
      </w:r>
      <w:r w:rsidRPr="00DE03E4">
        <w:rPr>
          <w:rFonts w:ascii="Arial Narrow" w:eastAsia="Times New Roman" w:hAnsi="Arial Narrow"/>
          <w:i/>
          <w:sz w:val="24"/>
          <w:szCs w:val="24"/>
          <w:lang w:val="es-ES_tradnl" w:eastAsia="es-CO"/>
        </w:rPr>
        <w:t>tales como los homicidios cometidos contra personas puestas fuera de combate o en situación de indefensión</w:t>
      </w:r>
      <w:r w:rsidRPr="00DE03E4">
        <w:rPr>
          <w:rFonts w:ascii="Arial Narrow" w:eastAsia="Times New Roman" w:hAnsi="Arial Narrow"/>
          <w:i/>
          <w:color w:val="000000"/>
          <w:sz w:val="24"/>
          <w:szCs w:val="24"/>
          <w:lang w:val="es-ES_tradnl" w:eastAsia="es-CO"/>
        </w:rPr>
        <w:t>. Las infracciones al Derecho Internacional Humanitario cometidas por miembros de la Fuerza Pública, salvo las conductas anteriores, serán conocidas exclusivamente por las cortes marciales o tribunales militares o policiales.”</w:t>
      </w:r>
    </w:p>
    <w:p w:rsidR="00944129" w:rsidRPr="00A37F15" w:rsidRDefault="00944129" w:rsidP="00944129">
      <w:pPr>
        <w:spacing w:after="0" w:line="240" w:lineRule="auto"/>
        <w:ind w:left="720" w:firstLine="60"/>
        <w:jc w:val="both"/>
        <w:rPr>
          <w:rFonts w:ascii="Arial Narrow" w:hAnsi="Arial Narrow" w:cs="Arial"/>
          <w:sz w:val="24"/>
          <w:szCs w:val="24"/>
          <w:lang w:val="es-ES_tradnl"/>
        </w:rPr>
      </w:pPr>
    </w:p>
    <w:p w:rsidR="00DE03E4" w:rsidRDefault="00DE03E4" w:rsidP="00944129">
      <w:pPr>
        <w:spacing w:line="240" w:lineRule="auto"/>
        <w:jc w:val="both"/>
        <w:rPr>
          <w:rFonts w:ascii="Arial Narrow" w:eastAsia="Times New Roman" w:hAnsi="Arial Narrow"/>
          <w:color w:val="000000"/>
          <w:sz w:val="24"/>
          <w:szCs w:val="24"/>
          <w:lang w:eastAsia="es-CO"/>
        </w:rPr>
      </w:pPr>
      <w:r>
        <w:rPr>
          <w:rFonts w:ascii="Arial Narrow" w:eastAsia="Times New Roman" w:hAnsi="Arial Narrow"/>
          <w:color w:val="000000"/>
          <w:sz w:val="24"/>
          <w:szCs w:val="24"/>
          <w:lang w:eastAsia="es-CO"/>
        </w:rPr>
        <w:t>Si bien, hubo innumerables pronunciamientos por pa</w:t>
      </w:r>
      <w:r w:rsidR="00005AA0">
        <w:rPr>
          <w:rFonts w:ascii="Arial Narrow" w:eastAsia="Times New Roman" w:hAnsi="Arial Narrow"/>
          <w:color w:val="000000"/>
          <w:sz w:val="24"/>
          <w:szCs w:val="24"/>
          <w:lang w:eastAsia="es-CO"/>
        </w:rPr>
        <w:t>rte de Gobierno Nacional y de Honorables</w:t>
      </w:r>
      <w:r>
        <w:rPr>
          <w:rFonts w:ascii="Arial Narrow" w:eastAsia="Times New Roman" w:hAnsi="Arial Narrow"/>
          <w:color w:val="000000"/>
          <w:sz w:val="24"/>
          <w:szCs w:val="24"/>
          <w:lang w:eastAsia="es-CO"/>
        </w:rPr>
        <w:t xml:space="preserve"> Congresistas respecto de que las conductas no tipificadas que hacían parte de ésta lista de delitos no serían nunca conocimiento de la JPM, como por ejemplo las ejecuciones extrajudiciales, la incertidumbre al respecto generó debates interminables  en los cuales se evidenció que contrario a lo que se buscaba con el proyecto de Acto Legislativo, que era dar claridad respecto de la distribución de competencias entre JPM y la justicia ordinaria, se estaba generando el efecto contrario, por lo cual se eliminó el párrafo transcrito anteriormente. </w:t>
      </w:r>
    </w:p>
    <w:p w:rsidR="008B745D" w:rsidRPr="00FB1910" w:rsidRDefault="00DE03E4" w:rsidP="008B745D">
      <w:pPr>
        <w:spacing w:line="240" w:lineRule="auto"/>
        <w:jc w:val="both"/>
        <w:rPr>
          <w:rFonts w:ascii="Arial Narrow" w:hAnsi="Arial Narrow" w:cs="Arial"/>
          <w:sz w:val="24"/>
          <w:szCs w:val="24"/>
          <w:lang w:val="es-ES_tradnl"/>
        </w:rPr>
      </w:pPr>
      <w:r>
        <w:rPr>
          <w:rFonts w:ascii="Arial Narrow" w:eastAsia="Times New Roman" w:hAnsi="Arial Narrow"/>
          <w:color w:val="000000"/>
          <w:sz w:val="24"/>
          <w:szCs w:val="24"/>
          <w:lang w:eastAsia="es-CO"/>
        </w:rPr>
        <w:t>Es importante resaltar que esta eliminación no genera ningún efecto negativo en el trámite ni en el objetivo de la reforma. Pues, es claro que siempre el objetivo principal</w:t>
      </w:r>
      <w:r w:rsidR="003E392A">
        <w:rPr>
          <w:rFonts w:ascii="Arial Narrow" w:eastAsia="Times New Roman" w:hAnsi="Arial Narrow"/>
          <w:color w:val="000000"/>
          <w:sz w:val="24"/>
          <w:szCs w:val="24"/>
          <w:lang w:eastAsia="es-CO"/>
        </w:rPr>
        <w:t xml:space="preserve"> es</w:t>
      </w:r>
      <w:r w:rsidR="00005AA0">
        <w:rPr>
          <w:rFonts w:ascii="Arial Narrow" w:eastAsia="Times New Roman" w:hAnsi="Arial Narrow"/>
          <w:color w:val="000000"/>
          <w:sz w:val="24"/>
          <w:szCs w:val="24"/>
          <w:lang w:eastAsia="es-CO"/>
        </w:rPr>
        <w:t xml:space="preserve"> </w:t>
      </w:r>
      <w:r w:rsidR="004F18CC">
        <w:rPr>
          <w:rFonts w:ascii="Arial Narrow" w:eastAsia="Times New Roman" w:hAnsi="Arial Narrow"/>
          <w:color w:val="000000"/>
          <w:sz w:val="24"/>
          <w:szCs w:val="24"/>
          <w:lang w:eastAsia="es-CO"/>
        </w:rPr>
        <w:t>generar las herramientas jurídicas que propendan por</w:t>
      </w:r>
      <w:r>
        <w:rPr>
          <w:rFonts w:ascii="Arial Narrow" w:eastAsia="Times New Roman" w:hAnsi="Arial Narrow"/>
          <w:color w:val="000000"/>
          <w:sz w:val="24"/>
          <w:szCs w:val="24"/>
          <w:lang w:eastAsia="es-CO"/>
        </w:rPr>
        <w:t xml:space="preserve"> una debida administración de justicia</w:t>
      </w:r>
      <w:r w:rsidR="004F18CC">
        <w:rPr>
          <w:rFonts w:ascii="Arial Narrow" w:eastAsia="Times New Roman" w:hAnsi="Arial Narrow"/>
          <w:color w:val="000000"/>
          <w:sz w:val="24"/>
          <w:szCs w:val="24"/>
          <w:lang w:eastAsia="es-CO"/>
        </w:rPr>
        <w:t>, que sea</w:t>
      </w:r>
      <w:r w:rsidR="00005AA0">
        <w:rPr>
          <w:rFonts w:ascii="Arial Narrow" w:eastAsia="Times New Roman" w:hAnsi="Arial Narrow"/>
          <w:color w:val="000000"/>
          <w:sz w:val="24"/>
          <w:szCs w:val="24"/>
          <w:lang w:eastAsia="es-CO"/>
        </w:rPr>
        <w:t xml:space="preserve"> </w:t>
      </w:r>
      <w:r w:rsidR="004F18CC">
        <w:rPr>
          <w:rFonts w:ascii="Arial Narrow" w:eastAsia="Times New Roman" w:hAnsi="Arial Narrow"/>
          <w:color w:val="000000"/>
          <w:sz w:val="24"/>
          <w:szCs w:val="24"/>
          <w:lang w:eastAsia="es-CO"/>
        </w:rPr>
        <w:t xml:space="preserve">eficaz, independiente e imparcial, </w:t>
      </w:r>
      <w:r w:rsidRPr="00A37F15">
        <w:rPr>
          <w:rFonts w:ascii="Arial Narrow" w:eastAsia="Times New Roman" w:hAnsi="Arial Narrow"/>
          <w:color w:val="000000"/>
          <w:sz w:val="24"/>
          <w:szCs w:val="24"/>
          <w:lang w:eastAsia="es-CO"/>
        </w:rPr>
        <w:t xml:space="preserve">que aplique el marco normativo requerido para la realidad colombiana, y que se brinde las garantías jurídicas necesarias para las personas que están siendo investigadas y juzgadas, y para la población en general. </w:t>
      </w:r>
      <w:r w:rsidR="00EC62CC" w:rsidRPr="00FB1910">
        <w:rPr>
          <w:rFonts w:ascii="Arial Narrow" w:eastAsia="Times New Roman" w:hAnsi="Arial Narrow"/>
          <w:sz w:val="24"/>
          <w:szCs w:val="24"/>
          <w:lang w:eastAsia="es-CO"/>
        </w:rPr>
        <w:t xml:space="preserve">Dichos cambios efectuados desde la aprobación en el primer debate en la Comisión Primera de Senado, en segunda vuelta, </w:t>
      </w:r>
      <w:proofErr w:type="spellStart"/>
      <w:r w:rsidR="00EC62CC" w:rsidRPr="00FB1910">
        <w:rPr>
          <w:rFonts w:ascii="Arial Narrow" w:eastAsia="Times New Roman" w:hAnsi="Arial Narrow"/>
          <w:sz w:val="24"/>
          <w:szCs w:val="24"/>
          <w:lang w:eastAsia="es-CO"/>
        </w:rPr>
        <w:t>fue</w:t>
      </w:r>
      <w:r w:rsidR="008B745D" w:rsidRPr="00FB1910">
        <w:rPr>
          <w:rFonts w:ascii="Arial Narrow" w:eastAsia="Times New Roman" w:hAnsi="Arial Narrow"/>
          <w:sz w:val="24"/>
          <w:szCs w:val="24"/>
          <w:lang w:eastAsia="es-CO"/>
        </w:rPr>
        <w:t>ron</w:t>
      </w:r>
      <w:r w:rsidR="00C97D8A" w:rsidRPr="00FB1910">
        <w:rPr>
          <w:rFonts w:ascii="Arial Narrow" w:eastAsia="Times New Roman" w:hAnsi="Arial Narrow"/>
          <w:sz w:val="24"/>
          <w:szCs w:val="24"/>
          <w:lang w:eastAsia="es-CO"/>
        </w:rPr>
        <w:t>de</w:t>
      </w:r>
      <w:proofErr w:type="spellEnd"/>
      <w:r w:rsidR="00C97D8A" w:rsidRPr="00FB1910">
        <w:rPr>
          <w:rFonts w:ascii="Arial Narrow" w:eastAsia="Times New Roman" w:hAnsi="Arial Narrow"/>
          <w:sz w:val="24"/>
          <w:szCs w:val="24"/>
          <w:lang w:eastAsia="es-CO"/>
        </w:rPr>
        <w:t xml:space="preserve"> buen recibo por parte de diferentes sectores </w:t>
      </w:r>
      <w:r w:rsidR="00EC62CC" w:rsidRPr="00FB1910">
        <w:rPr>
          <w:rFonts w:ascii="Arial Narrow" w:eastAsia="Times New Roman" w:hAnsi="Arial Narrow"/>
          <w:sz w:val="24"/>
          <w:szCs w:val="24"/>
          <w:lang w:eastAsia="es-CO"/>
        </w:rPr>
        <w:t xml:space="preserve"> políticos</w:t>
      </w:r>
      <w:r w:rsidR="00355CF5" w:rsidRPr="00FB1910">
        <w:rPr>
          <w:rFonts w:ascii="Arial Narrow" w:eastAsia="Times New Roman" w:hAnsi="Arial Narrow"/>
          <w:sz w:val="24"/>
          <w:szCs w:val="24"/>
          <w:lang w:eastAsia="es-CO"/>
        </w:rPr>
        <w:t xml:space="preserve"> que tienen asiento en la </w:t>
      </w:r>
      <w:r w:rsidR="00C97D8A" w:rsidRPr="00FB1910">
        <w:rPr>
          <w:rFonts w:ascii="Arial Narrow" w:eastAsia="Times New Roman" w:hAnsi="Arial Narrow"/>
          <w:sz w:val="24"/>
          <w:szCs w:val="24"/>
          <w:lang w:eastAsia="es-CO"/>
        </w:rPr>
        <w:t>comisión como son: Partido de la U, Conservador, Liberal, Cambio Radical, Centro Democrático, Opción Ciudadana y Alianza V</w:t>
      </w:r>
      <w:r w:rsidR="00EC62CC" w:rsidRPr="00FB1910">
        <w:rPr>
          <w:rFonts w:ascii="Arial Narrow" w:eastAsia="Times New Roman" w:hAnsi="Arial Narrow"/>
          <w:sz w:val="24"/>
          <w:szCs w:val="24"/>
          <w:lang w:eastAsia="es-CO"/>
        </w:rPr>
        <w:t>erde</w:t>
      </w:r>
      <w:r w:rsidR="00355CF5" w:rsidRPr="00FB1910">
        <w:rPr>
          <w:rFonts w:ascii="Arial Narrow" w:eastAsia="Times New Roman" w:hAnsi="Arial Narrow"/>
          <w:sz w:val="24"/>
          <w:szCs w:val="24"/>
          <w:lang w:eastAsia="es-CO"/>
        </w:rPr>
        <w:t xml:space="preserve">. Así mismo cabe resaltar </w:t>
      </w:r>
      <w:r w:rsidR="008B745D" w:rsidRPr="00FB1910">
        <w:rPr>
          <w:rFonts w:ascii="Arial Narrow" w:eastAsia="Times New Roman" w:hAnsi="Arial Narrow"/>
          <w:sz w:val="24"/>
          <w:szCs w:val="24"/>
          <w:lang w:eastAsia="es-CO"/>
        </w:rPr>
        <w:t xml:space="preserve">que estas modificaciones también cuentan con </w:t>
      </w:r>
      <w:r w:rsidR="00355CF5" w:rsidRPr="00FB1910">
        <w:rPr>
          <w:rFonts w:ascii="Arial Narrow" w:eastAsia="Times New Roman" w:hAnsi="Arial Narrow"/>
          <w:sz w:val="24"/>
          <w:szCs w:val="24"/>
          <w:lang w:eastAsia="es-CO"/>
        </w:rPr>
        <w:t xml:space="preserve"> el respaldo de la Fuerza Pública, tal y como lo manifestó</w:t>
      </w:r>
      <w:r w:rsidR="008B745D" w:rsidRPr="00FB1910">
        <w:rPr>
          <w:rFonts w:ascii="Arial Narrow" w:eastAsia="Times New Roman" w:hAnsi="Arial Narrow"/>
          <w:sz w:val="24"/>
          <w:szCs w:val="24"/>
          <w:lang w:eastAsia="es-CO"/>
        </w:rPr>
        <w:t xml:space="preserve"> en la misma sesión,</w:t>
      </w:r>
      <w:r w:rsidR="00355CF5" w:rsidRPr="00FB1910">
        <w:rPr>
          <w:rFonts w:ascii="Arial Narrow" w:eastAsia="Times New Roman" w:hAnsi="Arial Narrow"/>
          <w:sz w:val="24"/>
          <w:szCs w:val="24"/>
          <w:lang w:eastAsia="es-CO"/>
        </w:rPr>
        <w:t xml:space="preserve"> el Comandante General de las Fuerzas M</w:t>
      </w:r>
      <w:r w:rsidR="008B745D" w:rsidRPr="00FB1910">
        <w:rPr>
          <w:rFonts w:ascii="Arial Narrow" w:eastAsia="Times New Roman" w:hAnsi="Arial Narrow"/>
          <w:sz w:val="24"/>
          <w:szCs w:val="24"/>
          <w:lang w:eastAsia="es-CO"/>
        </w:rPr>
        <w:t>ilitares,</w:t>
      </w:r>
      <w:r w:rsidR="00C97D8A" w:rsidRPr="00FB1910">
        <w:rPr>
          <w:rFonts w:ascii="Arial Narrow" w:eastAsia="Times New Roman" w:hAnsi="Arial Narrow"/>
          <w:sz w:val="24"/>
          <w:szCs w:val="24"/>
          <w:lang w:eastAsia="es-CO"/>
        </w:rPr>
        <w:t xml:space="preserve"> Juan Pablo Rodríguez, </w:t>
      </w:r>
      <w:r w:rsidR="008B745D" w:rsidRPr="00FB1910">
        <w:rPr>
          <w:rFonts w:ascii="Arial Narrow" w:hAnsi="Arial Narrow" w:cs="Arial"/>
          <w:sz w:val="24"/>
          <w:szCs w:val="24"/>
          <w:lang w:val="es-ES_tradnl"/>
        </w:rPr>
        <w:t xml:space="preserve"> encargado en esa fecha, de las funciones del Despacho del señor Ministro de Defensa Nacional,</w:t>
      </w:r>
      <w:r w:rsidR="00C97D8A" w:rsidRPr="00FB1910">
        <w:rPr>
          <w:rFonts w:ascii="Arial Narrow" w:hAnsi="Arial Narrow" w:cs="Arial"/>
          <w:sz w:val="24"/>
          <w:szCs w:val="24"/>
          <w:lang w:val="es-ES_tradnl"/>
        </w:rPr>
        <w:t xml:space="preserve"> quien  manifestó  que  este Proyecto de Acto Legislativo, </w:t>
      </w:r>
      <w:r w:rsidR="008B745D" w:rsidRPr="00FB1910">
        <w:rPr>
          <w:rFonts w:ascii="Arial Narrow" w:hAnsi="Arial Narrow" w:cs="Arial"/>
          <w:sz w:val="24"/>
          <w:szCs w:val="24"/>
          <w:lang w:val="es-ES_tradnl"/>
        </w:rPr>
        <w:t xml:space="preserve"> refleja el sentir de todo el mando militar y todos los soldados y policías.  </w:t>
      </w:r>
    </w:p>
    <w:p w:rsidR="004F18CC" w:rsidRDefault="00A96B33" w:rsidP="00005AA0">
      <w:pPr>
        <w:spacing w:line="240" w:lineRule="auto"/>
        <w:jc w:val="both"/>
        <w:rPr>
          <w:rFonts w:ascii="Arial Narrow" w:hAnsi="Arial Narrow" w:cs="Arial"/>
          <w:b/>
          <w:sz w:val="24"/>
          <w:szCs w:val="24"/>
          <w:lang w:val="es-ES_tradnl"/>
        </w:rPr>
      </w:pPr>
      <w:r w:rsidRPr="004F18CC">
        <w:rPr>
          <w:rFonts w:ascii="Arial Narrow" w:hAnsi="Arial Narrow" w:cs="Arial"/>
          <w:b/>
          <w:sz w:val="24"/>
          <w:szCs w:val="24"/>
          <w:lang w:val="es-ES_tradnl"/>
        </w:rPr>
        <w:t>D</w:t>
      </w:r>
      <w:r w:rsidR="00944129" w:rsidRPr="004F18CC">
        <w:rPr>
          <w:rFonts w:ascii="Arial Narrow" w:hAnsi="Arial Narrow" w:cs="Arial"/>
          <w:b/>
          <w:sz w:val="24"/>
          <w:szCs w:val="24"/>
          <w:lang w:val="es-ES_tradnl"/>
        </w:rPr>
        <w:t xml:space="preserve">e la supresión del parágrafo transitorio </w:t>
      </w:r>
    </w:p>
    <w:p w:rsidR="004F18CC" w:rsidRDefault="004F18CC" w:rsidP="004F18CC">
      <w:pPr>
        <w:spacing w:after="0" w:line="240" w:lineRule="auto"/>
        <w:jc w:val="both"/>
        <w:rPr>
          <w:rFonts w:ascii="Arial Narrow" w:hAnsi="Arial Narrow" w:cs="Arial"/>
          <w:sz w:val="24"/>
          <w:szCs w:val="24"/>
          <w:lang w:val="es-ES_tradnl"/>
        </w:rPr>
      </w:pPr>
      <w:r>
        <w:rPr>
          <w:rFonts w:ascii="Arial Narrow" w:hAnsi="Arial Narrow" w:cs="Arial"/>
          <w:sz w:val="24"/>
          <w:szCs w:val="24"/>
          <w:lang w:val="es-ES_tradnl"/>
        </w:rPr>
        <w:t>Considerando de suprema importancia propender por la unidad de materia y su coherencia, debido a la eliminación del criterio de distribución de competencias, se eliminó el parágrafo transitorio que hac</w:t>
      </w:r>
      <w:r w:rsidR="003E392A">
        <w:rPr>
          <w:rFonts w:ascii="Arial Narrow" w:hAnsi="Arial Narrow" w:cs="Arial"/>
          <w:sz w:val="24"/>
          <w:szCs w:val="24"/>
          <w:lang w:val="es-ES_tradnl"/>
        </w:rPr>
        <w:t>í</w:t>
      </w:r>
      <w:r>
        <w:rPr>
          <w:rFonts w:ascii="Arial Narrow" w:hAnsi="Arial Narrow" w:cs="Arial"/>
          <w:sz w:val="24"/>
          <w:szCs w:val="24"/>
          <w:lang w:val="es-ES_tradnl"/>
        </w:rPr>
        <w:t xml:space="preserve">a referencia a un mecanismo expedito para resolver la competencia de casos por parte de la Fiscalía General de la Nación. </w:t>
      </w:r>
    </w:p>
    <w:p w:rsidR="004F18CC" w:rsidRDefault="004F18CC" w:rsidP="004F18CC">
      <w:pPr>
        <w:spacing w:after="0" w:line="240" w:lineRule="auto"/>
        <w:jc w:val="both"/>
        <w:rPr>
          <w:rFonts w:ascii="Arial Narrow" w:hAnsi="Arial Narrow" w:cs="Arial"/>
          <w:sz w:val="24"/>
          <w:szCs w:val="24"/>
          <w:lang w:val="es-ES_tradnl"/>
        </w:rPr>
      </w:pPr>
    </w:p>
    <w:p w:rsidR="00B77B5E" w:rsidRDefault="00B77B5E" w:rsidP="00B77B5E">
      <w:pPr>
        <w:spacing w:after="0" w:line="240" w:lineRule="auto"/>
        <w:jc w:val="both"/>
        <w:rPr>
          <w:rFonts w:ascii="Arial Narrow" w:hAnsi="Arial Narrow"/>
          <w:sz w:val="24"/>
          <w:szCs w:val="24"/>
          <w:lang w:val="es-ES_tradnl"/>
        </w:rPr>
      </w:pPr>
      <w:r>
        <w:rPr>
          <w:rFonts w:ascii="Arial Narrow" w:hAnsi="Arial Narrow"/>
          <w:sz w:val="24"/>
          <w:szCs w:val="24"/>
          <w:lang w:val="es-ES_tradnl"/>
        </w:rPr>
        <w:t>El aparte eliminado es el siguiente:</w:t>
      </w:r>
    </w:p>
    <w:p w:rsidR="00B77B5E" w:rsidRDefault="00B77B5E" w:rsidP="004F18CC">
      <w:pPr>
        <w:spacing w:after="0" w:line="240" w:lineRule="auto"/>
        <w:jc w:val="both"/>
        <w:rPr>
          <w:rFonts w:ascii="Arial Narrow" w:hAnsi="Arial Narrow" w:cs="Arial"/>
          <w:sz w:val="24"/>
          <w:szCs w:val="24"/>
          <w:lang w:val="es-ES_tradnl"/>
        </w:rPr>
      </w:pPr>
    </w:p>
    <w:p w:rsidR="004F18CC" w:rsidRPr="00B77B5E" w:rsidRDefault="00B77B5E" w:rsidP="00B77B5E">
      <w:pPr>
        <w:spacing w:after="0" w:line="240" w:lineRule="auto"/>
        <w:ind w:left="567" w:right="142"/>
        <w:jc w:val="both"/>
        <w:rPr>
          <w:rFonts w:ascii="Arial Narrow" w:hAnsi="Arial Narrow" w:cs="Arial"/>
          <w:i/>
          <w:sz w:val="24"/>
          <w:szCs w:val="24"/>
          <w:lang w:val="es-ES_tradnl"/>
        </w:rPr>
      </w:pPr>
      <w:r w:rsidRPr="00B77B5E">
        <w:rPr>
          <w:rFonts w:ascii="Arial Narrow" w:hAnsi="Arial Narrow" w:cs="Arial"/>
          <w:b/>
          <w:i/>
          <w:sz w:val="24"/>
          <w:szCs w:val="24"/>
          <w:lang w:val="es-ES_tradnl"/>
        </w:rPr>
        <w:t>Parágrafo transitorio</w:t>
      </w:r>
      <w:r w:rsidRPr="00B77B5E">
        <w:rPr>
          <w:rFonts w:ascii="Arial Narrow" w:hAnsi="Arial Narrow" w:cs="Arial"/>
          <w:i/>
          <w:sz w:val="24"/>
          <w:szCs w:val="24"/>
          <w:lang w:val="es-ES_tradnl"/>
        </w:rPr>
        <w:t>. Los procesos penales que se adelantan contra los miembros de la Fuerza Pública por los delitos que no tengan relación con el servicio o por los delitos expresamente excluidos del conocimiento de la Justicia Penal Militar de acuerdo a los incisos 1 y 2 del presente artículo y que se encuentran en la justicia ordinaria, continuarán en esta. La Fiscalía General de la Nación, en coordinación con la Justicia Penal Militar, contará con un periodo de hasta un (1) año para identificar todos los procesos que se adelantan contra los miembros de la Fuerza Pública, y trasladar a la Justicia Penal Militar aquellos donde no se cumplan los supuestos para la competencia de la jurisdicción ordinaria. En el marco de esa coordinación, se podrá verificar si algún proceso específico que cursa en la Justicia Penal Militar podría ser de competencia de la Justicia Ordinaria.</w:t>
      </w:r>
    </w:p>
    <w:p w:rsidR="00B77B5E" w:rsidRPr="004F18CC" w:rsidRDefault="00B77B5E" w:rsidP="004F18CC">
      <w:pPr>
        <w:spacing w:after="0" w:line="240" w:lineRule="auto"/>
        <w:jc w:val="both"/>
        <w:rPr>
          <w:rFonts w:ascii="Arial Narrow" w:hAnsi="Arial Narrow" w:cs="Arial"/>
          <w:sz w:val="24"/>
          <w:szCs w:val="24"/>
          <w:lang w:val="es-ES_tradnl"/>
        </w:rPr>
      </w:pPr>
    </w:p>
    <w:p w:rsidR="00944129" w:rsidRPr="004F18CC" w:rsidRDefault="003805F4" w:rsidP="00944129">
      <w:pPr>
        <w:spacing w:after="0" w:line="240" w:lineRule="auto"/>
        <w:jc w:val="both"/>
        <w:rPr>
          <w:rFonts w:ascii="Arial Narrow" w:hAnsi="Arial Narrow" w:cs="Arial"/>
          <w:sz w:val="24"/>
          <w:szCs w:val="24"/>
          <w:lang w:val="es-ES_tradnl"/>
        </w:rPr>
      </w:pPr>
      <w:r>
        <w:rPr>
          <w:rFonts w:ascii="Arial Narrow" w:hAnsi="Arial Narrow" w:cs="Arial"/>
          <w:sz w:val="24"/>
          <w:szCs w:val="24"/>
          <w:lang w:val="es-ES_tradnl"/>
        </w:rPr>
        <w:t xml:space="preserve">Expuesto lo anterior, </w:t>
      </w:r>
      <w:r w:rsidR="004F18CC">
        <w:rPr>
          <w:rFonts w:ascii="Arial Narrow" w:hAnsi="Arial Narrow" w:cs="Arial"/>
          <w:sz w:val="24"/>
          <w:szCs w:val="24"/>
          <w:lang w:val="es-ES_tradnl"/>
        </w:rPr>
        <w:t>y consiente de la necesidad que existe en la actualidad de que se investiguen a los miembros de la Fuerza Pública conforme a las normas que regulan sus actuaciones en el marco del conflicto armado y de las confrontaciones armadas que cumplan con los criterio</w:t>
      </w:r>
      <w:r>
        <w:rPr>
          <w:rFonts w:ascii="Arial Narrow" w:hAnsi="Arial Narrow" w:cs="Arial"/>
          <w:sz w:val="24"/>
          <w:szCs w:val="24"/>
          <w:lang w:val="es-ES_tradnl"/>
        </w:rPr>
        <w:t xml:space="preserve">s que éste establece para </w:t>
      </w:r>
      <w:r w:rsidR="003E392A">
        <w:rPr>
          <w:rFonts w:ascii="Arial Narrow" w:hAnsi="Arial Narrow" w:cs="Arial"/>
          <w:sz w:val="24"/>
          <w:szCs w:val="24"/>
          <w:lang w:val="es-ES_tradnl"/>
        </w:rPr>
        <w:t>el efecto, recomiendo se acoja</w:t>
      </w:r>
      <w:r w:rsidR="00E3332D">
        <w:rPr>
          <w:rFonts w:ascii="Arial Narrow" w:hAnsi="Arial Narrow" w:cs="Arial"/>
          <w:sz w:val="24"/>
          <w:szCs w:val="24"/>
          <w:lang w:val="es-ES_tradnl"/>
        </w:rPr>
        <w:t xml:space="preserve"> el texto aprobado en el Honorable</w:t>
      </w:r>
      <w:r>
        <w:rPr>
          <w:rFonts w:ascii="Arial Narrow" w:hAnsi="Arial Narrow" w:cs="Arial"/>
          <w:sz w:val="24"/>
          <w:szCs w:val="24"/>
          <w:lang w:val="es-ES_tradnl"/>
        </w:rPr>
        <w:t xml:space="preserve"> Senado de la República. Lo anterior, teniendo</w:t>
      </w:r>
      <w:r w:rsidR="00E3332D">
        <w:rPr>
          <w:rFonts w:ascii="Arial Narrow" w:hAnsi="Arial Narrow" w:cs="Arial"/>
          <w:sz w:val="24"/>
          <w:szCs w:val="24"/>
          <w:lang w:val="es-ES_tradnl"/>
        </w:rPr>
        <w:t xml:space="preserve"> en cuenta que dicho texto </w:t>
      </w:r>
      <w:r>
        <w:rPr>
          <w:rFonts w:ascii="Arial Narrow" w:hAnsi="Arial Narrow" w:cs="Arial"/>
          <w:sz w:val="24"/>
          <w:szCs w:val="24"/>
          <w:lang w:val="es-ES_tradnl"/>
        </w:rPr>
        <w:t xml:space="preserve">cuenta de tal claridad y contenido, que resulta siendo una herramienta jurídica constitucional y legalmente muy bien creada y que responde integralmente a los propósitos que han impulsado la reforma. </w:t>
      </w:r>
    </w:p>
    <w:p w:rsidR="00944129" w:rsidRDefault="00944129" w:rsidP="00A96B33">
      <w:pPr>
        <w:spacing w:after="0" w:line="240" w:lineRule="auto"/>
        <w:jc w:val="both"/>
        <w:rPr>
          <w:rFonts w:ascii="Arial Narrow" w:hAnsi="Arial Narrow"/>
          <w:sz w:val="24"/>
          <w:szCs w:val="24"/>
          <w:lang w:val="es-ES_tradnl"/>
        </w:rPr>
      </w:pPr>
    </w:p>
    <w:p w:rsidR="00B77B5E" w:rsidRDefault="003E392A" w:rsidP="00A96B33">
      <w:pPr>
        <w:spacing w:after="0" w:line="240" w:lineRule="auto"/>
        <w:jc w:val="both"/>
        <w:rPr>
          <w:rFonts w:ascii="Arial Narrow" w:hAnsi="Arial Narrow"/>
          <w:sz w:val="24"/>
          <w:szCs w:val="24"/>
          <w:lang w:val="es-ES_tradnl"/>
        </w:rPr>
      </w:pPr>
      <w:r>
        <w:rPr>
          <w:rFonts w:ascii="Arial Narrow" w:hAnsi="Arial Narrow"/>
          <w:sz w:val="24"/>
          <w:szCs w:val="24"/>
          <w:lang w:val="es-ES_tradnl"/>
        </w:rPr>
        <w:t>Por ú</w:t>
      </w:r>
      <w:r w:rsidR="00B77B5E">
        <w:rPr>
          <w:rFonts w:ascii="Arial Narrow" w:hAnsi="Arial Narrow"/>
          <w:sz w:val="24"/>
          <w:szCs w:val="24"/>
          <w:lang w:val="es-ES_tradnl"/>
        </w:rPr>
        <w:t xml:space="preserve">ltimo, es importante mencionar que también se eliminó el aparte del parágrafo transitorio </w:t>
      </w:r>
      <w:r>
        <w:rPr>
          <w:rFonts w:ascii="Arial Narrow" w:hAnsi="Arial Narrow"/>
          <w:sz w:val="24"/>
          <w:szCs w:val="24"/>
          <w:lang w:val="es-ES_tradnl"/>
        </w:rPr>
        <w:t>que hací</w:t>
      </w:r>
      <w:r w:rsidR="00B77B5E">
        <w:rPr>
          <w:rFonts w:ascii="Arial Narrow" w:hAnsi="Arial Narrow"/>
          <w:sz w:val="24"/>
          <w:szCs w:val="24"/>
          <w:lang w:val="es-ES_tradnl"/>
        </w:rPr>
        <w:t>a referencia a la tipificación del delito de ejecución extrajudicial, toda vez que se eliminó la lista de delitos. Esto</w:t>
      </w:r>
      <w:r w:rsidR="00857246">
        <w:rPr>
          <w:rFonts w:ascii="Arial Narrow" w:hAnsi="Arial Narrow"/>
          <w:sz w:val="24"/>
          <w:szCs w:val="24"/>
          <w:lang w:val="es-ES_tradnl"/>
        </w:rPr>
        <w:t xml:space="preserve"> </w:t>
      </w:r>
      <w:r w:rsidR="00B77B5E">
        <w:rPr>
          <w:rFonts w:ascii="Arial Narrow" w:hAnsi="Arial Narrow"/>
          <w:sz w:val="24"/>
          <w:szCs w:val="24"/>
          <w:lang w:val="es-ES_tradnl"/>
        </w:rPr>
        <w:t xml:space="preserve">no </w:t>
      </w:r>
      <w:r w:rsidR="004B0414">
        <w:rPr>
          <w:rFonts w:ascii="Arial Narrow" w:hAnsi="Arial Narrow"/>
          <w:sz w:val="24"/>
          <w:szCs w:val="24"/>
          <w:lang w:val="es-ES_tradnl"/>
        </w:rPr>
        <w:t>significa que pierda la relevancia</w:t>
      </w:r>
      <w:r w:rsidR="00B77B5E">
        <w:rPr>
          <w:rFonts w:ascii="Arial Narrow" w:hAnsi="Arial Narrow"/>
          <w:sz w:val="24"/>
          <w:szCs w:val="24"/>
          <w:lang w:val="es-ES_tradnl"/>
        </w:rPr>
        <w:t xml:space="preserve"> su tipificación, </w:t>
      </w:r>
      <w:r w:rsidR="004B0414">
        <w:rPr>
          <w:rFonts w:ascii="Arial Narrow" w:hAnsi="Arial Narrow"/>
          <w:sz w:val="24"/>
          <w:szCs w:val="24"/>
          <w:lang w:val="es-ES_tradnl"/>
        </w:rPr>
        <w:t xml:space="preserve">por el contrario es un compromiso que queda en manos del </w:t>
      </w:r>
      <w:r w:rsidR="00B77B5E">
        <w:rPr>
          <w:rFonts w:ascii="Arial Narrow" w:hAnsi="Arial Narrow"/>
          <w:sz w:val="24"/>
          <w:szCs w:val="24"/>
          <w:lang w:val="es-ES_tradnl"/>
        </w:rPr>
        <w:t xml:space="preserve">Congreso de la República para siguientes legislaturas. </w:t>
      </w:r>
    </w:p>
    <w:p w:rsidR="00B77B5E" w:rsidRDefault="00B77B5E" w:rsidP="00A96B33">
      <w:pPr>
        <w:spacing w:after="0" w:line="240" w:lineRule="auto"/>
        <w:jc w:val="both"/>
        <w:rPr>
          <w:rFonts w:ascii="Arial Narrow" w:hAnsi="Arial Narrow"/>
          <w:sz w:val="24"/>
          <w:szCs w:val="24"/>
          <w:lang w:val="es-ES_tradnl"/>
        </w:rPr>
      </w:pPr>
    </w:p>
    <w:p w:rsidR="00B77B5E" w:rsidRDefault="00B77B5E" w:rsidP="00A96B33">
      <w:pPr>
        <w:spacing w:after="0" w:line="240" w:lineRule="auto"/>
        <w:jc w:val="both"/>
        <w:rPr>
          <w:rFonts w:ascii="Arial Narrow" w:hAnsi="Arial Narrow"/>
          <w:sz w:val="24"/>
          <w:szCs w:val="24"/>
          <w:lang w:val="es-ES_tradnl"/>
        </w:rPr>
      </w:pPr>
      <w:r>
        <w:rPr>
          <w:rFonts w:ascii="Arial Narrow" w:hAnsi="Arial Narrow"/>
          <w:sz w:val="24"/>
          <w:szCs w:val="24"/>
          <w:lang w:val="es-ES_tradnl"/>
        </w:rPr>
        <w:t>El aparte eliminado es el siguiente:</w:t>
      </w:r>
    </w:p>
    <w:p w:rsidR="00B77B5E" w:rsidRDefault="00B77B5E" w:rsidP="00A96B33">
      <w:pPr>
        <w:spacing w:after="0" w:line="240" w:lineRule="auto"/>
        <w:jc w:val="both"/>
        <w:rPr>
          <w:rFonts w:ascii="Arial Narrow" w:hAnsi="Arial Narrow"/>
          <w:i/>
          <w:sz w:val="24"/>
          <w:szCs w:val="24"/>
          <w:lang w:val="es-ES_tradnl"/>
        </w:rPr>
      </w:pPr>
    </w:p>
    <w:p w:rsidR="00B77B5E" w:rsidRPr="00B77B5E" w:rsidRDefault="00B77B5E" w:rsidP="00B77B5E">
      <w:pPr>
        <w:spacing w:after="0" w:line="240" w:lineRule="auto"/>
        <w:ind w:left="567" w:right="142"/>
        <w:jc w:val="both"/>
        <w:rPr>
          <w:rFonts w:ascii="Arial Narrow" w:hAnsi="Arial Narrow"/>
          <w:i/>
          <w:sz w:val="24"/>
          <w:szCs w:val="24"/>
          <w:lang w:val="es-ES_tradnl"/>
        </w:rPr>
      </w:pPr>
      <w:r w:rsidRPr="00B77B5E">
        <w:rPr>
          <w:rFonts w:ascii="Arial Narrow" w:hAnsi="Arial Narrow"/>
          <w:i/>
          <w:sz w:val="24"/>
          <w:szCs w:val="24"/>
          <w:lang w:val="es-ES_tradnl"/>
        </w:rPr>
        <w:t>En el evento de que antes del 31 de diciembre de 2015 la ley no haya definido las ejecuciones extrajudiciales, para efectos de fijar competencias se considerarán como tales los homicidios</w:t>
      </w:r>
      <w:r w:rsidR="003E392A">
        <w:rPr>
          <w:rFonts w:ascii="Arial Narrow" w:hAnsi="Arial Narrow"/>
          <w:i/>
          <w:sz w:val="24"/>
          <w:szCs w:val="24"/>
          <w:lang w:val="es-ES_tradnl"/>
        </w:rPr>
        <w:t>.</w:t>
      </w:r>
    </w:p>
    <w:p w:rsidR="00B77B5E" w:rsidRPr="00B77B5E" w:rsidRDefault="00B77B5E" w:rsidP="00A96B33">
      <w:pPr>
        <w:spacing w:after="0" w:line="240" w:lineRule="auto"/>
        <w:jc w:val="both"/>
        <w:rPr>
          <w:rFonts w:ascii="Arial Narrow" w:hAnsi="Arial Narrow"/>
          <w:i/>
          <w:sz w:val="24"/>
          <w:szCs w:val="24"/>
          <w:lang w:val="es-ES_tradnl"/>
        </w:rPr>
      </w:pPr>
    </w:p>
    <w:p w:rsidR="00B77B5E" w:rsidRPr="00A37F15" w:rsidRDefault="00B77B5E" w:rsidP="00944129">
      <w:pPr>
        <w:spacing w:after="0" w:line="240" w:lineRule="auto"/>
        <w:jc w:val="both"/>
        <w:rPr>
          <w:rFonts w:ascii="Arial Narrow" w:hAnsi="Arial Narrow"/>
          <w:b/>
          <w:color w:val="FF0000"/>
          <w:sz w:val="24"/>
          <w:szCs w:val="24"/>
          <w:lang w:val="es-ES_tradnl"/>
        </w:rPr>
      </w:pPr>
    </w:p>
    <w:p w:rsidR="00944129" w:rsidRPr="00B77B5E" w:rsidRDefault="00B77B5E" w:rsidP="00B77B5E">
      <w:pPr>
        <w:pStyle w:val="Prrafodelista"/>
        <w:numPr>
          <w:ilvl w:val="0"/>
          <w:numId w:val="8"/>
        </w:numPr>
        <w:spacing w:after="0" w:line="240" w:lineRule="auto"/>
        <w:ind w:left="426" w:hanging="426"/>
        <w:jc w:val="both"/>
        <w:rPr>
          <w:rFonts w:ascii="Arial Narrow" w:hAnsi="Arial Narrow" w:cs="Arial"/>
          <w:b/>
          <w:sz w:val="24"/>
          <w:szCs w:val="24"/>
          <w:lang w:val="es-ES_tradnl"/>
        </w:rPr>
      </w:pPr>
      <w:r w:rsidRPr="00B77B5E">
        <w:rPr>
          <w:rFonts w:ascii="Arial Narrow" w:hAnsi="Arial Narrow" w:cs="Arial"/>
          <w:b/>
          <w:sz w:val="24"/>
          <w:szCs w:val="24"/>
          <w:lang w:val="es-ES_tradnl"/>
        </w:rPr>
        <w:t>PROPOSICIÓN</w:t>
      </w:r>
    </w:p>
    <w:p w:rsidR="00944129" w:rsidRPr="00A37F15" w:rsidRDefault="00944129" w:rsidP="00944129">
      <w:pPr>
        <w:pStyle w:val="Prrafodelista"/>
        <w:spacing w:after="0" w:line="240" w:lineRule="auto"/>
        <w:jc w:val="both"/>
        <w:rPr>
          <w:rFonts w:ascii="Arial Narrow" w:hAnsi="Arial Narrow"/>
          <w:sz w:val="24"/>
          <w:szCs w:val="24"/>
          <w:lang w:val="es-ES_tradnl"/>
        </w:rPr>
      </w:pPr>
    </w:p>
    <w:p w:rsidR="00944129" w:rsidRPr="00A37F15" w:rsidRDefault="00944129" w:rsidP="00944129">
      <w:pPr>
        <w:spacing w:after="0" w:line="240" w:lineRule="auto"/>
        <w:jc w:val="both"/>
        <w:rPr>
          <w:rFonts w:ascii="Arial Narrow" w:hAnsi="Arial Narrow"/>
          <w:sz w:val="24"/>
          <w:szCs w:val="24"/>
          <w:lang w:val="es-ES_tradnl"/>
        </w:rPr>
      </w:pPr>
      <w:r w:rsidRPr="00A37F15">
        <w:rPr>
          <w:rFonts w:ascii="Arial Narrow" w:hAnsi="Arial Narrow"/>
          <w:sz w:val="24"/>
          <w:szCs w:val="24"/>
          <w:lang w:val="es-ES_tradnl"/>
        </w:rPr>
        <w:t>Por lo ant</w:t>
      </w:r>
      <w:r w:rsidR="00857246">
        <w:rPr>
          <w:rFonts w:ascii="Arial Narrow" w:hAnsi="Arial Narrow"/>
          <w:sz w:val="24"/>
          <w:szCs w:val="24"/>
          <w:lang w:val="es-ES_tradnl"/>
        </w:rPr>
        <w:t>eriormente expuesto, solicito</w:t>
      </w:r>
      <w:r w:rsidRPr="00A37F15">
        <w:rPr>
          <w:rFonts w:ascii="Arial Narrow" w:hAnsi="Arial Narrow"/>
          <w:sz w:val="24"/>
          <w:szCs w:val="24"/>
          <w:lang w:val="es-ES_tradnl"/>
        </w:rPr>
        <w:t xml:space="preserve"> a la </w:t>
      </w:r>
      <w:r w:rsidR="003805F4">
        <w:rPr>
          <w:rFonts w:ascii="Arial Narrow" w:hAnsi="Arial Narrow"/>
          <w:sz w:val="24"/>
          <w:szCs w:val="24"/>
          <w:lang w:val="es-ES_tradnl"/>
        </w:rPr>
        <w:t xml:space="preserve">Comisión Primera de </w:t>
      </w:r>
      <w:r w:rsidR="00857246">
        <w:rPr>
          <w:rFonts w:ascii="Arial Narrow" w:hAnsi="Arial Narrow"/>
          <w:sz w:val="24"/>
          <w:szCs w:val="24"/>
          <w:lang w:val="es-ES_tradnl"/>
        </w:rPr>
        <w:t xml:space="preserve">la </w:t>
      </w:r>
      <w:r w:rsidR="003805F4">
        <w:rPr>
          <w:rFonts w:ascii="Arial Narrow" w:hAnsi="Arial Narrow"/>
          <w:sz w:val="24"/>
          <w:szCs w:val="24"/>
          <w:lang w:val="es-ES_tradnl"/>
        </w:rPr>
        <w:t>Cámara</w:t>
      </w:r>
      <w:r w:rsidRPr="00A37F15">
        <w:rPr>
          <w:rFonts w:ascii="Arial Narrow" w:hAnsi="Arial Narrow"/>
          <w:sz w:val="24"/>
          <w:szCs w:val="24"/>
          <w:lang w:val="es-ES_tradnl"/>
        </w:rPr>
        <w:t xml:space="preserve">, debatir y aprobar en </w:t>
      </w:r>
      <w:r w:rsidR="005F2936">
        <w:rPr>
          <w:rFonts w:ascii="Arial Narrow" w:hAnsi="Arial Narrow"/>
          <w:sz w:val="24"/>
          <w:szCs w:val="24"/>
          <w:lang w:val="es-ES_tradnl"/>
        </w:rPr>
        <w:t>primer debate en Cámara</w:t>
      </w:r>
      <w:r w:rsidR="00857246">
        <w:rPr>
          <w:rFonts w:ascii="Arial Narrow" w:hAnsi="Arial Narrow"/>
          <w:sz w:val="24"/>
          <w:szCs w:val="24"/>
          <w:lang w:val="es-ES_tradnl"/>
        </w:rPr>
        <w:t xml:space="preserve"> en su </w:t>
      </w:r>
      <w:r w:rsidR="003E392A">
        <w:rPr>
          <w:rFonts w:ascii="Arial Narrow" w:hAnsi="Arial Narrow"/>
          <w:sz w:val="24"/>
          <w:szCs w:val="24"/>
          <w:lang w:val="es-ES_tradnl"/>
        </w:rPr>
        <w:t>Segunda V</w:t>
      </w:r>
      <w:r w:rsidRPr="00A37F15">
        <w:rPr>
          <w:rFonts w:ascii="Arial Narrow" w:hAnsi="Arial Narrow"/>
          <w:sz w:val="24"/>
          <w:szCs w:val="24"/>
          <w:lang w:val="es-ES_tradnl"/>
        </w:rPr>
        <w:t>uelta</w:t>
      </w:r>
      <w:r w:rsidR="00857246">
        <w:rPr>
          <w:rFonts w:ascii="Arial Narrow" w:hAnsi="Arial Narrow"/>
          <w:sz w:val="24"/>
          <w:szCs w:val="24"/>
          <w:lang w:val="es-ES_tradnl"/>
        </w:rPr>
        <w:t>,</w:t>
      </w:r>
      <w:r w:rsidRPr="00A37F15">
        <w:rPr>
          <w:rFonts w:ascii="Arial Narrow" w:hAnsi="Arial Narrow"/>
          <w:sz w:val="24"/>
          <w:szCs w:val="24"/>
          <w:lang w:val="es-ES_tradnl"/>
        </w:rPr>
        <w:t xml:space="preserve"> </w:t>
      </w:r>
      <w:r w:rsidR="005F2936">
        <w:rPr>
          <w:rFonts w:ascii="Arial Narrow" w:hAnsi="Arial Narrow"/>
          <w:sz w:val="24"/>
          <w:szCs w:val="24"/>
          <w:lang w:val="es-ES_tradnl"/>
        </w:rPr>
        <w:t>a</w:t>
      </w:r>
      <w:r w:rsidRPr="00A37F15">
        <w:rPr>
          <w:rFonts w:ascii="Arial Narrow" w:hAnsi="Arial Narrow"/>
          <w:sz w:val="24"/>
          <w:szCs w:val="24"/>
          <w:lang w:val="es-ES_tradnl"/>
        </w:rPr>
        <w:t xml:space="preserve">l Proyecto de Acto Legislativo </w:t>
      </w:r>
      <w:r w:rsidR="003805F4">
        <w:rPr>
          <w:rFonts w:ascii="Arial Narrow" w:hAnsi="Arial Narrow"/>
          <w:sz w:val="24"/>
          <w:szCs w:val="24"/>
          <w:lang w:val="es-ES_tradnl"/>
        </w:rPr>
        <w:t>167 DE 2014 CÁMARA/</w:t>
      </w:r>
      <w:r w:rsidR="003805F4" w:rsidRPr="00A37F15">
        <w:rPr>
          <w:rFonts w:ascii="Arial Narrow" w:hAnsi="Arial Narrow"/>
          <w:sz w:val="24"/>
          <w:szCs w:val="24"/>
          <w:lang w:val="es-ES_tradnl"/>
        </w:rPr>
        <w:t>No. 022 DE 2014 SENADO</w:t>
      </w:r>
      <w:r w:rsidR="00857246" w:rsidRPr="00A37F15">
        <w:rPr>
          <w:rFonts w:ascii="Arial Narrow" w:hAnsi="Arial Narrow"/>
          <w:sz w:val="24"/>
          <w:szCs w:val="24"/>
          <w:lang w:val="es-ES_tradnl"/>
        </w:rPr>
        <w:t>,</w:t>
      </w:r>
      <w:r w:rsidR="00857246">
        <w:rPr>
          <w:rFonts w:ascii="Arial Narrow" w:hAnsi="Arial Narrow"/>
          <w:sz w:val="24"/>
          <w:szCs w:val="24"/>
          <w:lang w:val="es-ES_tradnl"/>
        </w:rPr>
        <w:t xml:space="preserve"> </w:t>
      </w:r>
      <w:r w:rsidR="00370633">
        <w:rPr>
          <w:rFonts w:ascii="Arial Narrow" w:hAnsi="Arial Narrow"/>
          <w:sz w:val="24"/>
          <w:szCs w:val="24"/>
          <w:lang w:val="es-ES_tradnl"/>
        </w:rPr>
        <w:t>“</w:t>
      </w:r>
      <w:r w:rsidR="00370633" w:rsidRPr="00A37F15">
        <w:rPr>
          <w:rFonts w:ascii="Arial Narrow" w:hAnsi="Arial Narrow"/>
          <w:sz w:val="24"/>
          <w:szCs w:val="24"/>
          <w:lang w:val="es-ES_tradnl"/>
        </w:rPr>
        <w:t>por</w:t>
      </w:r>
      <w:r w:rsidRPr="00A37F15">
        <w:rPr>
          <w:rFonts w:ascii="Arial Narrow" w:hAnsi="Arial Narrow"/>
          <w:sz w:val="24"/>
          <w:szCs w:val="24"/>
          <w:lang w:val="es-ES_tradnl"/>
        </w:rPr>
        <w:t xml:space="preserve"> medio del cual se reforma el artículo 221 de la Constitución Política de Colombia.</w:t>
      </w:r>
      <w:r w:rsidR="003E392A">
        <w:rPr>
          <w:rFonts w:ascii="Arial Narrow" w:hAnsi="Arial Narrow"/>
          <w:sz w:val="24"/>
          <w:szCs w:val="24"/>
          <w:lang w:val="es-ES_tradnl"/>
        </w:rPr>
        <w:t>”</w:t>
      </w:r>
    </w:p>
    <w:p w:rsidR="00944129" w:rsidRDefault="00944129" w:rsidP="00944129">
      <w:pPr>
        <w:spacing w:after="0" w:line="240" w:lineRule="auto"/>
        <w:jc w:val="both"/>
        <w:rPr>
          <w:rFonts w:ascii="Arial Narrow" w:hAnsi="Arial Narrow"/>
          <w:sz w:val="24"/>
          <w:szCs w:val="24"/>
          <w:lang w:val="es-ES_tradnl"/>
        </w:rPr>
      </w:pPr>
    </w:p>
    <w:p w:rsidR="00AF351B" w:rsidRDefault="00AF351B" w:rsidP="00944129">
      <w:pPr>
        <w:spacing w:after="0" w:line="240" w:lineRule="auto"/>
        <w:jc w:val="both"/>
        <w:rPr>
          <w:rFonts w:ascii="Arial Narrow" w:hAnsi="Arial Narrow"/>
          <w:sz w:val="24"/>
          <w:szCs w:val="24"/>
          <w:lang w:val="es-ES_tradnl"/>
        </w:rPr>
      </w:pPr>
    </w:p>
    <w:p w:rsidR="00AF351B" w:rsidRDefault="00AF351B" w:rsidP="00944129">
      <w:pPr>
        <w:spacing w:after="0" w:line="240" w:lineRule="auto"/>
        <w:jc w:val="both"/>
        <w:rPr>
          <w:rFonts w:ascii="Arial Narrow" w:hAnsi="Arial Narrow"/>
          <w:sz w:val="24"/>
          <w:szCs w:val="24"/>
          <w:lang w:val="es-ES_tradnl"/>
        </w:rPr>
      </w:pPr>
    </w:p>
    <w:p w:rsidR="00AF351B" w:rsidRPr="00A37F15" w:rsidRDefault="00AF351B" w:rsidP="00944129">
      <w:pPr>
        <w:spacing w:after="0" w:line="240" w:lineRule="auto"/>
        <w:jc w:val="both"/>
        <w:rPr>
          <w:rFonts w:ascii="Arial Narrow" w:hAnsi="Arial Narrow"/>
          <w:sz w:val="24"/>
          <w:szCs w:val="24"/>
          <w:lang w:val="es-ES_tradnl"/>
        </w:rPr>
      </w:pPr>
    </w:p>
    <w:p w:rsidR="00944129" w:rsidRPr="00A37F15" w:rsidRDefault="00944129" w:rsidP="00944129">
      <w:pPr>
        <w:spacing w:after="0" w:line="240" w:lineRule="auto"/>
        <w:jc w:val="both"/>
        <w:rPr>
          <w:rFonts w:ascii="Arial Narrow" w:hAnsi="Arial Narrow"/>
          <w:sz w:val="24"/>
          <w:szCs w:val="24"/>
          <w:lang w:val="es-ES_tradnl"/>
        </w:rPr>
      </w:pPr>
    </w:p>
    <w:p w:rsidR="00B30DDB" w:rsidRPr="00A37F15" w:rsidRDefault="00B30DDB" w:rsidP="00B30DDB">
      <w:pPr>
        <w:spacing w:after="0" w:line="240" w:lineRule="auto"/>
        <w:rPr>
          <w:rFonts w:ascii="Arial Narrow" w:hAnsi="Arial Narrow" w:cs="Arial"/>
          <w:b/>
          <w:sz w:val="24"/>
          <w:szCs w:val="24"/>
        </w:rPr>
      </w:pPr>
      <w:r w:rsidRPr="00A37F15">
        <w:rPr>
          <w:rFonts w:ascii="Arial Narrow" w:hAnsi="Arial Narrow" w:cs="Arial"/>
          <w:b/>
          <w:sz w:val="24"/>
          <w:szCs w:val="24"/>
        </w:rPr>
        <w:t>OSCAR FERNANDO BRAVO REALPE</w:t>
      </w:r>
    </w:p>
    <w:p w:rsidR="00944129" w:rsidRPr="00A37F15" w:rsidRDefault="00370633" w:rsidP="00944129">
      <w:pPr>
        <w:spacing w:after="0" w:line="240" w:lineRule="auto"/>
        <w:jc w:val="both"/>
        <w:rPr>
          <w:rFonts w:ascii="Arial Narrow" w:hAnsi="Arial Narrow"/>
          <w:sz w:val="24"/>
          <w:szCs w:val="24"/>
        </w:rPr>
      </w:pPr>
      <w:r>
        <w:rPr>
          <w:rFonts w:ascii="Arial Narrow" w:hAnsi="Arial Narrow"/>
          <w:sz w:val="24"/>
          <w:szCs w:val="24"/>
        </w:rPr>
        <w:t xml:space="preserve">Honorable </w:t>
      </w:r>
      <w:r w:rsidR="001D65DE" w:rsidRPr="00A37F15">
        <w:rPr>
          <w:rFonts w:ascii="Arial Narrow" w:hAnsi="Arial Narrow"/>
          <w:sz w:val="24"/>
          <w:szCs w:val="24"/>
        </w:rPr>
        <w:t xml:space="preserve">Representante </w:t>
      </w:r>
      <w:r w:rsidR="00944129" w:rsidRPr="00A37F15">
        <w:rPr>
          <w:rFonts w:ascii="Arial Narrow" w:hAnsi="Arial Narrow"/>
          <w:sz w:val="24"/>
          <w:szCs w:val="24"/>
        </w:rPr>
        <w:t>Ponente.</w:t>
      </w:r>
    </w:p>
    <w:p w:rsidR="00A36267" w:rsidRPr="00A36267" w:rsidRDefault="00944129" w:rsidP="00A36267">
      <w:pPr>
        <w:jc w:val="center"/>
        <w:rPr>
          <w:rFonts w:ascii="Arial Narrow" w:hAnsi="Arial Narrow"/>
          <w:sz w:val="24"/>
          <w:szCs w:val="24"/>
        </w:rPr>
      </w:pPr>
      <w:r w:rsidRPr="00A37F15">
        <w:rPr>
          <w:rFonts w:ascii="Arial Narrow" w:hAnsi="Arial Narrow"/>
          <w:sz w:val="24"/>
          <w:szCs w:val="24"/>
        </w:rPr>
        <w:br w:type="page"/>
      </w:r>
    </w:p>
    <w:p w:rsidR="00944129" w:rsidRPr="00A37F15" w:rsidRDefault="00944129" w:rsidP="00944129">
      <w:pPr>
        <w:jc w:val="center"/>
        <w:rPr>
          <w:rFonts w:ascii="Arial Narrow" w:eastAsia="Times New Roman" w:hAnsi="Arial Narrow"/>
          <w:b/>
          <w:bCs/>
          <w:color w:val="000000"/>
          <w:sz w:val="24"/>
          <w:szCs w:val="24"/>
          <w:lang w:val="es-ES_tradnl" w:eastAsia="es-CO"/>
        </w:rPr>
      </w:pPr>
      <w:r w:rsidRPr="00A36267">
        <w:rPr>
          <w:rFonts w:ascii="Arial Narrow" w:eastAsia="Times New Roman" w:hAnsi="Arial Narrow"/>
          <w:b/>
          <w:bCs/>
          <w:color w:val="000000"/>
          <w:sz w:val="24"/>
          <w:szCs w:val="24"/>
          <w:lang w:val="es-ES_tradnl" w:eastAsia="es-CO"/>
        </w:rPr>
        <w:t xml:space="preserve">TEXTO </w:t>
      </w:r>
      <w:r w:rsidRPr="00A36267">
        <w:rPr>
          <w:rFonts w:ascii="Arial Narrow" w:eastAsia="Times New Roman" w:hAnsi="Arial Narrow"/>
          <w:b/>
          <w:bCs/>
          <w:sz w:val="24"/>
          <w:szCs w:val="24"/>
          <w:lang w:val="es-ES_tradnl" w:eastAsia="es-CO"/>
        </w:rPr>
        <w:t xml:space="preserve">PROPUESTO PARA </w:t>
      </w:r>
      <w:r w:rsidR="00B30DDB" w:rsidRPr="00A36267">
        <w:rPr>
          <w:rFonts w:ascii="Arial Narrow" w:eastAsia="Times New Roman" w:hAnsi="Arial Narrow"/>
          <w:b/>
          <w:bCs/>
          <w:sz w:val="24"/>
          <w:szCs w:val="24"/>
          <w:lang w:val="es-ES_tradnl" w:eastAsia="es-CO"/>
        </w:rPr>
        <w:t xml:space="preserve">PRIMER DEBATE  EN CÁMARA </w:t>
      </w:r>
      <w:r w:rsidRPr="00A37F15">
        <w:rPr>
          <w:rFonts w:ascii="Arial Narrow" w:eastAsia="Times New Roman" w:hAnsi="Arial Narrow"/>
          <w:b/>
          <w:bCs/>
          <w:color w:val="000000"/>
          <w:sz w:val="24"/>
          <w:szCs w:val="24"/>
          <w:lang w:val="es-ES_tradnl" w:eastAsia="es-CO"/>
        </w:rPr>
        <w:t xml:space="preserve"> SEGUNDA VUELTA AL PROYECTO DE ACTO LEGISLATIVO 167 DE 2014 CAMARA 022 de 2014 SENADO </w:t>
      </w:r>
    </w:p>
    <w:p w:rsidR="00944129" w:rsidRPr="00A37F15" w:rsidRDefault="00944129" w:rsidP="00944129">
      <w:pPr>
        <w:suppressAutoHyphens/>
        <w:autoSpaceDN w:val="0"/>
        <w:adjustRightInd w:val="0"/>
        <w:spacing w:after="0" w:line="240" w:lineRule="auto"/>
        <w:jc w:val="center"/>
        <w:textAlignment w:val="center"/>
        <w:rPr>
          <w:rFonts w:ascii="Arial Narrow" w:eastAsia="Times New Roman" w:hAnsi="Arial Narrow"/>
          <w:sz w:val="24"/>
          <w:szCs w:val="24"/>
          <w:lang w:val="es-ES_tradnl" w:eastAsia="es-CO"/>
        </w:rPr>
      </w:pPr>
      <w:r w:rsidRPr="00A37F15">
        <w:rPr>
          <w:rFonts w:ascii="Arial Narrow" w:eastAsia="Times New Roman" w:hAnsi="Arial Narrow"/>
          <w:i/>
          <w:iCs/>
          <w:color w:val="000000"/>
          <w:sz w:val="24"/>
          <w:szCs w:val="24"/>
          <w:lang w:val="es-ES_tradnl" w:eastAsia="es-CO"/>
        </w:rPr>
        <w:t>“Por el cual se reforma el artículo 221 de la Constitución Política de Colombia.”</w:t>
      </w:r>
    </w:p>
    <w:p w:rsidR="00944129" w:rsidRPr="00A37F15" w:rsidRDefault="00944129" w:rsidP="00944129">
      <w:pPr>
        <w:suppressAutoHyphens/>
        <w:autoSpaceDN w:val="0"/>
        <w:adjustRightInd w:val="0"/>
        <w:spacing w:after="0" w:line="240" w:lineRule="auto"/>
        <w:jc w:val="center"/>
        <w:rPr>
          <w:rFonts w:ascii="Arial Narrow" w:eastAsia="Times New Roman" w:hAnsi="Arial Narrow"/>
          <w:color w:val="000000"/>
          <w:sz w:val="24"/>
          <w:szCs w:val="24"/>
          <w:lang w:val="es-ES_tradnl" w:eastAsia="es-CO"/>
        </w:rPr>
      </w:pPr>
      <w:r w:rsidRPr="00A37F15">
        <w:rPr>
          <w:rFonts w:ascii="Arial Narrow" w:eastAsia="Times New Roman" w:hAnsi="Arial Narrow"/>
          <w:color w:val="000000"/>
          <w:sz w:val="24"/>
          <w:szCs w:val="24"/>
          <w:lang w:val="es-ES_tradnl" w:eastAsia="es-CO"/>
        </w:rPr>
        <w:t>El Congreso de Colombia</w:t>
      </w:r>
    </w:p>
    <w:p w:rsidR="00944129" w:rsidRPr="00A37F15" w:rsidRDefault="00944129" w:rsidP="00944129">
      <w:pPr>
        <w:suppressAutoHyphens/>
        <w:autoSpaceDN w:val="0"/>
        <w:adjustRightInd w:val="0"/>
        <w:spacing w:after="0" w:line="240" w:lineRule="auto"/>
        <w:jc w:val="center"/>
        <w:rPr>
          <w:rFonts w:ascii="Arial Narrow" w:eastAsia="Times New Roman" w:hAnsi="Arial Narrow"/>
          <w:sz w:val="24"/>
          <w:szCs w:val="24"/>
          <w:lang w:eastAsia="es-CO"/>
        </w:rPr>
      </w:pPr>
    </w:p>
    <w:p w:rsidR="00944129" w:rsidRPr="00A37F15" w:rsidRDefault="00944129" w:rsidP="00944129">
      <w:pPr>
        <w:suppressAutoHyphens/>
        <w:autoSpaceDN w:val="0"/>
        <w:adjustRightInd w:val="0"/>
        <w:spacing w:after="0" w:line="240" w:lineRule="auto"/>
        <w:jc w:val="center"/>
        <w:textAlignment w:val="center"/>
        <w:rPr>
          <w:rFonts w:ascii="Arial Narrow" w:eastAsia="Times New Roman" w:hAnsi="Arial Narrow"/>
          <w:b/>
          <w:sz w:val="24"/>
          <w:szCs w:val="24"/>
          <w:lang w:eastAsia="es-CO"/>
        </w:rPr>
      </w:pPr>
      <w:r w:rsidRPr="00A37F15">
        <w:rPr>
          <w:rFonts w:ascii="Arial Narrow" w:eastAsia="Times New Roman" w:hAnsi="Arial Narrow"/>
          <w:b/>
          <w:color w:val="000000"/>
          <w:sz w:val="24"/>
          <w:szCs w:val="24"/>
          <w:lang w:val="es-ES_tradnl" w:eastAsia="es-CO"/>
        </w:rPr>
        <w:t>DECRETA:</w:t>
      </w:r>
    </w:p>
    <w:p w:rsidR="00944129" w:rsidRPr="00A37F15" w:rsidRDefault="00944129" w:rsidP="00944129">
      <w:pPr>
        <w:suppressAutoHyphens/>
        <w:autoSpaceDN w:val="0"/>
        <w:adjustRightInd w:val="0"/>
        <w:spacing w:after="0" w:line="240" w:lineRule="auto"/>
        <w:jc w:val="both"/>
        <w:textAlignment w:val="center"/>
        <w:rPr>
          <w:rFonts w:ascii="Arial Narrow" w:eastAsia="Times New Roman" w:hAnsi="Arial Narrow"/>
          <w:b/>
          <w:color w:val="000000"/>
          <w:sz w:val="24"/>
          <w:szCs w:val="24"/>
          <w:lang w:eastAsia="es-CO"/>
        </w:rPr>
      </w:pPr>
    </w:p>
    <w:p w:rsidR="00944129" w:rsidRPr="00A37F15" w:rsidRDefault="00944129" w:rsidP="00944129">
      <w:pPr>
        <w:suppressAutoHyphens/>
        <w:autoSpaceDN w:val="0"/>
        <w:adjustRightInd w:val="0"/>
        <w:spacing w:after="0" w:line="240" w:lineRule="auto"/>
        <w:jc w:val="both"/>
        <w:textAlignment w:val="center"/>
        <w:rPr>
          <w:rFonts w:ascii="Arial Narrow" w:eastAsia="Times New Roman" w:hAnsi="Arial Narrow"/>
          <w:sz w:val="24"/>
          <w:szCs w:val="24"/>
          <w:lang w:eastAsia="es-CO"/>
        </w:rPr>
      </w:pPr>
      <w:r w:rsidRPr="00A37F15">
        <w:rPr>
          <w:rFonts w:ascii="Arial Narrow" w:eastAsia="Times New Roman" w:hAnsi="Arial Narrow"/>
          <w:b/>
          <w:color w:val="000000"/>
          <w:sz w:val="24"/>
          <w:szCs w:val="24"/>
          <w:lang w:val="es-ES_tradnl" w:eastAsia="es-CO"/>
        </w:rPr>
        <w:t>Artículo 1º.</w:t>
      </w:r>
      <w:r w:rsidRPr="00A37F15">
        <w:rPr>
          <w:rFonts w:ascii="Arial Narrow" w:eastAsia="Times New Roman" w:hAnsi="Arial Narrow"/>
          <w:color w:val="000000"/>
          <w:sz w:val="24"/>
          <w:szCs w:val="24"/>
          <w:lang w:val="es-ES_tradnl" w:eastAsia="es-CO"/>
        </w:rPr>
        <w:t xml:space="preserve"> El artículo 221 de la Constitución Política quedará así: </w:t>
      </w:r>
    </w:p>
    <w:p w:rsidR="00944129" w:rsidRPr="00A37F15" w:rsidRDefault="00944129" w:rsidP="00944129">
      <w:pPr>
        <w:spacing w:line="240" w:lineRule="auto"/>
        <w:jc w:val="both"/>
        <w:rPr>
          <w:rFonts w:ascii="Arial Narrow" w:hAnsi="Arial Narrow"/>
          <w:sz w:val="24"/>
          <w:szCs w:val="24"/>
        </w:rPr>
      </w:pPr>
    </w:p>
    <w:p w:rsidR="00944129" w:rsidRPr="00A37F15" w:rsidRDefault="00944129" w:rsidP="00944129">
      <w:pPr>
        <w:spacing w:line="240" w:lineRule="auto"/>
        <w:jc w:val="both"/>
        <w:rPr>
          <w:rFonts w:ascii="Arial Narrow" w:hAnsi="Arial Narrow"/>
          <w:sz w:val="24"/>
          <w:szCs w:val="24"/>
        </w:rPr>
      </w:pPr>
      <w:r w:rsidRPr="00A37F15">
        <w:rPr>
          <w:rFonts w:ascii="Arial Narrow" w:hAnsi="Arial Narrow"/>
          <w:sz w:val="24"/>
          <w:szCs w:val="24"/>
        </w:rPr>
        <w:t>De las conductas punibles cometidas por los miembros de la Fuerza Pública en servicio activo, y en relación con el mismo servicio, conocerán las cortes marciales o tribunales militares, con arreglo a las prescripciones del Código Penal Militar. Tales Cortes o Tribunales estarán integrados por miembros de la Fuerza Pública en servicio activo o en retiro.</w:t>
      </w:r>
    </w:p>
    <w:p w:rsidR="00944129" w:rsidRPr="00A37F15" w:rsidRDefault="00944129" w:rsidP="00944129">
      <w:pPr>
        <w:spacing w:line="240" w:lineRule="auto"/>
        <w:jc w:val="both"/>
        <w:rPr>
          <w:rFonts w:ascii="Arial Narrow" w:hAnsi="Arial Narrow"/>
          <w:sz w:val="24"/>
          <w:szCs w:val="24"/>
        </w:rPr>
      </w:pPr>
      <w:r w:rsidRPr="00A37F15">
        <w:rPr>
          <w:rFonts w:ascii="Arial Narrow" w:hAnsi="Arial Narrow"/>
          <w:sz w:val="24"/>
          <w:szCs w:val="24"/>
        </w:rPr>
        <w:t>En la investigación y juzgamiento de las conductas punibles de los miembros de la Fuerza Pública, en relación con un conflicto armado o un enfrentamiento que reúna las condiciones objetivas del Derecho Internacional Humanitario, se aplicarán las normas y principios de éste. Los jueces y fiscales de la justicia ordinaria y de la Justicia Penal Militar o Policial que conozcan de las conductas de los miembros de la Fuerza Pública deberán tener formación y conocimiento adecuado del Derecho Internacional Humanitario.</w:t>
      </w:r>
    </w:p>
    <w:p w:rsidR="00944129" w:rsidRPr="00A37F15" w:rsidRDefault="00944129" w:rsidP="00944129">
      <w:pPr>
        <w:spacing w:line="240" w:lineRule="auto"/>
        <w:jc w:val="both"/>
        <w:rPr>
          <w:rFonts w:ascii="Arial Narrow" w:hAnsi="Arial Narrow"/>
          <w:sz w:val="24"/>
          <w:szCs w:val="24"/>
        </w:rPr>
      </w:pPr>
      <w:r w:rsidRPr="00A37F15">
        <w:rPr>
          <w:rFonts w:ascii="Arial Narrow" w:hAnsi="Arial Narrow"/>
          <w:sz w:val="24"/>
          <w:szCs w:val="24"/>
        </w:rPr>
        <w:t>La Justicia Penal Militar o policial será independiente del mando de la Fuerza Pública.</w:t>
      </w:r>
    </w:p>
    <w:p w:rsidR="00944129" w:rsidRPr="00A37F15" w:rsidRDefault="00B30DDB" w:rsidP="00944129">
      <w:pPr>
        <w:spacing w:line="240" w:lineRule="auto"/>
        <w:jc w:val="both"/>
        <w:rPr>
          <w:rFonts w:ascii="Arial Narrow" w:hAnsi="Arial Narrow"/>
          <w:sz w:val="24"/>
          <w:szCs w:val="24"/>
        </w:rPr>
      </w:pPr>
      <w:r w:rsidRPr="00A37F15">
        <w:rPr>
          <w:rFonts w:ascii="Arial Narrow" w:hAnsi="Arial Narrow"/>
          <w:b/>
          <w:sz w:val="24"/>
          <w:szCs w:val="24"/>
        </w:rPr>
        <w:br/>
      </w:r>
      <w:r w:rsidR="00944129" w:rsidRPr="00A37F15">
        <w:rPr>
          <w:rFonts w:ascii="Arial Narrow" w:hAnsi="Arial Narrow"/>
          <w:b/>
          <w:sz w:val="24"/>
          <w:szCs w:val="24"/>
        </w:rPr>
        <w:t>Artículo 2°.</w:t>
      </w:r>
      <w:r w:rsidR="00944129" w:rsidRPr="00A37F15">
        <w:rPr>
          <w:rFonts w:ascii="Arial Narrow" w:hAnsi="Arial Narrow"/>
          <w:sz w:val="24"/>
          <w:szCs w:val="24"/>
        </w:rPr>
        <w:t xml:space="preserve"> El presente acto legislativo rige a partir de la fecha de su promulgación.</w:t>
      </w:r>
    </w:p>
    <w:p w:rsidR="00944129" w:rsidRPr="00A37F15" w:rsidRDefault="00944129" w:rsidP="00944129">
      <w:pPr>
        <w:suppressAutoHyphens/>
        <w:autoSpaceDN w:val="0"/>
        <w:adjustRightInd w:val="0"/>
        <w:spacing w:after="0" w:line="240" w:lineRule="auto"/>
        <w:textAlignment w:val="center"/>
        <w:rPr>
          <w:rFonts w:ascii="Arial Narrow" w:hAnsi="Arial Narrow"/>
          <w:sz w:val="24"/>
          <w:szCs w:val="24"/>
        </w:rPr>
      </w:pPr>
    </w:p>
    <w:p w:rsidR="00944129" w:rsidRPr="00A37F15" w:rsidRDefault="00944129" w:rsidP="00944129">
      <w:pPr>
        <w:suppressAutoHyphens/>
        <w:autoSpaceDN w:val="0"/>
        <w:adjustRightInd w:val="0"/>
        <w:spacing w:after="0" w:line="240" w:lineRule="auto"/>
        <w:textAlignment w:val="center"/>
        <w:rPr>
          <w:rFonts w:ascii="Arial Narrow" w:hAnsi="Arial Narrow"/>
          <w:b/>
          <w:sz w:val="24"/>
          <w:szCs w:val="24"/>
          <w:lang w:val="es-ES_tradnl"/>
        </w:rPr>
      </w:pPr>
    </w:p>
    <w:p w:rsidR="00944129" w:rsidRPr="00A37F15" w:rsidRDefault="00944129" w:rsidP="00944129">
      <w:pPr>
        <w:suppressAutoHyphens/>
        <w:autoSpaceDN w:val="0"/>
        <w:adjustRightInd w:val="0"/>
        <w:spacing w:after="0" w:line="240" w:lineRule="auto"/>
        <w:textAlignment w:val="center"/>
        <w:rPr>
          <w:rFonts w:ascii="Arial Narrow" w:hAnsi="Arial Narrow"/>
          <w:b/>
          <w:sz w:val="24"/>
          <w:szCs w:val="24"/>
          <w:lang w:val="es-ES_tradnl"/>
        </w:rPr>
      </w:pPr>
    </w:p>
    <w:p w:rsidR="00B30DDB" w:rsidRPr="00A37F15" w:rsidRDefault="00B30DDB" w:rsidP="00B30DDB">
      <w:pPr>
        <w:spacing w:after="0" w:line="240" w:lineRule="auto"/>
        <w:rPr>
          <w:rFonts w:ascii="Arial Narrow" w:hAnsi="Arial Narrow" w:cs="Arial"/>
          <w:b/>
          <w:sz w:val="24"/>
          <w:szCs w:val="24"/>
        </w:rPr>
      </w:pPr>
      <w:r w:rsidRPr="00A37F15">
        <w:rPr>
          <w:rFonts w:ascii="Arial Narrow" w:hAnsi="Arial Narrow" w:cs="Arial"/>
          <w:b/>
          <w:sz w:val="24"/>
          <w:szCs w:val="24"/>
        </w:rPr>
        <w:t>OSCAR FERNANDO BRAVO REALPE</w:t>
      </w:r>
    </w:p>
    <w:p w:rsidR="00944129" w:rsidRPr="00A37F15" w:rsidRDefault="00A96B33" w:rsidP="00944129">
      <w:pPr>
        <w:suppressAutoHyphens/>
        <w:autoSpaceDN w:val="0"/>
        <w:adjustRightInd w:val="0"/>
        <w:spacing w:after="0" w:line="240" w:lineRule="auto"/>
        <w:textAlignment w:val="center"/>
        <w:rPr>
          <w:rFonts w:ascii="Arial Narrow" w:hAnsi="Arial Narrow"/>
          <w:sz w:val="24"/>
          <w:szCs w:val="24"/>
          <w:lang w:val="es-ES_tradnl"/>
        </w:rPr>
      </w:pPr>
      <w:r w:rsidRPr="00A37F15">
        <w:rPr>
          <w:rFonts w:ascii="Arial Narrow" w:hAnsi="Arial Narrow"/>
          <w:sz w:val="24"/>
          <w:szCs w:val="24"/>
          <w:lang w:val="es-ES_tradnl"/>
        </w:rPr>
        <w:t>Representante Ponente</w:t>
      </w:r>
    </w:p>
    <w:p w:rsidR="00944129" w:rsidRPr="00A37F15" w:rsidRDefault="00944129" w:rsidP="00944129">
      <w:pPr>
        <w:suppressAutoHyphens/>
        <w:autoSpaceDN w:val="0"/>
        <w:adjustRightInd w:val="0"/>
        <w:spacing w:after="0" w:line="240" w:lineRule="auto"/>
        <w:textAlignment w:val="center"/>
        <w:rPr>
          <w:rFonts w:ascii="Arial Narrow" w:hAnsi="Arial Narrow"/>
          <w:sz w:val="24"/>
          <w:szCs w:val="24"/>
          <w:lang w:val="es-ES_tradnl"/>
        </w:rPr>
      </w:pPr>
    </w:p>
    <w:p w:rsidR="00944129" w:rsidRPr="00A37F15" w:rsidRDefault="00944129" w:rsidP="00944129">
      <w:pPr>
        <w:suppressAutoHyphens/>
        <w:autoSpaceDN w:val="0"/>
        <w:adjustRightInd w:val="0"/>
        <w:spacing w:after="0" w:line="240" w:lineRule="auto"/>
        <w:textAlignment w:val="center"/>
        <w:rPr>
          <w:rFonts w:ascii="Arial Narrow" w:hAnsi="Arial Narrow"/>
          <w:sz w:val="24"/>
          <w:szCs w:val="24"/>
          <w:lang w:val="es-ES_tradnl"/>
        </w:rPr>
      </w:pPr>
    </w:p>
    <w:p w:rsidR="00944129" w:rsidRPr="00A37F15" w:rsidRDefault="00944129" w:rsidP="00944129">
      <w:pPr>
        <w:rPr>
          <w:rFonts w:ascii="Arial Narrow" w:hAnsi="Arial Narrow"/>
          <w:sz w:val="24"/>
          <w:szCs w:val="24"/>
          <w:lang w:val="es-ES_tradnl"/>
        </w:rPr>
      </w:pPr>
    </w:p>
    <w:p w:rsidR="00944129" w:rsidRDefault="00944129" w:rsidP="00944129">
      <w:pPr>
        <w:rPr>
          <w:rFonts w:ascii="Arial Narrow" w:hAnsi="Arial Narrow"/>
          <w:sz w:val="24"/>
          <w:szCs w:val="24"/>
          <w:lang w:val="es-ES_tradnl"/>
        </w:rPr>
      </w:pPr>
    </w:p>
    <w:p w:rsidR="00E15D7B" w:rsidRDefault="00E15D7B" w:rsidP="00944129">
      <w:pPr>
        <w:rPr>
          <w:rFonts w:ascii="Arial Narrow" w:hAnsi="Arial Narrow"/>
          <w:sz w:val="24"/>
          <w:szCs w:val="24"/>
          <w:lang w:val="es-ES_tradnl"/>
        </w:rPr>
      </w:pPr>
    </w:p>
    <w:p w:rsidR="00E15D7B" w:rsidRDefault="00E15D7B" w:rsidP="00944129">
      <w:pPr>
        <w:rPr>
          <w:rFonts w:ascii="Arial Narrow" w:hAnsi="Arial Narrow"/>
          <w:sz w:val="24"/>
          <w:szCs w:val="24"/>
          <w:lang w:val="es-ES_tradnl"/>
        </w:rPr>
      </w:pPr>
    </w:p>
    <w:p w:rsidR="00E15D7B" w:rsidRDefault="00E15D7B" w:rsidP="00944129">
      <w:pPr>
        <w:rPr>
          <w:rFonts w:ascii="Arial Narrow" w:hAnsi="Arial Narrow"/>
          <w:sz w:val="24"/>
          <w:szCs w:val="24"/>
          <w:lang w:val="es-ES_tradnl"/>
        </w:rPr>
      </w:pPr>
    </w:p>
    <w:p w:rsidR="00E15D7B" w:rsidRDefault="00E15D7B" w:rsidP="00944129">
      <w:pPr>
        <w:rPr>
          <w:rFonts w:ascii="Arial Narrow" w:hAnsi="Arial Narrow"/>
          <w:sz w:val="24"/>
          <w:szCs w:val="24"/>
          <w:lang w:val="es-ES_tradnl"/>
        </w:rPr>
      </w:pPr>
    </w:p>
    <w:p w:rsidR="00E15D7B" w:rsidRDefault="00E15D7B" w:rsidP="00944129">
      <w:pPr>
        <w:rPr>
          <w:rFonts w:ascii="Arial Narrow" w:hAnsi="Arial Narrow"/>
          <w:sz w:val="24"/>
          <w:szCs w:val="24"/>
          <w:lang w:val="es-ES_tradnl"/>
        </w:rPr>
      </w:pPr>
    </w:p>
    <w:p w:rsidR="00E15D7B" w:rsidRDefault="00E15D7B" w:rsidP="00944129">
      <w:pPr>
        <w:rPr>
          <w:rFonts w:ascii="Arial Narrow" w:hAnsi="Arial Narrow"/>
          <w:sz w:val="24"/>
          <w:szCs w:val="24"/>
          <w:lang w:val="es-ES_tradnl"/>
        </w:rPr>
      </w:pPr>
    </w:p>
    <w:p w:rsidR="00E15D7B" w:rsidRDefault="00E15D7B" w:rsidP="00944129">
      <w:pPr>
        <w:rPr>
          <w:rFonts w:ascii="Arial Narrow" w:hAnsi="Arial Narrow"/>
          <w:sz w:val="24"/>
          <w:szCs w:val="24"/>
          <w:lang w:val="es-ES_tradnl"/>
        </w:rPr>
      </w:pPr>
    </w:p>
    <w:p w:rsidR="00E15D7B" w:rsidRDefault="00E15D7B" w:rsidP="00944129">
      <w:pPr>
        <w:rPr>
          <w:rFonts w:ascii="Arial Narrow" w:hAnsi="Arial Narrow"/>
          <w:sz w:val="24"/>
          <w:szCs w:val="24"/>
          <w:lang w:val="es-ES_tradnl"/>
        </w:rPr>
      </w:pPr>
    </w:p>
    <w:p w:rsidR="00E15D7B" w:rsidRDefault="00E15D7B" w:rsidP="00944129">
      <w:pPr>
        <w:rPr>
          <w:rFonts w:ascii="Arial Narrow" w:hAnsi="Arial Narrow"/>
          <w:sz w:val="24"/>
          <w:szCs w:val="24"/>
          <w:lang w:val="es-ES_tradnl"/>
        </w:rPr>
      </w:pPr>
    </w:p>
    <w:p w:rsidR="00E15D7B" w:rsidRPr="00E15D7B" w:rsidRDefault="00E15D7B" w:rsidP="00944129">
      <w:pPr>
        <w:rPr>
          <w:rFonts w:ascii="Arial Narrow" w:hAnsi="Arial Narrow"/>
          <w:sz w:val="24"/>
          <w:szCs w:val="24"/>
        </w:rPr>
      </w:pPr>
    </w:p>
    <w:p w:rsidR="00944129" w:rsidRPr="00A37F15" w:rsidRDefault="00944129" w:rsidP="00944129">
      <w:pPr>
        <w:rPr>
          <w:rFonts w:ascii="Arial Narrow" w:hAnsi="Arial Narrow"/>
          <w:sz w:val="24"/>
          <w:szCs w:val="24"/>
          <w:lang w:val="es-ES_tradnl"/>
        </w:rPr>
      </w:pPr>
    </w:p>
    <w:p w:rsidR="00944129" w:rsidRPr="00A37F15" w:rsidRDefault="00944129" w:rsidP="00944129">
      <w:pPr>
        <w:rPr>
          <w:rFonts w:ascii="Arial Narrow" w:hAnsi="Arial Narrow"/>
          <w:sz w:val="24"/>
          <w:szCs w:val="24"/>
          <w:lang w:val="es-ES_tradnl"/>
        </w:rPr>
      </w:pPr>
    </w:p>
    <w:p w:rsidR="00944129" w:rsidRPr="00A37F15" w:rsidRDefault="00944129" w:rsidP="00944129">
      <w:pPr>
        <w:rPr>
          <w:rFonts w:ascii="Arial Narrow" w:hAnsi="Arial Narrow"/>
          <w:sz w:val="24"/>
          <w:szCs w:val="24"/>
          <w:lang w:val="es-ES_tradnl"/>
        </w:rPr>
      </w:pPr>
    </w:p>
    <w:p w:rsidR="001257EE" w:rsidRPr="00A37F15" w:rsidRDefault="001257EE" w:rsidP="00944129">
      <w:pPr>
        <w:rPr>
          <w:rFonts w:ascii="Arial Narrow" w:hAnsi="Arial Narrow"/>
          <w:sz w:val="24"/>
          <w:szCs w:val="24"/>
          <w:lang w:val="es-ES_tradnl"/>
        </w:rPr>
      </w:pPr>
    </w:p>
    <w:sectPr w:rsidR="001257EE" w:rsidRPr="00A37F15" w:rsidSect="004E3F23">
      <w:footerReference w:type="even" r:id="rId8"/>
      <w:footerReference w:type="default" r:id="rId9"/>
      <w:pgSz w:w="12240" w:h="15840"/>
      <w:pgMar w:top="1417" w:right="217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D2D" w:rsidRDefault="00C64D2D" w:rsidP="00D76F9A">
      <w:pPr>
        <w:spacing w:after="0" w:line="240" w:lineRule="auto"/>
      </w:pPr>
      <w:r>
        <w:separator/>
      </w:r>
    </w:p>
  </w:endnote>
  <w:endnote w:type="continuationSeparator" w:id="0">
    <w:p w:rsidR="00C64D2D" w:rsidRDefault="00C64D2D" w:rsidP="00D7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A" w:rsidRDefault="0075095A" w:rsidP="00D76F9A">
    <w:pPr>
      <w:pStyle w:val="Piedepgina"/>
      <w:framePr w:wrap="around" w:vAnchor="text" w:hAnchor="margin" w:xAlign="right" w:y="1"/>
      <w:rPr>
        <w:rStyle w:val="Nmerodepgina"/>
      </w:rPr>
    </w:pPr>
    <w:r>
      <w:rPr>
        <w:rStyle w:val="Nmerodepgina"/>
      </w:rPr>
      <w:fldChar w:fldCharType="begin"/>
    </w:r>
    <w:r w:rsidR="00E32B1A">
      <w:rPr>
        <w:rStyle w:val="Nmerodepgina"/>
      </w:rPr>
      <w:instrText xml:space="preserve">PAGE  </w:instrText>
    </w:r>
    <w:r>
      <w:rPr>
        <w:rStyle w:val="Nmerodepgina"/>
      </w:rPr>
      <w:fldChar w:fldCharType="end"/>
    </w:r>
  </w:p>
  <w:p w:rsidR="00E32B1A" w:rsidRDefault="00E32B1A" w:rsidP="00D76F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A" w:rsidRDefault="00E32B1A" w:rsidP="00D76F9A">
    <w:pPr>
      <w:pStyle w:val="Piedepgina"/>
      <w:framePr w:wrap="around" w:vAnchor="text" w:hAnchor="margin" w:xAlign="right" w:y="1"/>
      <w:rPr>
        <w:rStyle w:val="Nmerodepgina"/>
      </w:rPr>
    </w:pPr>
  </w:p>
  <w:p w:rsidR="00E32B1A" w:rsidRDefault="00E32B1A" w:rsidP="00D76F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D2D" w:rsidRDefault="00C64D2D" w:rsidP="00D76F9A">
      <w:pPr>
        <w:spacing w:after="0" w:line="240" w:lineRule="auto"/>
      </w:pPr>
      <w:r>
        <w:separator/>
      </w:r>
    </w:p>
  </w:footnote>
  <w:footnote w:type="continuationSeparator" w:id="0">
    <w:p w:rsidR="00C64D2D" w:rsidRDefault="00C64D2D" w:rsidP="00D76F9A">
      <w:pPr>
        <w:spacing w:after="0" w:line="240" w:lineRule="auto"/>
      </w:pPr>
      <w:r>
        <w:continuationSeparator/>
      </w:r>
    </w:p>
  </w:footnote>
  <w:footnote w:id="1">
    <w:p w:rsidR="00E32B1A" w:rsidRPr="005B14FA" w:rsidRDefault="00E32B1A" w:rsidP="00753981">
      <w:pPr>
        <w:pBdr>
          <w:top w:val="nil"/>
          <w:left w:val="nil"/>
          <w:bottom w:val="nil"/>
          <w:right w:val="nil"/>
          <w:between w:val="nil"/>
          <w:bar w:val="nil"/>
        </w:pBdr>
        <w:spacing w:after="0" w:line="240" w:lineRule="auto"/>
        <w:rPr>
          <w:rFonts w:ascii="Arial Narrow" w:hAnsi="Arial Narrow"/>
          <w:bCs/>
          <w:sz w:val="18"/>
          <w:szCs w:val="18"/>
        </w:rPr>
      </w:pPr>
      <w:r w:rsidRPr="005B14FA">
        <w:rPr>
          <w:rStyle w:val="Refdenotaalpie"/>
          <w:rFonts w:ascii="Arial Narrow" w:hAnsi="Arial Narrow"/>
          <w:sz w:val="18"/>
          <w:szCs w:val="18"/>
        </w:rPr>
        <w:footnoteRef/>
      </w:r>
      <w:r w:rsidRPr="005B14FA">
        <w:rPr>
          <w:rFonts w:ascii="Arial Narrow" w:hAnsi="Arial Narrow"/>
          <w:bCs/>
          <w:sz w:val="18"/>
          <w:szCs w:val="18"/>
          <w:lang w:val="es-ES_tradnl"/>
        </w:rPr>
        <w:t>Corte Constitucional, Sala Plena, Sentencia C-574 del 28 de octubre de 1994, M.P., Dr. Ciro Angarita Barón</w:t>
      </w:r>
    </w:p>
    <w:p w:rsidR="00E32B1A" w:rsidRPr="005B14FA" w:rsidRDefault="00E32B1A" w:rsidP="00753981">
      <w:pPr>
        <w:pStyle w:val="Textonotapie"/>
        <w:rPr>
          <w:rFonts w:ascii="Arial Narrow" w:hAnsi="Arial Narrow"/>
          <w:sz w:val="18"/>
          <w:szCs w:val="18"/>
          <w:lang w:val="es-ES_tradnl"/>
        </w:rPr>
      </w:pPr>
    </w:p>
  </w:footnote>
  <w:footnote w:id="2">
    <w:p w:rsidR="00E32B1A" w:rsidRPr="005B14FA" w:rsidRDefault="00E32B1A">
      <w:pPr>
        <w:pStyle w:val="Textonotapie"/>
        <w:rPr>
          <w:rFonts w:ascii="Arial Narrow" w:hAnsi="Arial Narrow"/>
          <w:sz w:val="18"/>
          <w:szCs w:val="18"/>
          <w:lang w:val="es-ES_tradnl"/>
        </w:rPr>
      </w:pPr>
      <w:r w:rsidRPr="005B14FA">
        <w:rPr>
          <w:rStyle w:val="Refdenotaalpie"/>
          <w:rFonts w:ascii="Arial Narrow" w:hAnsi="Arial Narrow"/>
          <w:sz w:val="18"/>
          <w:szCs w:val="18"/>
        </w:rPr>
        <w:footnoteRef/>
      </w:r>
      <w:r w:rsidRPr="005B14FA">
        <w:rPr>
          <w:rFonts w:ascii="Arial Narrow" w:eastAsia="Arial Unicode MS" w:hAnsi="Arial Narrow" w:cs="Arial Unicode MS"/>
          <w:sz w:val="18"/>
          <w:szCs w:val="18"/>
          <w:lang w:val="es-ES_tradnl"/>
        </w:rPr>
        <w:t>Corte Constitucional, Sala Plena, Sentencia C-574 del 28 de octubre de 1994, M.P., Dr. Ciro Angarita Barón, Pp. 93 - 44</w:t>
      </w:r>
    </w:p>
  </w:footnote>
  <w:footnote w:id="3">
    <w:p w:rsidR="004B0414" w:rsidRPr="005B14FA" w:rsidRDefault="004B0414" w:rsidP="004B0414">
      <w:pPr>
        <w:pBdr>
          <w:top w:val="nil"/>
          <w:left w:val="nil"/>
          <w:bottom w:val="nil"/>
          <w:right w:val="nil"/>
          <w:between w:val="nil"/>
          <w:bar w:val="nil"/>
        </w:pBdr>
        <w:spacing w:after="0" w:line="240" w:lineRule="auto"/>
        <w:jc w:val="both"/>
        <w:rPr>
          <w:rFonts w:ascii="Arial Narrow" w:hAnsi="Arial Narrow"/>
          <w:b/>
          <w:bCs/>
          <w:sz w:val="18"/>
          <w:szCs w:val="18"/>
        </w:rPr>
      </w:pPr>
      <w:r w:rsidRPr="005B14FA">
        <w:rPr>
          <w:rStyle w:val="Refdenotaalpie"/>
          <w:rFonts w:ascii="Arial Narrow" w:hAnsi="Arial Narrow"/>
          <w:sz w:val="18"/>
          <w:szCs w:val="18"/>
        </w:rPr>
        <w:footnoteRef/>
      </w:r>
      <w:r w:rsidRPr="005B14FA">
        <w:rPr>
          <w:rFonts w:ascii="Arial Narrow" w:hAnsi="Arial Narrow"/>
          <w:bCs/>
          <w:sz w:val="18"/>
          <w:szCs w:val="18"/>
          <w:lang w:val="es-ES_tradnl"/>
        </w:rPr>
        <w:t>Corte Constitucional, Sala Plena, Sentencia C-225 del 18 de mayo de 1995, M.P., Dr. Alejandro Martínez Caballero</w:t>
      </w:r>
    </w:p>
  </w:footnote>
  <w:footnote w:id="4">
    <w:p w:rsidR="00E32B1A" w:rsidRPr="005B14FA" w:rsidRDefault="00E32B1A">
      <w:pPr>
        <w:pStyle w:val="Textonotapie"/>
        <w:rPr>
          <w:rFonts w:ascii="Arial Narrow" w:hAnsi="Arial Narrow"/>
          <w:sz w:val="18"/>
          <w:szCs w:val="18"/>
          <w:lang w:val="es-ES_tradnl"/>
        </w:rPr>
      </w:pPr>
      <w:r w:rsidRPr="005B14FA">
        <w:rPr>
          <w:rStyle w:val="Refdenotaalpie"/>
          <w:rFonts w:ascii="Arial Narrow" w:hAnsi="Arial Narrow"/>
          <w:sz w:val="18"/>
          <w:szCs w:val="18"/>
        </w:rPr>
        <w:footnoteRef/>
      </w:r>
      <w:r w:rsidRPr="005B14FA">
        <w:rPr>
          <w:rFonts w:ascii="Arial Narrow" w:hAnsi="Arial Narrow"/>
          <w:bCs/>
          <w:sz w:val="18"/>
          <w:szCs w:val="18"/>
          <w:lang w:val="es-ES_tradnl"/>
        </w:rPr>
        <w:t>Corte Constitucional, Sala Plena, Sentencia C-291 del 25 de abril de 2007, M.P., Dr. Manuel José Cepeda Espinosa</w:t>
      </w:r>
    </w:p>
  </w:footnote>
  <w:footnote w:id="5">
    <w:p w:rsidR="004B0414" w:rsidRPr="005B14FA" w:rsidRDefault="004B0414">
      <w:pPr>
        <w:pStyle w:val="Textonotapie"/>
        <w:rPr>
          <w:rFonts w:ascii="Arial Narrow" w:hAnsi="Arial Narrow"/>
          <w:sz w:val="18"/>
          <w:szCs w:val="18"/>
          <w:lang w:val="es-ES_tradnl"/>
        </w:rPr>
      </w:pPr>
      <w:r w:rsidRPr="005B14FA">
        <w:rPr>
          <w:rStyle w:val="Refdenotaalpie"/>
          <w:rFonts w:ascii="Arial Narrow" w:hAnsi="Arial Narrow"/>
          <w:sz w:val="18"/>
          <w:szCs w:val="18"/>
        </w:rPr>
        <w:footnoteRef/>
      </w:r>
      <w:proofErr w:type="spellStart"/>
      <w:r w:rsidR="00AE2DE1">
        <w:rPr>
          <w:rFonts w:ascii="Arial Narrow" w:hAnsi="Arial Narrow"/>
          <w:sz w:val="18"/>
          <w:szCs w:val="18"/>
        </w:rPr>
        <w:t>Ibidem</w:t>
      </w:r>
      <w:proofErr w:type="spellEnd"/>
    </w:p>
  </w:footnote>
  <w:footnote w:id="6">
    <w:p w:rsidR="005B14FA" w:rsidRPr="005B14FA" w:rsidRDefault="004B0414" w:rsidP="005B14FA">
      <w:pPr>
        <w:spacing w:after="0" w:line="240" w:lineRule="auto"/>
        <w:rPr>
          <w:rFonts w:ascii="Arial Narrow" w:hAnsi="Arial Narrow"/>
          <w:sz w:val="18"/>
          <w:szCs w:val="18"/>
          <w:lang w:val="es-ES_tradnl"/>
        </w:rPr>
      </w:pPr>
      <w:r w:rsidRPr="005B14FA">
        <w:rPr>
          <w:rStyle w:val="Refdenotaalpie"/>
          <w:rFonts w:ascii="Arial Narrow" w:hAnsi="Arial Narrow"/>
          <w:sz w:val="18"/>
          <w:szCs w:val="18"/>
        </w:rPr>
        <w:footnoteRef/>
      </w:r>
      <w:r w:rsidR="005B14FA" w:rsidRPr="005B14FA">
        <w:rPr>
          <w:rFonts w:ascii="Arial Narrow" w:hAnsi="Arial Narrow"/>
          <w:sz w:val="18"/>
          <w:szCs w:val="18"/>
          <w:lang w:val="es-ES_tradnl"/>
        </w:rPr>
        <w:t xml:space="preserve">ICRC </w:t>
      </w:r>
      <w:proofErr w:type="spellStart"/>
      <w:r w:rsidR="005B14FA" w:rsidRPr="005B14FA">
        <w:rPr>
          <w:rFonts w:ascii="Arial Narrow" w:hAnsi="Arial Narrow"/>
          <w:sz w:val="18"/>
          <w:szCs w:val="18"/>
          <w:lang w:val="es-ES_tradnl"/>
        </w:rPr>
        <w:t>WorkingPaper</w:t>
      </w:r>
      <w:proofErr w:type="spellEnd"/>
      <w:r w:rsidR="005B14FA" w:rsidRPr="005B14FA">
        <w:rPr>
          <w:rFonts w:ascii="Arial Narrow" w:hAnsi="Arial Narrow"/>
          <w:sz w:val="18"/>
          <w:szCs w:val="18"/>
          <w:lang w:val="es-ES_tradnl"/>
        </w:rPr>
        <w:t>, 29 de junio de 1999.</w:t>
      </w:r>
    </w:p>
    <w:p w:rsidR="004B0414" w:rsidRPr="005B14FA" w:rsidRDefault="004B0414">
      <w:pPr>
        <w:pStyle w:val="Textonotapie"/>
        <w:rPr>
          <w:rFonts w:ascii="Arial Narrow" w:hAnsi="Arial Narrow"/>
          <w:sz w:val="18"/>
          <w:szCs w:val="18"/>
          <w:lang w:val="es-ES_tradnl"/>
        </w:rPr>
      </w:pPr>
    </w:p>
  </w:footnote>
  <w:footnote w:id="7">
    <w:p w:rsidR="00E32B1A" w:rsidRPr="005B14FA" w:rsidRDefault="00E32B1A" w:rsidP="00F811B5">
      <w:pPr>
        <w:pBdr>
          <w:top w:val="nil"/>
          <w:left w:val="nil"/>
          <w:bottom w:val="nil"/>
          <w:right w:val="nil"/>
          <w:between w:val="nil"/>
          <w:bar w:val="nil"/>
        </w:pBdr>
        <w:spacing w:after="0" w:line="240" w:lineRule="auto"/>
        <w:jc w:val="both"/>
        <w:rPr>
          <w:rFonts w:ascii="Arial Narrow" w:hAnsi="Arial Narrow"/>
          <w:b/>
          <w:bCs/>
          <w:sz w:val="18"/>
          <w:szCs w:val="18"/>
        </w:rPr>
      </w:pPr>
      <w:r w:rsidRPr="005B14FA">
        <w:rPr>
          <w:rStyle w:val="Refdenotaalpie"/>
          <w:rFonts w:ascii="Arial Narrow" w:hAnsi="Arial Narrow"/>
          <w:sz w:val="18"/>
          <w:szCs w:val="18"/>
        </w:rPr>
        <w:footnoteRef/>
      </w:r>
      <w:r w:rsidRPr="005B14FA">
        <w:rPr>
          <w:rFonts w:ascii="Arial Narrow" w:hAnsi="Arial Narrow"/>
          <w:bCs/>
          <w:sz w:val="18"/>
          <w:szCs w:val="18"/>
          <w:lang w:val="es-ES_tradnl"/>
        </w:rPr>
        <w:t>Corte Constitucional, Sala Plena, Sentencia C-291 del 25 de abril de 2007, M.P., Dr. Manuel José Cepeda Espinosa</w:t>
      </w:r>
    </w:p>
    <w:p w:rsidR="00E32B1A" w:rsidRPr="005B14FA" w:rsidRDefault="00E32B1A">
      <w:pPr>
        <w:pStyle w:val="Textonotapie"/>
        <w:rPr>
          <w:rFonts w:ascii="Arial Narrow" w:hAnsi="Arial Narrow"/>
          <w:sz w:val="18"/>
          <w:szCs w:val="18"/>
          <w:lang w:val="es-ES_trad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3BF"/>
    <w:multiLevelType w:val="hybridMultilevel"/>
    <w:tmpl w:val="ECE0D7E8"/>
    <w:lvl w:ilvl="0" w:tplc="0C0A000F">
      <w:start w:val="1"/>
      <w:numFmt w:val="decimal"/>
      <w:lvlText w:val="%1."/>
      <w:lvlJc w:val="left"/>
      <w:pPr>
        <w:ind w:left="2424" w:hanging="360"/>
      </w:pPr>
      <w:rPr>
        <w:rFonts w:hint="default"/>
      </w:rPr>
    </w:lvl>
    <w:lvl w:ilvl="1" w:tplc="0C0A0019" w:tentative="1">
      <w:start w:val="1"/>
      <w:numFmt w:val="lowerLetter"/>
      <w:lvlText w:val="%2."/>
      <w:lvlJc w:val="left"/>
      <w:pPr>
        <w:ind w:left="3144" w:hanging="360"/>
      </w:pPr>
    </w:lvl>
    <w:lvl w:ilvl="2" w:tplc="0C0A001B" w:tentative="1">
      <w:start w:val="1"/>
      <w:numFmt w:val="lowerRoman"/>
      <w:lvlText w:val="%3."/>
      <w:lvlJc w:val="right"/>
      <w:pPr>
        <w:ind w:left="3864" w:hanging="180"/>
      </w:pPr>
    </w:lvl>
    <w:lvl w:ilvl="3" w:tplc="0C0A000F" w:tentative="1">
      <w:start w:val="1"/>
      <w:numFmt w:val="decimal"/>
      <w:lvlText w:val="%4."/>
      <w:lvlJc w:val="left"/>
      <w:pPr>
        <w:ind w:left="4584" w:hanging="360"/>
      </w:pPr>
    </w:lvl>
    <w:lvl w:ilvl="4" w:tplc="0C0A0019" w:tentative="1">
      <w:start w:val="1"/>
      <w:numFmt w:val="lowerLetter"/>
      <w:lvlText w:val="%5."/>
      <w:lvlJc w:val="left"/>
      <w:pPr>
        <w:ind w:left="5304" w:hanging="360"/>
      </w:pPr>
    </w:lvl>
    <w:lvl w:ilvl="5" w:tplc="0C0A001B" w:tentative="1">
      <w:start w:val="1"/>
      <w:numFmt w:val="lowerRoman"/>
      <w:lvlText w:val="%6."/>
      <w:lvlJc w:val="right"/>
      <w:pPr>
        <w:ind w:left="6024" w:hanging="180"/>
      </w:pPr>
    </w:lvl>
    <w:lvl w:ilvl="6" w:tplc="0C0A000F" w:tentative="1">
      <w:start w:val="1"/>
      <w:numFmt w:val="decimal"/>
      <w:lvlText w:val="%7."/>
      <w:lvlJc w:val="left"/>
      <w:pPr>
        <w:ind w:left="6744" w:hanging="360"/>
      </w:pPr>
    </w:lvl>
    <w:lvl w:ilvl="7" w:tplc="0C0A0019" w:tentative="1">
      <w:start w:val="1"/>
      <w:numFmt w:val="lowerLetter"/>
      <w:lvlText w:val="%8."/>
      <w:lvlJc w:val="left"/>
      <w:pPr>
        <w:ind w:left="7464" w:hanging="360"/>
      </w:pPr>
    </w:lvl>
    <w:lvl w:ilvl="8" w:tplc="0C0A001B" w:tentative="1">
      <w:start w:val="1"/>
      <w:numFmt w:val="lowerRoman"/>
      <w:lvlText w:val="%9."/>
      <w:lvlJc w:val="right"/>
      <w:pPr>
        <w:ind w:left="8184" w:hanging="180"/>
      </w:pPr>
    </w:lvl>
  </w:abstractNum>
  <w:abstractNum w:abstractNumId="1">
    <w:nsid w:val="087D4821"/>
    <w:multiLevelType w:val="hybridMultilevel"/>
    <w:tmpl w:val="E132EB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AA7C21"/>
    <w:multiLevelType w:val="multilevel"/>
    <w:tmpl w:val="A9CC6E0A"/>
    <w:styleLink w:val="List0"/>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nsid w:val="25026789"/>
    <w:multiLevelType w:val="hybridMultilevel"/>
    <w:tmpl w:val="7130DA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E0487A"/>
    <w:multiLevelType w:val="multilevel"/>
    <w:tmpl w:val="63C4C5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10E1BB2"/>
    <w:multiLevelType w:val="hybridMultilevel"/>
    <w:tmpl w:val="450E7B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8C36D00"/>
    <w:multiLevelType w:val="multilevel"/>
    <w:tmpl w:val="ADCE282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F200941"/>
    <w:multiLevelType w:val="hybridMultilevel"/>
    <w:tmpl w:val="5D82CCC2"/>
    <w:lvl w:ilvl="0" w:tplc="84AACDD0">
      <w:start w:val="1"/>
      <w:numFmt w:val="lowerRoman"/>
      <w:lvlText w:val="(%1)"/>
      <w:lvlJc w:val="left"/>
      <w:pPr>
        <w:ind w:left="1440" w:hanging="72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8">
    <w:nsid w:val="67B276FB"/>
    <w:multiLevelType w:val="hybridMultilevel"/>
    <w:tmpl w:val="F86CD6A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9A"/>
    <w:rsid w:val="00005AA0"/>
    <w:rsid w:val="000146CE"/>
    <w:rsid w:val="00022258"/>
    <w:rsid w:val="000249D7"/>
    <w:rsid w:val="00026D62"/>
    <w:rsid w:val="00030032"/>
    <w:rsid w:val="00032C91"/>
    <w:rsid w:val="00033C4C"/>
    <w:rsid w:val="00044611"/>
    <w:rsid w:val="0005557C"/>
    <w:rsid w:val="0006125F"/>
    <w:rsid w:val="000655D8"/>
    <w:rsid w:val="00070687"/>
    <w:rsid w:val="00090216"/>
    <w:rsid w:val="00094349"/>
    <w:rsid w:val="00095EFC"/>
    <w:rsid w:val="000A2AA6"/>
    <w:rsid w:val="000B295C"/>
    <w:rsid w:val="000C0BF6"/>
    <w:rsid w:val="000C2C9C"/>
    <w:rsid w:val="000D0952"/>
    <w:rsid w:val="000D6997"/>
    <w:rsid w:val="000F637A"/>
    <w:rsid w:val="00101BB6"/>
    <w:rsid w:val="00102090"/>
    <w:rsid w:val="00115F93"/>
    <w:rsid w:val="001162E9"/>
    <w:rsid w:val="00116535"/>
    <w:rsid w:val="001257EE"/>
    <w:rsid w:val="0013035B"/>
    <w:rsid w:val="00152068"/>
    <w:rsid w:val="00155A0F"/>
    <w:rsid w:val="00170AC8"/>
    <w:rsid w:val="001711C7"/>
    <w:rsid w:val="00184237"/>
    <w:rsid w:val="00185B06"/>
    <w:rsid w:val="00186C4D"/>
    <w:rsid w:val="001A1857"/>
    <w:rsid w:val="001A3D77"/>
    <w:rsid w:val="001A44F1"/>
    <w:rsid w:val="001B67B6"/>
    <w:rsid w:val="001D0FE9"/>
    <w:rsid w:val="001D11EE"/>
    <w:rsid w:val="001D2A77"/>
    <w:rsid w:val="001D65DE"/>
    <w:rsid w:val="001E63AE"/>
    <w:rsid w:val="001F027E"/>
    <w:rsid w:val="001F1453"/>
    <w:rsid w:val="00204279"/>
    <w:rsid w:val="002113B1"/>
    <w:rsid w:val="002127CE"/>
    <w:rsid w:val="00220023"/>
    <w:rsid w:val="00222783"/>
    <w:rsid w:val="002306DB"/>
    <w:rsid w:val="002326C6"/>
    <w:rsid w:val="00236B91"/>
    <w:rsid w:val="00241D62"/>
    <w:rsid w:val="00242132"/>
    <w:rsid w:val="0024356B"/>
    <w:rsid w:val="00247A1C"/>
    <w:rsid w:val="0025111A"/>
    <w:rsid w:val="00272266"/>
    <w:rsid w:val="00274B4D"/>
    <w:rsid w:val="00280426"/>
    <w:rsid w:val="0028172D"/>
    <w:rsid w:val="00285764"/>
    <w:rsid w:val="0029557B"/>
    <w:rsid w:val="00297CB4"/>
    <w:rsid w:val="002B3D2E"/>
    <w:rsid w:val="002B7575"/>
    <w:rsid w:val="002C040D"/>
    <w:rsid w:val="002C1DDA"/>
    <w:rsid w:val="002D7274"/>
    <w:rsid w:val="003064EE"/>
    <w:rsid w:val="00317B04"/>
    <w:rsid w:val="00336819"/>
    <w:rsid w:val="00347F62"/>
    <w:rsid w:val="00350310"/>
    <w:rsid w:val="0035065C"/>
    <w:rsid w:val="00355CF5"/>
    <w:rsid w:val="003564C5"/>
    <w:rsid w:val="00360C15"/>
    <w:rsid w:val="00365A39"/>
    <w:rsid w:val="00370633"/>
    <w:rsid w:val="003727D1"/>
    <w:rsid w:val="00375950"/>
    <w:rsid w:val="00376061"/>
    <w:rsid w:val="003805F4"/>
    <w:rsid w:val="00382E2C"/>
    <w:rsid w:val="003831B3"/>
    <w:rsid w:val="00392BFC"/>
    <w:rsid w:val="00393E63"/>
    <w:rsid w:val="00394435"/>
    <w:rsid w:val="003A2EA6"/>
    <w:rsid w:val="003A64EB"/>
    <w:rsid w:val="003B2ED2"/>
    <w:rsid w:val="003B76A0"/>
    <w:rsid w:val="003C3861"/>
    <w:rsid w:val="003C5B7C"/>
    <w:rsid w:val="003C672E"/>
    <w:rsid w:val="003D41D7"/>
    <w:rsid w:val="003D4D81"/>
    <w:rsid w:val="003D6626"/>
    <w:rsid w:val="003E392A"/>
    <w:rsid w:val="00411884"/>
    <w:rsid w:val="00415C80"/>
    <w:rsid w:val="00431DBF"/>
    <w:rsid w:val="004376A6"/>
    <w:rsid w:val="00445ADE"/>
    <w:rsid w:val="00476514"/>
    <w:rsid w:val="00482085"/>
    <w:rsid w:val="00493CC1"/>
    <w:rsid w:val="00494CD1"/>
    <w:rsid w:val="00497FE2"/>
    <w:rsid w:val="004A4033"/>
    <w:rsid w:val="004A7A68"/>
    <w:rsid w:val="004B0414"/>
    <w:rsid w:val="004B4730"/>
    <w:rsid w:val="004D0F82"/>
    <w:rsid w:val="004E3F23"/>
    <w:rsid w:val="004E4475"/>
    <w:rsid w:val="004E6D47"/>
    <w:rsid w:val="004F18CC"/>
    <w:rsid w:val="004F4BE1"/>
    <w:rsid w:val="004F539D"/>
    <w:rsid w:val="004F6866"/>
    <w:rsid w:val="004F6DB6"/>
    <w:rsid w:val="004F6F62"/>
    <w:rsid w:val="005008C9"/>
    <w:rsid w:val="00502B7F"/>
    <w:rsid w:val="005034B2"/>
    <w:rsid w:val="00503B16"/>
    <w:rsid w:val="00517015"/>
    <w:rsid w:val="0052601E"/>
    <w:rsid w:val="00540C4B"/>
    <w:rsid w:val="0054436E"/>
    <w:rsid w:val="00555F20"/>
    <w:rsid w:val="005576F5"/>
    <w:rsid w:val="00567C47"/>
    <w:rsid w:val="00570320"/>
    <w:rsid w:val="005778A0"/>
    <w:rsid w:val="0058760A"/>
    <w:rsid w:val="00591BFF"/>
    <w:rsid w:val="00594D6B"/>
    <w:rsid w:val="005A0687"/>
    <w:rsid w:val="005B14FA"/>
    <w:rsid w:val="005B61B1"/>
    <w:rsid w:val="005C5AC0"/>
    <w:rsid w:val="005E4D95"/>
    <w:rsid w:val="005F0762"/>
    <w:rsid w:val="005F2936"/>
    <w:rsid w:val="005F5016"/>
    <w:rsid w:val="005F7A73"/>
    <w:rsid w:val="00601F97"/>
    <w:rsid w:val="00602427"/>
    <w:rsid w:val="0060717A"/>
    <w:rsid w:val="006104FA"/>
    <w:rsid w:val="006232D4"/>
    <w:rsid w:val="00626399"/>
    <w:rsid w:val="00631EE9"/>
    <w:rsid w:val="00643CC9"/>
    <w:rsid w:val="00644C42"/>
    <w:rsid w:val="006455AB"/>
    <w:rsid w:val="006466CA"/>
    <w:rsid w:val="00654B58"/>
    <w:rsid w:val="00672463"/>
    <w:rsid w:val="00676DB2"/>
    <w:rsid w:val="006832FA"/>
    <w:rsid w:val="006870E3"/>
    <w:rsid w:val="006A5A40"/>
    <w:rsid w:val="006B6706"/>
    <w:rsid w:val="006C2D1E"/>
    <w:rsid w:val="006C5BBF"/>
    <w:rsid w:val="006D0EB9"/>
    <w:rsid w:val="006E5129"/>
    <w:rsid w:val="00712819"/>
    <w:rsid w:val="00715D8A"/>
    <w:rsid w:val="0072149E"/>
    <w:rsid w:val="00737C1E"/>
    <w:rsid w:val="0075095A"/>
    <w:rsid w:val="00752347"/>
    <w:rsid w:val="00753981"/>
    <w:rsid w:val="00755DF0"/>
    <w:rsid w:val="0076412F"/>
    <w:rsid w:val="00764CAA"/>
    <w:rsid w:val="007704B0"/>
    <w:rsid w:val="00776455"/>
    <w:rsid w:val="00776ECE"/>
    <w:rsid w:val="00780210"/>
    <w:rsid w:val="007A18AA"/>
    <w:rsid w:val="007A6B68"/>
    <w:rsid w:val="007B1F37"/>
    <w:rsid w:val="007D5698"/>
    <w:rsid w:val="00803A44"/>
    <w:rsid w:val="00805D5C"/>
    <w:rsid w:val="00807C7A"/>
    <w:rsid w:val="008102DD"/>
    <w:rsid w:val="00812E56"/>
    <w:rsid w:val="00814611"/>
    <w:rsid w:val="00815AB8"/>
    <w:rsid w:val="00824AC0"/>
    <w:rsid w:val="0083079C"/>
    <w:rsid w:val="008365CB"/>
    <w:rsid w:val="008432DF"/>
    <w:rsid w:val="00843E10"/>
    <w:rsid w:val="00856B5D"/>
    <w:rsid w:val="00857246"/>
    <w:rsid w:val="00873526"/>
    <w:rsid w:val="00883E95"/>
    <w:rsid w:val="008917D0"/>
    <w:rsid w:val="00894FE5"/>
    <w:rsid w:val="00895DE7"/>
    <w:rsid w:val="008A3227"/>
    <w:rsid w:val="008B104D"/>
    <w:rsid w:val="008B745D"/>
    <w:rsid w:val="008C3919"/>
    <w:rsid w:val="008D113C"/>
    <w:rsid w:val="008D56DA"/>
    <w:rsid w:val="008E3322"/>
    <w:rsid w:val="008F6ED7"/>
    <w:rsid w:val="009002D9"/>
    <w:rsid w:val="00903DA6"/>
    <w:rsid w:val="0091251E"/>
    <w:rsid w:val="00937ADC"/>
    <w:rsid w:val="00944129"/>
    <w:rsid w:val="00944ABE"/>
    <w:rsid w:val="0094532A"/>
    <w:rsid w:val="009505B5"/>
    <w:rsid w:val="0099191D"/>
    <w:rsid w:val="0099413E"/>
    <w:rsid w:val="00995771"/>
    <w:rsid w:val="00995909"/>
    <w:rsid w:val="00997995"/>
    <w:rsid w:val="009A5F4B"/>
    <w:rsid w:val="009C02EA"/>
    <w:rsid w:val="009D024B"/>
    <w:rsid w:val="009F2E3E"/>
    <w:rsid w:val="009F7761"/>
    <w:rsid w:val="00A154A5"/>
    <w:rsid w:val="00A17774"/>
    <w:rsid w:val="00A210FF"/>
    <w:rsid w:val="00A21275"/>
    <w:rsid w:val="00A31E3F"/>
    <w:rsid w:val="00A331EF"/>
    <w:rsid w:val="00A36267"/>
    <w:rsid w:val="00A37F15"/>
    <w:rsid w:val="00A4038C"/>
    <w:rsid w:val="00A473A4"/>
    <w:rsid w:val="00A56675"/>
    <w:rsid w:val="00A574EB"/>
    <w:rsid w:val="00A60F8B"/>
    <w:rsid w:val="00A659A6"/>
    <w:rsid w:val="00A83065"/>
    <w:rsid w:val="00A8769C"/>
    <w:rsid w:val="00A8778E"/>
    <w:rsid w:val="00A92734"/>
    <w:rsid w:val="00A96B33"/>
    <w:rsid w:val="00AA56E2"/>
    <w:rsid w:val="00AB4C6A"/>
    <w:rsid w:val="00AB5703"/>
    <w:rsid w:val="00AC12B4"/>
    <w:rsid w:val="00AC418A"/>
    <w:rsid w:val="00AD7422"/>
    <w:rsid w:val="00AE0280"/>
    <w:rsid w:val="00AE0E28"/>
    <w:rsid w:val="00AE2DE1"/>
    <w:rsid w:val="00AE605D"/>
    <w:rsid w:val="00AE7EEA"/>
    <w:rsid w:val="00AF00F7"/>
    <w:rsid w:val="00AF351B"/>
    <w:rsid w:val="00AF6F26"/>
    <w:rsid w:val="00B04EB9"/>
    <w:rsid w:val="00B07FB6"/>
    <w:rsid w:val="00B161C8"/>
    <w:rsid w:val="00B16BDC"/>
    <w:rsid w:val="00B226C9"/>
    <w:rsid w:val="00B243F5"/>
    <w:rsid w:val="00B254B0"/>
    <w:rsid w:val="00B26689"/>
    <w:rsid w:val="00B30DDB"/>
    <w:rsid w:val="00B31A11"/>
    <w:rsid w:val="00B31A2A"/>
    <w:rsid w:val="00B366E1"/>
    <w:rsid w:val="00B472FD"/>
    <w:rsid w:val="00B548B2"/>
    <w:rsid w:val="00B6099C"/>
    <w:rsid w:val="00B61EA0"/>
    <w:rsid w:val="00B702A6"/>
    <w:rsid w:val="00B7421F"/>
    <w:rsid w:val="00B77B5E"/>
    <w:rsid w:val="00B81D38"/>
    <w:rsid w:val="00B94D6F"/>
    <w:rsid w:val="00B957A0"/>
    <w:rsid w:val="00BA15B4"/>
    <w:rsid w:val="00BB3441"/>
    <w:rsid w:val="00BC7A15"/>
    <w:rsid w:val="00BD2C11"/>
    <w:rsid w:val="00BD612A"/>
    <w:rsid w:val="00BE2627"/>
    <w:rsid w:val="00BE4C0E"/>
    <w:rsid w:val="00BF148A"/>
    <w:rsid w:val="00C126F3"/>
    <w:rsid w:val="00C36897"/>
    <w:rsid w:val="00C453AA"/>
    <w:rsid w:val="00C46155"/>
    <w:rsid w:val="00C509AC"/>
    <w:rsid w:val="00C64D2D"/>
    <w:rsid w:val="00C7316D"/>
    <w:rsid w:val="00C92C6F"/>
    <w:rsid w:val="00C93517"/>
    <w:rsid w:val="00C93E4C"/>
    <w:rsid w:val="00C97D8A"/>
    <w:rsid w:val="00CA3842"/>
    <w:rsid w:val="00CB5E30"/>
    <w:rsid w:val="00CC2366"/>
    <w:rsid w:val="00CC66FB"/>
    <w:rsid w:val="00CD0E1E"/>
    <w:rsid w:val="00CD2863"/>
    <w:rsid w:val="00CE166C"/>
    <w:rsid w:val="00CE2561"/>
    <w:rsid w:val="00CF1118"/>
    <w:rsid w:val="00CF30A3"/>
    <w:rsid w:val="00D13B49"/>
    <w:rsid w:val="00D30F90"/>
    <w:rsid w:val="00D348A3"/>
    <w:rsid w:val="00D43810"/>
    <w:rsid w:val="00D55903"/>
    <w:rsid w:val="00D652B5"/>
    <w:rsid w:val="00D75F1A"/>
    <w:rsid w:val="00D76F9A"/>
    <w:rsid w:val="00D82EC4"/>
    <w:rsid w:val="00D91507"/>
    <w:rsid w:val="00DA1AED"/>
    <w:rsid w:val="00DA4F3E"/>
    <w:rsid w:val="00DB7F61"/>
    <w:rsid w:val="00DC10B6"/>
    <w:rsid w:val="00DD47EE"/>
    <w:rsid w:val="00DD6278"/>
    <w:rsid w:val="00DE03E4"/>
    <w:rsid w:val="00DF239F"/>
    <w:rsid w:val="00DF2601"/>
    <w:rsid w:val="00DF4E81"/>
    <w:rsid w:val="00E0329A"/>
    <w:rsid w:val="00E10CE7"/>
    <w:rsid w:val="00E1328F"/>
    <w:rsid w:val="00E15D7B"/>
    <w:rsid w:val="00E2012D"/>
    <w:rsid w:val="00E32B1A"/>
    <w:rsid w:val="00E3332D"/>
    <w:rsid w:val="00E35A12"/>
    <w:rsid w:val="00E35A74"/>
    <w:rsid w:val="00E375D2"/>
    <w:rsid w:val="00E4397A"/>
    <w:rsid w:val="00E459BA"/>
    <w:rsid w:val="00E45AB4"/>
    <w:rsid w:val="00E6329E"/>
    <w:rsid w:val="00E66E94"/>
    <w:rsid w:val="00E7101C"/>
    <w:rsid w:val="00E72820"/>
    <w:rsid w:val="00E76B3B"/>
    <w:rsid w:val="00E77025"/>
    <w:rsid w:val="00E93B58"/>
    <w:rsid w:val="00E94DFD"/>
    <w:rsid w:val="00E9595A"/>
    <w:rsid w:val="00E96464"/>
    <w:rsid w:val="00EA2A44"/>
    <w:rsid w:val="00EC21C2"/>
    <w:rsid w:val="00EC5D90"/>
    <w:rsid w:val="00EC62CC"/>
    <w:rsid w:val="00ED0A24"/>
    <w:rsid w:val="00ED6DA9"/>
    <w:rsid w:val="00EE420B"/>
    <w:rsid w:val="00EE46E3"/>
    <w:rsid w:val="00EE5336"/>
    <w:rsid w:val="00F10B42"/>
    <w:rsid w:val="00F1338F"/>
    <w:rsid w:val="00F1390D"/>
    <w:rsid w:val="00F16731"/>
    <w:rsid w:val="00F36ACA"/>
    <w:rsid w:val="00F52A0A"/>
    <w:rsid w:val="00F628D3"/>
    <w:rsid w:val="00F7664C"/>
    <w:rsid w:val="00F811B5"/>
    <w:rsid w:val="00F86BC0"/>
    <w:rsid w:val="00FA12CC"/>
    <w:rsid w:val="00FA2811"/>
    <w:rsid w:val="00FB0D4B"/>
    <w:rsid w:val="00FB159D"/>
    <w:rsid w:val="00FB1910"/>
    <w:rsid w:val="00FD4EC4"/>
    <w:rsid w:val="00FE3FF6"/>
    <w:rsid w:val="00FF004D"/>
    <w:rsid w:val="00FF00DB"/>
    <w:rsid w:val="00FF26D7"/>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F9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
    <w:basedOn w:val="Normal"/>
    <w:link w:val="PrrafodelistaCar"/>
    <w:qFormat/>
    <w:rsid w:val="00D76F9A"/>
    <w:pPr>
      <w:ind w:left="720"/>
      <w:contextualSpacing/>
    </w:pPr>
  </w:style>
  <w:style w:type="paragraph" w:styleId="Sinespaciado">
    <w:name w:val="No Spacing"/>
    <w:uiPriority w:val="1"/>
    <w:qFormat/>
    <w:rsid w:val="00D76F9A"/>
    <w:pPr>
      <w:spacing w:after="0" w:line="240" w:lineRule="auto"/>
    </w:pPr>
    <w:rPr>
      <w:lang w:val="es-ES"/>
    </w:rPr>
  </w:style>
  <w:style w:type="paragraph" w:styleId="Textonotapie">
    <w:name w:val="footnote text"/>
    <w:aliases w:val="Footnote Text Char Char Char Char Char,Footnote Text Char Char Char Char,Ref. de nota al pie1,FA Fu,texto de nota al pie,Footnote reference,Footnote Text Char Char Char,Footnote Text Cha,FA Fußnotentext,FA Fuﬂnotentext,FA Fu?notentext"/>
    <w:basedOn w:val="Normal"/>
    <w:link w:val="TextonotapieCar"/>
    <w:unhideWhenUsed/>
    <w:rsid w:val="00D76F9A"/>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reference Car,Footnote Text Char Char Char Car,Footnote Text Cha Car"/>
    <w:basedOn w:val="Fuentedeprrafopredeter"/>
    <w:link w:val="Textonotapie"/>
    <w:rsid w:val="00D76F9A"/>
    <w:rPr>
      <w:rFonts w:ascii="Calibri" w:eastAsia="Calibri" w:hAnsi="Calibri" w:cs="Times New Roman"/>
      <w:sz w:val="20"/>
      <w:szCs w:val="20"/>
      <w:lang w:val="es-ES"/>
    </w:rPr>
  </w:style>
  <w:style w:type="character" w:styleId="Refdenotaalpie">
    <w:name w:val="footnote reference"/>
    <w:aliases w:val="Texto de nota al pie"/>
    <w:basedOn w:val="Fuentedeprrafopredeter"/>
    <w:unhideWhenUsed/>
    <w:rsid w:val="00D76F9A"/>
    <w:rPr>
      <w:vertAlign w:val="superscript"/>
    </w:rPr>
  </w:style>
  <w:style w:type="paragraph" w:customStyle="1" w:styleId="Default">
    <w:name w:val="Default"/>
    <w:rsid w:val="00D76F9A"/>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customStyle="1" w:styleId="PrrafodelistaCar">
    <w:name w:val="Párrafo de lista Car"/>
    <w:aliases w:val="titulo 3 Car"/>
    <w:link w:val="Prrafodelista"/>
    <w:uiPriority w:val="34"/>
    <w:locked/>
    <w:rsid w:val="00D76F9A"/>
    <w:rPr>
      <w:rFonts w:ascii="Calibri" w:eastAsia="Calibri" w:hAnsi="Calibri" w:cs="Times New Roman"/>
      <w:lang w:val="es-ES"/>
    </w:rPr>
  </w:style>
  <w:style w:type="paragraph" w:styleId="Piedepgina">
    <w:name w:val="footer"/>
    <w:basedOn w:val="Normal"/>
    <w:link w:val="PiedepginaCar"/>
    <w:uiPriority w:val="99"/>
    <w:unhideWhenUsed/>
    <w:rsid w:val="00D76F9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D76F9A"/>
    <w:rPr>
      <w:rFonts w:ascii="Calibri" w:eastAsia="Calibri" w:hAnsi="Calibri" w:cs="Times New Roman"/>
      <w:lang w:val="es-ES"/>
    </w:rPr>
  </w:style>
  <w:style w:type="character" w:styleId="Nmerodepgina">
    <w:name w:val="page number"/>
    <w:basedOn w:val="Fuentedeprrafopredeter"/>
    <w:uiPriority w:val="99"/>
    <w:semiHidden/>
    <w:unhideWhenUsed/>
    <w:rsid w:val="00D76F9A"/>
  </w:style>
  <w:style w:type="table" w:styleId="Tablaconcuadrcula">
    <w:name w:val="Table Grid"/>
    <w:basedOn w:val="Tablanormal"/>
    <w:uiPriority w:val="59"/>
    <w:rsid w:val="00D76F9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1A11"/>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rsid w:val="008D56DA"/>
    <w:rPr>
      <w:b/>
      <w:bCs/>
    </w:rPr>
  </w:style>
  <w:style w:type="character" w:customStyle="1" w:styleId="apple-converted-space">
    <w:name w:val="apple-converted-space"/>
    <w:basedOn w:val="Fuentedeprrafopredeter"/>
    <w:rsid w:val="008D56DA"/>
  </w:style>
  <w:style w:type="paragraph" w:styleId="Textodeglobo">
    <w:name w:val="Balloon Text"/>
    <w:basedOn w:val="Normal"/>
    <w:link w:val="TextodegloboCar"/>
    <w:uiPriority w:val="99"/>
    <w:semiHidden/>
    <w:unhideWhenUsed/>
    <w:rsid w:val="00B16B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BDC"/>
    <w:rPr>
      <w:rFonts w:ascii="Segoe UI" w:eastAsia="Calibri" w:hAnsi="Segoe UI" w:cs="Segoe UI"/>
      <w:sz w:val="18"/>
      <w:szCs w:val="18"/>
      <w:lang w:val="es-ES"/>
    </w:rPr>
  </w:style>
  <w:style w:type="numbering" w:customStyle="1" w:styleId="List0">
    <w:name w:val="List 0"/>
    <w:basedOn w:val="Sinlista"/>
    <w:rsid w:val="00753981"/>
    <w:pPr>
      <w:numPr>
        <w:numId w:val="5"/>
      </w:numPr>
    </w:pPr>
  </w:style>
  <w:style w:type="paragraph" w:styleId="Textoindependiente">
    <w:name w:val="Body Text"/>
    <w:basedOn w:val="Normal"/>
    <w:link w:val="TextoindependienteCar"/>
    <w:unhideWhenUsed/>
    <w:rsid w:val="0083079C"/>
    <w:pPr>
      <w:spacing w:after="0" w:line="240" w:lineRule="auto"/>
      <w:jc w:val="both"/>
    </w:pPr>
    <w:rPr>
      <w:rFonts w:ascii="Arial" w:eastAsia="Times New Roman" w:hAnsi="Arial"/>
      <w:i/>
      <w:sz w:val="24"/>
      <w:szCs w:val="20"/>
      <w:lang w:val="es-ES_tradnl" w:eastAsia="es-ES"/>
    </w:rPr>
  </w:style>
  <w:style w:type="character" w:customStyle="1" w:styleId="TextoindependienteCar">
    <w:name w:val="Texto independiente Car"/>
    <w:basedOn w:val="Fuentedeprrafopredeter"/>
    <w:link w:val="Textoindependiente"/>
    <w:rsid w:val="0083079C"/>
    <w:rPr>
      <w:rFonts w:ascii="Arial" w:eastAsia="Times New Roman" w:hAnsi="Arial" w:cs="Times New Roman"/>
      <w:i/>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F9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
    <w:basedOn w:val="Normal"/>
    <w:link w:val="PrrafodelistaCar"/>
    <w:qFormat/>
    <w:rsid w:val="00D76F9A"/>
    <w:pPr>
      <w:ind w:left="720"/>
      <w:contextualSpacing/>
    </w:pPr>
  </w:style>
  <w:style w:type="paragraph" w:styleId="Sinespaciado">
    <w:name w:val="No Spacing"/>
    <w:uiPriority w:val="1"/>
    <w:qFormat/>
    <w:rsid w:val="00D76F9A"/>
    <w:pPr>
      <w:spacing w:after="0" w:line="240" w:lineRule="auto"/>
    </w:pPr>
    <w:rPr>
      <w:lang w:val="es-ES"/>
    </w:rPr>
  </w:style>
  <w:style w:type="paragraph" w:styleId="Textonotapie">
    <w:name w:val="footnote text"/>
    <w:aliases w:val="Footnote Text Char Char Char Char Char,Footnote Text Char Char Char Char,Ref. de nota al pie1,FA Fu,texto de nota al pie,Footnote reference,Footnote Text Char Char Char,Footnote Text Cha,FA Fußnotentext,FA Fuﬂnotentext,FA Fu?notentext"/>
    <w:basedOn w:val="Normal"/>
    <w:link w:val="TextonotapieCar"/>
    <w:unhideWhenUsed/>
    <w:rsid w:val="00D76F9A"/>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reference Car,Footnote Text Char Char Char Car,Footnote Text Cha Car"/>
    <w:basedOn w:val="Fuentedeprrafopredeter"/>
    <w:link w:val="Textonotapie"/>
    <w:rsid w:val="00D76F9A"/>
    <w:rPr>
      <w:rFonts w:ascii="Calibri" w:eastAsia="Calibri" w:hAnsi="Calibri" w:cs="Times New Roman"/>
      <w:sz w:val="20"/>
      <w:szCs w:val="20"/>
      <w:lang w:val="es-ES"/>
    </w:rPr>
  </w:style>
  <w:style w:type="character" w:styleId="Refdenotaalpie">
    <w:name w:val="footnote reference"/>
    <w:aliases w:val="Texto de nota al pie"/>
    <w:basedOn w:val="Fuentedeprrafopredeter"/>
    <w:unhideWhenUsed/>
    <w:rsid w:val="00D76F9A"/>
    <w:rPr>
      <w:vertAlign w:val="superscript"/>
    </w:rPr>
  </w:style>
  <w:style w:type="paragraph" w:customStyle="1" w:styleId="Default">
    <w:name w:val="Default"/>
    <w:rsid w:val="00D76F9A"/>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customStyle="1" w:styleId="PrrafodelistaCar">
    <w:name w:val="Párrafo de lista Car"/>
    <w:aliases w:val="titulo 3 Car"/>
    <w:link w:val="Prrafodelista"/>
    <w:uiPriority w:val="34"/>
    <w:locked/>
    <w:rsid w:val="00D76F9A"/>
    <w:rPr>
      <w:rFonts w:ascii="Calibri" w:eastAsia="Calibri" w:hAnsi="Calibri" w:cs="Times New Roman"/>
      <w:lang w:val="es-ES"/>
    </w:rPr>
  </w:style>
  <w:style w:type="paragraph" w:styleId="Piedepgina">
    <w:name w:val="footer"/>
    <w:basedOn w:val="Normal"/>
    <w:link w:val="PiedepginaCar"/>
    <w:uiPriority w:val="99"/>
    <w:unhideWhenUsed/>
    <w:rsid w:val="00D76F9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D76F9A"/>
    <w:rPr>
      <w:rFonts w:ascii="Calibri" w:eastAsia="Calibri" w:hAnsi="Calibri" w:cs="Times New Roman"/>
      <w:lang w:val="es-ES"/>
    </w:rPr>
  </w:style>
  <w:style w:type="character" w:styleId="Nmerodepgina">
    <w:name w:val="page number"/>
    <w:basedOn w:val="Fuentedeprrafopredeter"/>
    <w:uiPriority w:val="99"/>
    <w:semiHidden/>
    <w:unhideWhenUsed/>
    <w:rsid w:val="00D76F9A"/>
  </w:style>
  <w:style w:type="table" w:styleId="Tablaconcuadrcula">
    <w:name w:val="Table Grid"/>
    <w:basedOn w:val="Tablanormal"/>
    <w:uiPriority w:val="59"/>
    <w:rsid w:val="00D76F9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1A11"/>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rsid w:val="008D56DA"/>
    <w:rPr>
      <w:b/>
      <w:bCs/>
    </w:rPr>
  </w:style>
  <w:style w:type="character" w:customStyle="1" w:styleId="apple-converted-space">
    <w:name w:val="apple-converted-space"/>
    <w:basedOn w:val="Fuentedeprrafopredeter"/>
    <w:rsid w:val="008D56DA"/>
  </w:style>
  <w:style w:type="paragraph" w:styleId="Textodeglobo">
    <w:name w:val="Balloon Text"/>
    <w:basedOn w:val="Normal"/>
    <w:link w:val="TextodegloboCar"/>
    <w:uiPriority w:val="99"/>
    <w:semiHidden/>
    <w:unhideWhenUsed/>
    <w:rsid w:val="00B16B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BDC"/>
    <w:rPr>
      <w:rFonts w:ascii="Segoe UI" w:eastAsia="Calibri" w:hAnsi="Segoe UI" w:cs="Segoe UI"/>
      <w:sz w:val="18"/>
      <w:szCs w:val="18"/>
      <w:lang w:val="es-ES"/>
    </w:rPr>
  </w:style>
  <w:style w:type="numbering" w:customStyle="1" w:styleId="List0">
    <w:name w:val="List 0"/>
    <w:basedOn w:val="Sinlista"/>
    <w:rsid w:val="00753981"/>
    <w:pPr>
      <w:numPr>
        <w:numId w:val="5"/>
      </w:numPr>
    </w:pPr>
  </w:style>
  <w:style w:type="paragraph" w:styleId="Textoindependiente">
    <w:name w:val="Body Text"/>
    <w:basedOn w:val="Normal"/>
    <w:link w:val="TextoindependienteCar"/>
    <w:unhideWhenUsed/>
    <w:rsid w:val="0083079C"/>
    <w:pPr>
      <w:spacing w:after="0" w:line="240" w:lineRule="auto"/>
      <w:jc w:val="both"/>
    </w:pPr>
    <w:rPr>
      <w:rFonts w:ascii="Arial" w:eastAsia="Times New Roman" w:hAnsi="Arial"/>
      <w:i/>
      <w:sz w:val="24"/>
      <w:szCs w:val="20"/>
      <w:lang w:val="es-ES_tradnl" w:eastAsia="es-ES"/>
    </w:rPr>
  </w:style>
  <w:style w:type="character" w:customStyle="1" w:styleId="TextoindependienteCar">
    <w:name w:val="Texto independiente Car"/>
    <w:basedOn w:val="Fuentedeprrafopredeter"/>
    <w:link w:val="Textoindependiente"/>
    <w:rsid w:val="0083079C"/>
    <w:rPr>
      <w:rFonts w:ascii="Arial" w:eastAsia="Times New Roman" w:hAnsi="Arial" w:cs="Times New Roman"/>
      <w:i/>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9964">
      <w:bodyDiv w:val="1"/>
      <w:marLeft w:val="0"/>
      <w:marRight w:val="0"/>
      <w:marTop w:val="0"/>
      <w:marBottom w:val="0"/>
      <w:divBdr>
        <w:top w:val="none" w:sz="0" w:space="0" w:color="auto"/>
        <w:left w:val="none" w:sz="0" w:space="0" w:color="auto"/>
        <w:bottom w:val="none" w:sz="0" w:space="0" w:color="auto"/>
        <w:right w:val="none" w:sz="0" w:space="0" w:color="auto"/>
      </w:divBdr>
    </w:div>
    <w:div w:id="1907568911">
      <w:bodyDiv w:val="1"/>
      <w:marLeft w:val="0"/>
      <w:marRight w:val="0"/>
      <w:marTop w:val="0"/>
      <w:marBottom w:val="0"/>
      <w:divBdr>
        <w:top w:val="none" w:sz="0" w:space="0" w:color="auto"/>
        <w:left w:val="none" w:sz="0" w:space="0" w:color="auto"/>
        <w:bottom w:val="none" w:sz="0" w:space="0" w:color="auto"/>
        <w:right w:val="none" w:sz="0" w:space="0" w:color="auto"/>
      </w:divBdr>
      <w:divsChild>
        <w:div w:id="796335933">
          <w:marLeft w:val="0"/>
          <w:marRight w:val="0"/>
          <w:marTop w:val="0"/>
          <w:marBottom w:val="0"/>
          <w:divBdr>
            <w:top w:val="none" w:sz="0" w:space="0" w:color="auto"/>
            <w:left w:val="none" w:sz="0" w:space="0" w:color="auto"/>
            <w:bottom w:val="none" w:sz="0" w:space="0" w:color="auto"/>
            <w:right w:val="none" w:sz="0" w:space="0" w:color="auto"/>
          </w:divBdr>
          <w:divsChild>
            <w:div w:id="1207374740">
              <w:marLeft w:val="0"/>
              <w:marRight w:val="0"/>
              <w:marTop w:val="0"/>
              <w:marBottom w:val="0"/>
              <w:divBdr>
                <w:top w:val="none" w:sz="0" w:space="0" w:color="auto"/>
                <w:left w:val="none" w:sz="0" w:space="0" w:color="auto"/>
                <w:bottom w:val="none" w:sz="0" w:space="0" w:color="auto"/>
                <w:right w:val="none" w:sz="0" w:space="0" w:color="auto"/>
              </w:divBdr>
              <w:divsChild>
                <w:div w:id="34694313">
                  <w:marLeft w:val="0"/>
                  <w:marRight w:val="0"/>
                  <w:marTop w:val="100"/>
                  <w:marBottom w:val="100"/>
                  <w:divBdr>
                    <w:top w:val="none" w:sz="0" w:space="0" w:color="auto"/>
                    <w:left w:val="none" w:sz="0" w:space="0" w:color="auto"/>
                    <w:bottom w:val="none" w:sz="0" w:space="0" w:color="auto"/>
                    <w:right w:val="none" w:sz="0" w:space="0" w:color="auto"/>
                  </w:divBdr>
                  <w:divsChild>
                    <w:div w:id="379983250">
                      <w:marLeft w:val="0"/>
                      <w:marRight w:val="0"/>
                      <w:marTop w:val="0"/>
                      <w:marBottom w:val="0"/>
                      <w:divBdr>
                        <w:top w:val="none" w:sz="0" w:space="0" w:color="auto"/>
                        <w:left w:val="none" w:sz="0" w:space="0" w:color="auto"/>
                        <w:bottom w:val="none" w:sz="0" w:space="0" w:color="auto"/>
                        <w:right w:val="none" w:sz="0" w:space="0" w:color="auto"/>
                      </w:divBdr>
                      <w:divsChild>
                        <w:div w:id="1729300901">
                          <w:marLeft w:val="0"/>
                          <w:marRight w:val="0"/>
                          <w:marTop w:val="0"/>
                          <w:marBottom w:val="0"/>
                          <w:divBdr>
                            <w:top w:val="none" w:sz="0" w:space="0" w:color="auto"/>
                            <w:left w:val="none" w:sz="0" w:space="0" w:color="auto"/>
                            <w:bottom w:val="none" w:sz="0" w:space="0" w:color="auto"/>
                            <w:right w:val="none" w:sz="0" w:space="0" w:color="auto"/>
                          </w:divBdr>
                          <w:divsChild>
                            <w:div w:id="137957880">
                              <w:marLeft w:val="0"/>
                              <w:marRight w:val="0"/>
                              <w:marTop w:val="0"/>
                              <w:marBottom w:val="0"/>
                              <w:divBdr>
                                <w:top w:val="none" w:sz="0" w:space="0" w:color="auto"/>
                                <w:left w:val="none" w:sz="0" w:space="0" w:color="auto"/>
                                <w:bottom w:val="none" w:sz="0" w:space="0" w:color="auto"/>
                                <w:right w:val="none" w:sz="0" w:space="0" w:color="auto"/>
                              </w:divBdr>
                              <w:divsChild>
                                <w:div w:id="378555834">
                                  <w:marLeft w:val="0"/>
                                  <w:marRight w:val="0"/>
                                  <w:marTop w:val="0"/>
                                  <w:marBottom w:val="0"/>
                                  <w:divBdr>
                                    <w:top w:val="none" w:sz="0" w:space="0" w:color="auto"/>
                                    <w:left w:val="none" w:sz="0" w:space="0" w:color="auto"/>
                                    <w:bottom w:val="none" w:sz="0" w:space="0" w:color="auto"/>
                                    <w:right w:val="none" w:sz="0" w:space="0" w:color="auto"/>
                                  </w:divBdr>
                                  <w:divsChild>
                                    <w:div w:id="871039370">
                                      <w:marLeft w:val="0"/>
                                      <w:marRight w:val="0"/>
                                      <w:marTop w:val="0"/>
                                      <w:marBottom w:val="0"/>
                                      <w:divBdr>
                                        <w:top w:val="none" w:sz="0" w:space="0" w:color="auto"/>
                                        <w:left w:val="none" w:sz="0" w:space="0" w:color="auto"/>
                                        <w:bottom w:val="none" w:sz="0" w:space="0" w:color="auto"/>
                                        <w:right w:val="none" w:sz="0" w:space="0" w:color="auto"/>
                                      </w:divBdr>
                                      <w:divsChild>
                                        <w:div w:id="1149324021">
                                          <w:marLeft w:val="0"/>
                                          <w:marRight w:val="0"/>
                                          <w:marTop w:val="0"/>
                                          <w:marBottom w:val="0"/>
                                          <w:divBdr>
                                            <w:top w:val="none" w:sz="0" w:space="0" w:color="auto"/>
                                            <w:left w:val="none" w:sz="0" w:space="0" w:color="auto"/>
                                            <w:bottom w:val="none" w:sz="0" w:space="0" w:color="auto"/>
                                            <w:right w:val="none" w:sz="0" w:space="0" w:color="auto"/>
                                          </w:divBdr>
                                          <w:divsChild>
                                            <w:div w:id="868908516">
                                              <w:marLeft w:val="0"/>
                                              <w:marRight w:val="0"/>
                                              <w:marTop w:val="0"/>
                                              <w:marBottom w:val="0"/>
                                              <w:divBdr>
                                                <w:top w:val="none" w:sz="0" w:space="0" w:color="auto"/>
                                                <w:left w:val="none" w:sz="0" w:space="0" w:color="auto"/>
                                                <w:bottom w:val="none" w:sz="0" w:space="0" w:color="auto"/>
                                                <w:right w:val="none" w:sz="0" w:space="0" w:color="auto"/>
                                              </w:divBdr>
                                              <w:divsChild>
                                                <w:div w:id="624963248">
                                                  <w:marLeft w:val="0"/>
                                                  <w:marRight w:val="300"/>
                                                  <w:marTop w:val="0"/>
                                                  <w:marBottom w:val="0"/>
                                                  <w:divBdr>
                                                    <w:top w:val="none" w:sz="0" w:space="0" w:color="auto"/>
                                                    <w:left w:val="none" w:sz="0" w:space="0" w:color="auto"/>
                                                    <w:bottom w:val="none" w:sz="0" w:space="0" w:color="auto"/>
                                                    <w:right w:val="none" w:sz="0" w:space="0" w:color="auto"/>
                                                  </w:divBdr>
                                                  <w:divsChild>
                                                    <w:div w:id="1630014702">
                                                      <w:marLeft w:val="0"/>
                                                      <w:marRight w:val="0"/>
                                                      <w:marTop w:val="0"/>
                                                      <w:marBottom w:val="0"/>
                                                      <w:divBdr>
                                                        <w:top w:val="none" w:sz="0" w:space="0" w:color="auto"/>
                                                        <w:left w:val="none" w:sz="0" w:space="0" w:color="auto"/>
                                                        <w:bottom w:val="none" w:sz="0" w:space="0" w:color="auto"/>
                                                        <w:right w:val="none" w:sz="0" w:space="0" w:color="auto"/>
                                                      </w:divBdr>
                                                      <w:divsChild>
                                                        <w:div w:id="1791781364">
                                                          <w:marLeft w:val="0"/>
                                                          <w:marRight w:val="0"/>
                                                          <w:marTop w:val="0"/>
                                                          <w:marBottom w:val="300"/>
                                                          <w:divBdr>
                                                            <w:top w:val="single" w:sz="6" w:space="0" w:color="CCCCCC"/>
                                                            <w:left w:val="none" w:sz="0" w:space="0" w:color="auto"/>
                                                            <w:bottom w:val="none" w:sz="0" w:space="0" w:color="auto"/>
                                                            <w:right w:val="none" w:sz="0" w:space="0" w:color="auto"/>
                                                          </w:divBdr>
                                                          <w:divsChild>
                                                            <w:div w:id="331296964">
                                                              <w:marLeft w:val="0"/>
                                                              <w:marRight w:val="0"/>
                                                              <w:marTop w:val="0"/>
                                                              <w:marBottom w:val="0"/>
                                                              <w:divBdr>
                                                                <w:top w:val="none" w:sz="0" w:space="0" w:color="auto"/>
                                                                <w:left w:val="none" w:sz="0" w:space="0" w:color="auto"/>
                                                                <w:bottom w:val="none" w:sz="0" w:space="0" w:color="auto"/>
                                                                <w:right w:val="none" w:sz="0" w:space="0" w:color="auto"/>
                                                              </w:divBdr>
                                                              <w:divsChild>
                                                                <w:div w:id="1294100958">
                                                                  <w:marLeft w:val="0"/>
                                                                  <w:marRight w:val="0"/>
                                                                  <w:marTop w:val="0"/>
                                                                  <w:marBottom w:val="0"/>
                                                                  <w:divBdr>
                                                                    <w:top w:val="none" w:sz="0" w:space="0" w:color="auto"/>
                                                                    <w:left w:val="none" w:sz="0" w:space="0" w:color="auto"/>
                                                                    <w:bottom w:val="none" w:sz="0" w:space="0" w:color="auto"/>
                                                                    <w:right w:val="none" w:sz="0" w:space="0" w:color="auto"/>
                                                                  </w:divBdr>
                                                                  <w:divsChild>
                                                                    <w:div w:id="150174043">
                                                                      <w:marLeft w:val="0"/>
                                                                      <w:marRight w:val="0"/>
                                                                      <w:marTop w:val="0"/>
                                                                      <w:marBottom w:val="0"/>
                                                                      <w:divBdr>
                                                                        <w:top w:val="none" w:sz="0" w:space="0" w:color="auto"/>
                                                                        <w:left w:val="none" w:sz="0" w:space="0" w:color="auto"/>
                                                                        <w:bottom w:val="none" w:sz="0" w:space="0" w:color="auto"/>
                                                                        <w:right w:val="none" w:sz="0" w:space="0" w:color="auto"/>
                                                                      </w:divBdr>
                                                                      <w:divsChild>
                                                                        <w:div w:id="1317883192">
                                                                          <w:marLeft w:val="0"/>
                                                                          <w:marRight w:val="0"/>
                                                                          <w:marTop w:val="0"/>
                                                                          <w:marBottom w:val="0"/>
                                                                          <w:divBdr>
                                                                            <w:top w:val="none" w:sz="0" w:space="0" w:color="auto"/>
                                                                            <w:left w:val="none" w:sz="0" w:space="0" w:color="auto"/>
                                                                            <w:bottom w:val="none" w:sz="0" w:space="0" w:color="auto"/>
                                                                            <w:right w:val="none" w:sz="0" w:space="0" w:color="auto"/>
                                                                          </w:divBdr>
                                                                          <w:divsChild>
                                                                            <w:div w:id="892807883">
                                                                              <w:marLeft w:val="0"/>
                                                                              <w:marRight w:val="0"/>
                                                                              <w:marTop w:val="0"/>
                                                                              <w:marBottom w:val="0"/>
                                                                              <w:divBdr>
                                                                                <w:top w:val="none" w:sz="0" w:space="0" w:color="auto"/>
                                                                                <w:left w:val="none" w:sz="0" w:space="0" w:color="auto"/>
                                                                                <w:bottom w:val="none" w:sz="0" w:space="0" w:color="auto"/>
                                                                                <w:right w:val="none" w:sz="0" w:space="0" w:color="auto"/>
                                                                              </w:divBdr>
                                                                            </w:div>
                                                                            <w:div w:id="9698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4209</Words>
  <Characters>23150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Uribe Sanabria</dc:creator>
  <cp:lastModifiedBy>usuario</cp:lastModifiedBy>
  <cp:revision>2</cp:revision>
  <cp:lastPrinted>2015-05-11T19:48:00Z</cp:lastPrinted>
  <dcterms:created xsi:type="dcterms:W3CDTF">2015-05-12T23:49:00Z</dcterms:created>
  <dcterms:modified xsi:type="dcterms:W3CDTF">2015-05-12T23:49:00Z</dcterms:modified>
</cp:coreProperties>
</file>